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pPr>
    </w:p>
    <w:p>
      <w:pPr>
        <w:keepNext w:val="0"/>
        <w:keepLines w:val="0"/>
        <w:pageBreakBefore w:val="0"/>
        <w:widowControl w:val="0"/>
        <w:spacing w:before="120" w:after="120" w:line="660" w:lineRule="exact"/>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竞争性磋商文件</w:t>
      </w:r>
    </w:p>
    <w:p>
      <w:pPr>
        <w:keepNext w:val="0"/>
        <w:keepLines w:val="0"/>
        <w:pageBreakBefore w:val="0"/>
        <w:widowControl w:val="0"/>
        <w:spacing w:before="120" w:after="120" w:line="400" w:lineRule="exact"/>
        <w:ind w:firstLine="840"/>
        <w:jc w:val="left"/>
        <w:rPr>
          <w:rFonts w:hint="eastAsia" w:ascii="方正黑体_GBK" w:hAnsi="方正黑体_GBK" w:eastAsia="方正黑体_GBK" w:cs="方正黑体_GBK"/>
          <w:b w:val="0"/>
          <w:bCs w:val="0"/>
          <w:color w:val="000000"/>
          <w:sz w:val="28"/>
          <w:szCs w:val="28"/>
        </w:rPr>
      </w:pPr>
    </w:p>
    <w:p>
      <w:pPr>
        <w:pStyle w:val="74"/>
        <w:rPr>
          <w:rFonts w:hint="eastAsia" w:ascii="方正黑体_GBK" w:hAnsi="方正黑体_GBK" w:eastAsia="方正黑体_GBK" w:cs="方正黑体_GBK"/>
          <w:b w:val="0"/>
          <w:bCs w:val="0"/>
          <w:color w:val="000000"/>
          <w:sz w:val="28"/>
          <w:szCs w:val="28"/>
        </w:rPr>
      </w:pPr>
    </w:p>
    <w:p>
      <w:pPr>
        <w:rPr>
          <w:rFonts w:hint="eastAsia" w:ascii="方正黑体_GBK" w:hAnsi="方正黑体_GBK" w:eastAsia="方正黑体_GBK" w:cs="方正黑体_GBK"/>
          <w:b w:val="0"/>
          <w:bCs w:val="0"/>
          <w:color w:val="000000"/>
          <w:sz w:val="28"/>
          <w:szCs w:val="28"/>
        </w:rPr>
      </w:pPr>
    </w:p>
    <w:p>
      <w:pPr>
        <w:pStyle w:val="74"/>
        <w:rPr>
          <w:rFonts w:hint="eastAsia"/>
        </w:rPr>
      </w:pPr>
    </w:p>
    <w:p>
      <w:pPr>
        <w:keepNext w:val="0"/>
        <w:keepLines w:val="0"/>
        <w:pageBreakBefore w:val="0"/>
        <w:widowControl w:val="0"/>
        <w:spacing w:before="120" w:after="120" w:line="400" w:lineRule="exact"/>
        <w:ind w:firstLine="840"/>
        <w:jc w:val="left"/>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项目名称：大型仪器智慧管理与共享服务平台二期项目</w:t>
      </w:r>
    </w:p>
    <w:p>
      <w:pPr>
        <w:keepNext w:val="0"/>
        <w:keepLines w:val="0"/>
        <w:pageBreakBefore w:val="0"/>
        <w:widowControl w:val="0"/>
        <w:spacing w:before="120" w:after="120" w:line="400" w:lineRule="exact"/>
        <w:ind w:firstLine="840"/>
        <w:jc w:val="left"/>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采购编号</w:t>
      </w:r>
      <w:r>
        <w:rPr>
          <w:rFonts w:hint="eastAsia" w:ascii="方正黑体_GBK" w:hAnsi="方正黑体_GBK" w:eastAsia="方正黑体_GBK" w:cs="方正黑体_GBK"/>
          <w:b w:val="0"/>
          <w:bCs w:val="0"/>
          <w:color w:val="000000"/>
          <w:sz w:val="28"/>
          <w:szCs w:val="28"/>
        </w:rPr>
        <w:t>：</w:t>
      </w:r>
      <w:r>
        <w:rPr>
          <w:rFonts w:hint="eastAsia" w:ascii="Times New Roman" w:hAnsi="Times New Roman" w:eastAsia="方正黑体_GBK" w:cs="Times New Roman"/>
          <w:color w:val="000000"/>
          <w:sz w:val="28"/>
          <w:szCs w:val="28"/>
        </w:rPr>
        <w:t>JSZC-320000-SCZX-C2026-0396</w:t>
      </w:r>
      <w:r>
        <w:rPr>
          <w:rFonts w:ascii="Arial" w:hAnsi="Arial"/>
          <w:b/>
          <w:bCs/>
          <w:color w:val="000000"/>
          <w:sz w:val="28"/>
          <w:szCs w:val="28"/>
        </w:rPr>
        <w:t xml:space="preserve">           </w:t>
      </w:r>
    </w:p>
    <w:p>
      <w:pPr>
        <w:spacing w:before="120" w:after="120" w:line="360" w:lineRule="auto"/>
        <w:ind w:firstLine="1470"/>
        <w:jc w:val="left"/>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p>
    <w:p>
      <w:pPr>
        <w:spacing w:line="360" w:lineRule="auto"/>
        <w:jc w:val="left"/>
        <w:rPr>
          <w:rFonts w:hint="eastAsia" w:ascii="宋体" w:hAnsi="宋体"/>
          <w:sz w:val="24"/>
          <w:szCs w:val="24"/>
        </w:rPr>
      </w:pPr>
    </w:p>
    <w:p>
      <w:pPr>
        <w:keepNext w:val="0"/>
        <w:keepLines w:val="0"/>
        <w:pageBreakBefore w:val="0"/>
        <w:widowControl w:val="0"/>
        <w:spacing w:before="120" w:after="120" w:line="660" w:lineRule="exact"/>
        <w:jc w:val="center"/>
        <w:rPr>
          <w:rFonts w:hint="eastAsia" w:ascii="宋体" w:hAnsi="宋体"/>
          <w:sz w:val="24"/>
          <w:szCs w:val="24"/>
        </w:rPr>
      </w:pPr>
    </w:p>
    <w:p>
      <w:pPr>
        <w:spacing w:line="360" w:lineRule="auto"/>
        <w:jc w:val="left"/>
        <w:rPr>
          <w:rFonts w:hint="eastAsia" w:ascii="宋体" w:hAnsi="宋体"/>
          <w:sz w:val="24"/>
          <w:szCs w:val="24"/>
        </w:rPr>
      </w:pPr>
    </w:p>
    <w:p>
      <w:pPr>
        <w:spacing w:line="360" w:lineRule="auto"/>
        <w:jc w:val="left"/>
        <w:rPr>
          <w:rFonts w:hint="eastAsia" w:ascii="宋体" w:hAnsi="宋体"/>
          <w:sz w:val="24"/>
          <w:szCs w:val="24"/>
        </w:rPr>
      </w:pPr>
    </w:p>
    <w:p>
      <w:pPr>
        <w:spacing w:line="360" w:lineRule="auto"/>
        <w:jc w:val="left"/>
        <w:rPr>
          <w:rFonts w:hint="eastAsia" w:ascii="宋体" w:hAnsi="宋体"/>
          <w:sz w:val="24"/>
          <w:szCs w:val="24"/>
        </w:rPr>
      </w:pPr>
    </w:p>
    <w:p>
      <w:pPr>
        <w:spacing w:line="360" w:lineRule="auto"/>
        <w:jc w:val="left"/>
        <w:rPr>
          <w:rFonts w:hint="eastAsia" w:ascii="宋体" w:hAnsi="宋体"/>
          <w:sz w:val="24"/>
          <w:szCs w:val="24"/>
        </w:rPr>
      </w:pPr>
    </w:p>
    <w:p>
      <w:pPr>
        <w:spacing w:line="360" w:lineRule="auto"/>
        <w:jc w:val="left"/>
        <w:rPr>
          <w:rFonts w:hint="eastAsia" w:ascii="宋体" w:hAnsi="宋体"/>
          <w:sz w:val="24"/>
          <w:szCs w:val="24"/>
        </w:rPr>
      </w:pPr>
    </w:p>
    <w:p>
      <w:pPr>
        <w:keepNext w:val="0"/>
        <w:keepLines w:val="0"/>
        <w:pageBreakBefore w:val="0"/>
        <w:widowControl w:val="0"/>
        <w:spacing w:before="120" w:after="120" w:line="400" w:lineRule="exact"/>
        <w:jc w:val="center"/>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江苏省政府采购中心</w:t>
      </w:r>
    </w:p>
    <w:p>
      <w:pPr>
        <w:keepNext w:val="0"/>
        <w:keepLines w:val="0"/>
        <w:pageBreakBefore w:val="0"/>
        <w:widowControl w:val="0"/>
        <w:spacing w:before="120" w:after="120" w:line="400" w:lineRule="exact"/>
        <w:jc w:val="center"/>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2026</w:t>
      </w:r>
      <w:r>
        <w:rPr>
          <w:rFonts w:hint="eastAsia" w:ascii="方正黑体_GBK" w:hAnsi="方正黑体_GBK" w:eastAsia="方正黑体_GBK" w:cs="方正黑体_GBK"/>
          <w:b w:val="0"/>
          <w:bCs w:val="0"/>
          <w:sz w:val="28"/>
          <w:szCs w:val="28"/>
        </w:rPr>
        <w:t>年</w:t>
      </w:r>
      <w:r>
        <w:rPr>
          <w:rFonts w:hint="eastAsia" w:ascii="方正黑体_GBK" w:hAnsi="方正黑体_GBK" w:eastAsia="方正黑体_GBK" w:cs="方正黑体_GBK"/>
          <w:b w:val="0"/>
          <w:bCs w:val="0"/>
          <w:sz w:val="28"/>
          <w:szCs w:val="28"/>
          <w:lang w:val="en-US" w:eastAsia="zh-CN"/>
        </w:rPr>
        <w:t>8</w:t>
      </w:r>
      <w:r>
        <w:rPr>
          <w:rFonts w:hint="eastAsia" w:ascii="方正黑体_GBK" w:hAnsi="方正黑体_GBK" w:eastAsia="方正黑体_GBK" w:cs="方正黑体_GBK"/>
          <w:b w:val="0"/>
          <w:bCs w:val="0"/>
          <w:sz w:val="28"/>
          <w:szCs w:val="28"/>
        </w:rPr>
        <w:t>月</w:t>
      </w:r>
    </w:p>
    <w:p>
      <w:pPr>
        <w:spacing w:before="120" w:after="120" w:line="360" w:lineRule="auto"/>
        <w:jc w:val="left"/>
        <w:rPr>
          <w:rFonts w:hint="eastAsia" w:ascii="Arial" w:hAnsi="Arial"/>
          <w:sz w:val="24"/>
          <w:szCs w:val="24"/>
          <w:u w:val="single"/>
        </w:rPr>
      </w:pPr>
      <w:r>
        <w:rPr>
          <w:rFonts w:hint="eastAsia" w:ascii="Arial" w:hAnsi="Arial"/>
          <w:sz w:val="24"/>
          <w:szCs w:val="24"/>
        </w:rPr>
        <w:t xml:space="preserve">                        </w:t>
      </w:r>
    </w:p>
    <w:p>
      <w:pPr>
        <w:spacing w:before="120" w:after="120" w:line="360" w:lineRule="auto"/>
        <w:jc w:val="center"/>
        <w:rPr>
          <w:rFonts w:hint="eastAsia" w:ascii="Arial" w:hAnsi="Arial"/>
          <w:sz w:val="24"/>
          <w:szCs w:val="24"/>
        </w:rPr>
      </w:pPr>
    </w:p>
    <w:p>
      <w:pPr>
        <w:keepNext w:val="0"/>
        <w:keepLines w:val="0"/>
        <w:pageBreakBefore w:val="0"/>
        <w:widowControl w:val="0"/>
        <w:spacing w:line="400" w:lineRule="exact"/>
        <w:jc w:val="center"/>
        <w:outlineLvl w:val="0"/>
        <w:rPr>
          <w:rFonts w:hint="eastAsia" w:ascii="方正黑体_GBK" w:hAnsi="方正黑体_GBK" w:eastAsia="方正黑体_GBK" w:cs="方正黑体_GBK"/>
          <w:b w:val="0"/>
          <w:bCs/>
          <w:sz w:val="28"/>
          <w:szCs w:val="28"/>
        </w:rPr>
        <w:sectPr>
          <w:headerReference r:id="rId3" w:type="default"/>
          <w:footerReference r:id="rId4" w:type="default"/>
          <w:footerReference r:id="rId5" w:type="even"/>
          <w:pgSz w:w="11906" w:h="16838"/>
          <w:pgMar w:top="1440" w:right="1800" w:bottom="1440" w:left="1800" w:header="851" w:footer="992" w:gutter="0"/>
          <w:cols w:space="1701" w:num="1"/>
          <w:docGrid w:linePitch="360" w:charSpace="0"/>
        </w:sectPr>
      </w:pPr>
      <w:bookmarkStart w:id="0" w:name="_Toc120614210"/>
      <w:bookmarkStart w:id="1" w:name="_Toc16938516"/>
      <w:bookmarkStart w:id="2" w:name="_Toc513029200"/>
      <w:bookmarkStart w:id="3" w:name="_Toc20823272"/>
      <w:bookmarkStart w:id="4" w:name="_Toc523127445"/>
      <w:bookmarkStart w:id="5" w:name="_Toc479757206"/>
    </w:p>
    <w:p>
      <w:pPr>
        <w:keepNext w:val="0"/>
        <w:keepLines w:val="0"/>
        <w:pageBreakBefore w:val="0"/>
        <w:widowControl w:val="0"/>
        <w:spacing w:line="400" w:lineRule="exact"/>
        <w:jc w:val="center"/>
        <w:outlineLvl w:val="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总  目  录</w:t>
      </w:r>
    </w:p>
    <w:p>
      <w:pPr>
        <w:keepNext w:val="0"/>
        <w:keepLines w:val="0"/>
        <w:pageBreakBefore w:val="0"/>
        <w:widowControl w:val="0"/>
        <w:spacing w:line="400" w:lineRule="exact"/>
        <w:jc w:val="center"/>
        <w:outlineLvl w:val="0"/>
        <w:rPr>
          <w:rFonts w:hint="eastAsia" w:ascii="方正黑体_GBK" w:hAnsi="方正黑体_GBK" w:eastAsia="方正黑体_GBK" w:cs="方正黑体_GBK"/>
          <w:b w:val="0"/>
          <w:bCs/>
          <w:sz w:val="28"/>
          <w:szCs w:val="28"/>
        </w:rPr>
      </w:pPr>
    </w:p>
    <w:p>
      <w:pPr>
        <w:keepNext w:val="0"/>
        <w:keepLines w:val="0"/>
        <w:pageBreakBefore w:val="0"/>
        <w:widowControl w:val="0"/>
        <w:spacing w:line="400" w:lineRule="exact"/>
        <w:jc w:val="center"/>
        <w:outlineLvl w:val="0"/>
        <w:rPr>
          <w:rFonts w:hint="eastAsia" w:ascii="方正黑体_GBK" w:hAnsi="方正黑体_GBK" w:eastAsia="方正黑体_GBK" w:cs="方正黑体_GBK"/>
          <w:b w:val="0"/>
          <w:bCs/>
          <w:sz w:val="28"/>
          <w:szCs w:val="28"/>
        </w:rPr>
      </w:pPr>
    </w:p>
    <w:p>
      <w:pPr>
        <w:keepNext w:val="0"/>
        <w:keepLines w:val="0"/>
        <w:pageBreakBefore w:val="0"/>
        <w:widowControl w:val="0"/>
        <w:spacing w:line="400" w:lineRule="exact"/>
        <w:jc w:val="center"/>
        <w:outlineLvl w:val="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磋商邀请……………………………………</w:t>
      </w:r>
      <w:r>
        <w:rPr>
          <w:rFonts w:hint="eastAsia" w:ascii="方正黑体_GBK" w:hAnsi="方正黑体_GBK" w:eastAsia="方正黑体_GBK" w:cs="方正黑体_GBK"/>
          <w:b w:val="0"/>
          <w:bCs/>
          <w:sz w:val="28"/>
          <w:szCs w:val="28"/>
          <w:lang w:val="en-US" w:eastAsia="zh-CN"/>
        </w:rPr>
        <w:t>2</w:t>
      </w:r>
      <w:r>
        <w:rPr>
          <w:rFonts w:hint="eastAsia" w:ascii="方正黑体_GBK" w:hAnsi="方正黑体_GBK" w:eastAsia="方正黑体_GBK" w:cs="方正黑体_GBK"/>
          <w:b w:val="0"/>
          <w:bCs/>
          <w:sz w:val="28"/>
          <w:szCs w:val="28"/>
        </w:rPr>
        <w:t xml:space="preserve"> </w:t>
      </w:r>
    </w:p>
    <w:p>
      <w:pPr>
        <w:keepNext w:val="0"/>
        <w:keepLines w:val="0"/>
        <w:pageBreakBefore w:val="0"/>
        <w:widowControl w:val="0"/>
        <w:spacing w:line="400" w:lineRule="exact"/>
        <w:jc w:val="center"/>
        <w:outlineLvl w:val="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供应商须知…………………………………</w:t>
      </w:r>
      <w:r>
        <w:rPr>
          <w:rFonts w:hint="eastAsia" w:ascii="方正黑体_GBK" w:hAnsi="方正黑体_GBK" w:eastAsia="方正黑体_GBK" w:cs="方正黑体_GBK"/>
          <w:b w:val="0"/>
          <w:bCs/>
          <w:sz w:val="28"/>
          <w:szCs w:val="28"/>
          <w:lang w:val="en-US" w:eastAsia="zh-CN"/>
        </w:rPr>
        <w:t>5</w:t>
      </w:r>
      <w:r>
        <w:rPr>
          <w:rFonts w:hint="eastAsia" w:ascii="方正黑体_GBK" w:hAnsi="方正黑体_GBK" w:eastAsia="方正黑体_GBK" w:cs="方正黑体_GBK"/>
          <w:b w:val="0"/>
          <w:bCs/>
          <w:sz w:val="28"/>
          <w:szCs w:val="28"/>
        </w:rPr>
        <w:t xml:space="preserve">  </w:t>
      </w:r>
    </w:p>
    <w:p>
      <w:pPr>
        <w:keepNext w:val="0"/>
        <w:keepLines w:val="0"/>
        <w:pageBreakBefore w:val="0"/>
        <w:widowControl w:val="0"/>
        <w:spacing w:line="400" w:lineRule="exact"/>
        <w:jc w:val="center"/>
        <w:outlineLvl w:val="0"/>
        <w:rPr>
          <w:rFonts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eastAsia="zh-CN"/>
        </w:rPr>
        <w:t>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合同文本……………………………………</w:t>
      </w:r>
      <w:r>
        <w:rPr>
          <w:rFonts w:hint="eastAsia" w:ascii="方正黑体_GBK" w:hAnsi="方正黑体_GBK" w:eastAsia="方正黑体_GBK" w:cs="方正黑体_GBK"/>
          <w:b w:val="0"/>
          <w:bCs/>
          <w:sz w:val="28"/>
          <w:szCs w:val="28"/>
          <w:lang w:val="en-US" w:eastAsia="zh-CN"/>
        </w:rPr>
        <w:t>17</w:t>
      </w:r>
    </w:p>
    <w:p>
      <w:pPr>
        <w:keepNext w:val="0"/>
        <w:keepLines w:val="0"/>
        <w:pageBreakBefore w:val="0"/>
        <w:widowControl w:val="0"/>
        <w:spacing w:line="400" w:lineRule="exact"/>
        <w:jc w:val="center"/>
        <w:outlineLvl w:val="0"/>
        <w:rPr>
          <w:rFonts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eastAsia="zh-CN"/>
        </w:rPr>
        <w:t>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采购需求……………………………………</w:t>
      </w:r>
      <w:r>
        <w:rPr>
          <w:rFonts w:hint="eastAsia" w:ascii="方正黑体_GBK" w:hAnsi="方正黑体_GBK" w:eastAsia="方正黑体_GBK" w:cs="方正黑体_GBK"/>
          <w:b w:val="0"/>
          <w:bCs/>
          <w:sz w:val="28"/>
          <w:szCs w:val="28"/>
          <w:lang w:val="en-US" w:eastAsia="zh-CN"/>
        </w:rPr>
        <w:t>22</w:t>
      </w:r>
    </w:p>
    <w:p>
      <w:pPr>
        <w:keepNext w:val="0"/>
        <w:keepLines w:val="0"/>
        <w:pageBreakBefore w:val="0"/>
        <w:widowControl w:val="0"/>
        <w:spacing w:line="400" w:lineRule="exact"/>
        <w:jc w:val="center"/>
        <w:outlineLvl w:val="0"/>
        <w:rPr>
          <w:rFonts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eastAsia="zh-CN"/>
        </w:rPr>
        <w:t>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评审方法与评审标准………………………</w:t>
      </w:r>
      <w:r>
        <w:rPr>
          <w:rFonts w:hint="eastAsia" w:ascii="方正黑体_GBK" w:hAnsi="方正黑体_GBK" w:eastAsia="方正黑体_GBK" w:cs="方正黑体_GBK"/>
          <w:b w:val="0"/>
          <w:bCs/>
          <w:sz w:val="28"/>
          <w:szCs w:val="28"/>
          <w:lang w:val="en-US" w:eastAsia="zh-CN"/>
        </w:rPr>
        <w:t>38</w:t>
      </w:r>
    </w:p>
    <w:p>
      <w:pPr>
        <w:keepNext w:val="0"/>
        <w:keepLines w:val="0"/>
        <w:pageBreakBefore w:val="0"/>
        <w:widowControl w:val="0"/>
        <w:spacing w:line="400" w:lineRule="exact"/>
        <w:jc w:val="center"/>
        <w:outlineLvl w:val="0"/>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eastAsia="zh-CN"/>
        </w:rPr>
        <w:t>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响应文件格式………………………………4</w:t>
      </w:r>
      <w:r>
        <w:rPr>
          <w:rFonts w:hint="eastAsia" w:ascii="方正黑体_GBK" w:hAnsi="方正黑体_GBK" w:eastAsia="方正黑体_GBK" w:cs="方正黑体_GBK"/>
          <w:b w:val="0"/>
          <w:bCs/>
          <w:sz w:val="28"/>
          <w:szCs w:val="28"/>
          <w:lang w:val="en-US" w:eastAsia="zh-CN"/>
        </w:rPr>
        <w:t>4</w:t>
      </w:r>
    </w:p>
    <w:p>
      <w:pPr>
        <w:numPr>
          <w:ilvl w:val="0"/>
          <w:numId w:val="0"/>
        </w:numPr>
        <w:spacing w:line="480" w:lineRule="auto"/>
        <w:outlineLvl w:val="0"/>
        <w:rPr>
          <w:rFonts w:hint="eastAsia" w:ascii="黑体" w:hAnsi="Showcard Gothic" w:eastAsia="黑体"/>
          <w:sz w:val="36"/>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rPr>
      </w:pPr>
    </w:p>
    <w:p>
      <w:pPr>
        <w:rPr>
          <w:rFonts w:hint="eastAsia" w:ascii="Times New Roman" w:hAnsi="Times New Roman"/>
        </w:rPr>
      </w:pPr>
    </w:p>
    <w:p>
      <w:pPr>
        <w:rPr>
          <w:rFonts w:hint="eastAsia" w:ascii="Times New Roman" w:hAnsi="Times New Roman"/>
        </w:rPr>
      </w:pPr>
    </w:p>
    <w:p>
      <w:pPr>
        <w:rPr>
          <w:rFonts w:hint="eastAsia" w:ascii="Times New Roman" w:hAnsi="Times New Roman"/>
        </w:rPr>
      </w:pPr>
    </w:p>
    <w:p>
      <w:pPr>
        <w:rPr>
          <w:rFonts w:hint="eastAsia" w:ascii="Times New Roman" w:hAnsi="Times New Roman"/>
        </w:rPr>
      </w:pPr>
    </w:p>
    <w:p>
      <w:pPr>
        <w:rPr>
          <w:rFonts w:hint="eastAsia" w:ascii="Times New Roman" w:hAnsi="Times New Roman"/>
        </w:rPr>
      </w:pPr>
    </w:p>
    <w:p>
      <w:pPr>
        <w:rPr>
          <w:rFonts w:hint="eastAsia" w:ascii="Times New Roman" w:hAnsi="Times New Roman"/>
        </w:rPr>
      </w:pPr>
    </w:p>
    <w:p>
      <w:pPr>
        <w:rPr>
          <w:rFonts w:hint="eastAsia" w:ascii="Times New Roman" w:hAnsi="Times New Roman"/>
        </w:rPr>
      </w:pPr>
    </w:p>
    <w:p>
      <w:pPr>
        <w:rPr>
          <w:rFonts w:hint="eastAsia" w:ascii="Times New Roman" w:hAnsi="Times New Roman"/>
        </w:rPr>
      </w:pPr>
    </w:p>
    <w:p>
      <w:pPr>
        <w:rPr>
          <w:rFonts w:hint="eastAsia" w:ascii="Times New Roman" w:hAnsi="Times New Roman"/>
          <w:szCs w:val="21"/>
        </w:rPr>
      </w:pPr>
    </w:p>
    <w:p>
      <w:pPr>
        <w:rPr>
          <w:rFonts w:hint="eastAsia" w:ascii="Times New Roman" w:hAnsi="Times New Roman"/>
          <w:szCs w:val="21"/>
        </w:rPr>
      </w:pPr>
    </w:p>
    <w:p>
      <w:pPr>
        <w:rPr>
          <w:rFonts w:hint="eastAsia" w:ascii="Times New Roman" w:hAnsi="Times New Roman"/>
          <w:szCs w:val="21"/>
        </w:rPr>
      </w:pPr>
    </w:p>
    <w:bookmarkEnd w:id="0"/>
    <w:p>
      <w:pPr>
        <w:rPr>
          <w:rFonts w:hint="eastAsia" w:ascii="Times New Roman" w:hAnsi="Times New Roman"/>
          <w:szCs w:val="21"/>
        </w:rPr>
      </w:pPr>
    </w:p>
    <w:p>
      <w:pPr>
        <w:keepNext/>
        <w:keepLines w:val="0"/>
        <w:pageBreakBefore w:val="0"/>
        <w:widowControl w:val="0"/>
        <w:spacing w:line="400" w:lineRule="exact"/>
        <w:jc w:val="center"/>
        <w:outlineLvl w:val="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第一章  磋商邀请</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受江苏省产品质量监督检验研究院的委托，江苏省政府采购中心就大型仪器智慧管理与共享服务平台二期项目(JSZC-320000-SCZX-C2026-0396)项目进行竞争性磋商采购，欢迎符合条件的供应商参加磋商。</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项目概况</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大型仪器智慧管理与共享服务平台二期项目</w:t>
      </w:r>
      <w:r>
        <w:rPr>
          <w:rFonts w:hint="eastAsia" w:ascii="方正仿宋_GBK" w:hAnsi="方正仿宋_GBK" w:eastAsia="方正仿宋_GBK" w:cs="方正仿宋_GBK"/>
          <w:sz w:val="28"/>
          <w:szCs w:val="28"/>
        </w:rPr>
        <w:t>竞争性磋商项目的潜在供应商可在</w:t>
      </w:r>
      <w:r>
        <w:rPr>
          <w:rFonts w:hint="eastAsia" w:ascii="方正仿宋_GBK" w:hAnsi="方正仿宋_GBK" w:eastAsia="方正仿宋_GBK" w:cs="方正仿宋_GBK"/>
          <w:sz w:val="28"/>
          <w:szCs w:val="28"/>
          <w:u w:val="single"/>
        </w:rPr>
        <w:t>“江苏政府采购网”自行免费下载</w:t>
      </w:r>
      <w:r>
        <w:rPr>
          <w:rFonts w:hint="eastAsia" w:ascii="方正仿宋_GBK" w:hAnsi="方正仿宋_GBK" w:eastAsia="方正仿宋_GBK" w:cs="方正仿宋_GBK"/>
          <w:sz w:val="28"/>
          <w:szCs w:val="28"/>
        </w:rPr>
        <w:t>磋商文件，并于</w:t>
      </w:r>
      <w:r>
        <w:rPr>
          <w:rFonts w:hint="eastAsia" w:ascii="Times New Roman" w:hAnsi="Times New Roman" w:eastAsia="方正黑体_GBK" w:cs="Times New Roman"/>
          <w:b w:val="0"/>
          <w:bCs w:val="0"/>
          <w:color w:val="000000"/>
          <w:sz w:val="28"/>
          <w:szCs w:val="28"/>
          <w:lang w:val="en-US" w:eastAsia="zh-CN"/>
        </w:rPr>
        <w:t>2026</w:t>
      </w:r>
      <w:r>
        <w:rPr>
          <w:rFonts w:hint="eastAsia" w:ascii="方正仿宋_GBK" w:hAnsi="方正仿宋_GBK" w:eastAsia="方正仿宋_GBK" w:cs="方正仿宋_GBK"/>
          <w:bCs/>
          <w:color w:val="000000"/>
          <w:sz w:val="28"/>
          <w:szCs w:val="28"/>
          <w:u w:val="none"/>
        </w:rPr>
        <w:t>年</w:t>
      </w:r>
      <w:r>
        <w:rPr>
          <w:rFonts w:hint="eastAsia" w:ascii="Times New Roman" w:hAnsi="Times New Roman" w:eastAsia="方正黑体_GBK" w:cs="Times New Roman"/>
          <w:b w:val="0"/>
          <w:bCs w:val="0"/>
          <w:color w:val="000000" w:themeColor="text1"/>
          <w:sz w:val="28"/>
          <w:szCs w:val="28"/>
          <w:lang w:val="en-US" w:eastAsia="zh-CN"/>
        </w:rPr>
        <w:t>9</w:t>
      </w:r>
      <w:r>
        <w:rPr>
          <w:rFonts w:hint="eastAsia" w:ascii="方正仿宋_GBK" w:hAnsi="方正仿宋_GBK" w:eastAsia="方正仿宋_GBK" w:cs="方正仿宋_GBK"/>
          <w:bCs/>
          <w:color w:val="000000" w:themeColor="text1"/>
          <w:sz w:val="28"/>
          <w:szCs w:val="28"/>
          <w:u w:val="none"/>
        </w:rPr>
        <w:t>月1日9</w:t>
      </w:r>
      <w:r>
        <w:rPr>
          <w:rFonts w:hint="eastAsia" w:ascii="方正仿宋_GBK" w:hAnsi="方正仿宋_GBK" w:eastAsia="方正仿宋_GBK" w:cs="方正仿宋_GBK"/>
          <w:bCs/>
          <w:color w:val="000000" w:themeColor="text1"/>
          <w:sz w:val="28"/>
          <w:szCs w:val="28"/>
          <w:u w:val="none"/>
          <w:lang w:val="en-US" w:eastAsia="zh-CN"/>
        </w:rPr>
        <w:t>时30</w:t>
      </w:r>
      <w:r>
        <w:rPr>
          <w:rFonts w:hint="eastAsia" w:ascii="方正仿宋_GBK" w:hAnsi="方正仿宋_GBK" w:eastAsia="方正仿宋_GBK" w:cs="方正仿宋_GBK"/>
          <w:bCs/>
          <w:color w:val="000000" w:themeColor="text1"/>
          <w:sz w:val="28"/>
          <w:szCs w:val="28"/>
          <w:u w:val="none"/>
        </w:rPr>
        <w:t>分</w:t>
      </w:r>
      <w:r>
        <w:rPr>
          <w:rFonts w:hint="eastAsia" w:ascii="方正仿宋_GBK" w:hAnsi="方正仿宋_GBK" w:eastAsia="方正仿宋_GBK" w:cs="方正仿宋_GBK"/>
          <w:bCs/>
          <w:sz w:val="28"/>
          <w:szCs w:val="28"/>
          <w:u w:val="none"/>
        </w:rPr>
        <w:t>（北京时间）</w:t>
      </w:r>
      <w:r>
        <w:rPr>
          <w:rFonts w:hint="eastAsia" w:ascii="方正仿宋_GBK" w:hAnsi="方正仿宋_GBK" w:eastAsia="方正仿宋_GBK" w:cs="方正仿宋_GBK"/>
          <w:bCs/>
          <w:sz w:val="28"/>
          <w:szCs w:val="28"/>
        </w:rPr>
        <w:t>前递交响应文件</w:t>
      </w:r>
      <w:r>
        <w:rPr>
          <w:rFonts w:hint="eastAsia" w:ascii="方正仿宋_GBK" w:hAnsi="方正仿宋_GBK" w:eastAsia="方正仿宋_GBK" w:cs="方正仿宋_GBK"/>
          <w:sz w:val="28"/>
          <w:szCs w:val="28"/>
        </w:rPr>
        <w:t>。</w:t>
      </w:r>
    </w:p>
    <w:p>
      <w:pPr>
        <w:keepNext/>
        <w:keepLines/>
        <w:pageBreakBefore w:val="0"/>
        <w:widowControl w:val="0"/>
        <w:spacing w:before="156" w:after="156" w:line="400" w:lineRule="exact"/>
        <w:ind w:firstLine="560"/>
        <w:outlineLvl w:val="2"/>
        <w:rPr>
          <w:rFonts w:hint="eastAsia" w:ascii="方正黑体_GBK" w:hAnsi="方正黑体_GBK" w:eastAsia="方正黑体_GBK" w:cs="方正黑体_GBK"/>
          <w:b w:val="0"/>
          <w:bCs w:val="0"/>
          <w:sz w:val="28"/>
          <w:szCs w:val="28"/>
        </w:rPr>
      </w:pPr>
      <w:bookmarkStart w:id="6" w:name="_Toc35393790"/>
      <w:bookmarkStart w:id="7" w:name="_Toc28359002"/>
      <w:bookmarkStart w:id="8" w:name="_Toc35393621"/>
      <w:bookmarkStart w:id="9" w:name="_Toc28359079"/>
      <w:bookmarkStart w:id="10" w:name="_Toc38985263"/>
      <w:bookmarkStart w:id="11" w:name="_Hlk24379207"/>
      <w:r>
        <w:rPr>
          <w:rFonts w:hint="eastAsia" w:ascii="方正黑体_GBK" w:hAnsi="方正黑体_GBK" w:eastAsia="方正黑体_GBK" w:cs="方正黑体_GBK"/>
          <w:b w:val="0"/>
          <w:bCs w:val="0"/>
          <w:sz w:val="28"/>
          <w:szCs w:val="28"/>
        </w:rPr>
        <w:t>一、项目基本情况</w:t>
      </w:r>
      <w:bookmarkEnd w:id="6"/>
      <w:bookmarkEnd w:id="7"/>
      <w:bookmarkEnd w:id="8"/>
      <w:bookmarkEnd w:id="9"/>
      <w:bookmarkEnd w:id="10"/>
    </w:p>
    <w:p>
      <w:pPr>
        <w:keepNext w:val="0"/>
        <w:keepLines w:val="0"/>
        <w:pageBreakBefore w:val="0"/>
        <w:widowControl w:val="0"/>
        <w:spacing w:line="400" w:lineRule="exact"/>
        <w:ind w:firstLine="560"/>
        <w:rPr>
          <w:rFonts w:hint="eastAsia" w:ascii="Times New Roman" w:hAnsi="Times New Roman" w:eastAsia="方正黑体_GBK" w:cs="Times New Roman"/>
          <w:sz w:val="28"/>
          <w:szCs w:val="28"/>
        </w:rPr>
      </w:pP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lang w:eastAsia="zh-CN"/>
        </w:rPr>
        <w:t>采购编号</w:t>
      </w:r>
      <w:r>
        <w:rPr>
          <w:rFonts w:hint="eastAsia" w:ascii="方正仿宋_GBK" w:hAnsi="方正仿宋_GBK" w:eastAsia="方正仿宋_GBK" w:cs="方正仿宋_GBK"/>
          <w:sz w:val="28"/>
          <w:szCs w:val="28"/>
        </w:rPr>
        <w:t>：</w:t>
      </w:r>
      <w:r>
        <w:rPr>
          <w:rFonts w:hint="eastAsia" w:ascii="Times New Roman" w:hAnsi="Times New Roman" w:eastAsia="方正黑体_GBK" w:cs="Times New Roman"/>
          <w:sz w:val="28"/>
          <w:szCs w:val="28"/>
        </w:rPr>
        <w:t>JSZC-320000-SCZX-C2026-0396</w:t>
      </w:r>
    </w:p>
    <w:p>
      <w:pPr>
        <w:keepNext w:val="0"/>
        <w:keepLines w:val="0"/>
        <w:pageBreakBefore w:val="0"/>
        <w:widowControl w:val="0"/>
        <w:spacing w:line="400" w:lineRule="exact"/>
        <w:ind w:firstLine="560"/>
        <w:rPr>
          <w:rFonts w:hint="eastAsia" w:ascii="Times New Roman" w:hAnsi="Times New Roman" w:eastAsia="方正黑体_GBK" w:cs="Times New Roman"/>
          <w:b w:val="0"/>
          <w:bCs w:val="0"/>
          <w:sz w:val="28"/>
          <w:szCs w:val="28"/>
          <w:lang w:eastAsia="zh-CN"/>
        </w:rPr>
      </w:pPr>
      <w:r>
        <w:rPr>
          <w:rFonts w:hint="eastAsia" w:ascii="方正仿宋_GBK" w:hAnsi="方正仿宋_GBK" w:eastAsia="方正仿宋_GBK" w:cs="方正仿宋_GBK"/>
          <w:sz w:val="28"/>
          <w:szCs w:val="28"/>
        </w:rPr>
        <w:t>2.项目名称：</w:t>
      </w:r>
      <w:bookmarkEnd w:id="11"/>
      <w:r>
        <w:rPr>
          <w:rFonts w:hint="eastAsia" w:ascii="Times New Roman" w:hAnsi="Times New Roman" w:eastAsia="方正黑体_GBK" w:cs="Times New Roman"/>
          <w:b w:val="0"/>
          <w:bCs w:val="0"/>
          <w:sz w:val="28"/>
          <w:szCs w:val="28"/>
          <w:lang w:eastAsia="zh-CN"/>
        </w:rPr>
        <w:t>大型仪器智慧管理与共享服务平台二期项目</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3.预算金额</w:t>
      </w:r>
    </w:p>
    <w:tbl>
      <w:tblPr>
        <w:tblStyle w:val="2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4"/>
        <w:gridCol w:w="32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4"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采购</w:t>
            </w:r>
          </w:p>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包号</w:t>
            </w:r>
          </w:p>
        </w:tc>
        <w:tc>
          <w:tcPr>
            <w:tcW w:w="3250"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预算金额</w:t>
            </w:r>
          </w:p>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（人民币：万元）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54"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1</w:t>
            </w:r>
          </w:p>
        </w:tc>
        <w:tc>
          <w:tcPr>
            <w:tcW w:w="3250" w:type="dxa"/>
            <w:noWrap w:val="0"/>
            <w:vAlign w:val="top"/>
          </w:tcPr>
          <w:p>
            <w:pPr>
              <w:keepNext w:val="0"/>
              <w:keepLines w:val="0"/>
              <w:pageBreakBefore w:val="0"/>
              <w:widowControl w:val="0"/>
              <w:spacing w:line="400" w:lineRule="exact"/>
              <w:ind w:firstLine="1120"/>
              <w:jc w:val="both"/>
              <w:rPr>
                <w:rFonts w:ascii="方正仿宋_GBK" w:hAnsi="方正仿宋_GBK" w:eastAsia="方正仿宋_GBK" w:cs="方正仿宋_GBK"/>
                <w:sz w:val="28"/>
                <w:szCs w:val="28"/>
                <w:lang w:val="en-US" w:eastAsia="zh-CN" w:bidi="ar-SA"/>
              </w:rPr>
            </w:pPr>
            <w:r>
              <w:rPr>
                <w:rFonts w:hint="eastAsia" w:ascii="Times New Roman" w:hAnsi="Times New Roman" w:eastAsia="方正黑体_GBK" w:cs="Times New Roman"/>
                <w:b w:val="0"/>
                <w:bCs w:val="0"/>
                <w:sz w:val="28"/>
                <w:szCs w:val="28"/>
                <w:lang w:val="en-US" w:eastAsia="zh-CN" w:bidi="ar-SA"/>
              </w:rPr>
              <w:t>30</w:t>
            </w:r>
          </w:p>
        </w:tc>
      </w:tr>
    </w:tbl>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4.最高限价</w:t>
      </w:r>
    </w:p>
    <w:tbl>
      <w:tblPr>
        <w:tblStyle w:val="2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8"/>
        <w:gridCol w:w="32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pPr>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采购</w:t>
            </w:r>
          </w:p>
          <w:p>
            <w:pPr>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包号</w:t>
            </w:r>
          </w:p>
        </w:tc>
        <w:tc>
          <w:tcPr>
            <w:tcW w:w="3233" w:type="dxa"/>
            <w:noWrap w:val="0"/>
            <w:vAlign w:val="top"/>
          </w:tcPr>
          <w:p>
            <w:pPr>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最高限价</w:t>
            </w:r>
          </w:p>
          <w:p>
            <w:pPr>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（人民币：万元）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8" w:type="dxa"/>
            <w:noWrap w:val="0"/>
            <w:vAlign w:val="top"/>
          </w:tcPr>
          <w:p>
            <w:pPr>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1</w:t>
            </w:r>
          </w:p>
        </w:tc>
        <w:tc>
          <w:tcPr>
            <w:tcW w:w="3233" w:type="dxa"/>
            <w:noWrap w:val="0"/>
            <w:vAlign w:val="top"/>
          </w:tcPr>
          <w:p>
            <w:pPr>
              <w:pageBreakBefore w:val="0"/>
              <w:widowControl w:val="0"/>
              <w:spacing w:line="400" w:lineRule="exact"/>
              <w:jc w:val="center"/>
              <w:rPr>
                <w:rFonts w:ascii="方正仿宋_GBK" w:hAnsi="方正仿宋_GBK" w:eastAsia="方正仿宋_GBK" w:cs="方正仿宋_GBK"/>
                <w:color w:val="000000"/>
                <w:sz w:val="28"/>
                <w:szCs w:val="28"/>
                <w:lang w:val="en-US" w:eastAsia="zh-CN" w:bidi="ar-SA"/>
              </w:rPr>
            </w:pPr>
            <w:r>
              <w:rPr>
                <w:rFonts w:hint="eastAsia" w:ascii="Times New Roman" w:hAnsi="Times New Roman" w:eastAsia="方正黑体_GBK" w:cs="Times New Roman"/>
                <w:b w:val="0"/>
                <w:bCs w:val="0"/>
                <w:sz w:val="28"/>
                <w:szCs w:val="28"/>
                <w:lang w:val="en-US" w:eastAsia="zh-CN" w:bidi="ar-SA"/>
              </w:rPr>
              <w:t>30</w:t>
            </w:r>
          </w:p>
        </w:tc>
      </w:tr>
    </w:tbl>
    <w:p>
      <w:pPr>
        <w:keepNext w:val="0"/>
        <w:keepLines w:val="0"/>
        <w:pageBreakBefore w:val="0"/>
        <w:widowControl w:val="0"/>
        <w:spacing w:line="400" w:lineRule="exact"/>
        <w:ind w:firstLine="560"/>
        <w:rPr>
          <w:rFonts w:ascii="宋体" w:hAnsi="宋体"/>
          <w:sz w:val="28"/>
          <w:szCs w:val="28"/>
          <w:u w:val="single"/>
        </w:rPr>
      </w:pPr>
      <w:r>
        <w:rPr>
          <w:rFonts w:hint="eastAsia" w:ascii="方正仿宋_GBK" w:hAnsi="方正仿宋_GBK" w:eastAsia="方正仿宋_GBK" w:cs="方正仿宋_GBK"/>
          <w:sz w:val="28"/>
          <w:szCs w:val="28"/>
          <w:lang w:val="en-US" w:eastAsia="zh-CN"/>
        </w:rPr>
        <w:t>5</w:t>
      </w:r>
      <w:r>
        <w:rPr>
          <w:rFonts w:hint="eastAsia" w:ascii="方正仿宋_GBK" w:hAnsi="方正仿宋_GBK" w:eastAsia="方正仿宋_GBK" w:cs="方正仿宋_GBK"/>
          <w:sz w:val="28"/>
          <w:szCs w:val="28"/>
        </w:rPr>
        <w:t>.采购需求（简介）：</w:t>
      </w:r>
      <w:r>
        <w:rPr>
          <w:rFonts w:hint="eastAsia" w:ascii="方正仿宋_GBK" w:hAnsi="方正仿宋_GBK" w:eastAsia="方正仿宋_GBK" w:cs="方正仿宋_GBK"/>
          <w:sz w:val="28"/>
          <w:szCs w:val="28"/>
          <w:lang w:eastAsia="zh-CN"/>
        </w:rPr>
        <w:t>大型仪器智慧管理与共享平台已完成基础平台搭建，实现了仪器信息管理、预约共享、信用评价等核心功能。本次升级在大型仪器智慧管理与共享服务平台一期建设成果基础上进行软件功能升级与扩展，并新增终端硬件覆盖，重点扩大仪器设备的接入范围与管理深度，提升共享服务的便利性和管理精细化水平，满足实验室对仪器设备管理的实时性、连续性及未来业务扩展需求。系统部署需兼容现有的平台系统，适配原有技术架构、部署环境及相关接口体系，确保无缝对接、协同工作和业务连续。</w:t>
      </w:r>
      <w:r>
        <w:rPr>
          <w:rFonts w:hint="eastAsia" w:ascii="方正仿宋_GBK" w:hAnsi="方正仿宋_GBK" w:eastAsia="方正仿宋_GBK" w:cs="方正仿宋_GBK"/>
          <w:sz w:val="28"/>
          <w:szCs w:val="28"/>
        </w:rPr>
        <w:t>（详细内容见本磋商文件第四章）</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6</w:t>
      </w:r>
      <w:r>
        <w:rPr>
          <w:rFonts w:hint="eastAsia" w:ascii="方正仿宋_GBK" w:hAnsi="方正仿宋_GBK" w:eastAsia="方正仿宋_GBK" w:cs="方正仿宋_GBK"/>
          <w:sz w:val="28"/>
          <w:szCs w:val="28"/>
        </w:rPr>
        <w:t>.合同履行期限：</w:t>
      </w:r>
      <w:r>
        <w:rPr>
          <w:rFonts w:hint="eastAsia" w:ascii="方正仿宋_GBK" w:hAnsi="方正仿宋_GBK" w:eastAsia="方正仿宋_GBK" w:cs="方正仿宋_GBK"/>
          <w:sz w:val="28"/>
          <w:szCs w:val="28"/>
          <w:lang w:eastAsia="zh-CN"/>
        </w:rPr>
        <w:t>合同签订之日起</w:t>
      </w:r>
      <w:r>
        <w:rPr>
          <w:rFonts w:hint="eastAsia" w:ascii="方正仿宋_GBK" w:hAnsi="方正仿宋_GBK" w:eastAsia="方正仿宋_GBK" w:cs="方正仿宋_GBK"/>
          <w:sz w:val="28"/>
          <w:szCs w:val="28"/>
          <w:lang w:val="en-US" w:eastAsia="zh-CN"/>
        </w:rPr>
        <w:t>3</w:t>
      </w:r>
      <w:r>
        <w:rPr>
          <w:rFonts w:hint="eastAsia" w:ascii="方正仿宋_GBK" w:hAnsi="方正仿宋_GBK" w:eastAsia="方正仿宋_GBK" w:cs="方正仿宋_GBK"/>
          <w:sz w:val="28"/>
          <w:szCs w:val="28"/>
          <w:lang w:eastAsia="zh-CN"/>
        </w:rPr>
        <w:t>个月内完成系统开发、部署安装、调试等工作。</w:t>
      </w:r>
    </w:p>
    <w:p>
      <w:pPr>
        <w:keepNext/>
        <w:keepLines/>
        <w:pageBreakBefore w:val="0"/>
        <w:widowControl w:val="0"/>
        <w:spacing w:before="156" w:after="156" w:line="400" w:lineRule="exact"/>
        <w:ind w:firstLine="560"/>
        <w:outlineLvl w:val="2"/>
        <w:rPr>
          <w:rFonts w:hint="eastAsia" w:ascii="方正黑体_GBK" w:hAnsi="方正黑体_GBK" w:eastAsia="方正黑体_GBK" w:cs="方正黑体_GBK"/>
          <w:b w:val="0"/>
          <w:bCs w:val="0"/>
          <w:sz w:val="28"/>
          <w:szCs w:val="28"/>
        </w:rPr>
      </w:pPr>
      <w:bookmarkStart w:id="12" w:name="_Toc28359080"/>
      <w:bookmarkStart w:id="13" w:name="_Toc35393791"/>
      <w:bookmarkStart w:id="14" w:name="_Toc35393622"/>
      <w:bookmarkStart w:id="15" w:name="_Toc38985264"/>
      <w:bookmarkStart w:id="16" w:name="_Toc28359003"/>
      <w:r>
        <w:rPr>
          <w:rFonts w:hint="eastAsia" w:ascii="方正黑体_GBK" w:hAnsi="方正黑体_GBK" w:eastAsia="方正黑体_GBK" w:cs="方正黑体_GBK"/>
          <w:b w:val="0"/>
          <w:bCs w:val="0"/>
          <w:sz w:val="28"/>
          <w:szCs w:val="28"/>
        </w:rPr>
        <w:t>二、申请人的资格要求：</w:t>
      </w:r>
      <w:bookmarkEnd w:id="12"/>
      <w:bookmarkEnd w:id="13"/>
      <w:bookmarkEnd w:id="14"/>
      <w:bookmarkEnd w:id="15"/>
      <w:bookmarkEnd w:id="16"/>
    </w:p>
    <w:p>
      <w:pPr>
        <w:keepNext w:val="0"/>
        <w:keepLines w:val="0"/>
        <w:pageBreakBefore w:val="0"/>
        <w:widowControl w:val="0"/>
        <w:spacing w:line="400" w:lineRule="exact"/>
        <w:ind w:firstLine="560"/>
        <w:rPr>
          <w:rFonts w:hint="eastAsia" w:ascii="方正楷体_GBK" w:hAnsi="方正楷体_GBK" w:eastAsia="方正楷体_GBK" w:cs="方正楷体_GBK"/>
          <w:sz w:val="28"/>
          <w:szCs w:val="28"/>
        </w:rPr>
      </w:pPr>
      <w:bookmarkStart w:id="17" w:name="_Toc35393792"/>
      <w:bookmarkStart w:id="18" w:name="_Toc35393623"/>
      <w:bookmarkStart w:id="19" w:name="_Toc28359004"/>
      <w:bookmarkStart w:id="20" w:name="_Toc28359081"/>
      <w:bookmarkStart w:id="21" w:name="_Toc38985265"/>
      <w:r>
        <w:rPr>
          <w:rFonts w:hint="eastAsia" w:ascii="方正楷体_GBK" w:hAnsi="方正楷体_GBK" w:eastAsia="方正楷体_GBK" w:cs="方正楷体_GBK"/>
          <w:sz w:val="28"/>
          <w:szCs w:val="28"/>
        </w:rPr>
        <w:t>（一）通用资格要求</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1.满足《中华人民共和国政府采购法》第二十二条规定，并提供下列材料：</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 法人或者其他组织的营业执照等证明文件，自然人的身份证明；</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1.2上一年度的财务状况报告（成立不满一年无需提供）；</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1.3依法缴纳税收和社会保障资金的相关材料（提供提交响应文件截止时间前一年内至少一个月依法缴纳税收及缴纳社会保障资金的证明材料。供应商依法享受缓缴、免缴税收、社会保障资金的提供证明材料。）；</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1.4具备履行合同所必需的设备和专业技术能力的书面声明；</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1.5参加政府采购活动前3年内在经营活动中没有重大违法记录的书面声明。</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2.在“信用中国”网站（</w:t>
      </w:r>
      <w:r>
        <w:rPr>
          <w:rFonts w:hint="eastAsia" w:ascii="Times New Roman" w:hAnsi="Times New Roman" w:eastAsia="方正黑体_GBK" w:cs="Times New Roman"/>
          <w:b w:val="0"/>
          <w:bCs w:val="0"/>
          <w:sz w:val="28"/>
          <w:szCs w:val="28"/>
        </w:rPr>
        <w:t>www.creditchina.gov.cn</w:t>
      </w:r>
      <w:r>
        <w:rPr>
          <w:rFonts w:hint="eastAsia" w:ascii="方正仿宋_GBK" w:hAnsi="方正仿宋_GBK" w:eastAsia="方正仿宋_GBK" w:cs="方正仿宋_GBK"/>
          <w:sz w:val="28"/>
          <w:szCs w:val="28"/>
        </w:rPr>
        <w:t>）查询，不存在被列入失信被执行人、重大税收违法案件当事人名单、政府采购严重失信行为记录名单及其他不符合《中华人民共和国政府采购法》第二十二条规定条件的信用记录情形。（响应文件中无需提供证明材料）</w:t>
      </w:r>
    </w:p>
    <w:p>
      <w:pPr>
        <w:keepNext w:val="0"/>
        <w:keepLines w:val="0"/>
        <w:pageBreakBefore w:val="0"/>
        <w:widowControl w:val="0"/>
        <w:spacing w:line="400" w:lineRule="exact"/>
        <w:ind w:left="559" w:firstLine="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3.落实政府采购政策需满足的资格要求：无</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4.联合体参与磋商</w:t>
      </w:r>
    </w:p>
    <w:tbl>
      <w:tblPr>
        <w:tblStyle w:val="2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5"/>
        <w:gridCol w:w="1575"/>
        <w:gridCol w:w="21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采购包号</w:t>
            </w:r>
          </w:p>
        </w:tc>
        <w:tc>
          <w:tcPr>
            <w:tcW w:w="157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是否接受联合体参与磋商</w:t>
            </w:r>
          </w:p>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（是/否）</w:t>
            </w:r>
          </w:p>
        </w:tc>
        <w:tc>
          <w:tcPr>
            <w:tcW w:w="2138"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该采购包中联合体成员</w:t>
            </w:r>
          </w:p>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数量上限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1</w:t>
            </w:r>
          </w:p>
        </w:tc>
        <w:tc>
          <w:tcPr>
            <w:tcW w:w="157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否</w:t>
            </w:r>
          </w:p>
        </w:tc>
        <w:tc>
          <w:tcPr>
            <w:tcW w:w="2138"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w:t>
            </w:r>
          </w:p>
        </w:tc>
      </w:tr>
    </w:tbl>
    <w:p>
      <w:pPr>
        <w:keepNext w:val="0"/>
        <w:keepLines w:val="0"/>
        <w:pageBreakBefore w:val="0"/>
        <w:widowControl w:val="0"/>
        <w:spacing w:line="400" w:lineRule="exact"/>
        <w:ind w:firstLine="56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（二）本项目的特定资格要求</w:t>
      </w:r>
    </w:p>
    <w:tbl>
      <w:tblPr>
        <w:tblStyle w:val="29"/>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9"/>
        <w:gridCol w:w="37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09"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采购包号</w:t>
            </w:r>
          </w:p>
        </w:tc>
        <w:tc>
          <w:tcPr>
            <w:tcW w:w="3709"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特定资格要求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9"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1</w:t>
            </w:r>
          </w:p>
        </w:tc>
        <w:tc>
          <w:tcPr>
            <w:tcW w:w="3709"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w:t>
            </w:r>
          </w:p>
        </w:tc>
      </w:tr>
    </w:tbl>
    <w:p>
      <w:pPr>
        <w:keepNext/>
        <w:keepLines/>
        <w:pageBreakBefore w:val="0"/>
        <w:widowControl w:val="0"/>
        <w:spacing w:before="156" w:after="156" w:line="400" w:lineRule="exact"/>
        <w:ind w:firstLine="560"/>
        <w:outlineLvl w:val="2"/>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三、获取磋商文件</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1.时间：自磋商文件公告发布之日起5个工作日。</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2.方式：在“江苏政府采购网”自行免费下载磋商文件。</w:t>
      </w:r>
      <w:bookmarkEnd w:id="17"/>
      <w:bookmarkEnd w:id="18"/>
      <w:bookmarkEnd w:id="19"/>
      <w:bookmarkEnd w:id="20"/>
      <w:bookmarkEnd w:id="21"/>
    </w:p>
    <w:p>
      <w:pPr>
        <w:keepNext/>
        <w:keepLines/>
        <w:pageBreakBefore w:val="0"/>
        <w:widowControl w:val="0"/>
        <w:spacing w:before="156" w:after="156" w:line="400" w:lineRule="exact"/>
        <w:ind w:firstLine="560"/>
        <w:outlineLvl w:val="2"/>
        <w:rPr>
          <w:rFonts w:hint="eastAsia" w:ascii="方正黑体_GBK" w:hAnsi="方正黑体_GBK" w:eastAsia="方正黑体_GBK" w:cs="方正黑体_GBK"/>
          <w:b w:val="0"/>
          <w:bCs w:val="0"/>
          <w:sz w:val="28"/>
          <w:szCs w:val="28"/>
        </w:rPr>
      </w:pPr>
      <w:bookmarkStart w:id="22" w:name="_Toc28359082"/>
      <w:bookmarkStart w:id="23" w:name="_Toc28359005"/>
      <w:bookmarkStart w:id="24" w:name="_Toc38985266"/>
      <w:bookmarkStart w:id="25" w:name="_Toc35393793"/>
      <w:bookmarkStart w:id="26" w:name="_Toc35393624"/>
      <w:r>
        <w:rPr>
          <w:rFonts w:hint="eastAsia" w:ascii="方正黑体_GBK" w:hAnsi="方正黑体_GBK" w:eastAsia="方正黑体_GBK" w:cs="方正黑体_GBK"/>
          <w:b w:val="0"/>
          <w:bCs w:val="0"/>
          <w:sz w:val="28"/>
          <w:szCs w:val="28"/>
        </w:rPr>
        <w:t>四、提交</w:t>
      </w:r>
      <w:bookmarkEnd w:id="22"/>
      <w:bookmarkEnd w:id="23"/>
      <w:r>
        <w:rPr>
          <w:rFonts w:hint="eastAsia" w:ascii="方正黑体_GBK" w:hAnsi="方正黑体_GBK" w:eastAsia="方正黑体_GBK" w:cs="方正黑体_GBK"/>
          <w:b w:val="0"/>
          <w:bCs w:val="0"/>
          <w:sz w:val="28"/>
          <w:szCs w:val="28"/>
        </w:rPr>
        <w:t>响应文件截止时间</w:t>
      </w:r>
      <w:bookmarkEnd w:id="24"/>
      <w:bookmarkEnd w:id="25"/>
      <w:bookmarkEnd w:id="26"/>
      <w:r>
        <w:rPr>
          <w:rFonts w:hint="eastAsia" w:ascii="方正黑体_GBK" w:hAnsi="方正黑体_GBK" w:eastAsia="方正黑体_GBK" w:cs="方正黑体_GBK"/>
          <w:b w:val="0"/>
          <w:bCs w:val="0"/>
          <w:sz w:val="28"/>
          <w:szCs w:val="28"/>
        </w:rPr>
        <w:t>、开启时间及地点</w:t>
      </w:r>
    </w:p>
    <w:p>
      <w:pPr>
        <w:keepNext w:val="0"/>
        <w:keepLines w:val="0"/>
        <w:pageBreakBefore w:val="0"/>
        <w:widowControl w:val="0"/>
        <w:spacing w:line="400" w:lineRule="exact"/>
        <w:ind w:firstLine="560"/>
        <w:rPr>
          <w:rFonts w:hint="eastAsia" w:ascii="方正仿宋_GBK" w:hAnsi="方正仿宋_GBK" w:eastAsia="方正仿宋_GBK" w:cs="方正仿宋_GBK"/>
          <w:bCs/>
          <w:color w:val="FF0000"/>
          <w:sz w:val="28"/>
          <w:szCs w:val="28"/>
        </w:rPr>
      </w:pPr>
      <w:r>
        <w:rPr>
          <w:rFonts w:hint="eastAsia" w:ascii="方正仿宋_GBK" w:hAnsi="方正仿宋_GBK" w:eastAsia="方正仿宋_GBK" w:cs="方正仿宋_GBK"/>
          <w:bCs/>
          <w:color w:val="000000"/>
          <w:sz w:val="28"/>
          <w:szCs w:val="28"/>
          <w:u w:val="none"/>
        </w:rPr>
        <w:t>1.</w:t>
      </w:r>
      <w:r>
        <w:rPr>
          <w:rFonts w:hint="eastAsia" w:ascii="Times New Roman" w:hAnsi="Times New Roman" w:eastAsia="方正黑体_GBK" w:cs="Times New Roman"/>
          <w:b w:val="0"/>
          <w:bCs w:val="0"/>
          <w:color w:val="000000"/>
          <w:sz w:val="28"/>
          <w:szCs w:val="28"/>
          <w:lang w:val="en-US" w:eastAsia="zh-CN"/>
        </w:rPr>
        <w:t>2026</w:t>
      </w:r>
      <w:r>
        <w:rPr>
          <w:rFonts w:hint="eastAsia" w:ascii="方正仿宋_GBK" w:hAnsi="方正仿宋_GBK" w:eastAsia="方正仿宋_GBK" w:cs="方正仿宋_GBK"/>
          <w:bCs/>
          <w:color w:val="000000"/>
          <w:sz w:val="28"/>
          <w:szCs w:val="28"/>
          <w:u w:val="none"/>
        </w:rPr>
        <w:t>年</w:t>
      </w:r>
      <w:r>
        <w:rPr>
          <w:rFonts w:hint="eastAsia" w:ascii="Times New Roman" w:hAnsi="Times New Roman" w:eastAsia="方正黑体_GBK" w:cs="Times New Roman"/>
          <w:b w:val="0"/>
          <w:bCs w:val="0"/>
          <w:color w:val="000000"/>
          <w:sz w:val="28"/>
          <w:szCs w:val="28"/>
          <w:lang w:val="en-US" w:eastAsia="zh-CN"/>
        </w:rPr>
        <w:t>9</w:t>
      </w:r>
      <w:r>
        <w:rPr>
          <w:rFonts w:hint="eastAsia" w:ascii="方正仿宋_GBK" w:hAnsi="方正仿宋_GBK" w:eastAsia="方正仿宋_GBK" w:cs="方正仿宋_GBK"/>
          <w:bCs/>
          <w:color w:val="000000"/>
          <w:sz w:val="28"/>
          <w:szCs w:val="28"/>
          <w:u w:val="none"/>
        </w:rPr>
        <w:t>月1日</w:t>
      </w:r>
      <w:r>
        <w:rPr>
          <w:rFonts w:hint="eastAsia" w:ascii="Times New Roman" w:hAnsi="Times New Roman" w:eastAsia="方正黑体_GBK" w:cs="Times New Roman"/>
          <w:b w:val="0"/>
          <w:bCs w:val="0"/>
          <w:color w:val="000000"/>
          <w:sz w:val="28"/>
          <w:szCs w:val="28"/>
          <w:lang w:val="en-US" w:eastAsia="zh-CN"/>
        </w:rPr>
        <w:t>9</w:t>
      </w:r>
      <w:r>
        <w:rPr>
          <w:rFonts w:hint="eastAsia" w:ascii="方正仿宋_GBK" w:hAnsi="方正仿宋_GBK" w:eastAsia="方正仿宋_GBK" w:cs="方正仿宋_GBK"/>
          <w:bCs/>
          <w:color w:val="000000"/>
          <w:sz w:val="28"/>
          <w:szCs w:val="28"/>
          <w:u w:val="none"/>
          <w:lang w:val="en-US" w:eastAsia="zh-CN"/>
        </w:rPr>
        <w:t>时30</w:t>
      </w:r>
      <w:r>
        <w:rPr>
          <w:rFonts w:hint="eastAsia" w:ascii="方正仿宋_GBK" w:hAnsi="方正仿宋_GBK" w:eastAsia="方正仿宋_GBK" w:cs="方正仿宋_GBK"/>
          <w:bCs/>
          <w:color w:val="000000"/>
          <w:sz w:val="28"/>
          <w:szCs w:val="28"/>
          <w:u w:val="none"/>
        </w:rPr>
        <w:t>分（北京时间）</w:t>
      </w:r>
      <w:r>
        <w:rPr>
          <w:rFonts w:hint="eastAsia" w:ascii="方正仿宋_GBK" w:hAnsi="方正仿宋_GBK" w:eastAsia="方正仿宋_GBK" w:cs="方正仿宋_GBK"/>
          <w:bCs/>
          <w:color w:val="000000"/>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2.地点：“苏采云”政府采购交易系统。</w:t>
      </w:r>
    </w:p>
    <w:p>
      <w:pPr>
        <w:keepNext/>
        <w:keepLines/>
        <w:pageBreakBefore w:val="0"/>
        <w:widowControl w:val="0"/>
        <w:spacing w:before="156" w:after="156" w:line="400" w:lineRule="exact"/>
        <w:ind w:firstLine="560"/>
        <w:outlineLvl w:val="2"/>
        <w:rPr>
          <w:rFonts w:hint="eastAsia" w:ascii="方正黑体_GBK" w:hAnsi="方正黑体_GBK" w:eastAsia="方正黑体_GBK" w:cs="方正黑体_GBK"/>
          <w:b w:val="0"/>
          <w:bCs w:val="0"/>
          <w:sz w:val="28"/>
          <w:szCs w:val="28"/>
        </w:rPr>
      </w:pPr>
      <w:bookmarkStart w:id="27" w:name="_Toc28359007"/>
      <w:bookmarkStart w:id="28" w:name="_Toc35393625"/>
      <w:bookmarkStart w:id="29" w:name="_Toc35393794"/>
      <w:bookmarkStart w:id="30" w:name="_Toc38985267"/>
      <w:bookmarkStart w:id="31" w:name="_Toc28359084"/>
      <w:r>
        <w:rPr>
          <w:rFonts w:hint="eastAsia" w:ascii="方正黑体_GBK" w:hAnsi="方正黑体_GBK" w:eastAsia="方正黑体_GBK" w:cs="方正黑体_GBK"/>
          <w:b w:val="0"/>
          <w:bCs w:val="0"/>
          <w:sz w:val="28"/>
          <w:szCs w:val="28"/>
        </w:rPr>
        <w:t>五、公告期限</w:t>
      </w:r>
      <w:bookmarkEnd w:id="27"/>
      <w:bookmarkEnd w:id="28"/>
      <w:bookmarkEnd w:id="29"/>
      <w:bookmarkEnd w:id="30"/>
      <w:bookmarkEnd w:id="31"/>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磋商公告期限为自本公告发</w:t>
      </w:r>
      <w:bookmarkStart w:id="190" w:name="_GoBack"/>
      <w:bookmarkEnd w:id="190"/>
      <w:r>
        <w:rPr>
          <w:rFonts w:hint="eastAsia" w:ascii="方正仿宋_GBK" w:hAnsi="方正仿宋_GBK" w:eastAsia="方正仿宋_GBK" w:cs="方正仿宋_GBK"/>
          <w:sz w:val="28"/>
          <w:szCs w:val="28"/>
        </w:rPr>
        <w:t>布之日起3个工作日，磋商文件公告期限为自本公告发布之日起5个工作日。</w:t>
      </w:r>
    </w:p>
    <w:p>
      <w:pPr>
        <w:keepNext/>
        <w:keepLines/>
        <w:pageBreakBefore w:val="0"/>
        <w:widowControl w:val="0"/>
        <w:spacing w:before="156" w:after="156" w:line="400" w:lineRule="exact"/>
        <w:ind w:firstLine="560"/>
        <w:outlineLvl w:val="2"/>
        <w:rPr>
          <w:rFonts w:hint="eastAsia" w:ascii="方正黑体_GBK" w:hAnsi="方正黑体_GBK" w:eastAsia="方正黑体_GBK" w:cs="方正黑体_GBK"/>
          <w:b w:val="0"/>
          <w:bCs w:val="0"/>
          <w:sz w:val="28"/>
          <w:szCs w:val="28"/>
        </w:rPr>
      </w:pPr>
      <w:bookmarkStart w:id="32" w:name="_Toc35393626"/>
      <w:bookmarkStart w:id="33" w:name="_Toc35393795"/>
      <w:bookmarkStart w:id="34" w:name="_Toc38985268"/>
      <w:r>
        <w:rPr>
          <w:rFonts w:hint="eastAsia" w:ascii="方正黑体_GBK" w:hAnsi="方正黑体_GBK" w:eastAsia="方正黑体_GBK" w:cs="方正黑体_GBK"/>
          <w:b w:val="0"/>
          <w:bCs w:val="0"/>
          <w:sz w:val="28"/>
          <w:szCs w:val="28"/>
        </w:rPr>
        <w:t>六、其他补充事宜</w:t>
      </w:r>
      <w:bookmarkEnd w:id="32"/>
      <w:bookmarkEnd w:id="33"/>
      <w:bookmarkEnd w:id="34"/>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无</w:t>
      </w:r>
    </w:p>
    <w:p>
      <w:pPr>
        <w:keepNext/>
        <w:keepLines/>
        <w:pageBreakBefore w:val="0"/>
        <w:widowControl w:val="0"/>
        <w:spacing w:before="156" w:after="156" w:line="400" w:lineRule="exact"/>
        <w:ind w:firstLine="560"/>
        <w:outlineLvl w:val="2"/>
        <w:rPr>
          <w:rFonts w:hint="eastAsia" w:ascii="方正黑体_GBK" w:hAnsi="方正黑体_GBK" w:eastAsia="方正黑体_GBK" w:cs="方正黑体_GBK"/>
          <w:b w:val="0"/>
          <w:bCs w:val="0"/>
          <w:sz w:val="28"/>
          <w:szCs w:val="28"/>
        </w:rPr>
      </w:pPr>
      <w:bookmarkStart w:id="35" w:name="_Toc35393796"/>
      <w:bookmarkStart w:id="36" w:name="_Toc38985269"/>
      <w:bookmarkStart w:id="37" w:name="_Toc28359085"/>
      <w:bookmarkStart w:id="38" w:name="_Toc35393627"/>
      <w:bookmarkStart w:id="39" w:name="_Toc28359008"/>
      <w:r>
        <w:rPr>
          <w:rFonts w:hint="eastAsia" w:ascii="方正黑体_GBK" w:hAnsi="方正黑体_GBK" w:eastAsia="方正黑体_GBK" w:cs="方正黑体_GBK"/>
          <w:b w:val="0"/>
          <w:bCs w:val="0"/>
          <w:sz w:val="28"/>
          <w:szCs w:val="28"/>
        </w:rPr>
        <w:t>七、本次磋商联系方式</w:t>
      </w:r>
      <w:bookmarkEnd w:id="35"/>
      <w:bookmarkEnd w:id="36"/>
      <w:bookmarkEnd w:id="37"/>
      <w:bookmarkEnd w:id="38"/>
      <w:bookmarkEnd w:id="39"/>
    </w:p>
    <w:p>
      <w:pPr>
        <w:keepNext w:val="0"/>
        <w:keepLines w:val="0"/>
        <w:pageBreakBefore w:val="0"/>
        <w:widowControl/>
        <w:spacing w:line="400" w:lineRule="exact"/>
        <w:jc w:val="left"/>
        <w:rPr>
          <w:rFonts w:hint="eastAsia" w:ascii="方正仿宋_GBK" w:hAnsi="方正仿宋_GBK" w:eastAsia="方正仿宋_GBK" w:cs="方正仿宋_GBK"/>
          <w:sz w:val="28"/>
          <w:szCs w:val="28"/>
        </w:rPr>
      </w:pPr>
      <w:r>
        <w:rPr>
          <w:rFonts w:hint="eastAsia" w:ascii="仿宋" w:hAnsi="仿宋" w:eastAsia="仿宋" w:cs="宋体"/>
          <w:sz w:val="28"/>
          <w:szCs w:val="28"/>
        </w:rPr>
        <w:t>　　</w:t>
      </w:r>
      <w:bookmarkStart w:id="40" w:name="_Toc28359010"/>
      <w:bookmarkStart w:id="41" w:name="_Toc28359087"/>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1.采购人信息</w:t>
      </w:r>
    </w:p>
    <w:p>
      <w:pPr>
        <w:keepNext w:val="0"/>
        <w:keepLines w:val="0"/>
        <w:pageBreakBefore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名 称：</w:t>
      </w:r>
      <w:r>
        <w:rPr>
          <w:rFonts w:hint="eastAsia" w:ascii="方正仿宋_GBK" w:hAnsi="方正仿宋_GBK" w:eastAsia="方正仿宋_GBK" w:cs="方正仿宋_GBK"/>
          <w:sz w:val="28"/>
          <w:szCs w:val="28"/>
          <w:u w:val="single"/>
        </w:rPr>
        <w:t>　江苏省产品质量监督检验研究院</w:t>
      </w:r>
    </w:p>
    <w:p>
      <w:pPr>
        <w:keepNext w:val="0"/>
        <w:keepLines w:val="0"/>
        <w:pageBreakBefore w:val="0"/>
        <w:spacing w:line="400" w:lineRule="exact"/>
        <w:ind w:firstLine="560"/>
        <w:jc w:val="lef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址：</w:t>
      </w:r>
      <w:r>
        <w:rPr>
          <w:rFonts w:hint="eastAsia" w:ascii="方正仿宋_GBK" w:hAnsi="方正仿宋_GBK" w:eastAsia="方正仿宋_GBK" w:cs="方正仿宋_GBK"/>
          <w:sz w:val="28"/>
          <w:szCs w:val="28"/>
          <w:u w:val="single"/>
        </w:rPr>
        <w:t>　南京市秦淮区光华东街5号　</w:t>
      </w:r>
    </w:p>
    <w:p>
      <w:pPr>
        <w:keepNext w:val="0"/>
        <w:keepLines w:val="0"/>
        <w:pageBreakBefore w:val="0"/>
        <w:spacing w:line="400" w:lineRule="exact"/>
        <w:ind w:firstLine="560"/>
        <w:jc w:val="lef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eastAsia="zh-CN"/>
        </w:rPr>
        <w:t>黄筱</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ind w:firstLine="560"/>
        <w:jc w:val="lef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联系方式：</w:t>
      </w:r>
      <w:r>
        <w:rPr>
          <w:rFonts w:hint="eastAsia" w:ascii="方正仿宋_GBK" w:hAnsi="方正仿宋_GBK" w:eastAsia="方正仿宋_GBK" w:cs="方正仿宋_GBK"/>
          <w:sz w:val="28"/>
          <w:szCs w:val="28"/>
          <w:u w:val="single"/>
        </w:rPr>
        <w:t>　025-84470230　</w:t>
      </w:r>
      <w:bookmarkStart w:id="42" w:name="_Toc28359009"/>
      <w:bookmarkStart w:id="43" w:name="_Toc28359086"/>
    </w:p>
    <w:p>
      <w:pPr>
        <w:keepNext w:val="0"/>
        <w:keepLines w:val="0"/>
        <w:pageBreakBefore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2.江苏省政府采购中心信息</w:t>
      </w:r>
      <w:bookmarkEnd w:id="42"/>
      <w:bookmarkEnd w:id="43"/>
    </w:p>
    <w:p>
      <w:pPr>
        <w:keepNext w:val="0"/>
        <w:keepLines w:val="0"/>
        <w:pageBreakBefore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地　址：</w:t>
      </w:r>
      <w:r>
        <w:rPr>
          <w:rFonts w:hint="eastAsia" w:ascii="方正仿宋_GBK" w:hAnsi="方正仿宋_GBK" w:eastAsia="方正仿宋_GBK" w:cs="方正仿宋_GBK"/>
          <w:sz w:val="28"/>
          <w:szCs w:val="28"/>
          <w:u w:val="single"/>
        </w:rPr>
        <w:t>　南京市汉中门大街145号</w:t>
      </w:r>
    </w:p>
    <w:p>
      <w:pPr>
        <w:keepNext w:val="0"/>
        <w:keepLines w:val="0"/>
        <w:pageBreakBefore w:val="0"/>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联系人：</w:t>
      </w:r>
      <w:r>
        <w:rPr>
          <w:rFonts w:hint="eastAsia" w:ascii="方正仿宋_GBK" w:hAnsi="方正仿宋_GBK" w:eastAsia="方正仿宋_GBK" w:cs="方正仿宋_GBK"/>
          <w:sz w:val="28"/>
          <w:szCs w:val="28"/>
          <w:u w:val="single"/>
        </w:rPr>
        <w:t xml:space="preserve">  蔡</w:t>
      </w:r>
      <w:r>
        <w:rPr>
          <w:rFonts w:hint="eastAsia" w:ascii="方正仿宋_GBK" w:hAnsi="方正仿宋_GBK" w:eastAsia="方正仿宋_GBK" w:cs="方正仿宋_GBK"/>
          <w:sz w:val="28"/>
          <w:szCs w:val="28"/>
          <w:u w:val="single"/>
          <w:lang w:eastAsia="zh-CN"/>
        </w:rPr>
        <w:t>昊</w:t>
      </w:r>
      <w:r>
        <w:rPr>
          <w:rFonts w:hint="eastAsia" w:ascii="方正仿宋_GBK" w:hAnsi="方正仿宋_GBK" w:eastAsia="方正仿宋_GBK" w:cs="方正仿宋_GBK"/>
          <w:sz w:val="28"/>
          <w:szCs w:val="28"/>
          <w:u w:val="single"/>
        </w:rPr>
        <w:t>、徐</w:t>
      </w:r>
      <w:r>
        <w:rPr>
          <w:rFonts w:hint="eastAsia" w:ascii="方正仿宋_GBK" w:hAnsi="方正仿宋_GBK" w:eastAsia="方正仿宋_GBK" w:cs="方正仿宋_GBK"/>
          <w:sz w:val="28"/>
          <w:szCs w:val="28"/>
          <w:u w:val="single"/>
          <w:lang w:eastAsia="zh-CN"/>
        </w:rPr>
        <w:t>晨义</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ind w:firstLine="560"/>
        <w:rPr>
          <w:rFonts w:hint="eastAsia" w:ascii="方正仿宋_GBK" w:hAnsi="方正仿宋_GBK" w:eastAsia="方正仿宋_GBK" w:cs="方正仿宋_GBK"/>
          <w:sz w:val="28"/>
          <w:szCs w:val="28"/>
          <w:highlight w:val="none"/>
          <w:shd w:val="clear" w:color="FFFFFF" w:fill="D9D9D9"/>
        </w:rPr>
      </w:pPr>
      <w:r>
        <w:rPr>
          <w:rFonts w:hint="eastAsia" w:ascii="方正仿宋_GBK" w:hAnsi="方正仿宋_GBK" w:eastAsia="方正仿宋_GBK" w:cs="方正仿宋_GBK"/>
          <w:sz w:val="28"/>
          <w:szCs w:val="28"/>
        </w:rPr>
        <w:t>联系方式：</w:t>
      </w:r>
      <w:r>
        <w:rPr>
          <w:rFonts w:hint="eastAsia" w:ascii="方正仿宋_GBK" w:hAnsi="方正仿宋_GBK" w:eastAsia="方正仿宋_GBK" w:cs="方正仿宋_GBK"/>
          <w:sz w:val="28"/>
          <w:szCs w:val="28"/>
          <w:u w:val="single"/>
        </w:rPr>
        <w:t>　025-83668561/025-83668521</w:t>
      </w:r>
      <w:bookmarkEnd w:id="40"/>
      <w:bookmarkEnd w:id="41"/>
    </w:p>
    <w:p>
      <w:pPr>
        <w:keepNext/>
        <w:keepLines/>
        <w:pageBreakBefore w:val="0"/>
        <w:widowControl w:val="0"/>
        <w:spacing w:before="156" w:after="156" w:line="400" w:lineRule="exact"/>
        <w:ind w:firstLine="560"/>
        <w:outlineLvl w:val="2"/>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八、其他</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http://www.ccgp-jiangsu.gov.cn/jiangsu/zlxz/ee/ee3a4bc5a3454aa2b0d9312230633ce9.html。</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 有关本次磋商的事项若存在变动或修改，敬请及时关注江苏省政府采购中心在“江苏政府采购网”发布的更正公告。</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 本次磋商不收取磋商保证金。</w:t>
      </w:r>
      <w:bookmarkEnd w:id="1"/>
      <w:bookmarkEnd w:id="2"/>
      <w:bookmarkEnd w:id="3"/>
      <w:bookmarkEnd w:id="4"/>
      <w:bookmarkEnd w:id="5"/>
    </w:p>
    <w:p>
      <w:pPr>
        <w:keepNext/>
        <w:keepLines/>
        <w:pageBreakBefore w:val="0"/>
        <w:widowControl w:val="0"/>
        <w:spacing w:before="260" w:after="260" w:line="400" w:lineRule="exact"/>
        <w:jc w:val="center"/>
        <w:outlineLvl w:val="1"/>
        <w:rPr>
          <w:rFonts w:hint="eastAsia" w:ascii="方正黑体_GBK" w:hAnsi="方正黑体_GBK" w:eastAsia="方正黑体_GBK" w:cs="方正黑体_GBK"/>
          <w:b w:val="0"/>
          <w:bCs w:val="0"/>
          <w:sz w:val="28"/>
          <w:szCs w:val="28"/>
        </w:rPr>
      </w:pPr>
      <w:bookmarkStart w:id="44" w:name="_Toc120614211"/>
      <w:bookmarkStart w:id="45" w:name="_Toc20823275"/>
      <w:bookmarkStart w:id="46" w:name="_Toc513029203"/>
      <w:bookmarkStart w:id="47" w:name="_Toc16938519"/>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供应商须知</w:t>
      </w:r>
      <w:bookmarkEnd w:id="45"/>
      <w:bookmarkEnd w:id="46"/>
      <w:bookmarkEnd w:id="47"/>
      <w:bookmarkEnd w:id="48"/>
    </w:p>
    <w:p>
      <w:pPr>
        <w:keepNext/>
        <w:keepLines/>
        <w:pageBreakBefore w:val="0"/>
        <w:widowControl w:val="0"/>
        <w:spacing w:before="260" w:after="260" w:line="400" w:lineRule="exact"/>
        <w:ind w:firstLine="560"/>
        <w:jc w:val="left"/>
        <w:outlineLvl w:val="1"/>
        <w:rPr>
          <w:rFonts w:hint="eastAsia" w:ascii="方正黑体_GBK" w:hAnsi="方正黑体_GBK" w:eastAsia="方正黑体_GBK" w:cs="方正黑体_GBK"/>
          <w:b w:val="0"/>
          <w:bCs w:val="0"/>
          <w:sz w:val="28"/>
          <w:szCs w:val="28"/>
        </w:rPr>
      </w:pPr>
      <w:bookmarkStart w:id="49" w:name="_Toc513029209"/>
      <w:bookmarkStart w:id="50" w:name="_Toc20823281"/>
      <w:bookmarkStart w:id="51" w:name="_Toc16938525"/>
      <w:bookmarkStart w:id="52" w:name="_Toc120614215"/>
      <w:r>
        <w:rPr>
          <w:rFonts w:hint="eastAsia" w:ascii="方正黑体_GBK" w:hAnsi="方正黑体_GBK" w:eastAsia="方正黑体_GBK" w:cs="方正黑体_GBK"/>
          <w:b w:val="0"/>
          <w:bCs w:val="0"/>
          <w:sz w:val="28"/>
          <w:szCs w:val="28"/>
        </w:rPr>
        <w:t>一、总则</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53" w:name="_Hlt16619475"/>
      <w:bookmarkEnd w:id="53"/>
      <w:bookmarkStart w:id="54" w:name="_Toc458694821"/>
      <w:bookmarkStart w:id="55" w:name="_Toc513029204"/>
      <w:bookmarkStart w:id="56" w:name="_Toc20823276"/>
      <w:bookmarkStart w:id="57" w:name="_Toc16938520"/>
      <w:r>
        <w:rPr>
          <w:rFonts w:hint="eastAsia" w:ascii="方正仿宋_GBK" w:hAnsi="方正仿宋_GBK" w:eastAsia="方正仿宋_GBK" w:cs="方正仿宋_GBK"/>
          <w:bCs/>
          <w:sz w:val="28"/>
          <w:szCs w:val="28"/>
        </w:rPr>
        <w:t>1</w:t>
      </w:r>
      <w:bookmarkEnd w:id="54"/>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采购方式</w:t>
      </w:r>
      <w:bookmarkEnd w:id="55"/>
      <w:bookmarkEnd w:id="56"/>
      <w:bookmarkEnd w:id="57"/>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 本次政府采购活动采取竞争性磋商(以下简称磋商)方式，本磋商文件仅适用于磋商公告中所述项目。</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58" w:name="_Toc513029205"/>
      <w:bookmarkStart w:id="59" w:name="_Toc16938521"/>
      <w:bookmarkStart w:id="60" w:name="_Toc20823277"/>
      <w:r>
        <w:rPr>
          <w:rFonts w:hint="eastAsia" w:ascii="方正仿宋_GBK" w:hAnsi="方正仿宋_GBK" w:eastAsia="方正仿宋_GBK" w:cs="方正仿宋_GBK"/>
          <w:bCs/>
          <w:sz w:val="28"/>
          <w:szCs w:val="28"/>
        </w:rPr>
        <w:t>2</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合格的</w:t>
      </w:r>
      <w:bookmarkEnd w:id="58"/>
      <w:bookmarkEnd w:id="59"/>
      <w:bookmarkEnd w:id="60"/>
      <w:r>
        <w:rPr>
          <w:rFonts w:hint="eastAsia" w:ascii="方正仿宋_GBK" w:hAnsi="方正仿宋_GBK" w:eastAsia="方正仿宋_GBK" w:cs="方正仿宋_GBK"/>
          <w:bCs/>
          <w:sz w:val="28"/>
          <w:szCs w:val="28"/>
        </w:rPr>
        <w:t>供应商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2.1满足磋商公告中供应商资格要求的规定。</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2.2 满足本磋商文件实质性要求的规定。</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eastAsia="zh-CN"/>
        </w:rPr>
      </w:pPr>
      <w:bookmarkStart w:id="61" w:name="_Toc513029206"/>
      <w:bookmarkStart w:id="62" w:name="_Toc20823278"/>
      <w:bookmarkStart w:id="63" w:name="_Toc16938522"/>
      <w:bookmarkStart w:id="64" w:name="_Toc462564067"/>
      <w:bookmarkStart w:id="65" w:name="_Toc513029207"/>
      <w:bookmarkStart w:id="66" w:name="_Toc16938523"/>
      <w:bookmarkStart w:id="67" w:name="_Toc20823279"/>
      <w:r>
        <w:rPr>
          <w:rFonts w:hint="eastAsia" w:ascii="方正仿宋_GBK" w:hAnsi="方正仿宋_GBK" w:eastAsia="方正仿宋_GBK" w:cs="方正仿宋_GBK"/>
          <w:bCs/>
          <w:sz w:val="28"/>
          <w:szCs w:val="28"/>
        </w:rPr>
        <w:t>3</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适用法律</w:t>
      </w:r>
      <w:bookmarkEnd w:id="61"/>
      <w:bookmarkEnd w:id="62"/>
      <w:bookmarkEnd w:id="63"/>
      <w:r>
        <w:rPr>
          <w:rFonts w:hint="eastAsia" w:ascii="方正仿宋_GBK" w:hAnsi="方正仿宋_GBK" w:eastAsia="方正仿宋_GBK" w:cs="方正仿宋_GBK"/>
          <w:bCs/>
          <w:sz w:val="28"/>
          <w:szCs w:val="28"/>
          <w:lang w:eastAsia="zh-CN"/>
        </w:rPr>
        <w:t>和标准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3.1本次</w:t>
      </w:r>
      <w:r>
        <w:rPr>
          <w:rFonts w:hint="eastAsia" w:ascii="方正仿宋_GBK" w:hAnsi="方正仿宋_GBK" w:eastAsia="方正仿宋_GBK" w:cs="方正仿宋_GBK"/>
          <w:bCs/>
          <w:sz w:val="28"/>
          <w:szCs w:val="28"/>
          <w:lang w:eastAsia="zh-CN"/>
        </w:rPr>
        <w:t>磋商</w:t>
      </w:r>
      <w:r>
        <w:rPr>
          <w:rFonts w:hint="eastAsia" w:ascii="方正仿宋_GBK" w:hAnsi="方正仿宋_GBK" w:eastAsia="方正仿宋_GBK" w:cs="方正仿宋_GBK"/>
          <w:bCs/>
          <w:sz w:val="28"/>
          <w:szCs w:val="28"/>
        </w:rPr>
        <w:t>及由此产生的合同受中华人民共和国有关的法律法规制约和保护。</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3.2在本项目政府采购活动过程中，如果所执行的标准有更新的，按照最新标准执行。</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磋商费用</w:t>
      </w:r>
      <w:bookmarkEnd w:id="64"/>
      <w:bookmarkEnd w:id="65"/>
      <w:bookmarkEnd w:id="66"/>
      <w:bookmarkEnd w:id="67"/>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4.1供应商应自行承担所有与参加本次磋商有关的费用，无论磋商过程中的做法和结果如何，江苏省政府采购中心（以下简称采购中心）在任何情况下均无义务和责任承担这些费用。</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4.2本次磋商采购中心和采购人不收取标书工本费与成交服务费。</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5</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磋商文件的约束力</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5.1供应商一旦参加本项目采购活动，即被认为接受了本磋商文件的规定和约束。</w:t>
      </w:r>
      <w:bookmarkEnd w:id="49"/>
      <w:bookmarkEnd w:id="50"/>
      <w:bookmarkEnd w:id="51"/>
      <w:bookmarkEnd w:id="52"/>
    </w:p>
    <w:p>
      <w:pPr>
        <w:keepNext/>
        <w:keepLines/>
        <w:pageBreakBefore w:val="0"/>
        <w:widowControl w:val="0"/>
        <w:spacing w:before="260" w:after="260" w:line="400" w:lineRule="exact"/>
        <w:ind w:firstLine="560"/>
        <w:jc w:val="left"/>
        <w:outlineLvl w:val="1"/>
        <w:rPr>
          <w:rFonts w:hint="eastAsia" w:ascii="方正黑体_GBK" w:hAnsi="方正黑体_GBK" w:eastAsia="方正黑体_GBK" w:cs="方正黑体_GBK"/>
          <w:b w:val="0"/>
          <w:bCs w:val="0"/>
          <w:sz w:val="28"/>
          <w:szCs w:val="28"/>
        </w:rPr>
      </w:pPr>
      <w:bookmarkStart w:id="68" w:name="_Toc462564072"/>
      <w:bookmarkStart w:id="69" w:name="_Toc120614216"/>
      <w:bookmarkStart w:id="70" w:name="_Toc16938529"/>
      <w:bookmarkStart w:id="71" w:name="_Toc20823285"/>
      <w:bookmarkStart w:id="72" w:name="_Toc513029213"/>
      <w:r>
        <w:rPr>
          <w:rFonts w:hint="eastAsia" w:ascii="方正黑体_GBK" w:hAnsi="方正黑体_GBK" w:eastAsia="方正黑体_GBK" w:cs="方正黑体_GBK"/>
          <w:b w:val="0"/>
          <w:bCs w:val="0"/>
          <w:sz w:val="28"/>
          <w:szCs w:val="28"/>
        </w:rPr>
        <w:t>二、磋商文件</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73" w:name="_Toc513029210"/>
      <w:bookmarkStart w:id="74" w:name="_Toc16938526"/>
      <w:bookmarkStart w:id="75" w:name="_Toc20823282"/>
      <w:r>
        <w:rPr>
          <w:rFonts w:hint="eastAsia" w:ascii="方正仿宋_GBK" w:hAnsi="方正仿宋_GBK" w:eastAsia="方正仿宋_GBK" w:cs="方正仿宋_GBK"/>
          <w:bCs/>
          <w:sz w:val="28"/>
          <w:szCs w:val="28"/>
        </w:rPr>
        <w:t>6</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磋商文件构成</w:t>
      </w:r>
      <w:bookmarkEnd w:id="73"/>
      <w:bookmarkEnd w:id="74"/>
      <w:bookmarkEnd w:id="75"/>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6.1磋商文件由以下部分组成：</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（1）磋商邀请</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（2）供应商须知</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（3）合同文本</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（4）采购需求</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（5）评审方法与评审标准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（6）响应文件格式</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请仔细检查磋商文件是否齐全，如有缺漏请立即与采购中心联系解决。</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76" w:name="_Toc16938528"/>
      <w:bookmarkStart w:id="77" w:name="_Toc513029212"/>
      <w:bookmarkStart w:id="78" w:name="_Toc20823284"/>
      <w:bookmarkStart w:id="79" w:name="_Toc462564071"/>
      <w:r>
        <w:rPr>
          <w:rFonts w:hint="eastAsia" w:ascii="方正仿宋_GBK" w:hAnsi="方正仿宋_GBK" w:eastAsia="方正仿宋_GBK" w:cs="方正仿宋_GBK"/>
          <w:bCs/>
          <w:sz w:val="28"/>
          <w:szCs w:val="28"/>
        </w:rPr>
        <w:t>7</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磋商文件的澄清和修改</w:t>
      </w:r>
      <w:bookmarkEnd w:id="76"/>
      <w:bookmarkEnd w:id="77"/>
      <w:bookmarkEnd w:id="78"/>
      <w:bookmarkEnd w:id="79"/>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7.2采购中心可以视采购项目的具体情况，组织供应商进行现场考察或召开磋商前答疑会，但不单独或分别组织只有一个供应商参加的现场考察和答疑会。</w:t>
      </w:r>
      <w:bookmarkEnd w:id="68"/>
      <w:bookmarkEnd w:id="69"/>
      <w:bookmarkEnd w:id="70"/>
      <w:bookmarkEnd w:id="71"/>
      <w:bookmarkEnd w:id="72"/>
    </w:p>
    <w:p>
      <w:pPr>
        <w:keepNext/>
        <w:keepLines/>
        <w:pageBreakBefore w:val="0"/>
        <w:widowControl w:val="0"/>
        <w:spacing w:before="260" w:after="260" w:line="400" w:lineRule="exact"/>
        <w:ind w:firstLine="560"/>
        <w:jc w:val="left"/>
        <w:outlineLvl w:val="1"/>
        <w:rPr>
          <w:rFonts w:hint="eastAsia" w:ascii="方正黑体_GBK" w:hAnsi="方正黑体_GBK" w:eastAsia="方正黑体_GBK" w:cs="方正黑体_GBK"/>
          <w:b w:val="0"/>
          <w:bCs w:val="0"/>
          <w:sz w:val="28"/>
          <w:szCs w:val="28"/>
        </w:rPr>
      </w:pPr>
      <w:bookmarkStart w:id="80" w:name="_Hlt26954852"/>
      <w:bookmarkEnd w:id="80"/>
      <w:bookmarkStart w:id="81" w:name="_Hlt26954739"/>
      <w:bookmarkEnd w:id="81"/>
      <w:bookmarkStart w:id="82" w:name="_Toc16938530"/>
      <w:bookmarkStart w:id="83" w:name="_Toc462564073"/>
      <w:bookmarkStart w:id="84" w:name="_Toc20823286"/>
      <w:bookmarkStart w:id="85" w:name="_Toc513029214"/>
      <w:bookmarkStart w:id="86" w:name="_Toc120614217"/>
      <w:bookmarkStart w:id="87" w:name="_Toc20823296"/>
      <w:bookmarkStart w:id="88" w:name="_Toc16938540"/>
      <w:bookmarkStart w:id="89" w:name="_Toc513029224"/>
      <w:r>
        <w:rPr>
          <w:rFonts w:hint="eastAsia" w:ascii="方正黑体_GBK" w:hAnsi="方正黑体_GBK" w:eastAsia="方正黑体_GBK" w:cs="方正黑体_GBK"/>
          <w:b w:val="0"/>
          <w:bCs w:val="0"/>
          <w:sz w:val="28"/>
          <w:szCs w:val="28"/>
        </w:rPr>
        <w:t>三、响应文件的编制</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8</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响应文件的语言及度量衡单位</w:t>
      </w:r>
      <w:bookmarkEnd w:id="82"/>
      <w:bookmarkEnd w:id="83"/>
      <w:bookmarkEnd w:id="84"/>
      <w:bookmarkEnd w:id="85"/>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8.1供应商提交的响应文件以及供应商与采购中心就有关磋商的所有来往通知、函件和文件均应使用简体中文。</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8.2 除技术性能另有规定外，响应文件所使用的度量衡单位，均须采用国家法定计量单位。</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90" w:name="_Toc462564074"/>
      <w:bookmarkStart w:id="91" w:name="_Toc16938531"/>
      <w:bookmarkStart w:id="92" w:name="_Toc513029215"/>
      <w:bookmarkStart w:id="93" w:name="_Toc20823287"/>
      <w:r>
        <w:rPr>
          <w:rFonts w:hint="eastAsia" w:ascii="方正仿宋_GBK" w:hAnsi="方正仿宋_GBK" w:eastAsia="方正仿宋_GBK" w:cs="方正仿宋_GBK"/>
          <w:bCs/>
          <w:sz w:val="28"/>
          <w:szCs w:val="28"/>
        </w:rPr>
        <w:t>9</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响应文件构成</w:t>
      </w:r>
      <w:bookmarkEnd w:id="90"/>
      <w:bookmarkEnd w:id="91"/>
      <w:bookmarkEnd w:id="92"/>
      <w:bookmarkEnd w:id="93"/>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9.1供应商编写的响应文件应包括资格证明文件、实质性要求响应及偏离表、分项报价表、技术要求响应及偏离表、商务要求响应及偏离表、其他证明文件、磋商响应函等部分。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9.2 如标书制作工具中格式和内容与“江苏政府采购网”发布的磋商文件不一致，请以“江苏政府采购网”发布的磋商文件为准。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94" w:name="_Hlt26954838"/>
      <w:bookmarkEnd w:id="94"/>
      <w:bookmarkStart w:id="95" w:name="_Hlt26670360"/>
      <w:bookmarkEnd w:id="95"/>
      <w:bookmarkStart w:id="96" w:name="_Hlt26668975"/>
      <w:bookmarkEnd w:id="96"/>
      <w:bookmarkStart w:id="97" w:name="_Toc14577354"/>
      <w:bookmarkStart w:id="98" w:name="_Toc513029216"/>
      <w:bookmarkStart w:id="99" w:name="_Toc49090507"/>
      <w:bookmarkStart w:id="100" w:name="_Toc513029219"/>
      <w:bookmarkStart w:id="101" w:name="_Toc49090509"/>
      <w:bookmarkStart w:id="102" w:name="_Toc14577357"/>
      <w:bookmarkStart w:id="103" w:name="_Toc49090508"/>
      <w:bookmarkStart w:id="104" w:name="_Toc14577355"/>
      <w:r>
        <w:rPr>
          <w:rFonts w:hint="eastAsia" w:ascii="方正仿宋_GBK" w:hAnsi="方正仿宋_GBK" w:eastAsia="方正仿宋_GBK" w:cs="方正仿宋_GBK"/>
          <w:bCs/>
          <w:sz w:val="28"/>
          <w:szCs w:val="28"/>
        </w:rPr>
        <w:t>10</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证明磋商响应标的符合磋商文件规定的文件</w:t>
      </w:r>
      <w:bookmarkEnd w:id="97"/>
      <w:bookmarkEnd w:id="98"/>
      <w:bookmarkEnd w:id="99"/>
      <w:bookmarkEnd w:id="100"/>
      <w:bookmarkEnd w:id="101"/>
      <w:bookmarkEnd w:id="102"/>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10.1供应商应按照磋商文件要求提交证明文件，证明其及磋商响应标的符合磋商文件规定。</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10.2磋商文件对证明文件无明确形式要求的，证明文件可以以文字资料、图纸和数据等形式提交。</w:t>
      </w:r>
      <w:bookmarkEnd w:id="103"/>
      <w:bookmarkEnd w:id="104"/>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分项报价表</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11.1供应商应按照磋商文件规定格式填报分项报价表。</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11.2磋商货币。响应文件中的单价和总价无特殊规定的采用人民币报价，以元为单位标注。磋商文件中另有规定的按规定执行。</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05" w:name="_Hlt26954848"/>
      <w:bookmarkEnd w:id="105"/>
      <w:bookmarkStart w:id="106" w:name="_Hlt26954731"/>
      <w:bookmarkEnd w:id="106"/>
      <w:bookmarkStart w:id="107" w:name="_Hlt26670486"/>
      <w:bookmarkEnd w:id="107"/>
      <w:bookmarkStart w:id="108" w:name="_Hlt26954846"/>
      <w:bookmarkEnd w:id="108"/>
      <w:bookmarkStart w:id="109" w:name="_Hlt26670482"/>
      <w:bookmarkEnd w:id="109"/>
      <w:r>
        <w:rPr>
          <w:rFonts w:hint="eastAsia" w:ascii="方正仿宋_GBK" w:hAnsi="方正仿宋_GBK" w:eastAsia="方正仿宋_GBK" w:cs="方正仿宋_GBK"/>
          <w:bCs/>
          <w:sz w:val="28"/>
          <w:szCs w:val="28"/>
        </w:rPr>
        <w:t>12</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技术要求响应及偏离表、商务要求响应及偏离表</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12.1供应商需对磋商文件中的技术要求与商务要求逐项作出响应或偏离，并说明原因。</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12.2供应商需按照磋商文件要求，在响应文件中提供与技术要求和商务要求相关的证明材料。</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服务承诺、培训计划、人员安排及其他</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13.1供应商需根据磋商文件要求提供有关售后服务的管理制度，售后服务机构的分布情况，售后服务人员的数量、素质、技术水平及售后服务的反应能力等。</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13.2供应商需根据磋商文件要求提供培训计划。</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13.3供应商需根据磋商文件要求提供</w:t>
      </w:r>
      <w:r>
        <w:rPr>
          <w:rFonts w:hint="eastAsia" w:ascii="方正仿宋_GBK" w:hAnsi="方正仿宋_GBK" w:eastAsia="方正仿宋_GBK" w:cs="方正仿宋_GBK"/>
          <w:bCs/>
          <w:sz w:val="28"/>
          <w:szCs w:val="28"/>
          <w:lang w:val="zh-CN"/>
        </w:rPr>
        <w:t>磋商响应标的的主要组成部分、功能设计、实现思路及关键技术等。</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10" w:name="_Toc49090510"/>
      <w:bookmarkStart w:id="111" w:name="_Toc14577359"/>
      <w:r>
        <w:rPr>
          <w:rFonts w:hint="eastAsia" w:ascii="方正仿宋_GBK" w:hAnsi="方正仿宋_GBK" w:eastAsia="方正仿宋_GBK" w:cs="方正仿宋_GBK"/>
          <w:bCs/>
          <w:sz w:val="28"/>
          <w:szCs w:val="28"/>
        </w:rPr>
        <w:t>14</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磋商响应函</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14.1供应商应按照磋商文件中提供的格式完整、正确填写磋商响应函。</w:t>
      </w:r>
      <w:bookmarkEnd w:id="110"/>
      <w:bookmarkEnd w:id="111"/>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12" w:name="_Toc14577360"/>
      <w:bookmarkStart w:id="113" w:name="_Toc49090511"/>
      <w:r>
        <w:rPr>
          <w:rFonts w:hint="eastAsia" w:ascii="方正仿宋_GBK" w:hAnsi="方正仿宋_GBK" w:eastAsia="方正仿宋_GBK" w:cs="方正仿宋_GBK"/>
          <w:bCs/>
          <w:sz w:val="28"/>
          <w:szCs w:val="28"/>
        </w:rPr>
        <w:t>15</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磋商有效期</w:t>
      </w:r>
      <w:bookmarkEnd w:id="112"/>
      <w:bookmarkEnd w:id="113"/>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15.1磋商有效期为采购中心规定的提交响应文件截止之日后六十（60）天。磋商有效期比规定短的将被视为非实质性响应磋商文件而予以拒绝。</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16</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磋商有效期的延长</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bookmarkEnd w:id="86"/>
      <w:bookmarkEnd w:id="87"/>
      <w:bookmarkEnd w:id="88"/>
      <w:bookmarkEnd w:id="89"/>
    </w:p>
    <w:p>
      <w:pPr>
        <w:keepNext/>
        <w:keepLines/>
        <w:pageBreakBefore w:val="0"/>
        <w:widowControl w:val="0"/>
        <w:spacing w:before="260" w:after="260" w:line="400" w:lineRule="exact"/>
        <w:ind w:firstLine="560"/>
        <w:jc w:val="left"/>
        <w:outlineLvl w:val="1"/>
        <w:rPr>
          <w:rFonts w:hint="eastAsia" w:ascii="方正黑体_GBK" w:hAnsi="方正黑体_GBK" w:eastAsia="方正黑体_GBK" w:cs="方正黑体_GBK"/>
          <w:b w:val="0"/>
          <w:bCs w:val="0"/>
          <w:sz w:val="28"/>
          <w:szCs w:val="28"/>
        </w:rPr>
      </w:pPr>
      <w:bookmarkStart w:id="114" w:name="_Toc513029229"/>
      <w:bookmarkStart w:id="115" w:name="_Toc120614218"/>
      <w:bookmarkStart w:id="116" w:name="_Toc16938545"/>
      <w:bookmarkStart w:id="117" w:name="_Toc20823301"/>
      <w:r>
        <w:rPr>
          <w:rFonts w:hint="eastAsia" w:ascii="方正黑体_GBK" w:hAnsi="方正黑体_GBK" w:eastAsia="方正黑体_GBK" w:cs="方正黑体_GBK"/>
          <w:b w:val="0"/>
          <w:bCs w:val="0"/>
          <w:sz w:val="28"/>
          <w:szCs w:val="28"/>
        </w:rPr>
        <w:t>四、响应文件的递交</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18" w:name="_Toc16938541"/>
      <w:bookmarkStart w:id="119" w:name="_Toc20823297"/>
      <w:bookmarkStart w:id="120" w:name="_Toc513029225"/>
      <w:bookmarkStart w:id="121" w:name="_Toc462564084"/>
      <w:r>
        <w:rPr>
          <w:rFonts w:hint="eastAsia" w:ascii="方正仿宋_GBK" w:hAnsi="方正仿宋_GBK" w:eastAsia="方正仿宋_GBK" w:cs="方正仿宋_GBK"/>
          <w:bCs/>
          <w:sz w:val="28"/>
          <w:szCs w:val="28"/>
        </w:rPr>
        <w:t>17</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电子磋商</w:t>
      </w:r>
      <w:bookmarkEnd w:id="118"/>
      <w:bookmarkEnd w:id="119"/>
      <w:bookmarkEnd w:id="120"/>
      <w:bookmarkEnd w:id="121"/>
      <w:r>
        <w:rPr>
          <w:rFonts w:hint="eastAsia" w:ascii="方正仿宋_GBK" w:hAnsi="方正仿宋_GBK" w:eastAsia="方正仿宋_GBK" w:cs="方正仿宋_GBK"/>
          <w:bCs/>
          <w:sz w:val="28"/>
          <w:szCs w:val="28"/>
        </w:rPr>
        <w:t>响应文件的递交</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17.1供应商应当按照《操作手册》规定，在提交响应文件截止时间前制作并上传电子响应文件。</w:t>
      </w:r>
      <w:bookmarkStart w:id="122" w:name="_Toc16938542"/>
      <w:bookmarkStart w:id="123" w:name="_Toc20823298"/>
      <w:bookmarkStart w:id="124" w:name="_Toc513029226"/>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18</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提交响应文件截止时间</w:t>
      </w:r>
      <w:bookmarkEnd w:id="122"/>
      <w:bookmarkEnd w:id="123"/>
      <w:bookmarkEnd w:id="124"/>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18.1供应商上传电子响应文件的时间不得迟于磋商公告中规定的提交响应文件截止时间。</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供应商应充分考虑到网络环境、网络带宽等风险因素，如因供应商自身原因造成的电子响应文件上传不成功的按照本磋商文件第二章第25.3.2条规定做无效响应处理。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18.2 采购中心可以按照规定，通过修改磋商文件酌情延长提交响应文件截止日期，在此情况下，供应商的所有权利和义务以及供应商受制的截止日期均应以延长后新的截止日期为准。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25" w:name="_Toc16938543"/>
      <w:bookmarkStart w:id="126" w:name="_Toc513029227"/>
      <w:bookmarkStart w:id="127" w:name="_Toc20823299"/>
      <w:r>
        <w:rPr>
          <w:rFonts w:hint="eastAsia" w:ascii="方正仿宋_GBK" w:hAnsi="方正仿宋_GBK" w:eastAsia="方正仿宋_GBK" w:cs="方正仿宋_GBK"/>
          <w:bCs/>
          <w:sz w:val="28"/>
          <w:szCs w:val="28"/>
        </w:rPr>
        <w:t>19</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响应文件</w:t>
      </w:r>
      <w:bookmarkEnd w:id="125"/>
      <w:bookmarkEnd w:id="126"/>
      <w:bookmarkEnd w:id="127"/>
      <w:r>
        <w:rPr>
          <w:rFonts w:hint="eastAsia" w:ascii="方正仿宋_GBK" w:hAnsi="方正仿宋_GBK" w:eastAsia="方正仿宋_GBK" w:cs="方正仿宋_GBK"/>
          <w:bCs/>
          <w:sz w:val="28"/>
          <w:szCs w:val="28"/>
        </w:rPr>
        <w:t>的拒收</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19.1 采购中心拒绝接收在其规定的提交响应文件截止时间后上传的任何电子响应文件。</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28" w:name="_Toc16938544"/>
      <w:bookmarkStart w:id="129" w:name="_Toc20823300"/>
      <w:bookmarkStart w:id="130" w:name="_Toc513029228"/>
      <w:r>
        <w:rPr>
          <w:rFonts w:hint="eastAsia" w:ascii="方正仿宋_GBK" w:hAnsi="方正仿宋_GBK" w:eastAsia="方正仿宋_GBK" w:cs="方正仿宋_GBK"/>
          <w:bCs/>
          <w:sz w:val="28"/>
          <w:szCs w:val="28"/>
        </w:rPr>
        <w:t>20</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响应文件的撤回和修改</w:t>
      </w:r>
      <w:bookmarkEnd w:id="128"/>
      <w:bookmarkEnd w:id="129"/>
      <w:bookmarkEnd w:id="130"/>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20.1响应文件的撤回</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20.1.1 电子响应文件的撤回</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供应商可在提交响应文件截止时间前，撤回其电子响应文件，具体操作方法见《操作手册》。</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20.1.2供应商撤回电子响应文件，则认为其不再参与本项目磋商活动。</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20.2响应文件的修改</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供应商可在提交响应文件截止时间前，对其电子响应文件进行修改，具体操作方法见《操作手册》。</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20.3 在提交响应文件截止时间之后，供应商不得对其电子响应文件作任何修改。</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20.4 在提交响应文件截止时间至磋商文件中规定的磋商有效期满之间的这段时间内，供应商不得撤回其响应文件。</w:t>
      </w:r>
    </w:p>
    <w:p>
      <w:pPr>
        <w:keepNext/>
        <w:keepLines/>
        <w:pageBreakBefore w:val="0"/>
        <w:widowControl w:val="0"/>
        <w:spacing w:before="260" w:after="260" w:line="400" w:lineRule="exact"/>
        <w:ind w:firstLine="560"/>
        <w:jc w:val="left"/>
        <w:outlineLvl w:val="1"/>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五、响应文件的解密与评审</w:t>
      </w:r>
      <w:bookmarkEnd w:id="114"/>
      <w:bookmarkEnd w:id="115"/>
      <w:bookmarkEnd w:id="116"/>
      <w:bookmarkEnd w:id="117"/>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31" w:name="_Toc20823302"/>
      <w:bookmarkStart w:id="132" w:name="_Toc16938546"/>
      <w:bookmarkStart w:id="133" w:name="_Toc513029230"/>
      <w:bookmarkStart w:id="134" w:name="_Toc20823304"/>
      <w:bookmarkStart w:id="135" w:name="_Toc16938548"/>
      <w:bookmarkStart w:id="136" w:name="_Toc513029232"/>
      <w:r>
        <w:rPr>
          <w:rFonts w:hint="eastAsia" w:ascii="方正仿宋_GBK" w:hAnsi="方正仿宋_GBK" w:eastAsia="方正仿宋_GBK" w:cs="方正仿宋_GBK"/>
          <w:bCs/>
          <w:sz w:val="28"/>
          <w:szCs w:val="28"/>
        </w:rPr>
        <w:t>21</w:t>
      </w:r>
      <w:bookmarkEnd w:id="131"/>
      <w:bookmarkEnd w:id="132"/>
      <w:bookmarkEnd w:id="133"/>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响应文件解密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21.1供应商应当按照《操作手册》规定，在苏采云系统规定的时间内对磋商响应文件进行解密。</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37" w:name="_Toc20823303"/>
      <w:bookmarkStart w:id="138" w:name="_Toc513029231"/>
      <w:bookmarkStart w:id="139" w:name="_Toc16938547"/>
      <w:r>
        <w:rPr>
          <w:rFonts w:hint="eastAsia" w:ascii="方正仿宋_GBK" w:hAnsi="方正仿宋_GBK" w:eastAsia="方正仿宋_GBK" w:cs="方正仿宋_GBK"/>
          <w:bCs/>
          <w:sz w:val="28"/>
          <w:szCs w:val="28"/>
        </w:rPr>
        <w:t>22</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磋商小组</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22.1采购中心将组织磋商小组对响应文件进行评审。磋商小组由采购人代表和有关技术、经济等方面的专家组成，且人员构成符合政府采购有关规定。</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22.2磋商小组独立工作，负责评审所有响应文件并确定成交侯选人。</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评审过程的保密与公正</w:t>
      </w:r>
      <w:bookmarkEnd w:id="137"/>
      <w:bookmarkEnd w:id="138"/>
      <w:bookmarkEnd w:id="139"/>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23.1磋商小组、采购人和采购中心工作人员、相关监督人员等与评审工作有关的人员，对评审情况以及在评审过程中获悉的国家秘密、商业秘密负有保密责任。</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23.2在评审过程中，供应商不得以任何行为影响磋商评审过程，否则其响应文件将被作为无效响应文件。</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23.3在项目评审期间，采购中心将设专门人员与供应商联系。</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23.4 采购中心和磋商小组不向未成交的供应商解释未成交原因，也不公布评审过程中的相关细节。</w:t>
      </w:r>
      <w:bookmarkEnd w:id="134"/>
      <w:bookmarkEnd w:id="135"/>
      <w:bookmarkEnd w:id="136"/>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40" w:name="_Toc20823305"/>
      <w:bookmarkStart w:id="141" w:name="_Toc513029233"/>
      <w:bookmarkStart w:id="142" w:name="_Toc16938549"/>
      <w:r>
        <w:rPr>
          <w:rFonts w:hint="eastAsia" w:ascii="方正仿宋_GBK" w:hAnsi="方正仿宋_GBK" w:eastAsia="方正仿宋_GBK" w:cs="方正仿宋_GBK"/>
          <w:bCs/>
          <w:sz w:val="28"/>
          <w:szCs w:val="28"/>
        </w:rPr>
        <w:t>24</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评审过程中的的澄清</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磋商小组并非对每个供应商都作澄清要求。</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24.3 接到磋商小组澄清、说明和更正要求的供应商如未按规定做出澄清、说明和 更正，其风险由供应商自行承担。</w:t>
      </w:r>
    </w:p>
    <w:p>
      <w:pPr>
        <w:keepNext/>
        <w:keepLines/>
        <w:pageBreakBefore w:val="0"/>
        <w:widowControl w:val="0"/>
        <w:spacing w:line="400" w:lineRule="exact"/>
        <w:ind w:firstLine="560"/>
        <w:outlineLvl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对响应文件的审</w:t>
      </w:r>
      <w:bookmarkEnd w:id="140"/>
      <w:bookmarkEnd w:id="141"/>
      <w:bookmarkEnd w:id="142"/>
      <w:r>
        <w:rPr>
          <w:rFonts w:hint="eastAsia" w:ascii="方正仿宋_GBK" w:hAnsi="方正仿宋_GBK" w:eastAsia="方正仿宋_GBK" w:cs="方正仿宋_GBK"/>
          <w:sz w:val="28"/>
          <w:szCs w:val="28"/>
        </w:rPr>
        <w:t>查</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25.1</w:t>
      </w:r>
      <w:r>
        <w:rPr>
          <w:rFonts w:hint="eastAsia" w:ascii="方正仿宋_GBK" w:hAnsi="方正仿宋_GBK" w:eastAsia="方正仿宋_GBK" w:cs="方正仿宋_GBK"/>
          <w:bCs/>
          <w:sz w:val="28"/>
          <w:szCs w:val="28"/>
        </w:rPr>
        <w:t>响应文件审查分为资格审查和符合性审查。</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25.1.1 资格审查：由磋商小组依据法律法规和磋商文件的规定，对响应文件中的资格证明文件进行审查，以确定供应商是否具备参加磋商的资格。</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磋商小组在进行资格审查的同时，将在“信用中国”网站（</w:t>
      </w:r>
      <w:r>
        <w:rPr>
          <w:rFonts w:ascii="Times New Roman" w:hAnsi="Times New Roman" w:eastAsia="方正仿宋_GBK" w:cs="Times New Roman"/>
          <w:bCs/>
          <w:sz w:val="28"/>
          <w:szCs w:val="28"/>
        </w:rPr>
        <w:t>www.creditchina.gov.cn</w:t>
      </w:r>
      <w:r>
        <w:rPr>
          <w:rFonts w:hint="eastAsia" w:ascii="方正仿宋_GBK" w:hAnsi="方正仿宋_GBK" w:eastAsia="方正仿宋_GBK" w:cs="方正仿宋_GBK"/>
          <w:bCs/>
          <w:sz w:val="28"/>
          <w:szCs w:val="28"/>
        </w:rPr>
        <w:t>）查询供应商的信用记录，以确定供应商是否具备磋商资格,查询结果留存并归档。</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25.1.2 符合性审查：依据磋商文件的规定，由磋商小组从响应文件的有效性、完整性和对磋商文件的响应程度进行审查，以确定是否对磋商文件的实质性要求作出响应。</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25.1.3 未通过资格审查或符合性审查的供应商，磋商小组将在</w:t>
      </w:r>
      <w:r>
        <w:rPr>
          <w:rFonts w:hint="eastAsia" w:ascii="方正仿宋_GBK" w:hAnsi="方正仿宋_GBK" w:eastAsia="方正仿宋_GBK" w:cs="方正仿宋_GBK"/>
          <w:sz w:val="28"/>
          <w:szCs w:val="28"/>
        </w:rPr>
        <w:t>苏采云系统</w:t>
      </w:r>
      <w:r>
        <w:rPr>
          <w:rFonts w:hint="eastAsia" w:ascii="方正仿宋_GBK" w:hAnsi="方正仿宋_GBK" w:eastAsia="方正仿宋_GBK" w:cs="方正仿宋_GBK"/>
          <w:bCs/>
          <w:sz w:val="28"/>
          <w:szCs w:val="28"/>
        </w:rPr>
        <w:t>中告知未通过资格审查或符合性审查的原因，评审结束后，磋商小组将不再告知未通过资格审查或符合性审查的原因。</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25.2在详细评审之前，磋商小组将首先审查每份响应文件是否实质性响应了磋商文件的要求。实质性响应的响应文件应该是与磋商文件要求的条款、条件和规格相符，没有重大偏离或保留。</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25.3未实质性响应磋商文件的情形</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25.3.1供应商在</w:t>
      </w:r>
      <w:r>
        <w:rPr>
          <w:rFonts w:hint="eastAsia" w:ascii="方正仿宋_GBK" w:hAnsi="方正仿宋_GBK" w:eastAsia="方正仿宋_GBK" w:cs="方正仿宋_GBK"/>
          <w:sz w:val="28"/>
          <w:szCs w:val="28"/>
        </w:rPr>
        <w:t>苏采云系统</w:t>
      </w:r>
      <w:r>
        <w:rPr>
          <w:rFonts w:hint="eastAsia" w:ascii="方正仿宋_GBK" w:hAnsi="方正仿宋_GBK" w:eastAsia="方正仿宋_GBK" w:cs="方正仿宋_GBK"/>
          <w:bCs/>
          <w:sz w:val="28"/>
          <w:szCs w:val="28"/>
        </w:rPr>
        <w:t>规定的时间内未成功解密电子响应文件的。</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25.3.2供应商未按照磋商文件要求上传电子响应文件的。</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25.3.3供应商同一采购包提交两个（含两个）以上不同的响应文件或者最后报价的。</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25.3.4供应商不具备磋商文件中规定资格要求的。</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25.3.5供应商的最后报价超过了采购预算。</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25.3.6不符合磋商文件中规定的实质性要求的</w:t>
      </w:r>
      <w:r>
        <w:rPr>
          <w:rFonts w:hint="eastAsia" w:ascii="方正仿宋_GBK" w:hAnsi="方正仿宋_GBK" w:eastAsia="方正仿宋_GBK" w:cs="方正仿宋_GBK"/>
          <w:b/>
          <w:bCs/>
          <w:sz w:val="28"/>
          <w:szCs w:val="28"/>
        </w:rPr>
        <w:t>（本磋商文件中</w:t>
      </w:r>
      <w:r>
        <w:rPr>
          <w:rFonts w:hint="eastAsia" w:ascii="方正仿宋_GBK" w:hAnsi="方正仿宋_GBK" w:eastAsia="方正仿宋_GBK" w:cs="方正仿宋_GBK"/>
          <w:b/>
          <w:bCs/>
          <w:i/>
          <w:sz w:val="28"/>
          <w:szCs w:val="28"/>
          <w:u w:val="single"/>
        </w:rPr>
        <w:t>斜体且有下划线部分</w:t>
      </w:r>
      <w:r>
        <w:rPr>
          <w:rFonts w:hint="eastAsia" w:ascii="方正仿宋_GBK" w:hAnsi="方正仿宋_GBK" w:eastAsia="方正仿宋_GBK" w:cs="方正仿宋_GBK"/>
          <w:b/>
          <w:bCs/>
          <w:sz w:val="28"/>
          <w:szCs w:val="28"/>
        </w:rPr>
        <w:t>或</w:t>
      </w:r>
      <w:r>
        <w:rPr>
          <w:rFonts w:hint="eastAsia" w:ascii="方正仿宋_GBK" w:hAnsi="方正仿宋_GBK" w:eastAsia="方正仿宋_GBK" w:cs="方正仿宋_GBK"/>
          <w:b/>
          <w:bCs/>
          <w:sz w:val="28"/>
          <w:szCs w:val="28"/>
          <w:lang w:eastAsia="zh-CN"/>
        </w:rPr>
        <w:t>加*号条款</w:t>
      </w:r>
      <w:r>
        <w:rPr>
          <w:rFonts w:hint="eastAsia" w:ascii="方正仿宋_GBK" w:hAnsi="方正仿宋_GBK" w:eastAsia="方正仿宋_GBK" w:cs="方正仿宋_GBK"/>
          <w:b/>
          <w:bCs/>
          <w:sz w:val="28"/>
          <w:szCs w:val="28"/>
        </w:rPr>
        <w:t>为实质性要求）。</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25.3.7供应商被 “信用中国”网站（</w:t>
      </w:r>
      <w:r>
        <w:rPr>
          <w:rFonts w:ascii="Times New Roman" w:hAnsi="Times New Roman" w:eastAsia="方正仿宋_GBK" w:cs="Times New Roman"/>
          <w:bCs/>
          <w:sz w:val="28"/>
          <w:szCs w:val="28"/>
        </w:rPr>
        <w:t>www.creditchina.gov.cn</w:t>
      </w:r>
      <w:r>
        <w:rPr>
          <w:rFonts w:hint="eastAsia" w:ascii="方正仿宋_GBK" w:hAnsi="方正仿宋_GBK" w:eastAsia="方正仿宋_GBK" w:cs="方正仿宋_GBK"/>
          <w:bCs/>
          <w:sz w:val="28"/>
          <w:szCs w:val="28"/>
        </w:rPr>
        <w:t>）列入失信被执行人或重大税收违法案件当事人名单或政府采购严重失信行为记录名单。或查询“信用中国”网站后发现供应商存在其他不符合《中华人民共和国政府采购法》第二十二条规定条件的信用记录。</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25.3.8 响应文件含有采购人不能接受的附加条件的。</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25.3.9响应文件未按照磋商文件要求加盖CA电子公章的。</w:t>
      </w:r>
    </w:p>
    <w:p>
      <w:pPr>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供应商所提供的服务不符合磋商文件中所列国家强制性标准的。</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25.4未实质性响应磋商文件的响应文件按无效响应处理。</w:t>
      </w:r>
    </w:p>
    <w:p>
      <w:pPr>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25.5</w:t>
      </w:r>
      <w:r>
        <w:rPr>
          <w:rFonts w:hint="eastAsia" w:ascii="方正仿宋_GBK" w:hAnsi="方正仿宋_GBK" w:eastAsia="方正仿宋_GBK" w:cs="方正仿宋_GBK"/>
          <w:bCs/>
          <w:sz w:val="28"/>
          <w:szCs w:val="28"/>
        </w:rPr>
        <w:t>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符</w:t>
      </w:r>
      <w:r>
        <w:rPr>
          <w:rFonts w:hint="eastAsia" w:ascii="方正仿宋_GBK" w:hAnsi="方正仿宋_GBK" w:eastAsia="方正仿宋_GBK" w:cs="方正仿宋_GBK"/>
          <w:bCs/>
          <w:sz w:val="28"/>
          <w:szCs w:val="28"/>
        </w:rPr>
        <w:t>合要求的偏离或保留而使其成为实质性响应的文件。</w:t>
      </w:r>
    </w:p>
    <w:p>
      <w:pPr>
        <w:pageBreakBefore w:val="0"/>
        <w:widowControl w:val="0"/>
        <w:spacing w:line="400" w:lineRule="exact"/>
        <w:ind w:firstLine="560"/>
        <w:rPr>
          <w:rFonts w:hint="eastAsia" w:ascii="方正仿宋_GBK" w:hAnsi="方正仿宋_GBK" w:eastAsia="方正仿宋_GBK" w:cs="方正仿宋_GBK"/>
          <w:sz w:val="28"/>
          <w:szCs w:val="28"/>
        </w:rPr>
      </w:pPr>
      <w:bookmarkStart w:id="143" w:name="_Toc513029234"/>
      <w:bookmarkStart w:id="144" w:name="_Toc16938550"/>
      <w:bookmarkStart w:id="145" w:name="_Toc20823306"/>
      <w:r>
        <w:rPr>
          <w:rFonts w:hint="eastAsia" w:ascii="方正仿宋_GBK" w:hAnsi="方正仿宋_GBK" w:eastAsia="方正仿宋_GBK" w:cs="方正仿宋_GBK"/>
          <w:sz w:val="28"/>
          <w:szCs w:val="28"/>
        </w:rPr>
        <w:t>25.6供应商在项目评审全过程中应保持通讯畅通，并安排专人与采购中心及磋商小组联系。</w:t>
      </w:r>
    </w:p>
    <w:p>
      <w:pPr>
        <w:keepNext/>
        <w:keepLines/>
        <w:pageBreakBefore w:val="0"/>
        <w:widowControl w:val="0"/>
        <w:spacing w:line="400" w:lineRule="exact"/>
        <w:ind w:firstLine="560"/>
        <w:outlineLvl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w:t>
      </w:r>
      <w:bookmarkEnd w:id="143"/>
      <w:bookmarkEnd w:id="144"/>
      <w:bookmarkEnd w:id="145"/>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磋商程序及评审方法</w:t>
      </w:r>
      <w:r>
        <w:rPr>
          <w:rFonts w:hint="eastAsia" w:ascii="方正仿宋_GBK" w:hAnsi="方正仿宋_GBK" w:eastAsia="方正仿宋_GBK" w:cs="方正仿宋_GBK"/>
          <w:sz w:val="28"/>
          <w:szCs w:val="28"/>
          <w:lang w:eastAsia="zh-CN"/>
        </w:rPr>
        <w:t>与</w:t>
      </w:r>
      <w:r>
        <w:rPr>
          <w:rFonts w:hint="eastAsia" w:ascii="方正仿宋_GBK" w:hAnsi="方正仿宋_GBK" w:eastAsia="方正仿宋_GBK" w:cs="方正仿宋_GBK"/>
          <w:sz w:val="28"/>
          <w:szCs w:val="28"/>
        </w:rPr>
        <w:t>评审标准</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26.1磋商程序</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26.1.1对于通过资格审查和符合性审查的供应商，磋商小组将集中与单一供应商分别进行磋商。磋商小组通过苏采云系统向供应商发布“磋商函”，供应商应当按照要求在苏采云系统提交“磋商响应函”并加盖CA电子公章。</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r>
        <w:rPr>
          <w:rFonts w:hint="eastAsia" w:ascii="方正仿宋_GBK" w:hAnsi="方正仿宋_GBK" w:eastAsia="方正仿宋_GBK" w:cs="方正仿宋_GBK"/>
          <w:sz w:val="28"/>
          <w:szCs w:val="28"/>
          <w:lang w:val="en-US" w:eastAsia="zh-CN"/>
        </w:rPr>
        <w:t>6</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US" w:eastAsia="zh-CN"/>
        </w:rPr>
        <w:t>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响应</w:t>
      </w:r>
      <w:r>
        <w:rPr>
          <w:rFonts w:hint="eastAsia" w:ascii="方正仿宋_GBK" w:hAnsi="方正仿宋_GBK" w:eastAsia="方正仿宋_GBK" w:cs="方正仿宋_GBK"/>
          <w:sz w:val="28"/>
          <w:szCs w:val="28"/>
        </w:rPr>
        <w:t>审查</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r>
        <w:rPr>
          <w:rFonts w:hint="eastAsia" w:ascii="方正仿宋_GBK" w:hAnsi="方正仿宋_GBK" w:eastAsia="方正仿宋_GBK" w:cs="方正仿宋_GBK"/>
          <w:sz w:val="28"/>
          <w:szCs w:val="28"/>
          <w:lang w:val="en-US" w:eastAsia="zh-CN"/>
        </w:rPr>
        <w:t>6</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US" w:eastAsia="zh-CN"/>
        </w:rPr>
        <w:t>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评审</w:t>
      </w:r>
      <w:r>
        <w:rPr>
          <w:rFonts w:hint="eastAsia" w:ascii="方正仿宋_GBK" w:hAnsi="方正仿宋_GBK" w:eastAsia="方正仿宋_GBK" w:cs="方正仿宋_GBK"/>
          <w:sz w:val="28"/>
          <w:szCs w:val="28"/>
        </w:rPr>
        <w:t>过程中出现下列情形之一的，</w:t>
      </w:r>
      <w:r>
        <w:rPr>
          <w:rFonts w:hint="eastAsia" w:ascii="方正仿宋_GBK" w:hAnsi="方正仿宋_GBK" w:eastAsia="方正仿宋_GBK" w:cs="方正仿宋_GBK"/>
          <w:sz w:val="28"/>
          <w:szCs w:val="28"/>
          <w:lang w:eastAsia="zh-CN"/>
        </w:rPr>
        <w:t>磋商小组</w:t>
      </w:r>
      <w:r>
        <w:rPr>
          <w:rFonts w:hint="eastAsia" w:ascii="方正仿宋_GBK" w:hAnsi="方正仿宋_GBK" w:eastAsia="方正仿宋_GBK" w:cs="方正仿宋_GBK"/>
          <w:sz w:val="28"/>
          <w:szCs w:val="28"/>
        </w:rPr>
        <w:t>应当启动异常低价</w:t>
      </w:r>
      <w:r>
        <w:rPr>
          <w:rFonts w:hint="eastAsia" w:ascii="方正仿宋_GBK" w:hAnsi="方正仿宋_GBK" w:eastAsia="方正仿宋_GBK" w:cs="方正仿宋_GBK"/>
          <w:sz w:val="28"/>
          <w:szCs w:val="28"/>
          <w:lang w:eastAsia="zh-CN"/>
        </w:rPr>
        <w:t>响应</w:t>
      </w:r>
      <w:r>
        <w:rPr>
          <w:rFonts w:hint="eastAsia" w:ascii="方正仿宋_GBK" w:hAnsi="方正仿宋_GBK" w:eastAsia="方正仿宋_GBK" w:cs="方正仿宋_GBK"/>
          <w:sz w:val="28"/>
          <w:szCs w:val="28"/>
        </w:rPr>
        <w:t>审查程序：</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lang w:eastAsia="zh-CN"/>
        </w:rPr>
        <w:t>响应</w:t>
      </w:r>
      <w:r>
        <w:rPr>
          <w:rFonts w:hint="eastAsia" w:ascii="方正仿宋_GBK" w:hAnsi="方正仿宋_GBK" w:eastAsia="方正仿宋_GBK" w:cs="方正仿宋_GBK"/>
          <w:sz w:val="28"/>
          <w:szCs w:val="28"/>
        </w:rPr>
        <w:t>报价低于全部通过符合性审查供应商</w:t>
      </w:r>
      <w:r>
        <w:rPr>
          <w:rFonts w:hint="eastAsia" w:ascii="方正仿宋_GBK" w:hAnsi="方正仿宋_GBK" w:eastAsia="方正仿宋_GBK" w:cs="方正仿宋_GBK"/>
          <w:sz w:val="28"/>
          <w:szCs w:val="28"/>
          <w:lang w:eastAsia="zh-CN"/>
        </w:rPr>
        <w:t>响应</w:t>
      </w:r>
      <w:r>
        <w:rPr>
          <w:rFonts w:hint="eastAsia" w:ascii="方正仿宋_GBK" w:hAnsi="方正仿宋_GBK" w:eastAsia="方正仿宋_GBK" w:cs="方正仿宋_GBK"/>
          <w:sz w:val="28"/>
          <w:szCs w:val="28"/>
        </w:rPr>
        <w:t>报价平均值50%的，即</w:t>
      </w:r>
      <w:r>
        <w:rPr>
          <w:rFonts w:hint="eastAsia" w:ascii="方正仿宋_GBK" w:hAnsi="方正仿宋_GBK" w:eastAsia="方正仿宋_GBK" w:cs="方正仿宋_GBK"/>
          <w:sz w:val="28"/>
          <w:szCs w:val="28"/>
          <w:lang w:eastAsia="zh-CN"/>
        </w:rPr>
        <w:t>响应报价</w:t>
      </w:r>
      <w:r>
        <w:rPr>
          <w:rFonts w:hint="eastAsia" w:ascii="方正仿宋_GBK" w:hAnsi="方正仿宋_GBK" w:eastAsia="方正仿宋_GBK" w:cs="方正仿宋_GBK"/>
          <w:sz w:val="28"/>
          <w:szCs w:val="28"/>
        </w:rPr>
        <w:t>&lt;全部通过符合性审查供应商</w:t>
      </w:r>
      <w:r>
        <w:rPr>
          <w:rFonts w:hint="eastAsia" w:ascii="方正仿宋_GBK" w:hAnsi="方正仿宋_GBK" w:eastAsia="方正仿宋_GBK" w:cs="方正仿宋_GBK"/>
          <w:sz w:val="28"/>
          <w:szCs w:val="28"/>
          <w:lang w:eastAsia="zh-CN"/>
        </w:rPr>
        <w:t>响应报价</w:t>
      </w:r>
      <w:r>
        <w:rPr>
          <w:rFonts w:hint="eastAsia" w:ascii="方正仿宋_GBK" w:hAnsi="方正仿宋_GBK" w:eastAsia="方正仿宋_GBK" w:cs="方正仿宋_GBK"/>
          <w:sz w:val="28"/>
          <w:szCs w:val="28"/>
        </w:rPr>
        <w:t>平均值×50%；</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r>
        <w:rPr>
          <w:rFonts w:hint="eastAsia" w:ascii="方正仿宋_GBK" w:hAnsi="方正仿宋_GBK" w:eastAsia="方正仿宋_GBK" w:cs="方正仿宋_GBK"/>
          <w:sz w:val="28"/>
          <w:szCs w:val="28"/>
          <w:lang w:eastAsia="zh-CN"/>
        </w:rPr>
        <w:t>响应报价</w:t>
      </w:r>
      <w:r>
        <w:rPr>
          <w:rFonts w:hint="eastAsia" w:ascii="方正仿宋_GBK" w:hAnsi="方正仿宋_GBK" w:eastAsia="方正仿宋_GBK" w:cs="方正仿宋_GBK"/>
          <w:sz w:val="28"/>
          <w:szCs w:val="28"/>
        </w:rPr>
        <w:t>低于通过符合性审查的次低报价供应商</w:t>
      </w:r>
      <w:r>
        <w:rPr>
          <w:rFonts w:hint="eastAsia" w:ascii="方正仿宋_GBK" w:hAnsi="方正仿宋_GBK" w:eastAsia="方正仿宋_GBK" w:cs="方正仿宋_GBK"/>
          <w:sz w:val="28"/>
          <w:szCs w:val="28"/>
          <w:lang w:eastAsia="zh-CN"/>
        </w:rPr>
        <w:t>响应报价</w:t>
      </w:r>
      <w:r>
        <w:rPr>
          <w:rFonts w:hint="eastAsia" w:ascii="方正仿宋_GBK" w:hAnsi="方正仿宋_GBK" w:eastAsia="方正仿宋_GBK" w:cs="方正仿宋_GBK"/>
          <w:sz w:val="28"/>
          <w:szCs w:val="28"/>
        </w:rPr>
        <w:t>50%的，即</w:t>
      </w:r>
      <w:r>
        <w:rPr>
          <w:rFonts w:hint="eastAsia" w:ascii="方正仿宋_GBK" w:hAnsi="方正仿宋_GBK" w:eastAsia="方正仿宋_GBK" w:cs="方正仿宋_GBK"/>
          <w:sz w:val="28"/>
          <w:szCs w:val="28"/>
          <w:lang w:eastAsia="zh-CN"/>
        </w:rPr>
        <w:t>响应报价</w:t>
      </w:r>
      <w:r>
        <w:rPr>
          <w:rFonts w:hint="eastAsia" w:ascii="方正仿宋_GBK" w:hAnsi="方正仿宋_GBK" w:eastAsia="方正仿宋_GBK" w:cs="方正仿宋_GBK"/>
          <w:sz w:val="28"/>
          <w:szCs w:val="28"/>
        </w:rPr>
        <w:t>&lt;通过符合性审查的次低报价供应商</w:t>
      </w:r>
      <w:r>
        <w:rPr>
          <w:rFonts w:hint="eastAsia" w:ascii="方正仿宋_GBK" w:hAnsi="方正仿宋_GBK" w:eastAsia="方正仿宋_GBK" w:cs="方正仿宋_GBK"/>
          <w:sz w:val="28"/>
          <w:szCs w:val="28"/>
          <w:lang w:eastAsia="zh-CN"/>
        </w:rPr>
        <w:t>响应报价</w:t>
      </w:r>
      <w:r>
        <w:rPr>
          <w:rFonts w:hint="eastAsia" w:ascii="方正仿宋_GBK" w:hAnsi="方正仿宋_GBK" w:eastAsia="方正仿宋_GBK" w:cs="方正仿宋_GBK"/>
          <w:sz w:val="28"/>
          <w:szCs w:val="28"/>
        </w:rPr>
        <w:t>×50%；</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3</w:t>
      </w:r>
      <w:r>
        <w:rPr>
          <w:rFonts w:hint="eastAsia" w:ascii="方正仿宋_GBK" w:hAnsi="方正仿宋_GBK" w:eastAsia="方正仿宋_GBK" w:cs="方正仿宋_GBK"/>
          <w:sz w:val="28"/>
          <w:szCs w:val="28"/>
          <w:lang w:eastAsia="zh-CN"/>
        </w:rPr>
        <w:t>）响应报价低于采购项目最高限价45%的，即响应报价&lt;采购项目最高限价×45%；</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US" w:eastAsia="zh-CN"/>
        </w:rPr>
        <w:t>4</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磋商小组</w:t>
      </w:r>
      <w:r>
        <w:rPr>
          <w:rFonts w:hint="eastAsia" w:ascii="方正仿宋_GBK" w:hAnsi="方正仿宋_GBK" w:eastAsia="方正仿宋_GBK" w:cs="方正仿宋_GBK"/>
          <w:sz w:val="28"/>
          <w:szCs w:val="28"/>
        </w:rPr>
        <w:t>基于专业判断，认为供应商报价过低，有可能影响产品质量或者不能诚信履约的其他情形。</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2</w:t>
      </w:r>
      <w:r>
        <w:rPr>
          <w:rFonts w:hint="eastAsia" w:ascii="方正仿宋_GBK" w:hAnsi="方正仿宋_GBK" w:eastAsia="方正仿宋_GBK" w:cs="方正仿宋_GBK"/>
          <w:sz w:val="28"/>
          <w:szCs w:val="28"/>
          <w:lang w:val="en-US" w:eastAsia="zh-CN"/>
        </w:rPr>
        <w:t>6</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US" w:eastAsia="zh-CN"/>
        </w:rPr>
        <w:t>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26.2 评审方法</w:t>
      </w:r>
      <w:r>
        <w:rPr>
          <w:rFonts w:hint="eastAsia" w:ascii="方正仿宋_GBK" w:hAnsi="方正仿宋_GBK" w:eastAsia="方正仿宋_GBK" w:cs="方正仿宋_GBK"/>
          <w:sz w:val="28"/>
          <w:szCs w:val="28"/>
          <w:lang w:eastAsia="zh-CN"/>
        </w:rPr>
        <w:t>与</w:t>
      </w:r>
      <w:r>
        <w:rPr>
          <w:rFonts w:hint="eastAsia" w:ascii="方正仿宋_GBK" w:hAnsi="方正仿宋_GBK" w:eastAsia="方正仿宋_GBK" w:cs="方正仿宋_GBK"/>
          <w:sz w:val="28"/>
          <w:szCs w:val="28"/>
        </w:rPr>
        <w:t>评审标准</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26.2.1评审方法。经磋商确定最终采购需求和提交最后报价的供应商后，由磋商小组采用综合评分法对提交最后报价的供应商的响应文件和最后报价进行综合评分。</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26.2.2评审标准</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见本磋商文件第五章规定。</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26.3采购活动终止的情况</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出现下列情形之一的，本次竞争性磋商采购活动将被终止：</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26.3.1因情况变化，不再符合规定的竞争性磋商采购方式适用情形的。</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26.3.2出现影响采购公正的违法、违规行为的。</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26.3.3除本磋商文件第二章第26.1.2条第三款规定的情形外，在采购过程中符合要求的供应商或者最后报价未超过采购预算的供应商不足3家的。</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26.3.4在苏采云系统规定时间内成功解密电子响应文件的供应商不足3家的。</w:t>
      </w:r>
    </w:p>
    <w:p>
      <w:pPr>
        <w:keepNext/>
        <w:keepLines/>
        <w:pageBreakBefore w:val="0"/>
        <w:widowControl w:val="0"/>
        <w:spacing w:before="260" w:after="260" w:line="400" w:lineRule="exact"/>
        <w:ind w:firstLine="560"/>
        <w:jc w:val="left"/>
        <w:outlineLvl w:val="1"/>
        <w:rPr>
          <w:rFonts w:hint="eastAsia" w:ascii="方正黑体_GBK" w:hAnsi="方正黑体_GBK" w:eastAsia="方正黑体_GBK" w:cs="方正黑体_GBK"/>
          <w:b w:val="0"/>
          <w:bCs w:val="0"/>
          <w:sz w:val="28"/>
          <w:szCs w:val="28"/>
        </w:rPr>
      </w:pPr>
      <w:bookmarkStart w:id="146" w:name="_Toc16938551"/>
      <w:bookmarkStart w:id="147" w:name="_Toc20823307"/>
      <w:bookmarkStart w:id="148" w:name="_Toc120614219"/>
      <w:bookmarkStart w:id="149" w:name="_Toc513029235"/>
      <w:r>
        <w:rPr>
          <w:rFonts w:hint="eastAsia" w:ascii="方正黑体_GBK" w:hAnsi="方正黑体_GBK" w:eastAsia="方正黑体_GBK" w:cs="方正黑体_GBK"/>
          <w:b w:val="0"/>
          <w:bCs w:val="0"/>
          <w:sz w:val="28"/>
          <w:szCs w:val="28"/>
        </w:rPr>
        <w:t>六、</w:t>
      </w:r>
      <w:bookmarkEnd w:id="146"/>
      <w:bookmarkEnd w:id="147"/>
      <w:bookmarkEnd w:id="148"/>
      <w:bookmarkEnd w:id="149"/>
      <w:r>
        <w:rPr>
          <w:rFonts w:hint="eastAsia" w:ascii="方正黑体_GBK" w:hAnsi="方正黑体_GBK" w:eastAsia="方正黑体_GBK" w:cs="方正黑体_GBK"/>
          <w:b w:val="0"/>
          <w:bCs w:val="0"/>
          <w:sz w:val="28"/>
          <w:szCs w:val="28"/>
        </w:rPr>
        <w:t>成交</w:t>
      </w:r>
    </w:p>
    <w:p>
      <w:pPr>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bookmarkStart w:id="150" w:name="_Toc513029238"/>
      <w:bookmarkStart w:id="151" w:name="_Toc20823310"/>
      <w:bookmarkStart w:id="152" w:name="_Toc16938554"/>
      <w:r>
        <w:rPr>
          <w:rFonts w:hint="eastAsia" w:ascii="方正仿宋_GBK" w:hAnsi="方正仿宋_GBK" w:eastAsia="方正仿宋_GBK" w:cs="方正仿宋_GBK"/>
          <w:sz w:val="28"/>
          <w:szCs w:val="28"/>
        </w:rPr>
        <w:t>27</w:t>
      </w:r>
      <w:bookmarkEnd w:id="150"/>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确定</w:t>
      </w:r>
      <w:bookmarkEnd w:id="151"/>
      <w:bookmarkEnd w:id="152"/>
      <w:r>
        <w:rPr>
          <w:rFonts w:hint="eastAsia" w:ascii="方正仿宋_GBK" w:hAnsi="方正仿宋_GBK" w:eastAsia="方正仿宋_GBK" w:cs="方正仿宋_GBK"/>
          <w:sz w:val="28"/>
          <w:szCs w:val="28"/>
        </w:rPr>
        <w:t>成交单位</w:t>
      </w:r>
    </w:p>
    <w:p>
      <w:pPr>
        <w:keepNext w:val="0"/>
        <w:keepLines w:val="0"/>
        <w:pageBreakBefore w:val="0"/>
        <w:widowControl w:val="0"/>
        <w:tabs>
          <w:tab w:val="left" w:pos="900"/>
        </w:tabs>
        <w:spacing w:after="156"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27.1</w:t>
      </w:r>
      <w:r>
        <w:rPr>
          <w:rFonts w:hint="eastAsia" w:ascii="方正仿宋_GBK" w:hAnsi="方正仿宋_GBK" w:eastAsia="方正仿宋_GBK" w:cs="方正仿宋_GBK"/>
          <w:sz w:val="28"/>
          <w:szCs w:val="28"/>
        </w:rPr>
        <w:t>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27.2采购人从评审报告提出的成交候选供应商中，按照排序由高到低的原则确定成交供应商。采购人确定成交供应商后，采购中心将在“江苏政府采购网”发布成交结果公告，公告期限为1个工作日。</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27.3若有充分证据证明，成交供应商出现下列情况之一的，一经查实，将被取消成交资格：</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27.3.1提供虚假材料谋取成交的。</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27.3.2与评审专家、采购人、其他供应商或者采购中心工作人员恶意串通的。</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27.3.3向评审专家、采购人或采购中心工作人员行贿或者提供其他不正当利益的。</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27.3.4恶意竞争，最后报价明显低于其自身合理成本且又无法提供证明的。</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27.3.5不满足本磋商文件规定的实质性要求，但在评审过程中又未被磋商小组发现的。</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27.3.6成交后无正当理由拒不与采购人签订政府采购合同或者未按照磋商文件确定的事项签订政府采购合同的。</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27.3.7将政府采购合同转包的。</w:t>
      </w:r>
    </w:p>
    <w:p>
      <w:pPr>
        <w:keepNext/>
        <w:keepLines/>
        <w:pageBreakBefore w:val="0"/>
        <w:widowControl w:val="0"/>
        <w:spacing w:line="400" w:lineRule="exact"/>
        <w:ind w:firstLine="560"/>
        <w:outlineLvl w:val="3"/>
        <w:rPr>
          <w:rFonts w:hint="eastAsia" w:ascii="方正仿宋_GBK" w:hAnsi="方正仿宋_GBK" w:eastAsia="方正仿宋_GBK" w:cs="方正仿宋_GBK"/>
          <w:bCs/>
          <w:sz w:val="28"/>
          <w:szCs w:val="28"/>
        </w:rPr>
      </w:pPr>
      <w:bookmarkStart w:id="153" w:name="_Toc200451960"/>
      <w:r>
        <w:rPr>
          <w:rFonts w:hint="eastAsia" w:ascii="方正仿宋_GBK" w:hAnsi="方正仿宋_GBK" w:eastAsia="方正仿宋_GBK" w:cs="方正仿宋_GBK"/>
          <w:bCs/>
          <w:sz w:val="28"/>
          <w:szCs w:val="28"/>
        </w:rPr>
        <w:t>2</w:t>
      </w:r>
      <w:r>
        <w:rPr>
          <w:rFonts w:hint="eastAsia" w:ascii="方正仿宋_GBK" w:hAnsi="方正仿宋_GBK" w:eastAsia="方正仿宋_GBK" w:cs="方正仿宋_GBK"/>
          <w:bCs/>
          <w:sz w:val="28"/>
          <w:szCs w:val="28"/>
          <w:lang w:val="en-US" w:eastAsia="zh-CN"/>
        </w:rPr>
        <w:t>8.</w:t>
      </w:r>
      <w:r>
        <w:rPr>
          <w:rFonts w:hint="eastAsia" w:ascii="方正仿宋_GBK" w:hAnsi="方正仿宋_GBK" w:eastAsia="方正仿宋_GBK" w:cs="方正仿宋_GBK"/>
          <w:bCs/>
          <w:sz w:val="28"/>
          <w:szCs w:val="28"/>
        </w:rPr>
        <w:t>质疑处理</w:t>
      </w:r>
      <w:bookmarkEnd w:id="153"/>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28.1 提出质疑的供应商应当是参与所质疑项目采购活动的供应商。潜在供应商依法获取其可质疑的采购文件的，可以对采购文件提出质疑。</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28.2.2对采购过程提出质疑的，为各采购程序环节结束之日。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28.2.3对成交结果提出质疑的，为成交结果公告期限届满之日。</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供应商应当在法定质疑期内一次性提出针对同一采购程序环节的质疑。供应商如在法定期限内对同一采购程序环节提出多次质疑的，采购中心、采购人将只对供应商第一次质疑作出答复。</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28.3质疑函必须按照本磋商文件中《质疑函范本》要求的格式和内容进行填写。供应商如组成联合体参加磋商，则《质疑函范本》中要求签字、盖章、加盖公章之处，联合体各方均须按要求签字、盖章、加盖公章。</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28.4 供应商（含潜在供应商）对采购方式、采购需求、供应商资格条件、评审方法与评审标准、合同文本的询问、质疑请向采购人提出，由采购人负责答复。供应商对其他事项的询问、质疑请向采购中心提出，由采购中心负责答复。</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采购人及采购中心只接收以纸质原件形式送达的质疑,建议供应商尽量通过邮寄方式提交质疑（采购人和采购中心不接受无快递运单号的快递）。</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采购中心质疑接收部门为质疑处理科（快递运单上的收件人填写“质疑处理科”即可），联系地址：南京市汉中门大街145号省政务中心二期3楼南区3029室，联系电话：025-83668531。</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采购人质疑接收人及联系方式见</w:t>
      </w:r>
      <w:r>
        <w:rPr>
          <w:rFonts w:hint="eastAsia" w:ascii="方正仿宋_GBK" w:hAnsi="方正仿宋_GBK" w:eastAsia="方正仿宋_GBK" w:cs="方正仿宋_GBK"/>
          <w:sz w:val="28"/>
          <w:szCs w:val="28"/>
          <w:lang w:eastAsia="zh-CN"/>
        </w:rPr>
        <w:t>磋商</w:t>
      </w:r>
      <w:r>
        <w:rPr>
          <w:rFonts w:hint="eastAsia" w:ascii="方正仿宋_GBK" w:hAnsi="方正仿宋_GBK" w:eastAsia="方正仿宋_GBK" w:cs="方正仿宋_GBK"/>
          <w:sz w:val="28"/>
          <w:szCs w:val="28"/>
        </w:rPr>
        <w:t>文件第一章。</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28.5以下情形的质疑不予受理</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28.5.1内容不符合《政府采购质疑和投诉办法》第十二条规定的质疑。</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28.5.2超出政府采购法定期限的质疑。</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28.5.3以传真、电子邮件等方式递交的非原件形式的质疑。</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28.5.4未参加磋商活动的供应商或在磋商活动中自身权益未受到损害的供应商所提出的质疑。</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28.5.5供应商组成联合体参加磋商，联合体中任何一方或多方未按要求签字、盖章、加盖公章的质疑。</w:t>
      </w:r>
    </w:p>
    <w:p>
      <w:pPr>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54" w:name="_Toc120614220"/>
      <w:bookmarkStart w:id="155" w:name="_Toc16938552"/>
      <w:bookmarkStart w:id="156" w:name="_Toc20823308"/>
      <w:bookmarkStart w:id="157" w:name="_Toc513029236"/>
      <w:r>
        <w:rPr>
          <w:rFonts w:hint="eastAsia" w:ascii="方正仿宋_GBK" w:hAnsi="方正仿宋_GBK" w:eastAsia="方正仿宋_GBK" w:cs="方正仿宋_GBK"/>
          <w:bCs/>
          <w:sz w:val="28"/>
          <w:szCs w:val="28"/>
        </w:rPr>
        <w:t>29</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成交通知书</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29.2成交通知书将是合同的一个组成部分。对采购人和成交供应商均具有法律效力。成交通知书发出后，采购人改变成交结果的，或者成交供应商放弃成交项目的，应当依法承担法律责任。</w:t>
      </w:r>
      <w:bookmarkEnd w:id="154"/>
      <w:bookmarkEnd w:id="155"/>
      <w:bookmarkEnd w:id="156"/>
      <w:bookmarkEnd w:id="157"/>
    </w:p>
    <w:p>
      <w:pPr>
        <w:keepNext/>
        <w:keepLines/>
        <w:pageBreakBefore w:val="0"/>
        <w:widowControl w:val="0"/>
        <w:spacing w:before="260" w:after="260" w:line="400" w:lineRule="exact"/>
        <w:ind w:firstLine="560"/>
        <w:jc w:val="left"/>
        <w:outlineLvl w:val="1"/>
        <w:rPr>
          <w:rFonts w:hint="eastAsia" w:ascii="方正黑体_GBK" w:hAnsi="方正黑体_GBK" w:eastAsia="方正黑体_GBK" w:cs="方正黑体_GBK"/>
          <w:b w:val="0"/>
          <w:bCs w:val="0"/>
          <w:sz w:val="28"/>
          <w:szCs w:val="28"/>
        </w:rPr>
      </w:pPr>
      <w:bookmarkStart w:id="158" w:name="_Toc479757207"/>
      <w:bookmarkStart w:id="159" w:name="_Toc20823314"/>
      <w:bookmarkStart w:id="160" w:name="_Toc120614221"/>
      <w:bookmarkStart w:id="161" w:name="_Toc513029242"/>
      <w:bookmarkStart w:id="162" w:name="_Toc16938558"/>
      <w:r>
        <w:rPr>
          <w:rFonts w:hint="eastAsia" w:ascii="方正黑体_GBK" w:hAnsi="方正黑体_GBK" w:eastAsia="方正黑体_GBK" w:cs="方正黑体_GBK"/>
          <w:b w:val="0"/>
          <w:bCs w:val="0"/>
          <w:sz w:val="28"/>
          <w:szCs w:val="28"/>
        </w:rPr>
        <w:t>七、授予合同</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bookmarkStart w:id="163" w:name="_Toc513029237"/>
      <w:bookmarkStart w:id="164" w:name="_Toc16938553"/>
      <w:bookmarkStart w:id="165" w:name="_Toc20823309"/>
      <w:r>
        <w:rPr>
          <w:rFonts w:hint="eastAsia" w:ascii="方正仿宋_GBK" w:hAnsi="方正仿宋_GBK" w:eastAsia="方正仿宋_GBK" w:cs="方正仿宋_GBK"/>
          <w:bCs/>
          <w:sz w:val="28"/>
          <w:szCs w:val="28"/>
        </w:rPr>
        <w:t>30.签订合同</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30.l成交供应商应当在成交通知书发出之日起三十日内，按照磋商文件确定的事项与采购人签订政府采购合同。</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30.2磋商文件、成交供应商的响应文件及磋商过程中有关澄清、承诺文件均应作为合同附件。</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30.3签订合同后，成交供应商不得将合同标的进行转包。未经采购人同意，成交供应商也不得采用分包形式履行合同,否则采购人有权终止合同。转包或分包造成采购人损失的，成交供应商应承担相应赔偿责任。</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31</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标的物的追加</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63"/>
      <w:bookmarkEnd w:id="164"/>
      <w:bookmarkEnd w:id="165"/>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32</w:t>
      </w:r>
      <w:r>
        <w:rPr>
          <w:rFonts w:hint="eastAsia" w:ascii="方正仿宋_GBK" w:hAnsi="方正仿宋_GBK" w:eastAsia="方正仿宋_GBK" w:cs="方正仿宋_GBK"/>
          <w:bCs/>
          <w:sz w:val="28"/>
          <w:szCs w:val="28"/>
          <w:lang w:val="en-US" w:eastAsia="zh-CN"/>
        </w:rPr>
        <w:t>.</w:t>
      </w:r>
      <w:r>
        <w:rPr>
          <w:rFonts w:hint="eastAsia" w:ascii="方正仿宋_GBK" w:hAnsi="方正仿宋_GBK" w:eastAsia="方正仿宋_GBK" w:cs="方正仿宋_GBK"/>
          <w:bCs/>
          <w:sz w:val="28"/>
          <w:szCs w:val="28"/>
        </w:rPr>
        <w:t>政府采购履约资金扶持政策</w:t>
      </w:r>
    </w:p>
    <w:p>
      <w:pPr>
        <w:keepLines w:val="0"/>
        <w:pageBreakBefore w:val="0"/>
        <w:widowControl w:val="0"/>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成交供应商可凭政府采购合同办理融资贷款，详情请见江苏政府采购网“政采贷”专栏。</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74"/>
        <w:rPr>
          <w:rFonts w:hint="eastAsia"/>
        </w:rPr>
      </w:pPr>
    </w:p>
    <w:p>
      <w:pPr>
        <w:keepNext/>
        <w:keepLines w:val="0"/>
        <w:pageBreakBefore w:val="0"/>
        <w:widowControl w:val="0"/>
        <w:spacing w:line="400" w:lineRule="exact"/>
        <w:ind w:firstLine="2240"/>
        <w:jc w:val="both"/>
        <w:outlineLvl w:val="0"/>
        <w:rPr>
          <w:rFonts w:hint="eastAsia" w:ascii="方正黑体_GBK" w:hAnsi="方正黑体_GBK" w:eastAsia="方正黑体_GBK" w:cs="方正黑体_GBK"/>
          <w:bCs/>
          <w:color w:val="000000"/>
          <w:sz w:val="28"/>
          <w:szCs w:val="28"/>
        </w:rPr>
      </w:pPr>
    </w:p>
    <w:p>
      <w:pPr>
        <w:keepNext/>
        <w:keepLines w:val="0"/>
        <w:pageBreakBefore w:val="0"/>
        <w:widowControl w:val="0"/>
        <w:spacing w:line="400" w:lineRule="exact"/>
        <w:ind w:firstLine="2240"/>
        <w:jc w:val="both"/>
        <w:outlineLvl w:val="0"/>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第三章  合同</w:t>
      </w:r>
      <w:bookmarkEnd w:id="158"/>
      <w:bookmarkEnd w:id="159"/>
      <w:bookmarkEnd w:id="160"/>
      <w:bookmarkEnd w:id="161"/>
      <w:bookmarkEnd w:id="162"/>
      <w:r>
        <w:rPr>
          <w:rFonts w:hint="eastAsia" w:ascii="方正黑体_GBK" w:hAnsi="方正黑体_GBK" w:eastAsia="方正黑体_GBK" w:cs="方正黑体_GBK"/>
          <w:bCs/>
          <w:color w:val="000000"/>
          <w:sz w:val="28"/>
          <w:szCs w:val="28"/>
        </w:rPr>
        <w:t>文本</w:t>
      </w:r>
    </w:p>
    <w:p>
      <w:pPr>
        <w:spacing w:before="156" w:after="156"/>
        <w:jc w:val="both"/>
        <w:outlineLvl w:val="0"/>
        <w:rPr>
          <w:rFonts w:hint="eastAsia" w:ascii="宋体" w:hAnsi="宋体"/>
          <w:b/>
          <w:sz w:val="30"/>
          <w:szCs w:val="21"/>
        </w:rPr>
      </w:pPr>
      <w:bookmarkStart w:id="166" w:name="_Toc16938559"/>
      <w:bookmarkStart w:id="167" w:name="_Toc20823315"/>
      <w:bookmarkStart w:id="168" w:name="_Toc513029243"/>
    </w:p>
    <w:p>
      <w:pPr>
        <w:pStyle w:val="74"/>
        <w:keepNext w:val="0"/>
        <w:keepLines w:val="0"/>
        <w:pageBreakBefore w:val="0"/>
        <w:widowControl w:val="0"/>
        <w:spacing w:line="400" w:lineRule="exact"/>
        <w:jc w:val="center"/>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江苏省政府采购合同</w:t>
      </w:r>
      <w:r>
        <w:rPr>
          <w:rFonts w:hint="eastAsia" w:ascii="方正黑体_GBK" w:hAnsi="方正黑体_GBK" w:eastAsia="方正黑体_GBK" w:cs="方正黑体_GBK"/>
          <w:b w:val="0"/>
          <w:bCs w:val="0"/>
          <w:spacing w:val="-20"/>
          <w:sz w:val="28"/>
          <w:szCs w:val="28"/>
          <w:lang w:val="en-US" w:eastAsia="zh-CN"/>
        </w:rPr>
        <w:t>（服务）</w:t>
      </w:r>
      <w:r>
        <w:rPr>
          <w:rFonts w:hint="eastAsia" w:ascii="方正黑体_GBK" w:hAnsi="方正黑体_GBK" w:eastAsia="方正黑体_GBK" w:cs="方正黑体_GBK"/>
          <w:b w:val="0"/>
          <w:bCs w:val="0"/>
          <w:spacing w:val="-20"/>
          <w:sz w:val="28"/>
          <w:szCs w:val="28"/>
        </w:rPr>
        <w:t>（合同编号）</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项目名称：</w:t>
      </w:r>
      <w:r>
        <w:rPr>
          <w:rFonts w:ascii="Times New Roman" w:hAnsi="Times New Roman" w:eastAsia="方正仿宋_GBK" w:cs="Times New Roman"/>
          <w:sz w:val="28"/>
          <w:szCs w:val="28"/>
          <w:lang w:eastAsia="zh-CN"/>
        </w:rPr>
        <w:t>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采购编号</w:t>
      </w:r>
      <w:r>
        <w:rPr>
          <w:rFonts w:hint="eastAsia" w:ascii="方正仿宋_GBK" w:hAnsi="方正仿宋_GBK" w:eastAsia="方正仿宋_GBK" w:cs="方正仿宋_GBK"/>
          <w:sz w:val="28"/>
          <w:szCs w:val="28"/>
        </w:rPr>
        <w:t>：</w:t>
      </w:r>
      <w:r>
        <w:rPr>
          <w:rFonts w:hint="eastAsia" w:ascii="Times New Roman" w:hAnsi="Times New Roman" w:eastAsia="方正仿宋_GBK" w:cs="Times New Roman"/>
          <w:sz w:val="28"/>
          <w:szCs w:val="28"/>
          <w:lang w:eastAsia="zh-CN"/>
        </w:rPr>
        <w:t>JSZC-320000-</w:t>
      </w:r>
      <w:r>
        <w:rPr>
          <w:rFonts w:hint="eastAsia" w:ascii="Times New Roman" w:hAnsi="Times New Roman" w:eastAsia="方正仿宋_GBK" w:cs="Times New Roman"/>
          <w:sz w:val="28"/>
          <w:szCs w:val="28"/>
          <w:lang w:val="en-US" w:eastAsia="zh-CN"/>
        </w:rPr>
        <w:t>SCZX-C20XX-XXXX</w:t>
      </w:r>
      <w:r>
        <w:rPr>
          <w:rFonts w:hint="eastAsia" w:ascii="Times New Roman" w:hAnsi="Times New Roman" w:eastAsia="方正仿宋_GBK" w:cs="Times New Roman"/>
          <w:sz w:val="28"/>
          <w:szCs w:val="28"/>
          <w:lang w:eastAsia="zh-CN"/>
        </w:rPr>
        <w:t xml:space="preserve">  </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采购包号：</w:t>
      </w:r>
      <w:r>
        <w:rPr>
          <w:rFonts w:hint="eastAsia" w:ascii="Times New Roman" w:hAnsi="Times New Roman" w:eastAsia="方正仿宋_GBK" w:cs="Times New Roman"/>
          <w:sz w:val="28"/>
          <w:szCs w:val="28"/>
          <w:lang w:eastAsia="zh-CN"/>
        </w:rPr>
        <w:t>XX</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甲方：（买方/采购人）_________</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乙方：（卖方/成交供应商）_________</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项目竞争性</w:t>
      </w:r>
      <w:r>
        <w:rPr>
          <w:rFonts w:hint="eastAsia" w:ascii="方正仿宋_GBK" w:hAnsi="方正仿宋_GBK" w:eastAsia="方正仿宋_GBK" w:cs="方正仿宋_GBK"/>
          <w:sz w:val="28"/>
          <w:szCs w:val="28"/>
          <w:lang w:eastAsia="zh-CN"/>
        </w:rPr>
        <w:t>磋商</w:t>
      </w:r>
      <w:r>
        <w:rPr>
          <w:rFonts w:hint="eastAsia" w:ascii="方正仿宋_GBK" w:hAnsi="方正仿宋_GBK" w:eastAsia="方正仿宋_GBK" w:cs="方正仿宋_GBK"/>
          <w:sz w:val="28"/>
          <w:szCs w:val="28"/>
        </w:rPr>
        <w:t>的结果，签署本合同。</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一、合同内容</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 标的名称：</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 标的质量：</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 标的数量（规模）：</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1.4 履行时间（期限）：</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 履行地点：</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 履行方式：</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二、合同金额</w:t>
      </w:r>
    </w:p>
    <w:p>
      <w:pPr>
        <w:keepNext w:val="0"/>
        <w:keepLines w:val="0"/>
        <w:pageBreakBefore w:val="0"/>
        <w:widowControl w:val="0"/>
        <w:spacing w:before="120" w:after="120" w:line="400" w:lineRule="exact"/>
        <w:ind w:left="0"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 本合同金额为（大写）：______圆（_____元）人民币或其他币种。</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三、技术资料</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3.1乙方应按</w:t>
      </w:r>
      <w:r>
        <w:rPr>
          <w:rFonts w:hint="eastAsia" w:ascii="方正仿宋_GBK" w:hAnsi="方正仿宋_GBK" w:eastAsia="方正仿宋_GBK" w:cs="方正仿宋_GBK"/>
          <w:sz w:val="28"/>
          <w:szCs w:val="28"/>
          <w:lang w:eastAsia="zh-CN"/>
        </w:rPr>
        <w:t>磋商文件</w:t>
      </w:r>
      <w:r>
        <w:rPr>
          <w:rFonts w:hint="eastAsia" w:ascii="方正仿宋_GBK" w:hAnsi="方正仿宋_GBK" w:eastAsia="方正仿宋_GBK" w:cs="方正仿宋_GBK"/>
          <w:sz w:val="28"/>
          <w:szCs w:val="28"/>
        </w:rPr>
        <w:t>规定的时间向甲方提供与合同标的有关的技术资料。</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四、知识产权</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4.1乙方应保证甲方在使用、接受本合同标的或其任何一部分时不受第三方提出侵犯其专利权、版权、商标权和工业设计权等知识产权的起诉。一旦出现侵权，由乙方负全部责任。</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五、产权担保</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5.1 乙方保证所交付的合同标的的所有权完全属于乙方且无任何抵押、查封等产权瑕疵。</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六、履约保证金</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6.1乙方交纳人民币_________元作为本合同的履约保证金。（不得超过合同金额的10%）</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6.2合同履行结束后，甲方应及时退还交纳的履约保证金。</w:t>
      </w:r>
    </w:p>
    <w:p>
      <w:pPr>
        <w:keepNext w:val="0"/>
        <w:keepLines w:val="0"/>
        <w:pageBreakBefore w:val="0"/>
        <w:widowControl w:val="0"/>
        <w:spacing w:before="120" w:after="120" w:line="400" w:lineRule="exact"/>
        <w:ind w:firstLine="560"/>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6.2.1履约保证金退还方式：</w:t>
      </w:r>
      <w:r>
        <w:rPr>
          <w:rFonts w:hint="eastAsia" w:ascii="Times New Roman" w:hAnsi="Times New Roman" w:eastAsia="方正仿宋_GBK" w:cs="Times New Roman"/>
          <w:sz w:val="28"/>
          <w:szCs w:val="28"/>
          <w:lang w:eastAsia="zh-CN"/>
        </w:rPr>
        <w:t>XXX</w:t>
      </w:r>
      <w:r>
        <w:rPr>
          <w:rFonts w:hint="eastAsia" w:ascii="Times New Roman" w:hAnsi="Times New Roman" w:eastAsia="方正仿宋_GBK" w:cs="Times New Roman"/>
          <w:sz w:val="28"/>
          <w:szCs w:val="28"/>
          <w:lang w:val="en-US" w:eastAsia="zh-CN"/>
        </w:rPr>
        <w:t>X</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6.2.2履约保证金退还时间：</w:t>
      </w:r>
      <w:r>
        <w:rPr>
          <w:rFonts w:hint="eastAsia" w:ascii="Times New Roman" w:hAnsi="Times New Roman" w:eastAsia="方正仿宋_GBK" w:cs="Times New Roman"/>
          <w:sz w:val="28"/>
          <w:szCs w:val="28"/>
          <w:lang w:eastAsia="zh-CN"/>
        </w:rPr>
        <w:t>XXX</w:t>
      </w:r>
      <w:r>
        <w:rPr>
          <w:rFonts w:hint="eastAsia" w:ascii="Times New Roman" w:hAnsi="Times New Roman" w:eastAsia="方正仿宋_GBK" w:cs="Times New Roman"/>
          <w:sz w:val="28"/>
          <w:szCs w:val="28"/>
          <w:lang w:val="en-US" w:eastAsia="zh-CN"/>
        </w:rPr>
        <w:t>X</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6.2.3履约保证金退还条件：</w:t>
      </w:r>
      <w:r>
        <w:rPr>
          <w:rFonts w:hint="eastAsia" w:ascii="Times New Roman" w:hAnsi="Times New Roman" w:eastAsia="方正仿宋_GBK" w:cs="Times New Roman"/>
          <w:sz w:val="28"/>
          <w:szCs w:val="28"/>
          <w:lang w:eastAsia="zh-CN"/>
        </w:rPr>
        <w:t>XXX</w:t>
      </w:r>
      <w:r>
        <w:rPr>
          <w:rFonts w:hint="eastAsia" w:ascii="Times New Roman" w:hAnsi="Times New Roman" w:eastAsia="方正仿宋_GBK" w:cs="Times New Roman"/>
          <w:sz w:val="28"/>
          <w:szCs w:val="28"/>
          <w:lang w:val="en-US" w:eastAsia="zh-CN"/>
        </w:rPr>
        <w:t>X</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6.2.4履约保证金不予退还的情形：</w:t>
      </w:r>
      <w:r>
        <w:rPr>
          <w:rFonts w:hint="eastAsia" w:ascii="Times New Roman" w:hAnsi="Times New Roman" w:eastAsia="方正仿宋_GBK" w:cs="Times New Roman"/>
          <w:sz w:val="28"/>
          <w:szCs w:val="28"/>
          <w:lang w:eastAsia="zh-CN"/>
        </w:rPr>
        <w:t>XXX</w:t>
      </w:r>
      <w:r>
        <w:rPr>
          <w:rFonts w:hint="eastAsia" w:ascii="Times New Roman" w:hAnsi="Times New Roman" w:eastAsia="方正仿宋_GBK" w:cs="Times New Roman"/>
          <w:sz w:val="28"/>
          <w:szCs w:val="28"/>
          <w:lang w:val="en-US" w:eastAsia="zh-CN"/>
        </w:rPr>
        <w:t>X</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七、合同转包或分包</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7.1乙方不得将合同标的转包给他人履行。</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7.2乙方不得将合同标的分包给他人履行。</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7.3乙方如有转包或未经甲方同意的分包行为，甲方有权解除合同。</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八、合同款项支付</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8.1合同款项的支付方式及进度安排</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8.1.1 预付款  支付时间：</w:t>
      </w:r>
      <w:r>
        <w:rPr>
          <w:rFonts w:hint="eastAsia" w:ascii="方正仿宋_GBK" w:hAnsi="方正仿宋_GBK" w:eastAsia="方正仿宋_GBK" w:cs="方正仿宋_GBK"/>
          <w:bCs/>
          <w:sz w:val="28"/>
          <w:szCs w:val="28"/>
          <w:u w:val="single"/>
        </w:rPr>
        <w:t>合同签订后</w:t>
      </w:r>
      <w:r>
        <w:rPr>
          <w:rFonts w:hint="eastAsia" w:ascii="Times New Roman" w:hAnsi="Times New Roman" w:eastAsia="方正仿宋_GBK" w:cs="Times New Roman"/>
          <w:sz w:val="28"/>
          <w:szCs w:val="28"/>
          <w:u w:val="single"/>
          <w:lang w:eastAsia="zh-CN"/>
        </w:rPr>
        <w:t>XX</w:t>
      </w:r>
      <w:r>
        <w:rPr>
          <w:rFonts w:hint="eastAsia" w:ascii="方正仿宋_GBK" w:hAnsi="方正仿宋_GBK" w:eastAsia="方正仿宋_GBK" w:cs="方正仿宋_GBK"/>
          <w:bCs/>
          <w:sz w:val="28"/>
          <w:szCs w:val="28"/>
          <w:u w:val="single"/>
        </w:rPr>
        <w:t>工作日内</w:t>
      </w:r>
      <w:r>
        <w:rPr>
          <w:rFonts w:hint="eastAsia" w:ascii="方正仿宋_GBK" w:hAnsi="方正仿宋_GBK" w:eastAsia="方正仿宋_GBK" w:cs="方正仿宋_GBK"/>
          <w:bCs/>
          <w:sz w:val="28"/>
          <w:szCs w:val="28"/>
        </w:rPr>
        <w:t>，预付款支付比例：</w:t>
      </w:r>
      <w:r>
        <w:rPr>
          <w:rFonts w:hint="eastAsia" w:ascii="方正仿宋_GBK" w:hAnsi="方正仿宋_GBK" w:eastAsia="方正仿宋_GBK" w:cs="方正仿宋_GBK"/>
          <w:sz w:val="28"/>
          <w:szCs w:val="28"/>
          <w:u w:val="single"/>
        </w:rPr>
        <w:t>合同金额的</w:t>
      </w:r>
      <w:r>
        <w:rPr>
          <w:rFonts w:hint="eastAsia" w:ascii="Times New Roman" w:hAnsi="Times New Roman" w:eastAsia="方正仿宋_GBK" w:cs="Times New Roman"/>
          <w:sz w:val="28"/>
          <w:szCs w:val="28"/>
          <w:u w:val="single"/>
          <w:lang w:eastAsia="zh-CN"/>
        </w:rPr>
        <w:t>XX</w:t>
      </w:r>
      <w:r>
        <w:rPr>
          <w:rFonts w:hint="eastAsia" w:ascii="方正仿宋_GBK" w:hAnsi="方正仿宋_GBK" w:eastAsia="方正仿宋_GBK" w:cs="方正仿宋_GBK"/>
          <w:sz w:val="28"/>
          <w:szCs w:val="28"/>
          <w:u w:val="single"/>
        </w:rPr>
        <w:t>%</w:t>
      </w:r>
      <w:r>
        <w:rPr>
          <w:rFonts w:hint="eastAsia" w:ascii="方正仿宋_GBK" w:hAnsi="方正仿宋_GBK" w:eastAsia="方正仿宋_GBK" w:cs="方正仿宋_GBK"/>
          <w:bCs/>
          <w:sz w:val="28"/>
          <w:szCs w:val="28"/>
        </w:rPr>
        <w:t>。</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8.1.2 尾款  支付时间：</w:t>
      </w:r>
      <w:r>
        <w:rPr>
          <w:rFonts w:hint="eastAsia" w:ascii="方正仿宋_GBK" w:hAnsi="方正仿宋_GBK" w:eastAsia="方正仿宋_GBK" w:cs="方正仿宋_GBK"/>
          <w:bCs/>
          <w:sz w:val="28"/>
          <w:szCs w:val="28"/>
          <w:u w:val="single"/>
        </w:rPr>
        <w:t>采购人收到发票后10个工作日内</w:t>
      </w:r>
      <w:r>
        <w:rPr>
          <w:rFonts w:hint="eastAsia" w:ascii="方正仿宋_GBK" w:hAnsi="方正仿宋_GBK" w:eastAsia="方正仿宋_GBK" w:cs="方正仿宋_GBK"/>
          <w:bCs/>
          <w:sz w:val="28"/>
          <w:szCs w:val="28"/>
        </w:rPr>
        <w:t>，尾款支付比例：</w:t>
      </w:r>
      <w:r>
        <w:rPr>
          <w:rFonts w:hint="eastAsia" w:ascii="方正仿宋_GBK" w:hAnsi="方正仿宋_GBK" w:eastAsia="方正仿宋_GBK" w:cs="方正仿宋_GBK"/>
          <w:sz w:val="28"/>
          <w:szCs w:val="28"/>
          <w:u w:val="single"/>
        </w:rPr>
        <w:t>合同金额的</w:t>
      </w:r>
      <w:r>
        <w:rPr>
          <w:rFonts w:hint="eastAsia" w:ascii="Times New Roman" w:hAnsi="Times New Roman" w:eastAsia="方正仿宋_GBK" w:cs="Times New Roman"/>
          <w:sz w:val="28"/>
          <w:szCs w:val="28"/>
          <w:u w:val="single"/>
          <w:lang w:eastAsia="zh-CN"/>
        </w:rPr>
        <w:t>XX</w:t>
      </w:r>
      <w:r>
        <w:rPr>
          <w:rFonts w:hint="eastAsia" w:ascii="方正仿宋_GBK" w:hAnsi="方正仿宋_GBK" w:eastAsia="方正仿宋_GBK" w:cs="方正仿宋_GBK"/>
          <w:sz w:val="28"/>
          <w:szCs w:val="28"/>
          <w:u w:val="single"/>
        </w:rPr>
        <w:t>%</w:t>
      </w:r>
      <w:r>
        <w:rPr>
          <w:rFonts w:hint="eastAsia" w:ascii="方正仿宋_GBK" w:hAnsi="方正仿宋_GBK" w:eastAsia="方正仿宋_GBK" w:cs="方正仿宋_GBK"/>
          <w:bCs/>
          <w:sz w:val="28"/>
          <w:szCs w:val="28"/>
        </w:rPr>
        <w:t>。</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九、税费</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9.1本合同执行中相关的一切税费均由乙方负担。</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十、项目验收</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10.1 甲方依法组织履约验收工作。</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10.3 对于实际使用人和甲方分离的项目，甲方邀请实际使用人参与验收。</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10.4 如有必要，甲方邀请参加本项目的其他供应商或第三方专业机构及专家参与验收，相关意见将作为验收书的参考资料。</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中华人民共和国</w:t>
      </w:r>
      <w:r>
        <w:rPr>
          <w:rFonts w:hint="eastAsia" w:ascii="方正仿宋_GBK" w:hAnsi="方正仿宋_GBK" w:eastAsia="方正仿宋_GBK" w:cs="方正仿宋_GBK"/>
          <w:bCs/>
          <w:sz w:val="28"/>
          <w:szCs w:val="28"/>
        </w:rPr>
        <w:t>民法典》。乙方在履约过程中有政府采购法律法规规定的违法违规情形的,甲方将及时报告本级财政部门。</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十一、违约责任</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bCs/>
          <w:sz w:val="28"/>
          <w:szCs w:val="28"/>
          <w:u w:val="single"/>
          <w:lang w:val="en-US" w:eastAsia="zh-CN"/>
        </w:rPr>
        <w:t>%</w:t>
      </w:r>
      <w:r>
        <w:rPr>
          <w:rFonts w:hint="eastAsia" w:ascii="方正仿宋_GBK" w:hAnsi="方正仿宋_GBK" w:eastAsia="方正仿宋_GBK" w:cs="方正仿宋_GBK"/>
          <w:bCs/>
          <w:sz w:val="28"/>
          <w:szCs w:val="28"/>
        </w:rPr>
        <w:t>的违约金。</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bCs/>
          <w:sz w:val="28"/>
          <w:szCs w:val="28"/>
          <w:u w:val="single"/>
          <w:lang w:val="en-US" w:eastAsia="zh-CN"/>
        </w:rPr>
        <w:t>%</w:t>
      </w:r>
      <w:r>
        <w:rPr>
          <w:rFonts w:hint="eastAsia" w:ascii="方正仿宋_GBK" w:hAnsi="方正仿宋_GBK" w:eastAsia="方正仿宋_GBK" w:cs="方正仿宋_GBK"/>
          <w:bCs/>
          <w:sz w:val="28"/>
          <w:szCs w:val="28"/>
        </w:rPr>
        <w:t>每日向乙方支付违约金。</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bCs/>
          <w:sz w:val="28"/>
          <w:szCs w:val="28"/>
          <w:u w:val="single"/>
          <w:lang w:val="en-US" w:eastAsia="zh-CN"/>
        </w:rPr>
        <w:t>%</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11.4 乙方交付合同标的的标准不符合合同规定及</w:t>
      </w:r>
      <w:r>
        <w:rPr>
          <w:rFonts w:hint="eastAsia" w:ascii="方正仿宋_GBK" w:hAnsi="方正仿宋_GBK" w:eastAsia="方正仿宋_GBK" w:cs="方正仿宋_GBK"/>
          <w:bCs/>
          <w:sz w:val="28"/>
          <w:szCs w:val="28"/>
          <w:lang w:eastAsia="zh-CN"/>
        </w:rPr>
        <w:t>磋商文件</w:t>
      </w:r>
      <w:r>
        <w:rPr>
          <w:rFonts w:hint="eastAsia" w:ascii="方正仿宋_GBK" w:hAnsi="方正仿宋_GBK" w:eastAsia="方正仿宋_GBK" w:cs="方正仿宋_GBK"/>
          <w:bCs/>
          <w:sz w:val="28"/>
          <w:szCs w:val="28"/>
        </w:rPr>
        <w:t>规定标准的，甲方有权拒绝接受合同标的，并可单方面解除合同。</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十二、不可抗力事件处理</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12.1 在合同有效期内，任何一方因不可抗力事件导致不能履行合同，则合同履行期可延长，其延长期与不可抗力影响 期相同。</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12.2 不可抗力事件发生后，应立即通知对方，并寄送有关权威机构出具的证明。</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12.3 不可抗力事件延续120天以上，双方应通过友好协商，确定是否继续履行合同。</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十三、解决争议的方法</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13.1双方在签订、履行合同中所发生的一切争议，应通过友好协商解决。如协商不成，由甲方住所地人民法院管辖。</w:t>
      </w:r>
    </w:p>
    <w:p>
      <w:pPr>
        <w:pStyle w:val="243"/>
        <w:keepNext w:val="0"/>
        <w:keepLines w:val="0"/>
        <w:pageBreakBefore w:val="0"/>
        <w:widowControl w:val="0"/>
        <w:spacing w:before="120" w:after="120" w:line="400" w:lineRule="exact"/>
        <w:ind w:firstLine="56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十四、合同生效及其它</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14.1 合同经双方法定代表人或授权委托代表人签字并加盖单位公章后生效。</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14.2本合同未尽事宜，遵照中华人民共和国现行法律法规有关条文执行。</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14.3 本合同正本一式两份，具有同等法律效力，甲方、乙方各执一份。</w:t>
      </w:r>
    </w:p>
    <w:p>
      <w:pPr>
        <w:keepNext w:val="0"/>
        <w:keepLines w:val="0"/>
        <w:pageBreakBefore w:val="0"/>
        <w:widowControl w:val="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p>
    <w:p>
      <w:pPr>
        <w:keepNext w:val="0"/>
        <w:keepLines w:val="0"/>
        <w:pageBreakBefore w:val="0"/>
        <w:widowControl w:val="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p>
    <w:p>
      <w:pPr>
        <w:keepNext w:val="0"/>
        <w:keepLines w:val="0"/>
        <w:pageBreakBefore w:val="0"/>
        <w:widowControl w:val="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p>
    <w:p>
      <w:pPr>
        <w:keepNext w:val="0"/>
        <w:keepLines w:val="0"/>
        <w:pageBreakBefore w:val="0"/>
        <w:widowControl w:val="0"/>
        <w:spacing w:before="120" w:after="12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p>
    <w:p>
      <w:pPr>
        <w:keepNext w:val="0"/>
        <w:keepLines w:val="0"/>
        <w:pageBreakBefore w:val="0"/>
        <w:widowControl w:val="0"/>
        <w:spacing w:before="120" w:after="120" w:line="400" w:lineRule="exact"/>
        <w:ind w:firstLine="560"/>
        <w:jc w:val="righ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p>
    <w:p>
      <w:pPr>
        <w:spacing w:line="500" w:lineRule="exact"/>
        <w:ind w:firstLine="480"/>
        <w:jc w:val="right"/>
        <w:rPr>
          <w:rFonts w:ascii="Times New Roman" w:hAnsi="Times New Roman"/>
          <w:sz w:val="24"/>
          <w:szCs w:val="24"/>
        </w:rPr>
      </w:pPr>
    </w:p>
    <w:p>
      <w:pPr>
        <w:spacing w:line="500" w:lineRule="exact"/>
        <w:ind w:firstLine="480"/>
        <w:jc w:val="right"/>
        <w:rPr>
          <w:rFonts w:hint="eastAsia" w:ascii="Times New Roman" w:hAnsi="Times New Roman" w:eastAsia="宋体"/>
          <w:sz w:val="24"/>
          <w:szCs w:val="24"/>
          <w:lang w:val="en-US" w:eastAsia="zh-CN"/>
        </w:rPr>
      </w:pPr>
      <w:r>
        <w:rPr>
          <w:rFonts w:hint="eastAsia" w:ascii="Times New Roman" w:hAnsi="Times New Roman"/>
          <w:sz w:val="24"/>
          <w:szCs w:val="24"/>
          <w:lang w:val="en-US" w:eastAsia="zh-CN"/>
        </w:rPr>
        <w:t xml:space="preserve"> </w:t>
      </w:r>
    </w:p>
    <w:bookmarkEnd w:id="166"/>
    <w:bookmarkEnd w:id="167"/>
    <w:bookmarkEnd w:id="168"/>
    <w:p>
      <w:pPr>
        <w:spacing w:line="500" w:lineRule="exact"/>
        <w:ind w:firstLine="480"/>
        <w:jc w:val="right"/>
        <w:rPr>
          <w:rFonts w:ascii="Times New Roman" w:hAnsi="Times New Roman"/>
          <w:sz w:val="24"/>
          <w:szCs w:val="24"/>
        </w:rPr>
      </w:pPr>
    </w:p>
    <w:p>
      <w:pPr>
        <w:pStyle w:val="210"/>
        <w:keepNext/>
        <w:keepLines/>
        <w:pageBreakBefore w:val="0"/>
        <w:widowControl w:val="0"/>
        <w:spacing w:line="400" w:lineRule="exact"/>
        <w:rPr>
          <w:rFonts w:ascii="宋体" w:hAnsi="Courier New" w:cs="Courier New"/>
          <w:sz w:val="28"/>
          <w:szCs w:val="28"/>
        </w:rPr>
      </w:pPr>
      <w:bookmarkStart w:id="169" w:name="_Hlt16619369"/>
      <w:bookmarkEnd w:id="169"/>
      <w:bookmarkStart w:id="170" w:name="_Hlt16619350"/>
      <w:bookmarkStart w:id="171" w:name="_Toc120614244"/>
      <w:bookmarkStart w:id="172" w:name="_Toc20823346"/>
      <w:bookmarkStart w:id="173" w:name="_Toc16938590"/>
      <w:bookmarkStart w:id="174" w:name="_Toc462564139"/>
      <w:bookmarkStart w:id="175" w:name="_Toc479757211"/>
      <w:r>
        <w:rPr>
          <w:rFonts w:ascii="黑体" w:hAnsi="Courier New" w:eastAsia="黑体" w:cs="Courier New"/>
          <w:bCs w:val="0"/>
          <w:sz w:val="44"/>
          <w:szCs w:val="21"/>
        </w:rPr>
        <w:br w:type="page" w:clear="all"/>
      </w:r>
      <w:bookmarkEnd w:id="170"/>
      <w:bookmarkEnd w:id="171"/>
      <w:bookmarkEnd w:id="172"/>
      <w:bookmarkEnd w:id="173"/>
      <w:bookmarkStart w:id="176" w:name="_Toc26554093"/>
      <w:bookmarkStart w:id="177" w:name="_Toc49090575"/>
      <w:r>
        <w:rPr>
          <w:rFonts w:hint="eastAsia" w:ascii="方正黑体_GBK" w:hAnsi="方正黑体_GBK" w:eastAsia="方正黑体_GBK" w:cs="方正黑体_GBK"/>
          <w:b w:val="0"/>
          <w:bCs w:val="0"/>
          <w:sz w:val="28"/>
          <w:szCs w:val="28"/>
          <w:lang w:val="en-US" w:eastAsia="zh-CN"/>
        </w:rPr>
        <w:t>第四章 采购需求</w:t>
      </w:r>
    </w:p>
    <w:p>
      <w:pPr>
        <w:pStyle w:val="210"/>
        <w:keepNext/>
        <w:keepLines/>
        <w:pageBreakBefore w:val="0"/>
        <w:widowControl w:val="0"/>
        <w:spacing w:line="400" w:lineRule="exact"/>
        <w:jc w:val="left"/>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一、采购标的清单</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9"/>
        <w:gridCol w:w="1007"/>
        <w:gridCol w:w="2764"/>
        <w:gridCol w:w="27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249"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采购</w:t>
            </w:r>
          </w:p>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包号</w:t>
            </w:r>
          </w:p>
        </w:tc>
        <w:tc>
          <w:tcPr>
            <w:tcW w:w="1007"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序号</w:t>
            </w:r>
          </w:p>
        </w:tc>
        <w:tc>
          <w:tcPr>
            <w:tcW w:w="2764"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采购标的</w:t>
            </w:r>
          </w:p>
        </w:tc>
        <w:tc>
          <w:tcPr>
            <w:tcW w:w="2738"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对应中小企业划分标准所属行业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1249"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Times New Roman" w:hAnsi="Times New Roman" w:eastAsia="方正仿宋_GBK" w:cs="Times New Roman"/>
                <w:sz w:val="28"/>
                <w:szCs w:val="28"/>
                <w:u w:val="none"/>
                <w:lang w:val="en-US" w:eastAsia="zh-CN" w:bidi="ar-SA"/>
              </w:rPr>
              <w:t>1</w:t>
            </w:r>
          </w:p>
        </w:tc>
        <w:tc>
          <w:tcPr>
            <w:tcW w:w="1007"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1</w:t>
            </w:r>
          </w:p>
        </w:tc>
        <w:tc>
          <w:tcPr>
            <w:tcW w:w="2764" w:type="dxa"/>
            <w:noWrap w:val="0"/>
            <w:vAlign w:val="top"/>
          </w:tcPr>
          <w:p>
            <w:pPr>
              <w:keepNext w:val="0"/>
              <w:keepLines w:val="0"/>
              <w:pageBreakBefore w:val="0"/>
              <w:widowControl w:val="0"/>
              <w:tabs>
                <w:tab w:val="left" w:pos="2020"/>
              </w:tabs>
              <w:spacing w:line="400" w:lineRule="exact"/>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基于K5平台的大型仪器智慧管理与共享服务平台二期升级</w:t>
            </w:r>
            <w:r>
              <w:rPr>
                <w:rFonts w:hint="eastAsia" w:ascii="方正仿宋_GBK" w:hAnsi="方正仿宋_GBK" w:eastAsia="方正仿宋_GBK" w:cs="方正仿宋_GBK"/>
                <w:sz w:val="28"/>
                <w:szCs w:val="28"/>
                <w:lang w:val="en-US" w:eastAsia="zh-CN" w:bidi="ar-SA"/>
              </w:rPr>
              <w:tab/>
            </w:r>
          </w:p>
        </w:tc>
        <w:tc>
          <w:tcPr>
            <w:tcW w:w="2738"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软件和信息技术服务业</w:t>
            </w:r>
          </w:p>
        </w:tc>
      </w:tr>
    </w:tbl>
    <w:p>
      <w:pPr>
        <w:pStyle w:val="210"/>
        <w:keepNext/>
        <w:keepLines/>
        <w:pageBreakBefore w:val="0"/>
        <w:widowControl w:val="0"/>
        <w:spacing w:line="400" w:lineRule="exact"/>
        <w:jc w:val="left"/>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二、政府采购中实施本国产品标准及相关政策</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1.根据《国务院办公厅关于在政府采购中实施本国产品标准及相关政策的通知》（国办发〔2025〕34号）规定，本项目对采购本国产品给予政策支持，具体内容见磋商文件“第五章 评审方法与评审标准”。</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210"/>
        <w:keepNext/>
        <w:keepLines/>
        <w:pageBreakBefore w:val="0"/>
        <w:widowControl w:val="0"/>
        <w:spacing w:line="400" w:lineRule="exact"/>
        <w:jc w:val="left"/>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三、技术要求</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3.1 项目概况</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大型仪器智慧管理与共享平台已完成基础平台搭建，实现了仪器信息管理、预约共享、信用评价等核心功能。本次升级在大型仪器智慧管理与共享服务平台一期建设成果基础上进行软件功能升级与扩展，并新增终端硬件覆盖，重点扩大仪器设备的接入范围与管理深度，提升共享服务的便利性和管理精细化水平，满足实验室对仪器设备管理的实时性、连续性及未来业务扩展需求。系统部署需兼容现有的平台系统，适配原有技术架构、部署环境及相关接口体系，确保无缝对接、协同工作和业务连续。</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现有平台基于南京凯佩 K5 Dev Platform微服务开发平台构建，后端采用.NET Framework，前后端分离的RESTful微服务架构，使用Linux平台部署，数据库兼容MySQL/OceanBase等；接口支持XML/JSON/JSONP/SOAP等多种协议，内置Javascript与Razor引擎，可灵活扩展。原开发商承诺免费向本次升级提供全部接口支持，不收取任何对接费用。</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3.2 总体架构和建设需求</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3.2.1 升级后的系统架构</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本期升级以软件功能优化与扩展为核心，同步推进终端硬件覆盖，硬件设备覆盖范围扩展至全院各实验楼宇，并涵盖异地分支机构（包括苏州、宜兴等），重点针对原值50万元以上的仪器设备实现终端节点接入与数据采集。</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升级建设应适配原有系统架构、部署方式、数据库环境、接口标准及消息机制，确保现有系统平滑升级。</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3.2.2 系统功能升级方案</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系统功能升级方案涵盖前台服务层和后台管理层两大方向。</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前台服务层重点优化用户访问体验，包括网站性能升级、后台个性化展示配置、仪器信息卡片化展示、移动端扫一扫快捷操作等。</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后台管理层重点强化业务管理能力，包括仪器管理批量导入、预约多维度筛选与批量审批、使用记录批量导入与导出、年度使用时长目标管理、信用评价自定义等级与行为规则、消息通知渠道扩展、仪器维修维护全流程管理、仪器报废全生命周期管理、插座绑定与功率实时监测、统计汇总与可视化分析等。</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升级过程中应集成兼容原系统既有功能、历史数据和业务流程，保证原有模块可延续使用并支持新旧功能协同运行。用户需通过与现有平台一致的统一身份认证方式登录后方可使用预约、使用登记等核心功能。</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3.2.3 功能栏目建设需求</w:t>
      </w:r>
    </w:p>
    <w:p>
      <w:pPr>
        <w:pStyle w:val="74"/>
        <w:rPr>
          <w:rFonts w:hint="eastAsia"/>
          <w:lang w:val="en-US" w:eastAsia="zh-CN"/>
        </w:rPr>
      </w:pPr>
    </w:p>
    <w:tbl>
      <w:tblPr>
        <w:tblStyle w:val="2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9"/>
        <w:gridCol w:w="1288"/>
        <w:gridCol w:w="2106"/>
        <w:gridCol w:w="42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49" w:type="dxa"/>
            <w:noWrap w:val="0"/>
            <w:vAlign w:val="center"/>
          </w:tcPr>
          <w:p>
            <w:pPr>
              <w:widowControl w:val="0"/>
              <w:jc w:val="both"/>
              <w:rPr>
                <w:rFonts w:hint="eastAsia" w:ascii="方正仿宋_GBK" w:hAnsi="方正仿宋_GBK" w:eastAsia="方正仿宋_GBK" w:cs="方正仿宋_GBK"/>
                <w:b/>
                <w:bCs/>
                <w:sz w:val="28"/>
                <w:szCs w:val="32"/>
                <w:vertAlign w:val="baseline"/>
                <w:lang w:val="en-US" w:eastAsia="zh-CN" w:bidi="ar-SA"/>
              </w:rPr>
            </w:pPr>
            <w:r>
              <w:rPr>
                <w:rFonts w:hint="eastAsia" w:ascii="方正仿宋_GBK" w:hAnsi="方正仿宋_GBK" w:eastAsia="方正仿宋_GBK" w:cs="方正仿宋_GBK"/>
                <w:b/>
                <w:bCs/>
                <w:sz w:val="28"/>
                <w:szCs w:val="32"/>
                <w:vertAlign w:val="baseline"/>
                <w:lang w:val="en-US" w:eastAsia="zh-CN" w:bidi="ar-SA"/>
              </w:rPr>
              <w:t>序号</w:t>
            </w:r>
          </w:p>
        </w:tc>
        <w:tc>
          <w:tcPr>
            <w:tcW w:w="1288" w:type="dxa"/>
            <w:noWrap w:val="0"/>
            <w:vAlign w:val="center"/>
          </w:tcPr>
          <w:p>
            <w:pPr>
              <w:widowControl w:val="0"/>
              <w:jc w:val="both"/>
              <w:rPr>
                <w:rFonts w:hint="eastAsia" w:ascii="方正仿宋_GBK" w:hAnsi="方正仿宋_GBK" w:eastAsia="方正仿宋_GBK" w:cs="方正仿宋_GBK"/>
                <w:b/>
                <w:bCs/>
                <w:sz w:val="28"/>
                <w:szCs w:val="32"/>
                <w:vertAlign w:val="baseline"/>
                <w:lang w:val="en-US" w:eastAsia="zh-CN" w:bidi="ar-SA"/>
              </w:rPr>
            </w:pPr>
            <w:r>
              <w:rPr>
                <w:rFonts w:hint="eastAsia" w:ascii="方正仿宋_GBK" w:hAnsi="方正仿宋_GBK" w:eastAsia="方正仿宋_GBK" w:cs="方正仿宋_GBK"/>
                <w:b/>
                <w:bCs/>
                <w:sz w:val="28"/>
                <w:szCs w:val="32"/>
                <w:vertAlign w:val="baseline"/>
                <w:lang w:val="en-US" w:eastAsia="zh-CN" w:bidi="ar-SA"/>
              </w:rPr>
              <w:t>栏目</w:t>
            </w:r>
          </w:p>
        </w:tc>
        <w:tc>
          <w:tcPr>
            <w:tcW w:w="2106" w:type="dxa"/>
            <w:noWrap w:val="0"/>
            <w:vAlign w:val="center"/>
          </w:tcPr>
          <w:p>
            <w:pPr>
              <w:widowControl w:val="0"/>
              <w:jc w:val="both"/>
              <w:rPr>
                <w:rFonts w:hint="eastAsia" w:ascii="方正仿宋_GBK" w:hAnsi="方正仿宋_GBK" w:eastAsia="方正仿宋_GBK" w:cs="方正仿宋_GBK"/>
                <w:b/>
                <w:bCs/>
                <w:sz w:val="28"/>
                <w:szCs w:val="32"/>
                <w:vertAlign w:val="baseline"/>
                <w:lang w:val="en-US" w:eastAsia="zh-CN" w:bidi="ar-SA"/>
              </w:rPr>
            </w:pPr>
            <w:r>
              <w:rPr>
                <w:rFonts w:hint="eastAsia" w:ascii="方正仿宋_GBK" w:hAnsi="方正仿宋_GBK" w:eastAsia="方正仿宋_GBK" w:cs="方正仿宋_GBK"/>
                <w:b/>
                <w:bCs/>
                <w:sz w:val="28"/>
                <w:szCs w:val="32"/>
                <w:vertAlign w:val="baseline"/>
                <w:lang w:val="en-US" w:eastAsia="zh-CN" w:bidi="ar-SA"/>
              </w:rPr>
              <w:t>功能模块</w:t>
            </w:r>
          </w:p>
        </w:tc>
        <w:tc>
          <w:tcPr>
            <w:tcW w:w="4279" w:type="dxa"/>
            <w:noWrap w:val="0"/>
            <w:vAlign w:val="center"/>
          </w:tcPr>
          <w:p>
            <w:pPr>
              <w:widowControl w:val="0"/>
              <w:jc w:val="both"/>
              <w:rPr>
                <w:rFonts w:hint="eastAsia" w:ascii="方正仿宋_GBK" w:hAnsi="方正仿宋_GBK" w:eastAsia="方正仿宋_GBK" w:cs="方正仿宋_GBK"/>
                <w:b/>
                <w:bCs/>
                <w:sz w:val="28"/>
                <w:szCs w:val="32"/>
                <w:vertAlign w:val="baseline"/>
                <w:lang w:val="en-US" w:eastAsia="zh-CN" w:bidi="ar-SA"/>
              </w:rPr>
            </w:pPr>
            <w:r>
              <w:rPr>
                <w:rFonts w:hint="eastAsia" w:ascii="方正仿宋_GBK" w:hAnsi="方正仿宋_GBK" w:eastAsia="方正仿宋_GBK" w:cs="方正仿宋_GBK"/>
                <w:b/>
                <w:bCs/>
                <w:sz w:val="28"/>
                <w:szCs w:val="32"/>
                <w:vertAlign w:val="baseline"/>
                <w:lang w:val="en-US" w:eastAsia="zh-CN" w:bidi="ar-SA"/>
              </w:rPr>
              <w:t>功能模块简要说明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1</w:t>
            </w:r>
          </w:p>
        </w:tc>
        <w:tc>
          <w:tcPr>
            <w:tcW w:w="1288"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大型仪器共享服务平台升级</w:t>
            </w:r>
          </w:p>
        </w:tc>
        <w:tc>
          <w:tcPr>
            <w:tcW w:w="2106"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1.1后台管理</w:t>
            </w:r>
          </w:p>
        </w:tc>
        <w:tc>
          <w:tcPr>
            <w:tcW w:w="4279"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增强网站管理能力，支持定时灰屏等个性化展示配置。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1.2网站搭建技术升级</w:t>
            </w:r>
          </w:p>
        </w:tc>
        <w:tc>
          <w:tcPr>
            <w:tcW w:w="4279"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全面升级网站页面加载与切换性能，提升视觉呈现效果，确保系统运行稳定、响应迅速，便于后续功能扩展与维护。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2</w:t>
            </w:r>
          </w:p>
        </w:tc>
        <w:tc>
          <w:tcPr>
            <w:tcW w:w="1288"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管理后台现有功能模块升级</w:t>
            </w:r>
          </w:p>
        </w:tc>
        <w:tc>
          <w:tcPr>
            <w:tcW w:w="2106"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2.1仪器管理模块升级</w:t>
            </w:r>
          </w:p>
        </w:tc>
        <w:tc>
          <w:tcPr>
            <w:tcW w:w="4279"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增加仪器批量导入功能；优化仪器管理界面交互设计与操作流程；增强统计分析能力，支持生成仪器使用频率、故障率等多维度统计报表，并以图表形式直观展示。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2.2仪器预约模块升级</w:t>
            </w:r>
          </w:p>
        </w:tc>
        <w:tc>
          <w:tcPr>
            <w:tcW w:w="4279"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支持按状态、时间、人员、仪器等多维度筛选与搜索预约记录，支持批量审批；新增预约记录导出报表功能，支持多条件筛选导出Excel。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2.3仪器使用管理升级</w:t>
            </w:r>
          </w:p>
        </w:tc>
        <w:tc>
          <w:tcPr>
            <w:tcW w:w="4279"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优化使用记录管理页面交互设计与操作布局；增加使用记录批量导入功能；新增具体仪器使用记录导出功能，支持按筛选条件导出Excel；支持按仪器或仪器分类配置年度要求使用时长，系统自动统计累计使用时长并标识是否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2.4信用评价管理模块升级</w:t>
            </w:r>
          </w:p>
        </w:tc>
        <w:tc>
          <w:tcPr>
            <w:tcW w:w="4279"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新增自定义等级数量与名称功能，管理员可增加或减少信用等级并自定义等级名称、分数范围；支持自定义新增行为类型及对应分值变化，可编辑、启用或停用。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2.5消息通知升级</w:t>
            </w:r>
          </w:p>
        </w:tc>
        <w:tc>
          <w:tcPr>
            <w:tcW w:w="4279" w:type="dxa"/>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新增邮箱推送功能，支持用户绑定邮箱地址，系统可将预约提醒、违约提醒、维护公告等关键通知同步发送至用户邮箱。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2.6 </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仪器设备资产全览</w:t>
            </w:r>
          </w:p>
        </w:tc>
        <w:tc>
          <w:tcPr>
            <w:tcW w:w="4279"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i w:val="0"/>
                <w:iCs w:val="0"/>
                <w:caps w:val="0"/>
                <w:spacing w:val="0"/>
                <w:sz w:val="28"/>
                <w:szCs w:val="28"/>
                <w:shd w:val="clear" w:color="auto" w:fill="auto"/>
                <w:vertAlign w:val="baseline"/>
                <w:lang w:val="en-US" w:eastAsia="zh-CN" w:bidi="ar-SA"/>
              </w:rPr>
              <w:t>仪器</w:t>
            </w:r>
            <w:r>
              <w:rPr>
                <w:rStyle w:val="228"/>
                <w:rFonts w:hint="eastAsia" w:ascii="方正仿宋_GBK" w:hAnsi="方正仿宋_GBK" w:eastAsia="方正仿宋_GBK" w:cs="方正仿宋_GBK"/>
                <w:b w:val="0"/>
                <w:bCs w:val="0"/>
                <w:i w:val="0"/>
                <w:iCs w:val="0"/>
                <w:caps w:val="0"/>
                <w:spacing w:val="0"/>
                <w:sz w:val="28"/>
                <w:szCs w:val="28"/>
                <w:shd w:val="clear" w:color="auto" w:fill="auto"/>
                <w:vertAlign w:val="baseline"/>
                <w:lang w:val="en-US" w:eastAsia="zh-CN" w:bidi="ar-SA"/>
              </w:rPr>
              <w:t>设备基础信息的集中展示、多维度筛选查询、批量导出及状态管理，实现资产全览与精细化管控</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（视频演示）。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2.7</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运行数据自动采集</w:t>
            </w:r>
          </w:p>
        </w:tc>
        <w:tc>
          <w:tcPr>
            <w:tcW w:w="4279"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Style w:val="228"/>
                <w:rFonts w:hint="eastAsia" w:ascii="方正仿宋_GBK" w:hAnsi="方正仿宋_GBK" w:eastAsia="方正仿宋_GBK" w:cs="方正仿宋_GBK"/>
                <w:b w:val="0"/>
                <w:bCs w:val="0"/>
                <w:i w:val="0"/>
                <w:iCs w:val="0"/>
                <w:caps w:val="0"/>
                <w:spacing w:val="0"/>
                <w:sz w:val="28"/>
                <w:szCs w:val="28"/>
                <w:shd w:val="clear" w:color="auto" w:fill="auto"/>
                <w:vertAlign w:val="baseline"/>
                <w:lang w:val="en-US" w:eastAsia="zh-CN" w:bidi="ar-SA"/>
              </w:rPr>
              <w:t>通过物联网智能插座自动采集仪器运行数据，实现使用记录的实时</w:t>
            </w:r>
            <w:r>
              <w:rPr>
                <w:rFonts w:hint="eastAsia" w:ascii="方正仿宋_GBK" w:hAnsi="方正仿宋_GBK" w:eastAsia="方正仿宋_GBK" w:cs="方正仿宋_GBK"/>
                <w:b w:val="0"/>
                <w:bCs w:val="0"/>
                <w:i w:val="0"/>
                <w:iCs w:val="0"/>
                <w:caps w:val="0"/>
                <w:spacing w:val="0"/>
                <w:sz w:val="28"/>
                <w:szCs w:val="28"/>
                <w:shd w:val="clear" w:color="auto" w:fill="auto"/>
                <w:vertAlign w:val="baseline"/>
                <w:lang w:val="en-US" w:eastAsia="zh-CN" w:bidi="ar-SA"/>
              </w:rPr>
              <w:t>采集</w:t>
            </w:r>
            <w:r>
              <w:rPr>
                <w:rStyle w:val="228"/>
                <w:rFonts w:hint="eastAsia" w:ascii="方正仿宋_GBK" w:hAnsi="方正仿宋_GBK" w:eastAsia="方正仿宋_GBK" w:cs="方正仿宋_GBK"/>
                <w:b w:val="0"/>
                <w:bCs w:val="0"/>
                <w:i w:val="0"/>
                <w:iCs w:val="0"/>
                <w:caps w:val="0"/>
                <w:spacing w:val="0"/>
                <w:sz w:val="28"/>
                <w:szCs w:val="28"/>
                <w:shd w:val="clear" w:color="auto" w:fill="auto"/>
                <w:vertAlign w:val="baseline"/>
                <w:lang w:val="en-US" w:eastAsia="zh-CN" w:bidi="ar-SA"/>
              </w:rPr>
              <w:t>、精准时长统计</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（视频演示）。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2.8</w:t>
            </w:r>
            <w:r>
              <w:rPr>
                <w:rFonts w:hint="eastAsia" w:ascii="方正仿宋_GBK" w:hAnsi="方正仿宋_GBK" w:eastAsia="方正仿宋_GBK" w:cs="方正仿宋_GBK"/>
                <w:i w:val="0"/>
                <w:iCs w:val="0"/>
                <w:caps w:val="0"/>
                <w:spacing w:val="0"/>
                <w:sz w:val="28"/>
                <w:szCs w:val="28"/>
                <w:shd w:val="clear" w:color="auto" w:fill="FFFFFF"/>
                <w:lang w:val="en-US" w:eastAsia="zh-CN" w:bidi="ar-SA"/>
              </w:rPr>
              <w:t>系统运维</w:t>
            </w:r>
          </w:p>
        </w:tc>
        <w:tc>
          <w:tcPr>
            <w:tcW w:w="4279" w:type="dxa"/>
            <w:noWrap w:val="0"/>
            <w:vAlign w:val="center"/>
          </w:tcPr>
          <w:p>
            <w:pPr>
              <w:widowControl w:val="0"/>
              <w:numPr>
                <w:ilvl w:val="0"/>
                <w:numId w:val="0"/>
              </w:numPr>
              <w:pBdr>
                <w:top w:val="none" w:color="000000" w:sz="0" w:space="0"/>
                <w:left w:val="none" w:color="000000" w:sz="0" w:space="0"/>
                <w:bottom w:val="none" w:color="000000" w:sz="0" w:space="0"/>
                <w:right w:val="none" w:color="000000" w:sz="0" w:space="0"/>
              </w:pBdr>
              <w:tabs>
                <w:tab w:val="left" w:pos="720"/>
              </w:tabs>
              <w:ind w:left="0" w:firstLine="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i w:val="0"/>
                <w:iCs w:val="0"/>
                <w:caps w:val="0"/>
                <w:spacing w:val="0"/>
                <w:sz w:val="28"/>
                <w:szCs w:val="28"/>
                <w:shd w:val="clear" w:color="auto" w:fill="auto"/>
                <w:lang w:val="en-US" w:eastAsia="zh-CN" w:bidi="ar-SA"/>
              </w:rPr>
              <w:t>通过系统级后台运维配置平台，实现资源监控、权限策略及二次开发扩展的集中化管理</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（视频演示）。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3</w:t>
            </w:r>
          </w:p>
        </w:tc>
        <w:tc>
          <w:tcPr>
            <w:tcW w:w="1288"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管理后台新增功能模块</w:t>
            </w: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3.1仪器维修维护管理</w:t>
            </w:r>
          </w:p>
        </w:tc>
        <w:tc>
          <w:tcPr>
            <w:tcW w:w="4279"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支持维修申请（PC端提交，填写故障描述、上传故障照片）、维修派工（管理员/维修工程师接收任务，记录维修过程）、维修验收（申请人验收，填写验收意见）、维修归档（管理员最终确认，支持"维修完成"归档或"维修未完成"重新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3.2仪器报废管理</w:t>
            </w:r>
          </w:p>
        </w:tc>
        <w:tc>
          <w:tcPr>
            <w:tcW w:w="4279"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支持报废申请（填写报废原因）、报废审批（管理员审核通过/驳回，通过后设备移入报废清单）、记录查询（已报废设备信息查询）。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3.3插座绑定与功率监测</w:t>
            </w:r>
          </w:p>
        </w:tc>
        <w:tc>
          <w:tcPr>
            <w:tcW w:w="4279"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支持智能插座与仪器的绑定/解绑，记录绑定关系；实时采集仪器运行功率，生成功率曲线图；自动记录仪器运行时长。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3.4统计汇总与可视化</w:t>
            </w:r>
          </w:p>
        </w:tc>
        <w:tc>
          <w:tcPr>
            <w:tcW w:w="4279" w:type="dxa"/>
            <w:noWrap w:val="0"/>
            <w:vAlign w:val="center"/>
          </w:tcPr>
          <w:p>
            <w:pPr>
              <w:widowControl w:val="0"/>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设备整体概况（总数、使用中、维护中、闲置、报废数量及占比）；设备状态分布（饼图/柱状图）；维修维护统计（本月数量、完成率、平均处理时长）；使用效率分析（使用率、共享率）。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4</w:t>
            </w:r>
          </w:p>
        </w:tc>
        <w:tc>
          <w:tcPr>
            <w:tcW w:w="1288"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手机端应用升级</w:t>
            </w: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4.1仪器列表与详情升级</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优化仪器展示样式，采用卡片式布局，支持按状态筛选及模糊搜索；丰富仪器详情页，支持移动端查看并编辑仪器基本信息，查阅操作手册、合同发票等资料，集中查看使用记录与维修记录。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4.2使用记录管理升级</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增强筛选与检索能力，支持按仪器名称、编号模糊搜索、按状态筛选，新增时间范围筛选；优化卡片化展示，支持记录的增、删、改、查；优化记录详情页，完整查看使用时段、使用人、过程记录及附件。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4.3服务记录管理</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新增维修与维护的移动端申请与处理功能，具体流程与权限按照质量管理体系要求进行配置与实现。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4.4报废记录管理</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新增报废申请与审核的移动端功能，使用人员可提交报废申请并填写原因，管理员可审核通过或驳回，通过后设备自动移入报废清单。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4.5扫一扫快捷操作</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新增"扫一扫"功能，支持扫描仪器二维码快速跳转仪器详情页，并可一键发起维修、使用登记、报废申请等操作。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 xml:space="preserve">4.6 </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移动端协同</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i w:val="0"/>
                <w:iCs w:val="0"/>
                <w:caps w:val="0"/>
                <w:spacing w:val="0"/>
                <w:sz w:val="28"/>
                <w:szCs w:val="28"/>
                <w:shd w:val="clear" w:color="auto" w:fill="auto"/>
                <w:lang w:val="en-US" w:eastAsia="zh-CN" w:bidi="ar-SA"/>
              </w:rPr>
              <w:t>移动端功能配置、消息推送及跨端数据同步，体现移动办公的便捷性</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（视频演示）。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b w:val="0"/>
                <w:sz w:val="28"/>
                <w:szCs w:val="28"/>
                <w:lang w:val="en-US" w:eastAsia="zh-CN" w:bidi="ar-SA"/>
              </w:rPr>
              <w:t>4.7</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现场数据采集</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b w:val="0"/>
                <w:sz w:val="28"/>
                <w:szCs w:val="28"/>
                <w:lang w:val="en-US" w:eastAsia="zh-CN" w:bidi="ar-SA"/>
              </w:rPr>
            </w:pPr>
            <w:r>
              <w:rPr>
                <w:rFonts w:hint="eastAsia" w:ascii="方正仿宋_GBK" w:hAnsi="方正仿宋_GBK" w:eastAsia="方正仿宋_GBK" w:cs="方正仿宋_GBK"/>
                <w:i w:val="0"/>
                <w:iCs w:val="0"/>
                <w:caps w:val="0"/>
                <w:spacing w:val="0"/>
                <w:sz w:val="28"/>
                <w:szCs w:val="28"/>
                <w:shd w:val="clear" w:color="auto" w:fill="auto"/>
                <w:lang w:val="en-US" w:eastAsia="zh-CN" w:bidi="ar-SA"/>
              </w:rPr>
              <w:t>移动端现场数据采集、扫码识别、实时数据回传</w:t>
            </w:r>
            <w:r>
              <w:rPr>
                <w:rFonts w:hint="eastAsia" w:ascii="方正仿宋_GBK" w:hAnsi="方正仿宋_GBK" w:eastAsia="方正仿宋_GBK" w:cs="方正仿宋_GBK"/>
                <w:b/>
                <w:bCs/>
                <w:i w:val="0"/>
                <w:iCs w:val="0"/>
                <w:caps w:val="0"/>
                <w:spacing w:val="0"/>
                <w:sz w:val="28"/>
                <w:szCs w:val="28"/>
                <w:shd w:val="clear" w:color="auto" w:fill="auto"/>
                <w:vertAlign w:val="baseline"/>
                <w:lang w:val="en-US" w:eastAsia="zh-CN" w:bidi="ar-SA"/>
              </w:rPr>
              <w:t>（视频演示）。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5</w:t>
            </w:r>
          </w:p>
        </w:tc>
        <w:tc>
          <w:tcPr>
            <w:tcW w:w="1288"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b w:val="0"/>
                <w:sz w:val="28"/>
                <w:szCs w:val="28"/>
                <w:lang w:val="en-US" w:eastAsia="zh-CN" w:bidi="ar-SA"/>
              </w:rPr>
              <w:t>仪器设备盘查与环境建档</w:t>
            </w: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5.1现场盘查</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对本院及异地院区仪器设备进行现场盘查，记录大型仪器设备的电源种类（电压、插座类型、功率需求）及网络环境（有线/无线覆盖、信号强度等）。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5.2环境档案</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盘查结果形成设备环境档案，为硬件部署与网络优化提供依据。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restart"/>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vertAlign w:val="baseline"/>
                <w:lang w:val="en-US" w:eastAsia="zh-CN" w:bidi="ar-SA"/>
              </w:rPr>
              <w:t>6</w:t>
            </w:r>
          </w:p>
        </w:tc>
        <w:tc>
          <w:tcPr>
            <w:tcW w:w="1288" w:type="dxa"/>
            <w:vMerge w:val="restart"/>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硬件部署</w:t>
            </w: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6.1物联网网关部署</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本院及异地实验室部署物联网网关。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6.2智能监测插座安装</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安装智能监测插座接入高价值仪器（原值50万元以上）。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6.3数据集成体系</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构建MQTT数据集成体系实现安全汇聚。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9"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1288" w:type="dxa"/>
            <w:vMerge w:val="continue"/>
            <w:noWrap w:val="0"/>
            <w:vAlign w:val="center"/>
          </w:tcPr>
          <w:p>
            <w:pPr>
              <w:widowControl w:val="0"/>
              <w:jc w:val="both"/>
              <w:rPr>
                <w:rFonts w:hint="eastAsia" w:ascii="方正仿宋_GBK" w:hAnsi="方正仿宋_GBK" w:eastAsia="方正仿宋_GBK" w:cs="方正仿宋_GBK"/>
                <w:sz w:val="28"/>
                <w:szCs w:val="28"/>
                <w:vertAlign w:val="baseline"/>
                <w:lang w:val="en-US" w:eastAsia="zh-CN" w:bidi="ar-SA"/>
              </w:rPr>
            </w:pPr>
          </w:p>
        </w:tc>
        <w:tc>
          <w:tcPr>
            <w:tcW w:w="2106"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6.4现场调试与监控</w:t>
            </w:r>
          </w:p>
        </w:tc>
        <w:tc>
          <w:tcPr>
            <w:tcW w:w="4279" w:type="dxa"/>
            <w:noWrap w:val="0"/>
            <w:vAlign w:val="center"/>
          </w:tcPr>
          <w:p>
            <w:pPr>
              <w:widowControl w:val="0"/>
              <w:spacing w:after="0" w:line="240" w:lineRule="auto"/>
              <w:jc w:val="both"/>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b w:val="0"/>
                <w:sz w:val="28"/>
                <w:szCs w:val="28"/>
                <w:lang w:val="en-US" w:eastAsia="zh-CN" w:bidi="ar-SA"/>
              </w:rPr>
              <w:t>同步完成现场调试与硬件监控。</w:t>
            </w:r>
          </w:p>
        </w:tc>
      </w:tr>
    </w:tbl>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3.3 软硬件配置</w:t>
      </w:r>
    </w:p>
    <w:tbl>
      <w:tblPr>
        <w:tblStyle w:val="29"/>
        <w:tblpPr w:leftFromText="180" w:rightFromText="180" w:vertAnchor="text" w:horzAnchor="page" w:tblpX="1419" w:tblpY="95"/>
        <w:tblW w:w="90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1042"/>
        <w:gridCol w:w="960"/>
        <w:gridCol w:w="1143"/>
        <w:gridCol w:w="1000"/>
        <w:gridCol w:w="800"/>
        <w:gridCol w:w="1050"/>
        <w:gridCol w:w="784"/>
        <w:gridCol w:w="800"/>
        <w:gridCol w:w="146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896" w:hRule="atLeast"/>
          <w:jc w:val="center"/>
        </w:trPr>
        <w:tc>
          <w:tcPr>
            <w:tcW w:w="1042"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
              </w:rPr>
              <w:t>信息系统名称</w:t>
            </w:r>
          </w:p>
        </w:tc>
        <w:tc>
          <w:tcPr>
            <w:tcW w:w="96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
              </w:rPr>
            </w:pPr>
            <w:r>
              <w:rPr>
                <w:rFonts w:hint="eastAsia" w:ascii="方正仿宋_GBK" w:hAnsi="方正仿宋_GBK" w:eastAsia="方正仿宋_GBK" w:cs="方正仿宋_GBK"/>
                <w:b/>
                <w:bCs w:val="0"/>
                <w:color w:val="000000"/>
                <w:sz w:val="28"/>
                <w:szCs w:val="28"/>
                <w:lang w:val="en-US" w:eastAsia="zh-CN" w:bidi="ar"/>
              </w:rPr>
              <w:t>操作</w:t>
            </w:r>
          </w:p>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
              </w:rPr>
              <w:t>系统（套）</w:t>
            </w:r>
          </w:p>
        </w:tc>
        <w:tc>
          <w:tcPr>
            <w:tcW w:w="1143"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
              </w:rPr>
              <w:t>中间件（套）</w:t>
            </w:r>
          </w:p>
        </w:tc>
        <w:tc>
          <w:tcPr>
            <w:tcW w:w="100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
              </w:rPr>
              <w:t>数据库（套）</w:t>
            </w:r>
          </w:p>
        </w:tc>
        <w:tc>
          <w:tcPr>
            <w:tcW w:w="80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SA"/>
              </w:rPr>
            </w:pPr>
            <w:r>
              <w:rPr>
                <w:rStyle w:val="319"/>
                <w:rFonts w:hint="eastAsia" w:ascii="方正仿宋_GBK" w:hAnsi="方正仿宋_GBK" w:eastAsia="方正仿宋_GBK" w:cs="方正仿宋_GBK"/>
                <w:b/>
                <w:bCs w:val="0"/>
                <w:sz w:val="28"/>
                <w:szCs w:val="28"/>
                <w:lang w:val="en-US" w:eastAsia="zh-CN" w:bidi="ar"/>
              </w:rPr>
              <w:t>指令集（</w:t>
            </w:r>
            <w:r>
              <w:rPr>
                <w:rFonts w:hint="eastAsia" w:ascii="方正仿宋_GBK" w:hAnsi="方正仿宋_GBK" w:eastAsia="方正仿宋_GBK" w:cs="方正仿宋_GBK"/>
                <w:b/>
                <w:bCs w:val="0"/>
                <w:color w:val="000000"/>
                <w:sz w:val="28"/>
                <w:szCs w:val="28"/>
                <w:lang w:val="en-US" w:eastAsia="zh-CN" w:bidi="ar"/>
              </w:rPr>
              <w:t>C86/ARM/</w:t>
            </w:r>
            <w:r>
              <w:rPr>
                <w:rStyle w:val="319"/>
                <w:rFonts w:hint="eastAsia" w:ascii="方正仿宋_GBK" w:hAnsi="方正仿宋_GBK" w:eastAsia="方正仿宋_GBK" w:cs="方正仿宋_GBK"/>
                <w:b/>
                <w:bCs w:val="0"/>
                <w:sz w:val="28"/>
                <w:szCs w:val="28"/>
                <w:lang w:val="en-US" w:eastAsia="zh-CN" w:bidi="ar"/>
              </w:rPr>
              <w:t>其它）</w:t>
            </w:r>
          </w:p>
        </w:tc>
        <w:tc>
          <w:tcPr>
            <w:tcW w:w="105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
              </w:rPr>
            </w:pPr>
            <w:r>
              <w:rPr>
                <w:rFonts w:hint="eastAsia" w:ascii="方正仿宋_GBK" w:hAnsi="方正仿宋_GBK" w:eastAsia="方正仿宋_GBK" w:cs="方正仿宋_GBK"/>
                <w:b/>
                <w:bCs w:val="0"/>
                <w:color w:val="000000"/>
                <w:sz w:val="28"/>
                <w:szCs w:val="28"/>
                <w:lang w:val="en-US" w:eastAsia="zh-CN" w:bidi="ar"/>
              </w:rPr>
              <w:t>vCPU</w:t>
            </w:r>
          </w:p>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SA"/>
              </w:rPr>
            </w:pPr>
            <w:r>
              <w:rPr>
                <w:rStyle w:val="319"/>
                <w:rFonts w:hint="eastAsia" w:ascii="方正仿宋_GBK" w:hAnsi="方正仿宋_GBK" w:eastAsia="方正仿宋_GBK" w:cs="方正仿宋_GBK"/>
                <w:b/>
                <w:bCs w:val="0"/>
                <w:sz w:val="28"/>
                <w:szCs w:val="28"/>
                <w:lang w:val="en-US" w:eastAsia="zh-CN" w:bidi="ar"/>
              </w:rPr>
              <w:t>（核）</w:t>
            </w:r>
          </w:p>
        </w:tc>
        <w:tc>
          <w:tcPr>
            <w:tcW w:w="784" w:type="dxa"/>
            <w:noWrap w:val="0"/>
            <w:tcMar>
              <w:top w:w="15" w:type="dxa"/>
              <w:left w:w="15" w:type="dxa"/>
              <w:right w:w="15" w:type="dxa"/>
            </w:tcMar>
            <w:vAlign w:val="center"/>
          </w:tcPr>
          <w:p>
            <w:pPr>
              <w:widowControl/>
              <w:spacing w:line="240" w:lineRule="atLeast"/>
              <w:jc w:val="center"/>
              <w:rPr>
                <w:rStyle w:val="319"/>
                <w:rFonts w:hint="eastAsia" w:ascii="方正仿宋_GBK" w:hAnsi="方正仿宋_GBK" w:eastAsia="方正仿宋_GBK" w:cs="方正仿宋_GBK"/>
                <w:b/>
                <w:bCs w:val="0"/>
                <w:sz w:val="28"/>
                <w:szCs w:val="28"/>
                <w:lang w:val="en-US" w:eastAsia="zh-CN" w:bidi="ar"/>
              </w:rPr>
            </w:pPr>
            <w:r>
              <w:rPr>
                <w:rStyle w:val="319"/>
                <w:rFonts w:hint="eastAsia" w:ascii="方正仿宋_GBK" w:hAnsi="方正仿宋_GBK" w:eastAsia="方正仿宋_GBK" w:cs="方正仿宋_GBK"/>
                <w:b/>
                <w:bCs w:val="0"/>
                <w:sz w:val="28"/>
                <w:szCs w:val="28"/>
                <w:lang w:val="en-US" w:eastAsia="zh-CN" w:bidi="ar"/>
              </w:rPr>
              <w:t>内存</w:t>
            </w:r>
          </w:p>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SA"/>
              </w:rPr>
            </w:pPr>
            <w:r>
              <w:rPr>
                <w:rStyle w:val="319"/>
                <w:rFonts w:hint="eastAsia" w:ascii="方正仿宋_GBK" w:hAnsi="方正仿宋_GBK" w:eastAsia="方正仿宋_GBK" w:cs="方正仿宋_GBK"/>
                <w:b/>
                <w:bCs w:val="0"/>
                <w:sz w:val="28"/>
                <w:szCs w:val="28"/>
                <w:lang w:val="en-US" w:eastAsia="zh-CN" w:bidi="ar"/>
              </w:rPr>
              <w:t>（</w:t>
            </w:r>
            <w:r>
              <w:rPr>
                <w:rFonts w:hint="eastAsia" w:ascii="方正仿宋_GBK" w:hAnsi="方正仿宋_GBK" w:eastAsia="方正仿宋_GBK" w:cs="方正仿宋_GBK"/>
                <w:b/>
                <w:bCs w:val="0"/>
                <w:color w:val="000000"/>
                <w:sz w:val="28"/>
                <w:szCs w:val="28"/>
                <w:lang w:val="en-US" w:eastAsia="zh-CN" w:bidi="ar"/>
              </w:rPr>
              <w:t>GB</w:t>
            </w:r>
            <w:r>
              <w:rPr>
                <w:rStyle w:val="319"/>
                <w:rFonts w:hint="eastAsia" w:ascii="方正仿宋_GBK" w:hAnsi="方正仿宋_GBK" w:eastAsia="方正仿宋_GBK" w:cs="方正仿宋_GBK"/>
                <w:b/>
                <w:bCs w:val="0"/>
                <w:sz w:val="28"/>
                <w:szCs w:val="28"/>
                <w:lang w:val="en-US" w:eastAsia="zh-CN" w:bidi="ar"/>
              </w:rPr>
              <w:t>）</w:t>
            </w:r>
          </w:p>
        </w:tc>
        <w:tc>
          <w:tcPr>
            <w:tcW w:w="800" w:type="dxa"/>
            <w:noWrap w:val="0"/>
            <w:tcMar>
              <w:top w:w="15" w:type="dxa"/>
              <w:left w:w="15" w:type="dxa"/>
              <w:right w:w="15" w:type="dxa"/>
            </w:tcMar>
            <w:vAlign w:val="center"/>
          </w:tcPr>
          <w:p>
            <w:pPr>
              <w:widowControl/>
              <w:spacing w:line="240" w:lineRule="atLeast"/>
              <w:jc w:val="center"/>
              <w:rPr>
                <w:rStyle w:val="319"/>
                <w:rFonts w:hint="eastAsia" w:ascii="方正仿宋_GBK" w:hAnsi="方正仿宋_GBK" w:eastAsia="方正仿宋_GBK" w:cs="方正仿宋_GBK"/>
                <w:b/>
                <w:bCs w:val="0"/>
                <w:sz w:val="28"/>
                <w:szCs w:val="28"/>
                <w:lang w:val="en-US" w:eastAsia="zh-CN" w:bidi="ar"/>
              </w:rPr>
            </w:pPr>
            <w:r>
              <w:rPr>
                <w:rStyle w:val="319"/>
                <w:rFonts w:hint="eastAsia" w:ascii="方正仿宋_GBK" w:hAnsi="方正仿宋_GBK" w:eastAsia="方正仿宋_GBK" w:cs="方正仿宋_GBK"/>
                <w:b/>
                <w:bCs w:val="0"/>
                <w:sz w:val="28"/>
                <w:szCs w:val="28"/>
                <w:lang w:val="en-US" w:eastAsia="zh-CN" w:bidi="ar"/>
              </w:rPr>
              <w:t>存储</w:t>
            </w:r>
          </w:p>
          <w:p>
            <w:pPr>
              <w:widowControl/>
              <w:spacing w:line="240" w:lineRule="atLeast"/>
              <w:jc w:val="center"/>
              <w:rPr>
                <w:rFonts w:hint="eastAsia" w:ascii="方正仿宋_GBK" w:hAnsi="方正仿宋_GBK" w:eastAsia="方正仿宋_GBK" w:cs="方正仿宋_GBK"/>
                <w:b/>
                <w:bCs w:val="0"/>
                <w:color w:val="000000"/>
                <w:sz w:val="28"/>
                <w:szCs w:val="28"/>
                <w:lang w:val="en-US" w:eastAsia="zh-CN" w:bidi="ar-SA"/>
              </w:rPr>
            </w:pPr>
            <w:r>
              <w:rPr>
                <w:rStyle w:val="319"/>
                <w:rFonts w:hint="eastAsia" w:ascii="方正仿宋_GBK" w:hAnsi="方正仿宋_GBK" w:eastAsia="方正仿宋_GBK" w:cs="方正仿宋_GBK"/>
                <w:b/>
                <w:bCs w:val="0"/>
                <w:sz w:val="28"/>
                <w:szCs w:val="28"/>
                <w:lang w:val="en-US" w:eastAsia="zh-CN" w:bidi="ar"/>
              </w:rPr>
              <w:t>（</w:t>
            </w:r>
            <w:r>
              <w:rPr>
                <w:rFonts w:hint="eastAsia" w:ascii="方正仿宋_GBK" w:hAnsi="方正仿宋_GBK" w:eastAsia="方正仿宋_GBK" w:cs="方正仿宋_GBK"/>
                <w:b/>
                <w:bCs w:val="0"/>
                <w:color w:val="000000"/>
                <w:sz w:val="28"/>
                <w:szCs w:val="28"/>
                <w:lang w:val="en-US" w:eastAsia="zh-CN" w:bidi="ar"/>
              </w:rPr>
              <w:t>GB</w:t>
            </w:r>
            <w:r>
              <w:rPr>
                <w:rStyle w:val="319"/>
                <w:rFonts w:hint="eastAsia" w:ascii="方正仿宋_GBK" w:hAnsi="方正仿宋_GBK" w:eastAsia="方正仿宋_GBK" w:cs="方正仿宋_GBK"/>
                <w:b/>
                <w:bCs w:val="0"/>
                <w:sz w:val="28"/>
                <w:szCs w:val="28"/>
                <w:lang w:val="en-US" w:eastAsia="zh-CN" w:bidi="ar"/>
              </w:rPr>
              <w:t>）</w:t>
            </w:r>
          </w:p>
        </w:tc>
        <w:tc>
          <w:tcPr>
            <w:tcW w:w="1466" w:type="dxa"/>
            <w:noWrap w:val="0"/>
            <w:tcMar>
              <w:top w:w="15" w:type="dxa"/>
              <w:left w:w="15" w:type="dxa"/>
              <w:right w:w="15" w:type="dxa"/>
            </w:tcMar>
            <w:vAlign w:val="center"/>
          </w:tcPr>
          <w:p>
            <w:pPr>
              <w:widowControl/>
              <w:spacing w:line="240" w:lineRule="atLeast"/>
              <w:jc w:val="center"/>
              <w:rPr>
                <w:rStyle w:val="319"/>
                <w:rFonts w:hint="eastAsia" w:ascii="方正仿宋_GBK" w:hAnsi="方正仿宋_GBK" w:eastAsia="方正仿宋_GBK" w:cs="方正仿宋_GBK"/>
                <w:b/>
                <w:bCs w:val="0"/>
                <w:sz w:val="28"/>
                <w:szCs w:val="28"/>
                <w:lang w:val="en-US" w:eastAsia="zh-CN" w:bidi="ar"/>
              </w:rPr>
            </w:pPr>
            <w:r>
              <w:rPr>
                <w:rStyle w:val="319"/>
                <w:rFonts w:hint="eastAsia" w:ascii="方正仿宋_GBK" w:hAnsi="方正仿宋_GBK" w:eastAsia="方正仿宋_GBK" w:cs="方正仿宋_GBK"/>
                <w:b/>
                <w:bCs w:val="0"/>
                <w:sz w:val="28"/>
                <w:szCs w:val="28"/>
                <w:lang w:val="en-US" w:eastAsia="zh-CN" w:bidi="ar"/>
              </w:rPr>
              <w:t>智能插座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653" w:hRule="atLeast"/>
          <w:jc w:val="center"/>
        </w:trPr>
        <w:tc>
          <w:tcPr>
            <w:tcW w:w="1042"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val="0"/>
                <w:bCs w:val="0"/>
                <w:color w:val="000000"/>
                <w:sz w:val="28"/>
                <w:szCs w:val="28"/>
                <w:lang w:val="en-US" w:eastAsia="zh-CN" w:bidi="ar"/>
              </w:rPr>
            </w:pPr>
            <w:r>
              <w:rPr>
                <w:rFonts w:hint="eastAsia" w:ascii="方正仿宋_GBK" w:hAnsi="方正仿宋_GBK" w:eastAsia="方正仿宋_GBK" w:cs="方正仿宋_GBK"/>
                <w:b w:val="0"/>
                <w:bCs w:val="0"/>
                <w:color w:val="000000"/>
                <w:sz w:val="28"/>
                <w:szCs w:val="28"/>
                <w:lang w:val="en-US" w:eastAsia="zh-CN" w:bidi="ar"/>
              </w:rPr>
              <w:t>基于K5平台的大型仪器智慧管理与共享服务平台二期升级</w:t>
            </w:r>
          </w:p>
        </w:tc>
        <w:tc>
          <w:tcPr>
            <w:tcW w:w="96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val="0"/>
                <w:bCs w:val="0"/>
                <w:color w:val="000000"/>
                <w:sz w:val="28"/>
                <w:szCs w:val="28"/>
                <w:lang w:val="en-US" w:eastAsia="zh-CN" w:bidi="ar"/>
              </w:rPr>
            </w:pPr>
            <w:r>
              <w:rPr>
                <w:rFonts w:hint="eastAsia" w:ascii="方正仿宋_GBK" w:hAnsi="方正仿宋_GBK" w:eastAsia="方正仿宋_GBK" w:cs="方正仿宋_GBK"/>
                <w:b w:val="0"/>
                <w:bCs w:val="0"/>
                <w:sz w:val="28"/>
                <w:szCs w:val="28"/>
                <w:lang w:val="en-US" w:eastAsia="zh-CN" w:bidi="ar-SA"/>
              </w:rPr>
              <w:t>国产麒麟操作系统、Linux、Windows均支持</w:t>
            </w:r>
          </w:p>
        </w:tc>
        <w:tc>
          <w:tcPr>
            <w:tcW w:w="1143"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val="0"/>
                <w:bCs w:val="0"/>
                <w:color w:val="000000"/>
                <w:sz w:val="28"/>
                <w:szCs w:val="28"/>
                <w:lang w:val="en-US" w:eastAsia="zh-CN" w:bidi="ar"/>
              </w:rPr>
            </w:pPr>
            <w:r>
              <w:rPr>
                <w:rFonts w:hint="eastAsia" w:ascii="方正仿宋_GBK" w:hAnsi="方正仿宋_GBK" w:eastAsia="方正仿宋_GBK" w:cs="方正仿宋_GBK"/>
                <w:b w:val="0"/>
                <w:bCs w:val="0"/>
                <w:sz w:val="28"/>
                <w:szCs w:val="28"/>
                <w:lang w:val="en-US" w:eastAsia="zh-CN" w:bidi="ar-SA"/>
              </w:rPr>
              <w:t>支持ActiveMQ或RabbitMQ等主流消息队列</w:t>
            </w:r>
          </w:p>
        </w:tc>
        <w:tc>
          <w:tcPr>
            <w:tcW w:w="100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val="0"/>
                <w:bCs w:val="0"/>
                <w:color w:val="000000"/>
                <w:sz w:val="28"/>
                <w:szCs w:val="28"/>
                <w:lang w:val="en-US" w:eastAsia="zh-CN" w:bidi="ar"/>
              </w:rPr>
            </w:pPr>
            <w:r>
              <w:rPr>
                <w:rFonts w:hint="eastAsia" w:ascii="方正仿宋_GBK" w:hAnsi="方正仿宋_GBK" w:eastAsia="方正仿宋_GBK" w:cs="方正仿宋_GBK"/>
                <w:b w:val="0"/>
                <w:bCs w:val="0"/>
                <w:sz w:val="28"/>
                <w:szCs w:val="28"/>
                <w:lang w:val="en-US" w:eastAsia="zh-CN" w:bidi="ar-SA"/>
              </w:rPr>
              <w:t>国产数据库OceanBase、MySQL、SQLServer等</w:t>
            </w:r>
          </w:p>
        </w:tc>
        <w:tc>
          <w:tcPr>
            <w:tcW w:w="80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val="0"/>
                <w:bCs w:val="0"/>
                <w:color w:val="000000"/>
                <w:sz w:val="28"/>
                <w:szCs w:val="28"/>
                <w:lang w:val="en-US" w:eastAsia="zh-CN" w:bidi="ar"/>
              </w:rPr>
            </w:pPr>
            <w:r>
              <w:rPr>
                <w:rFonts w:hint="eastAsia" w:ascii="方正仿宋_GBK" w:hAnsi="方正仿宋_GBK" w:eastAsia="方正仿宋_GBK" w:cs="方正仿宋_GBK"/>
                <w:b w:val="0"/>
                <w:bCs w:val="0"/>
                <w:sz w:val="28"/>
                <w:szCs w:val="28"/>
                <w:lang w:val="en-US" w:eastAsia="zh-CN" w:bidi="ar-SA"/>
              </w:rPr>
              <w:t>兼容国产及主流指令集</w:t>
            </w:r>
          </w:p>
        </w:tc>
        <w:tc>
          <w:tcPr>
            <w:tcW w:w="105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val="0"/>
                <w:bCs w:val="0"/>
                <w:color w:val="000000"/>
                <w:sz w:val="28"/>
                <w:szCs w:val="28"/>
                <w:lang w:val="en-US" w:eastAsia="zh-CN" w:bidi="ar"/>
              </w:rPr>
            </w:pPr>
            <w:r>
              <w:rPr>
                <w:rFonts w:hint="eastAsia" w:ascii="方正仿宋_GBK" w:hAnsi="方正仿宋_GBK" w:eastAsia="方正仿宋_GBK" w:cs="方正仿宋_GBK"/>
                <w:b w:val="0"/>
                <w:bCs w:val="0"/>
                <w:sz w:val="28"/>
                <w:szCs w:val="28"/>
                <w:lang w:val="en-US" w:eastAsia="zh-CN" w:bidi="ar-SA"/>
              </w:rPr>
              <w:t>根据实际部署需求配置</w:t>
            </w:r>
          </w:p>
        </w:tc>
        <w:tc>
          <w:tcPr>
            <w:tcW w:w="784"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val="0"/>
                <w:bCs w:val="0"/>
                <w:color w:val="000000"/>
                <w:sz w:val="28"/>
                <w:szCs w:val="28"/>
                <w:lang w:val="en-US" w:eastAsia="zh-CN" w:bidi="ar"/>
              </w:rPr>
            </w:pPr>
            <w:r>
              <w:rPr>
                <w:rFonts w:hint="eastAsia" w:ascii="方正仿宋_GBK" w:hAnsi="方正仿宋_GBK" w:eastAsia="方正仿宋_GBK" w:cs="方正仿宋_GBK"/>
                <w:b w:val="0"/>
                <w:bCs w:val="0"/>
                <w:sz w:val="28"/>
                <w:szCs w:val="28"/>
                <w:lang w:val="en-US" w:eastAsia="zh-CN" w:bidi="ar-SA"/>
              </w:rPr>
              <w:t>根据实际部署需求配置</w:t>
            </w:r>
          </w:p>
        </w:tc>
        <w:tc>
          <w:tcPr>
            <w:tcW w:w="800" w:type="dxa"/>
            <w:noWrap w:val="0"/>
            <w:tcMar>
              <w:top w:w="15" w:type="dxa"/>
              <w:left w:w="15" w:type="dxa"/>
              <w:right w:w="15" w:type="dxa"/>
            </w:tcMar>
            <w:vAlign w:val="center"/>
          </w:tcPr>
          <w:p>
            <w:pPr>
              <w:widowControl/>
              <w:spacing w:line="240" w:lineRule="atLeast"/>
              <w:jc w:val="center"/>
              <w:rPr>
                <w:rFonts w:hint="eastAsia" w:ascii="方正仿宋_GBK" w:hAnsi="方正仿宋_GBK" w:eastAsia="方正仿宋_GBK" w:cs="方正仿宋_GBK"/>
                <w:b w:val="0"/>
                <w:bCs w:val="0"/>
                <w:color w:val="000000"/>
                <w:sz w:val="28"/>
                <w:szCs w:val="28"/>
                <w:lang w:val="en-US" w:eastAsia="zh-CN" w:bidi="ar"/>
              </w:rPr>
            </w:pPr>
            <w:r>
              <w:rPr>
                <w:rFonts w:hint="eastAsia" w:ascii="方正仿宋_GBK" w:hAnsi="方正仿宋_GBK" w:eastAsia="方正仿宋_GBK" w:cs="方正仿宋_GBK"/>
                <w:b w:val="0"/>
                <w:bCs w:val="0"/>
                <w:sz w:val="28"/>
                <w:szCs w:val="28"/>
                <w:lang w:val="en-US" w:eastAsia="zh-CN" w:bidi="ar-SA"/>
              </w:rPr>
              <w:t>支持多机多卷分布式存储，支持横向磁盘扩展</w:t>
            </w:r>
          </w:p>
        </w:tc>
        <w:tc>
          <w:tcPr>
            <w:tcW w:w="1466" w:type="dxa"/>
            <w:noWrap w:val="0"/>
            <w:tcMar>
              <w:top w:w="15" w:type="dxa"/>
              <w:left w:w="15" w:type="dxa"/>
              <w:right w:w="15" w:type="dxa"/>
            </w:tcMar>
            <w:vAlign w:val="center"/>
          </w:tcPr>
          <w:p>
            <w:pPr>
              <w:widowControl/>
              <w:spacing w:line="240" w:lineRule="atLeast"/>
              <w:jc w:val="left"/>
              <w:rPr>
                <w:rFonts w:hint="eastAsia" w:ascii="方正仿宋_GBK" w:hAnsi="方正仿宋_GBK" w:eastAsia="方正仿宋_GBK" w:cs="方正仿宋_GBK"/>
                <w:b w:val="0"/>
                <w:bCs w:val="0"/>
                <w:sz w:val="28"/>
                <w:szCs w:val="28"/>
                <w:lang w:val="en-US" w:eastAsia="zh-CN" w:bidi="ar-SA"/>
              </w:rPr>
            </w:pPr>
            <w:r>
              <w:rPr>
                <w:rFonts w:hint="eastAsia" w:ascii="方正仿宋_GBK" w:hAnsi="方正仿宋_GBK" w:eastAsia="方正仿宋_GBK" w:cs="方正仿宋_GBK"/>
                <w:b w:val="0"/>
                <w:bCs w:val="0"/>
                <w:sz w:val="28"/>
                <w:szCs w:val="28"/>
                <w:shd w:val="clear" w:color="auto" w:fill="auto"/>
                <w:lang w:val="en-US" w:eastAsia="zh-CN" w:bidi="ar-SA"/>
              </w:rPr>
              <w:t>总价限3万，数量230台，</w:t>
            </w:r>
            <w:r>
              <w:rPr>
                <w:rFonts w:hint="eastAsia" w:ascii="方正仿宋_GBK" w:hAnsi="方正仿宋_GBK" w:eastAsia="方正仿宋_GBK" w:cs="方正仿宋_GBK"/>
                <w:bCs/>
                <w:sz w:val="28"/>
                <w:szCs w:val="28"/>
                <w:lang w:val="en-US"/>
              </w:rPr>
              <w:t>额定电压 AC 220V/50Hz，额定电流 10A、16A 两种规格；通讯协议支持 Zigbee，兼容 MQTT 协议</w:t>
            </w:r>
            <w:r>
              <w:rPr>
                <w:rFonts w:hint="eastAsia" w:ascii="方正仿宋_GBK" w:hAnsi="方正仿宋_GBK" w:eastAsia="方正仿宋_GBK" w:cs="方正仿宋_GBK"/>
                <w:i w:val="0"/>
                <w:iCs w:val="0"/>
                <w:caps w:val="0"/>
                <w:spacing w:val="0"/>
                <w:sz w:val="28"/>
                <w:szCs w:val="28"/>
                <w:shd w:val="clear" w:color="auto" w:fill="auto"/>
                <w:lang w:val="en-US" w:eastAsia="zh-CN" w:bidi="ar-SA"/>
              </w:rPr>
              <w:t>并具备电流、电压实时监测功能，可实时采集电压、电流数据，并将采集到的数值实时上传至平台。需在第六章《分项报价表》中单独报价。</w:t>
            </w:r>
          </w:p>
        </w:tc>
      </w:tr>
    </w:tbl>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3.4 技术指标要求</w:t>
      </w:r>
    </w:p>
    <w:tbl>
      <w:tblPr>
        <w:tblStyle w:val="275"/>
        <w:tblW w:w="0" w:type="auto"/>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12"/>
        <w:gridCol w:w="60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b/>
                <w:color w:val="000818"/>
                <w:sz w:val="28"/>
                <w:szCs w:val="28"/>
                <w:lang w:val="en-US" w:eastAsia="zh-CN" w:bidi="ar-SA"/>
              </w:rPr>
            </w:pPr>
            <w:r>
              <w:rPr>
                <w:rFonts w:hint="eastAsia" w:ascii="方正仿宋_GBK" w:hAnsi="方正仿宋_GBK" w:eastAsia="方正仿宋_GBK" w:cs="方正仿宋_GBK"/>
                <w:b/>
                <w:color w:val="000818"/>
                <w:sz w:val="28"/>
                <w:szCs w:val="28"/>
                <w:lang w:val="en-US" w:eastAsia="zh-CN" w:bidi="ar"/>
              </w:rPr>
              <w:t>序号</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b/>
                <w:color w:val="000818"/>
                <w:sz w:val="28"/>
                <w:szCs w:val="28"/>
                <w:lang w:val="en-US" w:eastAsia="zh-CN" w:bidi="ar-SA"/>
              </w:rPr>
            </w:pPr>
            <w:r>
              <w:rPr>
                <w:rFonts w:hint="eastAsia" w:ascii="方正仿宋_GBK" w:hAnsi="方正仿宋_GBK" w:eastAsia="方正仿宋_GBK" w:cs="方正仿宋_GBK"/>
                <w:b/>
                <w:color w:val="000818"/>
                <w:sz w:val="28"/>
                <w:szCs w:val="28"/>
                <w:lang w:val="en-US" w:eastAsia="zh-CN" w:bidi="ar"/>
              </w:rPr>
              <w:t>技术指标</w:t>
            </w:r>
          </w:p>
        </w:tc>
        <w:tc>
          <w:tcPr>
            <w:tcW w:w="639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b/>
                <w:color w:val="000818"/>
                <w:sz w:val="28"/>
                <w:szCs w:val="28"/>
                <w:lang w:val="en-US" w:eastAsia="zh-CN" w:bidi="ar-SA"/>
              </w:rPr>
            </w:pPr>
            <w:r>
              <w:rPr>
                <w:rFonts w:hint="eastAsia" w:ascii="方正仿宋_GBK" w:hAnsi="方正仿宋_GBK" w:eastAsia="方正仿宋_GBK" w:cs="方正仿宋_GBK"/>
                <w:b/>
                <w:color w:val="000818"/>
                <w:sz w:val="28"/>
                <w:szCs w:val="28"/>
                <w:lang w:val="en-US" w:eastAsia="zh-CN" w:bidi="ar"/>
              </w:rPr>
              <w:t>具体参数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安装平台</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国产麒麟操作系统、Linux和Windows下均要支持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2</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分布式</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支持多机集群分布式安装，支持负载均衡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3</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数据库</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国产数据库OceanBase、MySQL、SQLServer等主流数据库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4</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消息队列</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支持ActiveMQ或RabbitMQ等主流消息队列配置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5</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分布式缓存</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支持Redis或Memcached等主流缓存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6</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文件存储</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支持多机多卷分布式存储，支持横向磁盘扩展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7</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服务接口</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XML、JSON、JSONP、CSV、JSV、Soap1.1、Soap1.2数据格式均要支持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8</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服务响应速度</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200并发下，一般查询1秒之内，复杂查询5秒之内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9</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服务权限</w:t>
            </w:r>
          </w:p>
        </w:tc>
        <w:tc>
          <w:tcPr>
            <w:tcW w:w="6398" w:type="dxa"/>
            <w:shd w:val="clear" w:color="auto" w:fill="FFFFFF"/>
            <w:noWrap w:val="0"/>
            <w:vAlign w:val="center"/>
          </w:tcPr>
          <w:p>
            <w:pPr>
              <w:keepNext w:val="0"/>
              <w:keepLines w:val="0"/>
              <w:widowControl/>
              <w:suppressLineNumbers w:val="0"/>
              <w:shd w:val="clear" w:color="auto" w:fill="FFFFFF"/>
              <w:spacing w:line="330" w:lineRule="atLeast"/>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与现有K5平台集成，支持权限体系，支持K5平台的统一身份认证，保持账号、权限映射及访问控制机制兼容，支持独立配置服务访问权限，以提升系统安全性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10</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系统安全</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支持身份认证与授权，具有良好的数据备份与恢复策略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11</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服务文档</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支持自动生成各服务接口文档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12</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计划任务</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支持秒级分布式计划任务调度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13</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扩展性</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支持前端或后端业务逻辑的二次扩展，能便利地进行调试和发布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14</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密码策略</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支持自定义的密码安全策略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15</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性能管理</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支持对系统内所有服务的性能进行监控和分析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16</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统计报表分析</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集成数据统计分析功能，可通过在线配置，实现数据图表展示和分析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838"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17</w:t>
            </w:r>
          </w:p>
        </w:tc>
        <w:tc>
          <w:tcPr>
            <w:tcW w:w="1800" w:type="dxa"/>
            <w:shd w:val="clear" w:color="auto" w:fill="FFFFFF"/>
            <w:noWrap w:val="0"/>
            <w:vAlign w:val="center"/>
          </w:tcPr>
          <w:p>
            <w:pPr>
              <w:keepNext w:val="0"/>
              <w:keepLines w:val="0"/>
              <w:widowControl/>
              <w:suppressLineNumbers w:val="0"/>
              <w:spacing w:line="240" w:lineRule="auto"/>
              <w:ind w:left="0" w:right="0" w:firstLine="0"/>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三方扩展</w:t>
            </w:r>
          </w:p>
        </w:tc>
        <w:tc>
          <w:tcPr>
            <w:tcW w:w="6398" w:type="dxa"/>
            <w:shd w:val="clear" w:color="auto" w:fill="FFFFFF"/>
            <w:noWrap w:val="0"/>
            <w:vAlign w:val="center"/>
          </w:tcPr>
          <w:p>
            <w:pPr>
              <w:keepNext w:val="0"/>
              <w:keepLines w:val="0"/>
              <w:widowControl/>
              <w:suppressLineNumbers w:val="0"/>
              <w:spacing w:line="240" w:lineRule="auto"/>
              <w:ind w:left="0" w:right="0" w:firstLine="0"/>
              <w:jc w:val="left"/>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
              </w:rPr>
              <w:t>支持对已有服务接口进行无侵入的功能扩展和对接</w:t>
            </w:r>
          </w:p>
        </w:tc>
      </w:tr>
    </w:tbl>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3.5 性能要求</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（1）用户数。系统需满足全院及异地分支机构用户注册使用，在线用户支持不低于500名，数据操作并发用户支持不低于200名。</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（2）可用性。系统需7×24小时可用，可在特定时间段内对系统进行维护。要求数据存取服务准确，不能丢失数据。</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（3）可扩展性。系统功能扩充或使用单位增加时应不影响系统功能和结构，当系统数据量和访问量增大导致系统配置不能满足要求时，可通过增加服务器硬件等方式完成升级。</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（4）可恢复性。遇有故障时，系统应用功能服务恢复应在4小时以内，数据恢复应在24小时以内，不丢失数据；硬件损坏应提供应急和替代方案。</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3.6 安全要求</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系统须符合等级保护要求，对信息传输、存储、访问等环节提供安全保障，对数据资源访问设备、用户、管理员、服务提供不同的访问等级授权，并提供安全有效的认证和鉴别功能。满足数据分级分类、加密存储、访问控制、数据备份、安全审计等要求。制定网络和数据安全事件应急预案，建立相应应急响应机制，严防发生数据安全事件。配合完成有关部门的各类安全检查、检测结果处理，磋商响应供应商在质保期内应配合采购人做好有关部门的网络安全检查准备工作，确保通过网络安全检查；对有关部门网络安全检测结果能够及时响应，出具方案并整改。</w:t>
      </w:r>
    </w:p>
    <w:p>
      <w:pPr>
        <w:pStyle w:val="210"/>
        <w:keepNext/>
        <w:keepLines/>
        <w:pageBreakBefore w:val="0"/>
        <w:widowControl w:val="0"/>
        <w:spacing w:line="400" w:lineRule="exact"/>
        <w:jc w:val="left"/>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四、商务要求</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4.1 交付时间和地点</w:t>
      </w:r>
    </w:p>
    <w:p>
      <w:pPr>
        <w:keepNext w:val="0"/>
        <w:keepLines w:val="0"/>
        <w:pageBreakBefore w:val="0"/>
        <w:widowControl w:val="0"/>
        <w:spacing w:line="400" w:lineRule="exact"/>
        <w:ind w:firstLine="560"/>
        <w:rPr>
          <w:rFonts w:hint="eastAsia"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lang w:eastAsia="zh-CN"/>
        </w:rPr>
        <w:t>交付时间：</w:t>
      </w:r>
      <w:r>
        <w:rPr>
          <w:rFonts w:hint="eastAsia" w:ascii="方正仿宋_GBK" w:hAnsi="方正仿宋_GBK" w:eastAsia="方正仿宋_GBK" w:cs="方正仿宋_GBK"/>
          <w:bCs/>
          <w:i/>
          <w:iCs/>
          <w:sz w:val="28"/>
          <w:szCs w:val="28"/>
          <w:u w:val="single"/>
        </w:rPr>
        <w:t>合同签订之日起</w:t>
      </w:r>
      <w:r>
        <w:rPr>
          <w:rFonts w:hint="eastAsia" w:ascii="方正仿宋_GBK" w:hAnsi="方正仿宋_GBK" w:eastAsia="方正仿宋_GBK" w:cs="方正仿宋_GBK"/>
          <w:bCs/>
          <w:i/>
          <w:iCs/>
          <w:sz w:val="28"/>
          <w:szCs w:val="28"/>
          <w:u w:val="single"/>
          <w:lang w:val="en-US" w:eastAsia="zh-CN"/>
        </w:rPr>
        <w:t>3</w:t>
      </w:r>
      <w:r>
        <w:rPr>
          <w:rFonts w:hint="eastAsia" w:ascii="方正仿宋_GBK" w:hAnsi="方正仿宋_GBK" w:eastAsia="方正仿宋_GBK" w:cs="方正仿宋_GBK"/>
          <w:bCs/>
          <w:i/>
          <w:iCs/>
          <w:sz w:val="28"/>
          <w:szCs w:val="28"/>
          <w:u w:val="single"/>
        </w:rPr>
        <w:t>个月内完成系统开发、部署安装、调试等工作。</w:t>
      </w:r>
    </w:p>
    <w:p>
      <w:pPr>
        <w:keepNext w:val="0"/>
        <w:keepLines w:val="0"/>
        <w:pageBreakBefore w:val="0"/>
        <w:widowControl w:val="0"/>
        <w:spacing w:line="400" w:lineRule="exact"/>
        <w:ind w:firstLine="560"/>
        <w:rPr>
          <w:rFonts w:hint="eastAsia" w:ascii="方正仿宋_GBK" w:hAnsi="方正仿宋_GBK" w:eastAsia="方正仿宋_GBK" w:cs="方正仿宋_GBK"/>
          <w:bCs/>
          <w:i/>
          <w:iCs/>
          <w:sz w:val="28"/>
          <w:szCs w:val="28"/>
          <w:u w:val="single"/>
        </w:rPr>
      </w:pPr>
      <w:r>
        <w:rPr>
          <w:rFonts w:hint="eastAsia" w:ascii="方正仿宋_GBK" w:hAnsi="方正仿宋_GBK" w:eastAsia="方正仿宋_GBK" w:cs="方正仿宋_GBK"/>
          <w:bCs/>
          <w:i/>
          <w:iCs/>
          <w:sz w:val="28"/>
          <w:szCs w:val="28"/>
          <w:u w:val="single"/>
        </w:rPr>
        <w:t>交付地点：南京市光华东街5号。</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4.2 付款条件</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合同款项的支付方式及进度安排：</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第一期付款：甲方在合同签订且</w:t>
      </w:r>
      <w:bookmarkStart w:id="178" w:name="OLE_LINK2"/>
      <w:r>
        <w:rPr>
          <w:rFonts w:hint="eastAsia" w:ascii="方正仿宋_GBK" w:hAnsi="方正仿宋_GBK" w:eastAsia="方正仿宋_GBK" w:cs="方正仿宋_GBK"/>
          <w:bCs/>
          <w:sz w:val="28"/>
          <w:szCs w:val="28"/>
        </w:rPr>
        <w:t>收到乙方开具的有效增值税专用发票的10个工作日内，</w:t>
      </w:r>
      <w:bookmarkEnd w:id="178"/>
      <w:r>
        <w:rPr>
          <w:rFonts w:hint="eastAsia" w:ascii="方正仿宋_GBK" w:hAnsi="方正仿宋_GBK" w:eastAsia="方正仿宋_GBK" w:cs="方正仿宋_GBK"/>
          <w:bCs/>
          <w:sz w:val="28"/>
          <w:szCs w:val="28"/>
        </w:rPr>
        <w:t>甲方向乙方支付合同总价的</w:t>
      </w:r>
      <w:r>
        <w:rPr>
          <w:rFonts w:hint="eastAsia" w:ascii="方正仿宋_GBK" w:hAnsi="方正仿宋_GBK" w:eastAsia="方正仿宋_GBK" w:cs="方正仿宋_GBK"/>
          <w:bCs/>
          <w:sz w:val="28"/>
          <w:szCs w:val="28"/>
          <w:lang w:val="en-US" w:eastAsia="zh-CN"/>
        </w:rPr>
        <w:t>50</w:t>
      </w:r>
      <w:r>
        <w:rPr>
          <w:rFonts w:hint="eastAsia" w:ascii="方正仿宋_GBK" w:hAnsi="方正仿宋_GBK" w:eastAsia="方正仿宋_GBK" w:cs="方正仿宋_GBK"/>
          <w:bCs/>
          <w:sz w:val="28"/>
          <w:szCs w:val="28"/>
        </w:rPr>
        <w:t>%为首付款；</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第二期付款：项目初验合格</w:t>
      </w:r>
      <w:r>
        <w:rPr>
          <w:rFonts w:hint="eastAsia" w:ascii="方正仿宋_GBK" w:hAnsi="方正仿宋_GBK" w:eastAsia="方正仿宋_GBK" w:cs="方正仿宋_GBK"/>
          <w:bCs/>
          <w:sz w:val="28"/>
          <w:szCs w:val="28"/>
          <w:lang w:eastAsia="zh-CN"/>
        </w:rPr>
        <w:t>后，甲方</w:t>
      </w:r>
      <w:r>
        <w:rPr>
          <w:rFonts w:hint="eastAsia" w:ascii="方正仿宋_GBK" w:hAnsi="方正仿宋_GBK" w:eastAsia="方正仿宋_GBK" w:cs="方正仿宋_GBK"/>
          <w:bCs/>
          <w:sz w:val="28"/>
          <w:szCs w:val="28"/>
        </w:rPr>
        <w:t>收到乙方开具的有效增值税专用发票的10个工作日内，甲方向乙方支付合同总价的</w:t>
      </w:r>
      <w:r>
        <w:rPr>
          <w:rFonts w:hint="eastAsia" w:ascii="方正仿宋_GBK" w:hAnsi="方正仿宋_GBK" w:eastAsia="方正仿宋_GBK" w:cs="方正仿宋_GBK"/>
          <w:bCs/>
          <w:sz w:val="28"/>
          <w:szCs w:val="28"/>
          <w:lang w:val="en-US" w:eastAsia="zh-CN"/>
        </w:rPr>
        <w:t>50</w:t>
      </w:r>
      <w:r>
        <w:rPr>
          <w:rFonts w:hint="eastAsia" w:ascii="方正仿宋_GBK" w:hAnsi="方正仿宋_GBK" w:eastAsia="方正仿宋_GBK" w:cs="方正仿宋_GBK"/>
          <w:bCs/>
          <w:sz w:val="28"/>
          <w:szCs w:val="28"/>
        </w:rPr>
        <w:t>%。</w:t>
      </w:r>
    </w:p>
    <w:p>
      <w:pPr>
        <w:pStyle w:val="210"/>
        <w:keepNext/>
        <w:keepLines/>
        <w:ind w:firstLine="562"/>
        <w:jc w:val="left"/>
        <w:rPr>
          <w:rFonts w:hint="eastAsia" w:ascii="方正仿宋_GBK" w:hAnsi="方正仿宋_GBK" w:eastAsia="方正仿宋_GBK" w:cs="方正仿宋_GBK"/>
          <w:bCs w:val="0"/>
          <w:sz w:val="28"/>
          <w:szCs w:val="28"/>
          <w:lang w:val="en-US" w:bidi="ar-SA"/>
        </w:rPr>
      </w:pPr>
      <w:r>
        <w:rPr>
          <w:rFonts w:hint="eastAsia" w:ascii="方正仿宋_GBK" w:hAnsi="方正仿宋_GBK" w:eastAsia="方正仿宋_GBK" w:cs="方正仿宋_GBK"/>
          <w:bCs w:val="0"/>
          <w:sz w:val="28"/>
          <w:szCs w:val="28"/>
          <w:lang w:val="en-US" w:eastAsia="zh-CN" w:bidi="ar-SA"/>
        </w:rPr>
        <w:t>4.3智能插座</w:t>
      </w:r>
      <w:r>
        <w:rPr>
          <w:rFonts w:hint="eastAsia" w:ascii="方正仿宋_GBK" w:hAnsi="方正仿宋_GBK" w:eastAsia="方正仿宋_GBK" w:cs="方正仿宋_GBK"/>
          <w:bCs w:val="0"/>
          <w:sz w:val="28"/>
          <w:szCs w:val="28"/>
          <w:lang w:val="en-US" w:bidi="ar-SA"/>
        </w:rPr>
        <w:t>：</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rPr>
        <w:t>质保期：自验收合格之日起 1 年。</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rPr>
        <w:t>服务要求：质保期内，供应商须确保所有插座正常、安全运行，符合国家相关电气安全标准；出现质量问题的，供应商须在接到通知后及时响应并完成维修或更换，同时提供产品技术资料、使用说明及必要的技术支持服务。</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4.4验收方案：</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（1）</w:t>
      </w:r>
      <w:r>
        <w:rPr>
          <w:rFonts w:ascii="方正仿宋_GBK" w:hAnsi="方正仿宋_GBK" w:eastAsia="方正仿宋_GBK" w:cs="方正仿宋_GBK"/>
          <w:bCs/>
          <w:sz w:val="28"/>
          <w:szCs w:val="28"/>
          <w:lang w:val="en-US"/>
        </w:rPr>
        <w:t>验收主体</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验收工作由甲方负责组织，甲方成立验收小组具体实施验收事宜。乙方应在验收过程中积极配合，提供必要的技术支持、人员保障及验收所需的全套资料。验收结论由甲乙双方共同签署确认，任何一方不得单方面确定验收结果。</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（2）</w:t>
      </w:r>
      <w:r>
        <w:rPr>
          <w:rFonts w:ascii="方正仿宋_GBK" w:hAnsi="方正仿宋_GBK" w:eastAsia="方正仿宋_GBK" w:cs="方正仿宋_GBK"/>
          <w:bCs/>
          <w:sz w:val="28"/>
          <w:szCs w:val="28"/>
          <w:lang w:val="en-US"/>
        </w:rPr>
        <w:t>验收时间</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项目完成全部部署、系统调试完毕并具备正式使用条件后，由乙方在合同约定的完成期限之前，根据项目实际进度向甲方提交书面验收申请。甲方收到验收申请后，应在合理时间内确定具体验收时间，并提前通知乙方。乙方应在收到通知后按时到场配合完成验收工作，不得无故拖延或拒绝验收。</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（3）</w:t>
      </w:r>
      <w:r>
        <w:rPr>
          <w:rFonts w:ascii="方正仿宋_GBK" w:hAnsi="方正仿宋_GBK" w:eastAsia="方正仿宋_GBK" w:cs="方正仿宋_GBK"/>
          <w:bCs/>
          <w:sz w:val="28"/>
          <w:szCs w:val="28"/>
          <w:lang w:val="en-US"/>
        </w:rPr>
        <w:t>验收方式</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验收采用现场检查、功能演示、系统测试、资料审核等方式进行。甲方验收小组对项目实际运行情况进行现场查验，乙方须逐一演示各项功能模块，并提供完整的测试数据供甲方核验。</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（4）</w:t>
      </w:r>
      <w:r>
        <w:rPr>
          <w:rFonts w:ascii="方正仿宋_GBK" w:hAnsi="方正仿宋_GBK" w:eastAsia="方正仿宋_GBK" w:cs="方正仿宋_GBK"/>
          <w:bCs/>
          <w:sz w:val="28"/>
          <w:szCs w:val="28"/>
          <w:lang w:val="en-US"/>
        </w:rPr>
        <w:t>验收程序</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1.乙方提交书面验收申请，附技术文档、测试报告、用户手册、培训记录等全套资料；</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2.甲方对资料进行初审，齐全后进入现场验收；</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3.现场按合同及招标文件要求，对技术功能、性能指标、安全性、兼容性、硬件部署及商务服务进行核查与演示；</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4.验收小组出具《项目验收书》，列明履约情况、存在问题及总体结论，双方签字盖章确认；</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5.验收资料由甲方存档备查。</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（5）</w:t>
      </w:r>
      <w:r>
        <w:rPr>
          <w:rFonts w:ascii="方正仿宋_GBK" w:hAnsi="方正仿宋_GBK" w:eastAsia="方正仿宋_GBK" w:cs="方正仿宋_GBK"/>
          <w:bCs/>
          <w:sz w:val="28"/>
          <w:szCs w:val="28"/>
          <w:lang w:val="en-US"/>
        </w:rPr>
        <w:t>验收内容</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乙方须保证项目建设内容全面满足招标文件全部需求，并达到如下要求：</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1.合同签订3个月内完成全部软件开发、系统集成、硬件部署、数据对接及调试，工期履约证明齐全；</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2.系统功能全部上线：大型仪器共享服务平台升级、管理后台功能升级与新增模块（仪器管理、预约、使用记录、信用评价、消息通知、维修维护、报废管理、插座绑定与功率监测、统计可视化等）、手机端应用升级、仪器设备盘查与环境建档均按招标文件要求建设完成；</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3.硬件部署到位：本院及异地院区（苏州、宜兴等）物联网网关、智能监测插座（不少于230台）安装部署完成，MQTT数据集成体系构建完成，数据实时回传正常；</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4.系统演示通过：按招标文件要求完成PC端（资产全览、运行数据自动采集、系统运维配置）和移动端（移动协同、现场数据采集）功能演示；</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5.技术指标达标：系统兼容国产麒麟操作系统、Linux、Windows；支持OceanBase/MySQL/SQLServer等数据库；支持分布式部署与负载均衡；200并发下一般查询≤1秒、复杂查询≤5秒；与现有K5平台统一身份认证无缝对接；</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6.数据对接与兼容：与现有K5平台系统无缝对接，历史数据完整迁移，原有业务流程可延续，统一身份认证集成调试完成；</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7.团队驻场保障：合同签订至验收期间至少1名工程师全程驻场；验收后至少1名售后技术人员保障，30分钟电话响应、8小时到场、24小时解决问题；人员资质及社保证明材料齐全；</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8.培训与知识移交：完成管理员线下培训及用户、管理员线上操作视频制作上传，培训记录及效果评估材料完整；</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9.文档资料交付：系统需求、设计、数据库设计说明书、安装部署、运维、用户手册、接口文档、测试报告、备份恢复方案、应急预案、设备环境档案、硬件部署清单等资料齐全规范；</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10.知识产权与源代码：项目源代码完整交付，建设成果知识产权归甲方所有，乙方保证无侵权；</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11.国产化适配：系统基于国产化软硬件技术体系开发，部署在甲方指定国产化环境，提供适配证明材料。</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（6）</w:t>
      </w:r>
      <w:r>
        <w:rPr>
          <w:rFonts w:ascii="方正仿宋_GBK" w:hAnsi="方正仿宋_GBK" w:eastAsia="方正仿宋_GBK" w:cs="方正仿宋_GBK"/>
          <w:bCs/>
          <w:sz w:val="28"/>
          <w:szCs w:val="28"/>
          <w:lang w:val="en-US"/>
        </w:rPr>
        <w:t>验收标准</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1.判定依据为采购合同、招标文件、投标文件及双方书面确认的技术方案和变更记录；</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2.所有功能模块按招标文件"功能栏目建设需求"及"技术指标要求"逐项核验，实质性要求（斜体下划线或加*号条款）无负偏离；</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3.系统演示功能点全部符合要求，运行流畅；</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4.技术文档、测试报告、培训资料等交付物齐全规范；</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5.系统通过性能测试及安全检查，满足等级保护要求；</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6.项目同时满足以上条件方可认定为验收合格。</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hint="eastAsia" w:ascii="方正仿宋_GBK" w:hAnsi="方正仿宋_GBK" w:eastAsia="方正仿宋_GBK" w:cs="方正仿宋_GBK"/>
          <w:bCs/>
          <w:sz w:val="28"/>
          <w:szCs w:val="28"/>
          <w:lang w:val="en-US" w:eastAsia="zh-CN"/>
        </w:rPr>
        <w:t>（7）</w:t>
      </w:r>
      <w:r>
        <w:rPr>
          <w:rFonts w:ascii="方正仿宋_GBK" w:hAnsi="方正仿宋_GBK" w:eastAsia="方正仿宋_GBK" w:cs="方正仿宋_GBK"/>
          <w:bCs/>
          <w:sz w:val="28"/>
          <w:szCs w:val="28"/>
          <w:lang w:val="en-US"/>
        </w:rPr>
        <w:t>验收结果</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rPr>
      </w:pPr>
      <w:r>
        <w:rPr>
          <w:rFonts w:ascii="方正仿宋_GBK" w:hAnsi="方正仿宋_GBK" w:eastAsia="方正仿宋_GBK" w:cs="方正仿宋_GBK"/>
          <w:bCs/>
          <w:sz w:val="28"/>
          <w:szCs w:val="28"/>
          <w:lang w:val="en-US"/>
        </w:rPr>
        <w:t>1.验收结论分为“验收合格”和“验收不合格”两种。验收合格的，甲方按照采购合同约定的付款条件和期限及时向乙方支付相应款项，并按合同约定退还履约保证金。</w:t>
      </w:r>
    </w:p>
    <w:p>
      <w:pPr>
        <w:keepNext w:val="0"/>
        <w:keepLines w:val="0"/>
        <w:pageBreakBefore w:val="0"/>
        <w:widowControl w:val="0"/>
        <w:spacing w:line="400" w:lineRule="exact"/>
        <w:ind w:firstLine="560"/>
        <w:rPr>
          <w:rFonts w:ascii="方正仿宋_GBK" w:hAnsi="方正仿宋_GBK" w:eastAsia="方正仿宋_GBK" w:cs="方正仿宋_GBK"/>
          <w:bCs/>
          <w:sz w:val="28"/>
          <w:szCs w:val="28"/>
          <w:lang w:val="en-US" w:eastAsia="zh-CN"/>
        </w:rPr>
      </w:pPr>
      <w:r>
        <w:rPr>
          <w:rFonts w:ascii="方正仿宋_GBK" w:hAnsi="方正仿宋_GBK" w:eastAsia="方正仿宋_GBK" w:cs="方正仿宋_GBK"/>
          <w:bCs/>
          <w:sz w:val="28"/>
          <w:szCs w:val="28"/>
          <w:lang w:val="en-US"/>
        </w:rPr>
        <w:t>2.验收不合格的，甲方应向乙方出具书面整改通知，明确不合格事项及整改要求。乙方应在规定期限内完成整改，整改完成后重新提交验收申请，甲方重新组织验收。因整改产生的全部费用由乙方承担。若经整改后仍达不到验收标准，甲方有权依法依规解除合同，并按合同约定追究乙方的违约责任。</w:t>
      </w:r>
    </w:p>
    <w:p>
      <w:pPr>
        <w:pStyle w:val="210"/>
        <w:keepNext/>
        <w:keepLines/>
        <w:pageBreakBefore w:val="0"/>
        <w:widowControl w:val="0"/>
        <w:spacing w:line="400" w:lineRule="exact"/>
        <w:jc w:val="left"/>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五、方案要求</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5.1 总体设计方案</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磋商响应供应商所提供的总体设计方案，应包括但不限于系统分层架构设计、页面设计、数据架构设计、功能模块规划、实施计划、数据对接方案（与现有K5平台的对接方案）、系统安全设计等，要求设计方案内容详细完整，架构设计合理，页面设计便捷、美观，功能模块规划科学清晰，实施计划可行，数据对接方案有效，安全设计符合要求。</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总体设计方案还应说明如何在一期建设成果基础上开展升级建设，明确与现有系统架构、统一身份认证、历史数据及业务流程的兼容衔接方案。</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5.2 安全保障技术方案</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磋商响应供应商所提供的安全保障技术方案，应包括但不限于磋商响应供应商按照信息化系统建设安全防护要求，对平台全量安装专业安全软件，并提供详细的安全性设计方案，包括信息访问、传输和储存安全、网络安全、应用安全、数据安全、密码安全等层面对系统的安全管理体系进行架构设计，要求所设计的架构符合实际业务需求，且对各层级涉及的具体内容进行描述。支持身份认证与授权，具有良好的数据备份与恢复策略。支持自定义的密码安全策略。</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5.3 项目实施保障方案</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磋商响应供应商所提供的项目实施保障方案，应包括但不限于质量保障方案、进度保障方案、资源保障方案、制度保障方案、人员配置具体实施方案等，要求所设计的方案合理、可行，可以满足本项目工期和质量等要求。磋商响应供应商需提供详细的项目质量保证措施，包括但不限于质量控制流程、质量标准、质量检测方法等。方案中还应明确现有系统兼容性验证、数据迁移衔接、接口联调测试及上线切换保障措施。</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5.4 培训方案</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磋商响应供应商所提供的线下培训方案，应包括但不限于磋商响应供应商应对平台各级管理员开展线下培训工作，培训内容包括系统运行管理、业务操作培训、维护以及常见故障分析处理等工作内容，有明确的培训时间、培训效果评估等。</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线上培训：磋商响应供应商应对平台用户制作使用操作指南视频，上传用户端，供广大用户下载自助学习使用。对管理员，培训须制作管理员维护操作视频，上传管理端页面，供管理员学习使用。</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磋商响应供应商需提供承诺说明函，承诺成交后提供此线上、线下培训。该承诺说明函作为技术评审内容。</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5.5 售后维保服务方案</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磋商响应供应商所提供的售后维保服务方案，应包括但不限于系统维护、技术支持、问题解决等服务内容。磋商响应供应商需提供详细的售后服务计划，包括但不限于服务内容、服务方式、响应时间等。质保期至少1年，进行免费维保服务（含免费软件升级改造）。质保期外，提供免费的技术指导、咨询、问题解答等服务。</w:t>
      </w:r>
    </w:p>
    <w:p>
      <w:pPr>
        <w:keepNext w:val="0"/>
        <w:keepLines w:val="0"/>
        <w:pageBreakBefore w:val="0"/>
        <w:widowControl w:val="0"/>
        <w:spacing w:line="400" w:lineRule="exact"/>
        <w:ind w:firstLine="560"/>
        <w:rPr>
          <w:rFonts w:hint="eastAsia" w:ascii="方正仿宋_GBK" w:hAnsi="方正仿宋_GBK" w:eastAsia="方正仿宋_GBK" w:cs="方正仿宋_GBK"/>
          <w:bCs/>
          <w:i/>
          <w:iCs/>
          <w:sz w:val="28"/>
          <w:szCs w:val="28"/>
          <w:u w:val="single"/>
          <w:lang w:eastAsia="zh-CN"/>
        </w:rPr>
      </w:pPr>
      <w:r>
        <w:rPr>
          <w:rFonts w:hint="eastAsia" w:ascii="方正仿宋_GBK" w:hAnsi="方正仿宋_GBK" w:eastAsia="方正仿宋_GBK" w:cs="方正仿宋_GBK"/>
          <w:bCs/>
          <w:i/>
          <w:iCs/>
          <w:sz w:val="28"/>
          <w:szCs w:val="28"/>
          <w:u w:val="single"/>
          <w:lang w:eastAsia="zh-CN"/>
        </w:rPr>
        <w:t>合同签订之日起派至少1名工程师上门驻场服务直至系统验收完毕。系统验收后供应商应配备至少1名售后实施技术人员，确保维保期电话30分钟响应，8小时内到现场，24小时内解决问题。磋商响应供应商需提供正式的书面承诺函，明确承诺满足上述要求。</w:t>
      </w:r>
    </w:p>
    <w:p>
      <w:pPr>
        <w:pStyle w:val="210"/>
        <w:keepNext/>
        <w:keepLines/>
        <w:pageBreakBefore w:val="0"/>
        <w:widowControl w:val="0"/>
        <w:numPr>
          <w:ilvl w:val="0"/>
          <w:numId w:val="4"/>
        </w:numPr>
        <w:spacing w:line="400" w:lineRule="exact"/>
        <w:jc w:val="left"/>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履约能力要求</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6.1 国产化适配能力</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磋商响应供应商应具有兼容国产化系统环境的软件开发、适配与部署实施能力，系统须基于国产化软硬件技术体系进行开发，部署在采购人指定的国产化环境下。磋商响应供应商需提供国产化适配相关项目案例证明材料，证明其具备在国产化操作系统、数据库等环境下开展适配、部署或稳定运行保障的实施能力。相关证明材料可包括合同复印件或扫描件、验收证明、技术方案、部署说明、上线说明、用户证明等。同一最终用户的不同期项目，如合同独立、验收独立、建设内容独立的，可分别认定。</w:t>
      </w:r>
    </w:p>
    <w:p>
      <w:pPr>
        <w:keepNext w:val="0"/>
        <w:keepLines w:val="0"/>
        <w:pageBreakBefore w:val="0"/>
        <w:widowControl w:val="0"/>
        <w:spacing w:line="400" w:lineRule="exact"/>
        <w:ind w:firstLine="560"/>
        <w:rPr>
          <w:rFonts w:hint="eastAsia" w:ascii="方正仿宋_GBK" w:hAnsi="方正仿宋_GBK" w:eastAsia="方正仿宋_GBK" w:cs="方正仿宋_GBK"/>
          <w:bCs/>
          <w:i/>
          <w:iCs/>
          <w:sz w:val="28"/>
          <w:szCs w:val="28"/>
          <w:u w:val="single"/>
          <w:lang w:val="en-US" w:eastAsia="zh-CN"/>
        </w:rPr>
      </w:pPr>
      <w:r>
        <w:rPr>
          <w:rFonts w:hint="eastAsia" w:ascii="方正仿宋_GBK" w:hAnsi="方正仿宋_GBK" w:eastAsia="方正仿宋_GBK" w:cs="方正仿宋_GBK"/>
          <w:bCs/>
          <w:i/>
          <w:iCs/>
          <w:sz w:val="28"/>
          <w:szCs w:val="28"/>
          <w:u w:val="single"/>
          <w:lang w:val="en-US" w:eastAsia="zh-CN"/>
        </w:rPr>
        <w:t>磋商响应供应商需提供正式的书面承诺函，明确承诺满足上述要求，以确保系统的稳定性和可扩展性。</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6.2 项目案例</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磋商响应供应商应提供2023年1月1日以来承接并通过验收的类似项目案例，类似项目是指项目名称包含"仪器管理"或"实验室管理"，且建设内容与本项目在仪器基本信息管理、使用记录管理、维修维护、报废管理、移动端应用、物联接入、统一身份认证对接、国产化部署适配、智能硬件接入等方面具有相关性或相似性的项目。同一最终用户的不同期项目，如合同独立、验收独立、建设内容独立的，可分别认定。</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6.3 保密要求</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磋商响应供应商应对项目技术文件以及由采购人提供的所有内部资料、技术文档、数据和信息予以保密；成交人应与采购人签订保密协议并严格遵守，未经采购人书面许可，成交人不得以任何形式向第三方透露本项目响应文件、技术方案等内容，磋商响应供应商应提供保密方案，对项目过程中如何开展保密工作详细描述。具体见保密协议。</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6.4 团队要求</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为保障项目的顺利实施，磋商响应供应商应合理组建本项目的实施团队。要求实施团队配置 1 名项目负责人（项目经理）、2 名专业技术人员、1 名驻场人员。项目负责人应具备类似信息化服务项目的实施和管理经验，并承担过类似的信息化服务项目。专业技术人员应具备与本项目相关的技术实施能力，能够胜任系统开发、部署、调试及技术支持工作。驻场人员应在项目实施及试运行期间按采购人要求提供现场服务支持。</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项目组核心人员应保持相对稳定，不得无故更换；如确需变更，应提前书面说明变更原因、拟替换人员情况及交接安排，并征得采购人书面同意。</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6.5 知识产权要求</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i/>
          <w:iCs/>
          <w:sz w:val="28"/>
          <w:szCs w:val="28"/>
          <w:u w:val="single"/>
          <w:lang w:val="en-US" w:eastAsia="zh-CN"/>
        </w:rPr>
        <w:t>磋商响应供应商应保证所提供的系统软件未侵犯第三方专利权、版权、商标权和工业设计权等知识产权。</w:t>
      </w:r>
      <w:r>
        <w:rPr>
          <w:rFonts w:hint="eastAsia" w:ascii="方正仿宋_GBK" w:hAnsi="方正仿宋_GBK" w:eastAsia="方正仿宋_GBK" w:cs="方正仿宋_GBK"/>
          <w:bCs/>
          <w:sz w:val="28"/>
          <w:szCs w:val="28"/>
          <w:lang w:val="en-US" w:eastAsia="zh-CN"/>
        </w:rPr>
        <w:t>项目建设过程中所产生成果的知识产权归采购方所有并且项目源代码交付。乙方为履行本合同向甲方所交付工作成果（包括但不限于履行本合同过程中形成的技术资料文件等）的所有权与知识产权均归甲方单独占有。</w:t>
      </w:r>
    </w:p>
    <w:p>
      <w:pPr>
        <w:pStyle w:val="210"/>
        <w:keepNext/>
        <w:keepLines/>
        <w:pageBreakBefore w:val="0"/>
        <w:widowControl w:val="0"/>
        <w:spacing w:line="400" w:lineRule="exact"/>
        <w:ind w:firstLine="562"/>
        <w:jc w:val="left"/>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6.6 软件著作权要求</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磋商响应供应商具有由国家版权局颁发的相关软件著作权登记证书，证书名称包含与本项目有关的“仪器管理”或“内容管理”或“实验室管理”的软件著作权证书。</w:t>
      </w:r>
    </w:p>
    <w:p>
      <w:pPr>
        <w:pStyle w:val="210"/>
        <w:keepNext/>
        <w:keepLines/>
        <w:pageBreakBefore w:val="0"/>
        <w:widowControl w:val="0"/>
        <w:spacing w:line="400" w:lineRule="exact"/>
        <w:jc w:val="left"/>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七、其他要求</w:t>
      </w:r>
    </w:p>
    <w:p>
      <w:pPr>
        <w:keepNext w:val="0"/>
        <w:keepLines w:val="0"/>
        <w:pageBreakBefore w:val="0"/>
        <w:widowControl w:val="0"/>
        <w:spacing w:line="400" w:lineRule="exact"/>
        <w:ind w:firstLine="562"/>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val="0"/>
          <w:sz w:val="28"/>
          <w:szCs w:val="28"/>
          <w:lang w:val="en-US" w:eastAsia="zh-CN" w:bidi="ar-SA"/>
        </w:rPr>
        <w:t>7.1项目属性:</w:t>
      </w:r>
      <w:r>
        <w:rPr>
          <w:rFonts w:hint="eastAsia" w:ascii="方正仿宋_GBK" w:hAnsi="方正仿宋_GBK" w:eastAsia="方正仿宋_GBK" w:cs="方正仿宋_GBK"/>
          <w:sz w:val="28"/>
          <w:szCs w:val="28"/>
        </w:rPr>
        <w:t>服务类项目。</w:t>
      </w:r>
    </w:p>
    <w:p>
      <w:pPr>
        <w:keepNext w:val="0"/>
        <w:keepLines w:val="0"/>
        <w:pageBreakBefore w:val="0"/>
        <w:widowControl w:val="0"/>
        <w:spacing w:line="400" w:lineRule="exact"/>
        <w:ind w:firstLine="562"/>
        <w:rPr>
          <w:rFonts w:hint="eastAsia" w:ascii="方正仿宋_GBK" w:hAnsi="方正仿宋_GBK" w:eastAsia="方正仿宋_GBK" w:cs="方正仿宋_GBK"/>
          <w:b/>
          <w:bCs w:val="0"/>
          <w:sz w:val="28"/>
          <w:szCs w:val="28"/>
          <w:lang w:val="en-US" w:eastAsia="zh-CN" w:bidi="ar-SA"/>
        </w:rPr>
      </w:pPr>
      <w:r>
        <w:rPr>
          <w:rFonts w:hint="eastAsia" w:ascii="方正仿宋_GBK" w:hAnsi="方正仿宋_GBK" w:eastAsia="方正仿宋_GBK" w:cs="方正仿宋_GBK"/>
          <w:b/>
          <w:bCs w:val="0"/>
          <w:sz w:val="28"/>
          <w:szCs w:val="28"/>
          <w:lang w:val="en-US" w:eastAsia="zh-CN" w:bidi="ar-SA"/>
        </w:rPr>
        <w:t>7.2演示要求</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演示方式 上传视频演示</w:t>
      </w:r>
    </w:p>
    <w:p>
      <w:pPr>
        <w:keepNext w:val="0"/>
        <w:keepLines w:val="0"/>
        <w:pageBreakBefore w:val="0"/>
        <w:widowControl w:val="0"/>
        <w:numPr>
          <w:ilvl w:val="0"/>
          <w:numId w:val="5"/>
        </w:num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供应商需按照磋商文件规定的演示内容制作演示视频文件，视频文件的格式为</w:t>
      </w:r>
      <w:r>
        <w:rPr>
          <w:rFonts w:ascii="Times New Roman" w:hAnsi="Times New Roman" w:eastAsia="方正仿宋_GBK" w:cs="Times New Roman"/>
          <w:sz w:val="28"/>
          <w:szCs w:val="28"/>
          <w:lang w:eastAsia="zh-CN"/>
        </w:rPr>
        <w:t>X</w:t>
      </w:r>
      <w:r>
        <w:rPr>
          <w:rFonts w:ascii="Times New Roman" w:hAnsi="Times New Roman" w:eastAsia="方正仿宋_GBK" w:cs="Times New Roman"/>
          <w:sz w:val="28"/>
          <w:szCs w:val="28"/>
        </w:rPr>
        <w:t>.mp4</w:t>
      </w:r>
      <w:r>
        <w:rPr>
          <w:rFonts w:hint="eastAsia" w:ascii="方正仿宋_GBK" w:hAnsi="方正仿宋_GBK" w:eastAsia="方正仿宋_GBK" w:cs="方正仿宋_GBK"/>
          <w:sz w:val="28"/>
          <w:szCs w:val="28"/>
        </w:rPr>
        <w:t>或</w:t>
      </w:r>
      <w:r>
        <w:rPr>
          <w:rFonts w:hint="eastAsia" w:ascii="Times New Roman" w:hAnsi="Times New Roman" w:eastAsia="方正仿宋_GBK" w:cs="Times New Roman"/>
          <w:sz w:val="28"/>
          <w:szCs w:val="28"/>
          <w:lang w:eastAsia="zh-CN"/>
        </w:rPr>
        <w:t>X.avi</w:t>
      </w:r>
      <w:r>
        <w:rPr>
          <w:rFonts w:hint="eastAsia" w:ascii="方正仿宋_GBK" w:hAnsi="方正仿宋_GBK" w:eastAsia="方正仿宋_GBK" w:cs="方正仿宋_GBK"/>
          <w:sz w:val="28"/>
          <w:szCs w:val="28"/>
        </w:rPr>
        <w:t>，供应商须将视频文件分段压缩为</w:t>
      </w:r>
      <w:r>
        <w:rPr>
          <w:rFonts w:hint="eastAsia" w:ascii="Times New Roman" w:hAnsi="Times New Roman" w:eastAsia="方正仿宋_GBK" w:cs="Times New Roman"/>
          <w:sz w:val="28"/>
          <w:szCs w:val="28"/>
          <w:lang w:eastAsia="zh-CN"/>
        </w:rPr>
        <w:t>X.zip</w:t>
      </w:r>
      <w:r>
        <w:rPr>
          <w:rFonts w:hint="eastAsia" w:ascii="方正仿宋_GBK" w:hAnsi="方正仿宋_GBK" w:eastAsia="方正仿宋_GBK" w:cs="方正仿宋_GBK"/>
          <w:sz w:val="28"/>
          <w:szCs w:val="28"/>
        </w:rPr>
        <w:t>文件上传（单个文件不得大于</w:t>
      </w:r>
      <w:r>
        <w:rPr>
          <w:rFonts w:hint="eastAsia" w:ascii="Times New Roman" w:hAnsi="Times New Roman" w:eastAsia="方正仿宋_GBK" w:cs="Times New Roman"/>
          <w:sz w:val="28"/>
          <w:szCs w:val="28"/>
          <w:lang w:eastAsia="zh-CN"/>
        </w:rPr>
        <w:t>50M</w:t>
      </w:r>
      <w:r>
        <w:rPr>
          <w:rFonts w:hint="eastAsia" w:ascii="方正仿宋_GBK" w:hAnsi="方正仿宋_GBK" w:eastAsia="方正仿宋_GBK" w:cs="方正仿宋_GBK"/>
          <w:sz w:val="28"/>
          <w:szCs w:val="28"/>
        </w:rPr>
        <w:t>，所有文件总共不得大于</w:t>
      </w:r>
      <w:r>
        <w:rPr>
          <w:rFonts w:hint="eastAsia" w:ascii="Times New Roman" w:hAnsi="Times New Roman" w:eastAsia="方正仿宋_GBK" w:cs="Times New Roman"/>
          <w:sz w:val="28"/>
          <w:szCs w:val="28"/>
          <w:lang w:eastAsia="zh-CN"/>
        </w:rPr>
        <w:t>300M</w:t>
      </w:r>
      <w:r>
        <w:rPr>
          <w:rFonts w:hint="eastAsia" w:ascii="方正仿宋_GBK" w:hAnsi="方正仿宋_GBK" w:eastAsia="方正仿宋_GBK" w:cs="方正仿宋_GBK"/>
          <w:sz w:val="28"/>
          <w:szCs w:val="28"/>
        </w:rPr>
        <w:t>）。文件上传方式见《操作手册》规定，上传的演示视频将作为响应文件的组成部分，视频时长总计不超过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15</w:t>
      </w:r>
      <w:r>
        <w:rPr>
          <w:rFonts w:hint="eastAsia" w:ascii="方正仿宋_GBK" w:hAnsi="方正仿宋_GBK" w:eastAsia="方正仿宋_GBK" w:cs="方正仿宋_GBK"/>
          <w:sz w:val="28"/>
          <w:szCs w:val="28"/>
        </w:rPr>
        <w:t>分钟</w:t>
      </w:r>
      <w:r>
        <w:rPr>
          <w:rFonts w:hint="eastAsia" w:ascii="方正仿宋_GBK" w:hAnsi="方正仿宋_GBK" w:eastAsia="方正仿宋_GBK" w:cs="方正仿宋_GBK"/>
          <w:sz w:val="28"/>
          <w:szCs w:val="28"/>
          <w:lang w:eastAsia="zh-CN"/>
        </w:rPr>
        <w:t>。</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sz w:val="28"/>
          <w:szCs w:val="28"/>
          <w:lang w:val="en-US" w:eastAsia="zh-CN" w:bidi="ar-SA"/>
        </w:rPr>
        <w:t>（2）要求演示的系统必须是磋商响应供应商自主研发的系统。演示内容分为PC端</w:t>
      </w:r>
      <w:r>
        <w:rPr>
          <w:rFonts w:hint="eastAsia" w:ascii="方正仿宋_GBK" w:hAnsi="方正仿宋_GBK" w:eastAsia="方正仿宋_GBK" w:cs="方正仿宋_GBK"/>
          <w:bCs/>
          <w:sz w:val="28"/>
          <w:szCs w:val="28"/>
          <w:lang w:val="en-US" w:eastAsia="zh-CN"/>
        </w:rPr>
        <w:t>演示和移动端演示，具体如下：</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PC端演示：</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1、演示仪器设备基础信息的集中展示、多维度筛选查询、批量导出及状态管理，实现资产全览与精细化管控。</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2、演示通过物联网智能插座自动采集仪器运行数据，实现使用记录的实时采集、精准时长统计。</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3、演示通过系统级后台运维配置平台，实现资源监控、权限策略及二次开发扩展的集中化管理。</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移动端演示：</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4、演示移动端功能配置、消息推送及跨端数据同步能力，体现移动办公的便捷性。</w:t>
      </w:r>
    </w:p>
    <w:p>
      <w:pPr>
        <w:keepNext w:val="0"/>
        <w:keepLines w:val="0"/>
        <w:pageBreakBefore w:val="0"/>
        <w:widowControl w:val="0"/>
        <w:spacing w:line="400" w:lineRule="exact"/>
        <w:ind w:firstLine="560"/>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5、演示移动端现场数据采集、扫码识别、实时数据回传的效果。</w:t>
      </w:r>
    </w:p>
    <w:p>
      <w:pPr>
        <w:spacing w:line="400" w:lineRule="exact"/>
        <w:ind w:firstLine="562"/>
        <w:rPr>
          <w:rFonts w:hint="eastAsia"/>
          <w:lang w:val="en-US" w:eastAsia="zh-CN"/>
        </w:rPr>
      </w:pPr>
      <w:r>
        <w:rPr>
          <w:rFonts w:hint="eastAsia" w:ascii="方正仿宋_GBK" w:hAnsi="方正仿宋_GBK" w:eastAsia="方正仿宋_GBK" w:cs="方正仿宋_GBK"/>
          <w:b/>
          <w:bCs w:val="0"/>
          <w:sz w:val="28"/>
          <w:szCs w:val="28"/>
          <w:lang w:val="en-US" w:eastAsia="zh-CN" w:bidi="ar-SA"/>
        </w:rPr>
        <w:t>7.3第四章中</w:t>
      </w:r>
      <w:r>
        <w:rPr>
          <w:rFonts w:hint="eastAsia" w:ascii="方正仿宋_GBK" w:hAnsi="方正仿宋_GBK" w:eastAsia="方正仿宋_GBK" w:cs="方正仿宋_GBK"/>
          <w:b/>
          <w:bCs/>
          <w:i/>
          <w:iCs/>
          <w:sz w:val="28"/>
          <w:szCs w:val="28"/>
          <w:u w:val="single"/>
        </w:rPr>
        <w:t>斜体且有下划线部分</w:t>
      </w:r>
      <w:r>
        <w:rPr>
          <w:rFonts w:hint="eastAsia" w:ascii="方正仿宋_GBK" w:hAnsi="方正仿宋_GBK" w:eastAsia="方正仿宋_GBK" w:cs="方正仿宋_GBK"/>
          <w:b/>
          <w:bCs/>
          <w:sz w:val="28"/>
          <w:szCs w:val="28"/>
        </w:rPr>
        <w:t>或加</w:t>
      </w:r>
      <w:r>
        <w:rPr>
          <w:rFonts w:ascii="方正仿宋_GBK" w:hAnsi="方正仿宋_GBK" w:eastAsia="方正仿宋_GBK" w:cs="方正仿宋_GBK"/>
          <w:b/>
          <w:bCs/>
          <w:sz w:val="28"/>
          <w:szCs w:val="28"/>
        </w:rPr>
        <w:t>*</w:t>
      </w:r>
      <w:r>
        <w:rPr>
          <w:rFonts w:hint="eastAsia" w:ascii="方正仿宋_GBK" w:hAnsi="方正仿宋_GBK" w:eastAsia="方正仿宋_GBK" w:cs="方正仿宋_GBK"/>
          <w:b/>
          <w:bCs/>
          <w:sz w:val="28"/>
          <w:szCs w:val="28"/>
        </w:rPr>
        <w:t>号条款为实质性要求。</w:t>
      </w:r>
    </w:p>
    <w:p>
      <w:pPr>
        <w:spacing w:line="0" w:lineRule="atLeast"/>
        <w:rPr>
          <w:rFonts w:hint="eastAsia" w:ascii="宋体" w:hAnsi="宋体"/>
          <w:color w:val="FF0000"/>
          <w:sz w:val="24"/>
          <w:szCs w:val="24"/>
        </w:rPr>
      </w:pPr>
    </w:p>
    <w:p>
      <w:pPr>
        <w:spacing w:before="120" w:after="120" w:line="0" w:lineRule="atLeast"/>
        <w:rPr>
          <w:rFonts w:ascii="宋体" w:hAnsi="Courier New" w:cs="Courier New"/>
          <w:sz w:val="24"/>
          <w:szCs w:val="24"/>
        </w:rPr>
      </w:pPr>
    </w:p>
    <w:p>
      <w:pPr>
        <w:spacing w:before="120" w:after="120" w:line="0" w:lineRule="atLeast"/>
        <w:rPr>
          <w:rFonts w:ascii="宋体" w:hAnsi="Courier New" w:cs="Courier New"/>
          <w:sz w:val="24"/>
          <w:szCs w:val="24"/>
        </w:rPr>
      </w:pPr>
    </w:p>
    <w:p>
      <w:pPr>
        <w:spacing w:before="120" w:after="120" w:line="0" w:lineRule="atLeast"/>
        <w:rPr>
          <w:rFonts w:ascii="宋体" w:hAnsi="Courier New" w:cs="Courier New"/>
          <w:sz w:val="24"/>
          <w:szCs w:val="24"/>
        </w:rPr>
      </w:pPr>
    </w:p>
    <w:p>
      <w:pPr>
        <w:spacing w:before="120" w:after="120" w:line="0" w:lineRule="atLeast"/>
        <w:rPr>
          <w:rFonts w:ascii="宋体" w:hAnsi="Courier New" w:cs="Courier New"/>
          <w:sz w:val="24"/>
          <w:szCs w:val="24"/>
        </w:rPr>
      </w:pPr>
    </w:p>
    <w:p>
      <w:pPr>
        <w:pStyle w:val="74"/>
        <w:rPr>
          <w:rFonts w:ascii="宋体" w:hAnsi="Courier New" w:cs="Courier New"/>
          <w:sz w:val="24"/>
          <w:szCs w:val="24"/>
        </w:rPr>
      </w:pPr>
    </w:p>
    <w:p>
      <w:pPr>
        <w:pStyle w:val="74"/>
        <w:rPr>
          <w:rFonts w:ascii="宋体" w:hAnsi="Courier New" w:cs="Courier New"/>
          <w:sz w:val="24"/>
          <w:szCs w:val="24"/>
        </w:rPr>
      </w:pPr>
    </w:p>
    <w:p>
      <w:pPr>
        <w:pStyle w:val="74"/>
        <w:rPr>
          <w:rFonts w:ascii="宋体" w:hAnsi="Courier New" w:cs="Courier New"/>
          <w:sz w:val="24"/>
          <w:szCs w:val="24"/>
        </w:rPr>
      </w:pPr>
    </w:p>
    <w:p>
      <w:pPr>
        <w:pStyle w:val="74"/>
        <w:rPr>
          <w:rFonts w:ascii="宋体" w:hAnsi="Courier New" w:cs="Courier New"/>
          <w:sz w:val="24"/>
          <w:szCs w:val="24"/>
        </w:rPr>
      </w:pPr>
    </w:p>
    <w:p>
      <w:pPr>
        <w:pStyle w:val="74"/>
        <w:rPr>
          <w:rFonts w:ascii="宋体" w:hAnsi="Courier New" w:cs="Courier New"/>
          <w:sz w:val="24"/>
          <w:szCs w:val="24"/>
        </w:rPr>
      </w:pPr>
    </w:p>
    <w:p>
      <w:pPr>
        <w:rPr>
          <w:rFonts w:ascii="宋体" w:hAnsi="Courier New" w:cs="Courier New"/>
          <w:sz w:val="24"/>
          <w:szCs w:val="24"/>
        </w:rPr>
      </w:pPr>
    </w:p>
    <w:p>
      <w:pPr>
        <w:pStyle w:val="2"/>
        <w:rPr>
          <w:rFonts w:ascii="宋体" w:hAnsi="Courier New" w:cs="Courier New"/>
          <w:sz w:val="24"/>
          <w:szCs w:val="24"/>
        </w:rPr>
      </w:pPr>
    </w:p>
    <w:p>
      <w:pPr>
        <w:rPr>
          <w:rFonts w:ascii="宋体" w:hAnsi="Courier New" w:cs="Courier New"/>
          <w:sz w:val="24"/>
          <w:szCs w:val="24"/>
        </w:rPr>
      </w:pPr>
    </w:p>
    <w:p>
      <w:pPr>
        <w:pStyle w:val="2"/>
        <w:rPr>
          <w:rFonts w:ascii="宋体" w:hAnsi="Courier New" w:cs="Courier New"/>
          <w:sz w:val="24"/>
          <w:szCs w:val="24"/>
        </w:rPr>
      </w:pPr>
    </w:p>
    <w:p>
      <w:pPr>
        <w:rPr>
          <w:rFonts w:ascii="宋体" w:hAnsi="Courier New" w:cs="Courier New"/>
          <w:sz w:val="24"/>
          <w:szCs w:val="24"/>
        </w:rPr>
      </w:pPr>
    </w:p>
    <w:p>
      <w:pPr>
        <w:pStyle w:val="2"/>
        <w:rPr>
          <w:rFonts w:ascii="宋体" w:hAnsi="Courier New" w:cs="Courier New"/>
          <w:sz w:val="24"/>
          <w:szCs w:val="24"/>
        </w:rPr>
      </w:pPr>
    </w:p>
    <w:p>
      <w:pPr>
        <w:rPr>
          <w:rFonts w:ascii="宋体" w:hAnsi="Courier New" w:cs="Courier New"/>
          <w:sz w:val="24"/>
          <w:szCs w:val="24"/>
        </w:rPr>
      </w:pPr>
    </w:p>
    <w:p>
      <w:pPr>
        <w:pStyle w:val="2"/>
        <w:rPr>
          <w:rFonts w:ascii="宋体" w:hAnsi="Courier New" w:cs="Courier New"/>
          <w:sz w:val="24"/>
          <w:szCs w:val="24"/>
        </w:rPr>
      </w:pPr>
    </w:p>
    <w:p>
      <w:pPr>
        <w:rPr>
          <w:rFonts w:ascii="宋体" w:hAnsi="Courier New" w:cs="Courier New"/>
          <w:sz w:val="24"/>
          <w:szCs w:val="24"/>
        </w:rPr>
      </w:pPr>
    </w:p>
    <w:p>
      <w:pPr>
        <w:pStyle w:val="2"/>
        <w:rPr>
          <w:rFonts w:ascii="宋体" w:hAnsi="Courier New" w:cs="Courier New"/>
          <w:sz w:val="24"/>
          <w:szCs w:val="24"/>
        </w:rPr>
      </w:pPr>
    </w:p>
    <w:p>
      <w:pPr>
        <w:rPr>
          <w:rFonts w:ascii="宋体" w:hAnsi="Courier New" w:cs="Courier New"/>
          <w:sz w:val="24"/>
          <w:szCs w:val="24"/>
        </w:rPr>
      </w:pPr>
    </w:p>
    <w:p>
      <w:pPr>
        <w:pStyle w:val="2"/>
        <w:rPr>
          <w:rFonts w:ascii="宋体" w:hAnsi="Courier New" w:cs="Courier New"/>
          <w:sz w:val="24"/>
          <w:szCs w:val="24"/>
        </w:rPr>
      </w:pPr>
    </w:p>
    <w:p/>
    <w:p>
      <w:pPr>
        <w:pStyle w:val="74"/>
        <w:rPr>
          <w:rFonts w:ascii="宋体" w:hAnsi="Courier New" w:cs="Courier New"/>
          <w:sz w:val="24"/>
          <w:szCs w:val="24"/>
        </w:rPr>
      </w:pPr>
    </w:p>
    <w:p>
      <w:pPr>
        <w:pStyle w:val="74"/>
        <w:rPr>
          <w:rFonts w:ascii="宋体" w:hAnsi="Courier New" w:cs="Courier New"/>
          <w:sz w:val="24"/>
          <w:szCs w:val="24"/>
        </w:rPr>
      </w:pPr>
    </w:p>
    <w:p>
      <w:pPr>
        <w:rPr>
          <w:rFonts w:ascii="宋体" w:hAnsi="Courier New" w:cs="Courier New"/>
          <w:sz w:val="24"/>
          <w:szCs w:val="24"/>
        </w:rPr>
      </w:pPr>
    </w:p>
    <w:p>
      <w:pPr>
        <w:pStyle w:val="2"/>
        <w:rPr>
          <w:rFonts w:ascii="宋体" w:hAnsi="Courier New" w:cs="Courier New"/>
          <w:sz w:val="24"/>
          <w:szCs w:val="24"/>
        </w:rPr>
      </w:pPr>
    </w:p>
    <w:p>
      <w:pPr>
        <w:rPr>
          <w:rFonts w:ascii="宋体" w:hAnsi="Courier New" w:cs="Courier New"/>
          <w:sz w:val="24"/>
          <w:szCs w:val="24"/>
        </w:rPr>
      </w:pPr>
    </w:p>
    <w:p>
      <w:pPr>
        <w:pStyle w:val="2"/>
        <w:rPr>
          <w:rFonts w:ascii="宋体" w:hAnsi="Courier New" w:cs="Courier New"/>
          <w:sz w:val="24"/>
          <w:szCs w:val="24"/>
        </w:rPr>
      </w:pPr>
    </w:p>
    <w:p>
      <w:pPr>
        <w:rPr>
          <w:rFonts w:ascii="宋体" w:hAnsi="Courier New" w:cs="Courier New"/>
          <w:sz w:val="24"/>
          <w:szCs w:val="24"/>
        </w:rPr>
      </w:pPr>
    </w:p>
    <w:p>
      <w:pPr>
        <w:pStyle w:val="2"/>
      </w:pPr>
    </w:p>
    <w:p>
      <w:pPr>
        <w:keepNext/>
        <w:keepLines w:val="0"/>
        <w:pageBreakBefore w:val="0"/>
        <w:widowControl w:val="0"/>
        <w:spacing w:line="400" w:lineRule="exact"/>
        <w:jc w:val="center"/>
        <w:outlineLvl w:val="0"/>
        <w:rPr>
          <w:rFonts w:hint="eastAsia" w:ascii="黑体" w:hAnsi="Times New Roman" w:eastAsia="黑体"/>
          <w:b w:val="0"/>
          <w:bCs/>
          <w:sz w:val="28"/>
          <w:szCs w:val="28"/>
        </w:rPr>
      </w:pPr>
      <w:bookmarkStart w:id="179" w:name="_Toc120614281"/>
      <w:r>
        <w:rPr>
          <w:rFonts w:hint="eastAsia" w:ascii="黑体" w:hAnsi="Times New Roman" w:eastAsia="黑体"/>
          <w:b w:val="0"/>
          <w:bCs/>
          <w:sz w:val="28"/>
          <w:szCs w:val="28"/>
        </w:rPr>
        <w:t>第五章  评审方法与评审标准</w:t>
      </w:r>
    </w:p>
    <w:p>
      <w:pPr>
        <w:keepNext w:val="0"/>
        <w:keepLines w:val="0"/>
        <w:pageBreakBefore w:val="0"/>
        <w:widowControl w:val="0"/>
        <w:spacing w:before="120" w:after="120" w:line="400" w:lineRule="exact"/>
        <w:ind w:firstLine="643"/>
        <w:jc w:val="left"/>
        <w:rPr>
          <w:rFonts w:hint="eastAsia" w:ascii="方正仿宋_GBK" w:hAnsi="方正仿宋_GBK" w:eastAsia="方正仿宋_GBK" w:cs="方正仿宋_GBK"/>
          <w:b/>
          <w:sz w:val="32"/>
          <w:szCs w:val="32"/>
        </w:rPr>
      </w:pPr>
    </w:p>
    <w:p>
      <w:pPr>
        <w:keepNext w:val="0"/>
        <w:keepLines w:val="0"/>
        <w:pageBreakBefore w:val="0"/>
        <w:widowControl w:val="0"/>
        <w:spacing w:before="120" w:after="120" w:line="400" w:lineRule="exact"/>
        <w:ind w:firstLine="562"/>
        <w:jc w:val="lef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政府采购政策功能落实</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小微型企业价格扣除</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bookmarkStart w:id="180" w:name="OLE_LINK1"/>
      <w:r>
        <w:rPr>
          <w:rFonts w:hint="eastAsia" w:ascii="方正仿宋_GBK" w:hAnsi="方正仿宋_GBK" w:eastAsia="方正仿宋_GBK" w:cs="方正仿宋_GBK"/>
          <w:sz w:val="28"/>
          <w:szCs w:val="28"/>
        </w:rPr>
        <w:t>本项目对小型和微型企业产品/本项目对小型和微型企业提供的服务 给予</w:t>
      </w:r>
      <w:r>
        <w:rPr>
          <w:rFonts w:hint="eastAsia" w:ascii="方正仿宋_GBK" w:hAnsi="方正仿宋_GBK" w:eastAsia="方正仿宋_GBK" w:cs="方正仿宋_GBK"/>
          <w:sz w:val="28"/>
          <w:szCs w:val="28"/>
          <w:u w:val="single"/>
        </w:rPr>
        <w:t>10%</w:t>
      </w:r>
      <w:r>
        <w:rPr>
          <w:rFonts w:hint="eastAsia" w:ascii="方正仿宋_GBK" w:hAnsi="方正仿宋_GBK" w:eastAsia="方正仿宋_GBK" w:cs="方正仿宋_GBK"/>
          <w:sz w:val="28"/>
          <w:szCs w:val="28"/>
        </w:rPr>
        <w:t>的扣除价格，用扣除后的价格参与评审。</w:t>
      </w:r>
      <w:bookmarkEnd w:id="180"/>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（2）供应商需按照采购文件的要求提供相应的《中小微企业声明函》。</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sz w:val="28"/>
          <w:szCs w:val="28"/>
        </w:rPr>
        <w:t>残疾人福利单位价格扣除</w:t>
      </w:r>
    </w:p>
    <w:p>
      <w:pPr>
        <w:keepNext w:val="0"/>
        <w:keepLines w:val="0"/>
        <w:pageBreakBefore w:val="0"/>
        <w:widowControl w:val="0"/>
        <w:spacing w:before="120" w:after="120" w:line="400" w:lineRule="exact"/>
        <w:ind w:left="120"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（1）本项目对残疾人福利性单位视同小型、微型企业，给予</w:t>
      </w:r>
      <w:r>
        <w:rPr>
          <w:rFonts w:hint="eastAsia" w:ascii="方正仿宋_GBK" w:hAnsi="方正仿宋_GBK" w:eastAsia="方正仿宋_GBK" w:cs="方正仿宋_GBK"/>
          <w:sz w:val="28"/>
          <w:szCs w:val="28"/>
          <w:u w:val="single"/>
        </w:rPr>
        <w:t>10%</w:t>
      </w:r>
      <w:r>
        <w:rPr>
          <w:rFonts w:hint="eastAsia" w:ascii="方正仿宋_GBK" w:hAnsi="方正仿宋_GBK" w:eastAsia="方正仿宋_GBK" w:cs="方正仿宋_GBK"/>
          <w:sz w:val="28"/>
          <w:szCs w:val="28"/>
        </w:rPr>
        <w:t>的价格扣除，用扣除后的价格参与评审。</w:t>
      </w:r>
    </w:p>
    <w:p>
      <w:pPr>
        <w:keepNext w:val="0"/>
        <w:keepLines w:val="0"/>
        <w:pageBreakBefore w:val="0"/>
        <w:widowControl w:val="0"/>
        <w:spacing w:before="120" w:after="120" w:line="400" w:lineRule="exact"/>
        <w:ind w:left="120"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（2）残疾人福利单位需按照采购文件的要求提供《残疾人福利性单位声明函》。</w:t>
      </w:r>
    </w:p>
    <w:p>
      <w:pPr>
        <w:keepNext w:val="0"/>
        <w:keepLines w:val="0"/>
        <w:pageBreakBefore w:val="0"/>
        <w:widowControl w:val="0"/>
        <w:spacing w:before="120" w:after="120" w:line="400" w:lineRule="exact"/>
        <w:ind w:left="120"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（3）残疾人福利单位标准请参照《关于促进残疾人就业政府采购政策的通知》（财库〔2017〕141号）。</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监狱和戒毒企业价格扣除</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（1）本项目对监狱和戒毒企业（简称监狱企业）视同小型、微型企业，给予</w:t>
      </w:r>
      <w:r>
        <w:rPr>
          <w:rFonts w:hint="eastAsia" w:ascii="方正仿宋_GBK" w:hAnsi="方正仿宋_GBK" w:eastAsia="方正仿宋_GBK" w:cs="方正仿宋_GBK"/>
          <w:sz w:val="28"/>
          <w:szCs w:val="28"/>
          <w:u w:val="single"/>
        </w:rPr>
        <w:t>10%</w:t>
      </w:r>
      <w:r>
        <w:rPr>
          <w:rFonts w:hint="eastAsia" w:ascii="方正仿宋_GBK" w:hAnsi="方正仿宋_GBK" w:eastAsia="方正仿宋_GBK" w:cs="方正仿宋_GBK"/>
          <w:sz w:val="28"/>
          <w:szCs w:val="28"/>
        </w:rPr>
        <w:t>的价格扣除，用扣除后的价格参与评审。</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（2）监狱企业参加政府采购活动时，需提供由省级以上监狱管理局、戒毒管理局(含新疆生产建设兵团)出具的属于监狱企业的证明文件。供应商如不提供上述证明文件，价格将不做相应扣除。</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（3）监狱企业标准请参照《关于政府采购支持监狱企业发展有关问题的通知》（财库〔2014〕68号）。</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残疾人福利单位、监狱企业属于小型、微型企业的，不重复享受政策。</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30%</w:t>
      </w:r>
      <w:r>
        <w:rPr>
          <w:rFonts w:hint="eastAsia" w:ascii="方正仿宋_GBK" w:hAnsi="方正仿宋_GBK" w:eastAsia="方正仿宋_GBK" w:cs="方正仿宋_GBK"/>
          <w:sz w:val="28"/>
          <w:szCs w:val="28"/>
        </w:rPr>
        <w:t>以上的，给予联合体或者大中型企业</w:t>
      </w:r>
      <w:r>
        <w:rPr>
          <w:rFonts w:hint="eastAsia" w:ascii="方正仿宋_GBK" w:hAnsi="方正仿宋_GBK" w:eastAsia="方正仿宋_GBK" w:cs="方正仿宋_GBK"/>
          <w:sz w:val="28"/>
          <w:szCs w:val="28"/>
          <w:u w:val="single"/>
        </w:rPr>
        <w:t>4%</w:t>
      </w:r>
      <w:r>
        <w:rPr>
          <w:rFonts w:hint="eastAsia" w:ascii="方正仿宋_GBK" w:hAnsi="方正仿宋_GBK" w:eastAsia="方正仿宋_GBK" w:cs="方正仿宋_GBK"/>
          <w:sz w:val="28"/>
          <w:szCs w:val="28"/>
        </w:rPr>
        <w:t>的价格扣除，用扣除后的价格参与评审。</w:t>
      </w:r>
    </w:p>
    <w:p>
      <w:pPr>
        <w:keepNext w:val="0"/>
        <w:keepLines w:val="0"/>
        <w:pageBreakBefore w:val="0"/>
        <w:widowControl w:val="0"/>
        <w:spacing w:before="120" w:after="120"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rPr>
        <w:t>联合体各方均为小型、微型企业（残疾人福利单位、监狱企业）的，联合体享受</w:t>
      </w:r>
      <w:r>
        <w:rPr>
          <w:rFonts w:hint="eastAsia" w:ascii="方正仿宋_GBK" w:hAnsi="方正仿宋_GBK" w:eastAsia="方正仿宋_GBK" w:cs="方正仿宋_GBK"/>
          <w:sz w:val="28"/>
          <w:szCs w:val="28"/>
          <w:u w:val="single"/>
        </w:rPr>
        <w:t>10%</w:t>
      </w:r>
      <w:r>
        <w:rPr>
          <w:rFonts w:hint="eastAsia" w:ascii="方正仿宋_GBK" w:hAnsi="方正仿宋_GBK" w:eastAsia="方正仿宋_GBK" w:cs="方正仿宋_GBK"/>
          <w:sz w:val="28"/>
          <w:szCs w:val="28"/>
        </w:rPr>
        <w:t>价格扣除，用扣除后的价格参与评审。</w:t>
      </w:r>
    </w:p>
    <w:p>
      <w:pPr>
        <w:keepNext w:val="0"/>
        <w:keepLines w:val="0"/>
        <w:pageBreakBefore w:val="0"/>
        <w:widowControl w:val="0"/>
        <w:spacing w:line="400" w:lineRule="exact"/>
        <w:ind w:firstLine="560"/>
        <w:jc w:val="lef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7.采购本国产品的支持政策</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整个采购包</w:t>
      </w:r>
      <w:r>
        <w:rPr>
          <w:rFonts w:hint="eastAsia" w:ascii="方正仿宋_GBK" w:hAnsi="方正仿宋_GBK" w:eastAsia="方正仿宋_GBK" w:cs="方正仿宋_GBK"/>
          <w:color w:val="000000"/>
          <w:sz w:val="28"/>
          <w:szCs w:val="28"/>
          <w:lang w:val="en-US" w:eastAsia="zh-CN"/>
        </w:rPr>
        <w:t>成本之和的比例达到</w:t>
      </w:r>
      <w:r>
        <w:rPr>
          <w:rFonts w:hint="eastAsia" w:ascii="方正仿宋_GBK" w:hAnsi="方正仿宋_GBK" w:eastAsia="方正仿宋_GBK" w:cs="方正仿宋_GBK"/>
          <w:color w:val="000000"/>
          <w:sz w:val="28"/>
          <w:szCs w:val="28"/>
          <w:u w:val="none"/>
          <w:lang w:val="en-US" w:eastAsia="zh-CN"/>
        </w:rPr>
        <w:t>80%</w:t>
      </w:r>
      <w:r>
        <w:rPr>
          <w:rFonts w:hint="eastAsia" w:ascii="方正仿宋_GBK" w:hAnsi="方正仿宋_GBK" w:eastAsia="方正仿宋_GBK" w:cs="方正仿宋_GBK"/>
          <w:color w:val="000000"/>
          <w:sz w:val="28"/>
          <w:szCs w:val="28"/>
          <w:lang w:val="en-US" w:eastAsia="zh-CN"/>
        </w:rPr>
        <w:t>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整个采购包</w:t>
      </w:r>
      <w:r>
        <w:rPr>
          <w:rFonts w:hint="eastAsia" w:ascii="方正仿宋_GBK" w:hAnsi="方正仿宋_GBK" w:eastAsia="方正仿宋_GBK" w:cs="方正仿宋_GBK"/>
          <w:color w:val="000000"/>
          <w:sz w:val="28"/>
          <w:szCs w:val="28"/>
          <w:lang w:val="en-US" w:eastAsia="zh-CN"/>
        </w:rPr>
        <w:t>给予价格评审优惠，即对该供应商</w:t>
      </w:r>
      <w:r>
        <w:rPr>
          <w:rFonts w:hint="eastAsia" w:ascii="方正仿宋_GBK" w:hAnsi="方正仿宋_GBK" w:eastAsia="方正仿宋_GBK" w:cs="方正仿宋_GBK"/>
          <w:strike w:val="0"/>
          <w:color w:val="000000"/>
          <w:sz w:val="28"/>
          <w:szCs w:val="28"/>
          <w:lang w:val="en-US" w:eastAsia="zh-CN"/>
        </w:rPr>
        <w:t>整个采购包</w:t>
      </w:r>
      <w:r>
        <w:rPr>
          <w:rFonts w:hint="eastAsia" w:ascii="方正仿宋_GBK" w:hAnsi="方正仿宋_GBK" w:eastAsia="方正仿宋_GBK" w:cs="方正仿宋_GBK"/>
          <w:color w:val="000000"/>
          <w:sz w:val="28"/>
          <w:szCs w:val="28"/>
          <w:lang w:val="en-US" w:eastAsia="zh-CN"/>
        </w:rPr>
        <w:t>的总报价给予</w:t>
      </w:r>
      <w:r>
        <w:rPr>
          <w:rFonts w:hint="eastAsia" w:ascii="方正仿宋_GBK" w:hAnsi="方正仿宋_GBK" w:eastAsia="方正仿宋_GBK" w:cs="方正仿宋_GBK"/>
          <w:color w:val="000000"/>
          <w:sz w:val="28"/>
          <w:szCs w:val="28"/>
          <w:u w:val="none"/>
          <w:lang w:val="en-US" w:eastAsia="zh-CN"/>
        </w:rPr>
        <w:t>20%</w:t>
      </w:r>
      <w:r>
        <w:rPr>
          <w:rFonts w:hint="eastAsia" w:ascii="方正仿宋_GBK" w:hAnsi="方正仿宋_GBK" w:eastAsia="方正仿宋_GBK" w:cs="方正仿宋_GBK"/>
          <w:color w:val="000000"/>
          <w:sz w:val="28"/>
          <w:szCs w:val="28"/>
          <w:lang w:val="en-US" w:eastAsia="zh-CN"/>
        </w:rPr>
        <w:t>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不足80%</w:t>
      </w:r>
      <w:r>
        <w:rPr>
          <w:rFonts w:hint="eastAsia" w:ascii="方正仿宋_GBK" w:hAnsi="方正仿宋_GBK" w:eastAsia="方正仿宋_GBK" w:cs="方正仿宋_GBK"/>
          <w:color w:val="000000"/>
          <w:sz w:val="28"/>
          <w:szCs w:val="28"/>
          <w:lang w:val="en-US" w:eastAsia="zh-CN"/>
        </w:rPr>
        <w:t>的，将不享受本国产品价格评审优惠</w:t>
      </w:r>
      <w:r>
        <w:rPr>
          <w:rFonts w:hint="eastAsia" w:ascii="方正仿宋_GBK" w:hAnsi="方正仿宋_GBK" w:eastAsia="方正仿宋_GBK" w:cs="方正仿宋_GBK"/>
          <w:color w:val="000000"/>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7.2</w:t>
      </w:r>
      <w:r>
        <w:rPr>
          <w:rFonts w:hint="eastAsia" w:ascii="方正仿宋_GBK" w:hAnsi="方正仿宋_GBK" w:eastAsia="方正仿宋_GBK" w:cs="方正仿宋_GBK"/>
          <w:color w:val="000000"/>
          <w:sz w:val="28"/>
          <w:szCs w:val="28"/>
        </w:rPr>
        <w:t>供应商需按照</w:t>
      </w:r>
      <w:r>
        <w:rPr>
          <w:rFonts w:hint="eastAsia" w:ascii="方正仿宋_GBK" w:hAnsi="方正仿宋_GBK" w:eastAsia="方正仿宋_GBK" w:cs="方正仿宋_GBK"/>
          <w:color w:val="000000"/>
          <w:sz w:val="28"/>
          <w:szCs w:val="28"/>
          <w:lang w:eastAsia="zh-CN"/>
        </w:rPr>
        <w:t>磋商</w:t>
      </w:r>
      <w:r>
        <w:rPr>
          <w:rFonts w:hint="eastAsia" w:ascii="方正仿宋_GBK" w:hAnsi="方正仿宋_GBK" w:eastAsia="方正仿宋_GBK" w:cs="方正仿宋_GBK"/>
          <w:color w:val="000000"/>
          <w:sz w:val="28"/>
          <w:szCs w:val="28"/>
        </w:rPr>
        <w:t>文件的要求提供《关于符合本国产品标准的声明函》</w:t>
      </w:r>
      <w:r>
        <w:rPr>
          <w:rFonts w:hint="eastAsia" w:ascii="方正仿宋_GBK" w:hAnsi="方正仿宋_GBK" w:eastAsia="方正仿宋_GBK" w:cs="方正仿宋_GBK"/>
          <w:color w:val="000000"/>
          <w:sz w:val="28"/>
          <w:szCs w:val="28"/>
          <w:lang w:eastAsia="zh-CN"/>
        </w:rPr>
        <w:t>（以下简称《声明函》），如不提供</w:t>
      </w:r>
      <w:r>
        <w:rPr>
          <w:rFonts w:hint="eastAsia" w:ascii="方正仿宋_GBK" w:hAnsi="方正仿宋_GBK" w:eastAsia="方正仿宋_GBK" w:cs="方正仿宋_GBK"/>
          <w:color w:val="000000"/>
          <w:sz w:val="28"/>
          <w:szCs w:val="28"/>
          <w:lang w:val="en-US" w:eastAsia="zh-CN"/>
        </w:rPr>
        <w:t>将不享受本国产品价格评审优惠</w:t>
      </w:r>
      <w:r>
        <w:rPr>
          <w:rFonts w:hint="eastAsia" w:ascii="方正仿宋_GBK" w:hAnsi="方正仿宋_GBK" w:eastAsia="方正仿宋_GBK" w:cs="方正仿宋_GBK"/>
          <w:color w:val="000000"/>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7.3</w:t>
      </w:r>
      <w:r>
        <w:rPr>
          <w:rFonts w:hint="eastAsia" w:ascii="方正仿宋_GBK" w:hAnsi="方正仿宋_GBK" w:eastAsia="方正仿宋_GBK" w:cs="方正仿宋_GBK"/>
          <w:color w:val="000000"/>
          <w:sz w:val="28"/>
          <w:szCs w:val="28"/>
        </w:rPr>
        <w:t>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”的地方无需填写</w:t>
      </w:r>
      <w:r>
        <w:rPr>
          <w:rFonts w:hint="eastAsia" w:ascii="方正仿宋_GBK" w:hAnsi="方正仿宋_GBK" w:eastAsia="方正仿宋_GBK" w:cs="方正仿宋_GBK"/>
          <w:color w:val="000000"/>
          <w:sz w:val="28"/>
          <w:szCs w:val="28"/>
        </w:rPr>
        <w:t>），三项信息中任意一项未填写的视为该项产品不符合本国产品标准，不享受本国产品价格评审优惠。</w:t>
      </w:r>
    </w:p>
    <w:p>
      <w:pPr>
        <w:keepNext w:val="0"/>
        <w:keepLines w:val="0"/>
        <w:pageBreakBefore w:val="0"/>
        <w:widowControl w:val="0"/>
        <w:spacing w:line="400" w:lineRule="exact"/>
        <w:ind w:firstLine="560"/>
      </w:pPr>
      <w:r>
        <w:rPr>
          <w:rFonts w:hint="eastAsia" w:ascii="方正仿宋_GBK" w:hAnsi="方正仿宋_GBK" w:eastAsia="方正仿宋_GBK" w:cs="方正仿宋_GBK"/>
          <w:color w:val="000000"/>
          <w:sz w:val="28"/>
          <w:szCs w:val="28"/>
          <w:lang w:val="en-US" w:eastAsia="zh-CN"/>
        </w:rPr>
        <w:t>7.4评审</w:t>
      </w:r>
      <w:r>
        <w:rPr>
          <w:rFonts w:hint="eastAsia" w:ascii="方正仿宋_GBK" w:hAnsi="方正仿宋_GBK" w:eastAsia="方正仿宋_GBK" w:cs="方正仿宋_GBK"/>
          <w:color w:val="000000"/>
          <w:sz w:val="28"/>
          <w:szCs w:val="28"/>
        </w:rPr>
        <w:t>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磋商小组</w:t>
      </w:r>
      <w:r>
        <w:rPr>
          <w:rFonts w:hint="eastAsia" w:ascii="方正仿宋_GBK" w:hAnsi="方正仿宋_GBK" w:eastAsia="方正仿宋_GBK" w:cs="方正仿宋_GBK"/>
          <w:color w:val="000000"/>
          <w:sz w:val="28"/>
          <w:szCs w:val="28"/>
        </w:rPr>
        <w:t>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和磋商文件</w:t>
      </w:r>
      <w:r>
        <w:rPr>
          <w:rFonts w:hint="eastAsia" w:ascii="方正仿宋_GBK" w:hAnsi="方正仿宋_GBK" w:eastAsia="方正仿宋_GBK" w:cs="方正仿宋_GBK"/>
          <w:color w:val="000000"/>
          <w:sz w:val="28"/>
          <w:szCs w:val="28"/>
        </w:rPr>
        <w:t>规定的，供应商提供的相关产品视为不符合本国产品标准。</w:t>
      </w:r>
    </w:p>
    <w:p>
      <w:pPr>
        <w:keepLines w:val="0"/>
        <w:pageBreakBefore w:val="0"/>
        <w:widowControl w:val="0"/>
        <w:spacing w:before="120" w:after="120" w:line="400" w:lineRule="exact"/>
        <w:ind w:firstLine="562"/>
        <w:jc w:val="lef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评审方法与评审标准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本项目采用综合评分法确定成交候选人。评标委员会将按下列评分办法和标准进行评分，总分值为100分。</w:t>
      </w:r>
    </w:p>
    <w:p>
      <w:pPr>
        <w:keepNext w:val="0"/>
        <w:keepLines w:val="0"/>
        <w:pageBreakBefore w:val="0"/>
        <w:widowControl w:val="0"/>
        <w:spacing w:line="400" w:lineRule="exact"/>
        <w:ind w:firstLine="562"/>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1、磋商响应报价（10分）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采用低价优先法计算，即满足磋商文件要求且价格最低的磋商响应报价为评标基准价，其价格分为满分。其他磋商响应供应商的价格分统一按照下列公式计算：磋商响应报价得分=（评标基准价/磋商响应报价）×10（小数点保留两位）。</w:t>
      </w:r>
    </w:p>
    <w:p>
      <w:pPr>
        <w:keepNext w:val="0"/>
        <w:keepLines w:val="0"/>
        <w:pageBreakBefore w:val="0"/>
        <w:widowControl w:val="0"/>
        <w:spacing w:line="400" w:lineRule="exact"/>
        <w:ind w:firstLine="562"/>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2、需求响应（44分）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产品技术参数参照第四章采购需求打分，斜体且有下划线部分条款为必须满足项，如有负偏离将作为无效磋商响应。</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2.1 根据“2.2.3 功能栏目建设需求”中的除标注视频演示的各子模块功能需求响应情况进行评分。全部满足得22分；存在负偏离的，每有一项负偏离扣1分，扣完为止。</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2.2 根据“2.4技术指标要求”、“2.5性能要求”、“2.6安全要求”的响应情况进行打分。全部满足得22分；存在负偏离的，每有一项负偏离扣1分，扣完为止。（22分）</w:t>
      </w:r>
    </w:p>
    <w:p>
      <w:pPr>
        <w:keepNext w:val="0"/>
        <w:keepLines w:val="0"/>
        <w:pageBreakBefore w:val="0"/>
        <w:widowControl w:val="0"/>
        <w:spacing w:line="400" w:lineRule="exact"/>
        <w:ind w:firstLine="562"/>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3、技术方案（25分）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3.1 评委根据磋商响应文件对磋商文件第四章“采购需求”中“总体设计方案”要求的响应情况评审</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（1）磋商响应文件未符合"总体设计方案"中全部条款要求的，视为不符合磋商文件，本项得0分；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（2）磋商响应文件符合"总体设计方案"中全部条款要求的，视为符合磋商文件，本项得3分；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经评委认定，磋商响应文件对"总体设计方案"中"系统分层架构设计"、"页面设计"、"数据架构设计"等要求的响应内容全部优于磋商文件要求的（除上述要求外其他要求响应内容符合磋商文件要求），本项得5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3.2 评委根据磋商响应文件对磋商文件第四章“采购需求”中“安全保障技术方案”要求的响应情况评审</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（1）磋商响应文件未符合"安全保障技术方案"中全部条款要求的，视为不符合磋商文件，本项得0分；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（2）磋商响应文件符合"安全保障技术方案"中全部条款要求的，视为符合磋商文件，本项得3分；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经评委认定，磋商响应文件对"安全保障技术方案"中"信息访问"、"传输和储存安全"、"网络安全"等层面对系统的安全管理体系进行架构设计要求的响应内容全部优于磋商文件要求的（除上述要求外其他要求响应内容符合磋商文件要求），本项得5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3.3 评委根据磋商响应文件对磋商文件第四章“采购需求”中“项目实施保障方案”要求的响应情况评审</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（1）磋商响应文件未符合"项目实施保障方案"中全部条款要求的，视为不符合磋商文件，本项得0分；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（2）磋商响应文件符合"项目实施保障方案"中全部条款要求的，视为符合磋商文件，本项得3分；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（3）经评委认定，磋商响应文件对"项目实施保障方案"中"质量保障方案"、"进度保障方案"等要求的响应内容全部优于磋商文件要求的（除上述要求外其他要求响应内容符合磋商文件要求），本项得5分。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3.4 评委根据磋商响应文件对磋商文件第四章“采购需求”中“培训方案”要求的响应情况评审</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（1）磋商响应文件未符合"培训方案"中全部条款要求的，视为不符合磋商文件，本项得0分；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（2）磋商响应文件符合"培训方案"中全部条款要求的，视为符合磋商文件，本项得3分；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（3）经评委认定，磋商响应文件对"培训方案"中"系统运行管理"、"业务操作培训"等培训内容要求的响应内容全部优于磋商文件要求的（除上述要求外其他要求响应内容符合磋商文件要求），本项得5分。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3.5 评委根据磋商响应文件对磋商文件第四章“采购需求”中“售后维保服务方案”要求的响应情况评审</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（1）磋商响应文件未符合"售后维保服务方案"中全部条款要求的，视为不符合磋商文件，本项得0分；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（2）磋商响应文件符合"售后维保服务方案"中全部条款要求的，视为符合磋商文件，本项得3分；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3）经评委认定，磋商响应文件对"售后维保服务方案"中质保期外免费的"技术指导"、"咨询"、"问题解答"等要求的响应内容全部优于磋商文件要求的（除上述要求外其他要求响应内容符合磋商文件要求），本项得5分。</w:t>
      </w:r>
    </w:p>
    <w:p>
      <w:pPr>
        <w:keepNext w:val="0"/>
        <w:keepLines w:val="0"/>
        <w:pageBreakBefore w:val="0"/>
        <w:widowControl w:val="0"/>
        <w:spacing w:line="400" w:lineRule="exact"/>
        <w:ind w:firstLine="562"/>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4、项目案例（5分）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磋商响应供应商应提供2023年1月1日以来承接并通过验收的类似项目案例，类似项目是指项目名称包含"仪器管理"或"实验室管理"关键词，且建设内容与本项目在仪器基本信息管理、使用记录管理、维修维护、报废管理、移动端应用、物联接入、统一身份认证对接、国产化部署适配、智能硬件接入等方面具有相关性或相似性的项目。根据所提供案例数量及与本项目的匹配程度进行评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4.1每提供1个通过验收的类似项目案例得2分，最高得4分。所提供项目名称须包含仪器管理或实验室管理，且能够反映仪器基本信息管理、使用记录管理、维修维护、报废管理、移动端应用、物联接入等任意3项核心建设内容，否则本小项不得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4.2在满足上述基础上，同一项目案例中还包含统一身份认证对接、国产化部署适配、智能硬件接入中的任意2项复杂建设内容的，加1分。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本项最高得5分。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注：须提供合同复印件或扫描件及项目验收证明材料，并加盖磋商响应供应商公章，合同内容需能清晰反映相关建设内容。同一最终用户的不同期项目，如合同独立、验收独立、建设内容独立的，可分别认定，其他情况不重复计分。</w:t>
      </w:r>
    </w:p>
    <w:p>
      <w:pPr>
        <w:keepNext w:val="0"/>
        <w:keepLines w:val="0"/>
        <w:pageBreakBefore w:val="0"/>
        <w:widowControl w:val="0"/>
        <w:spacing w:line="400" w:lineRule="exact"/>
        <w:ind w:firstLine="562"/>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5、软件自主研发能力（3分）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磋商响应供应商具有由国家版权局颁发的相关软件著作权登记证书，证书名称包含与本项目有关的“仪器管理”或“内容管理”或“实验室管理”的软件著作权证书，每提供一种得1.5分，同一种软件著作权证不重复得分，满分3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注：如磋商响应文件中提供的著作权名称表述与磋商文件描述的关键字样不一致，而该磋商响应文件中能证明磋商响应供应商拥有的著作权具有相同或相似功能和效果的，视同符合要求。</w:t>
      </w:r>
    </w:p>
    <w:p>
      <w:pPr>
        <w:keepNext w:val="0"/>
        <w:keepLines w:val="0"/>
        <w:pageBreakBefore w:val="0"/>
        <w:widowControl w:val="0"/>
        <w:spacing w:line="400" w:lineRule="exact"/>
        <w:ind w:firstLine="562"/>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6、实施团队（3分）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6.1磋商响应供应商拟投入本项目的项目负责人具备本科及以上学历的，得1分；承担过类似的信息化服务项目的，每提供一个案例，得1分，两者合计最多得2分。（需提供学历证书复印件或扫描件、磋商响应供应商为该人员缴纳的近3个月内任意一个月的社保证明材料并加盖公章，案例材料需提供合同复印件或扫描件，并附磋商响应文件中关于该人员参与此项目的凭证说明）</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6.2磋商响应供应商拟投入本项目的专业技术人员具备信息化项目开发实施经验，提供相关项目经验证明材料，每提供1人得0.5分，最高得1分。（需提供磋商响应供应商为该人员缴纳的近3个月内任意一个月的社保证明材料并加盖公章。案例材料需提供合同复印件或扫描件，并附磋商响应文件中关于该人员参与此项目的凭证说明）项目负责人不得与专业技术人员为同一人。</w:t>
      </w:r>
    </w:p>
    <w:p>
      <w:pPr>
        <w:keepNext w:val="0"/>
        <w:keepLines w:val="0"/>
        <w:pageBreakBefore w:val="0"/>
        <w:widowControl w:val="0"/>
        <w:spacing w:line="400" w:lineRule="exact"/>
        <w:ind w:firstLine="562"/>
        <w:rPr>
          <w:rFonts w:hint="eastAsia"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lang w:val="en-US" w:eastAsia="zh-CN"/>
        </w:rPr>
        <w:t>7、系统演示（10分）</w:t>
      </w:r>
    </w:p>
    <w:p>
      <w:pPr>
        <w:keepNext w:val="0"/>
        <w:keepLines w:val="0"/>
        <w:pageBreakBefore w:val="0"/>
        <w:widowControl w:val="0"/>
        <w:spacing w:line="400" w:lineRule="exact"/>
        <w:ind w:firstLine="560"/>
        <w:rPr>
          <w:rFonts w:ascii="Times New Roman" w:hAnsi="Times New Roman"/>
          <w:szCs w:val="21"/>
        </w:rPr>
      </w:pPr>
      <w:r>
        <w:rPr>
          <w:rFonts w:hint="eastAsia" w:ascii="方正仿宋_GBK" w:hAnsi="方正仿宋_GBK" w:eastAsia="方正仿宋_GBK" w:cs="方正仿宋_GBK"/>
          <w:color w:val="000000"/>
          <w:sz w:val="28"/>
          <w:szCs w:val="28"/>
          <w:lang w:val="en-US" w:eastAsia="zh-CN"/>
        </w:rPr>
        <w:t>按照第四章6.3“演示要求”内容评分，单个功能点符合要求得2分。上述功能模块未完全演示或未演示不得分。采用PPT、Word等方式进行模拟演示的，需乘以系数0.5后为演示的最终得分。</w:t>
      </w:r>
    </w:p>
    <w:p>
      <w:pPr>
        <w:rPr>
          <w:rFonts w:ascii="Times New Roman" w:hAnsi="Times New Roman"/>
          <w:szCs w:val="21"/>
        </w:rPr>
      </w:pPr>
    </w:p>
    <w:p>
      <w:pPr>
        <w:rPr>
          <w:rFonts w:ascii="Times New Roman" w:hAnsi="Times New Roman"/>
          <w:szCs w:val="21"/>
        </w:rPr>
      </w:pPr>
    </w:p>
    <w:bookmarkEnd w:id="176"/>
    <w:bookmarkEnd w:id="177"/>
    <w:bookmarkEnd w:id="179"/>
    <w:p>
      <w:pPr>
        <w:rPr>
          <w:rFonts w:ascii="Times New Roman" w:hAnsi="Times New Roman"/>
          <w:szCs w:val="21"/>
        </w:rPr>
      </w:pPr>
    </w:p>
    <w:p>
      <w:pPr>
        <w:pStyle w:val="210"/>
        <w:keepNext/>
        <w:keepLines/>
        <w:pageBreakBefore w:val="0"/>
        <w:widowControl w:val="0"/>
        <w:spacing w:line="400" w:lineRule="exact"/>
        <w:rPr>
          <w:rFonts w:hint="eastAsia" w:ascii="黑体" w:hAnsi="黑体" w:eastAsia="黑体" w:cs="Arial"/>
          <w:b w:val="0"/>
          <w:bCs w:val="0"/>
          <w:sz w:val="28"/>
          <w:szCs w:val="28"/>
        </w:rPr>
      </w:pPr>
      <w:bookmarkStart w:id="181" w:name="_Toc49090576"/>
      <w:bookmarkStart w:id="182" w:name="_Toc26554094"/>
      <w:bookmarkStart w:id="183" w:name="_Toc120614282"/>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1"/>
        <w:rPr>
          <w:rFonts w:hint="eastAsia"/>
        </w:rPr>
      </w:pPr>
    </w:p>
    <w:p>
      <w:pPr>
        <w:pStyle w:val="210"/>
        <w:keepNext/>
        <w:keepLines/>
        <w:pageBreakBefore w:val="0"/>
        <w:widowControl w:val="0"/>
        <w:spacing w:line="400" w:lineRule="exact"/>
        <w:rPr>
          <w:rFonts w:hint="eastAsia" w:ascii="黑体" w:hAnsi="黑体" w:eastAsia="黑体" w:cs="Arial"/>
          <w:b w:val="0"/>
          <w:bCs w:val="0"/>
          <w:sz w:val="28"/>
          <w:szCs w:val="28"/>
        </w:rPr>
      </w:pPr>
    </w:p>
    <w:p>
      <w:pPr>
        <w:pStyle w:val="211"/>
        <w:rPr>
          <w:rFonts w:hint="eastAsia" w:ascii="黑体" w:hAnsi="黑体" w:eastAsia="黑体" w:cs="Arial"/>
          <w:b w:val="0"/>
          <w:bCs w:val="0"/>
          <w:sz w:val="28"/>
          <w:szCs w:val="28"/>
        </w:rPr>
      </w:pPr>
    </w:p>
    <w:p>
      <w:pPr>
        <w:pStyle w:val="211"/>
        <w:rPr>
          <w:rFonts w:hint="eastAsia" w:ascii="黑体" w:hAnsi="黑体" w:eastAsia="黑体" w:cs="Arial"/>
          <w:b w:val="0"/>
          <w:bCs w:val="0"/>
          <w:sz w:val="28"/>
          <w:szCs w:val="28"/>
        </w:rPr>
      </w:pPr>
    </w:p>
    <w:p>
      <w:pPr>
        <w:pStyle w:val="211"/>
        <w:rPr>
          <w:rFonts w:hint="eastAsia" w:ascii="黑体" w:hAnsi="黑体" w:eastAsia="黑体" w:cs="Arial"/>
          <w:b w:val="0"/>
          <w:bCs w:val="0"/>
          <w:sz w:val="28"/>
          <w:szCs w:val="28"/>
        </w:rPr>
      </w:pPr>
    </w:p>
    <w:p>
      <w:pPr>
        <w:pStyle w:val="211"/>
        <w:rPr>
          <w:rFonts w:hint="eastAsia" w:ascii="黑体" w:hAnsi="黑体" w:eastAsia="黑体" w:cs="Arial"/>
          <w:b w:val="0"/>
          <w:bCs w:val="0"/>
          <w:sz w:val="28"/>
          <w:szCs w:val="28"/>
        </w:rPr>
      </w:pPr>
    </w:p>
    <w:p>
      <w:pPr>
        <w:pStyle w:val="211"/>
        <w:rPr>
          <w:rFonts w:hint="eastAsia" w:ascii="黑体" w:hAnsi="黑体" w:eastAsia="黑体" w:cs="Arial"/>
          <w:b w:val="0"/>
          <w:bCs w:val="0"/>
          <w:sz w:val="28"/>
          <w:szCs w:val="28"/>
        </w:rPr>
      </w:pPr>
    </w:p>
    <w:p>
      <w:pPr>
        <w:pStyle w:val="211"/>
        <w:rPr>
          <w:rFonts w:hint="eastAsia" w:ascii="黑体" w:hAnsi="黑体" w:eastAsia="黑体" w:cs="Arial"/>
          <w:b w:val="0"/>
          <w:bCs w:val="0"/>
          <w:sz w:val="28"/>
          <w:szCs w:val="28"/>
        </w:rPr>
      </w:pPr>
    </w:p>
    <w:p>
      <w:pPr>
        <w:pStyle w:val="211"/>
        <w:rPr>
          <w:rFonts w:hint="eastAsia" w:ascii="黑体" w:hAnsi="黑体" w:eastAsia="黑体" w:cs="Arial"/>
          <w:b w:val="0"/>
          <w:bCs w:val="0"/>
          <w:sz w:val="28"/>
          <w:szCs w:val="28"/>
        </w:rPr>
      </w:pPr>
    </w:p>
    <w:p>
      <w:pPr>
        <w:pStyle w:val="210"/>
        <w:keepNext/>
        <w:keepLines/>
        <w:pageBreakBefore w:val="0"/>
        <w:widowControl w:val="0"/>
        <w:spacing w:line="400" w:lineRule="exact"/>
        <w:rPr>
          <w:rFonts w:hint="eastAsia" w:ascii="黑体" w:hAnsi="黑体" w:eastAsia="黑体" w:cs="Arial"/>
          <w:b w:val="0"/>
          <w:bCs w:val="0"/>
          <w:sz w:val="28"/>
          <w:szCs w:val="28"/>
        </w:rPr>
      </w:pPr>
      <w:r>
        <w:rPr>
          <w:rFonts w:hint="eastAsia" w:ascii="黑体" w:hAnsi="黑体" w:eastAsia="黑体" w:cs="Arial"/>
          <w:b w:val="0"/>
          <w:bCs w:val="0"/>
          <w:sz w:val="28"/>
          <w:szCs w:val="28"/>
        </w:rPr>
        <w:t xml:space="preserve">第六章  响应文件格式 </w:t>
      </w:r>
    </w:p>
    <w:p>
      <w:pPr>
        <w:jc w:val="center"/>
        <w:rPr>
          <w:rFonts w:hint="eastAsia" w:ascii="宋体" w:hAnsi="宋体"/>
          <w:b/>
          <w:sz w:val="72"/>
          <w:szCs w:val="21"/>
        </w:rPr>
      </w:pPr>
      <w:bookmarkStart w:id="184" w:name="_Hlt26671244"/>
      <w:bookmarkEnd w:id="184"/>
      <w:bookmarkStart w:id="185" w:name="_Hlt26955039"/>
      <w:bookmarkEnd w:id="185"/>
    </w:p>
    <w:p>
      <w:pPr>
        <w:keepNext w:val="0"/>
        <w:keepLines w:val="0"/>
        <w:pageBreakBefore w:val="0"/>
        <w:widowControl w:val="0"/>
        <w:spacing w:line="660" w:lineRule="exact"/>
        <w:jc w:val="center"/>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响  应  文  件</w:t>
      </w:r>
    </w:p>
    <w:p>
      <w:pPr>
        <w:jc w:val="center"/>
        <w:rPr>
          <w:rFonts w:hint="eastAsia" w:ascii="宋体" w:hAnsi="宋体"/>
          <w:b/>
          <w:sz w:val="72"/>
          <w:szCs w:val="21"/>
        </w:rPr>
      </w:pPr>
    </w:p>
    <w:p>
      <w:pPr>
        <w:jc w:val="center"/>
        <w:rPr>
          <w:rFonts w:hint="eastAsia" w:ascii="宋体" w:hAnsi="宋体"/>
          <w:b/>
          <w:sz w:val="72"/>
          <w:szCs w:val="21"/>
        </w:rPr>
      </w:pPr>
    </w:p>
    <w:p>
      <w:pPr>
        <w:jc w:val="center"/>
        <w:rPr>
          <w:rFonts w:hint="eastAsia" w:ascii="宋体" w:hAnsi="宋体"/>
          <w:b/>
          <w:sz w:val="36"/>
          <w:szCs w:val="21"/>
        </w:rPr>
      </w:pPr>
    </w:p>
    <w:p>
      <w:pPr>
        <w:jc w:val="center"/>
        <w:rPr>
          <w:rFonts w:hint="eastAsia" w:ascii="宋体" w:hAnsi="宋体"/>
          <w:b/>
          <w:sz w:val="36"/>
          <w:szCs w:val="21"/>
        </w:rPr>
      </w:pPr>
    </w:p>
    <w:p>
      <w:pPr>
        <w:jc w:val="center"/>
        <w:rPr>
          <w:rFonts w:hint="eastAsia" w:ascii="宋体" w:hAnsi="宋体"/>
          <w:b/>
          <w:sz w:val="36"/>
          <w:szCs w:val="21"/>
        </w:rPr>
      </w:pPr>
    </w:p>
    <w:p>
      <w:pPr>
        <w:keepNext w:val="0"/>
        <w:keepLines w:val="0"/>
        <w:pageBreakBefore w:val="0"/>
        <w:widowControl w:val="0"/>
        <w:spacing w:line="400" w:lineRule="exact"/>
        <w:ind w:firstLine="840"/>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项 目 名 称：</w:t>
      </w:r>
      <w:r>
        <w:rPr>
          <w:rFonts w:hint="eastAsia" w:ascii="方正黑体_GBK" w:hAnsi="方正黑体_GBK" w:eastAsia="方正黑体_GBK" w:cs="方正黑体_GBK"/>
          <w:b w:val="0"/>
          <w:bCs/>
          <w:sz w:val="28"/>
          <w:szCs w:val="28"/>
          <w:u w:val="single"/>
        </w:rPr>
        <w:t xml:space="preserve">               </w:t>
      </w:r>
    </w:p>
    <w:p>
      <w:pPr>
        <w:keepNext w:val="0"/>
        <w:keepLines w:val="0"/>
        <w:pageBreakBefore w:val="0"/>
        <w:widowControl w:val="0"/>
        <w:spacing w:line="400" w:lineRule="exact"/>
        <w:ind w:firstLine="840"/>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p>
    <w:p>
      <w:pPr>
        <w:keepNext w:val="0"/>
        <w:keepLines w:val="0"/>
        <w:pageBreakBefore w:val="0"/>
        <w:widowControl w:val="0"/>
        <w:spacing w:line="400" w:lineRule="exact"/>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（加盖CA电子公章）</w:t>
      </w:r>
    </w:p>
    <w:p>
      <w:pPr>
        <w:keepNext w:val="0"/>
        <w:keepLines w:val="0"/>
        <w:pageBreakBefore w:val="0"/>
        <w:widowControl w:val="0"/>
        <w:spacing w:line="400" w:lineRule="exact"/>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p>
    <w:p>
      <w:pPr>
        <w:spacing w:line="440" w:lineRule="exact"/>
        <w:jc w:val="center"/>
        <w:rPr>
          <w:rFonts w:hint="eastAsia" w:ascii="宋体" w:hAnsi="宋体"/>
          <w:b/>
          <w:bCs/>
          <w:sz w:val="32"/>
          <w:szCs w:val="32"/>
        </w:rPr>
      </w:pPr>
    </w:p>
    <w:p>
      <w:pPr>
        <w:spacing w:line="440" w:lineRule="exact"/>
        <w:rPr>
          <w:rFonts w:ascii="宋体" w:hAnsi="宋体"/>
          <w:szCs w:val="21"/>
        </w:rPr>
      </w:pPr>
    </w:p>
    <w:p>
      <w:pPr>
        <w:spacing w:line="440" w:lineRule="exact"/>
        <w:rPr>
          <w:rFonts w:ascii="宋体" w:hAnsi="宋体"/>
          <w:szCs w:val="21"/>
        </w:rPr>
      </w:pPr>
    </w:p>
    <w:p>
      <w:pPr>
        <w:spacing w:line="440" w:lineRule="exact"/>
        <w:rPr>
          <w:rFonts w:ascii="宋体" w:hAnsi="宋体"/>
          <w:szCs w:val="21"/>
        </w:rPr>
      </w:pPr>
    </w:p>
    <w:p>
      <w:pPr>
        <w:spacing w:line="440" w:lineRule="exact"/>
        <w:rPr>
          <w:rFonts w:ascii="宋体" w:hAnsi="宋体"/>
          <w:szCs w:val="21"/>
        </w:rPr>
      </w:pPr>
    </w:p>
    <w:p>
      <w:pPr>
        <w:rPr>
          <w:rFonts w:ascii="宋体" w:hAnsi="宋体"/>
          <w:b/>
          <w:bCs/>
          <w:sz w:val="32"/>
          <w:szCs w:val="32"/>
        </w:rPr>
      </w:pPr>
    </w:p>
    <w:p>
      <w:pPr>
        <w:rPr>
          <w:rFonts w:ascii="宋体" w:hAnsi="宋体"/>
          <w:b/>
          <w:bCs/>
          <w:sz w:val="32"/>
          <w:szCs w:val="32"/>
        </w:rPr>
      </w:pPr>
    </w:p>
    <w:p>
      <w:pPr>
        <w:rPr>
          <w:rFonts w:ascii="宋体" w:hAnsi="宋体"/>
          <w:b/>
          <w:bCs/>
          <w:sz w:val="32"/>
          <w:szCs w:val="32"/>
        </w:rPr>
      </w:pPr>
    </w:p>
    <w:p>
      <w:pPr>
        <w:rPr>
          <w:rFonts w:ascii="宋体" w:hAnsi="宋体"/>
          <w:b/>
          <w:bCs/>
          <w:sz w:val="32"/>
          <w:szCs w:val="32"/>
        </w:rPr>
      </w:pPr>
    </w:p>
    <w:p>
      <w:pPr>
        <w:rPr>
          <w:rFonts w:ascii="宋体" w:hAnsi="宋体"/>
          <w:b/>
          <w:bCs/>
          <w:sz w:val="32"/>
          <w:szCs w:val="32"/>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响应文件的组成</w:t>
      </w:r>
    </w:p>
    <w:p>
      <w:pPr>
        <w:keepNext w:val="0"/>
        <w:keepLines w:val="0"/>
        <w:pageBreakBefore w:val="0"/>
        <w:widowControl w:val="0"/>
        <w:spacing w:line="400" w:lineRule="exact"/>
        <w:jc w:val="center"/>
        <w:rPr>
          <w:rFonts w:hint="eastAsia" w:ascii="宋体" w:hAnsi="宋体"/>
          <w:b/>
          <w:bCs/>
          <w:sz w:val="28"/>
          <w:szCs w:val="28"/>
        </w:rPr>
      </w:pPr>
    </w:p>
    <w:p>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一、基本目录</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1.分项报价表（格式见附件1）</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2.技术要求响应及偏离表（格式见附件2）</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3.商务要求响应及偏离表（格式见附件3）</w:t>
      </w:r>
    </w:p>
    <w:p>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二、资格审查内容</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1.法人或者其他组织的营业执照等证明文件，自然人的身份证明</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2.上一年度的财务状况报告（供应商成立不满一年无需提供）</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3.依法缴纳税收和社会保障资金的相关材料（提供提交响应文件截止时间前一年内至少一个月依法缴纳税收及缴纳社会保障资金的证明材料。供应商依法享受缓缴、免缴税收、社会保障资金的提供证明材料。）</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4.具备履行合同所必需的设备和专业技术能力的书面声明（格式见附件4）</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5.参加政府采购活动前 3 年内在经营活动中没有重大违法记录的书面声明（格式见附件5）</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6.特定资格要求的证明文件（如果本项目对供应商做出特定资格要求的，必须提供）</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7.在“信用中国”网站（</w:t>
      </w:r>
      <w:r>
        <w:rPr>
          <w:rFonts w:hint="eastAsia" w:ascii="Times New Roman" w:hAnsi="Times New Roman" w:eastAsia="方正仿宋_GBK" w:cs="Times New Roman"/>
          <w:sz w:val="28"/>
          <w:szCs w:val="28"/>
          <w:lang w:eastAsia="zh-CN"/>
        </w:rPr>
        <w:t>www.creditchina.gov.cn</w:t>
      </w:r>
      <w:r>
        <w:rPr>
          <w:rFonts w:hint="eastAsia" w:ascii="方正仿宋_GBK" w:hAnsi="方正仿宋_GBK" w:eastAsia="方正仿宋_GBK" w:cs="方正仿宋_GBK"/>
          <w:sz w:val="28"/>
          <w:szCs w:val="28"/>
        </w:rPr>
        <w:t>）查询，无被列入失信被执行人、重大税收违法案件当事人名单、政府采购严重失信行为记录名单及其他不符合《中华人民共和国政府采购法》第二十二条规定条件的信用记录（响应文件中无需提供证明材料）</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8.法人授权书（格式见附件6）</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9.响应函（格式见附件7）</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10.中小微企业声明函（如果本项目专门面向中小微型企业采购，则必须提供。格式见附件8）</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11.残疾人福利性单位声明函（如果本项目专门面向中小微型企业采购，供应商为残疾人福利性单位并提供本单位制造的货物，或者提供其他残疾人福利性单位制造的货物，则必须提供。格式见附件9）</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12.联合体协议（如果本项目接受联合体参与磋商，供应商是联合体的，则必须提供。格式见附件10）</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总备注：上述“资格审查内容”中1-5条、8、9条供应商必须在响应文件中提供相关材料，否则作无效响应处理；6、10、11、12条如磋商文件要求必须提供相关材料而未提供的，作无效响应处理。</w:t>
      </w:r>
    </w:p>
    <w:p>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三、符合性审查内容</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供应商必须对磋商文件（含技术要求和商务要求）中</w:t>
      </w:r>
      <w:r>
        <w:rPr>
          <w:rFonts w:hint="eastAsia" w:ascii="方正仿宋_GBK" w:hAnsi="方正仿宋_GBK" w:eastAsia="方正仿宋_GBK" w:cs="方正仿宋_GBK"/>
          <w:b/>
          <w:bCs/>
          <w:i/>
          <w:color w:val="000000"/>
          <w:sz w:val="28"/>
          <w:szCs w:val="28"/>
          <w:u w:val="single"/>
        </w:rPr>
        <w:t>斜体且有下划线部分</w:t>
      </w:r>
      <w:r>
        <w:rPr>
          <w:rFonts w:hint="eastAsia" w:ascii="方正仿宋_GBK" w:hAnsi="方正仿宋_GBK" w:eastAsia="方正仿宋_GBK" w:cs="方正仿宋_GBK"/>
          <w:b/>
          <w:bCs/>
          <w:color w:val="000000"/>
          <w:sz w:val="28"/>
          <w:szCs w:val="28"/>
        </w:rPr>
        <w:t>或</w:t>
      </w:r>
      <w:r>
        <w:rPr>
          <w:rFonts w:hint="eastAsia" w:ascii="方正仿宋_GBK" w:hAnsi="方正仿宋_GBK" w:eastAsia="方正仿宋_GBK" w:cs="方正仿宋_GBK"/>
          <w:b/>
          <w:bCs/>
          <w:color w:val="000000"/>
          <w:sz w:val="28"/>
          <w:szCs w:val="28"/>
          <w:lang w:eastAsia="zh-CN"/>
        </w:rPr>
        <w:t>加*号条款</w:t>
      </w:r>
      <w:r>
        <w:rPr>
          <w:rFonts w:hint="eastAsia" w:ascii="方正仿宋_GBK" w:hAnsi="方正仿宋_GBK" w:eastAsia="方正仿宋_GBK" w:cs="方正仿宋_GBK"/>
          <w:color w:val="000000"/>
          <w:sz w:val="28"/>
          <w:szCs w:val="28"/>
        </w:rPr>
        <w:t>的实质性要求逐条做出响应，并按照磋商文件要求提供证明材料，否则做无效响应处理。（格式见附件11）</w:t>
      </w:r>
    </w:p>
    <w:p>
      <w:pPr>
        <w:keepNext w:val="0"/>
        <w:keepLines w:val="0"/>
        <w:pageBreakBefore w:val="0"/>
        <w:widowControl w:val="0"/>
        <w:spacing w:line="400" w:lineRule="exact"/>
        <w:ind w:firstLine="560"/>
        <w:jc w:val="lef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四、价格扣除证明文件</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1.中小微企业声明函（格式见附件8）</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2.残疾人福利性单位声明函（格式见附件9）</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3.关于符合本国产品标准的声明函（</w:t>
      </w:r>
      <w:r>
        <w:rPr>
          <w:rFonts w:hint="eastAsia" w:ascii="方正仿宋_GBK" w:hAnsi="方正仿宋_GBK" w:eastAsia="方正仿宋_GBK" w:cs="方正仿宋_GBK"/>
          <w:color w:val="000000"/>
          <w:sz w:val="28"/>
          <w:szCs w:val="28"/>
        </w:rPr>
        <w:t>格式见附件</w:t>
      </w:r>
      <w:r>
        <w:rPr>
          <w:rFonts w:hint="eastAsia" w:ascii="方正仿宋_GBK" w:hAnsi="方正仿宋_GBK" w:eastAsia="方正仿宋_GBK" w:cs="方正仿宋_GBK"/>
          <w:color w:val="000000"/>
          <w:sz w:val="28"/>
          <w:szCs w:val="28"/>
          <w:lang w:val="en-US" w:eastAsia="zh-CN"/>
        </w:rPr>
        <w:t>12）</w:t>
      </w: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ind w:left="480"/>
        <w:rPr>
          <w:rFonts w:ascii="宋体" w:hAnsi="宋体"/>
          <w:b/>
          <w:sz w:val="24"/>
          <w:szCs w:val="21"/>
        </w:rPr>
      </w:pPr>
    </w:p>
    <w:p>
      <w:pPr>
        <w:rPr>
          <w:rFonts w:ascii="宋体" w:hAnsi="宋体"/>
          <w:b/>
          <w:sz w:val="24"/>
          <w:szCs w:val="21"/>
        </w:rPr>
      </w:pPr>
    </w:p>
    <w:p>
      <w:pPr>
        <w:keepNext w:val="0"/>
        <w:keepLines w:val="0"/>
        <w:pageBreakBefore w:val="0"/>
        <w:widowControl w:val="0"/>
        <w:spacing w:line="400" w:lineRule="exact"/>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附件1 分项报价表</w:t>
      </w:r>
      <w:r>
        <w:rPr>
          <w:rFonts w:hint="eastAsia" w:ascii="方正黑体_GBK" w:hAnsi="方正黑体_GBK" w:eastAsia="方正黑体_GBK" w:cs="方正黑体_GBK"/>
          <w:b w:val="0"/>
          <w:bCs/>
          <w:sz w:val="28"/>
          <w:szCs w:val="28"/>
          <w:lang w:eastAsia="zh-CN"/>
        </w:rPr>
        <w:t>（服务类项目）</w:t>
      </w:r>
      <w:r>
        <w:rPr>
          <w:rFonts w:hint="eastAsia" w:ascii="方正黑体_GBK" w:hAnsi="方正黑体_GBK" w:eastAsia="方正黑体_GBK" w:cs="方正黑体_GBK"/>
          <w:b w:val="0"/>
          <w:bCs/>
          <w:sz w:val="28"/>
          <w:szCs w:val="28"/>
        </w:rPr>
        <w:t>（采购包号：</w:t>
      </w:r>
      <w:r>
        <w:rPr>
          <w:rFonts w:hint="eastAsia" w:ascii="Times New Roman" w:hAnsi="Times New Roman" w:eastAsia="方正仿宋_GBK" w:cs="Times New Roman"/>
          <w:sz w:val="28"/>
          <w:szCs w:val="28"/>
          <w:lang w:eastAsia="zh-CN"/>
        </w:rPr>
        <w:t>XX</w:t>
      </w:r>
      <w:r>
        <w:rPr>
          <w:rFonts w:hint="eastAsia" w:ascii="方正黑体_GBK" w:hAnsi="方正黑体_GBK" w:eastAsia="方正黑体_GBK" w:cs="方正黑体_GBK"/>
          <w:b w:val="0"/>
          <w:bCs/>
          <w:sz w:val="28"/>
          <w:szCs w:val="28"/>
        </w:rPr>
        <w:t>）</w:t>
      </w:r>
    </w:p>
    <w:tbl>
      <w:tblPr>
        <w:tblStyle w:val="29"/>
        <w:tblW w:w="9861" w:type="dxa"/>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106"/>
        <w:gridCol w:w="1064"/>
        <w:gridCol w:w="1060"/>
        <w:gridCol w:w="980"/>
        <w:gridCol w:w="1040"/>
        <w:gridCol w:w="1250"/>
        <w:gridCol w:w="860"/>
        <w:gridCol w:w="920"/>
        <w:gridCol w:w="8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720"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序号</w:t>
            </w:r>
          </w:p>
        </w:tc>
        <w:tc>
          <w:tcPr>
            <w:tcW w:w="1106"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1</w:t>
            </w:r>
          </w:p>
        </w:tc>
        <w:tc>
          <w:tcPr>
            <w:tcW w:w="1064"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2</w:t>
            </w:r>
          </w:p>
        </w:tc>
        <w:tc>
          <w:tcPr>
            <w:tcW w:w="10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3</w:t>
            </w:r>
          </w:p>
        </w:tc>
        <w:tc>
          <w:tcPr>
            <w:tcW w:w="98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4</w:t>
            </w:r>
          </w:p>
        </w:tc>
        <w:tc>
          <w:tcPr>
            <w:tcW w:w="104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5</w:t>
            </w:r>
          </w:p>
        </w:tc>
        <w:tc>
          <w:tcPr>
            <w:tcW w:w="125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6</w:t>
            </w:r>
          </w:p>
        </w:tc>
        <w:tc>
          <w:tcPr>
            <w:tcW w:w="8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7</w:t>
            </w:r>
          </w:p>
        </w:tc>
        <w:tc>
          <w:tcPr>
            <w:tcW w:w="9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8</w:t>
            </w:r>
          </w:p>
        </w:tc>
        <w:tc>
          <w:tcPr>
            <w:tcW w:w="861"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1</w:t>
            </w:r>
          </w:p>
        </w:tc>
        <w:tc>
          <w:tcPr>
            <w:tcW w:w="1106" w:type="dxa"/>
            <w:noWrap w:val="0"/>
            <w:vAlign w:val="center"/>
          </w:tcPr>
          <w:p>
            <w:pPr>
              <w:keepNext w:val="0"/>
              <w:keepLines w:val="0"/>
              <w:pageBreakBefore w:val="0"/>
              <w:widowControl w:val="0"/>
              <w:spacing w:line="400" w:lineRule="exact"/>
              <w:jc w:val="both"/>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分项服务名称/货物名称</w:t>
            </w:r>
          </w:p>
        </w:tc>
        <w:tc>
          <w:tcPr>
            <w:tcW w:w="1064"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品牌</w:t>
            </w:r>
          </w:p>
        </w:tc>
        <w:tc>
          <w:tcPr>
            <w:tcW w:w="10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规格</w:t>
            </w:r>
          </w:p>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型号</w:t>
            </w:r>
          </w:p>
        </w:tc>
        <w:tc>
          <w:tcPr>
            <w:tcW w:w="98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制造商名称</w:t>
            </w:r>
          </w:p>
        </w:tc>
        <w:tc>
          <w:tcPr>
            <w:tcW w:w="104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产地</w:t>
            </w:r>
          </w:p>
        </w:tc>
        <w:tc>
          <w:tcPr>
            <w:tcW w:w="125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交付期/服务期</w:t>
            </w:r>
          </w:p>
        </w:tc>
        <w:tc>
          <w:tcPr>
            <w:tcW w:w="8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数量</w:t>
            </w:r>
          </w:p>
        </w:tc>
        <w:tc>
          <w:tcPr>
            <w:tcW w:w="9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分项</w:t>
            </w:r>
          </w:p>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单价</w:t>
            </w:r>
          </w:p>
        </w:tc>
        <w:tc>
          <w:tcPr>
            <w:tcW w:w="861"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分项</w:t>
            </w:r>
          </w:p>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总价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7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2</w:t>
            </w:r>
          </w:p>
        </w:tc>
        <w:tc>
          <w:tcPr>
            <w:tcW w:w="1106"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64"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98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highlight w:val="cyan"/>
                <w:lang w:val="en-US" w:eastAsia="zh-CN" w:bidi="ar-SA"/>
              </w:rPr>
            </w:pPr>
          </w:p>
        </w:tc>
        <w:tc>
          <w:tcPr>
            <w:tcW w:w="1040"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25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u w:val="single"/>
                <w:lang w:val="en-US" w:eastAsia="zh-CN" w:bidi="ar-SA"/>
              </w:rPr>
            </w:pPr>
            <w:r>
              <w:rPr>
                <w:rFonts w:hint="eastAsia" w:ascii="方正仿宋_GBK" w:hAnsi="方正仿宋_GBK" w:eastAsia="方正仿宋_GBK" w:cs="方正仿宋_GBK"/>
                <w:color w:val="000000"/>
                <w:sz w:val="28"/>
                <w:szCs w:val="28"/>
                <w:lang w:val="en-US" w:eastAsia="zh-CN" w:bidi="ar-SA"/>
              </w:rPr>
              <w:t>合同签订后</w:t>
            </w:r>
            <w:r>
              <w:rPr>
                <w:rFonts w:hint="eastAsia" w:ascii="方正仿宋_GBK" w:hAnsi="方正仿宋_GBK" w:eastAsia="方正仿宋_GBK" w:cs="方正仿宋_GBK"/>
                <w:color w:val="000000"/>
                <w:sz w:val="28"/>
                <w:szCs w:val="28"/>
                <w:u w:val="single"/>
                <w:lang w:val="en-US" w:eastAsia="zh-CN" w:bidi="ar-SA"/>
              </w:rPr>
              <w:t xml:space="preserve">  </w:t>
            </w:r>
            <w:r>
              <w:rPr>
                <w:rFonts w:hint="eastAsia" w:ascii="方正仿宋_GBK" w:hAnsi="方正仿宋_GBK" w:eastAsia="方正仿宋_GBK" w:cs="方正仿宋_GBK"/>
                <w:color w:val="000000"/>
                <w:sz w:val="28"/>
                <w:szCs w:val="28"/>
                <w:lang w:val="en-US" w:eastAsia="zh-CN" w:bidi="ar-SA"/>
              </w:rPr>
              <w:t>日</w:t>
            </w:r>
          </w:p>
        </w:tc>
        <w:tc>
          <w:tcPr>
            <w:tcW w:w="8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9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861"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7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3</w:t>
            </w:r>
          </w:p>
        </w:tc>
        <w:tc>
          <w:tcPr>
            <w:tcW w:w="1106"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64"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98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40"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25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8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9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861"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4</w:t>
            </w:r>
          </w:p>
        </w:tc>
        <w:tc>
          <w:tcPr>
            <w:tcW w:w="1106"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64"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98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40"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25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8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9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861"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w:t>
            </w:r>
          </w:p>
        </w:tc>
        <w:tc>
          <w:tcPr>
            <w:tcW w:w="1106"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w:t>
            </w:r>
          </w:p>
        </w:tc>
        <w:tc>
          <w:tcPr>
            <w:tcW w:w="1064"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98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040"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25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86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920"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861"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4" w:hRule="atLeast"/>
        </w:trPr>
        <w:tc>
          <w:tcPr>
            <w:tcW w:w="9861" w:type="dxa"/>
            <w:gridSpan w:val="10"/>
            <w:noWrap w:val="0"/>
            <w:vAlign w:val="top"/>
          </w:tcPr>
          <w:p>
            <w:pPr>
              <w:keepNext w:val="0"/>
              <w:keepLines w:val="0"/>
              <w:pageBreakBefore w:val="0"/>
              <w:widowControl w:val="0"/>
              <w:spacing w:line="400" w:lineRule="exact"/>
              <w:jc w:val="both"/>
              <w:rPr>
                <w:rFonts w:hint="eastAsia" w:ascii="方正仿宋_GBK" w:hAnsi="方正仿宋_GBK" w:eastAsia="方正仿宋_GBK" w:cs="方正仿宋_GBK"/>
                <w:color w:val="000000"/>
                <w:sz w:val="28"/>
                <w:szCs w:val="28"/>
                <w:u w:val="single"/>
                <w:lang w:val="en-US" w:eastAsia="zh-CN" w:bidi="ar-SA"/>
              </w:rPr>
            </w:pPr>
            <w:r>
              <w:rPr>
                <w:rFonts w:hint="eastAsia" w:ascii="方正仿宋_GBK" w:hAnsi="方正仿宋_GBK" w:eastAsia="方正仿宋_GBK" w:cs="方正仿宋_GBK"/>
                <w:color w:val="000000"/>
                <w:sz w:val="28"/>
                <w:szCs w:val="28"/>
                <w:lang w:val="en-US" w:eastAsia="zh-CN" w:bidi="ar-SA"/>
              </w:rPr>
              <w:t>磋商总报价（人民币：元）</w:t>
            </w:r>
            <w:r>
              <w:rPr>
                <w:rFonts w:hint="eastAsia" w:ascii="方正仿宋_GBK" w:hAnsi="方正仿宋_GBK" w:eastAsia="方正仿宋_GBK" w:cs="方正仿宋_GBK"/>
                <w:color w:val="000000"/>
                <w:sz w:val="28"/>
                <w:szCs w:val="28"/>
                <w:u w:val="single"/>
                <w:lang w:val="en-US" w:eastAsia="zh-CN" w:bidi="ar-SA"/>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7" w:hRule="atLeast"/>
        </w:trPr>
        <w:tc>
          <w:tcPr>
            <w:tcW w:w="9861" w:type="dxa"/>
            <w:gridSpan w:val="10"/>
            <w:noWrap w:val="0"/>
            <w:vAlign w:val="top"/>
          </w:tcPr>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400" w:lineRule="exact"/>
              <w:ind w:right="0"/>
              <w:jc w:val="left"/>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i w:val="0"/>
                <w:iCs w:val="0"/>
                <w:caps w:val="0"/>
                <w:color w:val="000000"/>
                <w:spacing w:val="0"/>
                <w:sz w:val="28"/>
                <w:szCs w:val="28"/>
                <w:highlight w:val="none"/>
                <w:lang w:val="en-US" w:eastAsia="zh-CN" w:bidi="ar-SA"/>
              </w:rPr>
              <w:t>本采购包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bidi="ar-SA"/>
              </w:rPr>
              <w:t>中</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提供的符合本国产品标准的货物成本之和占该采购包</w:t>
            </w:r>
            <w:r>
              <w:rPr>
                <w:rFonts w:hint="eastAsia" w:ascii="方正仿宋_GBK" w:hAnsi="方正仿宋_GBK" w:eastAsia="方正仿宋_GBK" w:cs="方正仿宋_GBK"/>
                <w:i w:val="0"/>
                <w:iCs w:val="0"/>
                <w:caps w:val="0"/>
                <w:strike w:val="0"/>
                <w:color w:val="000000"/>
                <w:spacing w:val="0"/>
                <w:sz w:val="28"/>
                <w:szCs w:val="28"/>
                <w:highlight w:val="none"/>
                <w:lang w:val="en-US" w:eastAsia="zh-CN" w:bidi="ar-SA"/>
              </w:rPr>
              <w:t>全部</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成本之和的比例为</w:t>
            </w:r>
            <w:r>
              <w:rPr>
                <w:rFonts w:hint="eastAsia" w:ascii="方正仿宋_GBK" w:hAnsi="方正仿宋_GBK" w:eastAsia="方正仿宋_GBK" w:cs="方正仿宋_GBK"/>
                <w:color w:val="000000"/>
                <w:sz w:val="28"/>
                <w:szCs w:val="28"/>
                <w:u w:val="single"/>
                <w:lang w:val="en-US" w:eastAsia="zh-CN" w:bidi="ar-SA"/>
              </w:rPr>
              <w:t>XX</w:t>
            </w:r>
            <w:r>
              <w:rPr>
                <w:rFonts w:hint="eastAsia" w:ascii="方正仿宋_GBK" w:hAnsi="方正仿宋_GBK" w:eastAsia="方正仿宋_GBK" w:cs="方正仿宋_GBK"/>
                <w:i w:val="0"/>
                <w:iCs w:val="0"/>
                <w:caps w:val="0"/>
                <w:color w:val="000000"/>
                <w:spacing w:val="0"/>
                <w:sz w:val="28"/>
                <w:szCs w:val="28"/>
                <w:highlight w:val="none"/>
                <w:u w:val="none"/>
                <w:lang w:val="en-US" w:eastAsia="zh-CN" w:bidi="ar-SA"/>
              </w:rPr>
              <w:t>%</w:t>
            </w:r>
            <w:r>
              <w:rPr>
                <w:rFonts w:hint="eastAsia" w:ascii="方正仿宋_GBK" w:hAnsi="方正仿宋_GBK" w:eastAsia="方正仿宋_GBK" w:cs="方正仿宋_GBK"/>
                <w:i w:val="0"/>
                <w:iCs w:val="0"/>
                <w:caps w:val="0"/>
                <w:color w:val="000000"/>
                <w:spacing w:val="0"/>
                <w:sz w:val="28"/>
                <w:szCs w:val="28"/>
                <w:highlight w:val="none"/>
                <w:lang w:val="en-US" w:eastAsia="zh-CN" w:bidi="ar-SA"/>
              </w:rPr>
              <w:t>。</w:t>
            </w:r>
          </w:p>
        </w:tc>
      </w:tr>
    </w:tbl>
    <w:p>
      <w:pPr>
        <w:keepNext w:val="0"/>
        <w:keepLines w:val="0"/>
        <w:pageBreakBefore w:val="0"/>
        <w:widowControl w:val="0"/>
        <w:spacing w:line="400" w:lineRule="exact"/>
        <w:ind w:firstLine="560"/>
        <w:rPr>
          <w:rFonts w:ascii="宋体" w:hAnsi="宋体"/>
          <w:sz w:val="28"/>
          <w:szCs w:val="28"/>
        </w:rPr>
      </w:pPr>
      <w:r>
        <w:rPr>
          <w:rFonts w:hint="eastAsia" w:ascii="方正仿宋_GBK" w:hAnsi="方正仿宋_GBK" w:eastAsia="方正仿宋_GBK" w:cs="方正仿宋_GBK"/>
          <w:sz w:val="28"/>
          <w:szCs w:val="28"/>
        </w:rPr>
        <w:t>备注：</w:t>
      </w:r>
      <w:r>
        <w:rPr>
          <w:rFonts w:hint="eastAsia" w:ascii="宋体" w:hAnsi="宋体"/>
          <w:sz w:val="28"/>
          <w:szCs w:val="28"/>
        </w:rPr>
        <w:t xml:space="preserve"> </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“磋商总报价”数额为各“分项总价”之和。</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2.项目经办人可以根据项目实际需要对表格结构进行调整。</w:t>
      </w:r>
    </w:p>
    <w:p>
      <w:pPr>
        <w:keepNext w:val="0"/>
        <w:keepLines w:val="0"/>
        <w:pageBreakBefore w:val="0"/>
        <w:widowControl w:val="0"/>
        <w:spacing w:line="400" w:lineRule="exact"/>
        <w:ind w:firstLine="560"/>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3.分项服务不需填写品牌、规格型号、制造商、产地。</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4</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eastAsia="zh-CN"/>
        </w:rPr>
        <w:t>本</w:t>
      </w:r>
      <w:r>
        <w:rPr>
          <w:rFonts w:hint="eastAsia" w:ascii="方正仿宋_GBK" w:hAnsi="方正仿宋_GBK" w:eastAsia="方正仿宋_GBK" w:cs="方正仿宋_GBK"/>
          <w:sz w:val="28"/>
          <w:szCs w:val="28"/>
          <w:lang w:val="en-US" w:eastAsia="zh-CN"/>
        </w:rPr>
        <w:t>采购包中含有货物时，</w:t>
      </w:r>
      <w:r>
        <w:rPr>
          <w:rFonts w:hint="eastAsia" w:ascii="方正仿宋_GBK" w:hAnsi="方正仿宋_GBK" w:eastAsia="方正仿宋_GBK" w:cs="方正仿宋_GBK"/>
          <w:sz w:val="28"/>
          <w:szCs w:val="28"/>
        </w:rPr>
        <w:t>供应商未填写本采购包中提供的符合本国产品标准的</w:t>
      </w:r>
      <w:r>
        <w:rPr>
          <w:rFonts w:hint="eastAsia" w:ascii="方正仿宋_GBK" w:hAnsi="方正仿宋_GBK" w:eastAsia="方正仿宋_GBK" w:cs="方正仿宋_GBK"/>
          <w:sz w:val="28"/>
          <w:szCs w:val="28"/>
          <w:lang w:eastAsia="zh-CN"/>
        </w:rPr>
        <w:t>货物</w:t>
      </w:r>
      <w:r>
        <w:rPr>
          <w:rFonts w:hint="eastAsia" w:ascii="方正仿宋_GBK" w:hAnsi="方正仿宋_GBK" w:eastAsia="方正仿宋_GBK" w:cs="方正仿宋_GBK"/>
          <w:sz w:val="28"/>
          <w:szCs w:val="28"/>
        </w:rPr>
        <w:t>成本之和占该采购包</w:t>
      </w:r>
      <w:r>
        <w:rPr>
          <w:rFonts w:hint="eastAsia" w:ascii="方正仿宋_GBK" w:hAnsi="方正仿宋_GBK" w:eastAsia="方正仿宋_GBK" w:cs="方正仿宋_GBK"/>
          <w:sz w:val="28"/>
          <w:szCs w:val="28"/>
          <w:lang w:eastAsia="zh-CN"/>
        </w:rPr>
        <w:t>全部</w:t>
      </w:r>
      <w:r>
        <w:rPr>
          <w:rFonts w:hint="eastAsia" w:ascii="方正仿宋_GBK" w:hAnsi="方正仿宋_GBK" w:eastAsia="方正仿宋_GBK" w:cs="方正仿宋_GBK"/>
          <w:sz w:val="28"/>
          <w:szCs w:val="28"/>
        </w:rPr>
        <w:t>成本之和比例数值的，或比例数值低于</w:t>
      </w:r>
      <w:r>
        <w:rPr>
          <w:rFonts w:hint="eastAsia" w:ascii="方正仿宋_GBK" w:hAnsi="方正仿宋_GBK" w:eastAsia="方正仿宋_GBK" w:cs="方正仿宋_GBK"/>
          <w:sz w:val="28"/>
          <w:szCs w:val="28"/>
          <w:u w:val="single"/>
        </w:rPr>
        <w:t>80%</w:t>
      </w:r>
      <w:r>
        <w:rPr>
          <w:rFonts w:hint="eastAsia" w:ascii="方正仿宋_GBK" w:hAnsi="方正仿宋_GBK" w:eastAsia="方正仿宋_GBK" w:cs="方正仿宋_GBK"/>
          <w:sz w:val="28"/>
          <w:szCs w:val="28"/>
        </w:rPr>
        <w:t>的，将不享受本国产品价格评审优惠。</w:t>
      </w:r>
    </w:p>
    <w:p>
      <w:pPr>
        <w:keepNext w:val="0"/>
        <w:keepLines w:val="0"/>
        <w:pageBreakBefore w:val="0"/>
        <w:spacing w:line="400" w:lineRule="exact"/>
        <w:jc w:val="both"/>
        <w:rPr>
          <w:rFonts w:hint="eastAsia" w:ascii="宋体" w:hAnsi="宋体"/>
          <w:b/>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w:t>
      </w:r>
      <w:r>
        <w:rPr>
          <w:rFonts w:hint="eastAsia" w:ascii="方正黑体_GBK" w:hAnsi="方正黑体_GBK" w:eastAsia="方正黑体_GBK" w:cs="方正黑体_GBK"/>
          <w:b w:val="0"/>
          <w:bCs/>
          <w:sz w:val="28"/>
          <w:szCs w:val="28"/>
          <w:lang w:val="en-US" w:eastAsia="zh-CN"/>
        </w:rPr>
        <w:t>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XX</w:t>
      </w:r>
      <w:r>
        <w:rPr>
          <w:rFonts w:hint="eastAsia" w:ascii="方正黑体_GBK" w:hAnsi="方正黑体_GBK" w:eastAsia="方正黑体_GBK" w:cs="方正黑体_GBK"/>
          <w:b w:val="0"/>
          <w:bCs/>
          <w:sz w:val="28"/>
          <w:szCs w:val="28"/>
        </w:rPr>
        <w:t>）</w:t>
      </w:r>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序号</w:t>
            </w:r>
          </w:p>
        </w:tc>
        <w:tc>
          <w:tcPr>
            <w:tcW w:w="3063"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技术要求</w:t>
            </w:r>
          </w:p>
        </w:tc>
        <w:tc>
          <w:tcPr>
            <w:tcW w:w="3191"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磋商响应情况</w:t>
            </w:r>
          </w:p>
        </w:tc>
        <w:tc>
          <w:tcPr>
            <w:tcW w:w="2128"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超出、符合或</w:t>
            </w:r>
          </w:p>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1</w:t>
            </w:r>
          </w:p>
        </w:tc>
        <w:tc>
          <w:tcPr>
            <w:tcW w:w="3063"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c>
          <w:tcPr>
            <w:tcW w:w="3191"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c>
          <w:tcPr>
            <w:tcW w:w="2128"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c>
          <w:tcPr>
            <w:tcW w:w="3063"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w:t>
            </w:r>
          </w:p>
        </w:tc>
        <w:tc>
          <w:tcPr>
            <w:tcW w:w="3191"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c>
          <w:tcPr>
            <w:tcW w:w="2128"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r>
    </w:tbl>
    <w:p>
      <w:pPr>
        <w:keepNext w:val="0"/>
        <w:keepLines w:val="0"/>
        <w:pageBreakBefore w:val="0"/>
        <w:widowControl w:val="0"/>
        <w:spacing w:line="400" w:lineRule="exact"/>
        <w:ind w:firstLine="482"/>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附件3-1  证明材料1，证明材料2，……</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1.</w:t>
      </w:r>
      <w:r>
        <w:rPr>
          <w:rFonts w:hint="eastAsia" w:ascii="方正仿宋_GBK" w:hAnsi="方正仿宋_GBK" w:eastAsia="方正仿宋_GBK" w:cs="方正仿宋_GBK"/>
          <w:color w:val="000000"/>
          <w:sz w:val="28"/>
          <w:szCs w:val="28"/>
          <w:lang w:eastAsia="zh-CN"/>
        </w:rPr>
        <w:t>供应商</w:t>
      </w:r>
      <w:r>
        <w:rPr>
          <w:rFonts w:hint="eastAsia" w:ascii="方正仿宋_GBK" w:hAnsi="方正仿宋_GBK" w:eastAsia="方正仿宋_GBK" w:cs="方正仿宋_GBK"/>
          <w:color w:val="000000"/>
          <w:sz w:val="28"/>
          <w:szCs w:val="28"/>
        </w:rPr>
        <w:t>需对</w:t>
      </w:r>
      <w:r>
        <w:rPr>
          <w:rFonts w:hint="eastAsia" w:ascii="方正仿宋_GBK" w:hAnsi="方正仿宋_GBK" w:eastAsia="方正仿宋_GBK" w:cs="方正仿宋_GBK"/>
          <w:color w:val="000000"/>
          <w:sz w:val="28"/>
          <w:szCs w:val="28"/>
          <w:lang w:eastAsia="zh-CN"/>
        </w:rPr>
        <w:t>磋商</w:t>
      </w:r>
      <w:r>
        <w:rPr>
          <w:rFonts w:hint="eastAsia" w:ascii="方正仿宋_GBK" w:hAnsi="方正仿宋_GBK" w:eastAsia="方正仿宋_GBK" w:cs="方正仿宋_GBK"/>
          <w:color w:val="000000"/>
          <w:sz w:val="28"/>
          <w:szCs w:val="28"/>
        </w:rPr>
        <w:t>文件技术要求中非实质性要求（</w:t>
      </w:r>
      <w:r>
        <w:rPr>
          <w:rFonts w:hint="eastAsia" w:ascii="方正仿宋_GBK" w:hAnsi="方正仿宋_GBK" w:eastAsia="方正仿宋_GBK" w:cs="方正仿宋_GBK"/>
          <w:b/>
          <w:color w:val="000000"/>
          <w:sz w:val="28"/>
          <w:szCs w:val="28"/>
        </w:rPr>
        <w:t>未加</w:t>
      </w:r>
      <w:r>
        <w:rPr>
          <w:rFonts w:hint="eastAsia" w:ascii="方正仿宋_GBK" w:hAnsi="方正仿宋_GBK" w:eastAsia="方正仿宋_GBK" w:cs="方正仿宋_GBK"/>
          <w:b/>
          <w:i/>
          <w:color w:val="000000"/>
          <w:sz w:val="28"/>
          <w:szCs w:val="28"/>
          <w:u w:val="single"/>
        </w:rPr>
        <w:t>斜体下划线</w:t>
      </w:r>
      <w:r>
        <w:rPr>
          <w:rFonts w:hint="eastAsia" w:ascii="方正仿宋_GBK" w:hAnsi="方正仿宋_GBK" w:eastAsia="方正仿宋_GBK" w:cs="方正仿宋_GBK"/>
          <w:b/>
          <w:iCs/>
          <w:color w:val="000000"/>
          <w:sz w:val="28"/>
          <w:szCs w:val="28"/>
        </w:rPr>
        <w:t>部分</w:t>
      </w:r>
      <w:r>
        <w:rPr>
          <w:rFonts w:hint="eastAsia" w:ascii="方正仿宋_GBK" w:hAnsi="方正仿宋_GBK" w:eastAsia="方正仿宋_GBK" w:cs="方正仿宋_GBK"/>
          <w:b/>
          <w:color w:val="000000"/>
          <w:sz w:val="28"/>
          <w:szCs w:val="28"/>
        </w:rPr>
        <w:t>或未加</w:t>
      </w:r>
      <w:r>
        <w:rPr>
          <w:rFonts w:hint="eastAsia" w:ascii="方正仿宋_GBK" w:hAnsi="方正仿宋_GBK" w:eastAsia="方正仿宋_GBK" w:cs="方正仿宋_GBK"/>
          <w:b/>
          <w:color w:val="000000"/>
          <w:sz w:val="28"/>
          <w:szCs w:val="28"/>
          <w:lang w:val="en-US" w:eastAsia="zh-CN"/>
        </w:rPr>
        <w:t>*</w:t>
      </w:r>
      <w:r>
        <w:rPr>
          <w:rFonts w:hint="eastAsia" w:ascii="方正仿宋_GBK" w:hAnsi="方正仿宋_GBK" w:eastAsia="方正仿宋_GBK" w:cs="方正仿宋_GBK"/>
          <w:b/>
          <w:color w:val="000000"/>
          <w:sz w:val="28"/>
          <w:szCs w:val="28"/>
        </w:rPr>
        <w:t>号条款</w:t>
      </w:r>
      <w:r>
        <w:rPr>
          <w:rFonts w:hint="eastAsia" w:ascii="方正仿宋_GBK" w:hAnsi="方正仿宋_GBK" w:eastAsia="方正仿宋_GBK" w:cs="方正仿宋_GBK"/>
          <w:color w:val="000000"/>
          <w:sz w:val="28"/>
          <w:szCs w:val="28"/>
        </w:rPr>
        <w:t>）</w:t>
      </w:r>
      <w:r>
        <w:rPr>
          <w:rFonts w:hint="eastAsia" w:ascii="方正仿宋_GBK" w:hAnsi="方正仿宋_GBK" w:eastAsia="方正仿宋_GBK" w:cs="方正仿宋_GBK"/>
          <w:sz w:val="28"/>
          <w:szCs w:val="28"/>
        </w:rPr>
        <w:t>逐条做出明确响应。</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2.如果</w:t>
      </w:r>
      <w:r>
        <w:rPr>
          <w:rFonts w:hint="eastAsia" w:ascii="方正仿宋_GBK" w:hAnsi="方正仿宋_GBK" w:eastAsia="方正仿宋_GBK" w:cs="方正仿宋_GBK"/>
          <w:sz w:val="28"/>
          <w:szCs w:val="28"/>
          <w:lang w:eastAsia="zh-CN"/>
        </w:rPr>
        <w:t>磋商</w:t>
      </w:r>
      <w:r>
        <w:rPr>
          <w:rFonts w:hint="eastAsia" w:ascii="方正仿宋_GBK" w:hAnsi="方正仿宋_GBK" w:eastAsia="方正仿宋_GBK" w:cs="方正仿宋_GBK"/>
          <w:sz w:val="28"/>
          <w:szCs w:val="28"/>
        </w:rPr>
        <w:t>文件要求提供证明材料，</w:t>
      </w:r>
      <w:r>
        <w:rPr>
          <w:rFonts w:hint="eastAsia" w:ascii="方正仿宋_GBK" w:hAnsi="方正仿宋_GBK" w:eastAsia="方正仿宋_GBK" w:cs="方正仿宋_GBK"/>
          <w:sz w:val="28"/>
          <w:szCs w:val="28"/>
          <w:lang w:eastAsia="zh-CN"/>
        </w:rPr>
        <w:t>供应商</w:t>
      </w:r>
      <w:r>
        <w:rPr>
          <w:rFonts w:hint="eastAsia" w:ascii="方正仿宋_GBK" w:hAnsi="方正仿宋_GBK" w:eastAsia="方正仿宋_GBK" w:cs="方正仿宋_GBK"/>
          <w:sz w:val="28"/>
          <w:szCs w:val="28"/>
        </w:rPr>
        <w:t>需将证明材料列于该表之下。</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附件</w:t>
      </w:r>
      <w:r>
        <w:rPr>
          <w:rFonts w:hint="eastAsia" w:ascii="方正黑体_GBK" w:hAnsi="方正黑体_GBK" w:eastAsia="方正黑体_GBK" w:cs="方正黑体_GBK"/>
          <w:b w:val="0"/>
          <w:bCs/>
          <w:sz w:val="28"/>
          <w:szCs w:val="28"/>
          <w:lang w:val="en-US" w:eastAsia="zh-CN"/>
        </w:rPr>
        <w:t>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XX</w:t>
      </w:r>
      <w:r>
        <w:rPr>
          <w:rFonts w:hint="eastAsia" w:ascii="方正黑体_GBK" w:hAnsi="方正黑体_GBK" w:eastAsia="方正黑体_GBK" w:cs="方正黑体_GBK"/>
          <w:b w:val="0"/>
          <w:bCs/>
          <w:sz w:val="28"/>
          <w:szCs w:val="28"/>
        </w:rPr>
        <w:t>）</w:t>
      </w:r>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序号</w:t>
            </w:r>
          </w:p>
        </w:tc>
        <w:tc>
          <w:tcPr>
            <w:tcW w:w="3063"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商务要求</w:t>
            </w:r>
          </w:p>
        </w:tc>
        <w:tc>
          <w:tcPr>
            <w:tcW w:w="3191"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磋商响应情况</w:t>
            </w:r>
          </w:p>
        </w:tc>
        <w:tc>
          <w:tcPr>
            <w:tcW w:w="2128"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超出、符合或</w:t>
            </w:r>
          </w:p>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1</w:t>
            </w:r>
          </w:p>
        </w:tc>
        <w:tc>
          <w:tcPr>
            <w:tcW w:w="3063"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c>
          <w:tcPr>
            <w:tcW w:w="3191"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c>
          <w:tcPr>
            <w:tcW w:w="2128"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c>
          <w:tcPr>
            <w:tcW w:w="3063"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w:t>
            </w:r>
          </w:p>
        </w:tc>
        <w:tc>
          <w:tcPr>
            <w:tcW w:w="3191"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c>
          <w:tcPr>
            <w:tcW w:w="2128"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sz w:val="28"/>
                <w:szCs w:val="28"/>
                <w:lang w:val="en-US" w:eastAsia="zh-CN" w:bidi="ar-SA"/>
              </w:rPr>
            </w:pPr>
          </w:p>
        </w:tc>
      </w:tr>
    </w:tbl>
    <w:p>
      <w:pPr>
        <w:keepNext w:val="0"/>
        <w:keepLines w:val="0"/>
        <w:pageBreakBefore w:val="0"/>
        <w:widowControl w:val="0"/>
        <w:spacing w:line="400" w:lineRule="exact"/>
        <w:ind w:firstLine="482"/>
        <w:rPr>
          <w:rFonts w:ascii="宋体" w:hAnsi="宋体"/>
          <w:sz w:val="28"/>
          <w:szCs w:val="28"/>
        </w:rPr>
      </w:pPr>
      <w:r>
        <w:rPr>
          <w:rFonts w:hint="eastAsia" w:ascii="方正仿宋_GBK" w:hAnsi="方正仿宋_GBK" w:eastAsia="方正仿宋_GBK" w:cs="方正仿宋_GBK"/>
          <w:sz w:val="28"/>
          <w:szCs w:val="28"/>
          <w:lang w:val="en-US" w:eastAsia="zh-CN"/>
        </w:rPr>
        <w:t>附件4-1  证明材料1，证明材料2，……</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1.</w:t>
      </w:r>
      <w:r>
        <w:rPr>
          <w:rFonts w:hint="eastAsia" w:ascii="方正仿宋_GBK" w:hAnsi="方正仿宋_GBK" w:eastAsia="方正仿宋_GBK" w:cs="方正仿宋_GBK"/>
          <w:color w:val="000000"/>
          <w:sz w:val="28"/>
          <w:szCs w:val="28"/>
          <w:lang w:eastAsia="zh-CN"/>
        </w:rPr>
        <w:t>供应商</w:t>
      </w:r>
      <w:r>
        <w:rPr>
          <w:rFonts w:hint="eastAsia" w:ascii="方正仿宋_GBK" w:hAnsi="方正仿宋_GBK" w:eastAsia="方正仿宋_GBK" w:cs="方正仿宋_GBK"/>
          <w:color w:val="000000"/>
          <w:sz w:val="28"/>
          <w:szCs w:val="28"/>
        </w:rPr>
        <w:t>需对</w:t>
      </w:r>
      <w:r>
        <w:rPr>
          <w:rFonts w:hint="eastAsia" w:ascii="方正仿宋_GBK" w:hAnsi="方正仿宋_GBK" w:eastAsia="方正仿宋_GBK" w:cs="方正仿宋_GBK"/>
          <w:color w:val="000000"/>
          <w:sz w:val="28"/>
          <w:szCs w:val="28"/>
          <w:lang w:eastAsia="zh-CN"/>
        </w:rPr>
        <w:t>磋商</w:t>
      </w:r>
      <w:r>
        <w:rPr>
          <w:rFonts w:hint="eastAsia" w:ascii="方正仿宋_GBK" w:hAnsi="方正仿宋_GBK" w:eastAsia="方正仿宋_GBK" w:cs="方正仿宋_GBK"/>
          <w:color w:val="000000"/>
          <w:sz w:val="28"/>
          <w:szCs w:val="28"/>
        </w:rPr>
        <w:t>文件技术要求中非实质性要求（</w:t>
      </w:r>
      <w:r>
        <w:rPr>
          <w:rFonts w:hint="eastAsia" w:ascii="方正仿宋_GBK" w:hAnsi="方正仿宋_GBK" w:eastAsia="方正仿宋_GBK" w:cs="方正仿宋_GBK"/>
          <w:b/>
          <w:color w:val="000000"/>
          <w:sz w:val="28"/>
          <w:szCs w:val="28"/>
        </w:rPr>
        <w:t>未加</w:t>
      </w:r>
      <w:r>
        <w:rPr>
          <w:rFonts w:hint="eastAsia" w:ascii="方正仿宋_GBK" w:hAnsi="方正仿宋_GBK" w:eastAsia="方正仿宋_GBK" w:cs="方正仿宋_GBK"/>
          <w:b/>
          <w:i/>
          <w:color w:val="000000"/>
          <w:sz w:val="28"/>
          <w:szCs w:val="28"/>
          <w:u w:val="single"/>
        </w:rPr>
        <w:t>斜体下划线</w:t>
      </w:r>
      <w:r>
        <w:rPr>
          <w:rFonts w:hint="eastAsia" w:ascii="方正仿宋_GBK" w:hAnsi="方正仿宋_GBK" w:eastAsia="方正仿宋_GBK" w:cs="方正仿宋_GBK"/>
          <w:b/>
          <w:iCs/>
          <w:color w:val="000000"/>
          <w:sz w:val="28"/>
          <w:szCs w:val="28"/>
        </w:rPr>
        <w:t>部分</w:t>
      </w:r>
      <w:r>
        <w:rPr>
          <w:rFonts w:hint="eastAsia" w:ascii="方正仿宋_GBK" w:hAnsi="方正仿宋_GBK" w:eastAsia="方正仿宋_GBK" w:cs="方正仿宋_GBK"/>
          <w:b/>
          <w:color w:val="000000"/>
          <w:sz w:val="28"/>
          <w:szCs w:val="28"/>
        </w:rPr>
        <w:t>或未加</w:t>
      </w:r>
      <w:r>
        <w:rPr>
          <w:rFonts w:hint="eastAsia" w:ascii="方正仿宋_GBK" w:hAnsi="方正仿宋_GBK" w:eastAsia="方正仿宋_GBK" w:cs="方正仿宋_GBK"/>
          <w:b/>
          <w:color w:val="000000"/>
          <w:sz w:val="28"/>
          <w:szCs w:val="28"/>
          <w:lang w:val="en-US" w:eastAsia="zh-CN"/>
        </w:rPr>
        <w:t>*</w:t>
      </w:r>
      <w:r>
        <w:rPr>
          <w:rFonts w:hint="eastAsia" w:ascii="方正仿宋_GBK" w:hAnsi="方正仿宋_GBK" w:eastAsia="方正仿宋_GBK" w:cs="方正仿宋_GBK"/>
          <w:b/>
          <w:color w:val="000000"/>
          <w:sz w:val="28"/>
          <w:szCs w:val="28"/>
        </w:rPr>
        <w:t>号条款</w:t>
      </w:r>
      <w:r>
        <w:rPr>
          <w:rFonts w:hint="eastAsia" w:ascii="方正仿宋_GBK" w:hAnsi="方正仿宋_GBK" w:eastAsia="方正仿宋_GBK" w:cs="方正仿宋_GBK"/>
          <w:color w:val="000000"/>
          <w:sz w:val="28"/>
          <w:szCs w:val="28"/>
        </w:rPr>
        <w:t>）</w:t>
      </w:r>
      <w:r>
        <w:rPr>
          <w:rFonts w:hint="eastAsia" w:ascii="方正仿宋_GBK" w:hAnsi="方正仿宋_GBK" w:eastAsia="方正仿宋_GBK" w:cs="方正仿宋_GBK"/>
          <w:sz w:val="28"/>
          <w:szCs w:val="28"/>
        </w:rPr>
        <w:t>逐条做出明确响应。</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2.如果</w:t>
      </w:r>
      <w:r>
        <w:rPr>
          <w:rFonts w:hint="eastAsia" w:ascii="方正仿宋_GBK" w:hAnsi="方正仿宋_GBK" w:eastAsia="方正仿宋_GBK" w:cs="方正仿宋_GBK"/>
          <w:sz w:val="28"/>
          <w:szCs w:val="28"/>
          <w:lang w:eastAsia="zh-CN"/>
        </w:rPr>
        <w:t>磋商</w:t>
      </w:r>
      <w:r>
        <w:rPr>
          <w:rFonts w:hint="eastAsia" w:ascii="方正仿宋_GBK" w:hAnsi="方正仿宋_GBK" w:eastAsia="方正仿宋_GBK" w:cs="方正仿宋_GBK"/>
          <w:sz w:val="28"/>
          <w:szCs w:val="28"/>
        </w:rPr>
        <w:t>文件要求提供证明材料，</w:t>
      </w:r>
      <w:r>
        <w:rPr>
          <w:rFonts w:hint="eastAsia" w:ascii="方正仿宋_GBK" w:hAnsi="方正仿宋_GBK" w:eastAsia="方正仿宋_GBK" w:cs="方正仿宋_GBK"/>
          <w:sz w:val="28"/>
          <w:szCs w:val="28"/>
          <w:lang w:eastAsia="zh-CN"/>
        </w:rPr>
        <w:t>供应商</w:t>
      </w:r>
      <w:r>
        <w:rPr>
          <w:rFonts w:hint="eastAsia" w:ascii="方正仿宋_GBK" w:hAnsi="方正仿宋_GBK" w:eastAsia="方正仿宋_GBK" w:cs="方正仿宋_GBK"/>
          <w:sz w:val="28"/>
          <w:szCs w:val="28"/>
        </w:rPr>
        <w:t>需将证明材料列于该表之下。</w:t>
      </w:r>
    </w:p>
    <w:p>
      <w:pPr>
        <w:keepNext w:val="0"/>
        <w:keepLines w:val="0"/>
        <w:pageBreakBefore w:val="0"/>
        <w:spacing w:line="400" w:lineRule="exact"/>
        <w:ind w:left="480"/>
        <w:rPr>
          <w:rFonts w:hint="eastAsia" w:ascii="宋体" w:hAnsi="宋体"/>
          <w:b/>
          <w:color w:val="000000"/>
          <w:sz w:val="28"/>
          <w:szCs w:val="28"/>
        </w:rPr>
      </w:pPr>
    </w:p>
    <w:p>
      <w:pPr>
        <w:keepNext w:val="0"/>
        <w:keepLines w:val="0"/>
        <w:pageBreakBefore w:val="0"/>
        <w:spacing w:line="400" w:lineRule="exact"/>
        <w:ind w:left="480"/>
        <w:rPr>
          <w:rFonts w:hint="eastAsia" w:ascii="宋体" w:hAnsi="宋体"/>
          <w:b/>
          <w:color w:val="000000"/>
          <w:sz w:val="28"/>
          <w:szCs w:val="28"/>
          <w:lang w:val="en-US" w:eastAsia="zh-CN"/>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w:t>
      </w:r>
      <w:r>
        <w:rPr>
          <w:rFonts w:hint="eastAsia" w:ascii="方正黑体_GBK" w:hAnsi="方正黑体_GBK" w:eastAsia="方正黑体_GBK" w:cs="方正黑体_GBK"/>
          <w:b w:val="0"/>
          <w:bCs/>
          <w:sz w:val="28"/>
          <w:szCs w:val="28"/>
          <w:lang w:val="en-US" w:eastAsia="zh-CN"/>
        </w:rPr>
        <w:t>4</w:t>
      </w:r>
      <w:r>
        <w:rPr>
          <w:rFonts w:hint="eastAsia" w:ascii="方正黑体_GBK" w:hAnsi="方正黑体_GBK" w:eastAsia="方正黑体_GBK" w:cs="方正黑体_GBK"/>
          <w:b w:val="0"/>
          <w:bCs/>
          <w:sz w:val="28"/>
          <w:szCs w:val="28"/>
        </w:rPr>
        <w:t xml:space="preserve"> 具备履行合同所必需的设备和专业技术能力的书面声明</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我单位郑重声明：我单位具备履行本项采购合同所必需的设备和专业技术能力，为履行本项采购合同我公司具备如下主要设备和主要专业技术能力：</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w:t>
      </w:r>
    </w:p>
    <w:p>
      <w:pPr>
        <w:keepNext w:val="0"/>
        <w:keepLines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p>
    <w:p>
      <w:pPr>
        <w:keepNext w:val="0"/>
        <w:keepLines w:val="0"/>
        <w:pageBreakBefore w:val="0"/>
        <w:spacing w:line="400" w:lineRule="exact"/>
        <w:ind w:left="480"/>
        <w:rPr>
          <w:rFonts w:ascii="宋体" w:hAnsi="宋体"/>
          <w:b/>
          <w:color w:val="000000"/>
          <w:sz w:val="28"/>
          <w:szCs w:val="28"/>
        </w:rPr>
      </w:pPr>
    </w:p>
    <w:p>
      <w:pPr>
        <w:keepNext w:val="0"/>
        <w:keepLines w:val="0"/>
        <w:pageBreakBefore w:val="0"/>
        <w:spacing w:line="400" w:lineRule="exact"/>
        <w:rPr>
          <w:rFonts w:ascii="宋体" w:hAnsi="宋体"/>
          <w:b/>
          <w:color w:val="000000"/>
          <w:sz w:val="28"/>
          <w:szCs w:val="28"/>
        </w:rPr>
      </w:pPr>
    </w:p>
    <w:p>
      <w:pPr>
        <w:keepNext w:val="0"/>
        <w:keepLines w:val="0"/>
        <w:pageBreakBefore w:val="0"/>
        <w:spacing w:line="400" w:lineRule="exact"/>
        <w:ind w:left="480"/>
        <w:rPr>
          <w:rFonts w:hint="eastAsia" w:ascii="宋体" w:hAnsi="宋体"/>
          <w:b/>
          <w:color w:val="000000"/>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w:t>
      </w:r>
      <w:r>
        <w:rPr>
          <w:rFonts w:hint="eastAsia" w:ascii="方正黑体_GBK" w:hAnsi="方正黑体_GBK" w:eastAsia="方正黑体_GBK" w:cs="方正黑体_GBK"/>
          <w:b w:val="0"/>
          <w:bCs/>
          <w:sz w:val="28"/>
          <w:szCs w:val="28"/>
          <w:lang w:val="en-US" w:eastAsia="zh-CN"/>
        </w:rPr>
        <w:t>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我单位郑重声明：参加本次政府采购活动前 3 年内，我单位在经营活动中没有因违法经营受到刑事处罚或者责令停产停业、吊销许可证或者执照、较大数额罚款等行政处罚。</w:t>
      </w:r>
    </w:p>
    <w:bookmarkEnd w:id="181"/>
    <w:bookmarkEnd w:id="182"/>
    <w:bookmarkEnd w:id="183"/>
    <w:p>
      <w:pPr>
        <w:keepNext w:val="0"/>
        <w:keepLines w:val="0"/>
        <w:pageBreakBefore w:val="0"/>
        <w:spacing w:line="400" w:lineRule="exact"/>
        <w:ind w:firstLine="492"/>
        <w:rPr>
          <w:rFonts w:hint="eastAsia" w:ascii="宋体" w:hAnsi="宋体"/>
          <w:bCs/>
          <w:color w:val="000000"/>
          <w:sz w:val="28"/>
          <w:szCs w:val="28"/>
        </w:rPr>
      </w:pPr>
    </w:p>
    <w:p>
      <w:pPr>
        <w:keepNext w:val="0"/>
        <w:keepLines w:val="0"/>
        <w:pageBreakBefore w:val="0"/>
        <w:spacing w:line="400" w:lineRule="exact"/>
        <w:rPr>
          <w:rFonts w:hint="eastAsia" w:ascii="宋体" w:hAnsi="宋体"/>
          <w:b/>
          <w:color w:val="000000"/>
          <w:sz w:val="28"/>
          <w:szCs w:val="28"/>
        </w:rPr>
      </w:pPr>
      <w:bookmarkStart w:id="186" w:name="_Toc120614284"/>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spacing w:line="400" w:lineRule="exact"/>
        <w:rPr>
          <w:rFonts w:hint="eastAsia" w:ascii="宋体" w:hAnsi="宋体"/>
          <w:b/>
          <w:color w:val="000000"/>
          <w:sz w:val="28"/>
          <w:szCs w:val="28"/>
        </w:rPr>
      </w:pPr>
    </w:p>
    <w:p>
      <w:pPr>
        <w:keepNext w:val="0"/>
        <w:keepLines w:val="0"/>
        <w:pageBreakBefore w:val="0"/>
        <w:widowControl w:val="0"/>
        <w:spacing w:line="400" w:lineRule="exact"/>
        <w:jc w:val="both"/>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w:t>
      </w:r>
      <w:r>
        <w:rPr>
          <w:rFonts w:hint="eastAsia" w:ascii="方正黑体_GBK" w:hAnsi="方正黑体_GBK" w:eastAsia="方正黑体_GBK" w:cs="方正黑体_GBK"/>
          <w:b w:val="0"/>
          <w:bCs/>
          <w:sz w:val="28"/>
          <w:szCs w:val="28"/>
          <w:lang w:val="en-US" w:eastAsia="zh-CN"/>
        </w:rPr>
        <w:t>6</w:t>
      </w:r>
      <w:r>
        <w:rPr>
          <w:rFonts w:hint="eastAsia" w:ascii="方正黑体_GBK" w:hAnsi="方正黑体_GBK" w:eastAsia="方正黑体_GBK" w:cs="方正黑体_GBK"/>
          <w:b w:val="0"/>
          <w:bCs/>
          <w:sz w:val="28"/>
          <w:szCs w:val="28"/>
        </w:rPr>
        <w:t xml:space="preserve">                   法人授权书</w:t>
      </w:r>
    </w:p>
    <w:p>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本授权书声明：</w:t>
      </w:r>
      <w:r>
        <w:rPr>
          <w:rFonts w:hint="eastAsia" w:ascii="Times New Roman" w:hAnsi="Times New Roman" w:eastAsia="方正黑体_GBK" w:cs="Times New Roman"/>
          <w:b w:val="0"/>
          <w:bCs/>
          <w:sz w:val="28"/>
          <w:szCs w:val="28"/>
          <w:u w:val="single"/>
          <w:lang w:val="en-US" w:eastAsia="zh-CN"/>
        </w:rPr>
        <w:t>XX</w:t>
      </w:r>
      <w:r>
        <w:rPr>
          <w:rFonts w:hint="eastAsia" w:ascii="方正仿宋_GBK" w:hAnsi="方正仿宋_GBK" w:eastAsia="方正仿宋_GBK" w:cs="方正仿宋_GBK"/>
          <w:color w:val="000000"/>
          <w:sz w:val="28"/>
          <w:szCs w:val="28"/>
        </w:rPr>
        <w:t>（</w:t>
      </w:r>
      <w:r>
        <w:rPr>
          <w:rFonts w:hint="eastAsia" w:ascii="方正仿宋_GBK" w:hAnsi="方正仿宋_GBK" w:eastAsia="方正仿宋_GBK" w:cs="方正仿宋_GBK"/>
          <w:color w:val="000000"/>
          <w:sz w:val="28"/>
          <w:szCs w:val="28"/>
          <w:lang w:eastAsia="zh-CN"/>
        </w:rPr>
        <w:t>磋商响应供应商</w:t>
      </w:r>
      <w:r>
        <w:rPr>
          <w:rFonts w:hint="eastAsia" w:ascii="方正仿宋_GBK" w:hAnsi="方正仿宋_GBK" w:eastAsia="方正仿宋_GBK" w:cs="方正仿宋_GBK"/>
          <w:color w:val="000000"/>
          <w:sz w:val="28"/>
          <w:szCs w:val="28"/>
        </w:rPr>
        <w:t>名称）授权</w:t>
      </w:r>
      <w:r>
        <w:rPr>
          <w:rFonts w:hint="eastAsia" w:ascii="Times New Roman" w:hAnsi="Times New Roman" w:eastAsia="方正黑体_GBK" w:cs="Times New Roman"/>
          <w:b w:val="0"/>
          <w:bCs/>
          <w:sz w:val="28"/>
          <w:szCs w:val="28"/>
          <w:u w:val="single"/>
          <w:lang w:val="en-US" w:eastAsia="zh-CN"/>
        </w:rPr>
        <w:t>XX</w:t>
      </w:r>
      <w:r>
        <w:rPr>
          <w:rFonts w:hint="eastAsia" w:ascii="方正仿宋_GBK" w:hAnsi="方正仿宋_GBK" w:eastAsia="方正仿宋_GBK" w:cs="方正仿宋_GBK"/>
          <w:color w:val="000000"/>
          <w:sz w:val="28"/>
          <w:szCs w:val="28"/>
        </w:rPr>
        <w:t>（被授权人的姓名）为我方就采购编号为</w:t>
      </w:r>
      <w:r>
        <w:rPr>
          <w:rFonts w:ascii="Times New Roman" w:hAnsi="Times New Roman" w:eastAsia="方正仿宋_GBK" w:cs="Times New Roman"/>
          <w:color w:val="000000"/>
          <w:sz w:val="28"/>
          <w:szCs w:val="28"/>
        </w:rPr>
        <w:t>JSZC-320000-</w:t>
      </w:r>
      <w:r>
        <w:rPr>
          <w:rFonts w:ascii="Times New Roman" w:hAnsi="Times New Roman" w:eastAsia="方正仿宋_GBK" w:cs="Times New Roman"/>
          <w:color w:val="000000"/>
          <w:sz w:val="28"/>
          <w:szCs w:val="28"/>
          <w:lang w:val="en-US" w:eastAsia="zh-CN"/>
        </w:rPr>
        <w:t>SCZX-C20XX-XXXX</w:t>
      </w:r>
      <w:r>
        <w:rPr>
          <w:rFonts w:hint="eastAsia" w:ascii="方正仿宋_GBK" w:hAnsi="方正仿宋_GBK" w:eastAsia="方正仿宋_GBK" w:cs="方正仿宋_GBK"/>
          <w:color w:val="000000"/>
          <w:sz w:val="28"/>
          <w:szCs w:val="28"/>
        </w:rPr>
        <w:t>，</w:t>
      </w:r>
      <w:r>
        <w:rPr>
          <w:rFonts w:hint="eastAsia" w:ascii="Times New Roman" w:hAnsi="Times New Roman" w:eastAsia="方正黑体_GBK" w:cs="Times New Roman"/>
          <w:b w:val="0"/>
          <w:bCs/>
          <w:sz w:val="28"/>
          <w:szCs w:val="28"/>
          <w:u w:val="single"/>
          <w:lang w:val="en-US" w:eastAsia="zh-CN"/>
        </w:rPr>
        <w:t>XXXX</w:t>
      </w:r>
      <w:r>
        <w:rPr>
          <w:rFonts w:hint="eastAsia" w:ascii="方正仿宋_GBK" w:hAnsi="方正仿宋_GBK" w:eastAsia="方正仿宋_GBK" w:cs="方正仿宋_GBK"/>
          <w:color w:val="000000"/>
          <w:sz w:val="28"/>
          <w:szCs w:val="28"/>
        </w:rPr>
        <w:t>项目（项目名称）采购活动的合法代理人，以本单位名义全权处理一切与该项目采购有关的事务。</w:t>
      </w:r>
    </w:p>
    <w:p>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本授权书于</w:t>
      </w:r>
      <w:r>
        <w:rPr>
          <w:rFonts w:hint="eastAsia" w:ascii="Times New Roman" w:hAnsi="Times New Roman" w:eastAsia="方正黑体_GBK" w:cs="Times New Roman"/>
          <w:b w:val="0"/>
          <w:bCs/>
          <w:sz w:val="28"/>
          <w:szCs w:val="28"/>
          <w:u w:val="single"/>
          <w:lang w:val="en-US" w:eastAsia="zh-CN"/>
        </w:rPr>
        <w:t>XX</w:t>
      </w:r>
      <w:r>
        <w:rPr>
          <w:rFonts w:hint="eastAsia" w:ascii="方正仿宋_GBK" w:hAnsi="方正仿宋_GBK" w:eastAsia="方正仿宋_GBK" w:cs="方正仿宋_GBK"/>
          <w:color w:val="000000"/>
          <w:sz w:val="28"/>
          <w:szCs w:val="28"/>
        </w:rPr>
        <w:t>年</w:t>
      </w:r>
      <w:r>
        <w:rPr>
          <w:rFonts w:hint="eastAsia" w:ascii="Times New Roman" w:hAnsi="Times New Roman" w:eastAsia="方正黑体_GBK" w:cs="Times New Roman"/>
          <w:b w:val="0"/>
          <w:bCs/>
          <w:sz w:val="28"/>
          <w:szCs w:val="28"/>
          <w:u w:val="single"/>
          <w:lang w:val="en-US" w:eastAsia="zh-CN"/>
        </w:rPr>
        <w:t>XX</w:t>
      </w:r>
      <w:r>
        <w:rPr>
          <w:rFonts w:hint="eastAsia" w:ascii="方正仿宋_GBK" w:hAnsi="方正仿宋_GBK" w:eastAsia="方正仿宋_GBK" w:cs="方正仿宋_GBK"/>
          <w:color w:val="000000"/>
          <w:sz w:val="28"/>
          <w:szCs w:val="28"/>
        </w:rPr>
        <w:t>月</w:t>
      </w:r>
      <w:r>
        <w:rPr>
          <w:rFonts w:hint="eastAsia" w:ascii="Times New Roman" w:hAnsi="Times New Roman" w:eastAsia="方正黑体_GBK" w:cs="Times New Roman"/>
          <w:b w:val="0"/>
          <w:bCs/>
          <w:sz w:val="28"/>
          <w:szCs w:val="28"/>
          <w:u w:val="single"/>
          <w:lang w:val="en-US" w:eastAsia="zh-CN"/>
        </w:rPr>
        <w:t>XX</w:t>
      </w:r>
      <w:r>
        <w:rPr>
          <w:rFonts w:hint="eastAsia" w:ascii="方正仿宋_GBK" w:hAnsi="方正仿宋_GBK" w:eastAsia="方正仿宋_GBK" w:cs="方正仿宋_GBK"/>
          <w:color w:val="000000"/>
          <w:sz w:val="28"/>
          <w:szCs w:val="28"/>
        </w:rPr>
        <w:t>日起生效，特此声明。</w:t>
      </w:r>
    </w:p>
    <w:p>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p>
    <w:p>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被授权人联系电话：（手机）</w:t>
      </w:r>
      <w:r>
        <w:rPr>
          <w:rFonts w:hint="eastAsia" w:ascii="方正仿宋_GBK" w:hAnsi="方正仿宋_GBK" w:eastAsia="方正仿宋_GBK" w:cs="方正仿宋_GBK"/>
          <w:color w:val="000000"/>
          <w:sz w:val="28"/>
          <w:szCs w:val="28"/>
          <w:u w:val="single"/>
        </w:rPr>
        <w:t xml:space="preserve">                  </w:t>
      </w:r>
    </w:p>
    <w:p>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被授权人电子邮箱：</w:t>
      </w:r>
      <w:r>
        <w:rPr>
          <w:rFonts w:hint="eastAsia" w:ascii="方正仿宋_GBK" w:hAnsi="方正仿宋_GBK" w:eastAsia="方正仿宋_GBK" w:cs="方正仿宋_GBK"/>
          <w:sz w:val="28"/>
          <w:szCs w:val="28"/>
          <w:u w:val="single"/>
        </w:rPr>
        <w:t xml:space="preserve">                </w:t>
      </w:r>
    </w:p>
    <w:p>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授权单位名称：</w:t>
      </w:r>
      <w:r>
        <w:rPr>
          <w:rFonts w:hint="eastAsia" w:ascii="方正仿宋_GBK" w:hAnsi="方正仿宋_GBK" w:eastAsia="方正仿宋_GBK" w:cs="方正仿宋_GBK"/>
          <w:color w:val="000000"/>
          <w:sz w:val="28"/>
          <w:szCs w:val="28"/>
          <w:u w:val="single"/>
        </w:rPr>
        <w:t>（加盖CA电子公章）</w:t>
      </w:r>
      <w:r>
        <w:rPr>
          <w:rFonts w:hint="eastAsia" w:ascii="方正仿宋_GBK" w:hAnsi="方正仿宋_GBK" w:eastAsia="方正仿宋_GBK" w:cs="方正仿宋_GBK"/>
          <w:color w:val="000000"/>
          <w:sz w:val="28"/>
          <w:szCs w:val="28"/>
          <w:u w:val="single"/>
          <w:lang w:val="en-US" w:eastAsia="zh-CN"/>
        </w:rPr>
        <w:t xml:space="preserve"> </w:t>
      </w:r>
    </w:p>
    <w:p>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p>
    <w:p>
      <w:pPr>
        <w:keepNext w:val="0"/>
        <w:keepLines w:val="0"/>
        <w:pageBreakBefore w:val="0"/>
        <w:widowControl w:val="0"/>
        <w:tabs>
          <w:tab w:val="left" w:pos="360"/>
        </w:tabs>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期：</w:t>
      </w:r>
      <w:bookmarkStart w:id="187" w:name="_Hlt26955070"/>
      <w:bookmarkEnd w:id="187"/>
      <w:bookmarkStart w:id="188" w:name="_Hlt26671380"/>
      <w:bookmarkEnd w:id="188"/>
      <w:bookmarkStart w:id="189" w:name="_格式3__银行出具的资信证明"/>
      <w:bookmarkEnd w:id="189"/>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p>
    <w:p>
      <w:pPr>
        <w:keepNext w:val="0"/>
        <w:keepLines w:val="0"/>
        <w:pageBreakBefore w:val="0"/>
        <w:tabs>
          <w:tab w:val="left" w:pos="360"/>
        </w:tabs>
        <w:spacing w:line="400" w:lineRule="exact"/>
        <w:ind w:firstLine="560"/>
        <w:rPr>
          <w:rFonts w:ascii="Times New Roman" w:hAnsi="Times New Roman"/>
          <w:sz w:val="28"/>
          <w:szCs w:val="28"/>
          <w:u w:val="single"/>
        </w:rPr>
      </w:pPr>
    </w:p>
    <w:p>
      <w:pPr>
        <w:keepNext w:val="0"/>
        <w:keepLines w:val="0"/>
        <w:pageBreakBefore w:val="0"/>
        <w:tabs>
          <w:tab w:val="left" w:pos="360"/>
        </w:tabs>
        <w:spacing w:line="400" w:lineRule="exact"/>
        <w:ind w:firstLine="560"/>
        <w:rPr>
          <w:rFonts w:hint="eastAsia" w:ascii="Times New Roman" w:hAnsi="Times New Roman"/>
          <w:sz w:val="28"/>
          <w:szCs w:val="28"/>
        </w:rPr>
      </w:pPr>
    </w:p>
    <w:p>
      <w:pPr>
        <w:keepNext w:val="0"/>
        <w:keepLines w:val="0"/>
        <w:pageBreakBefore w:val="0"/>
        <w:tabs>
          <w:tab w:val="left" w:pos="360"/>
        </w:tabs>
        <w:spacing w:line="400" w:lineRule="exact"/>
        <w:ind w:firstLine="560"/>
        <w:rPr>
          <w:rFonts w:hint="eastAsia" w:ascii="Times New Roman" w:hAnsi="Times New Roman"/>
          <w:sz w:val="28"/>
          <w:szCs w:val="28"/>
        </w:rPr>
      </w:pPr>
    </w:p>
    <w:p>
      <w:pPr>
        <w:keepNext w:val="0"/>
        <w:keepLines w:val="0"/>
        <w:pageBreakBefore w:val="0"/>
        <w:tabs>
          <w:tab w:val="left" w:pos="360"/>
        </w:tabs>
        <w:spacing w:line="400" w:lineRule="exact"/>
        <w:ind w:firstLine="560"/>
        <w:rPr>
          <w:rFonts w:hint="eastAsia" w:ascii="Times New Roman" w:hAnsi="Times New Roman"/>
          <w:sz w:val="28"/>
          <w:szCs w:val="28"/>
        </w:rPr>
      </w:pPr>
    </w:p>
    <w:p>
      <w:pPr>
        <w:keepNext w:val="0"/>
        <w:keepLines w:val="0"/>
        <w:pageBreakBefore w:val="0"/>
        <w:spacing w:line="400" w:lineRule="exact"/>
        <w:ind w:firstLine="420"/>
        <w:rPr>
          <w:rFonts w:hint="eastAsia" w:ascii="Times New Roman" w:hAnsi="Times New Roman"/>
          <w:i/>
          <w:sz w:val="28"/>
          <w:szCs w:val="28"/>
          <w:u w:val="single"/>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spacing w:line="400" w:lineRule="exact"/>
        <w:rPr>
          <w:rFonts w:hint="eastAsia" w:ascii="Times New Roman" w:hAnsi="Times New Roman"/>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附件7   磋商响应函</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致：江苏省政府采购中心</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根据贵方采购编号</w:t>
      </w:r>
      <w:r>
        <w:rPr>
          <w:rFonts w:hint="eastAsia" w:ascii="方正仿宋_GBK" w:hAnsi="方正仿宋_GBK" w:eastAsia="方正仿宋_GBK" w:cs="方正仿宋_GBK"/>
          <w:sz w:val="28"/>
          <w:szCs w:val="28"/>
          <w:lang w:eastAsia="zh-CN"/>
        </w:rPr>
        <w:t>为</w:t>
      </w:r>
      <w:r>
        <w:rPr>
          <w:rFonts w:ascii="Times New Roman" w:hAnsi="Times New Roman" w:eastAsia="方正仿宋_GBK" w:cs="Times New Roman"/>
          <w:sz w:val="28"/>
          <w:szCs w:val="28"/>
        </w:rPr>
        <w:t>JSZC-320000-</w:t>
      </w:r>
      <w:r>
        <w:rPr>
          <w:rFonts w:ascii="Times New Roman" w:hAnsi="Times New Roman" w:eastAsia="方正仿宋_GBK" w:cs="Times New Roman"/>
          <w:sz w:val="28"/>
          <w:szCs w:val="28"/>
          <w:u w:val="none"/>
          <w:lang w:val="en-US" w:eastAsia="zh-CN"/>
        </w:rPr>
        <w:t>SCZX-C20XX-XXXX</w:t>
      </w:r>
      <w:r>
        <w:rPr>
          <w:rFonts w:hint="eastAsia" w:ascii="方正仿宋_GBK" w:hAnsi="方正仿宋_GBK" w:eastAsia="方正仿宋_GBK" w:cs="方正仿宋_GBK"/>
          <w:sz w:val="28"/>
          <w:szCs w:val="28"/>
        </w:rPr>
        <w:t>，</w:t>
      </w:r>
      <w:r>
        <w:rPr>
          <w:rFonts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u w:val="none"/>
          <w:lang w:val="en-US" w:eastAsia="zh-CN"/>
        </w:rPr>
        <w:t>项目</w:t>
      </w:r>
      <w:r>
        <w:rPr>
          <w:rFonts w:hint="eastAsia" w:ascii="方正仿宋_GBK" w:hAnsi="方正仿宋_GBK" w:eastAsia="方正仿宋_GBK" w:cs="方正仿宋_GBK"/>
          <w:sz w:val="28"/>
          <w:szCs w:val="28"/>
          <w:u w:val="none"/>
        </w:rPr>
        <w:t>（项目名称）</w:t>
      </w:r>
      <w:r>
        <w:rPr>
          <w:rFonts w:hint="eastAsia" w:ascii="方正仿宋_GBK" w:hAnsi="方正仿宋_GBK" w:eastAsia="方正仿宋_GBK" w:cs="方正仿宋_GBK"/>
          <w:sz w:val="28"/>
          <w:szCs w:val="28"/>
        </w:rPr>
        <w:t>的</w:t>
      </w:r>
      <w:r>
        <w:rPr>
          <w:rFonts w:hint="eastAsia" w:ascii="方正仿宋_GBK" w:hAnsi="方正仿宋_GBK" w:eastAsia="方正仿宋_GBK" w:cs="方正仿宋_GBK"/>
          <w:sz w:val="28"/>
          <w:szCs w:val="28"/>
          <w:lang w:eastAsia="zh-CN"/>
        </w:rPr>
        <w:t>磋商</w:t>
      </w:r>
      <w:r>
        <w:rPr>
          <w:rFonts w:hint="eastAsia" w:ascii="方正仿宋_GBK" w:hAnsi="方正仿宋_GBK" w:eastAsia="方正仿宋_GBK" w:cs="方正仿宋_GBK"/>
          <w:sz w:val="28"/>
          <w:szCs w:val="28"/>
        </w:rPr>
        <w:t>文件，正式授权下述签字人</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(姓名)代表我方</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（供应商的名称），全权处理本次项目</w:t>
      </w:r>
      <w:r>
        <w:rPr>
          <w:rFonts w:hint="eastAsia" w:ascii="方正仿宋_GBK" w:hAnsi="方正仿宋_GBK" w:eastAsia="方正仿宋_GBK" w:cs="方正仿宋_GBK"/>
          <w:sz w:val="28"/>
          <w:szCs w:val="28"/>
          <w:lang w:eastAsia="zh-CN"/>
        </w:rPr>
        <w:t>磋商</w:t>
      </w:r>
      <w:r>
        <w:rPr>
          <w:rFonts w:hint="eastAsia" w:ascii="方正仿宋_GBK" w:hAnsi="方正仿宋_GBK" w:eastAsia="方正仿宋_GBK" w:cs="方正仿宋_GBK"/>
          <w:sz w:val="28"/>
          <w:szCs w:val="28"/>
        </w:rPr>
        <w:t>的有关事宜。</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据此函，</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签字人兹宣布同意如下：</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1.按磋商文件规定的各项要求，向买方提供所需货物、服务（包含与货物相关的服务及与服务相关的货物）。</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2.我们完全理解贵方不一定将合同授予最低报价的供应商。</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3.我们已详细审核全部磋商文件及其有效补充文件。</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4.我们同意从规定的开标日期起遵循本响应文件，并在规定的磋商有效期期满之前均具有约束力。</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5.同意向贵方提供贵方可能另外要求的与磋商有关的任何证据或资料，并保证我方已提供和将要提供的文件是真实的、准确的。</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6.一旦我方成交,我方将根据磋商文件的规定，严格履行合同的责任和义务,并保证在磋商文件规定的时间完成项目，交付买方验收、使用。</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7.我方与本磋商有关的正式通讯地址为：</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地          址：</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邮          编：</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电          话：</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传          真：</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供应商开户行：</w:t>
      </w:r>
    </w:p>
    <w:p>
      <w:pPr>
        <w:keepNext w:val="0"/>
        <w:keepLines w:val="0"/>
        <w:pageBreakBefore w:val="0"/>
        <w:widowControl w:val="0"/>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p>
    <w:p>
      <w:pPr>
        <w:keepNext w:val="0"/>
        <w:keepLines w:val="0"/>
        <w:pageBreakBefore w:val="0"/>
        <w:spacing w:line="400" w:lineRule="exact"/>
        <w:ind w:left="420" w:firstLine="560"/>
        <w:jc w:val="left"/>
        <w:rPr>
          <w:rFonts w:hint="eastAsia" w:ascii="宋体" w:hAnsi="宋体"/>
          <w:sz w:val="28"/>
          <w:szCs w:val="28"/>
        </w:rPr>
      </w:pPr>
    </w:p>
    <w:p>
      <w:pPr>
        <w:keepNext w:val="0"/>
        <w:keepLines w:val="0"/>
        <w:pageBreakBefore w:val="0"/>
        <w:spacing w:line="400" w:lineRule="exact"/>
        <w:ind w:firstLine="584"/>
        <w:rPr>
          <w:rFonts w:ascii="仿宋_GB2312" w:hAnsi="Times New Roman" w:eastAsia="仿宋_GB2312"/>
          <w:color w:val="000000"/>
          <w:spacing w:val="6"/>
          <w:sz w:val="28"/>
          <w:szCs w:val="28"/>
        </w:rPr>
      </w:pPr>
    </w:p>
    <w:p>
      <w:pPr>
        <w:keepNext w:val="0"/>
        <w:keepLines w:val="0"/>
        <w:pageBreakBefore w:val="0"/>
        <w:widowControl w:val="0"/>
        <w:spacing w:line="400" w:lineRule="exact"/>
        <w:ind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供应商全称（加盖CA电子公章）：</w:t>
      </w:r>
    </w:p>
    <w:p>
      <w:pPr>
        <w:keepNext w:val="0"/>
        <w:keepLines w:val="0"/>
        <w:pageBreakBefore w:val="0"/>
        <w:widowControl w:val="0"/>
        <w:spacing w:line="400" w:lineRule="exact"/>
        <w:jc w:val="right"/>
        <w:rPr>
          <w:rFonts w:hint="eastAsia" w:ascii="宋体" w:hAnsi="宋体"/>
          <w:color w:val="000000"/>
          <w:sz w:val="28"/>
          <w:szCs w:val="28"/>
        </w:rPr>
      </w:pPr>
      <w:r>
        <w:rPr>
          <w:rFonts w:hint="eastAsia" w:ascii="方正仿宋_GBK" w:hAnsi="方正仿宋_GBK" w:eastAsia="方正仿宋_GBK" w:cs="方正仿宋_GBK"/>
          <w:color w:val="000000"/>
          <w:sz w:val="28"/>
          <w:szCs w:val="28"/>
        </w:rPr>
        <w:t>日    期：___年____月____日</w:t>
      </w:r>
    </w:p>
    <w:p>
      <w:pPr>
        <w:keepNext w:val="0"/>
        <w:keepLines w:val="0"/>
        <w:pageBreakBefore w:val="0"/>
        <w:spacing w:line="400" w:lineRule="exact"/>
        <w:rPr>
          <w:rFonts w:hint="eastAsia" w:ascii="黑体" w:hAnsi="黑体" w:eastAsia="黑体"/>
          <w:b/>
          <w:color w:val="FF0000"/>
          <w:sz w:val="28"/>
          <w:szCs w:val="28"/>
          <w:highlight w:val="cyan"/>
        </w:rPr>
      </w:pPr>
    </w:p>
    <w:p>
      <w:pPr>
        <w:keepNext w:val="0"/>
        <w:keepLines w:val="0"/>
        <w:pageBreakBefore w:val="0"/>
        <w:spacing w:line="400" w:lineRule="exact"/>
        <w:rPr>
          <w:rFonts w:hint="eastAsia" w:ascii="宋体" w:hAnsi="宋体"/>
          <w:sz w:val="28"/>
          <w:szCs w:val="28"/>
        </w:rPr>
      </w:pPr>
      <w:r>
        <w:rPr>
          <w:rFonts w:hint="eastAsia" w:ascii="宋体" w:hAnsi="宋体"/>
          <w:sz w:val="28"/>
          <w:szCs w:val="28"/>
        </w:rPr>
        <w:t xml:space="preserve"> </w:t>
      </w:r>
    </w:p>
    <w:p>
      <w:pPr>
        <w:keepNext w:val="0"/>
        <w:keepLines w:val="0"/>
        <w:pageBreakBefore w:val="0"/>
        <w:spacing w:line="400" w:lineRule="exact"/>
        <w:rPr>
          <w:rFonts w:hint="eastAsia" w:ascii="宋体" w:hAnsi="宋体"/>
          <w:sz w:val="28"/>
          <w:szCs w:val="28"/>
        </w:rPr>
      </w:pPr>
    </w:p>
    <w:p>
      <w:pPr>
        <w:keepNext w:val="0"/>
        <w:keepLines w:val="0"/>
        <w:pageBreakBefore w:val="0"/>
        <w:spacing w:line="400" w:lineRule="exact"/>
        <w:rPr>
          <w:rFonts w:hint="eastAsia" w:ascii="宋体" w:hAnsi="宋体"/>
          <w:sz w:val="28"/>
          <w:szCs w:val="28"/>
        </w:rPr>
      </w:pPr>
    </w:p>
    <w:p>
      <w:pPr>
        <w:keepNext w:val="0"/>
        <w:keepLines w:val="0"/>
        <w:pageBreakBefore w:val="0"/>
        <w:spacing w:line="400" w:lineRule="exact"/>
        <w:rPr>
          <w:rFonts w:hint="eastAsia" w:ascii="宋体" w:hAnsi="宋体"/>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附件8 中小微企业声明函（服务类项目）（采购包号：</w:t>
      </w:r>
      <w:r>
        <w:rPr>
          <w:rFonts w:hint="eastAsia" w:ascii="方正黑体_GBK" w:hAnsi="方正黑体_GBK" w:eastAsia="方正黑体_GBK" w:cs="方正黑体_GBK"/>
          <w:b w:val="0"/>
          <w:bCs/>
          <w:sz w:val="28"/>
          <w:szCs w:val="28"/>
          <w:lang w:eastAsia="zh-CN"/>
        </w:rPr>
        <w:t>XX</w:t>
      </w:r>
      <w:r>
        <w:rPr>
          <w:rFonts w:hint="eastAsia" w:ascii="方正黑体_GBK" w:hAnsi="方正黑体_GBK" w:eastAsia="方正黑体_GBK" w:cs="方正黑体_GBK"/>
          <w:b w:val="0"/>
          <w:bCs/>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采购编号为</w:t>
      </w:r>
      <w:r>
        <w:rPr>
          <w:rFonts w:ascii="Times New Roman" w:hAnsi="Times New Roman" w:eastAsia="方正仿宋_GBK" w:cs="Times New Roman"/>
          <w:sz w:val="28"/>
          <w:szCs w:val="28"/>
        </w:rPr>
        <w:t>JSZC-320000-</w:t>
      </w:r>
      <w:r>
        <w:rPr>
          <w:rFonts w:ascii="Times New Roman" w:hAnsi="Times New Roman" w:eastAsia="方正仿宋_GBK" w:cs="Times New Roman"/>
          <w:sz w:val="28"/>
          <w:szCs w:val="28"/>
          <w:u w:val="none"/>
          <w:lang w:val="en-US" w:eastAsia="zh-CN"/>
        </w:rPr>
        <w:t>SCZX-C20XX-XXXX</w:t>
      </w:r>
      <w:r>
        <w:rPr>
          <w:rFonts w:hint="eastAsia" w:ascii="方正仿宋_GBK" w:hAnsi="方正仿宋_GBK" w:eastAsia="方正仿宋_GBK" w:cs="方正仿宋_GBK"/>
          <w:sz w:val="28"/>
          <w:szCs w:val="28"/>
        </w:rPr>
        <w:t>，</w:t>
      </w:r>
      <w:r>
        <w:rPr>
          <w:rFonts w:hint="eastAsia"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u w:val="none"/>
        </w:rPr>
        <w:t>（项目名称）（采购包号：</w:t>
      </w:r>
      <w:r>
        <w:rPr>
          <w:rFonts w:hint="eastAsia" w:ascii="方正仿宋_GBK" w:hAnsi="方正仿宋_GBK" w:eastAsia="方正仿宋_GBK" w:cs="方正仿宋_GBK"/>
          <w:sz w:val="28"/>
          <w:szCs w:val="28"/>
          <w:u w:val="none"/>
          <w:lang w:eastAsia="zh-CN"/>
        </w:rPr>
        <w:t>XX</w:t>
      </w:r>
      <w:r>
        <w:rPr>
          <w:rFonts w:hint="eastAsia" w:ascii="方正仿宋_GBK" w:hAnsi="方正仿宋_GBK" w:eastAsia="方正仿宋_GBK" w:cs="方正仿宋_GBK"/>
          <w:sz w:val="28"/>
          <w:szCs w:val="28"/>
          <w:u w:val="none"/>
        </w:rPr>
        <w:t>）</w:t>
      </w:r>
      <w:r>
        <w:rPr>
          <w:rFonts w:hint="eastAsia" w:ascii="方正仿宋_GBK" w:hAnsi="方正仿宋_GBK" w:eastAsia="方正仿宋_GBK" w:cs="方正仿宋_GBK"/>
          <w:sz w:val="28"/>
          <w:szCs w:val="28"/>
        </w:rPr>
        <w:t>的采购活动，服务全部由符合政策的中小微企业承接。相关企业（含联合体中的中小微企业、签订采购包意向协议的中小微企业）的具体情况如下：</w:t>
      </w:r>
    </w:p>
    <w:p>
      <w:pPr>
        <w:keepNext w:val="0"/>
        <w:keepLines w:val="0"/>
        <w:pageBreakBefore w:val="0"/>
        <w:widowControl w:val="0"/>
        <w:spacing w:line="400" w:lineRule="exact"/>
        <w:ind w:firstLine="560"/>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1.</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（标的名称）</w:t>
      </w:r>
      <w:r>
        <w:rPr>
          <w:rFonts w:hint="eastAsia" w:ascii="方正仿宋_GBK" w:hAnsi="方正仿宋_GBK" w:eastAsia="方正仿宋_GBK" w:cs="方正仿宋_GBK"/>
          <w:i/>
          <w:sz w:val="28"/>
          <w:szCs w:val="28"/>
        </w:rPr>
        <w:t>，</w:t>
      </w:r>
      <w:r>
        <w:rPr>
          <w:rFonts w:hint="eastAsia" w:ascii="方正仿宋_GBK" w:hAnsi="方正仿宋_GBK" w:eastAsia="方正仿宋_GBK" w:cs="方正仿宋_GBK"/>
          <w:sz w:val="28"/>
          <w:szCs w:val="28"/>
        </w:rPr>
        <w:t>属</w:t>
      </w:r>
      <w:r>
        <w:rPr>
          <w:rFonts w:hint="eastAsia" w:ascii="方正仿宋_GBK" w:hAnsi="方正仿宋_GBK" w:eastAsia="方正仿宋_GBK" w:cs="方正仿宋_GBK"/>
          <w:sz w:val="28"/>
          <w:szCs w:val="28"/>
          <w:lang w:eastAsia="zh-CN"/>
        </w:rPr>
        <w:t>于</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（供应商填写磋商文件中明确的所属行业）</w:t>
      </w:r>
      <w:r>
        <w:rPr>
          <w:rFonts w:hint="eastAsia" w:ascii="方正仿宋_GBK" w:hAnsi="方正仿宋_GBK" w:eastAsia="方正仿宋_GBK" w:cs="方正仿宋_GBK"/>
          <w:sz w:val="28"/>
          <w:szCs w:val="28"/>
        </w:rPr>
        <w:t>行业；承接企业为</w:t>
      </w:r>
      <w:r>
        <w:rPr>
          <w:rFonts w:hint="eastAsia" w:ascii="方正仿宋_GBK" w:hAnsi="方正仿宋_GBK" w:eastAsia="方正仿宋_GBK" w:cs="方正仿宋_GBK"/>
          <w:sz w:val="28"/>
          <w:szCs w:val="28"/>
          <w:u w:val="single"/>
        </w:rPr>
        <w:t>（企业名称）</w:t>
      </w:r>
      <w:r>
        <w:rPr>
          <w:rFonts w:hint="eastAsia" w:ascii="方正仿宋_GBK" w:hAnsi="方正仿宋_GBK" w:eastAsia="方正仿宋_GBK" w:cs="方正仿宋_GBK"/>
          <w:sz w:val="28"/>
          <w:szCs w:val="28"/>
        </w:rPr>
        <w:t>，从业人员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人，营业收入为</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万元，资产总额为</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万元</w:t>
      </w:r>
      <w:r>
        <w:rPr>
          <w:rFonts w:hint="eastAsia" w:ascii="方正仿宋_GBK" w:hAnsi="方正仿宋_GBK" w:eastAsia="方正仿宋_GBK" w:cs="方正仿宋_GBK"/>
          <w:sz w:val="28"/>
          <w:szCs w:val="28"/>
          <w:vertAlign w:val="superscript"/>
        </w:rPr>
        <w:t>1</w:t>
      </w:r>
      <w:r>
        <w:rPr>
          <w:rFonts w:hint="eastAsia" w:ascii="方正仿宋_GBK" w:hAnsi="方正仿宋_GBK" w:eastAsia="方正仿宋_GBK" w:cs="方正仿宋_GBK"/>
          <w:sz w:val="28"/>
          <w:szCs w:val="28"/>
        </w:rPr>
        <w:t>，属于</w:t>
      </w:r>
      <w:r>
        <w:rPr>
          <w:rFonts w:hint="eastAsia" w:ascii="方正仿宋_GBK" w:hAnsi="方正仿宋_GBK" w:eastAsia="方正仿宋_GBK" w:cs="方正仿宋_GBK"/>
          <w:sz w:val="28"/>
          <w:szCs w:val="28"/>
          <w:u w:val="single"/>
        </w:rPr>
        <w:t>（□中型企业 □小型企业 □微型企业）；</w:t>
      </w:r>
    </w:p>
    <w:p>
      <w:pPr>
        <w:keepNext w:val="0"/>
        <w:keepLines w:val="0"/>
        <w:pageBreakBefore w:val="0"/>
        <w:widowControl w:val="0"/>
        <w:spacing w:line="400" w:lineRule="exact"/>
        <w:ind w:firstLine="560"/>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2.</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（标的名称）</w:t>
      </w:r>
      <w:r>
        <w:rPr>
          <w:rFonts w:hint="eastAsia" w:ascii="方正仿宋_GBK" w:hAnsi="方正仿宋_GBK" w:eastAsia="方正仿宋_GBK" w:cs="方正仿宋_GBK"/>
          <w:i/>
          <w:sz w:val="28"/>
          <w:szCs w:val="28"/>
        </w:rPr>
        <w:t>，</w:t>
      </w:r>
      <w:r>
        <w:rPr>
          <w:rFonts w:hint="eastAsia" w:ascii="方正仿宋_GBK" w:hAnsi="方正仿宋_GBK" w:eastAsia="方正仿宋_GBK" w:cs="方正仿宋_GBK"/>
          <w:sz w:val="28"/>
          <w:szCs w:val="28"/>
        </w:rPr>
        <w:t>属</w:t>
      </w:r>
      <w:r>
        <w:rPr>
          <w:rFonts w:hint="eastAsia" w:ascii="方正仿宋_GBK" w:hAnsi="方正仿宋_GBK" w:eastAsia="方正仿宋_GBK" w:cs="方正仿宋_GBK"/>
          <w:sz w:val="28"/>
          <w:szCs w:val="28"/>
          <w:lang w:eastAsia="zh-CN"/>
        </w:rPr>
        <w:t>于</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u w:val="none"/>
        </w:rPr>
        <w:t>（供应商填写磋商文件中明确的所属行业）</w:t>
      </w:r>
      <w:r>
        <w:rPr>
          <w:rFonts w:hint="eastAsia" w:ascii="方正仿宋_GBK" w:hAnsi="方正仿宋_GBK" w:eastAsia="方正仿宋_GBK" w:cs="方正仿宋_GBK"/>
          <w:sz w:val="28"/>
          <w:szCs w:val="28"/>
        </w:rPr>
        <w:t>行业；承接企业为</w:t>
      </w:r>
      <w:r>
        <w:rPr>
          <w:rFonts w:hint="eastAsia" w:ascii="方正仿宋_GBK" w:hAnsi="方正仿宋_GBK" w:eastAsia="方正仿宋_GBK" w:cs="方正仿宋_GBK"/>
          <w:sz w:val="28"/>
          <w:szCs w:val="28"/>
          <w:u w:val="single"/>
        </w:rPr>
        <w:t>（企业名称）</w:t>
      </w:r>
      <w:r>
        <w:rPr>
          <w:rFonts w:hint="eastAsia" w:ascii="方正仿宋_GBK" w:hAnsi="方正仿宋_GBK" w:eastAsia="方正仿宋_GBK" w:cs="方正仿宋_GBK"/>
          <w:sz w:val="28"/>
          <w:szCs w:val="28"/>
        </w:rPr>
        <w:t>，从业人员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人，营业收入为</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万元，资产总额为</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万元</w:t>
      </w:r>
      <w:r>
        <w:rPr>
          <w:rFonts w:hint="eastAsia" w:ascii="方正仿宋_GBK" w:hAnsi="方正仿宋_GBK" w:eastAsia="方正仿宋_GBK" w:cs="方正仿宋_GBK"/>
          <w:sz w:val="28"/>
          <w:szCs w:val="28"/>
          <w:vertAlign w:val="superscript"/>
        </w:rPr>
        <w:t>1</w:t>
      </w:r>
      <w:r>
        <w:rPr>
          <w:rFonts w:hint="eastAsia" w:ascii="方正仿宋_GBK" w:hAnsi="方正仿宋_GBK" w:eastAsia="方正仿宋_GBK" w:cs="方正仿宋_GBK"/>
          <w:sz w:val="28"/>
          <w:szCs w:val="28"/>
        </w:rPr>
        <w:t>，属于</w:t>
      </w:r>
      <w:r>
        <w:rPr>
          <w:rFonts w:hint="eastAsia" w:ascii="方正仿宋_GBK" w:hAnsi="方正仿宋_GBK" w:eastAsia="方正仿宋_GBK" w:cs="方正仿宋_GBK"/>
          <w:sz w:val="28"/>
          <w:szCs w:val="28"/>
          <w:u w:val="single"/>
        </w:rPr>
        <w:t>（□中型企业 □小型企业 □微型企业）；</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以上企业，不属于大企业的分支机构，不存在控股股东为大企业的情形，也不存在与大企业的负责人为同一人的情形。</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本企业对上述声明内容的真实性负责。如有虚假，将依法承担相应责任</w:t>
      </w:r>
    </w:p>
    <w:p>
      <w:pPr>
        <w:keepNext w:val="0"/>
        <w:keepLines w:val="0"/>
        <w:pageBreakBefore w:val="0"/>
        <w:widowControl w:val="0"/>
        <w:spacing w:line="400" w:lineRule="exact"/>
        <w:ind w:right="180" w:firstLine="56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企业名称（加盖CA电子公章）：</w:t>
      </w:r>
    </w:p>
    <w:p>
      <w:pPr>
        <w:keepNext w:val="0"/>
        <w:keepLines w:val="0"/>
        <w:pageBreakBefore w:val="0"/>
        <w:widowControl w:val="0"/>
        <w:spacing w:line="400" w:lineRule="exact"/>
        <w:ind w:right="480"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日  期：____年____月____日</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1.从业人员、营业收入、资产总额填报上一年度数据，无上一年度数据的新成立企业可不填报。</w:t>
      </w:r>
    </w:p>
    <w:p>
      <w:pPr>
        <w:keepNext w:val="0"/>
        <w:keepLines w:val="0"/>
        <w:pageBreakBefore w:val="0"/>
        <w:widowControl w:val="0"/>
        <w:numPr>
          <w:ilvl w:val="0"/>
          <w:numId w:val="0"/>
        </w:num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sz w:val="28"/>
          <w:szCs w:val="28"/>
        </w:rPr>
        <w:t>专门面向中小微型企业采购的项目，供应商如不提供此声明函，则不能通过资格审查；非专门面向中小微型企业采购的项目，供应商如不提供此声明函，价格将不做相应扣除。</w:t>
      </w:r>
    </w:p>
    <w:p>
      <w:pPr>
        <w:keepNext w:val="0"/>
        <w:keepLines w:val="0"/>
        <w:pageBreakBefore w:val="0"/>
        <w:widowControl w:val="0"/>
        <w:numPr>
          <w:ilvl w:val="0"/>
          <w:numId w:val="0"/>
        </w:numPr>
        <w:spacing w:line="400" w:lineRule="exact"/>
        <w:ind w:firstLine="560"/>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附件9 残疾人福利性单位声明函（服务类项目）（采购包号：</w:t>
      </w:r>
      <w:r>
        <w:rPr>
          <w:rFonts w:ascii="Times New Roman" w:hAnsi="Times New Roman" w:eastAsia="方正黑体_GBK" w:cs="Times New Roman"/>
          <w:b w:val="0"/>
          <w:bCs/>
          <w:sz w:val="28"/>
          <w:szCs w:val="28"/>
          <w:lang w:eastAsia="zh-CN"/>
        </w:rPr>
        <w:t>XX</w:t>
      </w:r>
      <w:r>
        <w:rPr>
          <w:rFonts w:hint="eastAsia" w:ascii="方正黑体_GBK" w:hAnsi="方正黑体_GBK" w:eastAsia="方正黑体_GBK" w:cs="方正黑体_GBK"/>
          <w:b w:val="0"/>
          <w:bCs/>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XX</w:t>
      </w:r>
      <w:r>
        <w:rPr>
          <w:rFonts w:hint="eastAsia" w:ascii="方正仿宋_GBK" w:hAnsi="方正仿宋_GBK" w:eastAsia="方正仿宋_GBK" w:cs="方正仿宋_GBK"/>
          <w:sz w:val="28"/>
          <w:szCs w:val="28"/>
        </w:rPr>
        <w:t>单位的采购文件编号为</w:t>
      </w:r>
      <w:r>
        <w:rPr>
          <w:rFonts w:hint="eastAsia" w:ascii="Times New Roman" w:hAnsi="Times New Roman" w:eastAsia="方正黑体_GBK" w:cs="Times New Roman"/>
          <w:b w:val="0"/>
          <w:bCs/>
          <w:sz w:val="28"/>
          <w:szCs w:val="28"/>
          <w:lang w:eastAsia="zh-CN"/>
        </w:rPr>
        <w:t>JSZC-320000-</w:t>
      </w:r>
      <w:r>
        <w:rPr>
          <w:rFonts w:hint="eastAsia" w:ascii="Times New Roman" w:hAnsi="Times New Roman" w:eastAsia="方正黑体_GBK" w:cs="Times New Roman"/>
          <w:b w:val="0"/>
          <w:bCs/>
          <w:sz w:val="28"/>
          <w:szCs w:val="28"/>
          <w:lang w:val="en-US" w:eastAsia="zh-CN"/>
        </w:rPr>
        <w:t>SCZX-C20XX-XXXX</w:t>
      </w:r>
      <w:r>
        <w:rPr>
          <w:rFonts w:hint="eastAsia" w:ascii="方正仿宋_GBK" w:hAnsi="方正仿宋_GBK" w:eastAsia="方正仿宋_GBK" w:cs="方正仿宋_GBK"/>
          <w:sz w:val="28"/>
          <w:szCs w:val="28"/>
          <w:lang w:eastAsia="zh-CN"/>
        </w:rPr>
        <w:t>，</w:t>
      </w:r>
      <w:r>
        <w:rPr>
          <w:rFonts w:hint="eastAsia" w:ascii="Times New Roman" w:hAnsi="Times New Roman" w:eastAsia="方正黑体_GBK" w:cs="Times New Roman"/>
          <w:b w:val="0"/>
          <w:bCs/>
          <w:sz w:val="28"/>
          <w:szCs w:val="28"/>
          <w:u w:val="single"/>
          <w:lang w:val="en-US" w:eastAsia="zh-CN"/>
        </w:rPr>
        <w:t>XXXX</w:t>
      </w:r>
      <w:r>
        <w:rPr>
          <w:rFonts w:hint="eastAsia" w:ascii="方正仿宋_GBK" w:hAnsi="方正仿宋_GBK" w:eastAsia="方正仿宋_GBK" w:cs="方正仿宋_GBK"/>
          <w:sz w:val="28"/>
          <w:szCs w:val="28"/>
        </w:rPr>
        <w:t>项目</w:t>
      </w:r>
      <w:r>
        <w:rPr>
          <w:rFonts w:hint="eastAsia" w:ascii="方正仿宋_GBK" w:hAnsi="方正仿宋_GBK" w:eastAsia="方正仿宋_GBK" w:cs="方正仿宋_GBK"/>
          <w:sz w:val="28"/>
          <w:szCs w:val="28"/>
          <w:u w:val="none"/>
        </w:rPr>
        <w:t>（项目名称）</w:t>
      </w:r>
      <w:r>
        <w:rPr>
          <w:rFonts w:hint="eastAsia" w:ascii="方正仿宋_GBK" w:hAnsi="方正仿宋_GBK" w:eastAsia="方正仿宋_GBK" w:cs="方正仿宋_GBK"/>
          <w:sz w:val="28"/>
          <w:szCs w:val="28"/>
        </w:rPr>
        <w:t>（采购包号：</w:t>
      </w:r>
      <w:r>
        <w:rPr>
          <w:rFonts w:hint="eastAsia" w:ascii="Times New Roman" w:hAnsi="Times New Roman" w:eastAsia="方正黑体_GBK" w:cs="Times New Roman"/>
          <w:b w:val="0"/>
          <w:bCs/>
          <w:sz w:val="28"/>
          <w:szCs w:val="28"/>
          <w:lang w:eastAsia="zh-CN"/>
        </w:rPr>
        <w:t>XX</w:t>
      </w:r>
      <w:r>
        <w:rPr>
          <w:rFonts w:hint="eastAsia" w:ascii="方正仿宋_GBK" w:hAnsi="方正仿宋_GBK" w:eastAsia="方正仿宋_GBK" w:cs="方正仿宋_GBK"/>
          <w:sz w:val="28"/>
          <w:szCs w:val="28"/>
        </w:rPr>
        <w:t>）采购活动由本单位提供服务。</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本单位对上述声明的真实性负责。如有虚假，将依法承担相应责任。</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1.专门面向中小微型企业采购的项目，供应商为残疾人福利性单位并提供服务的必须提供此声明函，否则将不能通过资格审查。</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 非专门面向中小微型企业采购的项目，供应商如不提供此声明函，价格将不做相应扣除。</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3.中标/成交供应商为残疾人福利性单位的，此声明函将随中标/成交结果同时公告，接受社会监督）</w:t>
      </w:r>
    </w:p>
    <w:p>
      <w:pPr>
        <w:keepNext w:val="0"/>
        <w:keepLines w:val="0"/>
        <w:pageBreakBefore w:val="0"/>
        <w:widowControl w:val="0"/>
        <w:tabs>
          <w:tab w:val="left" w:pos="4860"/>
        </w:tabs>
        <w:spacing w:line="400" w:lineRule="exact"/>
        <w:ind w:right="1559" w:firstLine="58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p>
    <w:p>
      <w:pPr>
        <w:keepNext w:val="0"/>
        <w:keepLines w:val="0"/>
        <w:pageBreakBefore w:val="0"/>
        <w:widowControl w:val="0"/>
        <w:tabs>
          <w:tab w:val="left" w:pos="4860"/>
        </w:tabs>
        <w:spacing w:line="400" w:lineRule="exact"/>
        <w:ind w:right="1559" w:firstLine="560"/>
        <w:jc w:val="righ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p>
    <w:p>
      <w:pPr>
        <w:keepNext w:val="0"/>
        <w:keepLines w:val="0"/>
        <w:pageBreakBefore w:val="0"/>
        <w:widowControl w:val="0"/>
        <w:tabs>
          <w:tab w:val="left" w:pos="4860"/>
        </w:tabs>
        <w:spacing w:line="400" w:lineRule="exact"/>
        <w:ind w:right="1559" w:firstLine="56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日  期：____年____月____日</w:t>
      </w:r>
    </w:p>
    <w:p>
      <w:pPr>
        <w:keepNext w:val="0"/>
        <w:keepLines w:val="0"/>
        <w:pageBreakBefore w:val="0"/>
        <w:tabs>
          <w:tab w:val="left" w:pos="4860"/>
        </w:tabs>
        <w:spacing w:line="400" w:lineRule="exact"/>
        <w:ind w:right="1559" w:firstLine="560"/>
        <w:jc w:val="center"/>
        <w:rPr>
          <w:rFonts w:hint="eastAsia" w:ascii="宋体" w:hAnsi="宋体"/>
          <w:sz w:val="28"/>
          <w:szCs w:val="28"/>
        </w:rPr>
      </w:pPr>
    </w:p>
    <w:p>
      <w:pPr>
        <w:keepNext w:val="0"/>
        <w:keepLines w:val="0"/>
        <w:pageBreakBefore w:val="0"/>
        <w:spacing w:line="400" w:lineRule="exact"/>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附件10 联合体协议（参考格式）（采购包号：</w:t>
      </w:r>
      <w:r>
        <w:rPr>
          <w:rFonts w:hint="eastAsia" w:ascii="Times New Roman" w:hAnsi="Times New Roman" w:eastAsia="方正黑体_GBK" w:cs="Times New Roman"/>
          <w:b w:val="0"/>
          <w:bCs/>
          <w:sz w:val="28"/>
          <w:szCs w:val="28"/>
          <w:u w:val="none"/>
          <w:lang w:val="en-US" w:eastAsia="zh-CN"/>
        </w:rPr>
        <w:t>XX</w:t>
      </w:r>
      <w:r>
        <w:rPr>
          <w:rFonts w:hint="eastAsia" w:ascii="方正黑体_GBK" w:hAnsi="方正黑体_GBK" w:eastAsia="方正黑体_GBK" w:cs="方正黑体_GBK"/>
          <w:b w:val="0"/>
          <w:bCs/>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（联合体中各供应商全称）在此达成以下协议：</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自愿组成联合体，参加江苏省政府采购中心组织的采购编号为</w:t>
      </w:r>
      <w:r>
        <w:rPr>
          <w:rFonts w:ascii="Times New Roman" w:hAnsi="Times New Roman" w:eastAsia="方正仿宋_GBK" w:cs="Times New Roman"/>
          <w:sz w:val="28"/>
          <w:szCs w:val="28"/>
        </w:rPr>
        <w:t>JSZC-320000-</w:t>
      </w:r>
      <w:r>
        <w:rPr>
          <w:rFonts w:ascii="Times New Roman" w:hAnsi="Times New Roman" w:eastAsia="方正仿宋_GBK" w:cs="Times New Roman"/>
          <w:sz w:val="28"/>
          <w:szCs w:val="28"/>
          <w:u w:val="none"/>
          <w:lang w:val="en-US" w:eastAsia="zh-CN"/>
        </w:rPr>
        <w:t>SCZX-C20XX-XXXX</w:t>
      </w:r>
      <w:r>
        <w:rPr>
          <w:rFonts w:hint="eastAsia" w:ascii="方正仿宋_GBK" w:hAnsi="方正仿宋_GBK" w:eastAsia="方正仿宋_GBK" w:cs="方正仿宋_GBK"/>
          <w:sz w:val="28"/>
          <w:szCs w:val="28"/>
        </w:rPr>
        <w:t>，</w:t>
      </w:r>
      <w:r>
        <w:rPr>
          <w:rFonts w:hint="eastAsia" w:ascii="Times New Roman" w:hAnsi="Times New Roman" w:eastAsia="方正仿宋_GBK" w:cs="Times New Roman"/>
          <w:sz w:val="28"/>
          <w:szCs w:val="28"/>
          <w:u w:val="single"/>
          <w:lang w:val="en-US" w:eastAsia="zh-CN"/>
        </w:rPr>
        <w:t>XXXX</w:t>
      </w:r>
      <w:r>
        <w:rPr>
          <w:rFonts w:hint="eastAsia" w:ascii="方正仿宋_GBK" w:hAnsi="方正仿宋_GBK" w:eastAsia="方正仿宋_GBK" w:cs="方正仿宋_GBK"/>
          <w:sz w:val="28"/>
          <w:szCs w:val="28"/>
          <w:u w:val="none"/>
          <w:lang w:val="en-US" w:eastAsia="zh-CN"/>
        </w:rPr>
        <w:t>项目</w:t>
      </w:r>
      <w:r>
        <w:rPr>
          <w:rFonts w:hint="eastAsia" w:ascii="方正仿宋_GBK" w:hAnsi="方正仿宋_GBK" w:eastAsia="方正仿宋_GBK" w:cs="方正仿宋_GBK"/>
          <w:sz w:val="28"/>
          <w:szCs w:val="28"/>
          <w:u w:val="none"/>
        </w:rPr>
        <w:t>（项目名称）（采购包号：</w:t>
      </w:r>
      <w:r>
        <w:rPr>
          <w:rFonts w:hint="eastAsia" w:ascii="Times New Roman" w:hAnsi="Times New Roman" w:eastAsia="方正仿宋_GBK" w:cs="Times New Roman"/>
          <w:sz w:val="28"/>
          <w:szCs w:val="28"/>
          <w:lang w:eastAsia="zh-CN"/>
        </w:rPr>
        <w:t>XX</w:t>
      </w:r>
      <w:r>
        <w:rPr>
          <w:rFonts w:hint="eastAsia" w:ascii="方正仿宋_GBK" w:hAnsi="方正仿宋_GBK" w:eastAsia="方正仿宋_GBK" w:cs="方正仿宋_GBK"/>
          <w:sz w:val="28"/>
          <w:szCs w:val="28"/>
          <w:u w:val="none"/>
        </w:rPr>
        <w:t>）</w:t>
      </w:r>
      <w:r>
        <w:rPr>
          <w:rFonts w:hint="eastAsia" w:ascii="方正仿宋_GBK" w:hAnsi="方正仿宋_GBK" w:eastAsia="方正仿宋_GBK" w:cs="方正仿宋_GBK"/>
          <w:sz w:val="28"/>
          <w:szCs w:val="28"/>
        </w:rPr>
        <w:t>的政府采购活动，我联合体指定</w:t>
      </w:r>
      <w:r>
        <w:rPr>
          <w:rFonts w:hint="eastAsia" w:ascii="方正仿宋_GBK" w:hAnsi="方正仿宋_GBK" w:eastAsia="方正仿宋_GBK" w:cs="方正仿宋_GBK"/>
          <w:sz w:val="28"/>
          <w:szCs w:val="28"/>
          <w:u w:val="single"/>
        </w:rPr>
        <w:t>（供应商</w:t>
      </w:r>
      <w:r>
        <w:rPr>
          <w:rFonts w:hint="eastAsia" w:ascii="Times New Roman" w:hAnsi="Times New Roman" w:eastAsia="方正仿宋_GBK" w:cs="Times New Roman"/>
          <w:sz w:val="28"/>
          <w:szCs w:val="28"/>
          <w:u w:val="single"/>
          <w:lang w:eastAsia="zh-CN"/>
        </w:rPr>
        <w:t>X</w:t>
      </w:r>
      <w:r>
        <w:rPr>
          <w:rFonts w:hint="eastAsia" w:ascii="Times New Roman" w:hAnsi="Times New Roman" w:eastAsia="方正仿宋_GBK" w:cs="Times New Roman"/>
          <w:sz w:val="28"/>
          <w:szCs w:val="28"/>
          <w:u w:val="single"/>
          <w:lang w:val="en-US" w:eastAsia="zh-CN"/>
        </w:rPr>
        <w:t>X</w:t>
      </w:r>
      <w:r>
        <w:rPr>
          <w:rFonts w:hint="eastAsia" w:ascii="方正仿宋_GBK" w:hAnsi="方正仿宋_GBK" w:eastAsia="方正仿宋_GBK" w:cs="方正仿宋_GBK"/>
          <w:sz w:val="28"/>
          <w:szCs w:val="28"/>
          <w:u w:val="single"/>
        </w:rPr>
        <w:t>）</w:t>
      </w:r>
      <w:r>
        <w:rPr>
          <w:rFonts w:hint="eastAsia" w:ascii="方正仿宋_GBK" w:hAnsi="方正仿宋_GBK" w:eastAsia="方正仿宋_GBK" w:cs="方正仿宋_GBK"/>
          <w:sz w:val="28"/>
          <w:szCs w:val="28"/>
        </w:rPr>
        <w:t>为牵头单位（牵头单位必须为联合体成员）。</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3、其中</w:t>
      </w:r>
      <w:r>
        <w:rPr>
          <w:rFonts w:hint="eastAsia" w:ascii="Times New Roman" w:hAnsi="Times New Roman" w:eastAsia="方正仿宋_GBK" w:cs="Times New Roman"/>
          <w:sz w:val="28"/>
          <w:szCs w:val="28"/>
          <w:u w:val="single"/>
          <w:lang w:val="en-US" w:eastAsia="zh-CN"/>
        </w:rPr>
        <w:t>XX</w:t>
      </w:r>
      <w:r>
        <w:rPr>
          <w:rFonts w:hint="eastAsia" w:ascii="方正仿宋_GBK" w:hAnsi="方正仿宋_GBK" w:eastAsia="方正仿宋_GBK" w:cs="方正仿宋_GBK"/>
          <w:sz w:val="28"/>
          <w:szCs w:val="28"/>
        </w:rPr>
        <w:t>（小型、微型企业/残疾人福利性单位/监狱企业全称）为（</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备注：本磋商文件中要求加盖CA电子公章的地方，仅需加盖牵头单位的CA电子公章。</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p>
    <w:p>
      <w:pPr>
        <w:keepNext w:val="0"/>
        <w:keepLines w:val="0"/>
        <w:pageBreakBefore w:val="0"/>
        <w:widowControl w:val="0"/>
        <w:spacing w:line="400" w:lineRule="exact"/>
        <w:ind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p>
    <w:p>
      <w:pPr>
        <w:keepNext w:val="0"/>
        <w:keepLines w:val="0"/>
        <w:pageBreakBefore w:val="0"/>
        <w:widowControl w:val="0"/>
        <w:spacing w:line="400" w:lineRule="exact"/>
        <w:ind w:left="420"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p>
    <w:p>
      <w:pPr>
        <w:keepNext w:val="0"/>
        <w:keepLines w:val="0"/>
        <w:pageBreakBefore w:val="0"/>
        <w:spacing w:line="400" w:lineRule="exact"/>
        <w:ind w:firstLine="645"/>
        <w:rPr>
          <w:rFonts w:ascii="宋体" w:hAnsi="宋体"/>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spacing w:line="400" w:lineRule="exact"/>
        <w:jc w:val="center"/>
        <w:rPr>
          <w:rFonts w:hint="eastAsia" w:ascii="宋体" w:hAnsi="宋体"/>
          <w:b/>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附件11实质性要求响应及偏离表（采购包号：</w:t>
      </w:r>
      <w:r>
        <w:rPr>
          <w:rFonts w:hint="eastAsia" w:ascii="Times New Roman" w:hAnsi="Times New Roman" w:eastAsia="方正仿宋_GBK" w:cs="Times New Roman"/>
          <w:sz w:val="28"/>
          <w:szCs w:val="28"/>
          <w:u w:val="none"/>
          <w:lang w:eastAsia="zh-CN"/>
        </w:rPr>
        <w:t>XX</w:t>
      </w:r>
      <w:r>
        <w:rPr>
          <w:rFonts w:hint="eastAsia" w:ascii="方正黑体_GBK" w:hAnsi="方正黑体_GBK" w:eastAsia="方正黑体_GBK" w:cs="方正黑体_GBK"/>
          <w:b w:val="0"/>
          <w:bCs/>
          <w:sz w:val="28"/>
          <w:szCs w:val="28"/>
        </w:rPr>
        <w:t>）</w:t>
      </w:r>
    </w:p>
    <w:tbl>
      <w:tblPr>
        <w:tblStyle w:val="2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序号</w:t>
            </w:r>
          </w:p>
        </w:tc>
        <w:tc>
          <w:tcPr>
            <w:tcW w:w="3609"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磋商文件（含技术要求和商务要求）中的实质性要求</w:t>
            </w:r>
            <w:r>
              <w:rPr>
                <w:rFonts w:hint="eastAsia" w:ascii="方正仿宋_GBK" w:hAnsi="方正仿宋_GBK" w:eastAsia="方正仿宋_GBK" w:cs="方正仿宋_GBK"/>
                <w:b/>
                <w:bCs/>
                <w:color w:val="000000"/>
                <w:sz w:val="28"/>
                <w:szCs w:val="28"/>
                <w:lang w:val="en-US" w:eastAsia="zh-CN" w:bidi="ar-SA"/>
              </w:rPr>
              <w:t>（</w:t>
            </w:r>
            <w:r>
              <w:rPr>
                <w:rFonts w:hint="eastAsia" w:ascii="方正仿宋_GBK" w:hAnsi="方正仿宋_GBK" w:eastAsia="方正仿宋_GBK" w:cs="方正仿宋_GBK"/>
                <w:b/>
                <w:bCs/>
                <w:i/>
                <w:color w:val="000000"/>
                <w:sz w:val="28"/>
                <w:szCs w:val="28"/>
                <w:u w:val="single"/>
                <w:lang w:val="en-US" w:eastAsia="zh-CN" w:bidi="ar-SA"/>
              </w:rPr>
              <w:t>斜体且有下划线部分</w:t>
            </w:r>
            <w:r>
              <w:rPr>
                <w:rFonts w:hint="eastAsia" w:ascii="方正仿宋_GBK" w:hAnsi="方正仿宋_GBK" w:eastAsia="方正仿宋_GBK" w:cs="方正仿宋_GBK"/>
                <w:b/>
                <w:bCs/>
                <w:color w:val="000000"/>
                <w:sz w:val="28"/>
                <w:szCs w:val="28"/>
                <w:lang w:val="en-US" w:eastAsia="zh-CN" w:bidi="ar-SA"/>
              </w:rPr>
              <w:t>或加*号条款）</w:t>
            </w:r>
          </w:p>
        </w:tc>
        <w:tc>
          <w:tcPr>
            <w:tcW w:w="3317"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响应情况</w:t>
            </w:r>
          </w:p>
        </w:tc>
        <w:tc>
          <w:tcPr>
            <w:tcW w:w="1526" w:type="dxa"/>
            <w:noWrap w:val="0"/>
            <w:vAlign w:val="center"/>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超出、符合或偏离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1</w:t>
            </w:r>
          </w:p>
        </w:tc>
        <w:tc>
          <w:tcPr>
            <w:tcW w:w="3609"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3317"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526"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2</w:t>
            </w:r>
          </w:p>
        </w:tc>
        <w:tc>
          <w:tcPr>
            <w:tcW w:w="3609"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3317"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526"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3609"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w:t>
            </w:r>
          </w:p>
        </w:tc>
        <w:tc>
          <w:tcPr>
            <w:tcW w:w="3317"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c>
          <w:tcPr>
            <w:tcW w:w="1526" w:type="dxa"/>
            <w:noWrap w:val="0"/>
            <w:vAlign w:val="top"/>
          </w:tcPr>
          <w:p>
            <w:pPr>
              <w:keepNext w:val="0"/>
              <w:keepLines w:val="0"/>
              <w:pageBreakBefore w:val="0"/>
              <w:widowControl w:val="0"/>
              <w:spacing w:line="400" w:lineRule="exact"/>
              <w:jc w:val="center"/>
              <w:rPr>
                <w:rFonts w:hint="eastAsia" w:ascii="方正仿宋_GBK" w:hAnsi="方正仿宋_GBK" w:eastAsia="方正仿宋_GBK" w:cs="方正仿宋_GBK"/>
                <w:color w:val="000000"/>
                <w:sz w:val="28"/>
                <w:szCs w:val="28"/>
                <w:lang w:val="en-US" w:eastAsia="zh-CN" w:bidi="ar-SA"/>
              </w:rPr>
            </w:pPr>
          </w:p>
        </w:tc>
      </w:tr>
    </w:tbl>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附件11-1 证明材料1，证明材料2，……</w:t>
      </w:r>
    </w:p>
    <w:p>
      <w:pPr>
        <w:keepNext w:val="0"/>
        <w:keepLines w:val="0"/>
        <w:pageBreakBefore w:val="0"/>
        <w:spacing w:line="400" w:lineRule="exact"/>
        <w:rPr>
          <w:rFonts w:ascii="宋体" w:hAnsi="宋体"/>
          <w:color w:val="000000"/>
          <w:sz w:val="28"/>
          <w:szCs w:val="28"/>
        </w:rPr>
      </w:pP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备注：</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1.供应商必须对磋商文件（含技术要求和商务要求）中的实质性要求</w:t>
      </w:r>
      <w:r>
        <w:rPr>
          <w:rFonts w:hint="eastAsia" w:ascii="方正仿宋_GBK" w:hAnsi="方正仿宋_GBK" w:eastAsia="方正仿宋_GBK" w:cs="方正仿宋_GBK"/>
          <w:b/>
          <w:bCs/>
          <w:color w:val="000000"/>
          <w:sz w:val="28"/>
          <w:szCs w:val="28"/>
        </w:rPr>
        <w:t>（</w:t>
      </w:r>
      <w:r>
        <w:rPr>
          <w:rFonts w:hint="eastAsia" w:ascii="方正仿宋_GBK" w:hAnsi="方正仿宋_GBK" w:eastAsia="方正仿宋_GBK" w:cs="方正仿宋_GBK"/>
          <w:b/>
          <w:bCs/>
          <w:i/>
          <w:color w:val="000000"/>
          <w:sz w:val="28"/>
          <w:szCs w:val="28"/>
          <w:u w:val="single"/>
        </w:rPr>
        <w:t>斜体且有下划线部分</w:t>
      </w:r>
      <w:r>
        <w:rPr>
          <w:rFonts w:hint="eastAsia" w:ascii="方正仿宋_GBK" w:hAnsi="方正仿宋_GBK" w:eastAsia="方正仿宋_GBK" w:cs="方正仿宋_GBK"/>
          <w:b/>
          <w:bCs/>
          <w:color w:val="000000"/>
          <w:sz w:val="28"/>
          <w:szCs w:val="28"/>
        </w:rPr>
        <w:t>或</w:t>
      </w:r>
      <w:r>
        <w:rPr>
          <w:rFonts w:hint="eastAsia" w:ascii="方正仿宋_GBK" w:hAnsi="方正仿宋_GBK" w:eastAsia="方正仿宋_GBK" w:cs="方正仿宋_GBK"/>
          <w:b/>
          <w:bCs/>
          <w:color w:val="000000"/>
          <w:sz w:val="28"/>
          <w:szCs w:val="28"/>
          <w:lang w:eastAsia="zh-CN"/>
        </w:rPr>
        <w:t>加*号条款</w:t>
      </w:r>
      <w:r>
        <w:rPr>
          <w:rFonts w:hint="eastAsia" w:ascii="方正仿宋_GBK" w:hAnsi="方正仿宋_GBK" w:eastAsia="方正仿宋_GBK" w:cs="方正仿宋_GBK"/>
          <w:b/>
          <w:bCs/>
          <w:color w:val="000000"/>
          <w:sz w:val="28"/>
          <w:szCs w:val="28"/>
        </w:rPr>
        <w:t>）</w:t>
      </w:r>
      <w:r>
        <w:rPr>
          <w:rFonts w:hint="eastAsia" w:ascii="方正仿宋_GBK" w:hAnsi="方正仿宋_GBK" w:eastAsia="方正仿宋_GBK" w:cs="方正仿宋_GBK"/>
          <w:color w:val="000000"/>
          <w:sz w:val="28"/>
          <w:szCs w:val="28"/>
        </w:rPr>
        <w:t>逐条做出明确响应，否则做无效响应处理。</w:t>
      </w:r>
    </w:p>
    <w:p>
      <w:pPr>
        <w:keepNext w:val="0"/>
        <w:keepLines w:val="0"/>
        <w:pageBreakBefore w:val="0"/>
        <w:widowControl w:val="0"/>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2.如果磋商文件要求提供证明材料，供应商必须将证明材料列于该表之下。</w:t>
      </w:r>
    </w:p>
    <w:p>
      <w:pPr>
        <w:keepNext w:val="0"/>
        <w:keepLines w:val="0"/>
        <w:pageBreakBefore w:val="0"/>
        <w:widowControl w:val="0"/>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3.供应商未对实质性要求逐条作出明确响应的</w:t>
      </w:r>
      <w:r>
        <w:rPr>
          <w:rFonts w:hint="eastAsia" w:ascii="方正仿宋_GBK" w:hAnsi="方正仿宋_GBK" w:eastAsia="方正仿宋_GBK" w:cs="方正仿宋_GBK"/>
          <w:sz w:val="28"/>
          <w:szCs w:val="28"/>
        </w:rPr>
        <w:t>，或未按磋商文件要求提供证明材料的，该采购包作无效响应处理。</w:t>
      </w: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rPr>
          <w:rFonts w:hint="eastAsia" w:ascii="宋体" w:hAnsi="宋体"/>
          <w:bCs/>
          <w:sz w:val="28"/>
          <w:szCs w:val="28"/>
        </w:rPr>
      </w:pPr>
    </w:p>
    <w:bookmarkEnd w:id="174"/>
    <w:bookmarkEnd w:id="175"/>
    <w:bookmarkEnd w:id="186"/>
    <w:p>
      <w:pPr>
        <w:keepNext w:val="0"/>
        <w:keepLines w:val="0"/>
        <w:pageBreakBefore w:val="0"/>
        <w:spacing w:line="400" w:lineRule="exact"/>
        <w:rPr>
          <w:rFonts w:hint="eastAsia" w:ascii="宋体" w:hAnsi="宋体"/>
          <w:bCs/>
          <w:sz w:val="28"/>
          <w:szCs w:val="28"/>
        </w:rPr>
      </w:pPr>
    </w:p>
    <w:p>
      <w:pPr>
        <w:keepNext w:val="0"/>
        <w:keepLines w:val="0"/>
        <w:pageBreakBefore w:val="0"/>
        <w:spacing w:line="400" w:lineRule="exact"/>
        <w:jc w:val="center"/>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b/>
          <w:color w:val="000000"/>
          <w:sz w:val="28"/>
          <w:szCs w:val="28"/>
        </w:rPr>
        <w:t>附件</w:t>
      </w:r>
      <w:r>
        <w:rPr>
          <w:rFonts w:hint="eastAsia" w:ascii="方正仿宋_GBK" w:hAnsi="方正仿宋_GBK" w:eastAsia="方正仿宋_GBK" w:cs="方正仿宋_GBK"/>
          <w:b/>
          <w:color w:val="000000"/>
          <w:sz w:val="28"/>
          <w:szCs w:val="28"/>
          <w:lang w:val="en-US" w:eastAsia="zh-CN"/>
        </w:rPr>
        <w:t>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XX</w:t>
      </w:r>
      <w:r>
        <w:rPr>
          <w:rFonts w:hint="eastAsia" w:ascii="方正仿宋_GBK" w:hAnsi="方正仿宋_GBK" w:eastAsia="方正仿宋_GBK" w:cs="方正仿宋_GBK"/>
          <w:b/>
          <w:color w:val="000000"/>
          <w:sz w:val="28"/>
          <w:szCs w:val="28"/>
        </w:rPr>
        <w:t>）</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pacing w:before="0" w:beforeAutospacing="0" w:after="0" w:afterAutospacing="0" w:line="400" w:lineRule="exact"/>
        <w:ind w:left="0" w:right="0" w:firstLine="42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rPr>
        <w:t>本公司（单位）郑重声明，根据《国务院办公厅关于在政府采购中实施本国产品标准及相关政策的通知》（国办发〔2025〕34号）的规定，本公司（单位）提供的以下产品属于本国产品。具体情况如下：</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42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1.</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rPr>
        <w:t>（产品名称1）</w:t>
      </w:r>
      <w:r>
        <w:rPr>
          <w:rStyle w:val="27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1</w:t>
      </w:r>
      <w:r>
        <w:rPr>
          <w:rFonts w:hint="eastAsia" w:ascii="方正仿宋_GBK" w:hAnsi="方正仿宋_GBK" w:eastAsia="方正仿宋_GBK" w:cs="方正仿宋_GBK"/>
          <w:i w:val="0"/>
          <w:iCs w:val="0"/>
          <w:caps w:val="0"/>
          <w:color w:val="000000"/>
          <w:spacing w:val="0"/>
          <w:sz w:val="28"/>
          <w:szCs w:val="28"/>
          <w:shd w:val="clear" w:color="auto" w:fill="FFFFFF"/>
        </w:rPr>
        <w:t>，生产厂为</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rPr>
        <w:t>（厂名）</w:t>
      </w:r>
      <w:r>
        <w:rPr>
          <w:rStyle w:val="27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2</w:t>
      </w:r>
      <w:r>
        <w:rPr>
          <w:rFonts w:hint="eastAsia" w:ascii="方正仿宋_GBK" w:hAnsi="方正仿宋_GBK" w:eastAsia="方正仿宋_GBK" w:cs="方正仿宋_GBK"/>
          <w:i w:val="0"/>
          <w:iCs w:val="0"/>
          <w:caps w:val="0"/>
          <w:color w:val="000000"/>
          <w:spacing w:val="0"/>
          <w:sz w:val="28"/>
          <w:szCs w:val="28"/>
          <w:shd w:val="clear" w:color="auto" w:fill="FFFFFF"/>
        </w:rPr>
        <w:t>，厂址为</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rPr>
        <w:t>（生产厂址）</w:t>
      </w:r>
      <w:r>
        <w:rPr>
          <w:rFonts w:hint="eastAsia" w:ascii="方正仿宋_GBK" w:hAnsi="方正仿宋_GBK" w:eastAsia="方正仿宋_GBK" w:cs="方正仿宋_GBK"/>
          <w:i w:val="0"/>
          <w:iCs w:val="0"/>
          <w:caps w:val="0"/>
          <w:color w:val="000000"/>
          <w:spacing w:val="0"/>
          <w:sz w:val="28"/>
          <w:szCs w:val="28"/>
          <w:shd w:val="clear" w:color="auto" w:fill="FFFFFF"/>
        </w:rPr>
        <w:t>。</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3</w:t>
      </w:r>
      <w:r>
        <w:rPr>
          <w:rFonts w:hint="eastAsia" w:ascii="方正仿宋_GBK" w:hAnsi="方正仿宋_GBK" w:eastAsia="方正仿宋_GBK" w:cs="方正仿宋_GBK"/>
          <w:i w:val="0"/>
          <w:iCs w:val="0"/>
          <w:caps w:val="0"/>
          <w:color w:val="000000"/>
          <w:spacing w:val="0"/>
          <w:sz w:val="28"/>
          <w:szCs w:val="28"/>
          <w:shd w:val="clear" w:color="auto" w:fill="FFFFFF"/>
        </w:rPr>
        <w:t>。</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4</w:t>
      </w:r>
      <w:r>
        <w:rPr>
          <w:rFonts w:hint="eastAsia" w:ascii="方正仿宋_GBK" w:hAnsi="方正仿宋_GBK" w:eastAsia="方正仿宋_GBK" w:cs="方正仿宋_GBK"/>
          <w:i w:val="0"/>
          <w:iCs w:val="0"/>
          <w:caps w:val="0"/>
          <w:color w:val="000000"/>
          <w:spacing w:val="0"/>
          <w:sz w:val="28"/>
          <w:szCs w:val="28"/>
          <w:shd w:val="clear" w:color="auto" w:fill="FFFFFF"/>
        </w:rPr>
        <w:t>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5</w:t>
      </w:r>
      <w:r>
        <w:rPr>
          <w:rFonts w:hint="eastAsia" w:ascii="方正仿宋_GBK" w:hAnsi="方正仿宋_GBK" w:eastAsia="方正仿宋_GBK" w:cs="方正仿宋_GBK"/>
          <w:i w:val="0"/>
          <w:iCs w:val="0"/>
          <w:caps w:val="0"/>
          <w:color w:val="000000"/>
          <w:spacing w:val="0"/>
          <w:sz w:val="28"/>
          <w:szCs w:val="28"/>
          <w:shd w:val="clear" w:color="auto" w:fill="FFFFFF"/>
        </w:rPr>
        <w:t>在中国境内完成。</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42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2</w:t>
      </w:r>
      <w:r>
        <w:rPr>
          <w:rFonts w:hint="eastAsia" w:ascii="方正仿宋_GBK" w:hAnsi="方正仿宋_GBK" w:eastAsia="方正仿宋_GBK" w:cs="方正仿宋_GBK"/>
          <w:i w:val="0"/>
          <w:iCs w:val="0"/>
          <w:caps w:val="0"/>
          <w:color w:val="000000"/>
          <w:spacing w:val="0"/>
          <w:sz w:val="28"/>
          <w:szCs w:val="28"/>
          <w:shd w:val="clear" w:color="auto" w:fill="FFFFFF"/>
        </w:rPr>
        <w:t>.</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rPr>
        <w:t>（产品名称</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2</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rPr>
        <w:t>）</w:t>
      </w:r>
      <w:r>
        <w:rPr>
          <w:rFonts w:hint="eastAsia" w:ascii="方正仿宋_GBK" w:hAnsi="方正仿宋_GBK" w:eastAsia="方正仿宋_GBK" w:cs="方正仿宋_GBK"/>
          <w:i w:val="0"/>
          <w:iCs w:val="0"/>
          <w:caps w:val="0"/>
          <w:color w:val="000000"/>
          <w:spacing w:val="0"/>
          <w:sz w:val="28"/>
          <w:szCs w:val="28"/>
          <w:shd w:val="clear" w:color="auto" w:fill="FFFFFF"/>
        </w:rPr>
        <w:t>，生产厂为</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rPr>
        <w:t>（厂名）</w:t>
      </w:r>
      <w:r>
        <w:rPr>
          <w:rFonts w:hint="eastAsia" w:ascii="方正仿宋_GBK" w:hAnsi="方正仿宋_GBK" w:eastAsia="方正仿宋_GBK" w:cs="方正仿宋_GBK"/>
          <w:i w:val="0"/>
          <w:iCs w:val="0"/>
          <w:caps w:val="0"/>
          <w:color w:val="000000"/>
          <w:spacing w:val="0"/>
          <w:sz w:val="28"/>
          <w:szCs w:val="28"/>
          <w:shd w:val="clear" w:color="auto" w:fill="FFFFFF"/>
        </w:rPr>
        <w:t>，厂址为</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rPr>
        <w:t>（生产厂址）</w:t>
      </w:r>
      <w:r>
        <w:rPr>
          <w:rFonts w:hint="eastAsia" w:ascii="方正仿宋_GBK" w:hAnsi="方正仿宋_GBK" w:eastAsia="方正仿宋_GBK" w:cs="方正仿宋_GBK"/>
          <w:i w:val="0"/>
          <w:iCs w:val="0"/>
          <w:caps w:val="0"/>
          <w:color w:val="000000"/>
          <w:spacing w:val="0"/>
          <w:sz w:val="28"/>
          <w:szCs w:val="28"/>
          <w:shd w:val="clear" w:color="auto" w:fill="FFFFFF"/>
        </w:rPr>
        <w:t>。</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在中国境内完成。</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42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42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本公司（单位）对上述声明内容的真实性负责。如有虚假，愿承担相应法律责任。</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0"/>
        <w:rPr>
          <w:rFonts w:hint="eastAsia" w:ascii="方正仿宋_GBK" w:hAnsi="方正仿宋_GBK" w:eastAsia="方正仿宋_GBK" w:cs="方正仿宋_GBK"/>
          <w:i w:val="0"/>
          <w:iCs w:val="0"/>
          <w:caps w:val="0"/>
          <w:color w:val="000000"/>
          <w:spacing w:val="0"/>
          <w:sz w:val="28"/>
          <w:szCs w:val="28"/>
        </w:rPr>
      </w:pP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0"/>
        <w:jc w:val="cente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CA电子公章</w:t>
      </w:r>
      <w:r>
        <w:rPr>
          <w:rFonts w:hint="eastAsia" w:ascii="方正仿宋_GBK" w:hAnsi="方正仿宋_GBK" w:eastAsia="方正仿宋_GBK" w:cs="方正仿宋_GBK"/>
          <w:i w:val="0"/>
          <w:iCs w:val="0"/>
          <w:caps w:val="0"/>
          <w:color w:val="000000"/>
          <w:spacing w:val="0"/>
          <w:sz w:val="28"/>
          <w:szCs w:val="28"/>
          <w:shd w:val="clear" w:color="auto" w:fill="FFFFFF"/>
        </w:rPr>
        <w:t>）：　        日期：</w:t>
      </w:r>
      <w:r>
        <w:rPr>
          <w:rFonts w:hint="eastAsia" w:ascii="方正仿宋_GBK" w:hAnsi="方正仿宋_GBK" w:eastAsia="方正仿宋_GBK" w:cs="方正仿宋_GBK"/>
          <w:color w:val="000000"/>
          <w:sz w:val="28"/>
          <w:szCs w:val="28"/>
        </w:rPr>
        <w:t>____年____月____日</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0"/>
        <w:jc w:val="center"/>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       </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left="0" w:right="0" w:firstLine="0"/>
        <w:jc w:val="left"/>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__________________</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1.产品如有型号，请在“产品名称”栏一并填写。</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2.生产厂名与厂址应与生产厂营业执照载明的相关信息保持一致。</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3.该产品的中国境内生产的组件成本占比相关要求实施前，“规定比例”栏可不填，下同。</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firstLine="560"/>
        <w:rPr>
          <w:rFonts w:hint="eastAsia" w:ascii="方正仿宋_GBK" w:hAnsi="方正仿宋_GBK" w:eastAsia="方正仿宋_GBK" w:cs="方正仿宋_GBK"/>
          <w:i w:val="0"/>
          <w:iCs w:val="0"/>
          <w:caps w:val="0"/>
          <w:color w:val="000000"/>
          <w:spacing w:val="0"/>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rPr>
        <w:t>4.该产品的关键组件要求实施前，“关键组件”栏可不填，下同。</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firstLine="560"/>
        <w:rPr>
          <w:rFonts w:hint="eastAsia" w:ascii="方正仿宋_GBK" w:hAnsi="方正仿宋_GBK" w:eastAsia="方正仿宋_GBK" w:cs="方正仿宋_GBK"/>
          <w:i w:val="0"/>
          <w:iCs w:val="0"/>
          <w:caps w:val="0"/>
          <w:color w:val="000000"/>
          <w:spacing w:val="0"/>
          <w:sz w:val="28"/>
          <w:szCs w:val="28"/>
          <w:shd w:val="clear" w:color="auto" w:fill="FFFFFF"/>
        </w:rPr>
      </w:pPr>
      <w:r>
        <w:rPr>
          <w:rFonts w:hint="eastAsia" w:ascii="方正仿宋_GBK" w:hAnsi="方正仿宋_GBK" w:eastAsia="方正仿宋_GBK" w:cs="方正仿宋_GBK"/>
          <w:i w:val="0"/>
          <w:iCs w:val="0"/>
          <w:caps w:val="0"/>
          <w:color w:val="000000"/>
          <w:spacing w:val="0"/>
          <w:sz w:val="28"/>
          <w:szCs w:val="28"/>
          <w:shd w:val="clear" w:color="auto" w:fill="FFFFFF"/>
        </w:rPr>
        <w:t>5.该产品的关键工序要求实施前，“关键工序”栏可不填，下同。</w:t>
      </w:r>
    </w:p>
    <w:p>
      <w:pPr>
        <w:pStyle w:val="26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auto"/>
        <w:spacing w:before="30" w:beforeAutospacing="0" w:after="30" w:afterAutospacing="0" w:line="400" w:lineRule="exact"/>
        <w:ind w:right="0" w:firstLine="560"/>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279"/>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”的地方不填。</w:t>
      </w:r>
    </w:p>
    <w:p>
      <w:pPr>
        <w:keepNext w:val="0"/>
        <w:keepLines w:val="0"/>
        <w:pageBreakBefore w:val="0"/>
        <w:spacing w:line="400" w:lineRule="exact"/>
        <w:jc w:val="center"/>
        <w:rPr>
          <w:rFonts w:hint="eastAsia" w:ascii="宋体" w:hAnsi="宋体" w:cs="仿宋"/>
          <w:b/>
          <w:bCs/>
          <w:sz w:val="28"/>
          <w:szCs w:val="28"/>
        </w:rPr>
      </w:pPr>
    </w:p>
    <w:p>
      <w:pPr>
        <w:keepNext w:val="0"/>
        <w:keepLines w:val="0"/>
        <w:pageBreakBefore w:val="0"/>
        <w:spacing w:line="400" w:lineRule="exact"/>
        <w:jc w:val="center"/>
        <w:rPr>
          <w:rFonts w:hint="eastAsia" w:ascii="宋体" w:hAnsi="宋体" w:cs="仿宋"/>
          <w:b/>
          <w:bCs/>
          <w:sz w:val="28"/>
          <w:szCs w:val="28"/>
        </w:rPr>
      </w:pPr>
    </w:p>
    <w:p>
      <w:pPr>
        <w:keepNext w:val="0"/>
        <w:keepLines w:val="0"/>
        <w:pageBreakBefore w:val="0"/>
        <w:spacing w:line="400" w:lineRule="exact"/>
        <w:jc w:val="center"/>
        <w:rPr>
          <w:rFonts w:hint="eastAsia" w:ascii="宋体" w:hAnsi="宋体" w:cs="仿宋"/>
          <w:b/>
          <w:bCs/>
          <w:sz w:val="28"/>
          <w:szCs w:val="28"/>
        </w:rPr>
      </w:pPr>
    </w:p>
    <w:p>
      <w:pPr>
        <w:keepNext w:val="0"/>
        <w:keepLines w:val="0"/>
        <w:pageBreakBefore w:val="0"/>
        <w:spacing w:line="400" w:lineRule="exact"/>
        <w:jc w:val="center"/>
        <w:rPr>
          <w:rFonts w:hint="eastAsia" w:ascii="宋体" w:hAnsi="宋体" w:cs="仿宋"/>
          <w:b/>
          <w:bCs/>
          <w:sz w:val="28"/>
          <w:szCs w:val="28"/>
        </w:rPr>
      </w:pPr>
    </w:p>
    <w:p>
      <w:pPr>
        <w:keepNext w:val="0"/>
        <w:keepLines w:val="0"/>
        <w:pageBreakBefore w:val="0"/>
        <w:spacing w:line="400" w:lineRule="exact"/>
        <w:jc w:val="center"/>
        <w:rPr>
          <w:rFonts w:hint="eastAsia" w:ascii="宋体" w:hAnsi="宋体" w:cs="仿宋"/>
          <w:b/>
          <w:bCs/>
          <w:sz w:val="28"/>
          <w:szCs w:val="28"/>
        </w:rPr>
      </w:pPr>
    </w:p>
    <w:p>
      <w:pPr>
        <w:keepNext w:val="0"/>
        <w:keepLines w:val="0"/>
        <w:pageBreakBefore w:val="0"/>
        <w:spacing w:line="400" w:lineRule="exact"/>
        <w:jc w:val="both"/>
        <w:rPr>
          <w:rFonts w:hint="eastAsia" w:ascii="宋体" w:hAnsi="宋体" w:cs="仿宋"/>
          <w:b/>
          <w:bCs/>
          <w:sz w:val="28"/>
          <w:szCs w:val="28"/>
        </w:rPr>
      </w:pPr>
    </w:p>
    <w:p>
      <w:pPr>
        <w:keepNext w:val="0"/>
        <w:keepLines w:val="0"/>
        <w:pageBreakBefore w:val="0"/>
        <w:spacing w:line="400" w:lineRule="exact"/>
        <w:jc w:val="both"/>
        <w:rPr>
          <w:rFonts w:hint="eastAsia" w:ascii="宋体" w:hAnsi="宋体" w:cs="仿宋"/>
          <w:b/>
          <w:bCs/>
          <w:sz w:val="28"/>
          <w:szCs w:val="28"/>
        </w:rPr>
      </w:pPr>
    </w:p>
    <w:p>
      <w:pPr>
        <w:keepNext w:val="0"/>
        <w:keepLines w:val="0"/>
        <w:pageBreakBefore w:val="0"/>
        <w:widowControl w:val="0"/>
        <w:spacing w:line="400" w:lineRule="exact"/>
        <w:jc w:val="center"/>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质疑函范本</w:t>
      </w:r>
    </w:p>
    <w:p>
      <w:pPr>
        <w:keepNext w:val="0"/>
        <w:keepLines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一、质疑供应商基本信息</w:t>
      </w:r>
    </w:p>
    <w:p>
      <w:pPr>
        <w:keepNext w:val="0"/>
        <w:keepLines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质疑供应商：</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邮编：</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联系电话：</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授权代表：</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联系电话：</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邮编：</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二、质疑项目基本情况</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质疑项目的名称：</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包号：</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采购人名称：</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采购文件获取日期：</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三、质疑事项具体内容</w:t>
      </w:r>
    </w:p>
    <w:p>
      <w:pPr>
        <w:keepNext w:val="0"/>
        <w:keepLines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质疑事项1：</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事实依据：</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法律依据：</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质疑事项2</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p>
    <w:p>
      <w:pPr>
        <w:keepNext w:val="0"/>
        <w:keepLines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四、与质疑事项相关的质疑请求</w:t>
      </w:r>
    </w:p>
    <w:p>
      <w:pPr>
        <w:keepNext w:val="0"/>
        <w:keepLines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请求：</w:t>
      </w:r>
      <w:r>
        <w:rPr>
          <w:rFonts w:hint="eastAsia" w:ascii="方正仿宋_GBK" w:hAnsi="方正仿宋_GBK" w:eastAsia="方正仿宋_GBK" w:cs="方正仿宋_GBK"/>
          <w:sz w:val="28"/>
          <w:szCs w:val="28"/>
          <w:u w:val="single"/>
        </w:rPr>
        <w:t xml:space="preserve">                                                                     </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p>
    <w:p>
      <w:pPr>
        <w:keepNext w:val="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p>
    <w:p>
      <w:pPr>
        <w:keepNext w:val="0"/>
        <w:keepLines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质疑函制作说明：</w:t>
      </w:r>
    </w:p>
    <w:p>
      <w:pPr>
        <w:keepNext w:val="0"/>
        <w:keepLines w:val="0"/>
        <w:pageBreakBefore w:val="0"/>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1.供应商提出质疑时，应提交质疑函和必要的证明材料。</w:t>
      </w:r>
    </w:p>
    <w:p>
      <w:pPr>
        <w:keepNext w:val="0"/>
        <w:keepLines w:val="0"/>
        <w:pageBreakBefore w:val="0"/>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keepNext w:val="0"/>
        <w:keepLines w:val="0"/>
        <w:pageBreakBefore w:val="0"/>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3.质疑供应商若对项目的某一采购包进行质疑，质疑函中应列明具体采购包号。</w:t>
      </w:r>
    </w:p>
    <w:p>
      <w:pPr>
        <w:keepNext w:val="0"/>
        <w:keepLines w:val="0"/>
        <w:pageBreakBefore w:val="0"/>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4.质疑函的质疑事项应具体、明确，并有必要的事实依据和法律依据。</w:t>
      </w:r>
    </w:p>
    <w:p>
      <w:pPr>
        <w:keepNext w:val="0"/>
        <w:keepLines w:val="0"/>
        <w:pageBreakBefore w:val="0"/>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5.质疑函的质疑请求应与质疑事项相关。</w:t>
      </w:r>
    </w:p>
    <w:p>
      <w:pPr>
        <w:keepNext w:val="0"/>
        <w:keepLines w:val="0"/>
        <w:pageBreakBefore w:val="0"/>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6.质疑供应商为自然人的，质疑函应由本人签字；质疑供应商为法人或者其他组织的，质疑函应由法定代表人、主要负责人，或者其授权代表签字或者盖章，并加盖公章。</w:t>
      </w:r>
    </w:p>
    <w:sectPr>
      <w:footerReference r:id="rId6"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2"/>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2"/>
      <w:framePr w:wrap="around" w:vAnchor="text" w:hAnchor="margin" w:xAlign="center" w:y="1"/>
      <w:rPr>
        <w:rStyle w:val="277"/>
      </w:rPr>
    </w:pPr>
    <w:r>
      <w:fldChar w:fldCharType="begin"/>
    </w:r>
    <w:r>
      <w:rPr>
        <w:rStyle w:val="277"/>
      </w:rPr>
      <w:instrText xml:space="preserve">PAGE  </w:instrText>
    </w:r>
    <w:r>
      <w:fldChar w:fldCharType="separate"/>
    </w:r>
    <w:r>
      <w:rPr>
        <w:rStyle w:val="277"/>
      </w:rPr>
      <w:t>1</w:t>
    </w:r>
    <w:r>
      <w:fldChar w:fldCharType="end"/>
    </w:r>
  </w:p>
  <w:p>
    <w:pPr>
      <w:pStyle w:val="25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2"/>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52"/>
                            <w:tabs>
                              <w:tab w:val="clear" w:pos="4153"/>
                              <w:tab w:val="clear" w:pos="8306"/>
                            </w:tabs>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pPr>
                      <w:pStyle w:val="252"/>
                      <w:tabs>
                        <w:tab w:val="clear" w:pos="4153"/>
                        <w:tab w:val="clear" w:pos="8306"/>
                      </w:tabs>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p/>
                  <w:p/>
                </w:txbxContent>
              </v:textbox>
            </v:shape>
          </w:pict>
        </mc:Fallback>
      </mc:AlternateContent>
    </w:r>
    <w:r>
      <w:rPr>
        <w:b/>
        <w:i/>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248C179"/>
    <w:multiLevelType w:val="multilevel"/>
    <w:tmpl w:val="0248C179"/>
    <w:lvl w:ilvl="0" w:tentative="0">
      <w:start w:val="1"/>
      <w:numFmt w:val="decimal"/>
      <w:pStyle w:val="30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25B654F3"/>
    <w:multiLevelType w:val="multilevel"/>
    <w:tmpl w:val="25B654F3"/>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20"/>
      <w:suff w:val="nothing"/>
      <w:lvlText w:val=""/>
      <w:lvlJc w:val="left"/>
      <w:pPr>
        <w:ind w:left="0" w:firstLine="0"/>
      </w:pPr>
      <w:rPr>
        <w:rFonts w:hint="eastAsia"/>
      </w:rPr>
    </w:lvl>
    <w:lvl w:ilvl="6" w:tentative="0">
      <w:start w:val="1"/>
      <w:numFmt w:val="decimal"/>
      <w:pStyle w:val="222"/>
      <w:suff w:val="nothing"/>
      <w:lvlText w:val=""/>
      <w:lvlJc w:val="left"/>
      <w:pPr>
        <w:ind w:left="0" w:firstLine="0"/>
      </w:pPr>
      <w:rPr>
        <w:rFonts w:hint="eastAsia"/>
      </w:rPr>
    </w:lvl>
    <w:lvl w:ilvl="7" w:tentative="0">
      <w:start w:val="1"/>
      <w:numFmt w:val="decimal"/>
      <w:pStyle w:val="224"/>
      <w:suff w:val="nothing"/>
      <w:lvlText w:val=""/>
      <w:lvlJc w:val="left"/>
      <w:pPr>
        <w:ind w:left="0" w:firstLine="0"/>
      </w:pPr>
      <w:rPr>
        <w:rFonts w:hint="eastAsia"/>
      </w:rPr>
    </w:lvl>
    <w:lvl w:ilvl="8" w:tentative="0">
      <w:start w:val="1"/>
      <w:numFmt w:val="decimal"/>
      <w:pStyle w:val="226"/>
      <w:suff w:val="nothing"/>
      <w:lvlText w:val=""/>
      <w:lvlJc w:val="left"/>
      <w:pPr>
        <w:ind w:left="0" w:firstLine="0"/>
      </w:pPr>
      <w:rPr>
        <w:rFonts w:hint="eastAsia"/>
      </w:rPr>
    </w:lvl>
  </w:abstractNum>
  <w:abstractNum w:abstractNumId="3">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72183CF9"/>
    <w:multiLevelType w:val="multilevel"/>
    <w:tmpl w:val="72183CF9"/>
    <w:lvl w:ilvl="0" w:tentative="0">
      <w:start w:val="1"/>
      <w:numFmt w:val="upperLetter"/>
      <w:pStyle w:val="29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2ZWZmN2QyMWVlMGQ5YWY2NDk3NzNkMDYwNmI2ZjMifQ=="/>
  </w:docVars>
  <w:rsids>
    <w:rsidRoot w:val="00000000"/>
    <w:rsid w:val="68B74B85"/>
    <w:rsid w:val="6DD2631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19"/>
    <w:autoRedefine/>
    <w:qFormat/>
    <w:uiPriority w:val="0"/>
    <w:pPr>
      <w:widowControl w:val="0"/>
      <w:jc w:val="both"/>
    </w:pPr>
    <w:rPr>
      <w:rFonts w:hint="default" w:ascii="Calibri" w:hAnsi="Calibri" w:eastAsia="宋体" w:cs="Times New Roman"/>
      <w:sz w:val="21"/>
      <w:szCs w:val="22"/>
      <w:lang w:eastAsia="zh-CN"/>
    </w:rPr>
  </w:style>
  <w:style w:type="paragraph" w:styleId="3">
    <w:name w:val="heading 1"/>
    <w:basedOn w:val="1"/>
    <w:next w:val="1"/>
    <w:link w:val="59"/>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60"/>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1"/>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62"/>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3"/>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4"/>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5"/>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6"/>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7"/>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customStyle="1" w:styleId="2">
    <w:name w:val="正文文本11"/>
    <w:basedOn w:val="1"/>
    <w:next w:val="1"/>
    <w:autoRedefine/>
    <w:qFormat/>
    <w:uiPriority w:val="0"/>
    <w:rPr>
      <w:rFonts w:ascii="楷体_GB2312" w:eastAsia="楷体_GB2312"/>
      <w:sz w:val="28"/>
      <w:szCs w:val="28"/>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autoRedefine/>
    <w:semiHidden/>
    <w:unhideWhenUsed/>
    <w:qFormat/>
    <w:uiPriority w:val="35"/>
    <w:pPr>
      <w:spacing w:line="276" w:lineRule="auto"/>
    </w:pPr>
    <w:rPr>
      <w:b/>
      <w:bCs/>
      <w:color w:val="4F81BD" w:themeColor="accent1"/>
      <w:sz w:val="18"/>
      <w:szCs w:val="18"/>
    </w:rPr>
  </w:style>
  <w:style w:type="paragraph" w:styleId="14">
    <w:name w:val="toc 5"/>
    <w:basedOn w:val="1"/>
    <w:next w:val="1"/>
    <w:autoRedefine/>
    <w:unhideWhenUsed/>
    <w:qFormat/>
    <w:uiPriority w:val="39"/>
    <w:pPr>
      <w:spacing w:after="57"/>
      <w:ind w:left="1134" w:right="0" w:firstLine="0"/>
    </w:pPr>
  </w:style>
  <w:style w:type="paragraph" w:styleId="15">
    <w:name w:val="toc 3"/>
    <w:basedOn w:val="1"/>
    <w:next w:val="1"/>
    <w:autoRedefine/>
    <w:unhideWhenUsed/>
    <w:uiPriority w:val="39"/>
    <w:pPr>
      <w:spacing w:after="57"/>
      <w:ind w:left="567" w:right="0" w:firstLine="0"/>
    </w:pPr>
  </w:style>
  <w:style w:type="paragraph" w:styleId="16">
    <w:name w:val="toc 8"/>
    <w:basedOn w:val="1"/>
    <w:next w:val="1"/>
    <w:autoRedefine/>
    <w:unhideWhenUsed/>
    <w:qFormat/>
    <w:uiPriority w:val="39"/>
    <w:pPr>
      <w:spacing w:after="57"/>
      <w:ind w:left="1984" w:right="0" w:firstLine="0"/>
    </w:pPr>
  </w:style>
  <w:style w:type="paragraph" w:styleId="17">
    <w:name w:val="endnote text"/>
    <w:basedOn w:val="1"/>
    <w:autoRedefine/>
    <w:semiHidden/>
    <w:unhideWhenUsed/>
    <w:qFormat/>
    <w:uiPriority w:val="99"/>
    <w:pPr>
      <w:spacing w:after="0" w:line="240" w:lineRule="auto"/>
    </w:pPr>
    <w:rPr>
      <w:sz w:val="20"/>
    </w:rPr>
  </w:style>
  <w:style w:type="paragraph" w:styleId="18">
    <w:name w:val="footer"/>
    <w:basedOn w:val="1"/>
    <w:autoRedefine/>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autoRedefine/>
    <w:unhideWhenUsed/>
    <w:uiPriority w:val="39"/>
    <w:pPr>
      <w:spacing w:after="57"/>
      <w:ind w:left="0" w:right="0" w:firstLine="0"/>
    </w:pPr>
  </w:style>
  <w:style w:type="paragraph" w:styleId="21">
    <w:name w:val="toc 4"/>
    <w:basedOn w:val="1"/>
    <w:next w:val="1"/>
    <w:autoRedefine/>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autoRedefine/>
    <w:semiHidden/>
    <w:unhideWhenUsed/>
    <w:qFormat/>
    <w:uiPriority w:val="99"/>
    <w:pPr>
      <w:spacing w:after="40" w:line="240" w:lineRule="auto"/>
    </w:pPr>
    <w:rPr>
      <w:sz w:val="18"/>
    </w:rPr>
  </w:style>
  <w:style w:type="paragraph" w:styleId="24">
    <w:name w:val="toc 6"/>
    <w:basedOn w:val="1"/>
    <w:next w:val="1"/>
    <w:autoRedefine/>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autoRedefine/>
    <w:unhideWhenUsed/>
    <w:uiPriority w:val="39"/>
    <w:pPr>
      <w:spacing w:after="57"/>
      <w:ind w:left="283" w:right="0" w:firstLine="0"/>
    </w:pPr>
  </w:style>
  <w:style w:type="paragraph" w:styleId="27">
    <w:name w:val="toc 9"/>
    <w:basedOn w:val="1"/>
    <w:next w:val="1"/>
    <w:autoRedefine/>
    <w:unhideWhenUsed/>
    <w:qFormat/>
    <w:uiPriority w:val="39"/>
    <w:pPr>
      <w:spacing w:after="57"/>
      <w:ind w:left="2268" w:right="0" w:firstLine="0"/>
    </w:pPr>
  </w:style>
  <w:style w:type="paragraph" w:styleId="28">
    <w:name w:val="Title"/>
    <w:basedOn w:val="1"/>
    <w:next w:val="1"/>
    <w:autoRedefine/>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autoRedefine/>
    <w:semiHidden/>
    <w:unhideWhenUsed/>
    <w:qFormat/>
    <w:uiPriority w:val="99"/>
    <w:rPr>
      <w:vertAlign w:val="superscript"/>
    </w:rPr>
  </w:style>
  <w:style w:type="character" w:styleId="33">
    <w:name w:val="Hyperlink"/>
    <w:autoRedefine/>
    <w:unhideWhenUsed/>
    <w:uiPriority w:val="99"/>
    <w:rPr>
      <w:color w:val="0000FF" w:themeColor="hyperlink"/>
      <w:u w:val="single"/>
    </w:rPr>
  </w:style>
  <w:style w:type="character" w:styleId="34">
    <w:name w:val="footnote reference"/>
    <w:autoRedefine/>
    <w:unhideWhenUsed/>
    <w:qFormat/>
    <w:uiPriority w:val="99"/>
    <w:rPr>
      <w:vertAlign w:val="superscript"/>
    </w:rPr>
  </w:style>
  <w:style w:type="character" w:customStyle="1" w:styleId="35">
    <w:name w:val="默认段落字体11"/>
    <w:link w:val="1"/>
    <w:autoRedefine/>
    <w:unhideWhenUsed/>
    <w:qFormat/>
    <w:uiPriority w:val="1"/>
  </w:style>
  <w:style w:type="table" w:customStyle="1" w:styleId="36">
    <w:name w:val="普通表格11"/>
    <w:autoRedefine/>
    <w:unhideWhenUsed/>
    <w:qFormat/>
    <w:uiPriority w:val="99"/>
  </w:style>
  <w:style w:type="paragraph" w:customStyle="1" w:styleId="37">
    <w:name w:val="目录 711"/>
    <w:basedOn w:val="1"/>
    <w:next w:val="1"/>
    <w:autoRedefine/>
    <w:unhideWhenUsed/>
    <w:qFormat/>
    <w:uiPriority w:val="39"/>
    <w:pPr>
      <w:spacing w:after="57"/>
      <w:ind w:left="1701" w:right="0" w:firstLine="0"/>
    </w:pPr>
  </w:style>
  <w:style w:type="paragraph" w:customStyle="1" w:styleId="38">
    <w:name w:val="目录 511"/>
    <w:basedOn w:val="1"/>
    <w:next w:val="1"/>
    <w:autoRedefine/>
    <w:unhideWhenUsed/>
    <w:qFormat/>
    <w:uiPriority w:val="39"/>
    <w:pPr>
      <w:spacing w:after="57"/>
      <w:ind w:left="1134" w:right="0" w:firstLine="0"/>
    </w:pPr>
  </w:style>
  <w:style w:type="paragraph" w:customStyle="1" w:styleId="39">
    <w:name w:val="目录 311"/>
    <w:basedOn w:val="1"/>
    <w:next w:val="1"/>
    <w:autoRedefine/>
    <w:unhideWhenUsed/>
    <w:qFormat/>
    <w:uiPriority w:val="39"/>
    <w:pPr>
      <w:spacing w:after="57"/>
      <w:ind w:left="567" w:right="0" w:firstLine="0"/>
    </w:pPr>
  </w:style>
  <w:style w:type="paragraph" w:customStyle="1" w:styleId="40">
    <w:name w:val="目录 811"/>
    <w:basedOn w:val="1"/>
    <w:next w:val="1"/>
    <w:autoRedefine/>
    <w:unhideWhenUsed/>
    <w:qFormat/>
    <w:uiPriority w:val="39"/>
    <w:pPr>
      <w:spacing w:after="57"/>
      <w:ind w:left="1984" w:right="0" w:firstLine="0"/>
    </w:pPr>
  </w:style>
  <w:style w:type="paragraph" w:customStyle="1" w:styleId="41">
    <w:name w:val="尾注文本1"/>
    <w:basedOn w:val="1"/>
    <w:link w:val="42"/>
    <w:autoRedefine/>
    <w:unhideWhenUsed/>
    <w:qFormat/>
    <w:uiPriority w:val="99"/>
    <w:pPr>
      <w:spacing w:after="0" w:line="240" w:lineRule="auto"/>
    </w:pPr>
    <w:rPr>
      <w:sz w:val="20"/>
    </w:rPr>
  </w:style>
  <w:style w:type="character" w:customStyle="1" w:styleId="42">
    <w:name w:val="Endnote Text Char"/>
    <w:link w:val="41"/>
    <w:autoRedefine/>
    <w:qFormat/>
    <w:uiPriority w:val="99"/>
    <w:rPr>
      <w:sz w:val="20"/>
    </w:rPr>
  </w:style>
  <w:style w:type="paragraph" w:customStyle="1" w:styleId="43">
    <w:name w:val="目录 111"/>
    <w:basedOn w:val="1"/>
    <w:next w:val="1"/>
    <w:autoRedefine/>
    <w:unhideWhenUsed/>
    <w:qFormat/>
    <w:uiPriority w:val="39"/>
    <w:pPr>
      <w:spacing w:after="57"/>
      <w:ind w:left="0" w:right="0" w:firstLine="0"/>
    </w:pPr>
  </w:style>
  <w:style w:type="paragraph" w:customStyle="1" w:styleId="44">
    <w:name w:val="目录 411"/>
    <w:basedOn w:val="1"/>
    <w:next w:val="1"/>
    <w:autoRedefine/>
    <w:unhideWhenUsed/>
    <w:qFormat/>
    <w:uiPriority w:val="39"/>
    <w:pPr>
      <w:spacing w:after="57"/>
      <w:ind w:left="850" w:right="0" w:firstLine="0"/>
    </w:pPr>
  </w:style>
  <w:style w:type="paragraph" w:customStyle="1" w:styleId="45">
    <w:name w:val="副标题1"/>
    <w:basedOn w:val="1"/>
    <w:next w:val="1"/>
    <w:link w:val="46"/>
    <w:autoRedefine/>
    <w:qFormat/>
    <w:uiPriority w:val="11"/>
    <w:pPr>
      <w:spacing w:before="200" w:after="200"/>
    </w:pPr>
    <w:rPr>
      <w:sz w:val="24"/>
      <w:szCs w:val="24"/>
    </w:rPr>
  </w:style>
  <w:style w:type="character" w:customStyle="1" w:styleId="46">
    <w:name w:val="Subtitle Char"/>
    <w:link w:val="45"/>
    <w:autoRedefine/>
    <w:qFormat/>
    <w:uiPriority w:val="11"/>
    <w:rPr>
      <w:sz w:val="24"/>
      <w:szCs w:val="24"/>
    </w:rPr>
  </w:style>
  <w:style w:type="paragraph" w:customStyle="1" w:styleId="47">
    <w:name w:val="脚注文本1"/>
    <w:basedOn w:val="1"/>
    <w:link w:val="48"/>
    <w:autoRedefine/>
    <w:unhideWhenUsed/>
    <w:qFormat/>
    <w:uiPriority w:val="99"/>
    <w:pPr>
      <w:spacing w:after="40" w:line="240" w:lineRule="auto"/>
    </w:pPr>
    <w:rPr>
      <w:sz w:val="18"/>
    </w:rPr>
  </w:style>
  <w:style w:type="character" w:customStyle="1" w:styleId="48">
    <w:name w:val="Footnote Text Char"/>
    <w:link w:val="47"/>
    <w:autoRedefine/>
    <w:qFormat/>
    <w:uiPriority w:val="99"/>
    <w:rPr>
      <w:sz w:val="18"/>
    </w:rPr>
  </w:style>
  <w:style w:type="paragraph" w:customStyle="1" w:styleId="49">
    <w:name w:val="目录 611"/>
    <w:basedOn w:val="1"/>
    <w:next w:val="1"/>
    <w:autoRedefine/>
    <w:unhideWhenUsed/>
    <w:qFormat/>
    <w:uiPriority w:val="39"/>
    <w:pPr>
      <w:spacing w:after="57"/>
      <w:ind w:left="1417" w:right="0" w:firstLine="0"/>
    </w:pPr>
  </w:style>
  <w:style w:type="paragraph" w:customStyle="1" w:styleId="50">
    <w:name w:val="图表目录11"/>
    <w:basedOn w:val="1"/>
    <w:next w:val="1"/>
    <w:autoRedefine/>
    <w:unhideWhenUsed/>
    <w:qFormat/>
    <w:uiPriority w:val="99"/>
    <w:pPr>
      <w:spacing w:after="0" w:afterAutospacing="0"/>
    </w:pPr>
  </w:style>
  <w:style w:type="paragraph" w:customStyle="1" w:styleId="51">
    <w:name w:val="目录 211"/>
    <w:basedOn w:val="1"/>
    <w:next w:val="1"/>
    <w:autoRedefine/>
    <w:unhideWhenUsed/>
    <w:qFormat/>
    <w:uiPriority w:val="39"/>
    <w:pPr>
      <w:spacing w:after="57"/>
      <w:ind w:left="283" w:right="0" w:firstLine="0"/>
    </w:pPr>
  </w:style>
  <w:style w:type="paragraph" w:customStyle="1" w:styleId="52">
    <w:name w:val="目录 911"/>
    <w:basedOn w:val="1"/>
    <w:next w:val="1"/>
    <w:autoRedefine/>
    <w:unhideWhenUsed/>
    <w:qFormat/>
    <w:uiPriority w:val="39"/>
    <w:pPr>
      <w:spacing w:after="57"/>
      <w:ind w:left="2268" w:right="0" w:firstLine="0"/>
    </w:pPr>
  </w:style>
  <w:style w:type="paragraph" w:customStyle="1" w:styleId="53">
    <w:name w:val="标题11"/>
    <w:basedOn w:val="1"/>
    <w:next w:val="1"/>
    <w:link w:val="54"/>
    <w:autoRedefine/>
    <w:qFormat/>
    <w:uiPriority w:val="10"/>
    <w:pPr>
      <w:spacing w:before="300" w:after="200"/>
      <w:contextualSpacing/>
    </w:pPr>
    <w:rPr>
      <w:sz w:val="48"/>
      <w:szCs w:val="48"/>
    </w:rPr>
  </w:style>
  <w:style w:type="character" w:customStyle="1" w:styleId="54">
    <w:name w:val="Title Char"/>
    <w:link w:val="53"/>
    <w:autoRedefine/>
    <w:qFormat/>
    <w:uiPriority w:val="10"/>
    <w:rPr>
      <w:sz w:val="48"/>
      <w:szCs w:val="48"/>
    </w:rPr>
  </w:style>
  <w:style w:type="table" w:customStyle="1" w:styleId="55">
    <w:name w:val="网格型11"/>
    <w:autoRedefine/>
    <w:qFormat/>
    <w:uiPriority w:val="59"/>
    <w:pPr>
      <w:spacing w:after="0" w:line="240" w:lineRule="auto"/>
    </w:pPr>
  </w:style>
  <w:style w:type="character" w:customStyle="1" w:styleId="56">
    <w:name w:val="尾注引用1"/>
    <w:link w:val="1"/>
    <w:autoRedefine/>
    <w:unhideWhenUsed/>
    <w:qFormat/>
    <w:uiPriority w:val="99"/>
    <w:rPr>
      <w:vertAlign w:val="superscript"/>
    </w:rPr>
  </w:style>
  <w:style w:type="character" w:customStyle="1" w:styleId="57">
    <w:name w:val="超链接11"/>
    <w:link w:val="1"/>
    <w:autoRedefine/>
    <w:unhideWhenUsed/>
    <w:qFormat/>
    <w:uiPriority w:val="99"/>
    <w:rPr>
      <w:color w:val="0000FF"/>
      <w:u w:val="single"/>
    </w:rPr>
  </w:style>
  <w:style w:type="character" w:customStyle="1" w:styleId="58">
    <w:name w:val="脚注引用1"/>
    <w:link w:val="1"/>
    <w:autoRedefine/>
    <w:unhideWhenUsed/>
    <w:qFormat/>
    <w:uiPriority w:val="99"/>
    <w:rPr>
      <w:vertAlign w:val="superscript"/>
    </w:rPr>
  </w:style>
  <w:style w:type="character" w:customStyle="1" w:styleId="59">
    <w:name w:val="Heading 1 Char"/>
    <w:link w:val="3"/>
    <w:autoRedefine/>
    <w:qFormat/>
    <w:uiPriority w:val="9"/>
    <w:rPr>
      <w:rFonts w:ascii="Arial" w:hAnsi="Arial" w:eastAsia="Arial" w:cs="Arial"/>
      <w:sz w:val="40"/>
      <w:szCs w:val="40"/>
    </w:rPr>
  </w:style>
  <w:style w:type="character" w:customStyle="1" w:styleId="60">
    <w:name w:val="Heading 2 Char"/>
    <w:link w:val="4"/>
    <w:autoRedefine/>
    <w:qFormat/>
    <w:uiPriority w:val="9"/>
    <w:rPr>
      <w:rFonts w:ascii="Arial" w:hAnsi="Arial" w:eastAsia="Arial" w:cs="Arial"/>
      <w:sz w:val="34"/>
    </w:rPr>
  </w:style>
  <w:style w:type="character" w:customStyle="1" w:styleId="61">
    <w:name w:val="Heading 3 Char"/>
    <w:link w:val="5"/>
    <w:autoRedefine/>
    <w:qFormat/>
    <w:uiPriority w:val="9"/>
    <w:rPr>
      <w:rFonts w:ascii="Arial" w:hAnsi="Arial" w:eastAsia="Arial" w:cs="Arial"/>
      <w:sz w:val="30"/>
      <w:szCs w:val="30"/>
    </w:rPr>
  </w:style>
  <w:style w:type="character" w:customStyle="1" w:styleId="62">
    <w:name w:val="Heading 4 Char"/>
    <w:link w:val="6"/>
    <w:autoRedefine/>
    <w:qFormat/>
    <w:uiPriority w:val="9"/>
    <w:rPr>
      <w:rFonts w:ascii="Arial" w:hAnsi="Arial" w:eastAsia="Arial" w:cs="Arial"/>
      <w:b/>
      <w:bCs/>
      <w:sz w:val="26"/>
      <w:szCs w:val="26"/>
    </w:rPr>
  </w:style>
  <w:style w:type="character" w:customStyle="1" w:styleId="63">
    <w:name w:val="Heading 5 Char"/>
    <w:link w:val="7"/>
    <w:autoRedefine/>
    <w:qFormat/>
    <w:uiPriority w:val="9"/>
    <w:rPr>
      <w:rFonts w:ascii="Arial" w:hAnsi="Arial" w:eastAsia="Arial" w:cs="Arial"/>
      <w:b/>
      <w:bCs/>
      <w:sz w:val="24"/>
      <w:szCs w:val="24"/>
    </w:rPr>
  </w:style>
  <w:style w:type="character" w:customStyle="1" w:styleId="64">
    <w:name w:val="Heading 6 Char"/>
    <w:link w:val="8"/>
    <w:autoRedefine/>
    <w:qFormat/>
    <w:uiPriority w:val="9"/>
    <w:rPr>
      <w:rFonts w:ascii="Arial" w:hAnsi="Arial" w:eastAsia="Arial" w:cs="Arial"/>
      <w:b/>
      <w:bCs/>
      <w:sz w:val="22"/>
      <w:szCs w:val="22"/>
    </w:rPr>
  </w:style>
  <w:style w:type="character" w:customStyle="1" w:styleId="65">
    <w:name w:val="Heading 7 Char"/>
    <w:link w:val="9"/>
    <w:autoRedefine/>
    <w:qFormat/>
    <w:uiPriority w:val="9"/>
    <w:rPr>
      <w:rFonts w:ascii="Arial" w:hAnsi="Arial" w:eastAsia="Arial" w:cs="Arial"/>
      <w:b/>
      <w:bCs/>
      <w:i/>
      <w:iCs/>
      <w:sz w:val="22"/>
      <w:szCs w:val="22"/>
    </w:rPr>
  </w:style>
  <w:style w:type="character" w:customStyle="1" w:styleId="66">
    <w:name w:val="Heading 8 Char"/>
    <w:link w:val="10"/>
    <w:autoRedefine/>
    <w:qFormat/>
    <w:uiPriority w:val="9"/>
    <w:rPr>
      <w:rFonts w:ascii="Arial" w:hAnsi="Arial" w:eastAsia="Arial" w:cs="Arial"/>
      <w:i/>
      <w:iCs/>
      <w:sz w:val="22"/>
      <w:szCs w:val="22"/>
    </w:rPr>
  </w:style>
  <w:style w:type="character" w:customStyle="1" w:styleId="67">
    <w:name w:val="Heading 9 Char"/>
    <w:link w:val="11"/>
    <w:autoRedefine/>
    <w:qFormat/>
    <w:uiPriority w:val="9"/>
    <w:rPr>
      <w:rFonts w:ascii="Arial" w:hAnsi="Arial" w:eastAsia="Arial" w:cs="Arial"/>
      <w:i/>
      <w:iCs/>
      <w:sz w:val="21"/>
      <w:szCs w:val="21"/>
    </w:rPr>
  </w:style>
  <w:style w:type="paragraph" w:customStyle="1" w:styleId="68">
    <w:name w:val="Caption1"/>
    <w:basedOn w:val="1"/>
    <w:next w:val="1"/>
    <w:autoRedefine/>
    <w:unhideWhenUsed/>
    <w:qFormat/>
    <w:uiPriority w:val="35"/>
    <w:pPr>
      <w:spacing w:line="276" w:lineRule="auto"/>
    </w:pPr>
    <w:rPr>
      <w:b/>
      <w:bCs/>
      <w:color w:val="4F81BD"/>
      <w:sz w:val="18"/>
      <w:szCs w:val="18"/>
    </w:rPr>
  </w:style>
  <w:style w:type="paragraph" w:customStyle="1" w:styleId="69">
    <w:name w:val="Footer1"/>
    <w:basedOn w:val="1"/>
    <w:link w:val="71"/>
    <w:autoRedefine/>
    <w:unhideWhenUsed/>
    <w:qFormat/>
    <w:uiPriority w:val="99"/>
    <w:pPr>
      <w:tabs>
        <w:tab w:val="center" w:pos="7143"/>
        <w:tab w:val="right" w:pos="14287"/>
      </w:tabs>
      <w:spacing w:after="0" w:line="240" w:lineRule="auto"/>
    </w:pPr>
  </w:style>
  <w:style w:type="character" w:customStyle="1" w:styleId="70">
    <w:name w:val="Caption Char"/>
    <w:link w:val="69"/>
    <w:autoRedefine/>
    <w:qFormat/>
    <w:uiPriority w:val="99"/>
  </w:style>
  <w:style w:type="character" w:customStyle="1" w:styleId="71">
    <w:name w:val="Footer Char"/>
    <w:link w:val="69"/>
    <w:autoRedefine/>
    <w:qFormat/>
    <w:uiPriority w:val="99"/>
  </w:style>
  <w:style w:type="paragraph" w:customStyle="1" w:styleId="72">
    <w:name w:val="Header1"/>
    <w:basedOn w:val="1"/>
    <w:link w:val="73"/>
    <w:autoRedefine/>
    <w:unhideWhenUsed/>
    <w:qFormat/>
    <w:uiPriority w:val="99"/>
    <w:pPr>
      <w:tabs>
        <w:tab w:val="center" w:pos="7143"/>
        <w:tab w:val="right" w:pos="14287"/>
      </w:tabs>
      <w:spacing w:after="0" w:line="240" w:lineRule="auto"/>
    </w:pPr>
  </w:style>
  <w:style w:type="character" w:customStyle="1" w:styleId="73">
    <w:name w:val="Header Char"/>
    <w:link w:val="72"/>
    <w:autoRedefine/>
    <w:qFormat/>
    <w:uiPriority w:val="99"/>
  </w:style>
  <w:style w:type="paragraph" w:customStyle="1" w:styleId="74">
    <w:name w:val="正文文本1"/>
    <w:basedOn w:val="1"/>
    <w:next w:val="1"/>
    <w:link w:val="75"/>
    <w:autoRedefine/>
    <w:qFormat/>
    <w:uiPriority w:val="0"/>
    <w:rPr>
      <w:rFonts w:ascii="楷体_GB2312" w:hAnsi="Arial" w:eastAsia="楷体_GB2312" w:cs="Times New Roman"/>
      <w:sz w:val="28"/>
      <w:szCs w:val="28"/>
    </w:rPr>
  </w:style>
  <w:style w:type="character" w:customStyle="1" w:styleId="75">
    <w:name w:val="正文文本 Char"/>
    <w:link w:val="74"/>
    <w:autoRedefine/>
    <w:qFormat/>
    <w:uiPriority w:val="0"/>
    <w:rPr>
      <w:rFonts w:ascii="楷体_GB2312" w:hAnsi="Arial" w:eastAsia="楷体_GB2312" w:cs="Times New Roman"/>
      <w:sz w:val="28"/>
      <w:szCs w:val="28"/>
    </w:rPr>
  </w:style>
  <w:style w:type="paragraph" w:styleId="76">
    <w:name w:val="List Paragraph"/>
    <w:basedOn w:val="1"/>
    <w:autoRedefine/>
    <w:qFormat/>
    <w:uiPriority w:val="34"/>
    <w:pPr>
      <w:ind w:left="720"/>
      <w:contextualSpacing/>
    </w:pPr>
  </w:style>
  <w:style w:type="paragraph" w:styleId="77">
    <w:name w:val="No Spacing"/>
    <w:autoRedefine/>
    <w:qFormat/>
    <w:uiPriority w:val="1"/>
    <w:pPr>
      <w:spacing w:before="0" w:after="0" w:line="240" w:lineRule="auto"/>
    </w:pPr>
    <w:rPr>
      <w:rFonts w:hint="default" w:ascii="Calibri" w:hAnsi="Calibri" w:eastAsia="宋体" w:cs="Times New Roman"/>
    </w:rPr>
  </w:style>
  <w:style w:type="paragraph" w:styleId="78">
    <w:name w:val="Quote"/>
    <w:basedOn w:val="1"/>
    <w:next w:val="1"/>
    <w:link w:val="79"/>
    <w:autoRedefine/>
    <w:qFormat/>
    <w:uiPriority w:val="29"/>
    <w:pPr>
      <w:ind w:left="720" w:right="720"/>
    </w:pPr>
    <w:rPr>
      <w:i/>
    </w:rPr>
  </w:style>
  <w:style w:type="character" w:customStyle="1" w:styleId="79">
    <w:name w:val="Quote Char"/>
    <w:link w:val="78"/>
    <w:autoRedefine/>
    <w:qFormat/>
    <w:uiPriority w:val="29"/>
    <w:rPr>
      <w:i/>
    </w:rPr>
  </w:style>
  <w:style w:type="paragraph" w:styleId="80">
    <w:name w:val="Intense Quote"/>
    <w:basedOn w:val="1"/>
    <w:next w:val="1"/>
    <w:link w:val="8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1">
    <w:name w:val="Intense Quote Char"/>
    <w:link w:val="80"/>
    <w:autoRedefine/>
    <w:qFormat/>
    <w:uiPriority w:val="30"/>
    <w:rPr>
      <w:i/>
    </w:rPr>
  </w:style>
  <w:style w:type="table" w:customStyle="1" w:styleId="82">
    <w:name w:val="Table Grid Light"/>
    <w:autoRedefine/>
    <w:qFormat/>
    <w:uiPriority w:val="59"/>
    <w:pPr>
      <w:spacing w:after="0" w:line="240" w:lineRule="auto"/>
    </w:pPr>
  </w:style>
  <w:style w:type="table" w:customStyle="1" w:styleId="83">
    <w:name w:val="Plain Table 1"/>
    <w:autoRedefine/>
    <w:qFormat/>
    <w:uiPriority w:val="59"/>
    <w:pPr>
      <w:spacing w:after="0" w:line="240" w:lineRule="auto"/>
    </w:pPr>
  </w:style>
  <w:style w:type="table" w:customStyle="1" w:styleId="84">
    <w:name w:val="Plain Table 2"/>
    <w:autoRedefine/>
    <w:qFormat/>
    <w:uiPriority w:val="59"/>
    <w:pPr>
      <w:spacing w:after="0" w:line="240" w:lineRule="auto"/>
    </w:pPr>
  </w:style>
  <w:style w:type="table" w:customStyle="1" w:styleId="85">
    <w:name w:val="Plain Table 3"/>
    <w:autoRedefine/>
    <w:qFormat/>
    <w:uiPriority w:val="99"/>
    <w:pPr>
      <w:spacing w:after="0" w:line="240" w:lineRule="auto"/>
    </w:pPr>
  </w:style>
  <w:style w:type="table" w:customStyle="1" w:styleId="86">
    <w:name w:val="Plain Table 4"/>
    <w:autoRedefine/>
    <w:qFormat/>
    <w:uiPriority w:val="99"/>
    <w:pPr>
      <w:spacing w:after="0" w:line="240" w:lineRule="auto"/>
    </w:pPr>
  </w:style>
  <w:style w:type="table" w:customStyle="1" w:styleId="87">
    <w:name w:val="Plain Table 5"/>
    <w:autoRedefine/>
    <w:qFormat/>
    <w:uiPriority w:val="99"/>
    <w:pPr>
      <w:spacing w:after="0" w:line="240" w:lineRule="auto"/>
    </w:pPr>
  </w:style>
  <w:style w:type="table" w:customStyle="1" w:styleId="88">
    <w:name w:val="Grid Table 1 Light"/>
    <w:autoRedefine/>
    <w:qFormat/>
    <w:uiPriority w:val="99"/>
    <w:pPr>
      <w:spacing w:after="0" w:line="240" w:lineRule="auto"/>
    </w:pPr>
  </w:style>
  <w:style w:type="table" w:customStyle="1" w:styleId="89">
    <w:name w:val="Grid Table 1 Light - Accent 1"/>
    <w:autoRedefine/>
    <w:qFormat/>
    <w:uiPriority w:val="99"/>
    <w:pPr>
      <w:spacing w:after="0" w:line="240" w:lineRule="auto"/>
    </w:pPr>
  </w:style>
  <w:style w:type="table" w:customStyle="1" w:styleId="90">
    <w:name w:val="Grid Table 1 Light - Accent 2"/>
    <w:autoRedefine/>
    <w:qFormat/>
    <w:uiPriority w:val="99"/>
    <w:pPr>
      <w:spacing w:after="0" w:line="240" w:lineRule="auto"/>
    </w:pPr>
  </w:style>
  <w:style w:type="table" w:customStyle="1" w:styleId="91">
    <w:name w:val="Grid Table 1 Light - Accent 3"/>
    <w:autoRedefine/>
    <w:qFormat/>
    <w:uiPriority w:val="99"/>
    <w:pPr>
      <w:spacing w:after="0" w:line="240" w:lineRule="auto"/>
    </w:pPr>
  </w:style>
  <w:style w:type="table" w:customStyle="1" w:styleId="92">
    <w:name w:val="Grid Table 1 Light - Accent 4"/>
    <w:autoRedefine/>
    <w:qFormat/>
    <w:uiPriority w:val="99"/>
    <w:pPr>
      <w:spacing w:after="0" w:line="240" w:lineRule="auto"/>
    </w:pPr>
  </w:style>
  <w:style w:type="table" w:customStyle="1" w:styleId="93">
    <w:name w:val="Grid Table 1 Light - Accent 5"/>
    <w:autoRedefine/>
    <w:qFormat/>
    <w:uiPriority w:val="99"/>
    <w:pPr>
      <w:spacing w:after="0" w:line="240" w:lineRule="auto"/>
    </w:pPr>
  </w:style>
  <w:style w:type="table" w:customStyle="1" w:styleId="94">
    <w:name w:val="Grid Table 1 Light - Accent 6"/>
    <w:autoRedefine/>
    <w:qFormat/>
    <w:uiPriority w:val="99"/>
    <w:pPr>
      <w:spacing w:after="0" w:line="240" w:lineRule="auto"/>
    </w:pPr>
  </w:style>
  <w:style w:type="table" w:customStyle="1" w:styleId="95">
    <w:name w:val="Grid Table 2"/>
    <w:autoRedefine/>
    <w:qFormat/>
    <w:uiPriority w:val="99"/>
    <w:pPr>
      <w:spacing w:after="0" w:line="240" w:lineRule="auto"/>
    </w:pPr>
  </w:style>
  <w:style w:type="table" w:customStyle="1" w:styleId="96">
    <w:name w:val="Grid Table 2 - Accent 1"/>
    <w:autoRedefine/>
    <w:qFormat/>
    <w:uiPriority w:val="99"/>
    <w:pPr>
      <w:spacing w:after="0" w:line="240" w:lineRule="auto"/>
    </w:pPr>
  </w:style>
  <w:style w:type="table" w:customStyle="1" w:styleId="97">
    <w:name w:val="Grid Table 2 - Accent 2"/>
    <w:autoRedefine/>
    <w:qFormat/>
    <w:uiPriority w:val="99"/>
    <w:pPr>
      <w:spacing w:after="0" w:line="240" w:lineRule="auto"/>
    </w:pPr>
  </w:style>
  <w:style w:type="table" w:customStyle="1" w:styleId="98">
    <w:name w:val="Grid Table 2 - Accent 3"/>
    <w:autoRedefine/>
    <w:qFormat/>
    <w:uiPriority w:val="99"/>
    <w:pPr>
      <w:spacing w:after="0" w:line="240" w:lineRule="auto"/>
    </w:pPr>
  </w:style>
  <w:style w:type="table" w:customStyle="1" w:styleId="99">
    <w:name w:val="Grid Table 2 - Accent 4"/>
    <w:autoRedefine/>
    <w:qFormat/>
    <w:uiPriority w:val="99"/>
    <w:pPr>
      <w:spacing w:after="0" w:line="240" w:lineRule="auto"/>
    </w:pPr>
  </w:style>
  <w:style w:type="table" w:customStyle="1" w:styleId="100">
    <w:name w:val="Grid Table 2 - Accent 5"/>
    <w:autoRedefine/>
    <w:qFormat/>
    <w:uiPriority w:val="99"/>
    <w:pPr>
      <w:spacing w:after="0" w:line="240" w:lineRule="auto"/>
    </w:pPr>
  </w:style>
  <w:style w:type="table" w:customStyle="1" w:styleId="101">
    <w:name w:val="Grid Table 2 - Accent 6"/>
    <w:autoRedefine/>
    <w:qFormat/>
    <w:uiPriority w:val="99"/>
    <w:pPr>
      <w:spacing w:after="0" w:line="240" w:lineRule="auto"/>
    </w:pPr>
  </w:style>
  <w:style w:type="table" w:customStyle="1" w:styleId="102">
    <w:name w:val="Grid Table 3"/>
    <w:autoRedefine/>
    <w:qFormat/>
    <w:uiPriority w:val="99"/>
    <w:pPr>
      <w:spacing w:after="0" w:line="240" w:lineRule="auto"/>
    </w:pPr>
  </w:style>
  <w:style w:type="table" w:customStyle="1" w:styleId="103">
    <w:name w:val="Grid Table 3 - Accent 1"/>
    <w:autoRedefine/>
    <w:qFormat/>
    <w:uiPriority w:val="99"/>
    <w:pPr>
      <w:spacing w:after="0" w:line="240" w:lineRule="auto"/>
    </w:pPr>
  </w:style>
  <w:style w:type="table" w:customStyle="1" w:styleId="104">
    <w:name w:val="Grid Table 3 - Accent 2"/>
    <w:autoRedefine/>
    <w:qFormat/>
    <w:uiPriority w:val="99"/>
    <w:pPr>
      <w:spacing w:after="0" w:line="240" w:lineRule="auto"/>
    </w:pPr>
  </w:style>
  <w:style w:type="table" w:customStyle="1" w:styleId="105">
    <w:name w:val="Grid Table 3 - Accent 3"/>
    <w:autoRedefine/>
    <w:qFormat/>
    <w:uiPriority w:val="99"/>
    <w:pPr>
      <w:spacing w:after="0" w:line="240" w:lineRule="auto"/>
    </w:pPr>
  </w:style>
  <w:style w:type="table" w:customStyle="1" w:styleId="106">
    <w:name w:val="Grid Table 3 - Accent 4"/>
    <w:autoRedefine/>
    <w:qFormat/>
    <w:uiPriority w:val="99"/>
    <w:pPr>
      <w:spacing w:after="0" w:line="240" w:lineRule="auto"/>
    </w:pPr>
  </w:style>
  <w:style w:type="table" w:customStyle="1" w:styleId="107">
    <w:name w:val="Grid Table 3 - Accent 5"/>
    <w:autoRedefine/>
    <w:qFormat/>
    <w:uiPriority w:val="99"/>
    <w:pPr>
      <w:spacing w:after="0" w:line="240" w:lineRule="auto"/>
    </w:pPr>
  </w:style>
  <w:style w:type="table" w:customStyle="1" w:styleId="108">
    <w:name w:val="Grid Table 3 - Accent 6"/>
    <w:autoRedefine/>
    <w:qFormat/>
    <w:uiPriority w:val="99"/>
    <w:pPr>
      <w:spacing w:after="0" w:line="240" w:lineRule="auto"/>
    </w:pPr>
  </w:style>
  <w:style w:type="table" w:customStyle="1" w:styleId="109">
    <w:name w:val="Grid Table 4"/>
    <w:autoRedefine/>
    <w:qFormat/>
    <w:uiPriority w:val="59"/>
    <w:pPr>
      <w:spacing w:after="0" w:line="240" w:lineRule="auto"/>
    </w:pPr>
  </w:style>
  <w:style w:type="table" w:customStyle="1" w:styleId="110">
    <w:name w:val="Grid Table 4 - Accent 1"/>
    <w:autoRedefine/>
    <w:qFormat/>
    <w:uiPriority w:val="59"/>
    <w:pPr>
      <w:spacing w:after="0" w:line="240" w:lineRule="auto"/>
    </w:pPr>
  </w:style>
  <w:style w:type="table" w:customStyle="1" w:styleId="111">
    <w:name w:val="Grid Table 4 - Accent 2"/>
    <w:autoRedefine/>
    <w:qFormat/>
    <w:uiPriority w:val="59"/>
    <w:pPr>
      <w:spacing w:after="0" w:line="240" w:lineRule="auto"/>
    </w:pPr>
  </w:style>
  <w:style w:type="table" w:customStyle="1" w:styleId="112">
    <w:name w:val="Grid Table 4 - Accent 3"/>
    <w:autoRedefine/>
    <w:qFormat/>
    <w:uiPriority w:val="59"/>
    <w:pPr>
      <w:spacing w:after="0" w:line="240" w:lineRule="auto"/>
    </w:pPr>
  </w:style>
  <w:style w:type="table" w:customStyle="1" w:styleId="113">
    <w:name w:val="Grid Table 4 - Accent 4"/>
    <w:autoRedefine/>
    <w:qFormat/>
    <w:uiPriority w:val="59"/>
    <w:pPr>
      <w:spacing w:after="0" w:line="240" w:lineRule="auto"/>
    </w:pPr>
  </w:style>
  <w:style w:type="table" w:customStyle="1" w:styleId="114">
    <w:name w:val="Grid Table 4 - Accent 5"/>
    <w:autoRedefine/>
    <w:qFormat/>
    <w:uiPriority w:val="59"/>
    <w:pPr>
      <w:spacing w:after="0" w:line="240" w:lineRule="auto"/>
    </w:pPr>
  </w:style>
  <w:style w:type="table" w:customStyle="1" w:styleId="115">
    <w:name w:val="Grid Table 4 - Accent 6"/>
    <w:autoRedefine/>
    <w:qFormat/>
    <w:uiPriority w:val="59"/>
    <w:pPr>
      <w:spacing w:after="0" w:line="240" w:lineRule="auto"/>
    </w:pPr>
  </w:style>
  <w:style w:type="table" w:customStyle="1" w:styleId="116">
    <w:name w:val="Grid Table 5 Dark"/>
    <w:autoRedefine/>
    <w:qFormat/>
    <w:uiPriority w:val="99"/>
    <w:pPr>
      <w:spacing w:after="0" w:line="240" w:lineRule="auto"/>
    </w:pPr>
  </w:style>
  <w:style w:type="table" w:customStyle="1" w:styleId="117">
    <w:name w:val="Grid Table 5 Dark- Accent 1"/>
    <w:autoRedefine/>
    <w:qFormat/>
    <w:uiPriority w:val="99"/>
    <w:pPr>
      <w:spacing w:after="0" w:line="240" w:lineRule="auto"/>
    </w:pPr>
  </w:style>
  <w:style w:type="table" w:customStyle="1" w:styleId="118">
    <w:name w:val="Grid Table 5 Dark - Accent 2"/>
    <w:autoRedefine/>
    <w:qFormat/>
    <w:uiPriority w:val="99"/>
    <w:pPr>
      <w:spacing w:after="0" w:line="240" w:lineRule="auto"/>
    </w:pPr>
  </w:style>
  <w:style w:type="table" w:customStyle="1" w:styleId="119">
    <w:name w:val="Grid Table 5 Dark - Accent 3"/>
    <w:autoRedefine/>
    <w:qFormat/>
    <w:uiPriority w:val="99"/>
    <w:pPr>
      <w:spacing w:after="0" w:line="240" w:lineRule="auto"/>
    </w:pPr>
  </w:style>
  <w:style w:type="table" w:customStyle="1" w:styleId="120">
    <w:name w:val="Grid Table 5 Dark- Accent 4"/>
    <w:autoRedefine/>
    <w:qFormat/>
    <w:uiPriority w:val="99"/>
    <w:pPr>
      <w:spacing w:after="0" w:line="240" w:lineRule="auto"/>
    </w:pPr>
  </w:style>
  <w:style w:type="table" w:customStyle="1" w:styleId="121">
    <w:name w:val="Grid Table 5 Dark - Accent 5"/>
    <w:autoRedefine/>
    <w:qFormat/>
    <w:uiPriority w:val="99"/>
    <w:pPr>
      <w:spacing w:after="0" w:line="240" w:lineRule="auto"/>
    </w:pPr>
  </w:style>
  <w:style w:type="table" w:customStyle="1" w:styleId="122">
    <w:name w:val="Grid Table 5 Dark - Accent 6"/>
    <w:autoRedefine/>
    <w:qFormat/>
    <w:uiPriority w:val="99"/>
    <w:pPr>
      <w:spacing w:after="0" w:line="240" w:lineRule="auto"/>
    </w:pPr>
  </w:style>
  <w:style w:type="table" w:customStyle="1" w:styleId="123">
    <w:name w:val="Grid Table 6 Colorful"/>
    <w:autoRedefine/>
    <w:qFormat/>
    <w:uiPriority w:val="99"/>
    <w:pPr>
      <w:spacing w:after="0" w:line="240" w:lineRule="auto"/>
    </w:pPr>
  </w:style>
  <w:style w:type="table" w:customStyle="1" w:styleId="124">
    <w:name w:val="Grid Table 6 Colorful - Accent 1"/>
    <w:autoRedefine/>
    <w:qFormat/>
    <w:uiPriority w:val="99"/>
    <w:pPr>
      <w:spacing w:after="0" w:line="240" w:lineRule="auto"/>
    </w:pPr>
  </w:style>
  <w:style w:type="table" w:customStyle="1" w:styleId="125">
    <w:name w:val="Grid Table 6 Colorful - Accent 2"/>
    <w:autoRedefine/>
    <w:qFormat/>
    <w:uiPriority w:val="99"/>
    <w:pPr>
      <w:spacing w:after="0" w:line="240" w:lineRule="auto"/>
    </w:pPr>
  </w:style>
  <w:style w:type="table" w:customStyle="1" w:styleId="126">
    <w:name w:val="Grid Table 6 Colorful - Accent 3"/>
    <w:autoRedefine/>
    <w:qFormat/>
    <w:uiPriority w:val="99"/>
    <w:pPr>
      <w:spacing w:after="0" w:line="240" w:lineRule="auto"/>
    </w:pPr>
  </w:style>
  <w:style w:type="table" w:customStyle="1" w:styleId="127">
    <w:name w:val="Grid Table 6 Colorful - Accent 4"/>
    <w:autoRedefine/>
    <w:qFormat/>
    <w:uiPriority w:val="99"/>
    <w:pPr>
      <w:spacing w:after="0" w:line="240" w:lineRule="auto"/>
    </w:pPr>
  </w:style>
  <w:style w:type="table" w:customStyle="1" w:styleId="128">
    <w:name w:val="Grid Table 6 Colorful - Accent 5"/>
    <w:autoRedefine/>
    <w:qFormat/>
    <w:uiPriority w:val="99"/>
    <w:pPr>
      <w:spacing w:after="0" w:line="240" w:lineRule="auto"/>
    </w:pPr>
  </w:style>
  <w:style w:type="table" w:customStyle="1" w:styleId="129">
    <w:name w:val="Grid Table 6 Colorful - Accent 6"/>
    <w:autoRedefine/>
    <w:qFormat/>
    <w:uiPriority w:val="99"/>
    <w:pPr>
      <w:spacing w:after="0" w:line="240" w:lineRule="auto"/>
    </w:pPr>
  </w:style>
  <w:style w:type="table" w:customStyle="1" w:styleId="130">
    <w:name w:val="Grid Table 7 Colorful"/>
    <w:autoRedefine/>
    <w:qFormat/>
    <w:uiPriority w:val="99"/>
    <w:pPr>
      <w:spacing w:after="0" w:line="240" w:lineRule="auto"/>
    </w:pPr>
  </w:style>
  <w:style w:type="table" w:customStyle="1" w:styleId="131">
    <w:name w:val="Grid Table 7 Colorful - Accent 1"/>
    <w:autoRedefine/>
    <w:qFormat/>
    <w:uiPriority w:val="99"/>
    <w:pPr>
      <w:spacing w:after="0" w:line="240" w:lineRule="auto"/>
    </w:pPr>
  </w:style>
  <w:style w:type="table" w:customStyle="1" w:styleId="132">
    <w:name w:val="Grid Table 7 Colorful - Accent 2"/>
    <w:autoRedefine/>
    <w:qFormat/>
    <w:uiPriority w:val="99"/>
    <w:pPr>
      <w:spacing w:after="0" w:line="240" w:lineRule="auto"/>
    </w:pPr>
  </w:style>
  <w:style w:type="table" w:customStyle="1" w:styleId="133">
    <w:name w:val="Grid Table 7 Colorful - Accent 3"/>
    <w:autoRedefine/>
    <w:qFormat/>
    <w:uiPriority w:val="99"/>
    <w:pPr>
      <w:spacing w:after="0" w:line="240" w:lineRule="auto"/>
    </w:pPr>
  </w:style>
  <w:style w:type="table" w:customStyle="1" w:styleId="134">
    <w:name w:val="Grid Table 7 Colorful - Accent 4"/>
    <w:autoRedefine/>
    <w:qFormat/>
    <w:uiPriority w:val="99"/>
    <w:pPr>
      <w:spacing w:after="0" w:line="240" w:lineRule="auto"/>
    </w:pPr>
  </w:style>
  <w:style w:type="table" w:customStyle="1" w:styleId="135">
    <w:name w:val="Grid Table 7 Colorful - Accent 5"/>
    <w:autoRedefine/>
    <w:qFormat/>
    <w:uiPriority w:val="99"/>
    <w:pPr>
      <w:spacing w:after="0" w:line="240" w:lineRule="auto"/>
    </w:pPr>
  </w:style>
  <w:style w:type="table" w:customStyle="1" w:styleId="136">
    <w:name w:val="Grid Table 7 Colorful - Accent 6"/>
    <w:autoRedefine/>
    <w:qFormat/>
    <w:uiPriority w:val="99"/>
    <w:pPr>
      <w:spacing w:after="0" w:line="240" w:lineRule="auto"/>
    </w:pPr>
  </w:style>
  <w:style w:type="table" w:customStyle="1" w:styleId="137">
    <w:name w:val="List Table 1 Light"/>
    <w:autoRedefine/>
    <w:qFormat/>
    <w:uiPriority w:val="99"/>
    <w:pPr>
      <w:spacing w:after="0" w:line="240" w:lineRule="auto"/>
    </w:pPr>
  </w:style>
  <w:style w:type="table" w:customStyle="1" w:styleId="138">
    <w:name w:val="List Table 1 Light - Accent 1"/>
    <w:autoRedefine/>
    <w:qFormat/>
    <w:uiPriority w:val="99"/>
    <w:pPr>
      <w:spacing w:after="0" w:line="240" w:lineRule="auto"/>
    </w:pPr>
  </w:style>
  <w:style w:type="table" w:customStyle="1" w:styleId="139">
    <w:name w:val="List Table 1 Light - Accent 2"/>
    <w:autoRedefine/>
    <w:qFormat/>
    <w:uiPriority w:val="99"/>
    <w:pPr>
      <w:spacing w:after="0" w:line="240" w:lineRule="auto"/>
    </w:pPr>
  </w:style>
  <w:style w:type="table" w:customStyle="1" w:styleId="140">
    <w:name w:val="List Table 1 Light - Accent 3"/>
    <w:autoRedefine/>
    <w:qFormat/>
    <w:uiPriority w:val="99"/>
    <w:pPr>
      <w:spacing w:after="0" w:line="240" w:lineRule="auto"/>
    </w:pPr>
  </w:style>
  <w:style w:type="table" w:customStyle="1" w:styleId="141">
    <w:name w:val="List Table 1 Light - Accent 4"/>
    <w:autoRedefine/>
    <w:qFormat/>
    <w:uiPriority w:val="99"/>
    <w:pPr>
      <w:spacing w:after="0" w:line="240" w:lineRule="auto"/>
    </w:pPr>
  </w:style>
  <w:style w:type="table" w:customStyle="1" w:styleId="142">
    <w:name w:val="List Table 1 Light - Accent 5"/>
    <w:autoRedefine/>
    <w:qFormat/>
    <w:uiPriority w:val="99"/>
    <w:pPr>
      <w:spacing w:after="0" w:line="240" w:lineRule="auto"/>
    </w:pPr>
  </w:style>
  <w:style w:type="table" w:customStyle="1" w:styleId="143">
    <w:name w:val="List Table 1 Light - Accent 6"/>
    <w:autoRedefine/>
    <w:qFormat/>
    <w:uiPriority w:val="99"/>
    <w:pPr>
      <w:spacing w:after="0" w:line="240" w:lineRule="auto"/>
    </w:pPr>
  </w:style>
  <w:style w:type="table" w:customStyle="1" w:styleId="144">
    <w:name w:val="List Table 2"/>
    <w:autoRedefine/>
    <w:qFormat/>
    <w:uiPriority w:val="99"/>
    <w:pPr>
      <w:spacing w:after="0" w:line="240" w:lineRule="auto"/>
    </w:pPr>
  </w:style>
  <w:style w:type="table" w:customStyle="1" w:styleId="145">
    <w:name w:val="List Table 2 - Accent 1"/>
    <w:autoRedefine/>
    <w:qFormat/>
    <w:uiPriority w:val="99"/>
    <w:pPr>
      <w:spacing w:after="0" w:line="240" w:lineRule="auto"/>
    </w:pPr>
  </w:style>
  <w:style w:type="table" w:customStyle="1" w:styleId="146">
    <w:name w:val="List Table 2 - Accent 2"/>
    <w:autoRedefine/>
    <w:qFormat/>
    <w:uiPriority w:val="99"/>
    <w:pPr>
      <w:spacing w:after="0" w:line="240" w:lineRule="auto"/>
    </w:pPr>
  </w:style>
  <w:style w:type="table" w:customStyle="1" w:styleId="147">
    <w:name w:val="List Table 2 - Accent 3"/>
    <w:autoRedefine/>
    <w:qFormat/>
    <w:uiPriority w:val="99"/>
    <w:pPr>
      <w:spacing w:after="0" w:line="240" w:lineRule="auto"/>
    </w:pPr>
  </w:style>
  <w:style w:type="table" w:customStyle="1" w:styleId="148">
    <w:name w:val="List Table 2 - Accent 4"/>
    <w:autoRedefine/>
    <w:qFormat/>
    <w:uiPriority w:val="99"/>
    <w:pPr>
      <w:spacing w:after="0" w:line="240" w:lineRule="auto"/>
    </w:pPr>
  </w:style>
  <w:style w:type="table" w:customStyle="1" w:styleId="149">
    <w:name w:val="List Table 2 - Accent 5"/>
    <w:autoRedefine/>
    <w:qFormat/>
    <w:uiPriority w:val="99"/>
    <w:pPr>
      <w:spacing w:after="0" w:line="240" w:lineRule="auto"/>
    </w:pPr>
  </w:style>
  <w:style w:type="table" w:customStyle="1" w:styleId="150">
    <w:name w:val="List Table 2 - Accent 6"/>
    <w:autoRedefine/>
    <w:qFormat/>
    <w:uiPriority w:val="99"/>
    <w:pPr>
      <w:spacing w:after="0" w:line="240" w:lineRule="auto"/>
    </w:pPr>
  </w:style>
  <w:style w:type="table" w:customStyle="1" w:styleId="151">
    <w:name w:val="List Table 3"/>
    <w:autoRedefine/>
    <w:qFormat/>
    <w:uiPriority w:val="99"/>
    <w:pPr>
      <w:spacing w:after="0" w:line="240" w:lineRule="auto"/>
    </w:pPr>
  </w:style>
  <w:style w:type="table" w:customStyle="1" w:styleId="152">
    <w:name w:val="List Table 3 - Accent 1"/>
    <w:autoRedefine/>
    <w:qFormat/>
    <w:uiPriority w:val="99"/>
    <w:pPr>
      <w:spacing w:after="0" w:line="240" w:lineRule="auto"/>
    </w:pPr>
  </w:style>
  <w:style w:type="table" w:customStyle="1" w:styleId="153">
    <w:name w:val="List Table 3 - Accent 2"/>
    <w:autoRedefine/>
    <w:qFormat/>
    <w:uiPriority w:val="99"/>
    <w:pPr>
      <w:spacing w:after="0" w:line="240" w:lineRule="auto"/>
    </w:pPr>
  </w:style>
  <w:style w:type="table" w:customStyle="1" w:styleId="154">
    <w:name w:val="List Table 3 - Accent 3"/>
    <w:autoRedefine/>
    <w:qFormat/>
    <w:uiPriority w:val="99"/>
    <w:pPr>
      <w:spacing w:after="0" w:line="240" w:lineRule="auto"/>
    </w:pPr>
  </w:style>
  <w:style w:type="table" w:customStyle="1" w:styleId="155">
    <w:name w:val="List Table 3 - Accent 4"/>
    <w:autoRedefine/>
    <w:qFormat/>
    <w:uiPriority w:val="99"/>
    <w:pPr>
      <w:spacing w:after="0" w:line="240" w:lineRule="auto"/>
    </w:pPr>
  </w:style>
  <w:style w:type="table" w:customStyle="1" w:styleId="156">
    <w:name w:val="List Table 3 - Accent 5"/>
    <w:autoRedefine/>
    <w:qFormat/>
    <w:uiPriority w:val="99"/>
    <w:pPr>
      <w:spacing w:after="0" w:line="240" w:lineRule="auto"/>
    </w:pPr>
  </w:style>
  <w:style w:type="table" w:customStyle="1" w:styleId="157">
    <w:name w:val="List Table 3 - Accent 6"/>
    <w:autoRedefine/>
    <w:qFormat/>
    <w:uiPriority w:val="99"/>
    <w:pPr>
      <w:spacing w:after="0" w:line="240" w:lineRule="auto"/>
    </w:pPr>
  </w:style>
  <w:style w:type="table" w:customStyle="1" w:styleId="158">
    <w:name w:val="List Table 4"/>
    <w:autoRedefine/>
    <w:qFormat/>
    <w:uiPriority w:val="99"/>
    <w:pPr>
      <w:spacing w:after="0" w:line="240" w:lineRule="auto"/>
    </w:pPr>
  </w:style>
  <w:style w:type="table" w:customStyle="1" w:styleId="159">
    <w:name w:val="List Table 4 - Accent 1"/>
    <w:autoRedefine/>
    <w:qFormat/>
    <w:uiPriority w:val="99"/>
    <w:pPr>
      <w:spacing w:after="0" w:line="240" w:lineRule="auto"/>
    </w:pPr>
  </w:style>
  <w:style w:type="table" w:customStyle="1" w:styleId="160">
    <w:name w:val="List Table 4 - Accent 2"/>
    <w:autoRedefine/>
    <w:qFormat/>
    <w:uiPriority w:val="99"/>
    <w:pPr>
      <w:spacing w:after="0" w:line="240" w:lineRule="auto"/>
    </w:pPr>
  </w:style>
  <w:style w:type="table" w:customStyle="1" w:styleId="161">
    <w:name w:val="List Table 4 - Accent 3"/>
    <w:autoRedefine/>
    <w:qFormat/>
    <w:uiPriority w:val="99"/>
    <w:pPr>
      <w:spacing w:after="0" w:line="240" w:lineRule="auto"/>
    </w:pPr>
  </w:style>
  <w:style w:type="table" w:customStyle="1" w:styleId="162">
    <w:name w:val="List Table 4 - Accent 4"/>
    <w:autoRedefine/>
    <w:qFormat/>
    <w:uiPriority w:val="99"/>
    <w:pPr>
      <w:spacing w:after="0" w:line="240" w:lineRule="auto"/>
    </w:pPr>
  </w:style>
  <w:style w:type="table" w:customStyle="1" w:styleId="163">
    <w:name w:val="List Table 4 - Accent 5"/>
    <w:autoRedefine/>
    <w:qFormat/>
    <w:uiPriority w:val="99"/>
    <w:pPr>
      <w:spacing w:after="0" w:line="240" w:lineRule="auto"/>
    </w:pPr>
  </w:style>
  <w:style w:type="table" w:customStyle="1" w:styleId="164">
    <w:name w:val="List Table 4 - Accent 6"/>
    <w:autoRedefine/>
    <w:qFormat/>
    <w:uiPriority w:val="99"/>
    <w:pPr>
      <w:spacing w:after="0" w:line="240" w:lineRule="auto"/>
    </w:pPr>
  </w:style>
  <w:style w:type="table" w:customStyle="1" w:styleId="165">
    <w:name w:val="List Table 5 Dark"/>
    <w:autoRedefine/>
    <w:qFormat/>
    <w:uiPriority w:val="99"/>
    <w:pPr>
      <w:spacing w:after="0" w:line="240" w:lineRule="auto"/>
    </w:pPr>
  </w:style>
  <w:style w:type="table" w:customStyle="1" w:styleId="166">
    <w:name w:val="List Table 5 Dark - Accent 1"/>
    <w:autoRedefine/>
    <w:qFormat/>
    <w:uiPriority w:val="99"/>
    <w:pPr>
      <w:spacing w:after="0" w:line="240" w:lineRule="auto"/>
    </w:pPr>
  </w:style>
  <w:style w:type="table" w:customStyle="1" w:styleId="167">
    <w:name w:val="List Table 5 Dark - Accent 2"/>
    <w:autoRedefine/>
    <w:qFormat/>
    <w:uiPriority w:val="99"/>
    <w:pPr>
      <w:spacing w:after="0" w:line="240" w:lineRule="auto"/>
    </w:pPr>
  </w:style>
  <w:style w:type="table" w:customStyle="1" w:styleId="168">
    <w:name w:val="List Table 5 Dark - Accent 3"/>
    <w:autoRedefine/>
    <w:qFormat/>
    <w:uiPriority w:val="99"/>
    <w:pPr>
      <w:spacing w:after="0" w:line="240" w:lineRule="auto"/>
    </w:pPr>
  </w:style>
  <w:style w:type="table" w:customStyle="1" w:styleId="169">
    <w:name w:val="List Table 5 Dark - Accent 4"/>
    <w:autoRedefine/>
    <w:qFormat/>
    <w:uiPriority w:val="99"/>
    <w:pPr>
      <w:spacing w:after="0" w:line="240" w:lineRule="auto"/>
    </w:pPr>
  </w:style>
  <w:style w:type="table" w:customStyle="1" w:styleId="170">
    <w:name w:val="List Table 5 Dark - Accent 5"/>
    <w:autoRedefine/>
    <w:qFormat/>
    <w:uiPriority w:val="99"/>
    <w:pPr>
      <w:spacing w:after="0" w:line="240" w:lineRule="auto"/>
    </w:pPr>
  </w:style>
  <w:style w:type="table" w:customStyle="1" w:styleId="171">
    <w:name w:val="List Table 5 Dark - Accent 6"/>
    <w:autoRedefine/>
    <w:qFormat/>
    <w:uiPriority w:val="99"/>
    <w:pPr>
      <w:spacing w:after="0" w:line="240" w:lineRule="auto"/>
    </w:pPr>
  </w:style>
  <w:style w:type="table" w:customStyle="1" w:styleId="172">
    <w:name w:val="List Table 6 Colorful"/>
    <w:autoRedefine/>
    <w:qFormat/>
    <w:uiPriority w:val="99"/>
    <w:pPr>
      <w:spacing w:after="0" w:line="240" w:lineRule="auto"/>
    </w:pPr>
  </w:style>
  <w:style w:type="table" w:customStyle="1" w:styleId="173">
    <w:name w:val="List Table 6 Colorful - Accent 1"/>
    <w:autoRedefine/>
    <w:qFormat/>
    <w:uiPriority w:val="99"/>
    <w:pPr>
      <w:spacing w:after="0" w:line="240" w:lineRule="auto"/>
    </w:pPr>
  </w:style>
  <w:style w:type="table" w:customStyle="1" w:styleId="174">
    <w:name w:val="List Table 6 Colorful - Accent 2"/>
    <w:autoRedefine/>
    <w:qFormat/>
    <w:uiPriority w:val="99"/>
    <w:pPr>
      <w:spacing w:after="0" w:line="240" w:lineRule="auto"/>
    </w:pPr>
  </w:style>
  <w:style w:type="table" w:customStyle="1" w:styleId="175">
    <w:name w:val="List Table 6 Colorful - Accent 3"/>
    <w:autoRedefine/>
    <w:qFormat/>
    <w:uiPriority w:val="99"/>
    <w:pPr>
      <w:spacing w:after="0" w:line="240" w:lineRule="auto"/>
    </w:pPr>
  </w:style>
  <w:style w:type="table" w:customStyle="1" w:styleId="176">
    <w:name w:val="List Table 6 Colorful - Accent 4"/>
    <w:autoRedefine/>
    <w:qFormat/>
    <w:uiPriority w:val="99"/>
    <w:pPr>
      <w:spacing w:after="0" w:line="240" w:lineRule="auto"/>
    </w:pPr>
  </w:style>
  <w:style w:type="table" w:customStyle="1" w:styleId="177">
    <w:name w:val="List Table 6 Colorful - Accent 5"/>
    <w:autoRedefine/>
    <w:qFormat/>
    <w:uiPriority w:val="99"/>
    <w:pPr>
      <w:spacing w:after="0" w:line="240" w:lineRule="auto"/>
    </w:pPr>
  </w:style>
  <w:style w:type="table" w:customStyle="1" w:styleId="178">
    <w:name w:val="List Table 6 Colorful - Accent 6"/>
    <w:autoRedefine/>
    <w:qFormat/>
    <w:uiPriority w:val="99"/>
    <w:pPr>
      <w:spacing w:after="0" w:line="240" w:lineRule="auto"/>
    </w:pPr>
  </w:style>
  <w:style w:type="table" w:customStyle="1" w:styleId="179">
    <w:name w:val="List Table 7 Colorful"/>
    <w:autoRedefine/>
    <w:qFormat/>
    <w:uiPriority w:val="99"/>
    <w:pPr>
      <w:spacing w:after="0" w:line="240" w:lineRule="auto"/>
    </w:pPr>
  </w:style>
  <w:style w:type="table" w:customStyle="1" w:styleId="180">
    <w:name w:val="List Table 7 Colorful - Accent 1"/>
    <w:autoRedefine/>
    <w:qFormat/>
    <w:uiPriority w:val="99"/>
    <w:pPr>
      <w:spacing w:after="0" w:line="240" w:lineRule="auto"/>
    </w:pPr>
  </w:style>
  <w:style w:type="table" w:customStyle="1" w:styleId="181">
    <w:name w:val="List Table 7 Colorful - Accent 2"/>
    <w:autoRedefine/>
    <w:qFormat/>
    <w:uiPriority w:val="99"/>
    <w:pPr>
      <w:spacing w:after="0" w:line="240" w:lineRule="auto"/>
    </w:pPr>
  </w:style>
  <w:style w:type="table" w:customStyle="1" w:styleId="182">
    <w:name w:val="List Table 7 Colorful - Accent 3"/>
    <w:autoRedefine/>
    <w:qFormat/>
    <w:uiPriority w:val="99"/>
    <w:pPr>
      <w:spacing w:after="0" w:line="240" w:lineRule="auto"/>
    </w:pPr>
  </w:style>
  <w:style w:type="table" w:customStyle="1" w:styleId="183">
    <w:name w:val="List Table 7 Colorful - Accent 4"/>
    <w:autoRedefine/>
    <w:qFormat/>
    <w:uiPriority w:val="99"/>
    <w:pPr>
      <w:spacing w:after="0" w:line="240" w:lineRule="auto"/>
    </w:pPr>
  </w:style>
  <w:style w:type="table" w:customStyle="1" w:styleId="184">
    <w:name w:val="List Table 7 Colorful - Accent 5"/>
    <w:autoRedefine/>
    <w:qFormat/>
    <w:uiPriority w:val="99"/>
    <w:pPr>
      <w:spacing w:after="0" w:line="240" w:lineRule="auto"/>
    </w:pPr>
  </w:style>
  <w:style w:type="table" w:customStyle="1" w:styleId="185">
    <w:name w:val="List Table 7 Colorful - Accent 6"/>
    <w:autoRedefine/>
    <w:qFormat/>
    <w:uiPriority w:val="99"/>
    <w:pPr>
      <w:spacing w:after="0" w:line="240" w:lineRule="auto"/>
    </w:pPr>
  </w:style>
  <w:style w:type="table" w:customStyle="1" w:styleId="186">
    <w:name w:val="Lined - Accent"/>
    <w:autoRedefine/>
    <w:qFormat/>
    <w:uiPriority w:val="99"/>
    <w:pPr>
      <w:spacing w:after="0" w:line="240" w:lineRule="auto"/>
    </w:pPr>
    <w:rPr>
      <w:color w:val="404040"/>
    </w:rPr>
  </w:style>
  <w:style w:type="table" w:customStyle="1" w:styleId="187">
    <w:name w:val="Lined - Accent 1"/>
    <w:autoRedefine/>
    <w:qFormat/>
    <w:uiPriority w:val="99"/>
    <w:pPr>
      <w:spacing w:after="0" w:line="240" w:lineRule="auto"/>
    </w:pPr>
    <w:rPr>
      <w:color w:val="404040"/>
    </w:rPr>
  </w:style>
  <w:style w:type="table" w:customStyle="1" w:styleId="188">
    <w:name w:val="Lined - Accent 2"/>
    <w:autoRedefine/>
    <w:qFormat/>
    <w:uiPriority w:val="99"/>
    <w:pPr>
      <w:spacing w:after="0" w:line="240" w:lineRule="auto"/>
    </w:pPr>
    <w:rPr>
      <w:color w:val="404040"/>
    </w:rPr>
  </w:style>
  <w:style w:type="table" w:customStyle="1" w:styleId="189">
    <w:name w:val="Lined - Accent 3"/>
    <w:autoRedefine/>
    <w:qFormat/>
    <w:uiPriority w:val="99"/>
    <w:pPr>
      <w:spacing w:after="0" w:line="240" w:lineRule="auto"/>
    </w:pPr>
    <w:rPr>
      <w:color w:val="404040"/>
    </w:rPr>
  </w:style>
  <w:style w:type="table" w:customStyle="1" w:styleId="190">
    <w:name w:val="Lined - Accent 4"/>
    <w:autoRedefine/>
    <w:qFormat/>
    <w:uiPriority w:val="99"/>
    <w:pPr>
      <w:spacing w:after="0" w:line="240" w:lineRule="auto"/>
    </w:pPr>
    <w:rPr>
      <w:color w:val="404040"/>
    </w:rPr>
  </w:style>
  <w:style w:type="table" w:customStyle="1" w:styleId="191">
    <w:name w:val="Lined - Accent 5"/>
    <w:autoRedefine/>
    <w:qFormat/>
    <w:uiPriority w:val="99"/>
    <w:pPr>
      <w:spacing w:after="0" w:line="240" w:lineRule="auto"/>
    </w:pPr>
    <w:rPr>
      <w:color w:val="404040"/>
    </w:rPr>
  </w:style>
  <w:style w:type="table" w:customStyle="1" w:styleId="192">
    <w:name w:val="Lined - Accent 6"/>
    <w:autoRedefine/>
    <w:qFormat/>
    <w:uiPriority w:val="99"/>
    <w:pPr>
      <w:spacing w:after="0" w:line="240" w:lineRule="auto"/>
    </w:pPr>
    <w:rPr>
      <w:color w:val="404040"/>
    </w:rPr>
  </w:style>
  <w:style w:type="table" w:customStyle="1" w:styleId="193">
    <w:name w:val="Bordered &amp; Lined - Accent"/>
    <w:autoRedefine/>
    <w:qFormat/>
    <w:uiPriority w:val="99"/>
    <w:pPr>
      <w:spacing w:after="0" w:line="240" w:lineRule="auto"/>
    </w:pPr>
    <w:rPr>
      <w:color w:val="404040"/>
    </w:rPr>
  </w:style>
  <w:style w:type="table" w:customStyle="1" w:styleId="194">
    <w:name w:val="Bordered &amp; Lined - Accent 1"/>
    <w:autoRedefine/>
    <w:qFormat/>
    <w:uiPriority w:val="99"/>
    <w:pPr>
      <w:spacing w:after="0" w:line="240" w:lineRule="auto"/>
    </w:pPr>
    <w:rPr>
      <w:color w:val="404040"/>
    </w:rPr>
  </w:style>
  <w:style w:type="table" w:customStyle="1" w:styleId="195">
    <w:name w:val="Bordered &amp; Lined - Accent 2"/>
    <w:autoRedefine/>
    <w:qFormat/>
    <w:uiPriority w:val="99"/>
    <w:pPr>
      <w:spacing w:after="0" w:line="240" w:lineRule="auto"/>
    </w:pPr>
    <w:rPr>
      <w:color w:val="404040"/>
    </w:rPr>
  </w:style>
  <w:style w:type="table" w:customStyle="1" w:styleId="196">
    <w:name w:val="Bordered &amp; Lined - Accent 3"/>
    <w:autoRedefine/>
    <w:qFormat/>
    <w:uiPriority w:val="99"/>
    <w:pPr>
      <w:spacing w:after="0" w:line="240" w:lineRule="auto"/>
    </w:pPr>
    <w:rPr>
      <w:color w:val="404040"/>
    </w:rPr>
  </w:style>
  <w:style w:type="table" w:customStyle="1" w:styleId="197">
    <w:name w:val="Bordered &amp; Lined - Accent 4"/>
    <w:autoRedefine/>
    <w:qFormat/>
    <w:uiPriority w:val="99"/>
    <w:pPr>
      <w:spacing w:after="0" w:line="240" w:lineRule="auto"/>
    </w:pPr>
    <w:rPr>
      <w:color w:val="404040"/>
    </w:rPr>
  </w:style>
  <w:style w:type="table" w:customStyle="1" w:styleId="198">
    <w:name w:val="Bordered &amp; Lined - Accent 5"/>
    <w:autoRedefine/>
    <w:qFormat/>
    <w:uiPriority w:val="99"/>
    <w:pPr>
      <w:spacing w:after="0" w:line="240" w:lineRule="auto"/>
    </w:pPr>
    <w:rPr>
      <w:color w:val="404040"/>
    </w:rPr>
  </w:style>
  <w:style w:type="table" w:customStyle="1" w:styleId="199">
    <w:name w:val="Bordered &amp; Lined - Accent 6"/>
    <w:autoRedefine/>
    <w:qFormat/>
    <w:uiPriority w:val="99"/>
    <w:pPr>
      <w:spacing w:after="0" w:line="240" w:lineRule="auto"/>
    </w:pPr>
    <w:rPr>
      <w:color w:val="404040"/>
    </w:rPr>
  </w:style>
  <w:style w:type="table" w:customStyle="1" w:styleId="200">
    <w:name w:val="Bordered"/>
    <w:autoRedefine/>
    <w:qFormat/>
    <w:uiPriority w:val="99"/>
    <w:pPr>
      <w:spacing w:after="0" w:line="240" w:lineRule="auto"/>
    </w:pPr>
  </w:style>
  <w:style w:type="table" w:customStyle="1" w:styleId="201">
    <w:name w:val="Bordered - Accent 1"/>
    <w:autoRedefine/>
    <w:qFormat/>
    <w:uiPriority w:val="99"/>
    <w:pPr>
      <w:spacing w:after="0" w:line="240" w:lineRule="auto"/>
    </w:pPr>
  </w:style>
  <w:style w:type="table" w:customStyle="1" w:styleId="202">
    <w:name w:val="Bordered - Accent 2"/>
    <w:autoRedefine/>
    <w:qFormat/>
    <w:uiPriority w:val="99"/>
    <w:pPr>
      <w:spacing w:after="0" w:line="240" w:lineRule="auto"/>
    </w:pPr>
  </w:style>
  <w:style w:type="table" w:customStyle="1" w:styleId="203">
    <w:name w:val="Bordered - Accent 3"/>
    <w:autoRedefine/>
    <w:qFormat/>
    <w:uiPriority w:val="99"/>
    <w:pPr>
      <w:spacing w:after="0" w:line="240" w:lineRule="auto"/>
    </w:pPr>
  </w:style>
  <w:style w:type="table" w:customStyle="1" w:styleId="204">
    <w:name w:val="Bordered - Accent 4"/>
    <w:autoRedefine/>
    <w:qFormat/>
    <w:uiPriority w:val="99"/>
    <w:pPr>
      <w:spacing w:after="0" w:line="240" w:lineRule="auto"/>
    </w:pPr>
  </w:style>
  <w:style w:type="table" w:customStyle="1" w:styleId="205">
    <w:name w:val="Bordered - Accent 5"/>
    <w:autoRedefine/>
    <w:qFormat/>
    <w:uiPriority w:val="99"/>
    <w:pPr>
      <w:spacing w:after="0" w:line="240" w:lineRule="auto"/>
    </w:pPr>
  </w:style>
  <w:style w:type="table" w:customStyle="1" w:styleId="206">
    <w:name w:val="Bordered - Accent 6"/>
    <w:autoRedefine/>
    <w:qFormat/>
    <w:uiPriority w:val="99"/>
    <w:pPr>
      <w:spacing w:after="0" w:line="240" w:lineRule="auto"/>
    </w:pPr>
  </w:style>
  <w:style w:type="paragraph" w:customStyle="1" w:styleId="207">
    <w:name w:val="TOC Heading"/>
    <w:autoRedefine/>
    <w:unhideWhenUsed/>
    <w:qFormat/>
    <w:uiPriority w:val="39"/>
    <w:rPr>
      <w:rFonts w:hint="default" w:ascii="Calibri" w:hAnsi="Calibri" w:eastAsia="宋体" w:cs="Times New Roman"/>
    </w:rPr>
  </w:style>
  <w:style w:type="paragraph" w:customStyle="1" w:styleId="208">
    <w:name w:val="标题 11"/>
    <w:basedOn w:val="1"/>
    <w:next w:val="1"/>
    <w:link w:val="209"/>
    <w:autoRedefine/>
    <w:qFormat/>
    <w:uiPriority w:val="0"/>
    <w:pPr>
      <w:keepNext/>
      <w:jc w:val="center"/>
      <w:outlineLvl w:val="0"/>
    </w:pPr>
    <w:rPr>
      <w:rFonts w:ascii="楷体_GB2312" w:hAnsi="Times New Roman" w:eastAsia="楷体_GB2312" w:cs="Times New Roman"/>
      <w:sz w:val="28"/>
      <w:szCs w:val="28"/>
    </w:rPr>
  </w:style>
  <w:style w:type="character" w:customStyle="1" w:styleId="209">
    <w:name w:val="标题 1 Char"/>
    <w:link w:val="208"/>
    <w:autoRedefine/>
    <w:qFormat/>
    <w:uiPriority w:val="0"/>
    <w:rPr>
      <w:rFonts w:ascii="楷体_GB2312" w:hAnsi="Times New Roman" w:eastAsia="楷体_GB2312" w:cs="Times New Roman"/>
      <w:sz w:val="28"/>
      <w:szCs w:val="28"/>
    </w:rPr>
  </w:style>
  <w:style w:type="paragraph" w:customStyle="1" w:styleId="210">
    <w:name w:val="标题 21"/>
    <w:basedOn w:val="1"/>
    <w:next w:val="211"/>
    <w:link w:val="212"/>
    <w:autoRedefine/>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11">
    <w:name w:val="正文缩进1"/>
    <w:basedOn w:val="1"/>
    <w:link w:val="213"/>
    <w:autoRedefine/>
    <w:qFormat/>
    <w:uiPriority w:val="0"/>
    <w:pPr>
      <w:ind w:firstLine="420"/>
    </w:pPr>
    <w:rPr>
      <w:szCs w:val="21"/>
    </w:rPr>
  </w:style>
  <w:style w:type="character" w:customStyle="1" w:styleId="212">
    <w:name w:val="标题 2 Char"/>
    <w:link w:val="210"/>
    <w:autoRedefine/>
    <w:qFormat/>
    <w:uiPriority w:val="0"/>
    <w:rPr>
      <w:rFonts w:ascii="Arial" w:hAnsi="Arial" w:eastAsia="幼圆" w:cs="Arial"/>
      <w:b/>
      <w:bCs/>
      <w:sz w:val="44"/>
      <w:szCs w:val="44"/>
    </w:rPr>
  </w:style>
  <w:style w:type="character" w:customStyle="1" w:styleId="213">
    <w:name w:val="正文缩进 Char"/>
    <w:link w:val="211"/>
    <w:autoRedefine/>
    <w:qFormat/>
    <w:uiPriority w:val="0"/>
    <w:rPr>
      <w:szCs w:val="21"/>
    </w:rPr>
  </w:style>
  <w:style w:type="paragraph" w:customStyle="1" w:styleId="214">
    <w:name w:val="标题 31"/>
    <w:basedOn w:val="1"/>
    <w:next w:val="211"/>
    <w:link w:val="215"/>
    <w:autoRedefine/>
    <w:qFormat/>
    <w:uiPriority w:val="0"/>
    <w:pPr>
      <w:keepNext/>
      <w:keepLines/>
      <w:spacing w:before="260" w:after="260" w:line="416" w:lineRule="auto"/>
      <w:outlineLvl w:val="2"/>
    </w:pPr>
    <w:rPr>
      <w:rFonts w:ascii="Times New Roman" w:hAnsi="Times New Roman" w:eastAsia="宋体" w:cs="Times New Roman"/>
      <w:b/>
      <w:bCs/>
      <w:sz w:val="32"/>
      <w:szCs w:val="32"/>
    </w:rPr>
  </w:style>
  <w:style w:type="character" w:customStyle="1" w:styleId="215">
    <w:name w:val="标题 3 Char"/>
    <w:link w:val="214"/>
    <w:autoRedefine/>
    <w:qFormat/>
    <w:uiPriority w:val="0"/>
    <w:rPr>
      <w:rFonts w:ascii="Times New Roman" w:hAnsi="Times New Roman" w:eastAsia="宋体" w:cs="Times New Roman"/>
      <w:b/>
      <w:bCs/>
      <w:sz w:val="32"/>
      <w:szCs w:val="32"/>
    </w:rPr>
  </w:style>
  <w:style w:type="paragraph" w:customStyle="1" w:styleId="216">
    <w:name w:val="标题 41"/>
    <w:basedOn w:val="1"/>
    <w:next w:val="211"/>
    <w:link w:val="217"/>
    <w:autoRedefine/>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17">
    <w:name w:val="标题 4 Char"/>
    <w:link w:val="216"/>
    <w:autoRedefine/>
    <w:qFormat/>
    <w:uiPriority w:val="0"/>
    <w:rPr>
      <w:rFonts w:ascii="Arial" w:hAnsi="Arial" w:eastAsia="黑体" w:cs="Arial"/>
      <w:b/>
      <w:bCs/>
      <w:sz w:val="28"/>
      <w:szCs w:val="28"/>
    </w:rPr>
  </w:style>
  <w:style w:type="paragraph" w:customStyle="1" w:styleId="218">
    <w:name w:val="标题 51"/>
    <w:basedOn w:val="1"/>
    <w:next w:val="211"/>
    <w:link w:val="219"/>
    <w:autoRedefine/>
    <w:qFormat/>
    <w:uiPriority w:val="0"/>
    <w:pPr>
      <w:keepNext/>
      <w:outlineLvl w:val="4"/>
    </w:pPr>
    <w:rPr>
      <w:rFonts w:ascii="宋体" w:hAnsi="Times New Roman" w:eastAsia="宋体" w:cs="Times New Roman"/>
      <w:color w:val="000000"/>
      <w:sz w:val="28"/>
      <w:szCs w:val="28"/>
    </w:rPr>
  </w:style>
  <w:style w:type="character" w:customStyle="1" w:styleId="219">
    <w:name w:val="标题 5 Char"/>
    <w:link w:val="218"/>
    <w:autoRedefine/>
    <w:qFormat/>
    <w:uiPriority w:val="0"/>
    <w:rPr>
      <w:rFonts w:ascii="宋体" w:hAnsi="Times New Roman" w:eastAsia="宋体" w:cs="Times New Roman"/>
      <w:color w:val="000000"/>
      <w:sz w:val="28"/>
      <w:szCs w:val="28"/>
    </w:rPr>
  </w:style>
  <w:style w:type="paragraph" w:customStyle="1" w:styleId="220">
    <w:name w:val="标题 61"/>
    <w:basedOn w:val="1"/>
    <w:next w:val="1"/>
    <w:link w:val="221"/>
    <w:autoRedefine/>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character" w:customStyle="1" w:styleId="221">
    <w:name w:val="标题 6 Char"/>
    <w:link w:val="220"/>
    <w:autoRedefine/>
    <w:qFormat/>
    <w:uiPriority w:val="0"/>
    <w:rPr>
      <w:rFonts w:ascii="Arial" w:hAnsi="Arial" w:eastAsia="黑体" w:cs="Times New Roman"/>
      <w:b/>
      <w:bCs/>
      <w:sz w:val="24"/>
      <w:szCs w:val="24"/>
    </w:rPr>
  </w:style>
  <w:style w:type="paragraph" w:customStyle="1" w:styleId="222">
    <w:name w:val="标题 71"/>
    <w:basedOn w:val="1"/>
    <w:next w:val="1"/>
    <w:link w:val="223"/>
    <w:autoRedefine/>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character" w:customStyle="1" w:styleId="223">
    <w:name w:val="标题 7 Char"/>
    <w:link w:val="222"/>
    <w:autoRedefine/>
    <w:qFormat/>
    <w:uiPriority w:val="0"/>
    <w:rPr>
      <w:rFonts w:ascii="Times New Roman" w:hAnsi="Times New Roman" w:eastAsia="宋体" w:cs="Times New Roman"/>
      <w:b/>
      <w:bCs/>
      <w:sz w:val="24"/>
      <w:szCs w:val="24"/>
    </w:rPr>
  </w:style>
  <w:style w:type="paragraph" w:customStyle="1" w:styleId="224">
    <w:name w:val="标题 81"/>
    <w:basedOn w:val="1"/>
    <w:next w:val="1"/>
    <w:link w:val="225"/>
    <w:autoRedefine/>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character" w:customStyle="1" w:styleId="225">
    <w:name w:val="标题 8 Char"/>
    <w:link w:val="224"/>
    <w:autoRedefine/>
    <w:qFormat/>
    <w:uiPriority w:val="0"/>
    <w:rPr>
      <w:rFonts w:ascii="Arial" w:hAnsi="Arial" w:eastAsia="黑体" w:cs="Times New Roman"/>
      <w:sz w:val="24"/>
      <w:szCs w:val="24"/>
    </w:rPr>
  </w:style>
  <w:style w:type="paragraph" w:customStyle="1" w:styleId="226">
    <w:name w:val="标题 91"/>
    <w:basedOn w:val="1"/>
    <w:next w:val="1"/>
    <w:link w:val="227"/>
    <w:autoRedefine/>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227">
    <w:name w:val="标题 9 Char"/>
    <w:link w:val="226"/>
    <w:autoRedefine/>
    <w:qFormat/>
    <w:uiPriority w:val="0"/>
    <w:rPr>
      <w:rFonts w:ascii="Arial" w:hAnsi="Arial" w:eastAsia="黑体" w:cs="Times New Roman"/>
      <w:szCs w:val="21"/>
    </w:rPr>
  </w:style>
  <w:style w:type="character" w:customStyle="1" w:styleId="228">
    <w:name w:val="默认段落字体1"/>
    <w:link w:val="1"/>
    <w:autoRedefine/>
    <w:unhideWhenUsed/>
    <w:qFormat/>
    <w:uiPriority w:val="1"/>
  </w:style>
  <w:style w:type="table" w:customStyle="1" w:styleId="229">
    <w:name w:val="普通表格1"/>
    <w:autoRedefine/>
    <w:unhideWhenUsed/>
    <w:qFormat/>
    <w:uiPriority w:val="99"/>
  </w:style>
  <w:style w:type="paragraph" w:customStyle="1" w:styleId="230">
    <w:name w:val="列表 31"/>
    <w:basedOn w:val="1"/>
    <w:autoRedefine/>
    <w:qFormat/>
    <w:uiPriority w:val="0"/>
    <w:pPr>
      <w:ind w:left="100" w:hanging="200"/>
    </w:pPr>
    <w:rPr>
      <w:rFonts w:ascii="Times New Roman" w:hAnsi="Times New Roman" w:eastAsia="宋体" w:cs="Times New Roman"/>
      <w:szCs w:val="21"/>
    </w:rPr>
  </w:style>
  <w:style w:type="paragraph" w:customStyle="1" w:styleId="231">
    <w:name w:val="目录 71"/>
    <w:basedOn w:val="1"/>
    <w:next w:val="1"/>
    <w:autoRedefine/>
    <w:semiHidden/>
    <w:qFormat/>
    <w:uiPriority w:val="0"/>
    <w:pPr>
      <w:ind w:left="1260"/>
      <w:jc w:val="left"/>
    </w:pPr>
    <w:rPr>
      <w:rFonts w:ascii="Times New Roman" w:hAnsi="Times New Roman" w:eastAsia="宋体" w:cs="Times New Roman"/>
      <w:szCs w:val="21"/>
    </w:rPr>
  </w:style>
  <w:style w:type="paragraph" w:customStyle="1" w:styleId="232">
    <w:name w:val="文档结构图1"/>
    <w:basedOn w:val="1"/>
    <w:link w:val="233"/>
    <w:autoRedefine/>
    <w:semiHidden/>
    <w:qFormat/>
    <w:uiPriority w:val="0"/>
    <w:pPr>
      <w:shd w:val="clear" w:color="auto" w:fill="000080"/>
    </w:pPr>
    <w:rPr>
      <w:rFonts w:ascii="Times New Roman" w:hAnsi="Times New Roman" w:eastAsia="宋体" w:cs="Times New Roman"/>
      <w:szCs w:val="21"/>
    </w:rPr>
  </w:style>
  <w:style w:type="character" w:customStyle="1" w:styleId="233">
    <w:name w:val="文档结构图 Char"/>
    <w:link w:val="232"/>
    <w:autoRedefine/>
    <w:semiHidden/>
    <w:qFormat/>
    <w:uiPriority w:val="0"/>
    <w:rPr>
      <w:rFonts w:ascii="Times New Roman" w:hAnsi="Times New Roman" w:eastAsia="宋体" w:cs="Times New Roman"/>
      <w:szCs w:val="21"/>
      <w:shd w:val="clear" w:color="auto" w:fill="000080"/>
    </w:rPr>
  </w:style>
  <w:style w:type="paragraph" w:customStyle="1" w:styleId="234">
    <w:name w:val="批注文字1"/>
    <w:basedOn w:val="1"/>
    <w:link w:val="235"/>
    <w:autoRedefine/>
    <w:unhideWhenUsed/>
    <w:qFormat/>
    <w:uiPriority w:val="0"/>
    <w:pPr>
      <w:jc w:val="left"/>
    </w:pPr>
  </w:style>
  <w:style w:type="character" w:customStyle="1" w:styleId="235">
    <w:name w:val="批注文字 Char"/>
    <w:link w:val="234"/>
    <w:autoRedefine/>
    <w:semiHidden/>
    <w:qFormat/>
    <w:uiPriority w:val="99"/>
  </w:style>
  <w:style w:type="paragraph" w:customStyle="1" w:styleId="236">
    <w:name w:val="正文文本 31"/>
    <w:basedOn w:val="1"/>
    <w:link w:val="237"/>
    <w:autoRedefine/>
    <w:qFormat/>
    <w:uiPriority w:val="0"/>
    <w:rPr>
      <w:rFonts w:ascii="仿宋_GB2312" w:hAnsi="Arial" w:eastAsia="仿宋_GB2312" w:cs="Times New Roman"/>
      <w:sz w:val="32"/>
      <w:szCs w:val="32"/>
    </w:rPr>
  </w:style>
  <w:style w:type="character" w:customStyle="1" w:styleId="237">
    <w:name w:val="正文文本 3 Char"/>
    <w:link w:val="236"/>
    <w:autoRedefine/>
    <w:qFormat/>
    <w:uiPriority w:val="0"/>
    <w:rPr>
      <w:rFonts w:ascii="仿宋_GB2312" w:hAnsi="Arial" w:eastAsia="仿宋_GB2312" w:cs="Times New Roman"/>
      <w:sz w:val="32"/>
      <w:szCs w:val="32"/>
    </w:rPr>
  </w:style>
  <w:style w:type="paragraph" w:customStyle="1" w:styleId="238">
    <w:name w:val="正文文本缩进1"/>
    <w:basedOn w:val="1"/>
    <w:link w:val="239"/>
    <w:autoRedefine/>
    <w:unhideWhenUsed/>
    <w:qFormat/>
    <w:uiPriority w:val="0"/>
    <w:pPr>
      <w:spacing w:after="120"/>
      <w:ind w:left="420"/>
    </w:pPr>
  </w:style>
  <w:style w:type="character" w:customStyle="1" w:styleId="239">
    <w:name w:val="正文文本缩进 Char"/>
    <w:link w:val="238"/>
    <w:autoRedefine/>
    <w:semiHidden/>
    <w:qFormat/>
    <w:uiPriority w:val="99"/>
  </w:style>
  <w:style w:type="paragraph" w:customStyle="1" w:styleId="240">
    <w:name w:val="列表 21"/>
    <w:basedOn w:val="1"/>
    <w:autoRedefine/>
    <w:qFormat/>
    <w:uiPriority w:val="0"/>
    <w:pPr>
      <w:ind w:left="100" w:hanging="200"/>
    </w:pPr>
    <w:rPr>
      <w:rFonts w:ascii="Times New Roman" w:hAnsi="Times New Roman" w:eastAsia="宋体" w:cs="Times New Roman"/>
      <w:szCs w:val="21"/>
    </w:rPr>
  </w:style>
  <w:style w:type="paragraph" w:customStyle="1" w:styleId="241">
    <w:name w:val="目录 51"/>
    <w:basedOn w:val="1"/>
    <w:next w:val="1"/>
    <w:autoRedefine/>
    <w:semiHidden/>
    <w:qFormat/>
    <w:uiPriority w:val="0"/>
    <w:pPr>
      <w:ind w:left="840"/>
      <w:jc w:val="left"/>
    </w:pPr>
    <w:rPr>
      <w:rFonts w:ascii="Times New Roman" w:hAnsi="Times New Roman" w:eastAsia="宋体" w:cs="Times New Roman"/>
      <w:szCs w:val="21"/>
    </w:rPr>
  </w:style>
  <w:style w:type="paragraph" w:customStyle="1" w:styleId="242">
    <w:name w:val="目录 31"/>
    <w:basedOn w:val="1"/>
    <w:next w:val="1"/>
    <w:autoRedefine/>
    <w:semiHidden/>
    <w:qFormat/>
    <w:uiPriority w:val="0"/>
    <w:pPr>
      <w:ind w:left="420"/>
      <w:jc w:val="left"/>
    </w:pPr>
    <w:rPr>
      <w:rFonts w:ascii="Times New Roman" w:hAnsi="Times New Roman" w:eastAsia="宋体" w:cs="Times New Roman"/>
      <w:i/>
      <w:iCs/>
      <w:szCs w:val="24"/>
    </w:rPr>
  </w:style>
  <w:style w:type="paragraph" w:customStyle="1" w:styleId="243">
    <w:name w:val="纯文本1"/>
    <w:basedOn w:val="1"/>
    <w:link w:val="244"/>
    <w:autoRedefine/>
    <w:qFormat/>
    <w:uiPriority w:val="0"/>
    <w:rPr>
      <w:rFonts w:ascii="宋体" w:hAnsi="Courier New" w:eastAsia="宋体" w:cs="Courier New"/>
      <w:szCs w:val="21"/>
    </w:rPr>
  </w:style>
  <w:style w:type="character" w:customStyle="1" w:styleId="244">
    <w:name w:val="纯文本 Char"/>
    <w:link w:val="243"/>
    <w:autoRedefine/>
    <w:qFormat/>
    <w:uiPriority w:val="0"/>
    <w:rPr>
      <w:rFonts w:ascii="宋体" w:hAnsi="Courier New" w:eastAsia="宋体" w:cs="Courier New"/>
      <w:szCs w:val="21"/>
    </w:rPr>
  </w:style>
  <w:style w:type="paragraph" w:customStyle="1" w:styleId="245">
    <w:name w:val="目录 81"/>
    <w:basedOn w:val="1"/>
    <w:next w:val="1"/>
    <w:autoRedefine/>
    <w:semiHidden/>
    <w:qFormat/>
    <w:uiPriority w:val="0"/>
    <w:pPr>
      <w:ind w:left="1470"/>
      <w:jc w:val="left"/>
    </w:pPr>
    <w:rPr>
      <w:rFonts w:ascii="Times New Roman" w:hAnsi="Times New Roman" w:eastAsia="宋体" w:cs="Times New Roman"/>
      <w:szCs w:val="21"/>
    </w:rPr>
  </w:style>
  <w:style w:type="paragraph" w:customStyle="1" w:styleId="246">
    <w:name w:val="日期1"/>
    <w:basedOn w:val="1"/>
    <w:next w:val="1"/>
    <w:link w:val="247"/>
    <w:autoRedefine/>
    <w:qFormat/>
    <w:uiPriority w:val="0"/>
    <w:rPr>
      <w:rFonts w:ascii="Times New Roman" w:hAnsi="Times New Roman" w:eastAsia="宋体" w:cs="Times New Roman"/>
      <w:sz w:val="24"/>
      <w:szCs w:val="24"/>
    </w:rPr>
  </w:style>
  <w:style w:type="character" w:customStyle="1" w:styleId="247">
    <w:name w:val="日期 Char"/>
    <w:link w:val="246"/>
    <w:autoRedefine/>
    <w:qFormat/>
    <w:uiPriority w:val="0"/>
    <w:rPr>
      <w:rFonts w:ascii="Times New Roman" w:hAnsi="Times New Roman" w:eastAsia="宋体" w:cs="Times New Roman"/>
      <w:sz w:val="24"/>
      <w:szCs w:val="24"/>
    </w:rPr>
  </w:style>
  <w:style w:type="paragraph" w:customStyle="1" w:styleId="248">
    <w:name w:val="正文文本缩进 21"/>
    <w:basedOn w:val="1"/>
    <w:link w:val="249"/>
    <w:autoRedefine/>
    <w:qFormat/>
    <w:uiPriority w:val="0"/>
    <w:pPr>
      <w:ind w:left="630" w:firstLine="645"/>
    </w:pPr>
    <w:rPr>
      <w:rFonts w:ascii="Arial" w:hAnsi="Arial" w:eastAsia="仿宋_GB2312" w:cs="Arial"/>
      <w:sz w:val="32"/>
      <w:szCs w:val="32"/>
    </w:rPr>
  </w:style>
  <w:style w:type="character" w:customStyle="1" w:styleId="249">
    <w:name w:val="正文文本缩进 2 Char"/>
    <w:link w:val="248"/>
    <w:autoRedefine/>
    <w:qFormat/>
    <w:uiPriority w:val="0"/>
    <w:rPr>
      <w:rFonts w:ascii="Arial" w:hAnsi="Arial" w:eastAsia="仿宋_GB2312" w:cs="Arial"/>
      <w:sz w:val="32"/>
      <w:szCs w:val="32"/>
    </w:rPr>
  </w:style>
  <w:style w:type="paragraph" w:customStyle="1" w:styleId="250">
    <w:name w:val="批注框文本1"/>
    <w:basedOn w:val="1"/>
    <w:link w:val="251"/>
    <w:autoRedefine/>
    <w:semiHidden/>
    <w:qFormat/>
    <w:uiPriority w:val="0"/>
    <w:rPr>
      <w:rFonts w:ascii="Times New Roman" w:hAnsi="Times New Roman" w:eastAsia="宋体" w:cs="Times New Roman"/>
      <w:sz w:val="18"/>
      <w:szCs w:val="18"/>
    </w:rPr>
  </w:style>
  <w:style w:type="character" w:customStyle="1" w:styleId="251">
    <w:name w:val="批注框文本 Char"/>
    <w:link w:val="250"/>
    <w:autoRedefine/>
    <w:semiHidden/>
    <w:qFormat/>
    <w:uiPriority w:val="0"/>
    <w:rPr>
      <w:rFonts w:ascii="Times New Roman" w:hAnsi="Times New Roman" w:eastAsia="宋体" w:cs="Times New Roman"/>
      <w:sz w:val="18"/>
      <w:szCs w:val="18"/>
    </w:rPr>
  </w:style>
  <w:style w:type="paragraph" w:customStyle="1" w:styleId="252">
    <w:name w:val="页脚1"/>
    <w:basedOn w:val="1"/>
    <w:link w:val="253"/>
    <w:autoRedefine/>
    <w:qFormat/>
    <w:uiPriority w:val="99"/>
    <w:pPr>
      <w:tabs>
        <w:tab w:val="center" w:pos="4153"/>
        <w:tab w:val="right" w:pos="8306"/>
      </w:tabs>
      <w:jc w:val="left"/>
    </w:pPr>
    <w:rPr>
      <w:rFonts w:ascii="Times New Roman" w:hAnsi="Times New Roman" w:eastAsia="宋体" w:cs="Times New Roman"/>
      <w:sz w:val="18"/>
      <w:szCs w:val="18"/>
    </w:rPr>
  </w:style>
  <w:style w:type="character" w:customStyle="1" w:styleId="253">
    <w:name w:val="页脚 Char"/>
    <w:link w:val="252"/>
    <w:autoRedefine/>
    <w:qFormat/>
    <w:uiPriority w:val="99"/>
    <w:rPr>
      <w:rFonts w:ascii="Times New Roman" w:hAnsi="Times New Roman" w:eastAsia="宋体" w:cs="Times New Roman"/>
      <w:sz w:val="18"/>
      <w:szCs w:val="18"/>
    </w:rPr>
  </w:style>
  <w:style w:type="paragraph" w:customStyle="1" w:styleId="254">
    <w:name w:val="页眉1"/>
    <w:basedOn w:val="1"/>
    <w:link w:val="255"/>
    <w:autoRedefine/>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55">
    <w:name w:val="页眉 Char"/>
    <w:link w:val="254"/>
    <w:autoRedefine/>
    <w:qFormat/>
    <w:uiPriority w:val="0"/>
    <w:rPr>
      <w:rFonts w:ascii="Times New Roman" w:hAnsi="Times New Roman" w:eastAsia="宋体" w:cs="Times New Roman"/>
      <w:sz w:val="18"/>
      <w:szCs w:val="18"/>
    </w:rPr>
  </w:style>
  <w:style w:type="paragraph" w:customStyle="1" w:styleId="256">
    <w:name w:val="目录 11"/>
    <w:basedOn w:val="1"/>
    <w:next w:val="1"/>
    <w:autoRedefine/>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57">
    <w:name w:val="目录 41"/>
    <w:basedOn w:val="1"/>
    <w:next w:val="1"/>
    <w:autoRedefine/>
    <w:semiHidden/>
    <w:qFormat/>
    <w:uiPriority w:val="0"/>
    <w:pPr>
      <w:ind w:left="630"/>
      <w:jc w:val="left"/>
    </w:pPr>
    <w:rPr>
      <w:rFonts w:ascii="Times New Roman" w:hAnsi="Times New Roman" w:eastAsia="宋体" w:cs="Times New Roman"/>
      <w:szCs w:val="21"/>
    </w:rPr>
  </w:style>
  <w:style w:type="paragraph" w:customStyle="1" w:styleId="258">
    <w:name w:val="列表1"/>
    <w:basedOn w:val="1"/>
    <w:autoRedefine/>
    <w:qFormat/>
    <w:uiPriority w:val="0"/>
    <w:pPr>
      <w:ind w:left="200" w:hanging="200"/>
    </w:pPr>
    <w:rPr>
      <w:rFonts w:ascii="Times New Roman" w:hAnsi="Times New Roman" w:eastAsia="宋体" w:cs="Times New Roman"/>
      <w:szCs w:val="21"/>
    </w:rPr>
  </w:style>
  <w:style w:type="paragraph" w:customStyle="1" w:styleId="259">
    <w:name w:val="目录 61"/>
    <w:basedOn w:val="1"/>
    <w:next w:val="1"/>
    <w:autoRedefine/>
    <w:semiHidden/>
    <w:qFormat/>
    <w:uiPriority w:val="0"/>
    <w:pPr>
      <w:ind w:left="1050"/>
      <w:jc w:val="left"/>
    </w:pPr>
    <w:rPr>
      <w:rFonts w:ascii="Times New Roman" w:hAnsi="Times New Roman" w:eastAsia="宋体" w:cs="Times New Roman"/>
      <w:szCs w:val="21"/>
    </w:rPr>
  </w:style>
  <w:style w:type="paragraph" w:customStyle="1" w:styleId="260">
    <w:name w:val="正文文本缩进 31"/>
    <w:basedOn w:val="1"/>
    <w:link w:val="261"/>
    <w:autoRedefine/>
    <w:qFormat/>
    <w:uiPriority w:val="0"/>
    <w:pPr>
      <w:ind w:left="645" w:firstLine="645"/>
    </w:pPr>
    <w:rPr>
      <w:rFonts w:ascii="Arial" w:hAnsi="Arial" w:eastAsia="仿宋_GB2312" w:cs="Arial"/>
      <w:color w:val="FFFF00"/>
      <w:sz w:val="32"/>
      <w:szCs w:val="32"/>
    </w:rPr>
  </w:style>
  <w:style w:type="character" w:customStyle="1" w:styleId="261">
    <w:name w:val="正文文本缩进 3 Char"/>
    <w:link w:val="260"/>
    <w:autoRedefine/>
    <w:qFormat/>
    <w:uiPriority w:val="0"/>
    <w:rPr>
      <w:rFonts w:ascii="Arial" w:hAnsi="Arial" w:eastAsia="仿宋_GB2312" w:cs="Arial"/>
      <w:color w:val="FFFF00"/>
      <w:sz w:val="32"/>
      <w:szCs w:val="32"/>
    </w:rPr>
  </w:style>
  <w:style w:type="paragraph" w:customStyle="1" w:styleId="262">
    <w:name w:val="图表目录1"/>
    <w:basedOn w:val="1"/>
    <w:next w:val="1"/>
    <w:autoRedefine/>
    <w:semiHidden/>
    <w:qFormat/>
    <w:uiPriority w:val="0"/>
    <w:pPr>
      <w:ind w:left="840" w:hanging="420"/>
    </w:pPr>
    <w:rPr>
      <w:rFonts w:ascii="Times New Roman" w:hAnsi="Times New Roman" w:eastAsia="宋体" w:cs="Times New Roman"/>
      <w:szCs w:val="21"/>
    </w:rPr>
  </w:style>
  <w:style w:type="paragraph" w:customStyle="1" w:styleId="263">
    <w:name w:val="目录 21"/>
    <w:basedOn w:val="1"/>
    <w:next w:val="1"/>
    <w:autoRedefine/>
    <w:semiHidden/>
    <w:qFormat/>
    <w:uiPriority w:val="0"/>
    <w:pPr>
      <w:ind w:left="210"/>
      <w:jc w:val="left"/>
    </w:pPr>
    <w:rPr>
      <w:rFonts w:ascii="Times New Roman" w:hAnsi="Times New Roman" w:eastAsia="宋体" w:cs="Times New Roman"/>
      <w:smallCaps/>
      <w:szCs w:val="24"/>
    </w:rPr>
  </w:style>
  <w:style w:type="paragraph" w:customStyle="1" w:styleId="264">
    <w:name w:val="目录 91"/>
    <w:basedOn w:val="1"/>
    <w:next w:val="1"/>
    <w:autoRedefine/>
    <w:semiHidden/>
    <w:qFormat/>
    <w:uiPriority w:val="0"/>
    <w:pPr>
      <w:ind w:left="1680"/>
      <w:jc w:val="left"/>
    </w:pPr>
    <w:rPr>
      <w:rFonts w:ascii="Times New Roman" w:hAnsi="Times New Roman" w:eastAsia="宋体" w:cs="Times New Roman"/>
      <w:szCs w:val="21"/>
    </w:rPr>
  </w:style>
  <w:style w:type="paragraph" w:customStyle="1" w:styleId="265">
    <w:name w:val="正文文本 21"/>
    <w:basedOn w:val="1"/>
    <w:link w:val="266"/>
    <w:autoRedefine/>
    <w:qFormat/>
    <w:uiPriority w:val="0"/>
    <w:pPr>
      <w:widowControl/>
      <w:jc w:val="center"/>
    </w:pPr>
    <w:rPr>
      <w:rFonts w:ascii="楷体_GB2312" w:hAnsi="Times New Roman" w:eastAsia="楷体_GB2312" w:cs="Times New Roman"/>
      <w:sz w:val="28"/>
      <w:szCs w:val="28"/>
    </w:rPr>
  </w:style>
  <w:style w:type="character" w:customStyle="1" w:styleId="266">
    <w:name w:val="正文文本 2 Char"/>
    <w:link w:val="265"/>
    <w:autoRedefine/>
    <w:qFormat/>
    <w:uiPriority w:val="0"/>
    <w:rPr>
      <w:rFonts w:ascii="楷体_GB2312" w:hAnsi="Times New Roman" w:eastAsia="楷体_GB2312" w:cs="Times New Roman"/>
      <w:sz w:val="28"/>
      <w:szCs w:val="28"/>
    </w:rPr>
  </w:style>
  <w:style w:type="paragraph" w:customStyle="1" w:styleId="267">
    <w:name w:val="普通(网站)1"/>
    <w:basedOn w:val="1"/>
    <w:autoRedefine/>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68">
    <w:name w:val="索引 11"/>
    <w:basedOn w:val="1"/>
    <w:next w:val="1"/>
    <w:autoRedefine/>
    <w:semiHidden/>
    <w:qFormat/>
    <w:uiPriority w:val="0"/>
    <w:pPr>
      <w:spacing w:line="240" w:lineRule="atLeast"/>
    </w:pPr>
    <w:rPr>
      <w:rFonts w:ascii="Times New Roman" w:hAnsi="Times New Roman" w:eastAsia="宋体" w:cs="Times New Roman"/>
      <w:b/>
      <w:bCs/>
      <w:szCs w:val="21"/>
    </w:rPr>
  </w:style>
  <w:style w:type="paragraph" w:customStyle="1" w:styleId="269">
    <w:name w:val="批注主题1"/>
    <w:basedOn w:val="234"/>
    <w:next w:val="234"/>
    <w:link w:val="270"/>
    <w:autoRedefine/>
    <w:semiHidden/>
    <w:qFormat/>
    <w:uiPriority w:val="0"/>
    <w:rPr>
      <w:rFonts w:ascii="Times New Roman" w:hAnsi="Times New Roman" w:eastAsia="宋体" w:cs="Times New Roman"/>
      <w:b/>
      <w:bCs/>
      <w:szCs w:val="21"/>
    </w:rPr>
  </w:style>
  <w:style w:type="character" w:customStyle="1" w:styleId="270">
    <w:name w:val="批注主题 Char"/>
    <w:link w:val="269"/>
    <w:autoRedefine/>
    <w:semiHidden/>
    <w:qFormat/>
    <w:uiPriority w:val="0"/>
    <w:rPr>
      <w:rFonts w:ascii="Times New Roman" w:hAnsi="Times New Roman" w:eastAsia="宋体" w:cs="Times New Roman"/>
      <w:b/>
      <w:bCs/>
      <w:szCs w:val="21"/>
    </w:rPr>
  </w:style>
  <w:style w:type="paragraph" w:customStyle="1" w:styleId="271">
    <w:name w:val="正文首行缩进1"/>
    <w:basedOn w:val="1"/>
    <w:link w:val="272"/>
    <w:autoRedefine/>
    <w:qFormat/>
    <w:uiPriority w:val="0"/>
    <w:pPr>
      <w:spacing w:line="360" w:lineRule="auto"/>
      <w:ind w:firstLine="200"/>
    </w:pPr>
    <w:rPr>
      <w:rFonts w:ascii="仿宋_GB2312" w:hAnsi="Times New Roman" w:eastAsia="仿宋_GB2312" w:cs="Times New Roman"/>
      <w:sz w:val="30"/>
      <w:szCs w:val="30"/>
    </w:rPr>
  </w:style>
  <w:style w:type="character" w:customStyle="1" w:styleId="272">
    <w:name w:val="正文首行缩进 Char"/>
    <w:link w:val="271"/>
    <w:autoRedefine/>
    <w:qFormat/>
    <w:uiPriority w:val="0"/>
    <w:rPr>
      <w:rFonts w:ascii="仿宋_GB2312" w:hAnsi="Times New Roman" w:eastAsia="仿宋_GB2312" w:cs="Times New Roman"/>
      <w:sz w:val="30"/>
      <w:szCs w:val="30"/>
    </w:rPr>
  </w:style>
  <w:style w:type="paragraph" w:customStyle="1" w:styleId="273">
    <w:name w:val="正文首行缩进 21"/>
    <w:basedOn w:val="238"/>
    <w:link w:val="274"/>
    <w:autoRedefine/>
    <w:qFormat/>
    <w:uiPriority w:val="0"/>
    <w:pPr>
      <w:spacing w:after="0" w:line="360" w:lineRule="auto"/>
      <w:ind w:left="0" w:firstLine="420"/>
    </w:pPr>
    <w:rPr>
      <w:rFonts w:ascii="宋体" w:hAnsi="宋体" w:eastAsia="宋体" w:cs="Times New Roman"/>
      <w:szCs w:val="20"/>
    </w:rPr>
  </w:style>
  <w:style w:type="character" w:customStyle="1" w:styleId="274">
    <w:name w:val="正文首行缩进 2 Char"/>
    <w:link w:val="273"/>
    <w:autoRedefine/>
    <w:qFormat/>
    <w:uiPriority w:val="0"/>
    <w:rPr>
      <w:rFonts w:ascii="宋体" w:hAnsi="宋体" w:eastAsia="宋体" w:cs="Times New Roman"/>
      <w:szCs w:val="20"/>
    </w:rPr>
  </w:style>
  <w:style w:type="table" w:customStyle="1" w:styleId="275">
    <w:name w:val="网格型1"/>
    <w:basedOn w:val="229"/>
    <w:autoRedefine/>
    <w:qFormat/>
    <w:uiPriority w:val="0"/>
    <w:pPr>
      <w:widowControl w:val="0"/>
      <w:jc w:val="both"/>
    </w:pPr>
    <w:rPr>
      <w:rFonts w:ascii="Times New Roman" w:hAnsi="Times New Roman" w:eastAsia="宋体" w:cs="Times New Roman"/>
      <w:sz w:val="20"/>
      <w:szCs w:val="20"/>
    </w:rPr>
  </w:style>
  <w:style w:type="character" w:customStyle="1" w:styleId="276">
    <w:name w:val="要点1"/>
    <w:link w:val="1"/>
    <w:autoRedefine/>
    <w:qFormat/>
    <w:uiPriority w:val="0"/>
    <w:rPr>
      <w:b/>
      <w:bCs/>
    </w:rPr>
  </w:style>
  <w:style w:type="character" w:customStyle="1" w:styleId="277">
    <w:name w:val="页码1"/>
    <w:link w:val="1"/>
    <w:autoRedefine/>
    <w:qFormat/>
    <w:uiPriority w:val="0"/>
  </w:style>
  <w:style w:type="character" w:customStyle="1" w:styleId="278">
    <w:name w:val="已访问的超链接1"/>
    <w:link w:val="1"/>
    <w:autoRedefine/>
    <w:qFormat/>
    <w:uiPriority w:val="0"/>
    <w:rPr>
      <w:color w:val="800080"/>
      <w:u w:val="single"/>
    </w:rPr>
  </w:style>
  <w:style w:type="character" w:customStyle="1" w:styleId="279">
    <w:name w:val="强调1"/>
    <w:basedOn w:val="228"/>
    <w:link w:val="1"/>
    <w:autoRedefine/>
    <w:qFormat/>
    <w:uiPriority w:val="0"/>
    <w:rPr>
      <w:i/>
    </w:rPr>
  </w:style>
  <w:style w:type="character" w:customStyle="1" w:styleId="280">
    <w:name w:val="超链接1"/>
    <w:link w:val="1"/>
    <w:autoRedefine/>
    <w:qFormat/>
    <w:uiPriority w:val="0"/>
    <w:rPr>
      <w:color w:val="0000FF"/>
      <w:u w:val="single"/>
    </w:rPr>
  </w:style>
  <w:style w:type="character" w:customStyle="1" w:styleId="281">
    <w:name w:val="批注引用1"/>
    <w:link w:val="1"/>
    <w:autoRedefine/>
    <w:semiHidden/>
    <w:qFormat/>
    <w:uiPriority w:val="0"/>
    <w:rPr>
      <w:sz w:val="21"/>
      <w:szCs w:val="21"/>
    </w:rPr>
  </w:style>
  <w:style w:type="character" w:customStyle="1" w:styleId="282">
    <w:name w:val="font5 Char"/>
    <w:link w:val="1"/>
    <w:qFormat/>
    <w:uiPriority w:val="0"/>
    <w:rPr>
      <w:rFonts w:ascii="宋体" w:hAnsi="宋体" w:eastAsia="宋体"/>
      <w:sz w:val="28"/>
      <w:szCs w:val="28"/>
      <w:lang w:val="en-US" w:eastAsia="zh-CN" w:bidi="ar-SA"/>
    </w:rPr>
  </w:style>
  <w:style w:type="character" w:customStyle="1" w:styleId="283">
    <w:name w:val="二级目录 Char"/>
    <w:link w:val="284"/>
    <w:autoRedefine/>
    <w:qFormat/>
    <w:uiPriority w:val="0"/>
    <w:rPr>
      <w:b/>
      <w:sz w:val="30"/>
      <w:szCs w:val="28"/>
    </w:rPr>
  </w:style>
  <w:style w:type="paragraph" w:customStyle="1" w:styleId="284">
    <w:name w:val="二级目录"/>
    <w:next w:val="1"/>
    <w:link w:val="283"/>
    <w:autoRedefine/>
    <w:qFormat/>
    <w:uiPriority w:val="0"/>
    <w:pPr>
      <w:numPr>
        <w:ilvl w:val="0"/>
        <w:numId w:val="2"/>
      </w:numPr>
      <w:tabs>
        <w:tab w:val="left" w:pos="1145"/>
      </w:tabs>
      <w:ind w:left="907" w:hanging="907"/>
      <w:outlineLvl w:val="1"/>
    </w:pPr>
    <w:rPr>
      <w:rFonts w:hint="default" w:ascii="Calibri" w:hAnsi="Calibri" w:eastAsia="宋体" w:cs="Times New Roman"/>
      <w:b/>
      <w:sz w:val="30"/>
      <w:szCs w:val="28"/>
      <w:lang w:eastAsia="zh-CN"/>
    </w:rPr>
  </w:style>
  <w:style w:type="character" w:customStyle="1" w:styleId="285">
    <w:name w:val="列出段落 Char"/>
    <w:link w:val="286"/>
    <w:autoRedefine/>
    <w:qFormat/>
    <w:uiPriority w:val="0"/>
    <w:rPr>
      <w:rFonts w:ascii="Calibri" w:hAnsi="Calibri"/>
      <w:sz w:val="24"/>
      <w:szCs w:val="24"/>
      <w:lang w:eastAsia="en-US" w:bidi="en-US"/>
    </w:rPr>
  </w:style>
  <w:style w:type="paragraph" w:customStyle="1" w:styleId="286">
    <w:name w:val="列出段落1"/>
    <w:basedOn w:val="1"/>
    <w:link w:val="285"/>
    <w:autoRedefine/>
    <w:qFormat/>
    <w:uiPriority w:val="0"/>
    <w:pPr>
      <w:widowControl/>
      <w:ind w:left="720"/>
      <w:contextualSpacing/>
      <w:jc w:val="left"/>
    </w:pPr>
    <w:rPr>
      <w:rFonts w:ascii="Calibri" w:hAnsi="Calibri"/>
      <w:sz w:val="24"/>
      <w:szCs w:val="24"/>
      <w:lang w:eastAsia="en-US" w:bidi="en-US"/>
    </w:rPr>
  </w:style>
  <w:style w:type="paragraph" w:customStyle="1" w:styleId="287">
    <w:name w:val="Body Text(ch)"/>
    <w:basedOn w:val="1"/>
    <w:next w:val="74"/>
    <w:autoRedefine/>
    <w:qFormat/>
    <w:uiPriority w:val="0"/>
    <w:pPr>
      <w:spacing w:after="120"/>
    </w:pPr>
    <w:rPr>
      <w:rFonts w:ascii="宋体" w:hAnsi="Arial" w:eastAsia="宋体" w:cs="Times New Roman"/>
      <w:bCs/>
      <w:iCs/>
      <w:szCs w:val="24"/>
    </w:rPr>
  </w:style>
  <w:style w:type="paragraph" w:customStyle="1" w:styleId="288">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9">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0">
    <w:name w:val="Char"/>
    <w:basedOn w:val="1"/>
    <w:autoRedefine/>
    <w:qFormat/>
    <w:uiPriority w:val="0"/>
    <w:pPr>
      <w:tabs>
        <w:tab w:val="left" w:pos="360"/>
      </w:tabs>
      <w:ind w:firstLine="200"/>
    </w:pPr>
    <w:rPr>
      <w:rFonts w:ascii="Times New Roman" w:hAnsi="Times New Roman" w:eastAsia="宋体" w:cs="Times New Roman"/>
      <w:sz w:val="28"/>
      <w:szCs w:val="30"/>
    </w:rPr>
  </w:style>
  <w:style w:type="paragraph" w:customStyle="1" w:styleId="291">
    <w:name w:val=" Char"/>
    <w:basedOn w:val="232"/>
    <w:qFormat/>
    <w:uiPriority w:val="0"/>
    <w:rPr>
      <w:rFonts w:ascii="Tahoma" w:hAnsi="Tahoma"/>
      <w:sz w:val="24"/>
      <w:szCs w:val="24"/>
    </w:rPr>
  </w:style>
  <w:style w:type="paragraph" w:customStyle="1" w:styleId="292">
    <w:name w:val="普通正文"/>
    <w:basedOn w:val="1"/>
    <w:autoRedefine/>
    <w:qFormat/>
    <w:uiPriority w:val="0"/>
    <w:pPr>
      <w:spacing w:before="120" w:after="120" w:line="360" w:lineRule="auto"/>
      <w:ind w:firstLine="480"/>
      <w:jc w:val="left"/>
    </w:pPr>
    <w:rPr>
      <w:rFonts w:ascii="Arial" w:hAnsi="Arial" w:eastAsia="宋体" w:cs="Times New Roman"/>
      <w:sz w:val="24"/>
      <w:szCs w:val="24"/>
    </w:rPr>
  </w:style>
  <w:style w:type="paragraph" w:customStyle="1" w:styleId="293">
    <w:name w:val="table_lines"/>
    <w:basedOn w:val="1"/>
    <w:autoRedefine/>
    <w:qFormat/>
    <w:uiPriority w:val="0"/>
    <w:pPr>
      <w:widowControl/>
      <w:jc w:val="left"/>
    </w:pPr>
    <w:rPr>
      <w:rFonts w:ascii="Times New Roman" w:hAnsi="Times New Roman" w:eastAsia="宋体" w:cs="Times New Roman"/>
      <w:sz w:val="20"/>
      <w:szCs w:val="20"/>
      <w:lang w:val="de-DE" w:eastAsia="de-DE"/>
    </w:rPr>
  </w:style>
  <w:style w:type="paragraph" w:customStyle="1" w:styleId="294">
    <w:name w:val="附录1"/>
    <w:autoRedefine/>
    <w:qFormat/>
    <w:uiPriority w:val="0"/>
    <w:pPr>
      <w:numPr>
        <w:ilvl w:val="0"/>
        <w:numId w:val="2"/>
      </w:numPr>
      <w:spacing w:before="240" w:line="600" w:lineRule="atLeast"/>
      <w:ind w:left="907" w:hanging="907"/>
    </w:pPr>
    <w:rPr>
      <w:rFonts w:hint="default" w:ascii="Times New Roman" w:hAnsi="Times New Roman" w:eastAsia="宋体" w:cs="Times New Roman"/>
      <w:b/>
      <w:i/>
      <w:sz w:val="28"/>
      <w:lang w:eastAsia="zh-CN"/>
    </w:rPr>
  </w:style>
  <w:style w:type="paragraph" w:customStyle="1" w:styleId="295">
    <w:name w:val="font7"/>
    <w:basedOn w:val="1"/>
    <w:autoRedefine/>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96">
    <w:name w:val=" Char Char Char Char"/>
    <w:basedOn w:val="232"/>
    <w:autoRedefine/>
    <w:qFormat/>
    <w:uiPriority w:val="0"/>
    <w:pPr>
      <w:spacing w:line="360" w:lineRule="auto"/>
    </w:pPr>
    <w:rPr>
      <w:rFonts w:ascii="Tahoma" w:hAnsi="Tahoma"/>
      <w:sz w:val="24"/>
      <w:szCs w:val="24"/>
    </w:rPr>
  </w:style>
  <w:style w:type="paragraph" w:customStyle="1" w:styleId="297">
    <w:name w:val="列出段落"/>
    <w:basedOn w:val="1"/>
    <w:autoRedefine/>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98">
    <w:name w:val="4"/>
    <w:basedOn w:val="1"/>
    <w:next w:val="260"/>
    <w:autoRedefine/>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99">
    <w:name w:val="普通 (Web)"/>
    <w:basedOn w:val="1"/>
    <w:autoRedefine/>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300">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301">
    <w:name w:val="样式1"/>
    <w:basedOn w:val="1"/>
    <w:autoRedefine/>
    <w:qFormat/>
    <w:uiPriority w:val="0"/>
    <w:pPr>
      <w:numPr>
        <w:ilvl w:val="0"/>
        <w:numId w:val="3"/>
      </w:numPr>
    </w:pPr>
    <w:rPr>
      <w:rFonts w:ascii="宋体" w:hAnsi="宋体" w:eastAsia="宋体" w:cs="Times New Roman"/>
      <w:szCs w:val="21"/>
    </w:rPr>
  </w:style>
  <w:style w:type="paragraph" w:customStyle="1" w:styleId="302">
    <w:name w:val="font6"/>
    <w:basedOn w:val="1"/>
    <w:autoRedefine/>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30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4">
    <w:name w:val="图标"/>
    <w:basedOn w:val="1"/>
    <w:next w:val="1"/>
    <w:autoRedefine/>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305">
    <w:name w:val="标题3"/>
    <w:basedOn w:val="1"/>
    <w:next w:val="1"/>
    <w:autoRedefine/>
    <w:qFormat/>
    <w:uiPriority w:val="0"/>
    <w:pPr>
      <w:spacing w:line="590" w:lineRule="atLeast"/>
      <w:ind w:firstLine="624"/>
    </w:pPr>
    <w:rPr>
      <w:rFonts w:ascii="方正黑体_GBK" w:hAnsi="Times New Roman" w:eastAsia="方正黑体_GBK" w:cs="Times New Roman"/>
      <w:sz w:val="32"/>
      <w:szCs w:val="32"/>
    </w:rPr>
  </w:style>
  <w:style w:type="paragraph" w:customStyle="1" w:styleId="306">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307">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8">
    <w:name w:val="Char Char Char Char Char Char Char Char"/>
    <w:basedOn w:val="1"/>
    <w:autoRedefine/>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09">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10">
    <w:name w:val=" Char Char Char Char Char Char Char Char"/>
    <w:basedOn w:val="1"/>
    <w:autoRedefine/>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11">
    <w:name w:val="xl30"/>
    <w:basedOn w:val="1"/>
    <w:autoRedefine/>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12">
    <w:name w:val="Char Char Char Char"/>
    <w:basedOn w:val="232"/>
    <w:qFormat/>
    <w:uiPriority w:val="0"/>
    <w:pPr>
      <w:spacing w:line="360" w:lineRule="auto"/>
    </w:pPr>
    <w:rPr>
      <w:rFonts w:ascii="Tahoma" w:hAnsi="Tahoma"/>
      <w:sz w:val="24"/>
      <w:szCs w:val="24"/>
    </w:rPr>
  </w:style>
  <w:style w:type="paragraph" w:customStyle="1" w:styleId="313">
    <w:name w:val="table_1stline"/>
    <w:basedOn w:val="1"/>
    <w:autoRedefine/>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14">
    <w:name w:val="font5"/>
    <w:basedOn w:val="1"/>
    <w:autoRedefine/>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1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16">
    <w:name w:val="修订"/>
    <w:autoRedefine/>
    <w:semiHidden/>
    <w:qFormat/>
    <w:uiPriority w:val="99"/>
    <w:rPr>
      <w:rFonts w:hint="default" w:ascii="Times New Roman" w:hAnsi="Times New Roman" w:eastAsia="宋体" w:cs="Times New Roman"/>
      <w:sz w:val="21"/>
      <w:szCs w:val="21"/>
      <w:lang w:eastAsia="zh-CN"/>
    </w:rPr>
  </w:style>
  <w:style w:type="paragraph" w:customStyle="1" w:styleId="317">
    <w:name w:val="无间隔"/>
    <w:autoRedefine/>
    <w:qFormat/>
    <w:uiPriority w:val="99"/>
    <w:pPr>
      <w:widowControl w:val="0"/>
      <w:jc w:val="both"/>
    </w:pPr>
    <w:rPr>
      <w:rFonts w:hint="default" w:ascii="Times New Roman" w:hAnsi="Times New Roman" w:eastAsia="宋体" w:cs="Times New Roman"/>
      <w:sz w:val="21"/>
      <w:szCs w:val="21"/>
      <w:lang w:eastAsia="zh-CN"/>
    </w:rPr>
  </w:style>
  <w:style w:type="paragraph" w:customStyle="1" w:styleId="318">
    <w:name w:val="AONormal"/>
    <w:autoRedefine/>
    <w:qFormat/>
    <w:uiPriority w:val="0"/>
    <w:pPr>
      <w:spacing w:line="400" w:lineRule="exact"/>
      <w:ind w:firstLine="440"/>
    </w:pPr>
    <w:rPr>
      <w:rFonts w:hint="default" w:ascii="华文楷体" w:hAnsi="华文楷体" w:eastAsia="华文楷体" w:cs="华文楷体"/>
      <w:sz w:val="22"/>
      <w:szCs w:val="21"/>
      <w:lang w:eastAsia="zh-CN"/>
    </w:rPr>
  </w:style>
  <w:style w:type="character" w:customStyle="1" w:styleId="319">
    <w:name w:val="font41"/>
    <w:basedOn w:val="35"/>
    <w:link w:val="1"/>
    <w:autoRedefine/>
    <w:qFormat/>
    <w:uiPriority w:val="0"/>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Mic</Company>
  <TotalTime>7</TotalTime>
  <ScaleCrop>false</ScaleCrop>
  <LinksUpToDate>false</LinksUpToDate>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dc:creator>
  <cp:lastModifiedBy>小柚子的土拨鼠</cp:lastModifiedBy>
  <cp:lastPrinted>2026-08-10T07:01:00Z</cp:lastPrinted>
  <dcterms:modified xsi:type="dcterms:W3CDTF">2026-08-18T02:44:58Z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53327E6B25664EAF8A2BB87447D44C09_12</vt:lpwstr>
  </property>
</Properties>
</file>