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20" w:after="120" w:line="360" w:lineRule="auto"/>
        <w:jc w:val="left"/>
        <w:rPr>
          <w:rFonts w:ascii="Arial" w:hAnsi="Arial" w:eastAsia="黑体"/>
          <w:b/>
          <w:bCs/>
          <w:sz w:val="84"/>
          <w:szCs w:val="24"/>
        </w:rPr>
      </w:pPr>
    </w:p>
    <w:p>
      <w:pPr>
        <w:spacing w:before="120" w:after="120" w:line="360" w:lineRule="auto"/>
        <w:jc w:val="center"/>
        <w:rPr>
          <w:rFonts w:ascii="Arial" w:hAnsi="Arial" w:eastAsia="黑体"/>
          <w:b/>
          <w:bCs/>
          <w:sz w:val="84"/>
          <w:szCs w:val="24"/>
        </w:rPr>
      </w:pPr>
      <w:r>
        <w:rPr>
          <w:rFonts w:hint="eastAsia" w:ascii="Arial" w:hAnsi="Arial" w:eastAsia="黑体"/>
          <w:b/>
          <w:bCs/>
          <w:sz w:val="84"/>
          <w:szCs w:val="24"/>
        </w:rPr>
        <w:t>竞争性磋商文件</w:t>
      </w:r>
    </w:p>
    <w:p>
      <w:pPr>
        <w:spacing w:before="120" w:after="120" w:line="360" w:lineRule="auto"/>
        <w:jc w:val="center"/>
        <w:rPr>
          <w:rFonts w:ascii="Arial" w:hAnsi="Arial"/>
          <w:b/>
          <w:bCs/>
          <w:sz w:val="32"/>
          <w:szCs w:val="24"/>
        </w:rPr>
      </w:pPr>
    </w:p>
    <w:p>
      <w:pPr>
        <w:spacing w:before="120" w:after="120" w:line="360" w:lineRule="auto"/>
        <w:jc w:val="center"/>
        <w:rPr>
          <w:rFonts w:ascii="Arial" w:hAnsi="Arial"/>
          <w:b/>
          <w:bCs/>
          <w:sz w:val="32"/>
          <w:szCs w:val="24"/>
        </w:rPr>
      </w:pPr>
    </w:p>
    <w:p>
      <w:pPr>
        <w:spacing w:before="120" w:after="120" w:line="360" w:lineRule="auto"/>
        <w:jc w:val="center"/>
        <w:rPr>
          <w:rFonts w:ascii="Arial" w:hAnsi="Arial"/>
          <w:b/>
          <w:bCs/>
          <w:sz w:val="32"/>
          <w:szCs w:val="24"/>
        </w:rPr>
      </w:pPr>
    </w:p>
    <w:p>
      <w:pPr>
        <w:pBdr>
          <w:top w:val="none" w:color="000000" w:sz="0" w:space="0"/>
          <w:left w:val="none" w:color="000000" w:sz="0" w:space="0"/>
          <w:bottom w:val="none" w:color="000000" w:sz="0" w:space="0"/>
          <w:right w:val="none" w:color="000000" w:sz="0" w:space="0"/>
        </w:pBdr>
        <w:spacing w:before="120" w:after="120" w:line="360" w:lineRule="auto"/>
        <w:ind w:firstLine="321"/>
        <w:rPr>
          <w:rFonts w:hint="eastAsia" w:ascii="宋体" w:hAnsi="宋体" w:cs="宋体"/>
          <w:b/>
          <w:color w:val="000000"/>
          <w:sz w:val="32"/>
          <w:highlight w:val="none"/>
          <w:lang w:eastAsia="zh-CN"/>
        </w:rPr>
      </w:pPr>
      <w:r>
        <w:rPr>
          <w:rFonts w:hint="eastAsia" w:ascii="宋体" w:hAnsi="宋体" w:cs="宋体"/>
          <w:b/>
          <w:color w:val="000000"/>
          <w:sz w:val="32"/>
        </w:rPr>
        <w:t>项目名称</w:t>
      </w:r>
      <w:r>
        <w:rPr>
          <w:rFonts w:hint="eastAsia" w:ascii="宋体" w:hAnsi="宋体" w:cs="宋体"/>
          <w:b/>
          <w:color w:val="000000"/>
          <w:sz w:val="32"/>
          <w:highlight w:val="none"/>
        </w:rPr>
        <w:t>：</w:t>
      </w:r>
      <w:r>
        <w:rPr>
          <w:rFonts w:hint="eastAsia" w:ascii="宋体" w:hAnsi="宋体" w:cs="宋体"/>
          <w:b/>
          <w:color w:val="000000"/>
          <w:sz w:val="32"/>
          <w:highlight w:val="none"/>
          <w:lang w:eastAsia="zh-CN"/>
        </w:rPr>
        <w:t>2026年度省家禽所科研辅助饲养繁育综合服务项目</w:t>
      </w:r>
    </w:p>
    <w:p>
      <w:pPr>
        <w:spacing w:before="120" w:after="120" w:line="360" w:lineRule="auto"/>
        <w:ind w:firstLine="321"/>
        <w:rPr>
          <w:rFonts w:hint="eastAsia" w:ascii="Arial" w:hAnsi="Arial" w:eastAsia="宋体"/>
          <w:b/>
          <w:bCs/>
          <w:sz w:val="32"/>
          <w:szCs w:val="24"/>
          <w:highlight w:val="green"/>
          <w:u w:val="single"/>
          <w:lang w:val="en-US" w:eastAsia="zh-CN"/>
        </w:rPr>
      </w:pPr>
    </w:p>
    <w:p>
      <w:pPr>
        <w:pBdr>
          <w:top w:val="none" w:color="000000" w:sz="0" w:space="0"/>
          <w:left w:val="none" w:color="000000" w:sz="0" w:space="0"/>
          <w:bottom w:val="none" w:color="000000" w:sz="0" w:space="0"/>
          <w:right w:val="none" w:color="000000" w:sz="0" w:space="0"/>
        </w:pBdr>
        <w:spacing w:before="120" w:after="120" w:line="85" w:lineRule="atLeast"/>
        <w:ind w:firstLine="321"/>
        <w:rPr>
          <w:rFonts w:hint="eastAsia" w:ascii="宋体" w:hAnsi="宋体" w:eastAsia="宋体" w:cs="宋体"/>
          <w:b/>
          <w:strike/>
          <w:dstrike w:val="0"/>
          <w:color w:val="000000"/>
          <w:sz w:val="32"/>
          <w:lang w:eastAsia="zh-CN"/>
        </w:rPr>
      </w:pPr>
      <w:r>
        <w:rPr>
          <w:rFonts w:ascii="宋体" w:hAnsi="宋体" w:cs="宋体"/>
          <w:b/>
          <w:color w:val="000000"/>
          <w:sz w:val="32"/>
        </w:rPr>
        <w:t>项目编号：</w:t>
      </w:r>
      <w:r>
        <w:rPr>
          <w:rFonts w:hint="eastAsia" w:ascii="宋体" w:hAnsi="宋体" w:cs="宋体"/>
          <w:b/>
          <w:color w:val="000000"/>
          <w:sz w:val="32"/>
        </w:rPr>
        <w:t>JSZC-320000-ZHHB-C2026-0001</w:t>
      </w:r>
    </w:p>
    <w:p>
      <w:pPr>
        <w:spacing w:before="120" w:after="120" w:line="360" w:lineRule="auto"/>
        <w:jc w:val="center"/>
        <w:rPr>
          <w:rFonts w:ascii="Arial" w:hAnsi="Arial"/>
          <w:b/>
          <w:bCs/>
          <w:sz w:val="32"/>
          <w:szCs w:val="24"/>
          <w:u w:val="single"/>
        </w:rPr>
      </w:pPr>
    </w:p>
    <w:p>
      <w:pPr>
        <w:spacing w:before="120" w:after="120" w:line="360" w:lineRule="auto"/>
        <w:jc w:val="center"/>
        <w:rPr>
          <w:rFonts w:ascii="Arial" w:hAnsi="Arial"/>
          <w:b/>
          <w:bCs/>
          <w:color w:val="FF0000"/>
          <w:sz w:val="32"/>
          <w:szCs w:val="24"/>
        </w:rPr>
      </w:pPr>
    </w:p>
    <w:p>
      <w:pPr>
        <w:spacing w:line="360" w:lineRule="auto"/>
        <w:jc w:val="left"/>
        <w:rPr>
          <w:rFonts w:ascii="宋体" w:hAnsi="宋体"/>
          <w:sz w:val="24"/>
          <w:szCs w:val="24"/>
        </w:rPr>
      </w:pPr>
    </w:p>
    <w:p>
      <w:pPr>
        <w:spacing w:line="360" w:lineRule="auto"/>
        <w:jc w:val="left"/>
        <w:rPr>
          <w:rFonts w:ascii="宋体" w:hAnsi="宋体"/>
          <w:sz w:val="24"/>
          <w:szCs w:val="24"/>
        </w:rPr>
      </w:pPr>
    </w:p>
    <w:p>
      <w:pPr>
        <w:spacing w:line="360" w:lineRule="auto"/>
        <w:jc w:val="left"/>
        <w:rPr>
          <w:rFonts w:ascii="宋体" w:hAnsi="宋体"/>
          <w:sz w:val="24"/>
          <w:szCs w:val="24"/>
        </w:rPr>
      </w:pPr>
    </w:p>
    <w:p>
      <w:pPr>
        <w:spacing w:line="360" w:lineRule="auto"/>
        <w:jc w:val="left"/>
        <w:rPr>
          <w:rFonts w:ascii="宋体" w:hAnsi="宋体"/>
          <w:sz w:val="24"/>
          <w:szCs w:val="24"/>
        </w:rPr>
      </w:pPr>
    </w:p>
    <w:p>
      <w:pPr>
        <w:spacing w:before="120" w:after="120" w:line="360" w:lineRule="auto"/>
        <w:jc w:val="center"/>
        <w:rPr>
          <w:rFonts w:ascii="Arial" w:hAnsi="Arial"/>
          <w:color w:val="auto"/>
          <w:sz w:val="24"/>
          <w:szCs w:val="24"/>
          <w:highlight w:val="none"/>
        </w:rPr>
      </w:pPr>
      <w:r>
        <w:rPr>
          <w:rFonts w:hint="eastAsia" w:ascii="Arial" w:hAnsi="Arial"/>
          <w:b/>
          <w:bCs/>
          <w:color w:val="auto"/>
          <w:sz w:val="36"/>
          <w:szCs w:val="28"/>
          <w:highlight w:val="none"/>
          <w:lang w:val="en-US" w:eastAsia="zh-CN"/>
        </w:rPr>
        <w:t xml:space="preserve"> </w:t>
      </w:r>
      <w:r>
        <w:rPr>
          <w:rFonts w:hint="eastAsia" w:ascii="Arial" w:hAnsi="Arial"/>
          <w:b/>
          <w:bCs/>
          <w:color w:val="auto"/>
          <w:sz w:val="32"/>
          <w:szCs w:val="24"/>
          <w:highlight w:val="none"/>
          <w:u w:val="single"/>
        </w:rPr>
        <w:t>202</w:t>
      </w:r>
      <w:r>
        <w:rPr>
          <w:rFonts w:hint="eastAsia" w:ascii="Arial" w:hAnsi="Arial"/>
          <w:b/>
          <w:bCs/>
          <w:color w:val="auto"/>
          <w:sz w:val="32"/>
          <w:szCs w:val="24"/>
          <w:highlight w:val="none"/>
          <w:u w:val="single"/>
          <w:lang w:val="en-US" w:eastAsia="zh-CN"/>
        </w:rPr>
        <w:t>6</w:t>
      </w:r>
      <w:r>
        <w:rPr>
          <w:rFonts w:hint="eastAsia" w:ascii="Arial" w:hAnsi="Arial"/>
          <w:b/>
          <w:bCs/>
          <w:color w:val="auto"/>
          <w:sz w:val="32"/>
          <w:szCs w:val="24"/>
          <w:highlight w:val="none"/>
        </w:rPr>
        <w:t>年</w:t>
      </w:r>
      <w:r>
        <w:rPr>
          <w:rFonts w:hint="eastAsia" w:ascii="Arial" w:hAnsi="Arial"/>
          <w:b/>
          <w:bCs/>
          <w:color w:val="auto"/>
          <w:sz w:val="32"/>
          <w:szCs w:val="24"/>
          <w:highlight w:val="none"/>
          <w:u w:val="single"/>
          <w:lang w:val="en-US" w:eastAsia="zh-CN"/>
        </w:rPr>
        <w:t xml:space="preserve"> 09</w:t>
      </w:r>
      <w:r>
        <w:rPr>
          <w:rFonts w:hint="eastAsia" w:ascii="Arial" w:hAnsi="Arial"/>
          <w:b/>
          <w:bCs/>
          <w:color w:val="auto"/>
          <w:sz w:val="32"/>
          <w:szCs w:val="24"/>
          <w:highlight w:val="none"/>
        </w:rPr>
        <w:t>月</w:t>
      </w:r>
      <w:r>
        <w:rPr>
          <w:rFonts w:hint="eastAsia" w:ascii="Arial" w:hAnsi="Arial"/>
          <w:b/>
          <w:bCs/>
          <w:color w:val="auto"/>
          <w:sz w:val="32"/>
          <w:szCs w:val="24"/>
          <w:highlight w:val="none"/>
          <w:u w:val="single"/>
          <w:lang w:val="en-US" w:eastAsia="zh-CN"/>
        </w:rPr>
        <w:t>10</w:t>
      </w:r>
      <w:r>
        <w:rPr>
          <w:rFonts w:hint="eastAsia" w:ascii="Arial" w:hAnsi="Arial"/>
          <w:b/>
          <w:bCs/>
          <w:color w:val="auto"/>
          <w:sz w:val="32"/>
          <w:szCs w:val="24"/>
          <w:highlight w:val="none"/>
        </w:rPr>
        <w:t>日</w:t>
      </w:r>
    </w:p>
    <w:p>
      <w:pPr>
        <w:spacing w:line="480" w:lineRule="auto"/>
        <w:jc w:val="center"/>
        <w:outlineLvl w:val="0"/>
        <w:rPr>
          <w:rFonts w:ascii="黑体" w:hAnsi="Arial" w:eastAsia="黑体"/>
          <w:b/>
          <w:sz w:val="44"/>
          <w:szCs w:val="21"/>
        </w:rPr>
        <w:sectPr>
          <w:headerReference r:id="rId4" w:type="first"/>
          <w:headerReference r:id="rId3" w:type="default"/>
          <w:footerReference r:id="rId5" w:type="default"/>
          <w:footerReference r:id="rId6" w:type="even"/>
          <w:pgSz w:w="11906" w:h="16838"/>
          <w:pgMar w:top="1440" w:right="1800" w:bottom="1440" w:left="1800" w:header="851" w:footer="907" w:gutter="0"/>
          <w:cols w:space="720" w:num="1"/>
          <w:titlePg/>
          <w:docGrid w:linePitch="360" w:charSpace="0"/>
        </w:sectPr>
      </w:pPr>
      <w:bookmarkStart w:id="0" w:name="_Toc120614210"/>
      <w:bookmarkStart w:id="1" w:name="_Toc479757206"/>
      <w:bookmarkStart w:id="2" w:name="_Toc16938516"/>
      <w:bookmarkStart w:id="3" w:name="_Toc513029200"/>
      <w:bookmarkStart w:id="4" w:name="_Toc523127445"/>
      <w:bookmarkStart w:id="5" w:name="_Toc20823272"/>
    </w:p>
    <w:p>
      <w:pPr>
        <w:spacing w:line="480" w:lineRule="auto"/>
        <w:jc w:val="center"/>
        <w:outlineLvl w:val="0"/>
        <w:rPr>
          <w:rFonts w:ascii="黑体" w:hAnsi="Arial" w:eastAsia="黑体"/>
          <w:b/>
          <w:sz w:val="44"/>
          <w:szCs w:val="21"/>
        </w:rPr>
      </w:pPr>
      <w:r>
        <w:rPr>
          <w:rFonts w:hint="eastAsia" w:ascii="黑体" w:hAnsi="Arial" w:eastAsia="黑体"/>
          <w:b/>
          <w:sz w:val="44"/>
          <w:szCs w:val="21"/>
        </w:rPr>
        <w:t>总  目  录</w:t>
      </w:r>
    </w:p>
    <w:p>
      <w:pPr>
        <w:spacing w:line="480" w:lineRule="auto"/>
        <w:rPr>
          <w:rFonts w:ascii="仿宋_GB2312" w:hAnsi="Arial" w:eastAsia="仿宋_GB2312"/>
          <w:b/>
          <w:sz w:val="28"/>
          <w:szCs w:val="21"/>
        </w:rPr>
      </w:pPr>
    </w:p>
    <w:p>
      <w:pPr>
        <w:numPr>
          <w:ilvl w:val="0"/>
          <w:numId w:val="4"/>
        </w:numPr>
        <w:spacing w:line="720" w:lineRule="auto"/>
        <w:ind w:left="2470" w:hanging="2470"/>
        <w:outlineLvl w:val="0"/>
        <w:rPr>
          <w:rFonts w:ascii="黑体" w:hAnsi="Showcard Gothic" w:eastAsia="黑体"/>
          <w:sz w:val="32"/>
          <w:szCs w:val="21"/>
        </w:rPr>
      </w:pPr>
      <w:r>
        <w:rPr>
          <w:rFonts w:hint="eastAsia" w:ascii="黑体" w:hAnsi="宋体" w:eastAsia="黑体"/>
          <w:sz w:val="36"/>
          <w:szCs w:val="21"/>
        </w:rPr>
        <w:t xml:space="preserve">竞争性磋商公告 </w:t>
      </w:r>
      <w:r>
        <w:rPr>
          <w:rFonts w:hint="eastAsia" w:ascii="黑体" w:hAnsi="Showcard Gothic" w:eastAsia="黑体"/>
          <w:sz w:val="36"/>
          <w:szCs w:val="21"/>
        </w:rPr>
        <w:t>……………………………2</w:t>
      </w:r>
    </w:p>
    <w:p>
      <w:pPr>
        <w:numPr>
          <w:ilvl w:val="0"/>
          <w:numId w:val="4"/>
        </w:numPr>
        <w:spacing w:line="720" w:lineRule="auto"/>
        <w:ind w:left="2470" w:hanging="2470"/>
        <w:outlineLvl w:val="0"/>
        <w:rPr>
          <w:rFonts w:ascii="黑体" w:hAnsi="Showcard Gothic" w:eastAsia="黑体"/>
          <w:sz w:val="36"/>
          <w:szCs w:val="21"/>
        </w:rPr>
      </w:pPr>
      <w:r>
        <w:rPr>
          <w:rFonts w:hint="eastAsia" w:ascii="黑体" w:hAnsi="宋体" w:eastAsia="黑体"/>
          <w:bCs/>
          <w:sz w:val="36"/>
          <w:szCs w:val="36"/>
        </w:rPr>
        <w:t>供应商须知</w:t>
      </w:r>
      <w:r>
        <w:rPr>
          <w:rFonts w:hint="eastAsia" w:ascii="黑体" w:hAnsi="Showcard Gothic" w:eastAsia="黑体"/>
          <w:sz w:val="36"/>
          <w:szCs w:val="36"/>
        </w:rPr>
        <w:t>…</w:t>
      </w:r>
      <w:r>
        <w:rPr>
          <w:rFonts w:hint="eastAsia" w:ascii="黑体" w:hAnsi="Showcard Gothic" w:eastAsia="黑体"/>
          <w:sz w:val="36"/>
          <w:szCs w:val="21"/>
        </w:rPr>
        <w:t>……………………………… 6</w:t>
      </w:r>
    </w:p>
    <w:p>
      <w:pPr>
        <w:numPr>
          <w:ilvl w:val="0"/>
          <w:numId w:val="4"/>
        </w:numPr>
        <w:spacing w:line="720" w:lineRule="auto"/>
        <w:ind w:left="2470" w:hanging="2470"/>
        <w:outlineLvl w:val="0"/>
        <w:rPr>
          <w:rFonts w:ascii="黑体" w:hAnsi="Showcard Gothic" w:eastAsia="黑体"/>
          <w:sz w:val="36"/>
          <w:szCs w:val="21"/>
        </w:rPr>
      </w:pPr>
      <w:r>
        <w:rPr>
          <w:rFonts w:hint="eastAsia" w:ascii="黑体" w:hAnsi="宋体" w:eastAsia="黑体"/>
          <w:sz w:val="36"/>
          <w:szCs w:val="21"/>
        </w:rPr>
        <w:t>合同文本</w:t>
      </w:r>
      <w:r>
        <w:rPr>
          <w:rFonts w:hint="eastAsia" w:ascii="黑体" w:hAnsi="Showcard Gothic" w:eastAsia="黑体"/>
          <w:sz w:val="36"/>
          <w:szCs w:val="21"/>
        </w:rPr>
        <w:t>……………………………………17</w:t>
      </w:r>
    </w:p>
    <w:p>
      <w:pPr>
        <w:numPr>
          <w:ilvl w:val="0"/>
          <w:numId w:val="4"/>
        </w:numPr>
        <w:spacing w:line="720" w:lineRule="auto"/>
        <w:ind w:left="2470" w:hanging="2470"/>
        <w:outlineLvl w:val="0"/>
        <w:rPr>
          <w:rFonts w:ascii="黑体" w:hAnsi="Showcard Gothic" w:eastAsia="黑体"/>
          <w:sz w:val="36"/>
          <w:szCs w:val="21"/>
        </w:rPr>
      </w:pPr>
      <w:r>
        <w:rPr>
          <w:rFonts w:hint="eastAsia" w:ascii="黑体" w:hAnsi="宋体" w:eastAsia="黑体"/>
          <w:sz w:val="36"/>
          <w:szCs w:val="21"/>
        </w:rPr>
        <w:t>采购需求</w:t>
      </w:r>
      <w:r>
        <w:rPr>
          <w:rFonts w:hint="eastAsia" w:ascii="黑体" w:hAnsi="Showcard Gothic" w:eastAsia="黑体"/>
          <w:sz w:val="36"/>
          <w:szCs w:val="21"/>
        </w:rPr>
        <w:t>……………………………………21</w:t>
      </w:r>
    </w:p>
    <w:p>
      <w:pPr>
        <w:numPr>
          <w:ilvl w:val="0"/>
          <w:numId w:val="4"/>
        </w:numPr>
        <w:spacing w:line="720" w:lineRule="auto"/>
        <w:ind w:left="2470" w:hanging="2470"/>
        <w:outlineLvl w:val="0"/>
        <w:rPr>
          <w:rFonts w:ascii="黑体" w:hAnsi="Showcard Gothic" w:eastAsia="黑体"/>
          <w:sz w:val="36"/>
          <w:szCs w:val="21"/>
        </w:rPr>
      </w:pPr>
      <w:r>
        <w:rPr>
          <w:rFonts w:hint="eastAsia" w:ascii="黑体" w:hAnsi="宋体" w:eastAsia="黑体"/>
          <w:bCs/>
          <w:sz w:val="36"/>
          <w:szCs w:val="36"/>
        </w:rPr>
        <w:t>评审方法与评审标准</w:t>
      </w:r>
      <w:r>
        <w:rPr>
          <w:rFonts w:hint="eastAsia" w:ascii="黑体" w:hAnsi="Showcard Gothic" w:eastAsia="黑体"/>
          <w:sz w:val="36"/>
          <w:szCs w:val="21"/>
        </w:rPr>
        <w:t>………………………29</w:t>
      </w:r>
    </w:p>
    <w:p>
      <w:pPr>
        <w:numPr>
          <w:ilvl w:val="0"/>
          <w:numId w:val="4"/>
        </w:numPr>
        <w:spacing w:line="720" w:lineRule="auto"/>
        <w:ind w:left="2470" w:hanging="2470"/>
        <w:outlineLvl w:val="0"/>
        <w:rPr>
          <w:rFonts w:ascii="黑体" w:hAnsi="Showcard Gothic" w:eastAsia="黑体"/>
          <w:sz w:val="36"/>
          <w:szCs w:val="21"/>
        </w:rPr>
      </w:pPr>
      <w:r>
        <w:rPr>
          <w:rFonts w:hint="eastAsia" w:ascii="黑体" w:hAnsi="宋体" w:eastAsia="黑体"/>
          <w:sz w:val="36"/>
          <w:szCs w:val="21"/>
        </w:rPr>
        <w:t>响应文件格式</w:t>
      </w:r>
      <w:r>
        <w:rPr>
          <w:rFonts w:hint="eastAsia" w:ascii="黑体" w:hAnsi="Showcard Gothic" w:eastAsia="黑体"/>
          <w:sz w:val="36"/>
          <w:szCs w:val="21"/>
        </w:rPr>
        <w:t>………………………………33</w:t>
      </w:r>
    </w:p>
    <w:p>
      <w:pPr>
        <w:jc w:val="center"/>
        <w:rPr>
          <w:rFonts w:ascii="Times New Roman" w:hAnsi="Times New Roman"/>
          <w:szCs w:val="21"/>
        </w:rPr>
      </w:pPr>
      <w:r>
        <w:rPr>
          <w:rFonts w:hint="eastAsia" w:ascii="Times New Roman" w:hAnsi="Times New Roman"/>
          <w:szCs w:val="21"/>
        </w:rPr>
        <w:br w:type="page" w:clear="all"/>
      </w:r>
      <w:r>
        <w:rPr>
          <w:rFonts w:hint="eastAsia" w:ascii="黑体" w:hAnsi="Times New Roman" w:eastAsia="黑体"/>
          <w:sz w:val="44"/>
          <w:szCs w:val="44"/>
        </w:rPr>
        <w:t xml:space="preserve">第一章  </w:t>
      </w:r>
      <w:bookmarkEnd w:id="0"/>
      <w:r>
        <w:rPr>
          <w:rFonts w:hint="eastAsia" w:ascii="黑体" w:hAnsi="Times New Roman" w:eastAsia="黑体"/>
          <w:sz w:val="44"/>
          <w:szCs w:val="44"/>
        </w:rPr>
        <w:t>竞争性磋商公告</w:t>
      </w:r>
    </w:p>
    <w:p>
      <w:pPr>
        <w:pBdr>
          <w:top w:val="single" w:color="000000" w:sz="4" w:space="1"/>
          <w:left w:val="single" w:color="000000" w:sz="4" w:space="4"/>
          <w:bottom w:val="single" w:color="000000" w:sz="4" w:space="1"/>
          <w:right w:val="single" w:color="000000" w:sz="4" w:space="4"/>
        </w:pBdr>
        <w:spacing w:line="420" w:lineRule="exact"/>
        <w:ind w:firstLine="420"/>
        <w:rPr>
          <w:rFonts w:ascii="宋体" w:hAnsi="宋体"/>
          <w:szCs w:val="21"/>
        </w:rPr>
      </w:pPr>
      <w:r>
        <w:rPr>
          <w:rFonts w:hint="eastAsia" w:ascii="宋体" w:hAnsi="宋体"/>
          <w:szCs w:val="21"/>
        </w:rPr>
        <w:t>项目概况</w:t>
      </w:r>
    </w:p>
    <w:p>
      <w:pPr>
        <w:pBdr>
          <w:top w:val="single" w:color="000000" w:sz="4" w:space="1"/>
          <w:left w:val="single" w:color="000000" w:sz="4" w:space="4"/>
          <w:bottom w:val="single" w:color="000000" w:sz="4" w:space="1"/>
          <w:right w:val="single" w:color="000000" w:sz="4" w:space="4"/>
        </w:pBdr>
        <w:spacing w:line="420" w:lineRule="exact"/>
        <w:ind w:firstLine="420"/>
        <w:rPr>
          <w:rFonts w:ascii="宋体" w:hAnsi="宋体"/>
          <w:szCs w:val="21"/>
          <w:highlight w:val="none"/>
        </w:rPr>
      </w:pPr>
      <w:r>
        <w:rPr>
          <w:rFonts w:hint="eastAsia" w:ascii="宋体" w:hAnsi="宋体"/>
          <w:szCs w:val="21"/>
          <w:u w:val="single"/>
          <w:lang w:eastAsia="zh-CN"/>
        </w:rPr>
        <w:t>2026年度省家禽所科研辅助饲养繁育综合服务项目</w:t>
      </w:r>
      <w:r>
        <w:rPr>
          <w:rFonts w:hint="eastAsia" w:ascii="宋体" w:hAnsi="宋体"/>
          <w:szCs w:val="21"/>
        </w:rPr>
        <w:t>竞争性磋商项目的潜在供应商可在</w:t>
      </w:r>
      <w:r>
        <w:rPr>
          <w:rFonts w:hint="eastAsia" w:ascii="宋体" w:hAnsi="宋体"/>
          <w:szCs w:val="21"/>
          <w:u w:val="single"/>
        </w:rPr>
        <w:t>“江苏政府采购网”和“中国政府采购网”自行免费下载</w:t>
      </w:r>
      <w:r>
        <w:rPr>
          <w:rFonts w:hint="eastAsia" w:ascii="宋体" w:hAnsi="宋体"/>
          <w:szCs w:val="21"/>
        </w:rPr>
        <w:t>磋商文件，并</w:t>
      </w:r>
      <w:r>
        <w:rPr>
          <w:rFonts w:hint="eastAsia" w:ascii="宋体" w:hAnsi="宋体"/>
          <w:szCs w:val="21"/>
          <w:highlight w:val="none"/>
        </w:rPr>
        <w:t>于</w:t>
      </w:r>
      <w:r>
        <w:rPr>
          <w:rFonts w:hint="eastAsia" w:ascii="宋体" w:hAnsi="宋体"/>
          <w:color w:val="auto"/>
          <w:szCs w:val="21"/>
          <w:highlight w:val="none"/>
          <w:u w:val="single"/>
        </w:rPr>
        <w:t>202</w:t>
      </w:r>
      <w:r>
        <w:rPr>
          <w:rFonts w:hint="eastAsia" w:ascii="宋体" w:hAnsi="宋体"/>
          <w:color w:val="auto"/>
          <w:szCs w:val="21"/>
          <w:highlight w:val="none"/>
          <w:u w:val="single"/>
          <w:lang w:val="en-US" w:eastAsia="zh-CN"/>
        </w:rPr>
        <w:t>6</w:t>
      </w:r>
      <w:r>
        <w:rPr>
          <w:rFonts w:hint="eastAsia" w:ascii="宋体" w:hAnsi="宋体"/>
          <w:bCs/>
          <w:color w:val="auto"/>
          <w:szCs w:val="21"/>
          <w:highlight w:val="none"/>
          <w:u w:val="single"/>
        </w:rPr>
        <w:t>年</w:t>
      </w:r>
      <w:r>
        <w:rPr>
          <w:rFonts w:hint="eastAsia" w:ascii="宋体" w:hAnsi="宋体"/>
          <w:bCs/>
          <w:color w:val="auto"/>
          <w:szCs w:val="21"/>
          <w:highlight w:val="none"/>
          <w:u w:val="single"/>
          <w:lang w:val="en-US" w:eastAsia="zh-CN"/>
        </w:rPr>
        <w:t>09</w:t>
      </w:r>
      <w:r>
        <w:rPr>
          <w:rFonts w:hint="eastAsia" w:ascii="宋体" w:hAnsi="宋体"/>
          <w:bCs/>
          <w:color w:val="auto"/>
          <w:szCs w:val="21"/>
          <w:highlight w:val="none"/>
          <w:u w:val="single"/>
        </w:rPr>
        <w:t>月</w:t>
      </w:r>
      <w:r>
        <w:rPr>
          <w:rFonts w:hint="eastAsia" w:ascii="宋体" w:hAnsi="宋体"/>
          <w:bCs/>
          <w:color w:val="auto"/>
          <w:szCs w:val="21"/>
          <w:highlight w:val="none"/>
          <w:u w:val="single"/>
          <w:lang w:val="en-US" w:eastAsia="zh-CN"/>
        </w:rPr>
        <w:t>22</w:t>
      </w:r>
      <w:r>
        <w:rPr>
          <w:rFonts w:hint="eastAsia" w:ascii="宋体" w:hAnsi="宋体"/>
          <w:bCs/>
          <w:color w:val="auto"/>
          <w:szCs w:val="21"/>
          <w:highlight w:val="none"/>
          <w:u w:val="single"/>
        </w:rPr>
        <w:t>日14点</w:t>
      </w:r>
      <w:r>
        <w:rPr>
          <w:rFonts w:hint="eastAsia" w:ascii="宋体" w:hAnsi="宋体"/>
          <w:bCs/>
          <w:color w:val="auto"/>
          <w:szCs w:val="21"/>
          <w:highlight w:val="none"/>
          <w:u w:val="single"/>
          <w:lang w:val="en-US" w:eastAsia="zh-CN"/>
        </w:rPr>
        <w:t>0</w:t>
      </w:r>
      <w:r>
        <w:rPr>
          <w:rFonts w:hint="eastAsia" w:ascii="宋体" w:hAnsi="宋体"/>
          <w:bCs/>
          <w:color w:val="auto"/>
          <w:szCs w:val="21"/>
          <w:highlight w:val="none"/>
          <w:u w:val="single"/>
        </w:rPr>
        <w:t>0分</w:t>
      </w:r>
      <w:r>
        <w:rPr>
          <w:rFonts w:hint="eastAsia" w:ascii="宋体" w:hAnsi="宋体"/>
          <w:bCs/>
          <w:szCs w:val="21"/>
          <w:highlight w:val="none"/>
        </w:rPr>
        <w:t>（北京时间）前递交响应文件</w:t>
      </w:r>
      <w:r>
        <w:rPr>
          <w:rFonts w:hint="eastAsia" w:ascii="宋体" w:hAnsi="宋体"/>
          <w:szCs w:val="21"/>
          <w:highlight w:val="none"/>
        </w:rPr>
        <w:t>。</w:t>
      </w:r>
    </w:p>
    <w:p>
      <w:pPr>
        <w:pStyle w:val="226"/>
        <w:spacing w:before="0" w:after="0" w:line="420" w:lineRule="exact"/>
        <w:ind w:firstLine="422"/>
        <w:jc w:val="both"/>
        <w:rPr>
          <w:rFonts w:ascii="宋体" w:hAnsi="宋体" w:eastAsia="宋体" w:cs="宋体"/>
          <w:bCs w:val="0"/>
          <w:color w:val="000000"/>
          <w:sz w:val="21"/>
          <w:szCs w:val="21"/>
          <w:highlight w:val="none"/>
        </w:rPr>
      </w:pPr>
      <w:bookmarkStart w:id="6" w:name="_Toc35393621"/>
      <w:bookmarkStart w:id="7" w:name="_Toc28359079"/>
      <w:bookmarkStart w:id="8" w:name="_Toc28359002"/>
      <w:bookmarkStart w:id="9" w:name="_Toc38985263"/>
      <w:bookmarkStart w:id="10" w:name="_Toc35393790"/>
      <w:bookmarkStart w:id="11" w:name="_Hlk24379207"/>
      <w:r>
        <w:rPr>
          <w:rFonts w:hint="eastAsia" w:ascii="宋体" w:hAnsi="宋体" w:eastAsia="宋体" w:cs="宋体"/>
          <w:bCs w:val="0"/>
          <w:color w:val="000000"/>
          <w:sz w:val="21"/>
          <w:szCs w:val="21"/>
          <w:highlight w:val="none"/>
        </w:rPr>
        <w:t>一、项目基本情况</w:t>
      </w:r>
      <w:bookmarkEnd w:id="6"/>
      <w:bookmarkEnd w:id="7"/>
      <w:bookmarkEnd w:id="8"/>
      <w:bookmarkEnd w:id="9"/>
      <w:bookmarkEnd w:id="10"/>
    </w:p>
    <w:p>
      <w:pPr>
        <w:spacing w:line="420" w:lineRule="exact"/>
        <w:ind w:firstLine="420"/>
        <w:rPr>
          <w:rFonts w:hint="eastAsia" w:ascii="宋体" w:hAnsi="宋体"/>
          <w:szCs w:val="21"/>
          <w:highlight w:val="none"/>
          <w:lang w:val="en-US" w:eastAsia="zh-CN"/>
        </w:rPr>
      </w:pPr>
      <w:r>
        <w:rPr>
          <w:rFonts w:hint="eastAsia" w:ascii="宋体" w:hAnsi="宋体"/>
          <w:szCs w:val="21"/>
          <w:highlight w:val="none"/>
          <w:lang w:val="en-US" w:eastAsia="zh-CN"/>
        </w:rPr>
        <w:t>1、项目编号：JSZC-320000-ZHHB-C2026-0001</w:t>
      </w:r>
    </w:p>
    <w:p>
      <w:pPr>
        <w:spacing w:line="420" w:lineRule="exact"/>
        <w:ind w:firstLine="420"/>
        <w:rPr>
          <w:rFonts w:hint="eastAsia" w:ascii="宋体" w:hAnsi="宋体" w:eastAsia="宋体"/>
          <w:szCs w:val="21"/>
          <w:highlight w:val="none"/>
          <w:lang w:eastAsia="zh-CN"/>
        </w:rPr>
      </w:pPr>
      <w:r>
        <w:rPr>
          <w:rFonts w:hint="eastAsia" w:ascii="宋体" w:hAnsi="宋体"/>
          <w:szCs w:val="21"/>
          <w:highlight w:val="none"/>
          <w:lang w:val="en-US" w:eastAsia="zh-CN"/>
        </w:rPr>
        <w:t>2、</w:t>
      </w:r>
      <w:r>
        <w:rPr>
          <w:rFonts w:hint="eastAsia" w:ascii="宋体" w:hAnsi="宋体"/>
          <w:szCs w:val="21"/>
          <w:highlight w:val="none"/>
        </w:rPr>
        <w:t>项目名称：</w:t>
      </w:r>
      <w:bookmarkEnd w:id="11"/>
      <w:r>
        <w:rPr>
          <w:rFonts w:hint="eastAsia" w:ascii="宋体" w:hAnsi="宋体"/>
          <w:szCs w:val="21"/>
          <w:highlight w:val="none"/>
          <w:lang w:eastAsia="zh-CN"/>
        </w:rPr>
        <w:t>2026年度省家禽所科研辅助饲养繁育综合服务项目</w:t>
      </w:r>
    </w:p>
    <w:p>
      <w:pPr>
        <w:spacing w:line="420" w:lineRule="exact"/>
        <w:ind w:firstLine="420"/>
        <w:rPr>
          <w:rFonts w:ascii="宋体" w:hAnsi="宋体"/>
          <w:color w:val="000000"/>
          <w:szCs w:val="21"/>
          <w:highlight w:val="none"/>
        </w:rPr>
      </w:pPr>
      <w:r>
        <w:rPr>
          <w:rFonts w:hint="eastAsia" w:ascii="宋体" w:hAnsi="宋体"/>
          <w:color w:val="000000"/>
          <w:szCs w:val="21"/>
          <w:highlight w:val="none"/>
          <w:lang w:val="en-US" w:eastAsia="zh-CN"/>
        </w:rPr>
        <w:t>3、</w:t>
      </w:r>
      <w:r>
        <w:rPr>
          <w:rFonts w:hint="eastAsia" w:ascii="宋体" w:hAnsi="宋体"/>
          <w:color w:val="000000"/>
          <w:szCs w:val="21"/>
          <w:highlight w:val="none"/>
        </w:rPr>
        <w:t>采购方式：竞争性磋商</w:t>
      </w:r>
    </w:p>
    <w:p>
      <w:pPr>
        <w:spacing w:line="420" w:lineRule="exact"/>
        <w:ind w:firstLine="42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4、预算金额：290万元</w:t>
      </w:r>
    </w:p>
    <w:p>
      <w:pPr>
        <w:spacing w:line="420" w:lineRule="exact"/>
        <w:ind w:firstLine="42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5、最高限价（如有）：本项目设定最高限价，最高限价为290万元，报价超过最高限价的为无效报价，按照无效响应处理。 </w:t>
      </w:r>
    </w:p>
    <w:p>
      <w:pPr>
        <w:spacing w:line="420" w:lineRule="exact"/>
        <w:ind w:firstLine="42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6、采购需求（简介）：详细内容见本磋商文件第四章采购需求。</w:t>
      </w:r>
    </w:p>
    <w:p>
      <w:pPr>
        <w:spacing w:line="420" w:lineRule="exact"/>
        <w:ind w:firstLine="42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7、合同履行期限：</w:t>
      </w:r>
      <w:r>
        <w:rPr>
          <w:rFonts w:hint="eastAsia" w:ascii="宋体" w:hAnsi="宋体" w:cs="宋体"/>
          <w:szCs w:val="21"/>
          <w:highlight w:val="none"/>
        </w:rPr>
        <w:t>本项目服务期限为1年，起始日期以合同约定为准。</w:t>
      </w:r>
    </w:p>
    <w:p>
      <w:pPr>
        <w:spacing w:line="420" w:lineRule="exact"/>
        <w:ind w:firstLine="42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8、本项目（是/否）接受联合体投标：否</w:t>
      </w:r>
    </w:p>
    <w:p>
      <w:pPr>
        <w:pStyle w:val="226"/>
        <w:spacing w:before="0" w:after="0" w:line="420" w:lineRule="exact"/>
        <w:ind w:firstLine="422"/>
        <w:jc w:val="both"/>
        <w:rPr>
          <w:rFonts w:ascii="宋体" w:hAnsi="宋体" w:eastAsia="宋体" w:cs="宋体"/>
          <w:bCs w:val="0"/>
          <w:color w:val="000000"/>
          <w:sz w:val="21"/>
          <w:szCs w:val="21"/>
        </w:rPr>
      </w:pPr>
      <w:bookmarkStart w:id="12" w:name="_Toc28359003"/>
      <w:bookmarkStart w:id="13" w:name="_Toc38985264"/>
      <w:bookmarkStart w:id="14" w:name="_Toc35393791"/>
      <w:bookmarkStart w:id="15" w:name="_Toc28359080"/>
      <w:bookmarkStart w:id="16" w:name="_Toc35393622"/>
      <w:r>
        <w:rPr>
          <w:rFonts w:hint="eastAsia" w:ascii="宋体" w:hAnsi="宋体" w:eastAsia="宋体" w:cs="宋体"/>
          <w:bCs w:val="0"/>
          <w:color w:val="000000"/>
          <w:sz w:val="21"/>
          <w:szCs w:val="21"/>
        </w:rPr>
        <w:t>二、申请人的资格要求：</w:t>
      </w:r>
      <w:bookmarkEnd w:id="12"/>
      <w:bookmarkEnd w:id="13"/>
      <w:bookmarkEnd w:id="14"/>
      <w:bookmarkEnd w:id="15"/>
      <w:bookmarkEnd w:id="16"/>
    </w:p>
    <w:p>
      <w:pPr>
        <w:spacing w:line="420" w:lineRule="exact"/>
        <w:ind w:firstLine="422"/>
        <w:rPr>
          <w:rFonts w:ascii="宋体" w:hAnsi="宋体"/>
          <w:b w:val="0"/>
          <w:bCs w:val="0"/>
          <w:szCs w:val="21"/>
        </w:rPr>
      </w:pPr>
      <w:bookmarkStart w:id="17" w:name="_Toc28359004"/>
      <w:bookmarkStart w:id="18" w:name="_Toc28359081"/>
      <w:bookmarkStart w:id="19" w:name="_Toc38985265"/>
      <w:bookmarkStart w:id="20" w:name="_Toc35393623"/>
      <w:bookmarkStart w:id="21" w:name="_Toc35393792"/>
      <w:r>
        <w:rPr>
          <w:rFonts w:hint="eastAsia" w:ascii="宋体" w:hAnsi="宋体"/>
          <w:b w:val="0"/>
          <w:bCs w:val="0"/>
          <w:szCs w:val="21"/>
        </w:rPr>
        <w:t>（一</w:t>
      </w:r>
      <w:r>
        <w:rPr>
          <w:rFonts w:ascii="宋体" w:hAnsi="宋体"/>
          <w:b w:val="0"/>
          <w:bCs w:val="0"/>
          <w:szCs w:val="21"/>
        </w:rPr>
        <w:t>）</w:t>
      </w:r>
      <w:r>
        <w:rPr>
          <w:rFonts w:hint="eastAsia" w:ascii="宋体" w:hAnsi="宋体"/>
          <w:b w:val="0"/>
          <w:bCs w:val="0"/>
          <w:szCs w:val="21"/>
        </w:rPr>
        <w:t>满足《中华人民共和国政府采购法》第二十二条规定；</w:t>
      </w:r>
    </w:p>
    <w:p>
      <w:pPr>
        <w:spacing w:line="420" w:lineRule="exact"/>
        <w:ind w:firstLine="420"/>
        <w:rPr>
          <w:rFonts w:ascii="宋体" w:hAnsi="宋体"/>
          <w:i/>
          <w:iCs/>
          <w:szCs w:val="21"/>
          <w:u w:val="single"/>
        </w:rPr>
      </w:pPr>
      <w:r>
        <w:rPr>
          <w:rFonts w:hint="eastAsia" w:ascii="宋体" w:hAnsi="宋体"/>
          <w:i/>
          <w:iCs/>
          <w:szCs w:val="21"/>
          <w:u w:val="single"/>
        </w:rPr>
        <w:t>1.法人或者其他组织的营业执照等证明文件，自然人的身份证明</w:t>
      </w:r>
    </w:p>
    <w:p>
      <w:pPr>
        <w:spacing w:line="420" w:lineRule="exact"/>
        <w:ind w:firstLine="420"/>
        <w:rPr>
          <w:rFonts w:ascii="宋体" w:hAnsi="宋体"/>
          <w:i/>
          <w:iCs/>
          <w:szCs w:val="21"/>
          <w:highlight w:val="none"/>
          <w:u w:val="single"/>
        </w:rPr>
      </w:pPr>
      <w:r>
        <w:rPr>
          <w:rFonts w:hint="eastAsia" w:ascii="宋体" w:hAnsi="宋体"/>
          <w:i/>
          <w:iCs/>
          <w:szCs w:val="21"/>
          <w:highlight w:val="none"/>
          <w:u w:val="single"/>
        </w:rPr>
        <w:t>2.上一年度的财务状况报告（供应商成立不满一年无需提供）</w:t>
      </w:r>
    </w:p>
    <w:p>
      <w:pPr>
        <w:spacing w:line="420" w:lineRule="exact"/>
        <w:ind w:firstLine="420"/>
        <w:rPr>
          <w:rFonts w:ascii="宋体" w:hAnsi="宋体"/>
          <w:i/>
          <w:iCs/>
          <w:szCs w:val="21"/>
          <w:u w:val="single"/>
        </w:rPr>
      </w:pPr>
      <w:r>
        <w:rPr>
          <w:rFonts w:hint="eastAsia" w:ascii="宋体" w:hAnsi="宋体"/>
          <w:i/>
          <w:iCs/>
          <w:szCs w:val="21"/>
          <w:u w:val="single"/>
        </w:rPr>
        <w:t>3.依法缴纳税收和社会保障资金的相关材料（提供提交响应文件截止时间前一年内任意一个月依法缴纳税收及缴纳社会保障资金的证明材料。供应商依法享受缓缴、免缴税收、社会保障资金的提供证明材料）</w:t>
      </w:r>
    </w:p>
    <w:p>
      <w:pPr>
        <w:spacing w:line="420" w:lineRule="exact"/>
        <w:ind w:firstLine="420"/>
        <w:rPr>
          <w:rFonts w:ascii="宋体" w:hAnsi="宋体"/>
          <w:i/>
          <w:iCs/>
          <w:szCs w:val="21"/>
          <w:u w:val="single"/>
        </w:rPr>
      </w:pPr>
      <w:r>
        <w:rPr>
          <w:rFonts w:hint="eastAsia" w:ascii="宋体" w:hAnsi="宋体"/>
          <w:i/>
          <w:iCs/>
          <w:szCs w:val="21"/>
          <w:u w:val="single"/>
        </w:rPr>
        <w:t>4.具备履行合同所必需的设备和专业技术能力的书面声明</w:t>
      </w:r>
    </w:p>
    <w:p>
      <w:pPr>
        <w:spacing w:line="420" w:lineRule="exact"/>
        <w:ind w:firstLine="420"/>
        <w:rPr>
          <w:rFonts w:ascii="宋体" w:hAnsi="宋体"/>
          <w:i/>
          <w:iCs/>
          <w:szCs w:val="21"/>
          <w:u w:val="single"/>
        </w:rPr>
      </w:pPr>
      <w:r>
        <w:rPr>
          <w:rFonts w:hint="eastAsia" w:ascii="宋体" w:hAnsi="宋体"/>
          <w:i/>
          <w:iCs/>
          <w:szCs w:val="21"/>
          <w:u w:val="single"/>
        </w:rPr>
        <w:t>5.参加政府采购活动前3年内在经营活动中没有重大违法记录的书面声明</w:t>
      </w:r>
    </w:p>
    <w:p>
      <w:pPr>
        <w:spacing w:line="420" w:lineRule="exact"/>
        <w:ind w:firstLine="420"/>
        <w:rPr>
          <w:rFonts w:ascii="宋体" w:hAnsi="宋体"/>
          <w:i/>
          <w:szCs w:val="21"/>
          <w:u w:val="single"/>
        </w:rPr>
      </w:pPr>
      <w:r>
        <w:rPr>
          <w:rFonts w:hint="eastAsia" w:ascii="宋体" w:hAnsi="宋体"/>
          <w:i/>
          <w:iCs/>
          <w:szCs w:val="21"/>
          <w:u w:val="single"/>
        </w:rPr>
        <w:t>6.供应商信用承诺函</w:t>
      </w:r>
    </w:p>
    <w:p>
      <w:pPr>
        <w:spacing w:line="420" w:lineRule="exact"/>
        <w:ind w:firstLine="420"/>
        <w:rPr>
          <w:rFonts w:hint="eastAsia" w:ascii="宋体" w:hAnsi="宋体" w:eastAsia="宋体" w:cs="Times New Roman"/>
          <w:i/>
          <w:iCs/>
          <w:szCs w:val="21"/>
          <w:u w:val="single"/>
          <w:lang w:val="en-US" w:eastAsia="zh-CN"/>
        </w:rPr>
      </w:pPr>
      <w:r>
        <w:rPr>
          <w:rFonts w:hint="eastAsia" w:ascii="宋体" w:hAnsi="宋体" w:eastAsia="宋体" w:cs="Times New Roman"/>
          <w:i/>
          <w:iCs/>
          <w:szCs w:val="21"/>
          <w:u w:val="single"/>
          <w:lang w:val="en-US" w:eastAsia="zh-CN"/>
        </w:rPr>
        <w:t>7.</w:t>
      </w:r>
      <w:r>
        <w:rPr>
          <w:rFonts w:hint="eastAsia" w:ascii="宋体" w:hAnsi="宋体" w:eastAsia="宋体" w:cs="Times New Roman"/>
          <w:i/>
          <w:iCs/>
          <w:szCs w:val="21"/>
          <w:u w:val="single"/>
        </w:rPr>
        <w:t>法人授权书</w:t>
      </w:r>
    </w:p>
    <w:p>
      <w:pPr>
        <w:spacing w:line="420" w:lineRule="exact"/>
        <w:ind w:firstLine="420"/>
        <w:rPr>
          <w:rFonts w:hint="default" w:ascii="宋体" w:hAnsi="宋体" w:eastAsia="宋体" w:cs="Times New Roman"/>
          <w:i/>
          <w:iCs/>
          <w:szCs w:val="21"/>
          <w:u w:val="single"/>
          <w:lang w:val="en-US" w:eastAsia="zh-CN"/>
        </w:rPr>
      </w:pPr>
      <w:r>
        <w:rPr>
          <w:rFonts w:hint="eastAsia" w:ascii="宋体" w:hAnsi="宋体" w:eastAsia="宋体" w:cs="Times New Roman"/>
          <w:i/>
          <w:iCs/>
          <w:szCs w:val="21"/>
          <w:u w:val="single"/>
          <w:lang w:val="en-US" w:eastAsia="zh-CN"/>
        </w:rPr>
        <w:t>8.</w:t>
      </w:r>
      <w:r>
        <w:rPr>
          <w:rFonts w:hint="eastAsia" w:ascii="宋体" w:hAnsi="宋体" w:eastAsia="宋体" w:cs="Times New Roman"/>
          <w:i/>
          <w:iCs/>
          <w:szCs w:val="21"/>
          <w:u w:val="single"/>
        </w:rPr>
        <w:t>磋商响应函</w:t>
      </w:r>
    </w:p>
    <w:p>
      <w:pPr>
        <w:spacing w:line="420" w:lineRule="exact"/>
        <w:ind w:firstLine="420"/>
        <w:rPr>
          <w:rFonts w:ascii="宋体" w:hAnsi="宋体"/>
          <w:i/>
          <w:iCs/>
          <w:szCs w:val="21"/>
          <w:highlight w:val="none"/>
          <w:u w:val="single"/>
        </w:rPr>
      </w:pPr>
      <w:r>
        <w:rPr>
          <w:rFonts w:hint="eastAsia" w:ascii="宋体" w:hAnsi="宋体"/>
          <w:i/>
          <w:iCs/>
          <w:szCs w:val="21"/>
          <w:highlight w:val="none"/>
          <w:u w:val="single"/>
          <w:lang w:val="en-US" w:eastAsia="zh-CN"/>
        </w:rPr>
        <w:t>9</w:t>
      </w:r>
      <w:r>
        <w:rPr>
          <w:rFonts w:hint="eastAsia" w:ascii="宋体" w:hAnsi="宋体"/>
          <w:i/>
          <w:iCs/>
          <w:szCs w:val="21"/>
          <w:highlight w:val="none"/>
          <w:u w:val="single"/>
        </w:rPr>
        <w:t>.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p>
    <w:p>
      <w:pPr>
        <w:spacing w:line="420" w:lineRule="exact"/>
        <w:ind w:firstLine="420"/>
        <w:rPr>
          <w:rFonts w:hint="eastAsia" w:ascii="宋体" w:hAnsi="宋体" w:eastAsia="宋体" w:cs="宋体"/>
          <w:szCs w:val="21"/>
          <w:highlight w:val="none"/>
          <w:lang w:val="en-US" w:eastAsia="zh-CN"/>
        </w:rPr>
      </w:pPr>
      <w:r>
        <w:rPr>
          <w:rFonts w:hint="eastAsia" w:ascii="宋体" w:hAnsi="宋体"/>
          <w:b w:val="0"/>
          <w:bCs/>
          <w:szCs w:val="21"/>
          <w:highlight w:val="none"/>
        </w:rPr>
        <w:t>（二）落实政府采购政策需满足的资格要求：</w:t>
      </w:r>
      <w:r>
        <w:rPr>
          <w:rFonts w:hint="eastAsia" w:ascii="宋体" w:hAnsi="宋体" w:eastAsia="宋体" w:cs="宋体"/>
          <w:i/>
          <w:color w:val="auto"/>
          <w:kern w:val="0"/>
          <w:szCs w:val="21"/>
          <w:highlight w:val="none"/>
          <w:u w:val="single"/>
          <w:lang w:val="en"/>
        </w:rPr>
        <w:t>本项目专门面向中小</w:t>
      </w:r>
      <w:r>
        <w:rPr>
          <w:rFonts w:hint="eastAsia" w:ascii="宋体" w:hAnsi="宋体" w:eastAsia="宋体" w:cs="宋体"/>
          <w:i/>
          <w:color w:val="auto"/>
          <w:kern w:val="0"/>
          <w:szCs w:val="21"/>
          <w:highlight w:val="none"/>
          <w:u w:val="single"/>
          <w:lang w:val="en-US" w:eastAsia="zh-CN"/>
        </w:rPr>
        <w:t>微</w:t>
      </w:r>
      <w:r>
        <w:rPr>
          <w:rFonts w:hint="eastAsia" w:ascii="宋体" w:hAnsi="宋体" w:eastAsia="宋体" w:cs="宋体"/>
          <w:i/>
          <w:color w:val="auto"/>
          <w:kern w:val="0"/>
          <w:szCs w:val="21"/>
          <w:highlight w:val="none"/>
          <w:u w:val="single"/>
          <w:lang w:val="en"/>
        </w:rPr>
        <w:t>企业采购</w:t>
      </w:r>
      <w:r>
        <w:rPr>
          <w:rFonts w:hint="eastAsia" w:ascii="宋体" w:hAnsi="宋体" w:eastAsia="宋体" w:cs="宋体"/>
          <w:i/>
          <w:color w:val="auto"/>
          <w:kern w:val="0"/>
          <w:szCs w:val="21"/>
          <w:highlight w:val="none"/>
          <w:u w:val="single"/>
          <w:lang w:val="en" w:eastAsia="zh-CN"/>
        </w:rPr>
        <w:t>。</w:t>
      </w:r>
      <w:r>
        <w:rPr>
          <w:rFonts w:hint="eastAsia" w:ascii="宋体" w:hAnsi="宋体" w:eastAsia="宋体" w:cs="宋体"/>
          <w:i/>
          <w:color w:val="auto"/>
          <w:kern w:val="0"/>
          <w:szCs w:val="21"/>
          <w:highlight w:val="none"/>
          <w:u w:val="single"/>
          <w:lang w:val="en"/>
        </w:rPr>
        <w:t>残疾人福利性单位、监狱和戒毒企业（简称监狱企业）视同小型、微型企业。</w:t>
      </w:r>
      <w:r>
        <w:rPr>
          <w:rFonts w:hint="eastAsia" w:ascii="宋体" w:hAnsi="宋体" w:eastAsia="宋体" w:cs="宋体"/>
          <w:i/>
          <w:color w:val="auto"/>
          <w:kern w:val="0"/>
          <w:szCs w:val="21"/>
          <w:highlight w:val="none"/>
          <w:u w:val="single"/>
          <w:lang w:val="en" w:eastAsia="zh-CN"/>
        </w:rPr>
        <w:t>（供应商按要求填写并提供《中小微企业声明函》或《残疾人福利性单位声明函》，或提供由省级以上监狱管理局、戒毒管理局(含新疆生产建设兵团)出具的属于监狱企业的证明文件。）</w:t>
      </w:r>
    </w:p>
    <w:p>
      <w:pPr>
        <w:spacing w:line="420" w:lineRule="exact"/>
        <w:ind w:firstLine="420"/>
        <w:rPr>
          <w:rFonts w:hint="eastAsia" w:ascii="宋体" w:hAnsi="宋体" w:eastAsia="宋体" w:cs="宋体"/>
          <w:b w:val="0"/>
          <w:bCs/>
          <w:color w:val="000000"/>
          <w:sz w:val="21"/>
          <w:szCs w:val="21"/>
          <w:lang w:val="en-US" w:eastAsia="zh-CN"/>
        </w:rPr>
      </w:pPr>
      <w:r>
        <w:rPr>
          <w:rFonts w:hint="eastAsia" w:ascii="宋体" w:hAnsi="宋体"/>
          <w:b w:val="0"/>
          <w:bCs/>
          <w:szCs w:val="21"/>
        </w:rPr>
        <w:t>（三）本项目的特定资格要求：</w:t>
      </w:r>
      <w:r>
        <w:rPr>
          <w:rFonts w:hint="eastAsia" w:ascii="宋体" w:hAnsi="宋体"/>
          <w:b w:val="0"/>
          <w:bCs/>
          <w:i w:val="0"/>
          <w:iCs w:val="0"/>
          <w:szCs w:val="21"/>
          <w:u w:val="none"/>
          <w:lang w:val="en-US" w:eastAsia="zh-CN"/>
        </w:rPr>
        <w:t>无</w:t>
      </w:r>
    </w:p>
    <w:p>
      <w:pPr>
        <w:pStyle w:val="226"/>
        <w:spacing w:before="0" w:after="0" w:line="420" w:lineRule="exact"/>
        <w:ind w:firstLine="422"/>
        <w:jc w:val="both"/>
        <w:rPr>
          <w:rFonts w:ascii="宋体" w:hAnsi="宋体" w:eastAsia="宋体" w:cs="宋体"/>
          <w:bCs w:val="0"/>
          <w:color w:val="000000"/>
          <w:sz w:val="21"/>
          <w:szCs w:val="21"/>
        </w:rPr>
      </w:pPr>
      <w:r>
        <w:rPr>
          <w:rFonts w:hint="eastAsia" w:ascii="宋体" w:hAnsi="宋体" w:eastAsia="宋体" w:cs="宋体"/>
          <w:bCs w:val="0"/>
          <w:color w:val="000000"/>
          <w:sz w:val="21"/>
          <w:szCs w:val="21"/>
        </w:rPr>
        <w:t>三、获取</w:t>
      </w:r>
      <w:bookmarkEnd w:id="17"/>
      <w:bookmarkEnd w:id="18"/>
      <w:bookmarkEnd w:id="19"/>
      <w:bookmarkEnd w:id="20"/>
      <w:bookmarkEnd w:id="21"/>
      <w:r>
        <w:rPr>
          <w:rFonts w:hint="eastAsia" w:ascii="宋体" w:hAnsi="宋体" w:eastAsia="宋体" w:cs="宋体"/>
          <w:bCs w:val="0"/>
          <w:color w:val="000000"/>
          <w:sz w:val="21"/>
          <w:szCs w:val="21"/>
        </w:rPr>
        <w:t>采购文件</w:t>
      </w:r>
    </w:p>
    <w:p>
      <w:pPr>
        <w:spacing w:line="420" w:lineRule="exact"/>
        <w:ind w:firstLine="540"/>
        <w:rPr>
          <w:rFonts w:hint="eastAsia" w:ascii="宋体" w:hAnsi="宋体" w:cs="宋体"/>
          <w:szCs w:val="21"/>
        </w:rPr>
      </w:pPr>
      <w:bookmarkStart w:id="22" w:name="_Toc28359005"/>
      <w:bookmarkStart w:id="23" w:name="_Toc28359082"/>
      <w:bookmarkStart w:id="24" w:name="_Toc35393624"/>
      <w:bookmarkStart w:id="25" w:name="_Toc35393793"/>
      <w:bookmarkStart w:id="26" w:name="_Toc38985266"/>
      <w:r>
        <w:rPr>
          <w:rFonts w:hint="eastAsia" w:ascii="宋体" w:hAnsi="宋体" w:cs="宋体"/>
          <w:szCs w:val="21"/>
        </w:rPr>
        <w:t>时间：自磋商文件公告发布之日起5个工作日</w:t>
      </w:r>
      <w:r>
        <w:rPr>
          <w:rFonts w:hint="eastAsia" w:ascii="宋体" w:hAnsi="宋体" w:cs="宋体"/>
          <w:szCs w:val="21"/>
          <w:lang w:eastAsia="zh-CN"/>
        </w:rPr>
        <w:t>。</w:t>
      </w:r>
      <w:r>
        <w:rPr>
          <w:rFonts w:hint="eastAsia" w:ascii="宋体" w:hAnsi="宋体" w:cs="宋体"/>
          <w:szCs w:val="21"/>
        </w:rPr>
        <w:t>5个工作日后仍可下载采购文件，但不作为供应商权益受到损害的证明材料和依据。</w:t>
      </w:r>
    </w:p>
    <w:p>
      <w:pPr>
        <w:spacing w:line="420" w:lineRule="exact"/>
        <w:ind w:firstLine="540"/>
        <w:rPr>
          <w:rFonts w:hint="eastAsia" w:ascii="宋体" w:hAnsi="宋体" w:eastAsia="宋体" w:cs="宋体"/>
          <w:szCs w:val="21"/>
          <w:lang w:eastAsia="zh-CN"/>
        </w:rPr>
      </w:pPr>
      <w:r>
        <w:rPr>
          <w:rFonts w:hint="eastAsia" w:ascii="宋体" w:hAnsi="宋体" w:cs="宋体"/>
          <w:szCs w:val="21"/>
        </w:rPr>
        <w:t>地点：</w:t>
      </w:r>
      <w:r>
        <w:rPr>
          <w:rFonts w:hint="eastAsia" w:ascii="宋体" w:hAnsi="宋体" w:cs="宋体"/>
          <w:szCs w:val="21"/>
          <w:lang w:val="en-US" w:eastAsia="zh-CN"/>
        </w:rPr>
        <w:t>在</w:t>
      </w:r>
      <w:r>
        <w:rPr>
          <w:rFonts w:hint="eastAsia" w:ascii="宋体" w:hAnsi="宋体" w:cs="宋体"/>
          <w:szCs w:val="21"/>
        </w:rPr>
        <w:t>“江苏政府采购网”和“中国政府采购网”</w:t>
      </w:r>
      <w:r>
        <w:rPr>
          <w:rFonts w:hint="eastAsia" w:ascii="宋体" w:hAnsi="宋体" w:eastAsia="宋体" w:cs="宋体"/>
          <w:szCs w:val="21"/>
        </w:rPr>
        <w:t>自行免费下载招标文件</w:t>
      </w:r>
      <w:r>
        <w:rPr>
          <w:rFonts w:hint="eastAsia" w:ascii="宋体" w:hAnsi="宋体" w:eastAsia="宋体" w:cs="宋体"/>
          <w:szCs w:val="21"/>
          <w:lang w:eastAsia="zh-CN"/>
        </w:rPr>
        <w:t>。</w:t>
      </w:r>
    </w:p>
    <w:p>
      <w:pPr>
        <w:spacing w:line="420" w:lineRule="exact"/>
        <w:ind w:firstLine="540"/>
        <w:rPr>
          <w:rFonts w:ascii="宋体" w:hAnsi="宋体" w:cs="宋体"/>
          <w:szCs w:val="21"/>
        </w:rPr>
      </w:pPr>
      <w:r>
        <w:rPr>
          <w:rFonts w:hint="eastAsia" w:ascii="宋体" w:hAnsi="宋体" w:cs="宋体"/>
          <w:szCs w:val="21"/>
        </w:rPr>
        <w:t>方式：</w:t>
      </w:r>
      <w:r>
        <w:rPr>
          <w:rFonts w:hint="eastAsia" w:ascii="宋体" w:hAnsi="宋体"/>
          <w:szCs w:val="21"/>
        </w:rPr>
        <w:t>本项目采用网上注册登记方式</w:t>
      </w:r>
    </w:p>
    <w:p>
      <w:pPr>
        <w:spacing w:line="420" w:lineRule="exact"/>
        <w:ind w:firstLine="540"/>
        <w:rPr>
          <w:rFonts w:ascii="宋体" w:hAnsi="宋体" w:cs="宋体"/>
          <w:szCs w:val="21"/>
        </w:rPr>
      </w:pPr>
      <w:r>
        <w:rPr>
          <w:rFonts w:hint="eastAsia" w:ascii="宋体" w:hAnsi="宋体" w:cs="宋体"/>
          <w:szCs w:val="21"/>
        </w:rPr>
        <w:t>售价：0.00元。</w:t>
      </w:r>
    </w:p>
    <w:p>
      <w:pPr>
        <w:pStyle w:val="226"/>
        <w:spacing w:before="0" w:after="0" w:line="420" w:lineRule="exact"/>
        <w:ind w:firstLine="422"/>
        <w:jc w:val="both"/>
        <w:rPr>
          <w:rFonts w:ascii="宋体" w:hAnsi="宋体" w:eastAsia="宋体" w:cs="宋体"/>
          <w:bCs w:val="0"/>
          <w:color w:val="000000"/>
          <w:sz w:val="21"/>
          <w:szCs w:val="21"/>
        </w:rPr>
      </w:pPr>
      <w:r>
        <w:rPr>
          <w:rFonts w:hint="eastAsia" w:ascii="宋体" w:hAnsi="宋体" w:eastAsia="宋体" w:cs="宋体"/>
          <w:bCs w:val="0"/>
          <w:color w:val="000000"/>
          <w:sz w:val="21"/>
          <w:szCs w:val="21"/>
        </w:rPr>
        <w:t>四、</w:t>
      </w:r>
      <w:bookmarkEnd w:id="22"/>
      <w:bookmarkEnd w:id="23"/>
      <w:r>
        <w:rPr>
          <w:rFonts w:hint="eastAsia" w:ascii="宋体" w:hAnsi="宋体" w:eastAsia="宋体" w:cs="宋体"/>
          <w:bCs w:val="0"/>
          <w:color w:val="000000"/>
          <w:sz w:val="21"/>
          <w:szCs w:val="21"/>
        </w:rPr>
        <w:t>响应文件提交</w:t>
      </w:r>
      <w:bookmarkEnd w:id="24"/>
      <w:bookmarkEnd w:id="25"/>
      <w:bookmarkEnd w:id="26"/>
    </w:p>
    <w:p>
      <w:pPr>
        <w:spacing w:line="420" w:lineRule="exact"/>
        <w:ind w:firstLine="420"/>
        <w:rPr>
          <w:rFonts w:ascii="宋体" w:hAnsi="宋体"/>
          <w:bCs/>
          <w:color w:val="auto"/>
          <w:szCs w:val="21"/>
          <w:highlight w:val="none"/>
        </w:rPr>
      </w:pPr>
      <w:bookmarkStart w:id="27" w:name="_Toc28359084"/>
      <w:bookmarkStart w:id="28" w:name="_Toc38985267"/>
      <w:bookmarkStart w:id="29" w:name="_Toc28359007"/>
      <w:bookmarkStart w:id="30" w:name="_Toc35393625"/>
      <w:bookmarkStart w:id="31" w:name="_Toc35393794"/>
      <w:r>
        <w:rPr>
          <w:rFonts w:hint="eastAsia" w:ascii="宋体" w:hAnsi="宋体"/>
          <w:bCs/>
          <w:color w:val="auto"/>
          <w:szCs w:val="21"/>
          <w:highlight w:val="none"/>
        </w:rPr>
        <w:t>截止时间：202</w:t>
      </w:r>
      <w:r>
        <w:rPr>
          <w:rFonts w:hint="eastAsia" w:ascii="宋体" w:hAnsi="宋体"/>
          <w:bCs/>
          <w:color w:val="auto"/>
          <w:szCs w:val="21"/>
          <w:highlight w:val="none"/>
          <w:lang w:val="en-US" w:eastAsia="zh-CN"/>
        </w:rPr>
        <w:t>6</w:t>
      </w:r>
      <w:r>
        <w:rPr>
          <w:rFonts w:hint="eastAsia" w:ascii="宋体" w:hAnsi="宋体"/>
          <w:bCs/>
          <w:color w:val="auto"/>
          <w:szCs w:val="21"/>
          <w:highlight w:val="none"/>
        </w:rPr>
        <w:t>年</w:t>
      </w:r>
      <w:r>
        <w:rPr>
          <w:rFonts w:hint="eastAsia" w:ascii="宋体" w:hAnsi="宋体"/>
          <w:bCs/>
          <w:color w:val="auto"/>
          <w:szCs w:val="21"/>
          <w:highlight w:val="none"/>
          <w:lang w:val="en-US" w:eastAsia="zh-CN"/>
        </w:rPr>
        <w:t>09</w:t>
      </w:r>
      <w:r>
        <w:rPr>
          <w:rFonts w:hint="eastAsia" w:ascii="宋体" w:hAnsi="宋体"/>
          <w:bCs/>
          <w:color w:val="auto"/>
          <w:szCs w:val="21"/>
          <w:highlight w:val="none"/>
        </w:rPr>
        <w:t>月</w:t>
      </w:r>
      <w:r>
        <w:rPr>
          <w:rFonts w:hint="eastAsia" w:ascii="宋体" w:hAnsi="宋体"/>
          <w:bCs/>
          <w:color w:val="auto"/>
          <w:szCs w:val="21"/>
          <w:highlight w:val="none"/>
          <w:lang w:val="en-US" w:eastAsia="zh-CN"/>
        </w:rPr>
        <w:t>22</w:t>
      </w:r>
      <w:r>
        <w:rPr>
          <w:rFonts w:hint="eastAsia" w:ascii="宋体" w:hAnsi="宋体"/>
          <w:bCs/>
          <w:color w:val="auto"/>
          <w:szCs w:val="21"/>
          <w:highlight w:val="none"/>
        </w:rPr>
        <w:t>日14点</w:t>
      </w:r>
      <w:r>
        <w:rPr>
          <w:rFonts w:hint="eastAsia" w:ascii="宋体" w:hAnsi="宋体"/>
          <w:bCs/>
          <w:color w:val="auto"/>
          <w:szCs w:val="21"/>
          <w:highlight w:val="none"/>
          <w:lang w:val="en-US" w:eastAsia="zh-CN"/>
        </w:rPr>
        <w:t>0</w:t>
      </w:r>
      <w:r>
        <w:rPr>
          <w:rFonts w:hint="eastAsia" w:ascii="宋体" w:hAnsi="宋体"/>
          <w:bCs/>
          <w:color w:val="auto"/>
          <w:szCs w:val="21"/>
          <w:highlight w:val="none"/>
        </w:rPr>
        <w:t>0分（北京时间）；</w:t>
      </w:r>
    </w:p>
    <w:p>
      <w:pPr>
        <w:spacing w:line="420" w:lineRule="exact"/>
        <w:ind w:firstLine="422"/>
        <w:rPr>
          <w:rFonts w:ascii="宋体" w:hAnsi="宋体"/>
          <w:bCs/>
          <w:color w:val="auto"/>
          <w:szCs w:val="21"/>
          <w:highlight w:val="none"/>
        </w:rPr>
      </w:pPr>
      <w:r>
        <w:rPr>
          <w:rFonts w:hint="eastAsia" w:ascii="宋体" w:hAnsi="宋体"/>
          <w:bCs/>
          <w:color w:val="auto"/>
          <w:szCs w:val="21"/>
          <w:highlight w:val="none"/>
        </w:rPr>
        <w:t>地点：“苏采云”系统（网址：http://jszfcg.jsczt.cn/）。</w:t>
      </w:r>
    </w:p>
    <w:p>
      <w:pPr>
        <w:pStyle w:val="226"/>
        <w:spacing w:before="0" w:after="0" w:line="420" w:lineRule="exact"/>
        <w:ind w:firstLine="422"/>
        <w:jc w:val="both"/>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五、开启</w:t>
      </w:r>
    </w:p>
    <w:p>
      <w:pPr>
        <w:spacing w:line="420" w:lineRule="exact"/>
        <w:ind w:firstLine="420"/>
        <w:rPr>
          <w:rFonts w:ascii="宋体" w:hAnsi="宋体" w:cs="宋体"/>
          <w:szCs w:val="21"/>
          <w:highlight w:val="none"/>
        </w:rPr>
      </w:pPr>
      <w:r>
        <w:rPr>
          <w:rFonts w:hint="eastAsia" w:ascii="宋体" w:hAnsi="宋体" w:cs="宋体"/>
          <w:color w:val="auto"/>
          <w:szCs w:val="21"/>
          <w:highlight w:val="none"/>
        </w:rPr>
        <w:t>时间：202</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年</w:t>
      </w:r>
      <w:r>
        <w:rPr>
          <w:rFonts w:hint="eastAsia" w:ascii="宋体" w:hAnsi="宋体" w:cs="宋体"/>
          <w:color w:val="auto"/>
          <w:szCs w:val="21"/>
          <w:highlight w:val="none"/>
          <w:lang w:val="en-US" w:eastAsia="zh-CN"/>
        </w:rPr>
        <w:t>09</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22</w:t>
      </w:r>
      <w:r>
        <w:rPr>
          <w:rFonts w:hint="eastAsia" w:ascii="宋体" w:hAnsi="宋体" w:cs="宋体"/>
          <w:color w:val="auto"/>
          <w:szCs w:val="21"/>
          <w:highlight w:val="none"/>
        </w:rPr>
        <w:t>日14点</w:t>
      </w:r>
      <w:r>
        <w:rPr>
          <w:rFonts w:hint="eastAsia" w:ascii="宋体" w:hAnsi="宋体" w:cs="宋体"/>
          <w:color w:val="auto"/>
          <w:szCs w:val="21"/>
          <w:highlight w:val="none"/>
          <w:lang w:val="en-US" w:eastAsia="zh-CN"/>
        </w:rPr>
        <w:t>0</w:t>
      </w:r>
      <w:r>
        <w:rPr>
          <w:rFonts w:hint="eastAsia" w:ascii="宋体" w:hAnsi="宋体" w:cs="宋体"/>
          <w:color w:val="auto"/>
          <w:szCs w:val="21"/>
          <w:highlight w:val="none"/>
        </w:rPr>
        <w:t>0分（北京</w:t>
      </w:r>
      <w:r>
        <w:rPr>
          <w:rFonts w:hint="eastAsia" w:ascii="宋体" w:hAnsi="宋体" w:cs="宋体"/>
          <w:szCs w:val="21"/>
          <w:highlight w:val="none"/>
        </w:rPr>
        <w:t>时间）；</w:t>
      </w:r>
    </w:p>
    <w:p>
      <w:pPr>
        <w:spacing w:line="420" w:lineRule="exact"/>
        <w:ind w:firstLine="420"/>
        <w:rPr>
          <w:rFonts w:ascii="宋体" w:hAnsi="宋体" w:cs="宋体"/>
          <w:szCs w:val="21"/>
        </w:rPr>
      </w:pPr>
      <w:r>
        <w:rPr>
          <w:rFonts w:hint="eastAsia" w:ascii="宋体" w:hAnsi="宋体" w:cs="宋体"/>
          <w:szCs w:val="21"/>
        </w:rPr>
        <w:t>地点：“苏采云”系统（网址：http://jszfcg.jsczt.cn/）“开标大厅”。</w:t>
      </w:r>
    </w:p>
    <w:p>
      <w:pPr>
        <w:pStyle w:val="226"/>
        <w:spacing w:before="0" w:after="0" w:line="420" w:lineRule="exact"/>
        <w:ind w:firstLine="422"/>
        <w:jc w:val="both"/>
        <w:rPr>
          <w:rFonts w:ascii="宋体" w:hAnsi="宋体" w:eastAsia="宋体" w:cs="宋体"/>
          <w:bCs w:val="0"/>
          <w:color w:val="000000"/>
          <w:sz w:val="21"/>
          <w:szCs w:val="21"/>
        </w:rPr>
      </w:pPr>
      <w:r>
        <w:rPr>
          <w:rFonts w:hint="eastAsia" w:ascii="宋体" w:hAnsi="宋体" w:eastAsia="宋体" w:cs="宋体"/>
          <w:bCs w:val="0"/>
          <w:color w:val="000000"/>
          <w:sz w:val="21"/>
          <w:szCs w:val="21"/>
        </w:rPr>
        <w:t>六、公告期限</w:t>
      </w:r>
      <w:bookmarkEnd w:id="27"/>
      <w:bookmarkEnd w:id="28"/>
      <w:bookmarkEnd w:id="29"/>
      <w:bookmarkEnd w:id="30"/>
      <w:bookmarkEnd w:id="31"/>
    </w:p>
    <w:p>
      <w:pPr>
        <w:spacing w:line="420" w:lineRule="exact"/>
        <w:ind w:firstLine="420"/>
        <w:rPr>
          <w:rFonts w:ascii="宋体" w:hAnsi="宋体" w:cs="宋体"/>
          <w:szCs w:val="21"/>
        </w:rPr>
      </w:pPr>
      <w:bookmarkStart w:id="32" w:name="_Toc38985268"/>
      <w:bookmarkStart w:id="33" w:name="_Toc35393795"/>
      <w:bookmarkStart w:id="34" w:name="_Toc35393626"/>
      <w:r>
        <w:rPr>
          <w:rFonts w:hint="eastAsia" w:ascii="宋体" w:hAnsi="宋体" w:cs="宋体"/>
          <w:szCs w:val="21"/>
        </w:rPr>
        <w:t>自本公告发布之日起3个工作日。</w:t>
      </w:r>
    </w:p>
    <w:p>
      <w:pPr>
        <w:pStyle w:val="226"/>
        <w:spacing w:before="0" w:after="0" w:line="420" w:lineRule="exact"/>
        <w:ind w:firstLine="422"/>
        <w:jc w:val="both"/>
        <w:rPr>
          <w:rFonts w:ascii="宋体" w:hAnsi="宋体" w:eastAsia="宋体" w:cs="宋体"/>
          <w:bCs w:val="0"/>
          <w:color w:val="000000"/>
          <w:sz w:val="21"/>
          <w:szCs w:val="21"/>
        </w:rPr>
      </w:pPr>
      <w:r>
        <w:rPr>
          <w:rFonts w:hint="eastAsia" w:ascii="宋体" w:hAnsi="宋体" w:eastAsia="宋体" w:cs="宋体"/>
          <w:bCs w:val="0"/>
          <w:color w:val="000000"/>
          <w:sz w:val="21"/>
          <w:szCs w:val="21"/>
        </w:rPr>
        <w:t>七、其他补充事宜</w:t>
      </w:r>
      <w:bookmarkEnd w:id="32"/>
      <w:bookmarkEnd w:id="33"/>
      <w:bookmarkEnd w:id="34"/>
    </w:p>
    <w:p>
      <w:pPr>
        <w:spacing w:line="420" w:lineRule="exact"/>
        <w:ind w:firstLine="420"/>
        <w:rPr>
          <w:rFonts w:ascii="宋体" w:hAnsi="宋体" w:cs="宋体"/>
          <w:szCs w:val="21"/>
        </w:rPr>
      </w:pPr>
      <w:bookmarkStart w:id="35" w:name="_Toc28359085"/>
      <w:bookmarkStart w:id="36" w:name="_Toc38985269"/>
      <w:bookmarkStart w:id="37" w:name="_Toc35393796"/>
      <w:bookmarkStart w:id="38" w:name="_Toc28359008"/>
      <w:bookmarkStart w:id="39" w:name="_Toc35393627"/>
      <w:r>
        <w:rPr>
          <w:rFonts w:hint="eastAsia" w:ascii="宋体" w:hAnsi="宋体" w:cs="宋体"/>
          <w:szCs w:val="21"/>
        </w:rPr>
        <w:t>7.1潜在供应商访问政府采购管理交易系统（苏采云）的网络地址和方法：</w:t>
      </w:r>
    </w:p>
    <w:p>
      <w:pPr>
        <w:spacing w:line="420" w:lineRule="exact"/>
        <w:ind w:firstLine="420"/>
        <w:rPr>
          <w:rFonts w:ascii="宋体" w:hAnsi="宋体" w:cs="宋体"/>
          <w:szCs w:val="21"/>
        </w:rPr>
      </w:pPr>
      <w:r>
        <w:rPr>
          <w:rFonts w:hint="eastAsia" w:ascii="宋体" w:hAnsi="宋体" w:cs="宋体"/>
          <w:szCs w:val="21"/>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pPr>
        <w:spacing w:line="420" w:lineRule="exact"/>
        <w:ind w:firstLine="420"/>
        <w:rPr>
          <w:rFonts w:ascii="宋体" w:hAnsi="宋体" w:cs="宋体"/>
          <w:szCs w:val="21"/>
        </w:rPr>
      </w:pPr>
      <w:r>
        <w:rPr>
          <w:rFonts w:hint="eastAsia" w:ascii="宋体" w:hAnsi="宋体" w:cs="宋体"/>
          <w:szCs w:val="21"/>
        </w:rPr>
        <w:t>（2）“CA数字证书”的获取：供应商需办理CA锁，“苏采云”系统目前仅支持“苏采云”系统下的政务CA，省内各地区办理的“苏采云”系统下的政务CA全省通用。</w:t>
      </w:r>
    </w:p>
    <w:p>
      <w:pPr>
        <w:spacing w:line="420" w:lineRule="exact"/>
        <w:ind w:firstLine="420"/>
        <w:rPr>
          <w:rFonts w:ascii="宋体" w:hAnsi="宋体" w:cs="宋体"/>
          <w:szCs w:val="21"/>
        </w:rPr>
      </w:pPr>
      <w:r>
        <w:rPr>
          <w:rFonts w:hint="eastAsia" w:ascii="宋体" w:hAnsi="宋体" w:cs="宋体"/>
          <w:szCs w:val="21"/>
        </w:rPr>
        <w:t>（3）“CA数字证书”的办理材料以及供应商操作手册详见：</w:t>
      </w:r>
    </w:p>
    <w:p>
      <w:pPr>
        <w:spacing w:line="420" w:lineRule="exact"/>
        <w:ind w:firstLine="420"/>
        <w:rPr>
          <w:rFonts w:ascii="宋体" w:hAnsi="宋体" w:cs="宋体"/>
          <w:szCs w:val="21"/>
        </w:rPr>
      </w:pPr>
      <w:r>
        <w:rPr>
          <w:rFonts w:ascii="宋体" w:hAnsi="宋体" w:cs="宋体"/>
          <w:szCs w:val="21"/>
        </w:rPr>
        <w:t>http://zfcg.yangzhou.gov.cn/xzzx/art/2023/art_4d7de1f7865f4a2894fc22bc452f94d8.html</w:t>
      </w:r>
      <w:r>
        <w:rPr>
          <w:rFonts w:hint="eastAsia" w:ascii="宋体" w:hAnsi="宋体" w:cs="宋体"/>
          <w:szCs w:val="21"/>
        </w:rPr>
        <w:t>。</w:t>
      </w:r>
    </w:p>
    <w:p>
      <w:pPr>
        <w:spacing w:line="420" w:lineRule="exact"/>
        <w:ind w:firstLine="420"/>
        <w:rPr>
          <w:rFonts w:ascii="宋体" w:hAnsi="宋体" w:cs="宋体"/>
          <w:szCs w:val="21"/>
        </w:rPr>
      </w:pPr>
      <w:r>
        <w:rPr>
          <w:rFonts w:hint="eastAsia" w:ascii="宋体" w:hAnsi="宋体" w:cs="宋体"/>
          <w:szCs w:val="21"/>
        </w:rPr>
        <w:t>（4）潜在供应商访问“苏采云”系统的网络地址和方法：“苏采云”系统的网址：http://jszfcg.jsczt.cn/。</w:t>
      </w:r>
    </w:p>
    <w:p>
      <w:pPr>
        <w:spacing w:line="420" w:lineRule="exact"/>
        <w:ind w:firstLine="420"/>
        <w:rPr>
          <w:rFonts w:ascii="宋体" w:hAnsi="宋体" w:cs="宋体"/>
          <w:szCs w:val="21"/>
        </w:rPr>
      </w:pPr>
      <w:r>
        <w:rPr>
          <w:rFonts w:hint="eastAsia" w:ascii="宋体" w:hAnsi="宋体" w:cs="宋体"/>
          <w:szCs w:val="21"/>
        </w:rPr>
        <w:t>（5）采购文件（后缀名为“.kedt”）、供应商操作手册及政府采购客户端工具也可通过“苏采云”系统--已报名项目--报名详情页面内相应链接进行下载。</w:t>
      </w:r>
    </w:p>
    <w:p>
      <w:pPr>
        <w:spacing w:line="420" w:lineRule="exact"/>
        <w:ind w:firstLine="420"/>
        <w:rPr>
          <w:rFonts w:ascii="宋体" w:hAnsi="宋体" w:cs="宋体"/>
          <w:szCs w:val="21"/>
        </w:rPr>
      </w:pPr>
      <w:r>
        <w:rPr>
          <w:rFonts w:hint="eastAsia" w:ascii="宋体" w:hAnsi="宋体" w:cs="宋体"/>
          <w:szCs w:val="21"/>
        </w:rPr>
        <w:t xml:space="preserve">（6）招标代理机构（采购代理机构）将数据电文形式的采购文件加载至“苏采云”系统，供潜在供应商下载或者查阅。     </w:t>
      </w:r>
    </w:p>
    <w:p>
      <w:pPr>
        <w:spacing w:line="420" w:lineRule="exact"/>
        <w:ind w:firstLine="420"/>
        <w:rPr>
          <w:rFonts w:ascii="宋体" w:hAnsi="宋体" w:cs="宋体"/>
          <w:szCs w:val="21"/>
          <w:highlight w:val="none"/>
        </w:rPr>
      </w:pPr>
      <w:r>
        <w:rPr>
          <w:rFonts w:hint="eastAsia" w:ascii="宋体" w:hAnsi="宋体" w:cs="宋体"/>
          <w:szCs w:val="21"/>
          <w:highlight w:val="none"/>
        </w:rPr>
        <w:t>（7）苏采云系统使用谷歌浏览器参与不见面开标。</w:t>
      </w:r>
    </w:p>
    <w:p>
      <w:pPr>
        <w:spacing w:line="420" w:lineRule="exact"/>
        <w:ind w:firstLine="420"/>
        <w:rPr>
          <w:rFonts w:ascii="宋体" w:hAnsi="宋体" w:cs="宋体"/>
          <w:szCs w:val="21"/>
          <w:highlight w:val="none"/>
        </w:rPr>
      </w:pPr>
      <w:r>
        <w:rPr>
          <w:rFonts w:hint="eastAsia" w:ascii="宋体" w:hAnsi="宋体" w:cs="宋体"/>
          <w:szCs w:val="21"/>
          <w:highlight w:val="none"/>
        </w:rPr>
        <w:t>7.2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p>
    <w:p>
      <w:pPr>
        <w:spacing w:line="420" w:lineRule="exact"/>
        <w:ind w:firstLine="420"/>
        <w:rPr>
          <w:rFonts w:ascii="宋体" w:hAnsi="宋体" w:cs="宋体"/>
          <w:szCs w:val="21"/>
          <w:highlight w:val="none"/>
        </w:rPr>
      </w:pPr>
      <w:r>
        <w:rPr>
          <w:rFonts w:hint="eastAsia" w:ascii="宋体" w:hAnsi="宋体" w:cs="宋体"/>
          <w:szCs w:val="21"/>
          <w:highlight w:val="none"/>
        </w:rPr>
        <w:t>7.3供应商如确定参加磋商，可自行下载采购文件及有关资料，按照《操作手册》进行注册，领取CA和办理电子签章，并按《操作手册》要求制作、上传电子投标文件，技术支持联系方式：13813140731。</w:t>
      </w:r>
    </w:p>
    <w:p>
      <w:pPr>
        <w:spacing w:line="420" w:lineRule="exact"/>
        <w:ind w:firstLine="420"/>
        <w:rPr>
          <w:rFonts w:ascii="宋体" w:hAnsi="宋体" w:cs="宋体"/>
          <w:szCs w:val="21"/>
          <w:highlight w:val="none"/>
        </w:rPr>
      </w:pPr>
      <w:r>
        <w:rPr>
          <w:rFonts w:hint="eastAsia" w:ascii="宋体" w:hAnsi="宋体" w:cs="宋体"/>
          <w:szCs w:val="21"/>
          <w:highlight w:val="none"/>
        </w:rPr>
        <w:t>7.4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p>
    <w:p>
      <w:pPr>
        <w:spacing w:line="420" w:lineRule="exact"/>
        <w:ind w:firstLine="420"/>
        <w:rPr>
          <w:rFonts w:ascii="宋体" w:hAnsi="宋体" w:cs="宋体"/>
          <w:szCs w:val="21"/>
          <w:highlight w:val="none"/>
        </w:rPr>
      </w:pPr>
      <w:r>
        <w:rPr>
          <w:rFonts w:hint="eastAsia" w:ascii="宋体" w:hAnsi="宋体" w:cs="宋体"/>
          <w:szCs w:val="21"/>
          <w:highlight w:val="none"/>
        </w:rPr>
        <w:t>7.5潜在投标人对采购文件项目需求部分的询问、质疑请向采购人提出，由采购人负责答复。</w:t>
      </w:r>
    </w:p>
    <w:p>
      <w:pPr>
        <w:spacing w:line="420" w:lineRule="exact"/>
        <w:ind w:firstLine="420"/>
        <w:rPr>
          <w:rFonts w:ascii="宋体" w:hAnsi="宋体" w:cs="宋体"/>
          <w:szCs w:val="21"/>
          <w:highlight w:val="none"/>
        </w:rPr>
      </w:pPr>
      <w:r>
        <w:rPr>
          <w:rFonts w:hint="eastAsia" w:ascii="宋体" w:hAnsi="宋体" w:cs="宋体"/>
          <w:szCs w:val="21"/>
          <w:highlight w:val="none"/>
        </w:rPr>
        <w:t>7.6本次采购</w:t>
      </w:r>
      <w:r>
        <w:rPr>
          <w:rFonts w:hint="eastAsia" w:ascii="宋体" w:hAnsi="宋体" w:cs="宋体"/>
          <w:szCs w:val="21"/>
          <w:highlight w:val="none"/>
          <w:u w:val="single"/>
        </w:rPr>
        <w:t>不收取</w:t>
      </w:r>
      <w:r>
        <w:rPr>
          <w:rFonts w:hint="eastAsia" w:ascii="宋体" w:hAnsi="宋体" w:cs="宋体"/>
          <w:szCs w:val="21"/>
          <w:highlight w:val="none"/>
        </w:rPr>
        <w:t>磋商保证金。</w:t>
      </w:r>
    </w:p>
    <w:p>
      <w:pPr>
        <w:spacing w:line="420" w:lineRule="exact"/>
        <w:ind w:firstLine="420"/>
        <w:rPr>
          <w:rFonts w:ascii="宋体" w:hAnsi="宋体" w:cs="宋体"/>
          <w:szCs w:val="21"/>
          <w:highlight w:val="none"/>
        </w:rPr>
      </w:pPr>
      <w:r>
        <w:rPr>
          <w:rFonts w:hint="eastAsia" w:ascii="宋体" w:hAnsi="宋体" w:cs="宋体"/>
          <w:szCs w:val="21"/>
          <w:highlight w:val="none"/>
        </w:rPr>
        <w:t>7.7有关本次招标的事项若存在变动或修改，敬请及时关注“江苏政府采购网”和“中国政府采购网”发布的信息。</w:t>
      </w:r>
    </w:p>
    <w:p>
      <w:pPr>
        <w:spacing w:line="420" w:lineRule="exact"/>
        <w:ind w:firstLine="420"/>
        <w:rPr>
          <w:rFonts w:ascii="宋体" w:hAnsi="宋体" w:cs="宋体"/>
          <w:b/>
          <w:bCs/>
          <w:i/>
          <w:iCs/>
          <w:szCs w:val="21"/>
          <w:highlight w:val="none"/>
          <w:u w:val="single"/>
        </w:rPr>
      </w:pPr>
      <w:r>
        <w:rPr>
          <w:rFonts w:hint="eastAsia" w:ascii="宋体" w:hAnsi="宋体" w:cs="宋体"/>
          <w:b/>
          <w:bCs/>
          <w:i/>
          <w:iCs/>
          <w:szCs w:val="21"/>
          <w:highlight w:val="none"/>
          <w:u w:val="single"/>
        </w:rPr>
        <w:t>7.8本项目</w:t>
      </w:r>
      <w:r>
        <w:rPr>
          <w:rFonts w:hint="eastAsia" w:ascii="宋体" w:hAnsi="宋体" w:cs="宋体"/>
          <w:b/>
          <w:bCs/>
          <w:i/>
          <w:iCs/>
          <w:szCs w:val="21"/>
          <w:highlight w:val="none"/>
          <w:u w:val="single"/>
          <w:lang w:val="en-US" w:eastAsia="zh-CN"/>
        </w:rPr>
        <w:t>采购</w:t>
      </w:r>
      <w:r>
        <w:rPr>
          <w:rFonts w:hint="eastAsia" w:ascii="宋体" w:hAnsi="宋体" w:cs="宋体"/>
          <w:b/>
          <w:bCs/>
          <w:i/>
          <w:iCs/>
          <w:szCs w:val="21"/>
          <w:highlight w:val="none"/>
          <w:u w:val="single"/>
        </w:rPr>
        <w:t>文件中所有斜体下划线部分为实质性条款，如不满足，则为无效投标。</w:t>
      </w:r>
    </w:p>
    <w:p>
      <w:pPr>
        <w:spacing w:line="420" w:lineRule="exact"/>
        <w:ind w:firstLine="420"/>
        <w:rPr>
          <w:rFonts w:ascii="宋体" w:hAnsi="宋体" w:cs="宋体"/>
          <w:szCs w:val="21"/>
          <w:highlight w:val="none"/>
        </w:rPr>
      </w:pPr>
      <w:r>
        <w:rPr>
          <w:rFonts w:hint="eastAsia" w:ascii="宋体" w:hAnsi="宋体" w:cs="宋体"/>
          <w:szCs w:val="21"/>
          <w:highlight w:val="none"/>
        </w:rPr>
        <w:t>7.9请各供应商授权代表在开（评）标活动当天保持手机畅通，供应商联系不上的，由供应商自行承担相关后果。</w:t>
      </w:r>
    </w:p>
    <w:p>
      <w:pPr>
        <w:spacing w:line="420" w:lineRule="exact"/>
        <w:ind w:firstLine="420"/>
        <w:rPr>
          <w:rFonts w:ascii="宋体" w:hAnsi="宋体" w:cs="宋体"/>
          <w:szCs w:val="21"/>
          <w:highlight w:val="none"/>
        </w:rPr>
      </w:pPr>
      <w:r>
        <w:rPr>
          <w:rFonts w:hint="eastAsia" w:ascii="宋体" w:hAnsi="宋体" w:cs="宋体"/>
          <w:szCs w:val="21"/>
          <w:highlight w:val="none"/>
        </w:rPr>
        <w:t>7.10如在开标时间发生系统崩溃等不可预见的情况，造成磋商活动无法正常进行的，将延迟开启及评审，具体时间另行通知。</w:t>
      </w:r>
    </w:p>
    <w:p>
      <w:pPr>
        <w:spacing w:line="420" w:lineRule="exact"/>
        <w:ind w:firstLine="420"/>
        <w:rPr>
          <w:rFonts w:ascii="宋体" w:hAnsi="宋体" w:cs="宋体"/>
          <w:szCs w:val="21"/>
          <w:highlight w:val="none"/>
        </w:rPr>
      </w:pPr>
      <w:r>
        <w:rPr>
          <w:rFonts w:hint="eastAsia" w:ascii="宋体" w:hAnsi="宋体" w:cs="宋体"/>
          <w:szCs w:val="21"/>
          <w:highlight w:val="none"/>
        </w:rPr>
        <w:t>7.11根据省财政厅《关于更换全省政府采购交易系统C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w:t>
      </w:r>
    </w:p>
    <w:p>
      <w:pPr>
        <w:spacing w:line="420" w:lineRule="exact"/>
        <w:ind w:firstLine="420"/>
        <w:rPr>
          <w:rFonts w:ascii="宋体" w:hAnsi="宋体" w:cs="宋体"/>
          <w:szCs w:val="21"/>
          <w:highlight w:val="none"/>
        </w:rPr>
      </w:pPr>
      <w:r>
        <w:rPr>
          <w:rFonts w:ascii="宋体" w:hAnsi="宋体" w:cs="宋体"/>
          <w:szCs w:val="21"/>
          <w:highlight w:val="none"/>
        </w:rPr>
        <w:t>http://zfcg.yangzhou.gov.cn/xzzx/art/2023/art_4d7de1f7865f4a2894fc22bc452f94d8.html</w:t>
      </w:r>
      <w:r>
        <w:rPr>
          <w:rFonts w:hint="eastAsia" w:ascii="宋体" w:hAnsi="宋体" w:cs="宋体"/>
          <w:szCs w:val="21"/>
          <w:highlight w:val="none"/>
          <w:lang w:eastAsia="zh-CN"/>
        </w:rPr>
        <w:t>，</w:t>
      </w:r>
      <w:r>
        <w:rPr>
          <w:rFonts w:hint="eastAsia" w:ascii="宋体" w:hAnsi="宋体" w:cs="宋体"/>
          <w:szCs w:val="21"/>
          <w:highlight w:val="none"/>
        </w:rPr>
        <w:t>请按《操作手册》要求制作、上传电子投标文件。</w:t>
      </w:r>
    </w:p>
    <w:p>
      <w:pPr>
        <w:spacing w:line="420" w:lineRule="exact"/>
        <w:ind w:firstLine="420"/>
        <w:rPr>
          <w:rFonts w:ascii="宋体" w:hAnsi="宋体" w:cs="宋体"/>
          <w:szCs w:val="21"/>
          <w:highlight w:val="none"/>
        </w:rPr>
      </w:pPr>
      <w:r>
        <w:rPr>
          <w:rFonts w:hint="eastAsia" w:ascii="宋体" w:hAnsi="宋体" w:cs="宋体"/>
          <w:szCs w:val="21"/>
          <w:highlight w:val="none"/>
        </w:rPr>
        <w:t>7.1</w:t>
      </w:r>
      <w:r>
        <w:rPr>
          <w:rFonts w:hint="eastAsia" w:ascii="宋体" w:hAnsi="宋体" w:cs="宋体"/>
          <w:szCs w:val="21"/>
          <w:highlight w:val="none"/>
          <w:lang w:val="en-US" w:eastAsia="zh-CN"/>
        </w:rPr>
        <w:t>2</w:t>
      </w:r>
      <w:r>
        <w:rPr>
          <w:rFonts w:hint="eastAsia" w:ascii="宋体" w:hAnsi="宋体" w:cs="宋体"/>
          <w:szCs w:val="21"/>
          <w:highlight w:val="none"/>
        </w:rPr>
        <w:t>落实好政府采购履约资金扶持政策。中标/成交供应商可凭政府采购合同办理融资贷款，详见江苏政府采购网“政采贷”专栏。</w:t>
      </w:r>
    </w:p>
    <w:p>
      <w:pPr>
        <w:spacing w:line="420" w:lineRule="exact"/>
        <w:ind w:firstLine="420"/>
        <w:rPr>
          <w:rFonts w:ascii="宋体" w:hAnsi="宋体" w:cs="宋体"/>
          <w:szCs w:val="21"/>
        </w:rPr>
      </w:pPr>
      <w:r>
        <w:rPr>
          <w:rFonts w:hint="eastAsia" w:ascii="宋体" w:hAnsi="宋体" w:cs="宋体"/>
          <w:szCs w:val="21"/>
          <w:highlight w:val="none"/>
        </w:rPr>
        <w:t>7.1</w:t>
      </w:r>
      <w:r>
        <w:rPr>
          <w:rFonts w:hint="eastAsia" w:ascii="宋体" w:hAnsi="宋体" w:cs="宋体"/>
          <w:szCs w:val="21"/>
          <w:highlight w:val="none"/>
          <w:lang w:val="en-US" w:eastAsia="zh-CN"/>
        </w:rPr>
        <w:t>3</w:t>
      </w:r>
      <w:r>
        <w:rPr>
          <w:rFonts w:hint="eastAsia" w:ascii="宋体" w:hAnsi="宋体" w:cs="宋体"/>
          <w:szCs w:val="21"/>
          <w:highlight w:val="none"/>
        </w:rPr>
        <w:t>严格执行政府采购关于支持节能产品、环境标志产品的</w:t>
      </w:r>
      <w:r>
        <w:rPr>
          <w:rFonts w:hint="eastAsia" w:ascii="宋体" w:hAnsi="宋体" w:cs="宋体"/>
          <w:szCs w:val="21"/>
        </w:rPr>
        <w:t>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pPr>
        <w:spacing w:line="420" w:lineRule="exact"/>
        <w:ind w:firstLine="420"/>
        <w:rPr>
          <w:rFonts w:ascii="宋体" w:hAnsi="宋体" w:cs="宋体"/>
          <w:szCs w:val="21"/>
        </w:rPr>
      </w:pPr>
      <w:r>
        <w:rPr>
          <w:rFonts w:hint="eastAsia" w:ascii="宋体" w:hAnsi="宋体" w:cs="宋体"/>
          <w:szCs w:val="21"/>
        </w:rPr>
        <w:t>7.</w:t>
      </w:r>
      <w:r>
        <w:rPr>
          <w:rFonts w:hint="eastAsia" w:ascii="宋体" w:hAnsi="宋体" w:cs="宋体"/>
          <w:szCs w:val="21"/>
          <w:lang w:val="en-US" w:eastAsia="zh-CN"/>
        </w:rPr>
        <w:t>14</w:t>
      </w:r>
      <w:r>
        <w:rPr>
          <w:rFonts w:hint="eastAsia" w:ascii="宋体" w:hAnsi="宋体" w:cs="宋体"/>
          <w:szCs w:val="21"/>
        </w:rPr>
        <w:t>供应商对于投标产品的包装应按照“财办库〔2020〕123号《关于印发《商品包装政府采购需求标准（试行）》、《快递包装政府采购需求标准（试行）》的通知》”执行。</w:t>
      </w:r>
    </w:p>
    <w:p>
      <w:pPr>
        <w:pStyle w:val="226"/>
        <w:spacing w:before="0" w:after="0" w:line="420" w:lineRule="exact"/>
        <w:ind w:firstLine="422"/>
        <w:jc w:val="both"/>
        <w:rPr>
          <w:rFonts w:ascii="宋体" w:hAnsi="宋体" w:eastAsia="宋体" w:cs="宋体"/>
          <w:bCs w:val="0"/>
          <w:color w:val="000000"/>
          <w:sz w:val="21"/>
          <w:szCs w:val="21"/>
        </w:rPr>
      </w:pPr>
      <w:r>
        <w:rPr>
          <w:rFonts w:hint="eastAsia" w:ascii="宋体" w:hAnsi="宋体" w:eastAsia="宋体" w:cs="宋体"/>
          <w:bCs w:val="0"/>
          <w:color w:val="000000"/>
          <w:sz w:val="21"/>
          <w:szCs w:val="21"/>
        </w:rPr>
        <w:t>八、</w:t>
      </w:r>
      <w:bookmarkEnd w:id="35"/>
      <w:bookmarkEnd w:id="36"/>
      <w:bookmarkEnd w:id="37"/>
      <w:bookmarkEnd w:id="38"/>
      <w:bookmarkEnd w:id="39"/>
      <w:r>
        <w:rPr>
          <w:rFonts w:hint="eastAsia" w:ascii="宋体" w:hAnsi="宋体" w:eastAsia="宋体" w:cs="宋体"/>
          <w:bCs w:val="0"/>
          <w:color w:val="000000"/>
          <w:sz w:val="21"/>
          <w:szCs w:val="21"/>
        </w:rPr>
        <w:t>凡对本次采购提出询问，请按以下方式联系</w:t>
      </w:r>
    </w:p>
    <w:p>
      <w:pPr>
        <w:widowControl/>
        <w:spacing w:line="420" w:lineRule="exact"/>
        <w:ind w:firstLine="420"/>
        <w:jc w:val="left"/>
        <w:rPr>
          <w:rFonts w:ascii="宋体" w:hAnsi="宋体"/>
          <w:szCs w:val="21"/>
        </w:rPr>
      </w:pPr>
      <w:r>
        <w:rPr>
          <w:rFonts w:hint="eastAsia" w:ascii="宋体" w:hAnsi="宋体" w:cs="宋体"/>
          <w:szCs w:val="21"/>
        </w:rPr>
        <w:t>1.采购人信息</w:t>
      </w:r>
    </w:p>
    <w:p>
      <w:pPr>
        <w:spacing w:line="420" w:lineRule="exact"/>
        <w:ind w:firstLine="420"/>
        <w:jc w:val="left"/>
        <w:rPr>
          <w:rFonts w:hint="eastAsia" w:ascii="宋体" w:hAnsi="宋体" w:eastAsia="宋体"/>
          <w:szCs w:val="21"/>
          <w:u w:val="none"/>
          <w:lang w:eastAsia="zh-CN"/>
        </w:rPr>
      </w:pPr>
      <w:r>
        <w:rPr>
          <w:rFonts w:hint="eastAsia" w:ascii="宋体" w:hAnsi="宋体"/>
          <w:szCs w:val="21"/>
          <w:u w:val="none"/>
        </w:rPr>
        <w:t>名 称：</w:t>
      </w:r>
      <w:r>
        <w:rPr>
          <w:rFonts w:hint="eastAsia" w:ascii="宋体" w:hAnsi="宋体"/>
          <w:szCs w:val="21"/>
          <w:u w:val="none"/>
          <w:lang w:eastAsia="zh-CN"/>
        </w:rPr>
        <w:t>江苏省家禽科学研究所</w:t>
      </w:r>
    </w:p>
    <w:p>
      <w:pPr>
        <w:spacing w:line="440" w:lineRule="exact"/>
        <w:ind w:firstLine="420"/>
        <w:jc w:val="left"/>
        <w:rPr>
          <w:rFonts w:hint="eastAsia" w:ascii="宋体" w:hAnsi="宋体" w:eastAsia="宋体"/>
          <w:szCs w:val="21"/>
          <w:u w:val="none"/>
          <w:lang w:eastAsia="zh-CN"/>
        </w:rPr>
      </w:pPr>
      <w:r>
        <w:rPr>
          <w:rFonts w:hint="eastAsia" w:ascii="宋体" w:hAnsi="宋体"/>
          <w:szCs w:val="21"/>
          <w:u w:val="none"/>
        </w:rPr>
        <w:t>地 址：</w:t>
      </w:r>
      <w:r>
        <w:rPr>
          <w:rFonts w:hint="eastAsia" w:ascii="宋体" w:hAnsi="宋体"/>
          <w:szCs w:val="21"/>
          <w:u w:val="none"/>
          <w:lang w:eastAsia="zh-CN"/>
        </w:rPr>
        <w:t>扬州市邗江区仓颉路 58 号</w:t>
      </w:r>
    </w:p>
    <w:p>
      <w:pPr>
        <w:spacing w:line="420" w:lineRule="exact"/>
        <w:ind w:firstLine="420"/>
        <w:jc w:val="left"/>
        <w:rPr>
          <w:rFonts w:hint="eastAsia" w:ascii="宋体" w:hAnsi="宋体" w:eastAsia="宋体"/>
          <w:szCs w:val="21"/>
          <w:highlight w:val="none"/>
          <w:u w:val="none"/>
        </w:rPr>
      </w:pPr>
      <w:r>
        <w:rPr>
          <w:rFonts w:hint="eastAsia" w:ascii="宋体" w:hAnsi="宋体" w:eastAsia="宋体"/>
          <w:szCs w:val="21"/>
          <w:highlight w:val="none"/>
          <w:u w:val="none"/>
        </w:rPr>
        <w:t>联系人：</w:t>
      </w:r>
      <w:r>
        <w:rPr>
          <w:rFonts w:hint="eastAsia" w:ascii="宋体" w:hAnsi="宋体" w:eastAsia="宋体"/>
          <w:szCs w:val="21"/>
          <w:highlight w:val="none"/>
          <w:u w:val="none"/>
          <w:lang w:val="en-US" w:eastAsia="zh-CN"/>
        </w:rPr>
        <w:t>盛</w:t>
      </w:r>
      <w:r>
        <w:rPr>
          <w:rFonts w:hint="eastAsia" w:ascii="宋体" w:hAnsi="宋体" w:eastAsia="宋体"/>
          <w:szCs w:val="21"/>
          <w:highlight w:val="none"/>
          <w:u w:val="none"/>
        </w:rPr>
        <w:t>先生</w:t>
      </w:r>
    </w:p>
    <w:p>
      <w:pPr>
        <w:spacing w:line="420" w:lineRule="exact"/>
        <w:ind w:firstLine="420"/>
        <w:jc w:val="left"/>
        <w:rPr>
          <w:rFonts w:hint="eastAsia" w:ascii="宋体" w:hAnsi="宋体" w:eastAsia="宋体"/>
          <w:szCs w:val="21"/>
          <w:highlight w:val="none"/>
          <w:u w:val="none"/>
        </w:rPr>
      </w:pPr>
      <w:r>
        <w:rPr>
          <w:rFonts w:hint="eastAsia" w:ascii="宋体" w:hAnsi="宋体" w:eastAsia="宋体"/>
          <w:szCs w:val="21"/>
          <w:highlight w:val="none"/>
          <w:u w:val="none"/>
        </w:rPr>
        <w:t>联系方式：</w:t>
      </w:r>
      <w:bookmarkStart w:id="40" w:name="_Toc28359009"/>
      <w:bookmarkStart w:id="41" w:name="_Toc28359086"/>
      <w:r>
        <w:rPr>
          <w:rFonts w:hint="eastAsia" w:ascii="宋体" w:hAnsi="宋体" w:eastAsia="宋体" w:cs="宋体"/>
          <w:color w:val="000000"/>
          <w:sz w:val="21"/>
          <w:szCs w:val="21"/>
          <w:highlight w:val="none"/>
          <w:lang w:val="en-US" w:eastAsia="zh-CN"/>
        </w:rPr>
        <w:t>0514-85599007</w:t>
      </w:r>
    </w:p>
    <w:p>
      <w:pPr>
        <w:spacing w:line="420" w:lineRule="exact"/>
        <w:ind w:firstLine="420"/>
        <w:jc w:val="left"/>
        <w:rPr>
          <w:rFonts w:ascii="宋体" w:hAnsi="宋体"/>
          <w:szCs w:val="21"/>
          <w:u w:val="none"/>
        </w:rPr>
      </w:pPr>
      <w:r>
        <w:rPr>
          <w:rFonts w:hint="eastAsia" w:ascii="宋体" w:hAnsi="宋体" w:cs="宋体"/>
          <w:szCs w:val="21"/>
          <w:u w:val="none"/>
        </w:rPr>
        <w:t>2.采购代理机构信息</w:t>
      </w:r>
      <w:bookmarkEnd w:id="40"/>
      <w:bookmarkEnd w:id="41"/>
    </w:p>
    <w:p>
      <w:pPr>
        <w:spacing w:line="440" w:lineRule="exact"/>
        <w:ind w:firstLine="420"/>
        <w:rPr>
          <w:rFonts w:hint="eastAsia" w:ascii="宋体" w:hAnsi="宋体"/>
          <w:szCs w:val="21"/>
          <w:u w:val="none"/>
        </w:rPr>
      </w:pPr>
      <w:r>
        <w:rPr>
          <w:rFonts w:hint="eastAsia" w:ascii="宋体" w:hAnsi="宋体"/>
          <w:szCs w:val="21"/>
          <w:u w:val="none"/>
        </w:rPr>
        <w:t>名 称：中海华咨询有限公司</w:t>
      </w:r>
    </w:p>
    <w:p>
      <w:pPr>
        <w:spacing w:line="440" w:lineRule="exact"/>
        <w:ind w:firstLine="420"/>
        <w:jc w:val="left"/>
        <w:rPr>
          <w:rFonts w:hint="eastAsia" w:ascii="宋体" w:hAnsi="宋体"/>
          <w:szCs w:val="21"/>
          <w:u w:val="none"/>
        </w:rPr>
      </w:pPr>
      <w:r>
        <w:rPr>
          <w:rFonts w:hint="eastAsia" w:ascii="宋体" w:hAnsi="宋体"/>
          <w:szCs w:val="21"/>
          <w:u w:val="none"/>
        </w:rPr>
        <w:t>地 址：扬州市连运路77号六楼</w:t>
      </w:r>
    </w:p>
    <w:p>
      <w:pPr>
        <w:spacing w:line="440" w:lineRule="exact"/>
        <w:ind w:firstLine="420"/>
        <w:jc w:val="left"/>
        <w:rPr>
          <w:rFonts w:hint="eastAsia" w:ascii="宋体" w:hAnsi="宋体"/>
          <w:szCs w:val="21"/>
        </w:rPr>
      </w:pPr>
      <w:r>
        <w:rPr>
          <w:rFonts w:hint="eastAsia" w:ascii="宋体" w:hAnsi="宋体"/>
          <w:szCs w:val="21"/>
        </w:rPr>
        <w:t>联系人：李浩章</w:t>
      </w:r>
    </w:p>
    <w:p>
      <w:pPr>
        <w:spacing w:line="420" w:lineRule="exact"/>
        <w:ind w:firstLine="420"/>
        <w:jc w:val="left"/>
        <w:rPr>
          <w:rFonts w:hint="eastAsia" w:ascii="宋体" w:hAnsi="宋体" w:eastAsia="宋体" w:cs="Times New Roman"/>
          <w:szCs w:val="21"/>
          <w:u w:val="none"/>
        </w:rPr>
      </w:pPr>
      <w:r>
        <w:rPr>
          <w:rFonts w:hint="eastAsia" w:ascii="宋体" w:hAnsi="宋体" w:eastAsia="宋体" w:cs="Times New Roman"/>
          <w:szCs w:val="21"/>
          <w:u w:val="none"/>
        </w:rPr>
        <w:t>联系方式：</w:t>
      </w:r>
      <w:bookmarkStart w:id="42" w:name="_Toc28359087"/>
      <w:bookmarkStart w:id="43" w:name="_Toc28359010"/>
      <w:r>
        <w:rPr>
          <w:rFonts w:hint="eastAsia" w:ascii="宋体" w:hAnsi="宋体" w:eastAsia="宋体" w:cs="Times New Roman"/>
          <w:szCs w:val="21"/>
          <w:u w:val="none"/>
        </w:rPr>
        <w:t>18</w:t>
      </w:r>
      <w:bookmarkEnd w:id="42"/>
      <w:bookmarkEnd w:id="43"/>
      <w:r>
        <w:rPr>
          <w:rFonts w:hint="eastAsia" w:ascii="宋体" w:hAnsi="宋体" w:eastAsia="宋体" w:cs="Times New Roman"/>
          <w:szCs w:val="21"/>
          <w:u w:val="none"/>
        </w:rPr>
        <w:t>012335677</w:t>
      </w:r>
    </w:p>
    <w:p>
      <w:pPr>
        <w:spacing w:line="420" w:lineRule="exact"/>
        <w:ind w:firstLine="420"/>
        <w:jc w:val="left"/>
        <w:rPr>
          <w:rFonts w:hint="eastAsia" w:ascii="宋体" w:hAnsi="宋体" w:eastAsia="宋体" w:cs="Times New Roman"/>
          <w:szCs w:val="21"/>
          <w:u w:val="none"/>
        </w:rPr>
      </w:pPr>
      <w:bookmarkStart w:id="44" w:name="_Toc120614211"/>
      <w:r>
        <w:rPr>
          <w:rFonts w:hint="eastAsia" w:ascii="宋体" w:hAnsi="宋体" w:eastAsia="宋体" w:cs="Times New Roman"/>
          <w:szCs w:val="21"/>
          <w:u w:val="none"/>
        </w:rPr>
        <w:t>3.项目联系方式</w:t>
      </w:r>
    </w:p>
    <w:p>
      <w:pPr>
        <w:spacing w:line="420" w:lineRule="exact"/>
        <w:ind w:firstLine="420"/>
        <w:jc w:val="left"/>
        <w:rPr>
          <w:rFonts w:hint="eastAsia" w:ascii="宋体" w:hAnsi="宋体" w:eastAsia="宋体" w:cs="Times New Roman"/>
          <w:szCs w:val="21"/>
          <w:u w:val="none"/>
        </w:rPr>
      </w:pPr>
      <w:r>
        <w:rPr>
          <w:rFonts w:hint="eastAsia" w:ascii="宋体" w:hAnsi="宋体" w:eastAsia="宋体" w:cs="Times New Roman"/>
          <w:szCs w:val="21"/>
          <w:u w:val="none"/>
        </w:rPr>
        <w:t>联系人：</w:t>
      </w:r>
      <w:r>
        <w:rPr>
          <w:rFonts w:hint="eastAsia" w:ascii="宋体" w:hAnsi="宋体"/>
          <w:szCs w:val="21"/>
        </w:rPr>
        <w:t>李浩章</w:t>
      </w:r>
    </w:p>
    <w:p>
      <w:pPr>
        <w:spacing w:line="420" w:lineRule="exact"/>
        <w:ind w:firstLine="420"/>
        <w:jc w:val="left"/>
        <w:rPr>
          <w:rFonts w:hint="eastAsia" w:ascii="宋体" w:hAnsi="宋体" w:eastAsia="宋体" w:cs="Times New Roman"/>
          <w:szCs w:val="21"/>
          <w:u w:val="none"/>
        </w:rPr>
      </w:pPr>
      <w:r>
        <w:rPr>
          <w:rFonts w:hint="eastAsia" w:ascii="宋体" w:hAnsi="宋体" w:eastAsia="宋体" w:cs="Times New Roman"/>
          <w:szCs w:val="21"/>
          <w:u w:val="none"/>
        </w:rPr>
        <w:t>联系方式：18012335677</w:t>
      </w:r>
    </w:p>
    <w:p>
      <w:pPr>
        <w:ind w:right="840"/>
        <w:jc w:val="center"/>
        <w:rPr>
          <w:rFonts w:hint="eastAsia" w:ascii="黑体" w:hAnsi="Arial" w:eastAsia="黑体" w:cs="Arial"/>
          <w:b/>
          <w:bCs/>
          <w:sz w:val="44"/>
          <w:szCs w:val="44"/>
        </w:rPr>
      </w:pPr>
    </w:p>
    <w:p>
      <w:pPr>
        <w:ind w:right="840"/>
        <w:jc w:val="center"/>
        <w:rPr>
          <w:rFonts w:hint="eastAsia" w:ascii="黑体" w:hAnsi="Arial" w:eastAsia="黑体" w:cs="Arial"/>
          <w:b/>
          <w:bCs/>
          <w:sz w:val="44"/>
          <w:szCs w:val="44"/>
        </w:rPr>
      </w:pPr>
    </w:p>
    <w:p>
      <w:pPr>
        <w:pStyle w:val="56"/>
        <w:rPr>
          <w:rFonts w:hint="eastAsia" w:ascii="黑体" w:hAnsi="Arial" w:eastAsia="黑体" w:cs="Arial"/>
          <w:b/>
          <w:bCs/>
          <w:sz w:val="44"/>
          <w:szCs w:val="44"/>
        </w:rPr>
      </w:pPr>
    </w:p>
    <w:p>
      <w:pPr>
        <w:rPr>
          <w:rFonts w:hint="eastAsia" w:ascii="黑体" w:hAnsi="Arial" w:eastAsia="黑体" w:cs="Arial"/>
          <w:b/>
          <w:bCs/>
          <w:sz w:val="44"/>
          <w:szCs w:val="44"/>
        </w:rPr>
      </w:pPr>
    </w:p>
    <w:p>
      <w:pPr>
        <w:pStyle w:val="56"/>
        <w:rPr>
          <w:rFonts w:hint="eastAsia" w:ascii="黑体" w:hAnsi="Arial" w:eastAsia="黑体" w:cs="Arial"/>
          <w:b/>
          <w:bCs/>
          <w:sz w:val="44"/>
          <w:szCs w:val="44"/>
        </w:rPr>
      </w:pPr>
    </w:p>
    <w:p>
      <w:pPr>
        <w:ind w:right="840"/>
        <w:jc w:val="center"/>
        <w:rPr>
          <w:rFonts w:ascii="黑体" w:hAnsi="Arial" w:eastAsia="黑体" w:cs="Arial"/>
          <w:sz w:val="44"/>
          <w:szCs w:val="44"/>
        </w:rPr>
      </w:pPr>
      <w:r>
        <w:rPr>
          <w:rFonts w:hint="eastAsia" w:ascii="黑体" w:hAnsi="Arial" w:eastAsia="黑体" w:cs="Arial"/>
          <w:b/>
          <w:bCs/>
          <w:sz w:val="44"/>
          <w:szCs w:val="44"/>
        </w:rPr>
        <w:t xml:space="preserve">第二章  </w:t>
      </w:r>
      <w:bookmarkEnd w:id="1"/>
      <w:bookmarkEnd w:id="2"/>
      <w:bookmarkEnd w:id="3"/>
      <w:bookmarkEnd w:id="4"/>
      <w:bookmarkEnd w:id="5"/>
      <w:bookmarkEnd w:id="44"/>
      <w:r>
        <w:rPr>
          <w:rFonts w:hint="eastAsia" w:ascii="黑体" w:hAnsi="Arial" w:eastAsia="黑体" w:cs="Arial"/>
          <w:b/>
          <w:bCs/>
          <w:sz w:val="44"/>
          <w:szCs w:val="44"/>
        </w:rPr>
        <w:t>供应商须知</w:t>
      </w:r>
    </w:p>
    <w:p>
      <w:pPr>
        <w:keepNext/>
        <w:keepLines/>
        <w:spacing w:before="145" w:after="145" w:line="440" w:lineRule="exact"/>
        <w:ind w:firstLine="373"/>
        <w:outlineLvl w:val="2"/>
        <w:rPr>
          <w:rFonts w:ascii="Times New Roman" w:hAnsi="Times New Roman"/>
          <w:b/>
          <w:bCs/>
          <w:sz w:val="24"/>
          <w:szCs w:val="24"/>
        </w:rPr>
      </w:pPr>
      <w:bookmarkStart w:id="45" w:name="_Toc513029203"/>
      <w:bookmarkStart w:id="46" w:name="_Toc16938519"/>
      <w:bookmarkStart w:id="47" w:name="_Toc120614214"/>
      <w:bookmarkStart w:id="48" w:name="_Toc20823275"/>
      <w:r>
        <w:rPr>
          <w:rFonts w:hint="eastAsia" w:ascii="Times New Roman" w:hAnsi="Times New Roman"/>
          <w:b/>
          <w:bCs/>
          <w:sz w:val="24"/>
          <w:szCs w:val="24"/>
        </w:rPr>
        <w:t>一、总则</w:t>
      </w:r>
      <w:bookmarkEnd w:id="45"/>
      <w:bookmarkEnd w:id="46"/>
      <w:bookmarkEnd w:id="47"/>
      <w:bookmarkEnd w:id="48"/>
    </w:p>
    <w:p>
      <w:pPr>
        <w:keepNext/>
        <w:keepLines/>
        <w:spacing w:line="440" w:lineRule="exact"/>
        <w:ind w:firstLine="330"/>
        <w:outlineLvl w:val="3"/>
        <w:rPr>
          <w:rFonts w:ascii="黑体" w:hAnsi="黑体" w:eastAsia="黑体" w:cs="黑体"/>
          <w:sz w:val="22"/>
        </w:rPr>
      </w:pPr>
      <w:bookmarkStart w:id="49" w:name="_Hlt16619475"/>
      <w:bookmarkEnd w:id="49"/>
      <w:bookmarkStart w:id="50" w:name="_Toc458694821"/>
      <w:bookmarkStart w:id="51" w:name="_Toc513029204"/>
      <w:bookmarkStart w:id="52" w:name="_Toc16938520"/>
      <w:bookmarkStart w:id="53" w:name="_Toc20823276"/>
      <w:r>
        <w:rPr>
          <w:rFonts w:hint="eastAsia" w:ascii="黑体" w:hAnsi="黑体" w:eastAsia="黑体" w:cs="黑体"/>
          <w:sz w:val="22"/>
        </w:rPr>
        <w:t>1</w:t>
      </w:r>
      <w:bookmarkEnd w:id="50"/>
      <w:r>
        <w:rPr>
          <w:rFonts w:hint="eastAsia" w:ascii="黑体" w:hAnsi="黑体" w:eastAsia="黑体" w:cs="黑体"/>
          <w:sz w:val="22"/>
        </w:rPr>
        <w:t>、采购方式</w:t>
      </w:r>
      <w:bookmarkEnd w:id="51"/>
      <w:bookmarkEnd w:id="52"/>
      <w:bookmarkEnd w:id="53"/>
    </w:p>
    <w:p>
      <w:pPr>
        <w:spacing w:line="440" w:lineRule="exact"/>
        <w:ind w:firstLine="420"/>
        <w:rPr>
          <w:rFonts w:ascii="宋体" w:hAnsi="宋体"/>
          <w:szCs w:val="18"/>
        </w:rPr>
      </w:pPr>
      <w:r>
        <w:rPr>
          <w:rFonts w:hint="eastAsia" w:ascii="宋体" w:hAnsi="宋体"/>
          <w:szCs w:val="18"/>
        </w:rPr>
        <w:t>1.1 本次政府采购活动采取竞争性磋商(以下简称磋商)方式，本磋商文件仅适用于磋商公告中所述项目。</w:t>
      </w:r>
    </w:p>
    <w:p>
      <w:pPr>
        <w:keepNext/>
        <w:keepLines/>
        <w:spacing w:line="440" w:lineRule="exact"/>
        <w:ind w:firstLine="330"/>
        <w:outlineLvl w:val="3"/>
        <w:rPr>
          <w:rFonts w:ascii="黑体" w:hAnsi="黑体" w:eastAsia="黑体" w:cs="黑体"/>
          <w:sz w:val="22"/>
        </w:rPr>
      </w:pPr>
      <w:bookmarkStart w:id="54" w:name="_Toc16938521"/>
      <w:bookmarkStart w:id="55" w:name="_Toc513029205"/>
      <w:bookmarkStart w:id="56" w:name="_Toc20823277"/>
      <w:r>
        <w:rPr>
          <w:rFonts w:hint="eastAsia" w:ascii="黑体" w:hAnsi="黑体" w:eastAsia="黑体" w:cs="黑体"/>
          <w:sz w:val="22"/>
        </w:rPr>
        <w:t>2、合格的</w:t>
      </w:r>
      <w:bookmarkEnd w:id="54"/>
      <w:bookmarkEnd w:id="55"/>
      <w:bookmarkEnd w:id="56"/>
      <w:r>
        <w:rPr>
          <w:rFonts w:hint="eastAsia" w:ascii="黑体" w:hAnsi="黑体" w:eastAsia="黑体" w:cs="黑体"/>
          <w:sz w:val="22"/>
        </w:rPr>
        <w:t>供应商</w:t>
      </w:r>
    </w:p>
    <w:p>
      <w:pPr>
        <w:spacing w:line="440" w:lineRule="exact"/>
        <w:ind w:firstLine="420"/>
        <w:rPr>
          <w:rFonts w:ascii="宋体" w:hAnsi="宋体"/>
          <w:szCs w:val="21"/>
        </w:rPr>
      </w:pPr>
      <w:r>
        <w:rPr>
          <w:rFonts w:hint="eastAsia" w:ascii="宋体" w:hAnsi="宋体"/>
          <w:szCs w:val="21"/>
        </w:rPr>
        <w:t>2.1满足磋商公告中供应商资格要求的规定。</w:t>
      </w:r>
    </w:p>
    <w:p>
      <w:pPr>
        <w:spacing w:line="440" w:lineRule="exact"/>
        <w:ind w:firstLine="420"/>
        <w:rPr>
          <w:rFonts w:ascii="宋体" w:hAnsi="宋体"/>
          <w:szCs w:val="21"/>
        </w:rPr>
      </w:pPr>
      <w:r>
        <w:rPr>
          <w:rFonts w:hint="eastAsia" w:ascii="宋体" w:hAnsi="宋体"/>
          <w:szCs w:val="21"/>
        </w:rPr>
        <w:t>2.2 满足本磋商文件实质性要求和条件的规定。</w:t>
      </w:r>
    </w:p>
    <w:p>
      <w:pPr>
        <w:keepNext/>
        <w:keepLines/>
        <w:spacing w:line="440" w:lineRule="exact"/>
        <w:ind w:firstLine="330"/>
        <w:outlineLvl w:val="3"/>
        <w:rPr>
          <w:rFonts w:ascii="黑体" w:hAnsi="黑体" w:eastAsia="黑体" w:cs="黑体"/>
          <w:sz w:val="22"/>
        </w:rPr>
      </w:pPr>
      <w:bookmarkStart w:id="57" w:name="_Toc20823278"/>
      <w:bookmarkStart w:id="58" w:name="_Toc513029206"/>
      <w:bookmarkStart w:id="59" w:name="_Toc16938522"/>
      <w:r>
        <w:rPr>
          <w:rFonts w:hint="eastAsia" w:ascii="黑体" w:hAnsi="黑体" w:eastAsia="黑体" w:cs="黑体"/>
          <w:sz w:val="22"/>
        </w:rPr>
        <w:t>3、适用法律</w:t>
      </w:r>
      <w:bookmarkEnd w:id="57"/>
      <w:bookmarkEnd w:id="58"/>
      <w:bookmarkEnd w:id="59"/>
    </w:p>
    <w:p>
      <w:pPr>
        <w:spacing w:line="440" w:lineRule="exact"/>
        <w:ind w:firstLine="420"/>
        <w:rPr>
          <w:rFonts w:hint="eastAsia" w:ascii="宋体" w:hAnsi="宋体" w:eastAsia="宋体" w:cs="Times New Roman"/>
          <w:szCs w:val="21"/>
        </w:rPr>
      </w:pPr>
      <w:r>
        <w:rPr>
          <w:rFonts w:hint="eastAsia" w:ascii="宋体" w:hAnsi="宋体" w:eastAsia="宋体" w:cs="Times New Roman"/>
          <w:szCs w:val="21"/>
        </w:rPr>
        <w:t>3.1 本次磋商及由此产生的合同受中华人民共和国有关的法律法规制约和保护。</w:t>
      </w:r>
    </w:p>
    <w:p>
      <w:pPr>
        <w:spacing w:line="440" w:lineRule="exact"/>
        <w:ind w:firstLine="420"/>
        <w:rPr>
          <w:rFonts w:hint="eastAsia" w:ascii="宋体" w:hAnsi="宋体" w:eastAsia="宋体" w:cs="Times New Roman"/>
          <w:szCs w:val="21"/>
        </w:rPr>
      </w:pPr>
      <w:bookmarkStart w:id="60" w:name="_Toc16938523"/>
      <w:bookmarkStart w:id="61" w:name="_Toc513029207"/>
      <w:bookmarkStart w:id="62" w:name="_Toc20823279"/>
      <w:bookmarkStart w:id="63" w:name="_Toc462564067"/>
      <w:r>
        <w:rPr>
          <w:rFonts w:hint="eastAsia" w:ascii="宋体" w:hAnsi="宋体" w:eastAsia="宋体" w:cs="Times New Roman"/>
          <w:szCs w:val="21"/>
        </w:rPr>
        <w:t>3.2 在本项目政府采购活动过程中，如果所执行的标准有更新的，按照最新标准执行。</w:t>
      </w:r>
    </w:p>
    <w:p>
      <w:pPr>
        <w:keepNext/>
        <w:keepLines/>
        <w:spacing w:line="440" w:lineRule="exact"/>
        <w:ind w:firstLine="330"/>
        <w:outlineLvl w:val="3"/>
        <w:rPr>
          <w:rFonts w:ascii="黑体" w:hAnsi="黑体" w:eastAsia="黑体" w:cs="黑体"/>
          <w:sz w:val="22"/>
        </w:rPr>
      </w:pPr>
      <w:r>
        <w:rPr>
          <w:rFonts w:hint="eastAsia" w:ascii="黑体" w:hAnsi="黑体" w:eastAsia="黑体" w:cs="黑体"/>
          <w:sz w:val="22"/>
        </w:rPr>
        <w:t>4、磋商费用</w:t>
      </w:r>
      <w:bookmarkEnd w:id="60"/>
      <w:bookmarkEnd w:id="61"/>
      <w:bookmarkEnd w:id="62"/>
      <w:bookmarkEnd w:id="63"/>
    </w:p>
    <w:p>
      <w:pPr>
        <w:spacing w:line="440" w:lineRule="exact"/>
        <w:ind w:firstLine="420"/>
        <w:rPr>
          <w:rFonts w:ascii="宋体" w:hAnsi="宋体"/>
          <w:szCs w:val="18"/>
        </w:rPr>
      </w:pPr>
      <w:r>
        <w:rPr>
          <w:rFonts w:hint="eastAsia" w:ascii="宋体" w:hAnsi="宋体"/>
          <w:bCs/>
          <w:szCs w:val="18"/>
        </w:rPr>
        <w:t>4.1</w:t>
      </w:r>
      <w:r>
        <w:rPr>
          <w:rFonts w:hint="eastAsia" w:ascii="宋体" w:hAnsi="宋体"/>
          <w:szCs w:val="18"/>
        </w:rPr>
        <w:t>供应商应自行承担所有与参加本次磋商有关的费用，无论磋商过程中的做法和结果如何，</w:t>
      </w:r>
      <w:r>
        <w:rPr>
          <w:rFonts w:hint="eastAsia" w:ascii="宋体" w:hAnsi="宋体"/>
          <w:szCs w:val="18"/>
          <w:lang w:eastAsia="zh-CN"/>
        </w:rPr>
        <w:t>中海华咨询有限公司</w:t>
      </w:r>
      <w:r>
        <w:rPr>
          <w:rFonts w:hint="eastAsia" w:ascii="宋体" w:hAnsi="宋体"/>
          <w:szCs w:val="18"/>
        </w:rPr>
        <w:t>（以下简称采购代理机构）在任何情况下均无义务和责任承担这些费用。</w:t>
      </w:r>
    </w:p>
    <w:p>
      <w:pPr>
        <w:spacing w:line="440" w:lineRule="exact"/>
        <w:ind w:firstLine="420"/>
        <w:rPr>
          <w:rFonts w:hint="eastAsia" w:ascii="宋体" w:hAnsi="宋体"/>
          <w:color w:val="FF0000"/>
          <w:szCs w:val="18"/>
          <w:highlight w:val="none"/>
        </w:rPr>
      </w:pPr>
      <w:r>
        <w:rPr>
          <w:rFonts w:hint="eastAsia" w:ascii="宋体" w:hAnsi="宋体"/>
          <w:color w:val="auto"/>
          <w:szCs w:val="18"/>
          <w:highlight w:val="none"/>
          <w:lang w:val="en-US" w:eastAsia="zh-CN"/>
        </w:rPr>
        <w:t>4</w:t>
      </w:r>
      <w:r>
        <w:rPr>
          <w:rFonts w:hint="eastAsia" w:ascii="宋体" w:hAnsi="宋体"/>
          <w:color w:val="auto"/>
          <w:szCs w:val="18"/>
          <w:highlight w:val="none"/>
        </w:rPr>
        <w:t>.</w:t>
      </w:r>
      <w:r>
        <w:rPr>
          <w:rFonts w:hint="eastAsia" w:ascii="宋体" w:hAnsi="宋体"/>
          <w:color w:val="auto"/>
          <w:szCs w:val="18"/>
          <w:highlight w:val="none"/>
          <w:lang w:val="en-US" w:eastAsia="zh-CN"/>
        </w:rPr>
        <w:t>2</w:t>
      </w:r>
      <w:r>
        <w:rPr>
          <w:rFonts w:hint="eastAsia" w:ascii="宋体" w:hAnsi="宋体"/>
          <w:color w:val="auto"/>
          <w:szCs w:val="18"/>
          <w:highlight w:val="none"/>
        </w:rPr>
        <w:t>本次采购</w:t>
      </w:r>
      <w:r>
        <w:rPr>
          <w:rFonts w:hint="eastAsia" w:ascii="宋体" w:hAnsi="宋体"/>
          <w:color w:val="auto"/>
          <w:szCs w:val="18"/>
          <w:highlight w:val="none"/>
          <w:lang w:val="en-US" w:eastAsia="zh-CN"/>
        </w:rPr>
        <w:t>代理服务费根据</w:t>
      </w:r>
      <w:r>
        <w:rPr>
          <w:rFonts w:hint="eastAsia" w:ascii="宋体" w:hAnsi="宋体"/>
          <w:color w:val="auto"/>
          <w:szCs w:val="18"/>
          <w:highlight w:val="none"/>
        </w:rPr>
        <w:t>苏招协【2022】002号</w:t>
      </w:r>
      <w:r>
        <w:rPr>
          <w:rFonts w:hint="eastAsia" w:ascii="宋体" w:hAnsi="宋体"/>
          <w:color w:val="auto"/>
          <w:szCs w:val="18"/>
          <w:highlight w:val="none"/>
          <w:lang w:val="en-US" w:eastAsia="zh-CN"/>
        </w:rPr>
        <w:t>文件规定</w:t>
      </w:r>
      <w:r>
        <w:rPr>
          <w:rFonts w:hint="eastAsia" w:ascii="宋体" w:hAnsi="宋体"/>
          <w:color w:val="auto"/>
          <w:szCs w:val="18"/>
          <w:highlight w:val="none"/>
        </w:rPr>
        <w:t>服务类标准</w:t>
      </w:r>
      <w:r>
        <w:rPr>
          <w:rFonts w:hint="eastAsia" w:ascii="宋体" w:hAnsi="宋体"/>
          <w:color w:val="auto"/>
          <w:szCs w:val="18"/>
          <w:highlight w:val="none"/>
          <w:lang w:val="en-US" w:eastAsia="zh-CN"/>
        </w:rPr>
        <w:t>的</w:t>
      </w:r>
      <w:r>
        <w:rPr>
          <w:rFonts w:hint="eastAsia" w:ascii="宋体" w:hAnsi="宋体"/>
          <w:color w:val="auto"/>
          <w:szCs w:val="18"/>
          <w:highlight w:val="none"/>
        </w:rPr>
        <w:t>7</w:t>
      </w:r>
      <w:r>
        <w:rPr>
          <w:rFonts w:hint="eastAsia" w:ascii="宋体" w:hAnsi="宋体"/>
          <w:color w:val="auto"/>
          <w:szCs w:val="18"/>
          <w:highlight w:val="none"/>
          <w:lang w:val="en-US" w:eastAsia="zh-CN"/>
        </w:rPr>
        <w:t>5.</w:t>
      </w:r>
      <w:r>
        <w:rPr>
          <w:rFonts w:hint="eastAsia" w:ascii="宋体" w:hAnsi="宋体"/>
          <w:color w:val="auto"/>
          <w:szCs w:val="18"/>
          <w:highlight w:val="none"/>
        </w:rPr>
        <w:t>8%</w:t>
      </w:r>
      <w:r>
        <w:rPr>
          <w:rFonts w:hint="eastAsia" w:ascii="宋体" w:hAnsi="宋体"/>
          <w:color w:val="auto"/>
          <w:szCs w:val="18"/>
          <w:highlight w:val="none"/>
          <w:lang w:val="en-US" w:eastAsia="zh-CN"/>
        </w:rPr>
        <w:t>收取，</w:t>
      </w:r>
      <w:r>
        <w:rPr>
          <w:rFonts w:hint="eastAsia" w:ascii="宋体" w:hAnsi="宋体"/>
          <w:color w:val="auto"/>
          <w:szCs w:val="18"/>
          <w:highlight w:val="none"/>
        </w:rPr>
        <w:t>由</w:t>
      </w:r>
      <w:r>
        <w:rPr>
          <w:rFonts w:hint="eastAsia" w:ascii="宋体" w:hAnsi="宋体"/>
          <w:color w:val="auto"/>
          <w:szCs w:val="18"/>
          <w:highlight w:val="none"/>
          <w:lang w:val="en-US" w:eastAsia="zh-CN"/>
        </w:rPr>
        <w:t>采购人</w:t>
      </w:r>
      <w:r>
        <w:rPr>
          <w:rFonts w:hint="eastAsia" w:ascii="宋体" w:hAnsi="宋体"/>
          <w:color w:val="auto"/>
          <w:szCs w:val="18"/>
          <w:highlight w:val="none"/>
        </w:rPr>
        <w:t>一次性支付给招标代理机构代理服务费。</w:t>
      </w:r>
    </w:p>
    <w:p>
      <w:pPr>
        <w:spacing w:line="440" w:lineRule="exact"/>
        <w:ind w:firstLine="420"/>
        <w:rPr>
          <w:rFonts w:ascii="宋体" w:hAnsi="宋体"/>
          <w:szCs w:val="18"/>
          <w:highlight w:val="yellow"/>
        </w:rPr>
      </w:pPr>
      <w:r>
        <w:rPr>
          <w:rFonts w:hint="eastAsia" w:ascii="宋体" w:hAnsi="宋体"/>
          <w:szCs w:val="18"/>
          <w:highlight w:val="none"/>
        </w:rPr>
        <w:t>4.3专家评审费按扬财购〔2020〕40号文《关于进一步规范扬州市政府采购专家评审费标准的通知》执行。</w:t>
      </w:r>
    </w:p>
    <w:p>
      <w:pPr>
        <w:keepNext/>
        <w:keepLines/>
        <w:spacing w:line="440" w:lineRule="exact"/>
        <w:ind w:firstLine="330"/>
        <w:outlineLvl w:val="3"/>
        <w:rPr>
          <w:rFonts w:ascii="黑体" w:hAnsi="黑体" w:eastAsia="黑体" w:cs="黑体"/>
          <w:sz w:val="22"/>
        </w:rPr>
      </w:pPr>
      <w:r>
        <w:rPr>
          <w:rFonts w:hint="eastAsia" w:ascii="黑体" w:hAnsi="黑体" w:eastAsia="黑体" w:cs="黑体"/>
          <w:sz w:val="22"/>
        </w:rPr>
        <w:t>5、磋商文件的约束力</w:t>
      </w:r>
    </w:p>
    <w:p>
      <w:pPr>
        <w:spacing w:line="440" w:lineRule="exact"/>
        <w:ind w:firstLine="420"/>
        <w:rPr>
          <w:rFonts w:ascii="宋体" w:hAnsi="宋体"/>
          <w:szCs w:val="21"/>
        </w:rPr>
      </w:pPr>
      <w:r>
        <w:rPr>
          <w:rFonts w:hint="eastAsia" w:ascii="宋体" w:hAnsi="宋体"/>
          <w:bCs/>
          <w:szCs w:val="21"/>
        </w:rPr>
        <w:t>5.1</w:t>
      </w:r>
      <w:r>
        <w:rPr>
          <w:rFonts w:hint="eastAsia" w:ascii="宋体" w:hAnsi="宋体"/>
          <w:szCs w:val="21"/>
        </w:rPr>
        <w:t>供应商一旦参加本项目采购活动，即被认为接受了本磋商文件的规定和约束。</w:t>
      </w:r>
    </w:p>
    <w:p>
      <w:pPr>
        <w:keepNext/>
        <w:keepLines/>
        <w:spacing w:before="145" w:after="145" w:line="440" w:lineRule="exact"/>
        <w:ind w:firstLine="373"/>
        <w:outlineLvl w:val="2"/>
        <w:rPr>
          <w:rFonts w:ascii="Times New Roman" w:hAnsi="Times New Roman"/>
          <w:b/>
          <w:bCs/>
          <w:sz w:val="24"/>
          <w:szCs w:val="24"/>
        </w:rPr>
      </w:pPr>
      <w:bookmarkStart w:id="64" w:name="_Toc513029209"/>
      <w:bookmarkStart w:id="65" w:name="_Toc20823281"/>
      <w:bookmarkStart w:id="66" w:name="_Toc120614215"/>
      <w:bookmarkStart w:id="67" w:name="_Toc16938525"/>
      <w:r>
        <w:rPr>
          <w:rFonts w:hint="eastAsia" w:ascii="Times New Roman" w:hAnsi="Times New Roman"/>
          <w:b/>
          <w:bCs/>
          <w:sz w:val="24"/>
          <w:szCs w:val="24"/>
        </w:rPr>
        <w:t>二、</w:t>
      </w:r>
      <w:bookmarkEnd w:id="64"/>
      <w:bookmarkEnd w:id="65"/>
      <w:bookmarkEnd w:id="66"/>
      <w:bookmarkEnd w:id="67"/>
      <w:r>
        <w:rPr>
          <w:rFonts w:hint="eastAsia" w:ascii="Times New Roman" w:hAnsi="Times New Roman"/>
          <w:b/>
          <w:bCs/>
          <w:sz w:val="24"/>
          <w:szCs w:val="24"/>
        </w:rPr>
        <w:t>磋商文件</w:t>
      </w:r>
    </w:p>
    <w:p>
      <w:pPr>
        <w:keepNext/>
        <w:keepLines/>
        <w:spacing w:line="440" w:lineRule="exact"/>
        <w:ind w:firstLine="330"/>
        <w:outlineLvl w:val="3"/>
        <w:rPr>
          <w:rFonts w:ascii="黑体" w:hAnsi="黑体" w:eastAsia="黑体" w:cs="黑体"/>
          <w:sz w:val="22"/>
        </w:rPr>
      </w:pPr>
      <w:bookmarkStart w:id="68" w:name="_Toc16938526"/>
      <w:bookmarkStart w:id="69" w:name="_Toc513029210"/>
      <w:bookmarkStart w:id="70" w:name="_Toc20823282"/>
      <w:r>
        <w:rPr>
          <w:rFonts w:hint="eastAsia" w:ascii="黑体" w:hAnsi="黑体" w:eastAsia="黑体" w:cs="黑体"/>
          <w:sz w:val="22"/>
        </w:rPr>
        <w:t>6、磋商文件构成</w:t>
      </w:r>
      <w:bookmarkEnd w:id="68"/>
      <w:bookmarkEnd w:id="69"/>
      <w:bookmarkEnd w:id="70"/>
    </w:p>
    <w:p>
      <w:pPr>
        <w:spacing w:line="440" w:lineRule="exact"/>
        <w:ind w:firstLine="420"/>
        <w:rPr>
          <w:rFonts w:ascii="宋体" w:hAnsi="宋体"/>
          <w:szCs w:val="18"/>
        </w:rPr>
      </w:pPr>
      <w:r>
        <w:rPr>
          <w:rFonts w:hint="eastAsia" w:ascii="宋体" w:hAnsi="宋体"/>
          <w:bCs/>
          <w:szCs w:val="18"/>
        </w:rPr>
        <w:t>6.1</w:t>
      </w:r>
      <w:r>
        <w:rPr>
          <w:rFonts w:hint="eastAsia" w:ascii="宋体" w:hAnsi="宋体"/>
          <w:szCs w:val="18"/>
        </w:rPr>
        <w:t>磋商文件由以下部分组成：</w:t>
      </w:r>
    </w:p>
    <w:p>
      <w:pPr>
        <w:spacing w:line="440" w:lineRule="exact"/>
        <w:ind w:firstLine="315"/>
        <w:rPr>
          <w:rFonts w:ascii="宋体" w:hAnsi="宋体"/>
          <w:szCs w:val="21"/>
        </w:rPr>
      </w:pPr>
      <w:r>
        <w:rPr>
          <w:rFonts w:hint="eastAsia" w:ascii="宋体" w:hAnsi="宋体"/>
          <w:szCs w:val="21"/>
        </w:rPr>
        <w:t>（1）磋商公告</w:t>
      </w:r>
    </w:p>
    <w:p>
      <w:pPr>
        <w:spacing w:line="440" w:lineRule="exact"/>
        <w:ind w:firstLine="315"/>
        <w:rPr>
          <w:rFonts w:ascii="宋体" w:hAnsi="宋体"/>
          <w:szCs w:val="21"/>
        </w:rPr>
      </w:pPr>
      <w:r>
        <w:rPr>
          <w:rFonts w:hint="eastAsia" w:ascii="宋体" w:hAnsi="宋体"/>
          <w:szCs w:val="21"/>
        </w:rPr>
        <w:t>（2）供应商须知</w:t>
      </w:r>
    </w:p>
    <w:p>
      <w:pPr>
        <w:spacing w:line="440" w:lineRule="exact"/>
        <w:ind w:firstLine="315"/>
        <w:rPr>
          <w:rFonts w:ascii="宋体" w:hAnsi="宋体"/>
          <w:szCs w:val="21"/>
        </w:rPr>
      </w:pPr>
      <w:r>
        <w:rPr>
          <w:rFonts w:hint="eastAsia" w:ascii="宋体" w:hAnsi="宋体"/>
          <w:szCs w:val="21"/>
        </w:rPr>
        <w:t>（3）合同文本</w:t>
      </w:r>
    </w:p>
    <w:p>
      <w:pPr>
        <w:spacing w:line="440" w:lineRule="exact"/>
        <w:ind w:firstLine="315"/>
        <w:rPr>
          <w:rFonts w:ascii="宋体" w:hAnsi="宋体"/>
          <w:szCs w:val="21"/>
        </w:rPr>
      </w:pPr>
      <w:r>
        <w:rPr>
          <w:rFonts w:hint="eastAsia" w:ascii="宋体" w:hAnsi="宋体"/>
          <w:szCs w:val="21"/>
        </w:rPr>
        <w:t>（4）采购需求</w:t>
      </w:r>
    </w:p>
    <w:p>
      <w:pPr>
        <w:spacing w:line="440" w:lineRule="exact"/>
        <w:ind w:firstLine="315"/>
        <w:rPr>
          <w:rFonts w:ascii="Times New Roman" w:hAnsi="Times New Roman"/>
          <w:szCs w:val="21"/>
        </w:rPr>
      </w:pPr>
      <w:r>
        <w:rPr>
          <w:rFonts w:hint="eastAsia" w:ascii="宋体" w:hAnsi="宋体"/>
          <w:szCs w:val="21"/>
        </w:rPr>
        <w:t>（5）</w:t>
      </w:r>
      <w:r>
        <w:rPr>
          <w:rFonts w:hint="eastAsia" w:ascii="Times New Roman" w:hAnsi="宋体"/>
          <w:szCs w:val="21"/>
        </w:rPr>
        <w:t>评审方法与评审标准</w:t>
      </w:r>
    </w:p>
    <w:p>
      <w:pPr>
        <w:spacing w:line="440" w:lineRule="exact"/>
        <w:ind w:firstLine="315"/>
        <w:rPr>
          <w:rFonts w:ascii="宋体" w:hAnsi="宋体"/>
          <w:szCs w:val="21"/>
        </w:rPr>
      </w:pPr>
      <w:r>
        <w:rPr>
          <w:rFonts w:hint="eastAsia" w:ascii="宋体" w:hAnsi="宋体"/>
          <w:szCs w:val="21"/>
        </w:rPr>
        <w:t>（6）响应文件格式</w:t>
      </w:r>
    </w:p>
    <w:p>
      <w:pPr>
        <w:spacing w:line="440" w:lineRule="exact"/>
        <w:ind w:firstLine="420"/>
        <w:rPr>
          <w:rFonts w:hint="eastAsia" w:ascii="宋体" w:hAnsi="宋体"/>
          <w:szCs w:val="21"/>
        </w:rPr>
      </w:pPr>
      <w:r>
        <w:rPr>
          <w:rFonts w:hint="eastAsia" w:ascii="宋体" w:hAnsi="宋体"/>
          <w:szCs w:val="21"/>
        </w:rPr>
        <w:t>请仔细检查磋商文件是否齐全，如有缺漏请立即与采购代理机构联系解决。</w:t>
      </w:r>
    </w:p>
    <w:p>
      <w:pPr>
        <w:spacing w:line="440" w:lineRule="exact"/>
        <w:ind w:firstLine="420"/>
        <w:rPr>
          <w:rFonts w:hint="eastAsia" w:ascii="宋体" w:hAnsi="宋体"/>
          <w:szCs w:val="21"/>
        </w:rPr>
      </w:pPr>
      <w:bookmarkStart w:id="71" w:name="_Toc20823283"/>
      <w:bookmarkStart w:id="72" w:name="_Toc16938527"/>
      <w:bookmarkStart w:id="73" w:name="_Toc513029211"/>
      <w:bookmarkStart w:id="74" w:name="_Toc462564070"/>
      <w:r>
        <w:rPr>
          <w:rFonts w:hint="eastAsia" w:ascii="宋体" w:hAnsi="宋体"/>
          <w:szCs w:val="21"/>
        </w:rPr>
        <w:t>6.2 采购的最小单位是包。采购</w:t>
      </w:r>
      <w:r>
        <w:rPr>
          <w:rFonts w:hint="eastAsia" w:ascii="宋体" w:hAnsi="宋体"/>
          <w:szCs w:val="21"/>
          <w:lang w:eastAsia="zh-CN"/>
        </w:rPr>
        <w:t>服务（工程）</w:t>
      </w:r>
      <w:r>
        <w:rPr>
          <w:rFonts w:hint="eastAsia" w:ascii="宋体" w:hAnsi="宋体"/>
          <w:szCs w:val="21"/>
        </w:rPr>
        <w:t>数量及技术要求中未分包的，供应商对要求提供的</w:t>
      </w:r>
      <w:r>
        <w:rPr>
          <w:rFonts w:hint="eastAsia" w:ascii="宋体" w:hAnsi="宋体"/>
          <w:szCs w:val="21"/>
          <w:lang w:eastAsia="zh-CN"/>
        </w:rPr>
        <w:t>服务（工程）</w:t>
      </w:r>
      <w:r>
        <w:rPr>
          <w:rFonts w:hint="eastAsia" w:ascii="宋体" w:hAnsi="宋体"/>
          <w:szCs w:val="21"/>
        </w:rPr>
        <w:t>不得部分响应；采购</w:t>
      </w:r>
      <w:r>
        <w:rPr>
          <w:rFonts w:hint="eastAsia" w:ascii="宋体" w:hAnsi="宋体"/>
          <w:szCs w:val="21"/>
          <w:lang w:eastAsia="zh-CN"/>
        </w:rPr>
        <w:t>服务（工程）</w:t>
      </w:r>
      <w:r>
        <w:rPr>
          <w:rFonts w:hint="eastAsia" w:ascii="宋体" w:hAnsi="宋体"/>
          <w:szCs w:val="21"/>
        </w:rPr>
        <w:t>数量及技术要求中已经分包的，应当以包为单位响应。</w:t>
      </w:r>
    </w:p>
    <w:p>
      <w:pPr>
        <w:spacing w:line="440" w:lineRule="exact"/>
        <w:ind w:firstLine="420"/>
        <w:rPr>
          <w:rFonts w:hint="eastAsia" w:ascii="宋体" w:hAnsi="宋体"/>
          <w:szCs w:val="21"/>
        </w:rPr>
      </w:pPr>
      <w:r>
        <w:rPr>
          <w:rFonts w:hint="eastAsia" w:ascii="宋体" w:hAnsi="宋体"/>
          <w:szCs w:val="21"/>
        </w:rPr>
        <w:t>6.3 采购文件如果要求供应商提交备选响应方案的，供应商可以提交备选方案；否则，备选方案将被拒绝。</w:t>
      </w:r>
    </w:p>
    <w:p>
      <w:pPr>
        <w:spacing w:line="440" w:lineRule="exact"/>
        <w:ind w:firstLine="420"/>
        <w:rPr>
          <w:rFonts w:hint="eastAsia" w:ascii="宋体" w:hAnsi="宋体"/>
          <w:szCs w:val="21"/>
        </w:rPr>
      </w:pPr>
      <w:r>
        <w:rPr>
          <w:rFonts w:hint="eastAsia" w:ascii="宋体" w:hAnsi="宋体"/>
          <w:szCs w:val="21"/>
        </w:rPr>
        <w:t>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pPr>
        <w:keepNext/>
        <w:keepLines/>
        <w:spacing w:line="440" w:lineRule="exact"/>
        <w:ind w:firstLine="330"/>
        <w:outlineLvl w:val="3"/>
        <w:rPr>
          <w:rFonts w:ascii="黑体" w:hAnsi="黑体" w:eastAsia="黑体" w:cs="黑体"/>
          <w:sz w:val="22"/>
        </w:rPr>
      </w:pPr>
      <w:r>
        <w:rPr>
          <w:rFonts w:hint="eastAsia" w:ascii="黑体" w:hAnsi="黑体" w:eastAsia="黑体" w:cs="黑体"/>
          <w:sz w:val="22"/>
        </w:rPr>
        <w:t>7、磋商文件的澄清</w:t>
      </w:r>
      <w:bookmarkEnd w:id="71"/>
      <w:bookmarkEnd w:id="72"/>
      <w:bookmarkEnd w:id="73"/>
      <w:bookmarkEnd w:id="74"/>
    </w:p>
    <w:p>
      <w:pPr>
        <w:spacing w:line="440" w:lineRule="exact"/>
        <w:ind w:firstLine="420"/>
        <w:rPr>
          <w:rFonts w:ascii="宋体" w:hAnsi="宋体"/>
          <w:szCs w:val="21"/>
        </w:rPr>
      </w:pPr>
      <w:r>
        <w:rPr>
          <w:rFonts w:hint="eastAsia" w:ascii="宋体" w:hAnsi="宋体"/>
          <w:bCs/>
          <w:szCs w:val="18"/>
        </w:rPr>
        <w:t>7.1</w:t>
      </w:r>
      <w:r>
        <w:rPr>
          <w:rFonts w:hint="eastAsia" w:ascii="宋体" w:hAnsi="宋体"/>
          <w:szCs w:val="18"/>
        </w:rPr>
        <w:t xml:space="preserve"> 任何要求对磋商文件进行澄清的供应商，应在磋商截止期5日</w:t>
      </w:r>
      <w:r>
        <w:rPr>
          <w:rFonts w:hint="eastAsia" w:ascii="仿宋_GB2312" w:hAnsi="仿宋_GB2312"/>
          <w:szCs w:val="21"/>
        </w:rPr>
        <w:t>前</w:t>
      </w:r>
      <w:r>
        <w:rPr>
          <w:rFonts w:hint="eastAsia" w:ascii="宋体" w:hAnsi="宋体"/>
          <w:szCs w:val="18"/>
        </w:rPr>
        <w:t>按磋商公告中的通讯地址，以书面形式通知采购代理机构。</w:t>
      </w:r>
    </w:p>
    <w:p>
      <w:pPr>
        <w:keepNext/>
        <w:keepLines/>
        <w:spacing w:line="440" w:lineRule="exact"/>
        <w:ind w:firstLine="330"/>
        <w:outlineLvl w:val="3"/>
        <w:rPr>
          <w:rFonts w:ascii="黑体" w:hAnsi="黑体" w:eastAsia="黑体" w:cs="黑体"/>
          <w:sz w:val="22"/>
        </w:rPr>
      </w:pPr>
      <w:bookmarkStart w:id="75" w:name="_Toc513029212"/>
      <w:bookmarkStart w:id="76" w:name="_Toc16938528"/>
      <w:bookmarkStart w:id="77" w:name="_Toc462564071"/>
      <w:bookmarkStart w:id="78" w:name="_Toc20823284"/>
      <w:r>
        <w:rPr>
          <w:rFonts w:hint="eastAsia" w:ascii="黑体" w:hAnsi="黑体" w:eastAsia="黑体" w:cs="黑体"/>
          <w:sz w:val="22"/>
        </w:rPr>
        <w:t>8、磋商文件的澄清和修改</w:t>
      </w:r>
      <w:bookmarkEnd w:id="75"/>
      <w:bookmarkEnd w:id="76"/>
      <w:bookmarkEnd w:id="77"/>
      <w:bookmarkEnd w:id="78"/>
    </w:p>
    <w:p>
      <w:pPr>
        <w:spacing w:line="440" w:lineRule="exact"/>
        <w:ind w:firstLine="420"/>
        <w:rPr>
          <w:rFonts w:ascii="宋体" w:hAnsi="宋体"/>
          <w:szCs w:val="18"/>
        </w:rPr>
      </w:pPr>
      <w:r>
        <w:rPr>
          <w:rFonts w:hint="eastAsia" w:ascii="宋体" w:hAnsi="宋体"/>
          <w:bCs/>
          <w:szCs w:val="18"/>
        </w:rPr>
        <w:t>8.1</w:t>
      </w:r>
      <w:r>
        <w:rPr>
          <w:rFonts w:hint="eastAsia" w:ascii="宋体" w:hAnsi="宋体"/>
          <w:szCs w:val="18"/>
        </w:rPr>
        <w:t xml:space="preserve"> 在响应文件提交截止时间</w:t>
      </w:r>
      <w:r>
        <w:rPr>
          <w:rFonts w:hint="eastAsia" w:ascii="仿宋_GB2312" w:hAnsi="仿宋_GB2312"/>
          <w:szCs w:val="18"/>
        </w:rPr>
        <w:t>前</w:t>
      </w:r>
      <w:r>
        <w:rPr>
          <w:rFonts w:hint="eastAsia" w:ascii="宋体" w:hAnsi="宋体"/>
          <w:szCs w:val="18"/>
        </w:rPr>
        <w:t>，采购代理机构可以对磋商文件进行澄清和修改，澄清或者修改的内容作为磋商文件的组成部分。澄清或者修改的内容可能影响响应文件编制的，采购代理机构将在提交首次响应文件截止时间至少5日前，在“江苏政府采购网”和“中国政府采购网”上发布书面更正公告形式通知所有获取磋商文件的供应商，更正公告内容将作为磋商文件的组成部分，并对供应商具有约束力。不足5日的，采购代理机构将顺延提交首次响应文件截止时间。</w:t>
      </w:r>
    </w:p>
    <w:p>
      <w:pPr>
        <w:spacing w:line="440" w:lineRule="exact"/>
        <w:ind w:firstLine="420"/>
        <w:rPr>
          <w:rFonts w:ascii="宋体" w:hAnsi="宋体"/>
          <w:szCs w:val="18"/>
        </w:rPr>
      </w:pPr>
      <w:r>
        <w:rPr>
          <w:rFonts w:hint="eastAsia" w:ascii="宋体" w:hAnsi="宋体"/>
          <w:szCs w:val="18"/>
        </w:rPr>
        <w:t>8.2采购代理机构可以视采购项目的具体情况，组织供应商进行现场考察或召开磋商前答疑会，但不单独或分别组织只有一个供应商参加的现场考察和答疑会。</w:t>
      </w:r>
    </w:p>
    <w:p>
      <w:pPr>
        <w:keepNext/>
        <w:keepLines/>
        <w:spacing w:before="145" w:after="145" w:line="440" w:lineRule="exact"/>
        <w:ind w:firstLine="361"/>
        <w:outlineLvl w:val="2"/>
        <w:rPr>
          <w:rFonts w:ascii="Times New Roman" w:hAnsi="Times New Roman"/>
          <w:b/>
          <w:bCs/>
          <w:sz w:val="24"/>
          <w:szCs w:val="24"/>
        </w:rPr>
      </w:pPr>
      <w:bookmarkStart w:id="79" w:name="_Toc120614216"/>
      <w:bookmarkStart w:id="80" w:name="_Toc20823285"/>
      <w:bookmarkStart w:id="81" w:name="_Toc16938529"/>
      <w:bookmarkStart w:id="82" w:name="_Toc513029213"/>
      <w:bookmarkStart w:id="83" w:name="_Toc462564072"/>
      <w:r>
        <w:rPr>
          <w:rFonts w:hint="eastAsia" w:ascii="Times New Roman" w:hAnsi="Times New Roman"/>
          <w:b/>
          <w:bCs/>
          <w:sz w:val="24"/>
          <w:szCs w:val="24"/>
        </w:rPr>
        <w:t>三、响应文件的编制</w:t>
      </w:r>
      <w:bookmarkEnd w:id="79"/>
      <w:bookmarkEnd w:id="80"/>
      <w:bookmarkEnd w:id="81"/>
      <w:bookmarkEnd w:id="82"/>
      <w:bookmarkEnd w:id="83"/>
    </w:p>
    <w:p>
      <w:pPr>
        <w:keepNext/>
        <w:keepLines/>
        <w:spacing w:line="440" w:lineRule="exact"/>
        <w:ind w:firstLine="330"/>
        <w:outlineLvl w:val="3"/>
        <w:rPr>
          <w:rFonts w:ascii="黑体" w:hAnsi="黑体" w:eastAsia="黑体" w:cs="黑体"/>
          <w:sz w:val="22"/>
        </w:rPr>
      </w:pPr>
      <w:bookmarkStart w:id="84" w:name="_Toc16938530"/>
      <w:bookmarkStart w:id="85" w:name="_Toc513029214"/>
      <w:bookmarkStart w:id="86" w:name="_Toc462564073"/>
      <w:bookmarkStart w:id="87" w:name="_Toc20823286"/>
      <w:r>
        <w:rPr>
          <w:rFonts w:hint="eastAsia" w:ascii="黑体" w:hAnsi="黑体" w:eastAsia="黑体" w:cs="黑体"/>
          <w:sz w:val="22"/>
        </w:rPr>
        <w:t>9、响应文件的语言及度量衡单位</w:t>
      </w:r>
      <w:bookmarkEnd w:id="84"/>
      <w:bookmarkEnd w:id="85"/>
      <w:bookmarkEnd w:id="86"/>
      <w:bookmarkEnd w:id="87"/>
    </w:p>
    <w:p>
      <w:pPr>
        <w:spacing w:line="440" w:lineRule="exact"/>
        <w:ind w:firstLine="420"/>
        <w:rPr>
          <w:rFonts w:ascii="宋体" w:hAnsi="宋体"/>
          <w:szCs w:val="18"/>
        </w:rPr>
      </w:pPr>
      <w:r>
        <w:rPr>
          <w:rFonts w:hint="eastAsia" w:ascii="宋体" w:hAnsi="宋体"/>
          <w:bCs/>
          <w:szCs w:val="18"/>
        </w:rPr>
        <w:t>9.1</w:t>
      </w:r>
      <w:r>
        <w:rPr>
          <w:rFonts w:hint="eastAsia" w:ascii="宋体" w:hAnsi="宋体"/>
          <w:szCs w:val="18"/>
        </w:rPr>
        <w:t>供应商提交的响应文件以及供应商与采购代理机构就有关磋商的所有来往通知、函件和文件均应使用</w:t>
      </w:r>
      <w:r>
        <w:rPr>
          <w:rFonts w:hint="eastAsia" w:ascii="宋体" w:hAnsi="宋体"/>
          <w:b/>
          <w:bCs/>
          <w:szCs w:val="18"/>
        </w:rPr>
        <w:t>简体中文</w:t>
      </w:r>
      <w:r>
        <w:rPr>
          <w:rFonts w:hint="eastAsia" w:ascii="宋体" w:hAnsi="宋体"/>
          <w:szCs w:val="18"/>
        </w:rPr>
        <w:t>。</w:t>
      </w:r>
    </w:p>
    <w:p>
      <w:pPr>
        <w:spacing w:line="440" w:lineRule="exact"/>
        <w:ind w:firstLine="420"/>
        <w:rPr>
          <w:rFonts w:ascii="宋体" w:hAnsi="宋体"/>
          <w:szCs w:val="18"/>
        </w:rPr>
      </w:pPr>
      <w:r>
        <w:rPr>
          <w:rFonts w:hint="eastAsia" w:ascii="宋体" w:hAnsi="宋体"/>
          <w:bCs/>
          <w:szCs w:val="18"/>
        </w:rPr>
        <w:t>9.2</w:t>
      </w:r>
      <w:r>
        <w:rPr>
          <w:rFonts w:hint="eastAsia" w:ascii="宋体" w:hAnsi="宋体"/>
          <w:szCs w:val="18"/>
        </w:rPr>
        <w:t xml:space="preserve"> 除技术性能另有规定外，响应文件所使用的度量衡单位，均须采用国家法定计量单位。</w:t>
      </w:r>
    </w:p>
    <w:p>
      <w:pPr>
        <w:keepNext/>
        <w:keepLines/>
        <w:spacing w:line="440" w:lineRule="exact"/>
        <w:ind w:firstLine="330"/>
        <w:outlineLvl w:val="3"/>
        <w:rPr>
          <w:rFonts w:ascii="黑体" w:hAnsi="黑体" w:eastAsia="黑体" w:cs="黑体"/>
          <w:sz w:val="22"/>
        </w:rPr>
      </w:pPr>
      <w:bookmarkStart w:id="88" w:name="_Toc513029215"/>
      <w:bookmarkStart w:id="89" w:name="_Toc462564074"/>
      <w:bookmarkStart w:id="90" w:name="_Toc16938531"/>
      <w:bookmarkStart w:id="91" w:name="_Toc20823287"/>
      <w:r>
        <w:rPr>
          <w:rFonts w:hint="eastAsia" w:ascii="黑体" w:hAnsi="黑体" w:eastAsia="黑体" w:cs="黑体"/>
          <w:sz w:val="22"/>
        </w:rPr>
        <w:t>10、响应文件构成</w:t>
      </w:r>
      <w:bookmarkEnd w:id="88"/>
      <w:bookmarkEnd w:id="89"/>
      <w:bookmarkEnd w:id="90"/>
      <w:bookmarkEnd w:id="91"/>
    </w:p>
    <w:p>
      <w:pPr>
        <w:spacing w:line="440" w:lineRule="exact"/>
        <w:ind w:firstLine="420"/>
        <w:rPr>
          <w:rFonts w:ascii="宋体" w:hAnsi="宋体"/>
          <w:szCs w:val="18"/>
        </w:rPr>
      </w:pPr>
      <w:r>
        <w:rPr>
          <w:rFonts w:hint="eastAsia" w:ascii="宋体" w:hAnsi="宋体"/>
          <w:bCs/>
          <w:szCs w:val="18"/>
        </w:rPr>
        <w:t>10.1</w:t>
      </w:r>
      <w:r>
        <w:rPr>
          <w:rFonts w:hint="eastAsia" w:ascii="宋体" w:hAnsi="宋体"/>
          <w:szCs w:val="18"/>
        </w:rPr>
        <w:t>供应商编写的响应文件应包括资格证明文件、符合性证明文件、分项报价表、技术要求响应及偏离表、商务要求响应及偏离表、其他证明文件、磋商响应函等部分。</w:t>
      </w:r>
    </w:p>
    <w:p>
      <w:pPr>
        <w:spacing w:line="440" w:lineRule="exact"/>
        <w:ind w:firstLine="420"/>
        <w:rPr>
          <w:rFonts w:ascii="宋体" w:hAnsi="宋体"/>
          <w:szCs w:val="18"/>
        </w:rPr>
      </w:pPr>
      <w:r>
        <w:rPr>
          <w:rFonts w:hint="eastAsia" w:ascii="宋体" w:hAnsi="宋体"/>
          <w:szCs w:val="18"/>
        </w:rPr>
        <w:t>10.2 如标书制作工具中格式和内容与“江苏政府采购网”和“中国政府采购网”发布的磋商文件不一致，请以“江苏政府采购网”和“中国政府采购网”发布的磋商文件为准。</w:t>
      </w:r>
    </w:p>
    <w:p>
      <w:pPr>
        <w:keepNext/>
        <w:keepLines/>
        <w:spacing w:line="440" w:lineRule="exact"/>
        <w:ind w:firstLine="330"/>
        <w:outlineLvl w:val="3"/>
        <w:rPr>
          <w:rFonts w:ascii="黑体" w:hAnsi="黑体" w:eastAsia="黑体" w:cs="黑体"/>
          <w:sz w:val="22"/>
        </w:rPr>
      </w:pPr>
      <w:bookmarkStart w:id="92" w:name="_Hlt26954838"/>
      <w:bookmarkEnd w:id="92"/>
      <w:bookmarkStart w:id="93" w:name="_Hlt26668975"/>
      <w:bookmarkEnd w:id="93"/>
      <w:bookmarkStart w:id="94" w:name="_Hlt26670360"/>
      <w:bookmarkEnd w:id="94"/>
      <w:bookmarkStart w:id="95" w:name="_Toc49090507"/>
      <w:bookmarkStart w:id="96" w:name="_Toc513029219"/>
      <w:bookmarkStart w:id="97" w:name="_Toc513029216"/>
      <w:bookmarkStart w:id="98" w:name="_Toc14577357"/>
      <w:bookmarkStart w:id="99" w:name="_Toc49090509"/>
      <w:bookmarkStart w:id="100" w:name="_Toc14577354"/>
      <w:bookmarkStart w:id="101" w:name="_Toc49090508"/>
      <w:bookmarkStart w:id="102" w:name="_Toc14577355"/>
      <w:r>
        <w:rPr>
          <w:rFonts w:hint="eastAsia" w:ascii="黑体" w:hAnsi="黑体" w:eastAsia="黑体" w:cs="黑体"/>
          <w:sz w:val="22"/>
        </w:rPr>
        <w:t>11、证明磋商响应标的符合磋商文件规定的文件</w:t>
      </w:r>
      <w:bookmarkEnd w:id="95"/>
      <w:bookmarkEnd w:id="96"/>
      <w:bookmarkEnd w:id="97"/>
      <w:bookmarkEnd w:id="98"/>
      <w:bookmarkEnd w:id="99"/>
      <w:bookmarkEnd w:id="100"/>
    </w:p>
    <w:p>
      <w:pPr>
        <w:spacing w:line="440" w:lineRule="exact"/>
        <w:rPr>
          <w:rFonts w:ascii="宋体" w:hAnsi="宋体"/>
          <w:bCs/>
          <w:szCs w:val="18"/>
        </w:rPr>
      </w:pPr>
      <w:r>
        <w:rPr>
          <w:rFonts w:hint="eastAsia" w:ascii="宋体" w:hAnsi="宋体"/>
          <w:szCs w:val="21"/>
        </w:rPr>
        <w:t xml:space="preserve">    </w:t>
      </w:r>
      <w:r>
        <w:rPr>
          <w:rFonts w:hint="eastAsia" w:ascii="宋体" w:hAnsi="宋体"/>
          <w:bCs/>
          <w:szCs w:val="18"/>
        </w:rPr>
        <w:t>11.1供应商应按照磋商文件要求提交证明文件，证明其及磋商响应标的符合磋商文件规定。</w:t>
      </w:r>
    </w:p>
    <w:p>
      <w:pPr>
        <w:spacing w:line="440" w:lineRule="exact"/>
        <w:ind w:firstLine="420"/>
        <w:rPr>
          <w:rFonts w:ascii="宋体" w:hAnsi="宋体"/>
          <w:szCs w:val="21"/>
        </w:rPr>
      </w:pPr>
      <w:r>
        <w:rPr>
          <w:rFonts w:hint="eastAsia" w:ascii="宋体" w:hAnsi="宋体"/>
          <w:szCs w:val="21"/>
        </w:rPr>
        <w:t>11.2磋商文件对证明文件无明确形式要求的，证明文件可以以文字资料、图纸和数据等形式提交。</w:t>
      </w:r>
      <w:bookmarkEnd w:id="101"/>
      <w:bookmarkEnd w:id="102"/>
    </w:p>
    <w:p>
      <w:pPr>
        <w:keepNext/>
        <w:keepLines/>
        <w:spacing w:line="440" w:lineRule="exact"/>
        <w:ind w:firstLine="330"/>
        <w:outlineLvl w:val="3"/>
        <w:rPr>
          <w:rFonts w:ascii="黑体" w:hAnsi="黑体" w:eastAsia="黑体" w:cs="黑体"/>
          <w:sz w:val="22"/>
        </w:rPr>
      </w:pPr>
      <w:r>
        <w:rPr>
          <w:rFonts w:hint="eastAsia" w:ascii="黑体" w:hAnsi="黑体" w:eastAsia="黑体" w:cs="黑体"/>
          <w:sz w:val="22"/>
        </w:rPr>
        <w:t>12、分项报价表</w:t>
      </w:r>
    </w:p>
    <w:p>
      <w:pPr>
        <w:spacing w:line="440" w:lineRule="exact"/>
        <w:ind w:firstLine="420"/>
        <w:rPr>
          <w:rFonts w:ascii="宋体" w:hAnsi="宋体"/>
          <w:bCs/>
          <w:szCs w:val="18"/>
        </w:rPr>
      </w:pPr>
      <w:r>
        <w:rPr>
          <w:rFonts w:hint="eastAsia" w:ascii="宋体" w:hAnsi="宋体"/>
          <w:bCs/>
          <w:szCs w:val="18"/>
        </w:rPr>
        <w:t>12.1</w:t>
      </w:r>
      <w:r>
        <w:rPr>
          <w:rFonts w:hint="eastAsia" w:ascii="宋体" w:hAnsi="宋体"/>
          <w:szCs w:val="18"/>
        </w:rPr>
        <w:t>供应商应按照磋商文件规定格式填报分项报价表。</w:t>
      </w:r>
    </w:p>
    <w:p>
      <w:pPr>
        <w:spacing w:line="440" w:lineRule="exact"/>
        <w:ind w:firstLine="420"/>
        <w:rPr>
          <w:rFonts w:ascii="宋体" w:hAnsi="宋体"/>
          <w:bCs/>
          <w:szCs w:val="18"/>
        </w:rPr>
      </w:pPr>
      <w:r>
        <w:rPr>
          <w:rFonts w:hint="eastAsia" w:ascii="宋体" w:hAnsi="宋体"/>
          <w:szCs w:val="18"/>
        </w:rPr>
        <w:t>12.2</w:t>
      </w:r>
      <w:r>
        <w:rPr>
          <w:rFonts w:hint="eastAsia" w:ascii="宋体" w:hAnsi="宋体"/>
          <w:bCs/>
          <w:szCs w:val="18"/>
        </w:rPr>
        <w:t>磋商货币。响应文件中的单价和总价无特殊规定的采用人民币报价，以元为单位标注。</w:t>
      </w:r>
      <w:r>
        <w:rPr>
          <w:rFonts w:hint="eastAsia" w:ascii="宋体" w:hAnsi="宋体"/>
          <w:szCs w:val="18"/>
        </w:rPr>
        <w:t>磋商文件中另有规定的按规定执行。</w:t>
      </w:r>
    </w:p>
    <w:p>
      <w:pPr>
        <w:keepNext/>
        <w:keepLines/>
        <w:spacing w:line="440" w:lineRule="exact"/>
        <w:ind w:firstLine="330"/>
        <w:outlineLvl w:val="3"/>
        <w:rPr>
          <w:rFonts w:ascii="黑体" w:hAnsi="黑体" w:eastAsia="黑体" w:cs="黑体"/>
          <w:sz w:val="22"/>
        </w:rPr>
      </w:pPr>
      <w:bookmarkStart w:id="103" w:name="_Hlt26954848"/>
      <w:bookmarkEnd w:id="103"/>
      <w:bookmarkStart w:id="104" w:name="_Hlt26954731"/>
      <w:bookmarkEnd w:id="104"/>
      <w:bookmarkStart w:id="105" w:name="_Hlt26670482"/>
      <w:bookmarkEnd w:id="105"/>
      <w:bookmarkStart w:id="106" w:name="_Hlt26670486"/>
      <w:bookmarkEnd w:id="106"/>
      <w:bookmarkStart w:id="107" w:name="_Hlt26954846"/>
      <w:bookmarkEnd w:id="107"/>
      <w:r>
        <w:rPr>
          <w:rFonts w:hint="eastAsia" w:ascii="黑体" w:hAnsi="黑体" w:eastAsia="黑体" w:cs="黑体"/>
          <w:sz w:val="22"/>
        </w:rPr>
        <w:t>13、技术要求响应及偏离表、商务要求响应及偏离表</w:t>
      </w:r>
    </w:p>
    <w:p>
      <w:pPr>
        <w:spacing w:line="440" w:lineRule="exact"/>
        <w:ind w:firstLine="480"/>
        <w:rPr>
          <w:rFonts w:ascii="宋体" w:hAnsi="Arial" w:cs="宋体"/>
          <w:szCs w:val="18"/>
          <w:lang w:val="zh-CN"/>
        </w:rPr>
      </w:pPr>
      <w:r>
        <w:rPr>
          <w:rFonts w:ascii="宋体" w:hAnsi="Arial" w:cs="宋体"/>
          <w:bCs/>
          <w:szCs w:val="18"/>
          <w:lang w:val="zh-CN"/>
        </w:rPr>
        <w:t>1</w:t>
      </w:r>
      <w:r>
        <w:rPr>
          <w:rFonts w:hint="eastAsia" w:ascii="宋体" w:hAnsi="Arial" w:cs="宋体"/>
          <w:bCs/>
          <w:szCs w:val="18"/>
          <w:lang w:val="zh-CN"/>
        </w:rPr>
        <w:t>3</w:t>
      </w:r>
      <w:r>
        <w:rPr>
          <w:rFonts w:ascii="宋体" w:hAnsi="Arial" w:cs="宋体"/>
          <w:bCs/>
          <w:szCs w:val="18"/>
          <w:lang w:val="zh-CN"/>
        </w:rPr>
        <w:t>.1</w:t>
      </w:r>
      <w:r>
        <w:rPr>
          <w:rFonts w:hint="eastAsia" w:ascii="宋体" w:hAnsi="Arial" w:cs="宋体"/>
          <w:szCs w:val="18"/>
          <w:lang w:val="zh-CN"/>
        </w:rPr>
        <w:t>供应商需对磋商文件中的技术要求与商务要求逐项作出响应或偏离，并说明原因。</w:t>
      </w:r>
    </w:p>
    <w:p>
      <w:pPr>
        <w:spacing w:line="440" w:lineRule="exact"/>
        <w:ind w:firstLine="480"/>
        <w:rPr>
          <w:rFonts w:ascii="宋体" w:hAnsi="Arial" w:cs="宋体"/>
          <w:szCs w:val="18"/>
          <w:lang w:val="zh-CN"/>
        </w:rPr>
      </w:pPr>
      <w:r>
        <w:rPr>
          <w:rFonts w:hint="eastAsia" w:ascii="宋体" w:hAnsi="Arial" w:cs="宋体"/>
          <w:szCs w:val="18"/>
          <w:lang w:val="zh-CN"/>
        </w:rPr>
        <w:t>13.2供应商可在响应文件中提供认为需要的其他技术文件或说明。</w:t>
      </w:r>
    </w:p>
    <w:p>
      <w:pPr>
        <w:keepNext/>
        <w:keepLines/>
        <w:spacing w:line="440" w:lineRule="exact"/>
        <w:ind w:firstLine="330"/>
        <w:outlineLvl w:val="3"/>
        <w:rPr>
          <w:rFonts w:ascii="黑体" w:hAnsi="黑体" w:eastAsia="黑体" w:cs="黑体"/>
          <w:sz w:val="22"/>
        </w:rPr>
      </w:pPr>
      <w:r>
        <w:rPr>
          <w:rFonts w:hint="eastAsia" w:ascii="黑体" w:hAnsi="黑体" w:eastAsia="黑体" w:cs="黑体"/>
          <w:sz w:val="22"/>
        </w:rPr>
        <w:t>14、服务承诺、培训计划、人员安排及其他</w:t>
      </w:r>
    </w:p>
    <w:p>
      <w:pPr>
        <w:spacing w:line="440" w:lineRule="exact"/>
        <w:ind w:firstLine="480"/>
        <w:rPr>
          <w:rFonts w:ascii="宋体" w:hAnsi="宋体"/>
          <w:szCs w:val="21"/>
        </w:rPr>
      </w:pPr>
      <w:r>
        <w:rPr>
          <w:rFonts w:hint="eastAsia" w:ascii="宋体" w:hAnsi="宋体"/>
          <w:bCs/>
          <w:szCs w:val="21"/>
        </w:rPr>
        <w:t>14.1</w:t>
      </w:r>
      <w:r>
        <w:rPr>
          <w:rFonts w:hint="eastAsia" w:ascii="宋体" w:hAnsi="宋体"/>
          <w:szCs w:val="21"/>
        </w:rPr>
        <w:t>供应商需根据磋商文件要求提供有关售后服务的管理制度，售后服务机构的分布情况，售后服务人员的数量、素质、技术水平及售后服务的反应能力等。</w:t>
      </w:r>
    </w:p>
    <w:p>
      <w:pPr>
        <w:spacing w:line="440" w:lineRule="exact"/>
        <w:ind w:firstLine="480"/>
        <w:rPr>
          <w:rFonts w:ascii="宋体" w:hAnsi="宋体"/>
          <w:szCs w:val="21"/>
        </w:rPr>
      </w:pPr>
      <w:r>
        <w:rPr>
          <w:rFonts w:hint="eastAsia" w:ascii="宋体" w:hAnsi="宋体"/>
          <w:szCs w:val="21"/>
        </w:rPr>
        <w:t>14.2供应商需根据磋商文件要求提供培训计划。</w:t>
      </w:r>
    </w:p>
    <w:p>
      <w:pPr>
        <w:spacing w:line="440" w:lineRule="exact"/>
        <w:ind w:firstLine="480"/>
        <w:rPr>
          <w:rFonts w:ascii="宋体" w:hAnsi="宋体"/>
          <w:szCs w:val="21"/>
        </w:rPr>
      </w:pPr>
      <w:r>
        <w:rPr>
          <w:rFonts w:hint="eastAsia" w:ascii="宋体" w:hAnsi="宋体"/>
          <w:szCs w:val="21"/>
        </w:rPr>
        <w:t>14.3供应商需根据磋商文件要求提供</w:t>
      </w:r>
      <w:r>
        <w:rPr>
          <w:rFonts w:hint="eastAsia" w:ascii="宋体" w:hAnsi="Arial" w:cs="宋体"/>
          <w:szCs w:val="18"/>
          <w:lang w:val="zh-CN"/>
        </w:rPr>
        <w:t>磋商响应标的的主要组成部分、功能设计、实现思路及关键技术等。</w:t>
      </w:r>
    </w:p>
    <w:p>
      <w:pPr>
        <w:keepNext/>
        <w:keepLines/>
        <w:spacing w:line="440" w:lineRule="exact"/>
        <w:ind w:firstLine="330"/>
        <w:outlineLvl w:val="3"/>
        <w:rPr>
          <w:rFonts w:ascii="黑体" w:hAnsi="黑体" w:eastAsia="黑体" w:cs="黑体"/>
          <w:sz w:val="22"/>
        </w:rPr>
      </w:pPr>
      <w:bookmarkStart w:id="108" w:name="_Toc49090510"/>
      <w:bookmarkStart w:id="109" w:name="_Toc14577359"/>
      <w:r>
        <w:rPr>
          <w:rFonts w:hint="eastAsia" w:ascii="黑体" w:hAnsi="黑体" w:eastAsia="黑体" w:cs="黑体"/>
          <w:sz w:val="22"/>
        </w:rPr>
        <w:t>15、磋商响应函</w:t>
      </w:r>
    </w:p>
    <w:p>
      <w:pPr>
        <w:spacing w:line="440" w:lineRule="exact"/>
        <w:ind w:firstLine="420"/>
        <w:rPr>
          <w:rFonts w:ascii="宋体" w:hAnsi="宋体"/>
          <w:szCs w:val="18"/>
        </w:rPr>
      </w:pPr>
      <w:r>
        <w:rPr>
          <w:rFonts w:hint="eastAsia" w:ascii="宋体" w:hAnsi="宋体"/>
          <w:bCs/>
          <w:szCs w:val="18"/>
        </w:rPr>
        <w:t>15.1</w:t>
      </w:r>
      <w:r>
        <w:rPr>
          <w:rFonts w:hint="eastAsia" w:ascii="宋体" w:hAnsi="宋体"/>
          <w:szCs w:val="18"/>
        </w:rPr>
        <w:t>供应商应按照磋商文件中提供的格式完整、正确填写磋商响应函。</w:t>
      </w:r>
    </w:p>
    <w:bookmarkEnd w:id="108"/>
    <w:bookmarkEnd w:id="109"/>
    <w:p>
      <w:pPr>
        <w:keepNext/>
        <w:keepLines/>
        <w:spacing w:line="440" w:lineRule="exact"/>
        <w:ind w:firstLine="330"/>
        <w:outlineLvl w:val="3"/>
        <w:rPr>
          <w:rFonts w:ascii="黑体" w:hAnsi="黑体" w:eastAsia="黑体" w:cs="黑体"/>
          <w:sz w:val="22"/>
        </w:rPr>
      </w:pPr>
      <w:bookmarkStart w:id="110" w:name="_Toc49090511"/>
      <w:bookmarkStart w:id="111" w:name="_Toc14577360"/>
      <w:r>
        <w:rPr>
          <w:rFonts w:hint="eastAsia" w:ascii="黑体" w:hAnsi="黑体" w:eastAsia="黑体" w:cs="黑体"/>
          <w:sz w:val="22"/>
        </w:rPr>
        <w:t>16、磋商有效期</w:t>
      </w:r>
      <w:bookmarkEnd w:id="110"/>
      <w:bookmarkEnd w:id="111"/>
    </w:p>
    <w:p>
      <w:pPr>
        <w:spacing w:line="440" w:lineRule="exact"/>
        <w:ind w:firstLine="420"/>
        <w:rPr>
          <w:rFonts w:ascii="宋体" w:hAnsi="宋体"/>
          <w:bCs/>
          <w:szCs w:val="18"/>
        </w:rPr>
      </w:pPr>
      <w:r>
        <w:rPr>
          <w:rFonts w:hint="eastAsia" w:ascii="宋体" w:hAnsi="宋体"/>
          <w:bCs/>
          <w:szCs w:val="18"/>
        </w:rPr>
        <w:t>16.1磋商有效期为采购代理机构规定的提交响应文件截止之日后</w:t>
      </w:r>
      <w:r>
        <w:rPr>
          <w:rFonts w:hint="eastAsia" w:ascii="仿宋_GB2312" w:hAnsi="仿宋_GB2312"/>
          <w:b/>
          <w:szCs w:val="18"/>
          <w:u w:val="single"/>
        </w:rPr>
        <w:t>六十（60）天</w:t>
      </w:r>
      <w:r>
        <w:rPr>
          <w:rFonts w:hint="eastAsia" w:ascii="宋体" w:hAnsi="宋体"/>
          <w:bCs/>
          <w:szCs w:val="18"/>
        </w:rPr>
        <w:t>。磋商有效期比规定短的将被视为非实质性响应磋商文件而予以拒绝。</w:t>
      </w:r>
    </w:p>
    <w:p>
      <w:pPr>
        <w:keepNext/>
        <w:keepLines/>
        <w:spacing w:line="440" w:lineRule="exact"/>
        <w:ind w:firstLine="330"/>
        <w:outlineLvl w:val="3"/>
        <w:rPr>
          <w:rFonts w:ascii="黑体" w:hAnsi="黑体" w:eastAsia="黑体" w:cs="黑体"/>
          <w:sz w:val="22"/>
        </w:rPr>
      </w:pPr>
      <w:r>
        <w:rPr>
          <w:rFonts w:hint="eastAsia" w:ascii="黑体" w:hAnsi="黑体" w:eastAsia="黑体" w:cs="黑体"/>
          <w:sz w:val="22"/>
        </w:rPr>
        <w:t>17、磋商有效期的延长</w:t>
      </w:r>
    </w:p>
    <w:p>
      <w:pPr>
        <w:spacing w:line="440" w:lineRule="exact"/>
        <w:ind w:firstLine="420"/>
        <w:rPr>
          <w:rFonts w:ascii="宋体" w:hAnsi="宋体"/>
          <w:bCs/>
          <w:szCs w:val="18"/>
        </w:rPr>
      </w:pPr>
      <w:r>
        <w:rPr>
          <w:rFonts w:hint="eastAsia" w:ascii="宋体" w:hAnsi="宋体"/>
          <w:bCs/>
          <w:szCs w:val="18"/>
        </w:rPr>
        <w:t>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szCs w:val="21"/>
        </w:rPr>
        <w:t>受磋商有效期约束的所有权利与义务均延长至新的有效期</w:t>
      </w:r>
      <w:r>
        <w:rPr>
          <w:rFonts w:hint="eastAsia" w:ascii="宋体" w:hAnsi="宋体"/>
          <w:bCs/>
          <w:szCs w:val="18"/>
        </w:rPr>
        <w:t>。</w:t>
      </w:r>
    </w:p>
    <w:p>
      <w:pPr>
        <w:keepNext/>
        <w:keepLines/>
        <w:spacing w:before="145" w:after="145" w:line="440" w:lineRule="exact"/>
        <w:ind w:firstLine="361"/>
        <w:outlineLvl w:val="2"/>
        <w:rPr>
          <w:rFonts w:ascii="Times New Roman" w:hAnsi="Times New Roman"/>
          <w:b/>
          <w:bCs/>
          <w:sz w:val="24"/>
          <w:szCs w:val="24"/>
        </w:rPr>
      </w:pPr>
      <w:bookmarkStart w:id="112" w:name="_Hlt26954739"/>
      <w:bookmarkEnd w:id="112"/>
      <w:bookmarkStart w:id="113" w:name="_Hlt26954852"/>
      <w:bookmarkEnd w:id="113"/>
      <w:bookmarkStart w:id="114" w:name="_Toc20823296"/>
      <w:bookmarkStart w:id="115" w:name="_Toc16938540"/>
      <w:bookmarkStart w:id="116" w:name="_Toc513029224"/>
      <w:bookmarkStart w:id="117" w:name="_Toc120614217"/>
      <w:r>
        <w:rPr>
          <w:rFonts w:hint="eastAsia" w:ascii="Times New Roman" w:hAnsi="Times New Roman"/>
          <w:b/>
          <w:bCs/>
          <w:sz w:val="24"/>
          <w:szCs w:val="24"/>
        </w:rPr>
        <w:t>四、响应文件的递交</w:t>
      </w:r>
      <w:bookmarkEnd w:id="114"/>
      <w:bookmarkEnd w:id="115"/>
      <w:bookmarkEnd w:id="116"/>
      <w:bookmarkEnd w:id="117"/>
    </w:p>
    <w:p>
      <w:pPr>
        <w:keepNext/>
        <w:keepLines/>
        <w:spacing w:line="440" w:lineRule="exact"/>
        <w:ind w:firstLine="330"/>
        <w:outlineLvl w:val="3"/>
        <w:rPr>
          <w:rFonts w:ascii="黑体" w:hAnsi="黑体" w:eastAsia="黑体" w:cs="黑体"/>
          <w:sz w:val="22"/>
        </w:rPr>
      </w:pPr>
      <w:bookmarkStart w:id="118" w:name="_Toc20823297"/>
      <w:bookmarkStart w:id="119" w:name="_Toc462564084"/>
      <w:bookmarkStart w:id="120" w:name="_Toc513029225"/>
      <w:bookmarkStart w:id="121" w:name="_Toc16938541"/>
      <w:r>
        <w:rPr>
          <w:rFonts w:hint="eastAsia" w:ascii="黑体" w:hAnsi="黑体" w:eastAsia="黑体" w:cs="黑体"/>
          <w:sz w:val="22"/>
        </w:rPr>
        <w:t>18、电子磋商</w:t>
      </w:r>
      <w:bookmarkEnd w:id="118"/>
      <w:bookmarkEnd w:id="119"/>
      <w:bookmarkEnd w:id="120"/>
      <w:bookmarkEnd w:id="121"/>
      <w:r>
        <w:rPr>
          <w:rFonts w:hint="eastAsia" w:ascii="黑体" w:hAnsi="黑体" w:eastAsia="黑体" w:cs="黑体"/>
          <w:sz w:val="22"/>
        </w:rPr>
        <w:t>响应文件的递交</w:t>
      </w:r>
    </w:p>
    <w:p>
      <w:pPr>
        <w:spacing w:line="440" w:lineRule="exact"/>
        <w:ind w:firstLine="525"/>
        <w:rPr>
          <w:rFonts w:ascii="宋体" w:hAnsi="宋体"/>
          <w:bCs/>
          <w:szCs w:val="18"/>
        </w:rPr>
      </w:pPr>
      <w:r>
        <w:rPr>
          <w:rFonts w:hint="eastAsia" w:ascii="宋体" w:hAnsi="宋体"/>
          <w:bCs/>
          <w:szCs w:val="18"/>
        </w:rPr>
        <w:t>18.1供应商应当按照《操作手册》规定，在提交响应文件截止时间前</w:t>
      </w:r>
      <w:r>
        <w:rPr>
          <w:rFonts w:ascii="宋体" w:hAnsi="宋体"/>
          <w:bCs/>
          <w:szCs w:val="18"/>
        </w:rPr>
        <w:t>制作</w:t>
      </w:r>
      <w:r>
        <w:rPr>
          <w:rFonts w:hint="eastAsia" w:ascii="宋体" w:hAnsi="宋体"/>
          <w:bCs/>
          <w:szCs w:val="18"/>
        </w:rPr>
        <w:t>并上传电子响应文件。</w:t>
      </w:r>
      <w:bookmarkStart w:id="122" w:name="_Toc513029226"/>
      <w:bookmarkStart w:id="123" w:name="_Toc20823298"/>
      <w:bookmarkStart w:id="124" w:name="_Toc16938542"/>
    </w:p>
    <w:p>
      <w:pPr>
        <w:keepNext/>
        <w:keepLines/>
        <w:spacing w:line="440" w:lineRule="exact"/>
        <w:ind w:firstLine="330"/>
        <w:outlineLvl w:val="3"/>
        <w:rPr>
          <w:rFonts w:ascii="黑体" w:hAnsi="黑体" w:eastAsia="黑体" w:cs="黑体"/>
          <w:sz w:val="22"/>
        </w:rPr>
      </w:pPr>
      <w:r>
        <w:rPr>
          <w:rFonts w:hint="eastAsia" w:ascii="黑体" w:hAnsi="黑体" w:eastAsia="黑体" w:cs="黑体"/>
          <w:sz w:val="22"/>
        </w:rPr>
        <w:t>19、提交响应文件截止时间</w:t>
      </w:r>
      <w:bookmarkEnd w:id="122"/>
      <w:bookmarkEnd w:id="123"/>
      <w:bookmarkEnd w:id="124"/>
    </w:p>
    <w:p>
      <w:pPr>
        <w:spacing w:line="440" w:lineRule="exact"/>
        <w:ind w:firstLine="420"/>
        <w:rPr>
          <w:rFonts w:ascii="宋体" w:hAnsi="宋体"/>
          <w:bCs/>
          <w:i/>
          <w:szCs w:val="18"/>
          <w:u w:val="single"/>
        </w:rPr>
      </w:pPr>
      <w:r>
        <w:rPr>
          <w:rFonts w:ascii="宋体" w:hAnsi="宋体"/>
          <w:i/>
          <w:szCs w:val="18"/>
          <w:u w:val="single"/>
        </w:rPr>
        <w:t>19</w:t>
      </w:r>
      <w:r>
        <w:rPr>
          <w:rFonts w:hint="eastAsia" w:ascii="宋体" w:hAnsi="宋体"/>
          <w:i/>
          <w:szCs w:val="18"/>
          <w:u w:val="single"/>
        </w:rPr>
        <w:t>.1</w:t>
      </w:r>
      <w:r>
        <w:rPr>
          <w:rFonts w:hint="eastAsia" w:ascii="宋体" w:hAnsi="宋体"/>
          <w:bCs/>
          <w:i/>
          <w:szCs w:val="18"/>
          <w:u w:val="single"/>
        </w:rPr>
        <w:t>供应商上传电子响应文件的时间不得迟于磋商公告中规定的提交响应文件截止时间。</w:t>
      </w:r>
    </w:p>
    <w:p>
      <w:pPr>
        <w:spacing w:line="440" w:lineRule="exact"/>
        <w:ind w:firstLine="420"/>
        <w:rPr>
          <w:rFonts w:ascii="宋体" w:hAnsi="宋体"/>
          <w:bCs/>
          <w:szCs w:val="18"/>
        </w:rPr>
      </w:pPr>
      <w:r>
        <w:rPr>
          <w:rFonts w:hint="eastAsia" w:ascii="宋体" w:hAnsi="宋体"/>
          <w:bCs/>
          <w:szCs w:val="18"/>
        </w:rPr>
        <w:t>供应商应充分考虑到网络环境、网络带宽等风险因素，如因供应商自身原因造成的电子响应文件上传不成功的按照本磋商文件第二章第26.3.2条规定做无效响应处理。</w:t>
      </w:r>
    </w:p>
    <w:p>
      <w:pPr>
        <w:spacing w:line="440" w:lineRule="exact"/>
        <w:ind w:firstLine="420"/>
        <w:rPr>
          <w:rFonts w:ascii="宋体" w:hAnsi="宋体"/>
          <w:bCs/>
          <w:szCs w:val="18"/>
        </w:rPr>
      </w:pPr>
      <w:r>
        <w:rPr>
          <w:rFonts w:ascii="宋体" w:hAnsi="宋体"/>
          <w:szCs w:val="18"/>
        </w:rPr>
        <w:t>19</w:t>
      </w:r>
      <w:r>
        <w:rPr>
          <w:rFonts w:hint="eastAsia" w:ascii="宋体" w:hAnsi="宋体"/>
          <w:szCs w:val="18"/>
        </w:rPr>
        <w:t>.2</w:t>
      </w:r>
      <w:r>
        <w:rPr>
          <w:rFonts w:hint="eastAsia" w:ascii="宋体" w:hAnsi="宋体"/>
          <w:bCs/>
          <w:szCs w:val="18"/>
        </w:rPr>
        <w:t xml:space="preserve"> 采购代理机构可以按照规定，通过修改磋商文件酌情延长提交响应文件截止日期，在此情况下，供应商的所有权利和义务以及供应商受制的截止日期均应以延长后新的截止日期为准。</w:t>
      </w:r>
    </w:p>
    <w:p>
      <w:pPr>
        <w:keepNext/>
        <w:keepLines/>
        <w:spacing w:line="440" w:lineRule="exact"/>
        <w:ind w:firstLine="330"/>
        <w:outlineLvl w:val="3"/>
        <w:rPr>
          <w:rFonts w:ascii="黑体" w:hAnsi="黑体" w:eastAsia="黑体" w:cs="黑体"/>
          <w:sz w:val="22"/>
        </w:rPr>
      </w:pPr>
      <w:bookmarkStart w:id="125" w:name="_Toc16938543"/>
      <w:bookmarkStart w:id="126" w:name="_Toc513029227"/>
      <w:bookmarkStart w:id="127" w:name="_Toc20823299"/>
      <w:r>
        <w:rPr>
          <w:rFonts w:hint="eastAsia" w:ascii="黑体" w:hAnsi="黑体" w:eastAsia="黑体" w:cs="黑体"/>
          <w:sz w:val="22"/>
        </w:rPr>
        <w:t>20、响应文件</w:t>
      </w:r>
      <w:bookmarkEnd w:id="125"/>
      <w:bookmarkEnd w:id="126"/>
      <w:bookmarkEnd w:id="127"/>
      <w:r>
        <w:rPr>
          <w:rFonts w:hint="eastAsia" w:ascii="黑体" w:hAnsi="黑体" w:eastAsia="黑体" w:cs="黑体"/>
          <w:sz w:val="22"/>
        </w:rPr>
        <w:t>的拒收</w:t>
      </w:r>
    </w:p>
    <w:p>
      <w:pPr>
        <w:spacing w:line="440" w:lineRule="exact"/>
        <w:ind w:firstLine="420"/>
        <w:rPr>
          <w:rFonts w:ascii="宋体" w:hAnsi="宋体"/>
          <w:bCs/>
          <w:szCs w:val="18"/>
        </w:rPr>
      </w:pPr>
      <w:r>
        <w:rPr>
          <w:rFonts w:hint="eastAsia" w:ascii="宋体" w:hAnsi="宋体"/>
          <w:bCs/>
          <w:szCs w:val="18"/>
        </w:rPr>
        <w:t>20.1 采购代理机构拒绝接收在其规定的提交响应文件截止时间后上传的任何电子响应文件。</w:t>
      </w:r>
    </w:p>
    <w:p>
      <w:pPr>
        <w:keepNext/>
        <w:keepLines/>
        <w:spacing w:line="440" w:lineRule="exact"/>
        <w:ind w:firstLine="330"/>
        <w:outlineLvl w:val="3"/>
        <w:rPr>
          <w:rFonts w:ascii="黑体" w:hAnsi="黑体" w:eastAsia="黑体" w:cs="黑体"/>
          <w:sz w:val="22"/>
        </w:rPr>
      </w:pPr>
      <w:bookmarkStart w:id="128" w:name="_Toc20823300"/>
      <w:bookmarkStart w:id="129" w:name="_Toc16938544"/>
      <w:bookmarkStart w:id="130" w:name="_Toc513029228"/>
      <w:r>
        <w:rPr>
          <w:rFonts w:hint="eastAsia" w:ascii="黑体" w:hAnsi="黑体" w:eastAsia="黑体" w:cs="黑体"/>
          <w:sz w:val="22"/>
        </w:rPr>
        <w:t>21、响应文件的撤回和修改</w:t>
      </w:r>
      <w:bookmarkEnd w:id="128"/>
      <w:bookmarkEnd w:id="129"/>
      <w:bookmarkEnd w:id="130"/>
    </w:p>
    <w:p>
      <w:pPr>
        <w:spacing w:line="440" w:lineRule="exact"/>
        <w:ind w:firstLine="420"/>
        <w:rPr>
          <w:rFonts w:ascii="宋体" w:hAnsi="宋体"/>
          <w:szCs w:val="18"/>
        </w:rPr>
      </w:pPr>
      <w:r>
        <w:rPr>
          <w:rFonts w:hint="eastAsia" w:ascii="宋体" w:hAnsi="宋体"/>
          <w:szCs w:val="18"/>
        </w:rPr>
        <w:t>2</w:t>
      </w:r>
      <w:r>
        <w:rPr>
          <w:rFonts w:ascii="宋体" w:hAnsi="宋体"/>
          <w:szCs w:val="18"/>
        </w:rPr>
        <w:t>1</w:t>
      </w:r>
      <w:r>
        <w:rPr>
          <w:rFonts w:hint="eastAsia" w:ascii="宋体" w:hAnsi="宋体"/>
          <w:szCs w:val="18"/>
        </w:rPr>
        <w:t>.1响应文件的撤回</w:t>
      </w:r>
    </w:p>
    <w:p>
      <w:pPr>
        <w:spacing w:line="440" w:lineRule="exact"/>
        <w:ind w:firstLine="420"/>
        <w:rPr>
          <w:rFonts w:ascii="宋体" w:hAnsi="宋体"/>
          <w:szCs w:val="18"/>
        </w:rPr>
      </w:pPr>
      <w:r>
        <w:rPr>
          <w:rFonts w:hint="eastAsia" w:ascii="宋体" w:hAnsi="宋体"/>
          <w:szCs w:val="18"/>
        </w:rPr>
        <w:t>2</w:t>
      </w:r>
      <w:r>
        <w:rPr>
          <w:rFonts w:ascii="宋体" w:hAnsi="宋体"/>
          <w:szCs w:val="18"/>
        </w:rPr>
        <w:t>1</w:t>
      </w:r>
      <w:r>
        <w:rPr>
          <w:rFonts w:hint="eastAsia" w:ascii="宋体" w:hAnsi="宋体"/>
          <w:szCs w:val="18"/>
        </w:rPr>
        <w:t>.1.1 电子响应文件的撤回</w:t>
      </w:r>
    </w:p>
    <w:p>
      <w:pPr>
        <w:spacing w:line="440" w:lineRule="exact"/>
        <w:ind w:firstLine="420"/>
        <w:rPr>
          <w:rFonts w:ascii="宋体" w:hAnsi="宋体"/>
          <w:szCs w:val="18"/>
        </w:rPr>
      </w:pPr>
      <w:r>
        <w:rPr>
          <w:rFonts w:hint="eastAsia" w:ascii="宋体" w:hAnsi="宋体"/>
          <w:szCs w:val="18"/>
        </w:rPr>
        <w:t>供应商可在</w:t>
      </w:r>
      <w:r>
        <w:rPr>
          <w:rFonts w:hint="eastAsia" w:ascii="宋体" w:hAnsi="宋体"/>
          <w:bCs/>
          <w:szCs w:val="18"/>
        </w:rPr>
        <w:t>提交响应文件</w:t>
      </w:r>
      <w:r>
        <w:rPr>
          <w:rFonts w:hint="eastAsia" w:ascii="宋体" w:hAnsi="宋体"/>
          <w:szCs w:val="18"/>
        </w:rPr>
        <w:t>截止时间前，撤回其电子响应文件，具体操作方法见《操作手册》。</w:t>
      </w:r>
    </w:p>
    <w:p>
      <w:pPr>
        <w:spacing w:line="440" w:lineRule="exact"/>
        <w:ind w:firstLine="420"/>
        <w:rPr>
          <w:rFonts w:ascii="宋体" w:hAnsi="宋体"/>
          <w:szCs w:val="21"/>
        </w:rPr>
      </w:pPr>
      <w:r>
        <w:rPr>
          <w:rFonts w:hint="eastAsia" w:ascii="宋体" w:hAnsi="宋体"/>
          <w:szCs w:val="21"/>
        </w:rPr>
        <w:t>2</w:t>
      </w:r>
      <w:r>
        <w:rPr>
          <w:rFonts w:ascii="宋体" w:hAnsi="宋体"/>
          <w:szCs w:val="21"/>
        </w:rPr>
        <w:t>1</w:t>
      </w:r>
      <w:r>
        <w:rPr>
          <w:rFonts w:hint="eastAsia" w:ascii="宋体" w:hAnsi="宋体"/>
          <w:szCs w:val="21"/>
        </w:rPr>
        <w:t>.1.</w:t>
      </w:r>
      <w:r>
        <w:rPr>
          <w:rFonts w:ascii="宋体" w:hAnsi="宋体"/>
          <w:szCs w:val="21"/>
        </w:rPr>
        <w:t>2</w:t>
      </w:r>
      <w:r>
        <w:rPr>
          <w:rFonts w:hint="eastAsia" w:ascii="宋体" w:hAnsi="宋体"/>
          <w:szCs w:val="21"/>
        </w:rPr>
        <w:t>供应商撤回电子响应文件，则认为其不再参与本项目磋商活动。</w:t>
      </w:r>
    </w:p>
    <w:p>
      <w:pPr>
        <w:spacing w:line="440" w:lineRule="exact"/>
        <w:ind w:firstLine="420"/>
        <w:rPr>
          <w:rFonts w:ascii="宋体" w:hAnsi="宋体"/>
          <w:szCs w:val="21"/>
        </w:rPr>
      </w:pPr>
      <w:r>
        <w:rPr>
          <w:rFonts w:hint="eastAsia" w:ascii="宋体" w:hAnsi="宋体"/>
          <w:szCs w:val="21"/>
        </w:rPr>
        <w:t>2</w:t>
      </w:r>
      <w:r>
        <w:rPr>
          <w:rFonts w:ascii="宋体" w:hAnsi="宋体"/>
          <w:szCs w:val="21"/>
        </w:rPr>
        <w:t>1</w:t>
      </w:r>
      <w:r>
        <w:rPr>
          <w:rFonts w:hint="eastAsia" w:ascii="宋体" w:hAnsi="宋体"/>
          <w:szCs w:val="21"/>
        </w:rPr>
        <w:t>.2响应文件的修改</w:t>
      </w:r>
    </w:p>
    <w:p>
      <w:pPr>
        <w:spacing w:line="440" w:lineRule="exact"/>
        <w:ind w:firstLine="420"/>
        <w:rPr>
          <w:rFonts w:ascii="宋体" w:hAnsi="宋体"/>
          <w:szCs w:val="18"/>
        </w:rPr>
      </w:pPr>
      <w:r>
        <w:rPr>
          <w:rFonts w:hint="eastAsia" w:ascii="宋体" w:hAnsi="宋体"/>
          <w:szCs w:val="18"/>
        </w:rPr>
        <w:t>供应商可在</w:t>
      </w:r>
      <w:r>
        <w:rPr>
          <w:rFonts w:hint="eastAsia" w:ascii="宋体" w:hAnsi="宋体"/>
          <w:bCs/>
          <w:szCs w:val="18"/>
        </w:rPr>
        <w:t>提交响应文件</w:t>
      </w:r>
      <w:r>
        <w:rPr>
          <w:rFonts w:hint="eastAsia" w:ascii="宋体" w:hAnsi="宋体"/>
          <w:szCs w:val="18"/>
        </w:rPr>
        <w:t>截止时间前，对其电子响应文件进行修改，具体操作方法见《操作手册》。</w:t>
      </w:r>
    </w:p>
    <w:p>
      <w:pPr>
        <w:spacing w:line="440" w:lineRule="exact"/>
        <w:ind w:firstLine="420"/>
        <w:rPr>
          <w:rFonts w:ascii="宋体" w:hAnsi="宋体"/>
          <w:bCs/>
          <w:szCs w:val="18"/>
        </w:rPr>
      </w:pPr>
      <w:r>
        <w:rPr>
          <w:rFonts w:hint="eastAsia" w:ascii="宋体" w:hAnsi="宋体"/>
          <w:szCs w:val="18"/>
        </w:rPr>
        <w:t>2</w:t>
      </w:r>
      <w:r>
        <w:rPr>
          <w:rFonts w:ascii="宋体" w:hAnsi="宋体"/>
          <w:szCs w:val="18"/>
        </w:rPr>
        <w:t>1</w:t>
      </w:r>
      <w:r>
        <w:rPr>
          <w:rFonts w:hint="eastAsia" w:ascii="宋体" w:hAnsi="宋体"/>
          <w:szCs w:val="18"/>
        </w:rPr>
        <w:t>.3</w:t>
      </w:r>
      <w:r>
        <w:rPr>
          <w:rFonts w:hint="eastAsia" w:ascii="宋体" w:hAnsi="宋体"/>
          <w:bCs/>
          <w:szCs w:val="18"/>
        </w:rPr>
        <w:t xml:space="preserve"> 在提交响应文件截止时间之后，供应商不得对其电子响应文件作任何修改。</w:t>
      </w:r>
    </w:p>
    <w:p>
      <w:pPr>
        <w:spacing w:line="440" w:lineRule="exact"/>
        <w:ind w:firstLine="420"/>
        <w:rPr>
          <w:rFonts w:ascii="宋体" w:hAnsi="宋体"/>
          <w:bCs/>
          <w:szCs w:val="18"/>
        </w:rPr>
      </w:pPr>
      <w:r>
        <w:rPr>
          <w:rFonts w:hint="eastAsia" w:ascii="宋体" w:hAnsi="宋体"/>
          <w:szCs w:val="18"/>
        </w:rPr>
        <w:t>2</w:t>
      </w:r>
      <w:r>
        <w:rPr>
          <w:rFonts w:ascii="宋体" w:hAnsi="宋体"/>
          <w:szCs w:val="18"/>
        </w:rPr>
        <w:t>1</w:t>
      </w:r>
      <w:r>
        <w:rPr>
          <w:rFonts w:hint="eastAsia" w:ascii="宋体" w:hAnsi="宋体"/>
          <w:szCs w:val="18"/>
        </w:rPr>
        <w:t>.4</w:t>
      </w:r>
      <w:r>
        <w:rPr>
          <w:rFonts w:hint="eastAsia" w:ascii="宋体" w:hAnsi="宋体"/>
          <w:bCs/>
          <w:szCs w:val="18"/>
        </w:rPr>
        <w:t xml:space="preserve"> 在提交响应文件截止时间至磋商文件中规定的磋商有效期满之间的这段时间内，供应商不得撤回其响应文件。</w:t>
      </w:r>
    </w:p>
    <w:p>
      <w:pPr>
        <w:keepNext/>
        <w:keepLines/>
        <w:spacing w:before="145" w:after="145" w:line="440" w:lineRule="exact"/>
        <w:ind w:firstLine="361"/>
        <w:outlineLvl w:val="2"/>
        <w:rPr>
          <w:rFonts w:ascii="Times New Roman" w:hAnsi="Times New Roman"/>
          <w:b/>
          <w:bCs/>
          <w:sz w:val="24"/>
          <w:szCs w:val="24"/>
        </w:rPr>
      </w:pPr>
      <w:bookmarkStart w:id="131" w:name="_Toc16938545"/>
      <w:bookmarkStart w:id="132" w:name="_Toc20823301"/>
      <w:bookmarkStart w:id="133" w:name="_Toc513029229"/>
      <w:bookmarkStart w:id="134" w:name="_Toc120614218"/>
      <w:r>
        <w:rPr>
          <w:rFonts w:hint="eastAsia" w:ascii="Times New Roman" w:hAnsi="Times New Roman"/>
          <w:b/>
          <w:bCs/>
          <w:sz w:val="24"/>
          <w:szCs w:val="24"/>
        </w:rPr>
        <w:t>五、响应文件的解密与评审</w:t>
      </w:r>
      <w:bookmarkEnd w:id="131"/>
      <w:bookmarkEnd w:id="132"/>
      <w:bookmarkEnd w:id="133"/>
      <w:bookmarkEnd w:id="134"/>
    </w:p>
    <w:p>
      <w:pPr>
        <w:keepNext/>
        <w:keepLines/>
        <w:spacing w:line="440" w:lineRule="exact"/>
        <w:ind w:firstLine="330"/>
        <w:outlineLvl w:val="3"/>
        <w:rPr>
          <w:rFonts w:ascii="黑体" w:hAnsi="黑体" w:eastAsia="黑体" w:cs="黑体"/>
          <w:sz w:val="22"/>
        </w:rPr>
      </w:pPr>
      <w:bookmarkStart w:id="135" w:name="_Toc20823302"/>
      <w:bookmarkStart w:id="136" w:name="_Toc16938546"/>
      <w:bookmarkStart w:id="137" w:name="_Toc513029230"/>
      <w:r>
        <w:rPr>
          <w:rFonts w:hint="eastAsia" w:ascii="黑体" w:hAnsi="黑体" w:eastAsia="黑体" w:cs="黑体"/>
          <w:sz w:val="22"/>
        </w:rPr>
        <w:t>22、</w:t>
      </w:r>
      <w:bookmarkEnd w:id="135"/>
      <w:bookmarkEnd w:id="136"/>
      <w:bookmarkEnd w:id="137"/>
      <w:r>
        <w:rPr>
          <w:rFonts w:hint="eastAsia" w:ascii="黑体" w:hAnsi="黑体" w:eastAsia="黑体" w:cs="黑体"/>
          <w:sz w:val="22"/>
        </w:rPr>
        <w:t>响应文件解密</w:t>
      </w:r>
    </w:p>
    <w:p>
      <w:pPr>
        <w:spacing w:line="440" w:lineRule="exact"/>
        <w:ind w:firstLine="315"/>
        <w:rPr>
          <w:rFonts w:ascii="Times New Roman" w:hAnsi="Times New Roman"/>
          <w:sz w:val="18"/>
          <w:szCs w:val="18"/>
        </w:rPr>
      </w:pPr>
      <w:r>
        <w:rPr>
          <w:rFonts w:hint="eastAsia" w:ascii="宋体" w:hAnsi="宋体"/>
          <w:szCs w:val="18"/>
        </w:rPr>
        <w:t>2</w:t>
      </w:r>
      <w:r>
        <w:rPr>
          <w:rFonts w:ascii="宋体" w:hAnsi="宋体"/>
          <w:szCs w:val="18"/>
        </w:rPr>
        <w:t>2</w:t>
      </w:r>
      <w:r>
        <w:rPr>
          <w:rFonts w:hint="eastAsia" w:ascii="宋体" w:hAnsi="宋体"/>
          <w:szCs w:val="18"/>
        </w:rPr>
        <w:t>.1</w:t>
      </w:r>
      <w:r>
        <w:rPr>
          <w:rFonts w:hint="eastAsia" w:ascii="宋体" w:hAnsi="宋体"/>
          <w:szCs w:val="21"/>
        </w:rPr>
        <w:t>供应商应当按照《操作手册》规定，在</w:t>
      </w:r>
      <w:r>
        <w:rPr>
          <w:rFonts w:hint="eastAsia" w:ascii="宋体" w:hAnsi="宋体"/>
          <w:color w:val="000000"/>
          <w:szCs w:val="21"/>
        </w:rPr>
        <w:t>苏采云系统</w:t>
      </w:r>
      <w:r>
        <w:rPr>
          <w:rFonts w:hint="eastAsia" w:ascii="宋体" w:hAnsi="宋体"/>
          <w:szCs w:val="21"/>
        </w:rPr>
        <w:t>规定的时间内对磋商响应文件进行解密。</w:t>
      </w:r>
    </w:p>
    <w:p>
      <w:pPr>
        <w:keepNext/>
        <w:keepLines/>
        <w:spacing w:line="440" w:lineRule="exact"/>
        <w:ind w:firstLine="330"/>
        <w:outlineLvl w:val="3"/>
        <w:rPr>
          <w:rFonts w:ascii="黑体" w:hAnsi="黑体" w:eastAsia="黑体" w:cs="黑体"/>
          <w:sz w:val="22"/>
        </w:rPr>
      </w:pPr>
      <w:bookmarkStart w:id="138" w:name="_Toc16938547"/>
      <w:bookmarkStart w:id="139" w:name="_Toc513029231"/>
      <w:bookmarkStart w:id="140" w:name="_Toc20823303"/>
      <w:r>
        <w:rPr>
          <w:rFonts w:hint="eastAsia" w:ascii="黑体" w:hAnsi="黑体" w:eastAsia="黑体" w:cs="黑体"/>
          <w:sz w:val="22"/>
        </w:rPr>
        <w:t>23、磋商小组</w:t>
      </w:r>
    </w:p>
    <w:p>
      <w:pPr>
        <w:spacing w:line="440" w:lineRule="exact"/>
        <w:rPr>
          <w:rFonts w:ascii="宋体" w:hAnsi="宋体"/>
          <w:b/>
          <w:szCs w:val="21"/>
        </w:rPr>
      </w:pPr>
      <w:r>
        <w:rPr>
          <w:rFonts w:hint="eastAsia" w:ascii="宋体" w:hAnsi="宋体"/>
          <w:b/>
          <w:szCs w:val="21"/>
        </w:rPr>
        <w:t xml:space="preserve">  </w:t>
      </w:r>
      <w:r>
        <w:rPr>
          <w:rFonts w:hint="eastAsia" w:ascii="宋体" w:hAnsi="宋体"/>
          <w:szCs w:val="21"/>
        </w:rPr>
        <w:t xml:space="preserve"> 2</w:t>
      </w:r>
      <w:r>
        <w:rPr>
          <w:rFonts w:ascii="宋体" w:hAnsi="宋体"/>
          <w:szCs w:val="21"/>
        </w:rPr>
        <w:t>3</w:t>
      </w:r>
      <w:r>
        <w:rPr>
          <w:rFonts w:hint="eastAsia" w:ascii="宋体" w:hAnsi="宋体"/>
          <w:szCs w:val="21"/>
        </w:rPr>
        <w:t>.1采购</w:t>
      </w:r>
      <w:r>
        <w:rPr>
          <w:rFonts w:hint="eastAsia" w:ascii="宋体" w:hAnsi="宋体"/>
          <w:bCs/>
          <w:szCs w:val="18"/>
        </w:rPr>
        <w:t>代理机构</w:t>
      </w:r>
      <w:r>
        <w:rPr>
          <w:rFonts w:hint="eastAsia" w:ascii="宋体" w:hAnsi="宋体"/>
          <w:szCs w:val="21"/>
        </w:rPr>
        <w:t>将组织磋商小组对响应文件进行评审。磋商小组由采购人代表和有关技术、经济等方面的专家组成，且人员构成符合政府采购有关规定。</w:t>
      </w:r>
    </w:p>
    <w:p>
      <w:pPr>
        <w:spacing w:line="440" w:lineRule="exact"/>
        <w:rPr>
          <w:rFonts w:ascii="宋体" w:hAnsi="宋体"/>
          <w:szCs w:val="21"/>
        </w:rPr>
      </w:pPr>
      <w:r>
        <w:rPr>
          <w:rFonts w:hint="eastAsia" w:ascii="宋体" w:hAnsi="宋体"/>
          <w:b/>
          <w:szCs w:val="21"/>
        </w:rPr>
        <w:t xml:space="preserve">  </w:t>
      </w:r>
      <w:r>
        <w:rPr>
          <w:rFonts w:hint="eastAsia" w:ascii="宋体" w:hAnsi="宋体"/>
          <w:szCs w:val="21"/>
        </w:rPr>
        <w:t xml:space="preserve"> 2</w:t>
      </w:r>
      <w:r>
        <w:rPr>
          <w:rFonts w:ascii="宋体" w:hAnsi="宋体"/>
          <w:szCs w:val="21"/>
        </w:rPr>
        <w:t>3</w:t>
      </w:r>
      <w:r>
        <w:rPr>
          <w:rFonts w:hint="eastAsia" w:ascii="宋体" w:hAnsi="宋体"/>
          <w:szCs w:val="21"/>
        </w:rPr>
        <w:t>.2磋商小组独立工作，负责评审所有响应文件并确定成交侯选人。</w:t>
      </w:r>
    </w:p>
    <w:p>
      <w:pPr>
        <w:keepNext/>
        <w:keepLines/>
        <w:spacing w:line="440" w:lineRule="exact"/>
        <w:ind w:firstLine="330"/>
        <w:outlineLvl w:val="3"/>
        <w:rPr>
          <w:rFonts w:ascii="黑体" w:hAnsi="黑体" w:eastAsia="黑体" w:cs="黑体"/>
          <w:sz w:val="22"/>
        </w:rPr>
      </w:pPr>
      <w:r>
        <w:rPr>
          <w:rFonts w:hint="eastAsia" w:ascii="黑体" w:hAnsi="黑体" w:eastAsia="黑体" w:cs="黑体"/>
          <w:sz w:val="22"/>
        </w:rPr>
        <w:t>24、评审过程的保密与公正</w:t>
      </w:r>
      <w:bookmarkEnd w:id="138"/>
      <w:bookmarkEnd w:id="139"/>
      <w:bookmarkEnd w:id="140"/>
    </w:p>
    <w:p>
      <w:pPr>
        <w:spacing w:line="440" w:lineRule="exact"/>
        <w:ind w:firstLine="420"/>
        <w:rPr>
          <w:rFonts w:ascii="宋体" w:hAnsi="宋体"/>
          <w:bCs/>
          <w:szCs w:val="18"/>
        </w:rPr>
      </w:pPr>
      <w:r>
        <w:rPr>
          <w:rFonts w:hint="eastAsia" w:ascii="宋体" w:hAnsi="宋体"/>
          <w:szCs w:val="18"/>
        </w:rPr>
        <w:t>2</w:t>
      </w:r>
      <w:r>
        <w:rPr>
          <w:rFonts w:ascii="宋体" w:hAnsi="宋体"/>
          <w:szCs w:val="18"/>
        </w:rPr>
        <w:t>4</w:t>
      </w:r>
      <w:r>
        <w:rPr>
          <w:rFonts w:hint="eastAsia" w:ascii="宋体" w:hAnsi="宋体"/>
          <w:szCs w:val="18"/>
        </w:rPr>
        <w:t>.1</w:t>
      </w:r>
      <w:r>
        <w:rPr>
          <w:rFonts w:hint="eastAsia" w:ascii="宋体" w:hAnsi="宋体"/>
          <w:bCs/>
          <w:szCs w:val="18"/>
        </w:rPr>
        <w:t>磋商小组、采购人和采购代理机构工作人员、相关监督人员等与评审工作有关的人员，对评审情况以及在评审过程中获悉的国家秘密、商业秘密负有保密责任。</w:t>
      </w:r>
    </w:p>
    <w:p>
      <w:pPr>
        <w:spacing w:line="440" w:lineRule="exact"/>
        <w:ind w:firstLine="420"/>
        <w:rPr>
          <w:rFonts w:ascii="宋体" w:hAnsi="宋体"/>
          <w:szCs w:val="21"/>
        </w:rPr>
      </w:pPr>
      <w:r>
        <w:rPr>
          <w:rFonts w:hint="eastAsia" w:ascii="宋体" w:hAnsi="宋体"/>
          <w:szCs w:val="18"/>
        </w:rPr>
        <w:t>2</w:t>
      </w:r>
      <w:r>
        <w:rPr>
          <w:rFonts w:ascii="宋体" w:hAnsi="宋体"/>
          <w:szCs w:val="18"/>
        </w:rPr>
        <w:t>4</w:t>
      </w:r>
      <w:r>
        <w:rPr>
          <w:rFonts w:hint="eastAsia" w:ascii="宋体" w:hAnsi="宋体"/>
          <w:szCs w:val="18"/>
        </w:rPr>
        <w:t>.2</w:t>
      </w:r>
      <w:r>
        <w:rPr>
          <w:rFonts w:hint="eastAsia" w:ascii="宋体" w:hAnsi="宋体"/>
          <w:szCs w:val="21"/>
        </w:rPr>
        <w:t>在评审过程中，供应商不得以任何行为影响磋商评审过程，否则其响应文件将被作为无效响应文件。</w:t>
      </w:r>
    </w:p>
    <w:p>
      <w:pPr>
        <w:spacing w:line="440" w:lineRule="exact"/>
        <w:ind w:firstLine="420"/>
        <w:rPr>
          <w:rFonts w:ascii="宋体" w:hAnsi="宋体"/>
          <w:szCs w:val="21"/>
        </w:rPr>
      </w:pPr>
      <w:r>
        <w:rPr>
          <w:rFonts w:hint="eastAsia" w:ascii="宋体" w:hAnsi="宋体"/>
          <w:szCs w:val="18"/>
        </w:rPr>
        <w:t>2</w:t>
      </w:r>
      <w:r>
        <w:rPr>
          <w:rFonts w:ascii="宋体" w:hAnsi="宋体"/>
          <w:szCs w:val="18"/>
        </w:rPr>
        <w:t>4</w:t>
      </w:r>
      <w:r>
        <w:rPr>
          <w:rFonts w:hint="eastAsia" w:ascii="宋体" w:hAnsi="宋体"/>
          <w:szCs w:val="18"/>
        </w:rPr>
        <w:t>.3</w:t>
      </w:r>
      <w:r>
        <w:rPr>
          <w:rFonts w:hint="eastAsia" w:ascii="宋体" w:hAnsi="宋体"/>
          <w:szCs w:val="21"/>
        </w:rPr>
        <w:t>在项目评审期间，采购</w:t>
      </w:r>
      <w:r>
        <w:rPr>
          <w:rFonts w:hint="eastAsia" w:ascii="宋体" w:hAnsi="宋体"/>
          <w:bCs/>
          <w:szCs w:val="18"/>
        </w:rPr>
        <w:t>代理机构</w:t>
      </w:r>
      <w:r>
        <w:rPr>
          <w:rFonts w:hint="eastAsia" w:ascii="宋体" w:hAnsi="宋体"/>
          <w:szCs w:val="21"/>
        </w:rPr>
        <w:t>将设专门人员与供应商联系。</w:t>
      </w:r>
    </w:p>
    <w:p>
      <w:pPr>
        <w:spacing w:line="440" w:lineRule="exact"/>
        <w:ind w:firstLine="420"/>
        <w:rPr>
          <w:rFonts w:ascii="宋体" w:hAnsi="宋体"/>
          <w:szCs w:val="21"/>
        </w:rPr>
      </w:pPr>
      <w:r>
        <w:rPr>
          <w:rFonts w:ascii="宋体" w:hAnsi="宋体"/>
          <w:szCs w:val="21"/>
        </w:rPr>
        <w:t>24</w:t>
      </w:r>
      <w:r>
        <w:rPr>
          <w:rFonts w:hint="eastAsia" w:ascii="宋体" w:hAnsi="宋体"/>
          <w:szCs w:val="21"/>
        </w:rPr>
        <w:t>.4采购</w:t>
      </w:r>
      <w:r>
        <w:rPr>
          <w:rFonts w:hint="eastAsia" w:ascii="宋体" w:hAnsi="宋体"/>
          <w:bCs/>
          <w:szCs w:val="18"/>
        </w:rPr>
        <w:t>代理机构</w:t>
      </w:r>
      <w:r>
        <w:rPr>
          <w:rFonts w:hint="eastAsia" w:ascii="宋体" w:hAnsi="宋体"/>
          <w:szCs w:val="21"/>
        </w:rPr>
        <w:t>和磋商小组不向未成交的供应商解释未成交原因，也不公布评审过程中的相关细节。</w:t>
      </w:r>
    </w:p>
    <w:p>
      <w:pPr>
        <w:keepNext/>
        <w:keepLines/>
        <w:spacing w:line="440" w:lineRule="exact"/>
        <w:ind w:firstLine="330"/>
        <w:outlineLvl w:val="3"/>
        <w:rPr>
          <w:rFonts w:ascii="黑体" w:hAnsi="黑体" w:eastAsia="黑体" w:cs="黑体"/>
          <w:sz w:val="22"/>
        </w:rPr>
      </w:pPr>
      <w:bookmarkStart w:id="141" w:name="_Toc513029232"/>
      <w:bookmarkStart w:id="142" w:name="_Toc16938548"/>
      <w:bookmarkStart w:id="143" w:name="_Toc20823304"/>
      <w:r>
        <w:rPr>
          <w:rFonts w:hint="eastAsia" w:ascii="黑体" w:hAnsi="黑体" w:eastAsia="黑体" w:cs="黑体"/>
          <w:sz w:val="22"/>
        </w:rPr>
        <w:t>25、评审过程中的澄清</w:t>
      </w:r>
      <w:bookmarkEnd w:id="141"/>
      <w:bookmarkEnd w:id="142"/>
      <w:bookmarkEnd w:id="143"/>
    </w:p>
    <w:p>
      <w:pPr>
        <w:spacing w:line="440" w:lineRule="exact"/>
        <w:ind w:firstLine="420"/>
        <w:rPr>
          <w:rFonts w:ascii="宋体" w:hAnsi="宋体" w:cs="宋体"/>
          <w:szCs w:val="21"/>
        </w:rPr>
      </w:pPr>
      <w:r>
        <w:rPr>
          <w:rFonts w:hint="eastAsia" w:ascii="宋体" w:hAnsi="宋体" w:cs="宋体"/>
          <w:szCs w:val="21"/>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spacing w:line="440" w:lineRule="exact"/>
        <w:ind w:firstLine="420"/>
        <w:rPr>
          <w:rFonts w:ascii="宋体" w:hAnsi="宋体" w:cs="宋体"/>
          <w:szCs w:val="21"/>
        </w:rPr>
      </w:pPr>
      <w:r>
        <w:rPr>
          <w:rFonts w:hint="eastAsia" w:ascii="宋体" w:hAnsi="宋体" w:cs="宋体"/>
          <w:szCs w:val="21"/>
        </w:rPr>
        <w:t>磋商小组并非对每个供应商都作澄清要求。</w:t>
      </w:r>
    </w:p>
    <w:p>
      <w:pPr>
        <w:spacing w:line="440" w:lineRule="exact"/>
        <w:rPr>
          <w:rFonts w:ascii="宋体" w:hAnsi="宋体" w:cs="宋体"/>
          <w:szCs w:val="21"/>
        </w:rPr>
      </w:pPr>
      <w:r>
        <w:rPr>
          <w:rFonts w:hint="eastAsia" w:ascii="宋体" w:hAnsi="宋体" w:cs="宋体"/>
          <w:szCs w:val="21"/>
        </w:rPr>
        <w:t xml:space="preserve">    2</w:t>
      </w:r>
      <w:r>
        <w:rPr>
          <w:rFonts w:ascii="宋体" w:hAnsi="宋体" w:cs="宋体"/>
          <w:szCs w:val="21"/>
        </w:rPr>
        <w:t>5</w:t>
      </w:r>
      <w:r>
        <w:rPr>
          <w:rFonts w:hint="eastAsia" w:ascii="宋体" w:hAnsi="宋体" w:cs="宋体"/>
          <w:szCs w:val="21"/>
        </w:rPr>
        <w:t>.2需要供应商进行澄清、说明和更正的，磋商小组将</w:t>
      </w:r>
      <w:r>
        <w:rPr>
          <w:rFonts w:hint="eastAsia" w:ascii="宋体" w:hAnsi="宋体" w:cs="宋体"/>
          <w:color w:val="000000"/>
          <w:szCs w:val="21"/>
        </w:rPr>
        <w:t>通过</w:t>
      </w:r>
      <w:r>
        <w:rPr>
          <w:rFonts w:hint="eastAsia" w:ascii="宋体" w:hAnsi="宋体"/>
          <w:color w:val="000000"/>
          <w:szCs w:val="21"/>
        </w:rPr>
        <w:t>苏采云系统</w:t>
      </w:r>
      <w:r>
        <w:rPr>
          <w:rFonts w:hint="eastAsia" w:ascii="宋体" w:hAnsi="宋体" w:cs="宋体"/>
          <w:color w:val="000000"/>
          <w:szCs w:val="21"/>
        </w:rPr>
        <w:t>向供应商发布“澄清要求函”，接到“澄清要求函”的供应商应当按照要求在</w:t>
      </w:r>
      <w:r>
        <w:rPr>
          <w:rFonts w:hint="eastAsia" w:ascii="宋体" w:hAnsi="宋体"/>
          <w:color w:val="000000"/>
          <w:szCs w:val="21"/>
        </w:rPr>
        <w:t>苏采云系统</w:t>
      </w:r>
      <w:r>
        <w:rPr>
          <w:rFonts w:hint="eastAsia" w:ascii="宋体" w:hAnsi="宋体" w:cs="宋体"/>
          <w:color w:val="000000"/>
          <w:szCs w:val="21"/>
        </w:rPr>
        <w:t>中</w:t>
      </w:r>
      <w:r>
        <w:rPr>
          <w:rFonts w:hint="eastAsia" w:ascii="宋体" w:hAnsi="宋体" w:cs="宋体"/>
          <w:szCs w:val="21"/>
        </w:rPr>
        <w:t>提交“澄清响应函”并加盖CA电子公章。澄清、说明和更正的内容作为响应文件的补充部分，具体</w:t>
      </w:r>
      <w:r>
        <w:rPr>
          <w:rFonts w:ascii="宋体" w:hAnsi="宋体" w:cs="宋体"/>
          <w:szCs w:val="21"/>
        </w:rPr>
        <w:t>操作</w:t>
      </w:r>
      <w:r>
        <w:rPr>
          <w:rFonts w:hint="eastAsia" w:ascii="宋体" w:hAnsi="宋体" w:cs="宋体"/>
          <w:szCs w:val="21"/>
        </w:rPr>
        <w:t>方式</w:t>
      </w:r>
      <w:r>
        <w:rPr>
          <w:rFonts w:ascii="宋体" w:hAnsi="宋体" w:cs="宋体"/>
          <w:szCs w:val="21"/>
        </w:rPr>
        <w:t>见</w:t>
      </w:r>
      <w:r>
        <w:rPr>
          <w:rFonts w:hint="eastAsia" w:ascii="宋体" w:hAnsi="宋体" w:cs="宋体"/>
          <w:szCs w:val="21"/>
        </w:rPr>
        <w:t>《操作手册》。</w:t>
      </w:r>
    </w:p>
    <w:p>
      <w:pPr>
        <w:spacing w:line="440" w:lineRule="exact"/>
        <w:rPr>
          <w:rFonts w:ascii="宋体" w:hAnsi="宋体"/>
          <w:szCs w:val="21"/>
        </w:rPr>
      </w:pPr>
      <w:r>
        <w:rPr>
          <w:rFonts w:hint="eastAsia" w:ascii="宋体" w:hAnsi="宋体"/>
          <w:szCs w:val="21"/>
        </w:rPr>
        <w:t xml:space="preserve">    2</w:t>
      </w:r>
      <w:r>
        <w:rPr>
          <w:rFonts w:ascii="宋体" w:hAnsi="宋体"/>
          <w:szCs w:val="21"/>
        </w:rPr>
        <w:t>5</w:t>
      </w:r>
      <w:r>
        <w:rPr>
          <w:rFonts w:hint="eastAsia" w:ascii="宋体" w:hAnsi="宋体"/>
          <w:szCs w:val="21"/>
        </w:rPr>
        <w:t>.3 接到磋商小组澄清、说明和更正要求的供应商如未按规定做出澄清、说明和更正，其风险由供应商自行承担。</w:t>
      </w:r>
    </w:p>
    <w:p>
      <w:pPr>
        <w:keepNext/>
        <w:keepLines/>
        <w:spacing w:line="440" w:lineRule="exact"/>
        <w:ind w:firstLine="330"/>
        <w:outlineLvl w:val="3"/>
        <w:rPr>
          <w:rFonts w:ascii="黑体" w:hAnsi="黑体" w:eastAsia="黑体" w:cs="黑体"/>
          <w:sz w:val="22"/>
        </w:rPr>
      </w:pPr>
      <w:bookmarkStart w:id="144" w:name="_Toc20823305"/>
      <w:bookmarkStart w:id="145" w:name="_Toc513029233"/>
      <w:bookmarkStart w:id="146" w:name="_Toc16938549"/>
      <w:r>
        <w:rPr>
          <w:rFonts w:hint="eastAsia" w:ascii="黑体" w:hAnsi="黑体" w:eastAsia="黑体" w:cs="黑体"/>
          <w:sz w:val="22"/>
        </w:rPr>
        <w:t>26、对响应文件的审</w:t>
      </w:r>
      <w:bookmarkEnd w:id="144"/>
      <w:bookmarkEnd w:id="145"/>
      <w:bookmarkEnd w:id="146"/>
      <w:r>
        <w:rPr>
          <w:rFonts w:hint="eastAsia" w:ascii="黑体" w:hAnsi="黑体" w:eastAsia="黑体" w:cs="黑体"/>
          <w:sz w:val="22"/>
        </w:rPr>
        <w:t>查</w:t>
      </w:r>
    </w:p>
    <w:p>
      <w:pPr>
        <w:spacing w:line="440" w:lineRule="exact"/>
        <w:ind w:firstLine="420"/>
        <w:rPr>
          <w:rFonts w:ascii="宋体" w:hAnsi="宋体"/>
          <w:bCs/>
          <w:szCs w:val="18"/>
        </w:rPr>
      </w:pPr>
      <w:r>
        <w:rPr>
          <w:rFonts w:hint="eastAsia" w:ascii="宋体" w:hAnsi="宋体"/>
          <w:szCs w:val="18"/>
        </w:rPr>
        <w:t>2</w:t>
      </w:r>
      <w:r>
        <w:rPr>
          <w:rFonts w:ascii="宋体" w:hAnsi="宋体"/>
          <w:szCs w:val="18"/>
        </w:rPr>
        <w:t>6</w:t>
      </w:r>
      <w:r>
        <w:rPr>
          <w:rFonts w:hint="eastAsia" w:ascii="宋体" w:hAnsi="宋体"/>
          <w:szCs w:val="18"/>
        </w:rPr>
        <w:t>.1</w:t>
      </w:r>
      <w:r>
        <w:rPr>
          <w:rFonts w:hint="eastAsia" w:ascii="宋体" w:hAnsi="宋体"/>
          <w:bCs/>
          <w:szCs w:val="18"/>
        </w:rPr>
        <w:t>响应文件审查分为资格审查和符合性审查。</w:t>
      </w:r>
    </w:p>
    <w:p>
      <w:pPr>
        <w:spacing w:line="440" w:lineRule="exact"/>
        <w:ind w:firstLine="420"/>
        <w:rPr>
          <w:rFonts w:ascii="宋体" w:hAnsi="宋体"/>
          <w:bCs/>
          <w:szCs w:val="18"/>
        </w:rPr>
      </w:pPr>
      <w:r>
        <w:rPr>
          <w:rFonts w:hint="eastAsia" w:ascii="宋体" w:hAnsi="宋体"/>
          <w:bCs/>
          <w:szCs w:val="18"/>
        </w:rPr>
        <w:t>2</w:t>
      </w:r>
      <w:r>
        <w:rPr>
          <w:rFonts w:ascii="宋体" w:hAnsi="宋体"/>
          <w:bCs/>
          <w:szCs w:val="18"/>
        </w:rPr>
        <w:t>6</w:t>
      </w:r>
      <w:r>
        <w:rPr>
          <w:rFonts w:hint="eastAsia" w:ascii="宋体" w:hAnsi="宋体"/>
          <w:bCs/>
          <w:szCs w:val="18"/>
        </w:rPr>
        <w:t>.1.1 资格审查：由磋商小组依据法律法规和磋商文件的规定，对响应文件中的资格证明文件进行审查，以确定供应商是否具备参加磋商的资格。</w:t>
      </w:r>
    </w:p>
    <w:p>
      <w:pPr>
        <w:spacing w:line="440" w:lineRule="exact"/>
        <w:ind w:firstLine="420"/>
        <w:rPr>
          <w:rFonts w:ascii="宋体" w:hAnsi="宋体"/>
          <w:bCs/>
          <w:szCs w:val="18"/>
        </w:rPr>
      </w:pPr>
      <w:r>
        <w:rPr>
          <w:rFonts w:hint="eastAsia" w:ascii="宋体" w:hAnsi="宋体"/>
          <w:bCs/>
          <w:szCs w:val="18"/>
        </w:rPr>
        <w:t>磋商小组在进行资格审查的同时，将在“信用中国”网站（www.creditchina.gov.cn）查询供应商的信用记录，以确定供应商是否具备磋商资格,查询结果留存并归档。</w:t>
      </w:r>
    </w:p>
    <w:p>
      <w:pPr>
        <w:spacing w:line="440" w:lineRule="exact"/>
        <w:ind w:firstLine="420"/>
        <w:rPr>
          <w:rFonts w:ascii="宋体" w:hAnsi="宋体"/>
          <w:bCs/>
          <w:szCs w:val="18"/>
        </w:rPr>
      </w:pPr>
      <w:r>
        <w:rPr>
          <w:rFonts w:hint="eastAsia" w:ascii="宋体" w:hAnsi="宋体"/>
          <w:bCs/>
          <w:szCs w:val="18"/>
        </w:rPr>
        <w:t>接受联合体的项目，两个以上的自然人、法人或者其他组织组成一个联合体，以一个供应商的身份共同参加政府采购活动的,联合体成员中任何一方存在不良信用记录的，视同联合体存在不良应用记录。</w:t>
      </w:r>
    </w:p>
    <w:p>
      <w:pPr>
        <w:spacing w:line="440" w:lineRule="exact"/>
        <w:ind w:firstLine="420"/>
        <w:rPr>
          <w:rFonts w:ascii="宋体" w:hAnsi="宋体"/>
          <w:bCs/>
          <w:szCs w:val="18"/>
        </w:rPr>
      </w:pPr>
      <w:r>
        <w:rPr>
          <w:rFonts w:hint="eastAsia" w:ascii="宋体" w:hAnsi="宋体"/>
          <w:bCs/>
          <w:szCs w:val="18"/>
        </w:rPr>
        <w:t>2</w:t>
      </w:r>
      <w:r>
        <w:rPr>
          <w:rFonts w:ascii="宋体" w:hAnsi="宋体"/>
          <w:bCs/>
          <w:szCs w:val="18"/>
        </w:rPr>
        <w:t>6</w:t>
      </w:r>
      <w:r>
        <w:rPr>
          <w:rFonts w:hint="eastAsia" w:ascii="宋体" w:hAnsi="宋体"/>
          <w:bCs/>
          <w:szCs w:val="18"/>
        </w:rPr>
        <w:t>.1.2 符合性审查：依据磋商文件的规定，由磋商小组从响应文件的有效性、完整性和对磋商文件的响应程度进行审查，以确定是否对磋商文件的实质性要求作出响应。</w:t>
      </w:r>
    </w:p>
    <w:p>
      <w:pPr>
        <w:spacing w:line="440" w:lineRule="exact"/>
        <w:ind w:firstLine="420"/>
        <w:rPr>
          <w:rFonts w:ascii="宋体" w:hAnsi="宋体"/>
          <w:bCs/>
          <w:szCs w:val="18"/>
        </w:rPr>
      </w:pPr>
      <w:r>
        <w:rPr>
          <w:rFonts w:hint="eastAsia" w:ascii="宋体" w:hAnsi="宋体"/>
          <w:bCs/>
          <w:szCs w:val="18"/>
        </w:rPr>
        <w:t>2</w:t>
      </w:r>
      <w:r>
        <w:rPr>
          <w:rFonts w:ascii="宋体" w:hAnsi="宋体"/>
          <w:bCs/>
          <w:szCs w:val="18"/>
        </w:rPr>
        <w:t>6</w:t>
      </w:r>
      <w:r>
        <w:rPr>
          <w:rFonts w:hint="eastAsia" w:ascii="宋体" w:hAnsi="宋体"/>
          <w:bCs/>
          <w:szCs w:val="18"/>
        </w:rPr>
        <w:t>.1.3 未通过资格审查或符合性审查的供应商，磋商小组将</w:t>
      </w:r>
      <w:r>
        <w:rPr>
          <w:rFonts w:hint="eastAsia" w:ascii="宋体" w:hAnsi="宋体"/>
          <w:bCs/>
          <w:color w:val="000000"/>
          <w:szCs w:val="18"/>
        </w:rPr>
        <w:t>在</w:t>
      </w:r>
      <w:r>
        <w:rPr>
          <w:rFonts w:hint="eastAsia" w:ascii="宋体" w:hAnsi="宋体"/>
          <w:color w:val="000000"/>
          <w:szCs w:val="21"/>
        </w:rPr>
        <w:t>苏采云系统</w:t>
      </w:r>
      <w:r>
        <w:rPr>
          <w:rFonts w:hint="eastAsia" w:ascii="宋体" w:hAnsi="宋体"/>
          <w:bCs/>
          <w:color w:val="000000"/>
          <w:szCs w:val="18"/>
        </w:rPr>
        <w:t>中</w:t>
      </w:r>
      <w:r>
        <w:rPr>
          <w:rFonts w:hint="eastAsia" w:ascii="宋体" w:hAnsi="宋体"/>
          <w:bCs/>
          <w:szCs w:val="18"/>
        </w:rPr>
        <w:t>告知未通过资格审查或符合性审查的原因，评审结束后，磋商小组将不再告知未通过资格审查或符合性审查的原因。</w:t>
      </w:r>
    </w:p>
    <w:p>
      <w:pPr>
        <w:spacing w:line="440" w:lineRule="exact"/>
        <w:ind w:firstLine="420"/>
        <w:rPr>
          <w:rFonts w:ascii="宋体" w:hAnsi="宋体"/>
          <w:szCs w:val="21"/>
        </w:rPr>
      </w:pPr>
      <w:r>
        <w:rPr>
          <w:rFonts w:hint="eastAsia" w:ascii="宋体" w:hAnsi="宋体"/>
          <w:szCs w:val="18"/>
        </w:rPr>
        <w:t>2</w:t>
      </w:r>
      <w:r>
        <w:rPr>
          <w:rFonts w:ascii="宋体" w:hAnsi="宋体"/>
          <w:szCs w:val="18"/>
        </w:rPr>
        <w:t>6</w:t>
      </w:r>
      <w:r>
        <w:rPr>
          <w:rFonts w:hint="eastAsia" w:ascii="宋体" w:hAnsi="宋体"/>
          <w:szCs w:val="18"/>
        </w:rPr>
        <w:t>.2</w:t>
      </w:r>
      <w:r>
        <w:rPr>
          <w:rFonts w:hint="eastAsia" w:ascii="宋体" w:hAnsi="宋体"/>
          <w:szCs w:val="21"/>
        </w:rPr>
        <w:t>在详细评审之前，磋商小组将首先审查每份响应文件是否实质性响应了磋商文件的要求。实质性响应的响应文件应该是与磋商文件要求的条款、条件和规格相符，没有重大偏离或保留。</w:t>
      </w:r>
    </w:p>
    <w:p>
      <w:pPr>
        <w:spacing w:line="440" w:lineRule="exact"/>
        <w:ind w:firstLine="420"/>
        <w:rPr>
          <w:rFonts w:ascii="宋体" w:hAnsi="宋体"/>
          <w:szCs w:val="21"/>
        </w:rPr>
      </w:pPr>
      <w:r>
        <w:rPr>
          <w:rFonts w:hint="eastAsia" w:ascii="宋体" w:hAnsi="宋体"/>
          <w:szCs w:val="21"/>
        </w:rPr>
        <w:t>所谓重大偏离或保留是指与磋商文件规定的实质性要求存在负偏离，或者在实质上与磋商文件不一致，而且限制了合同中买方和采购</w:t>
      </w:r>
      <w:r>
        <w:rPr>
          <w:rFonts w:hint="eastAsia" w:ascii="宋体" w:hAnsi="宋体"/>
          <w:bCs/>
          <w:szCs w:val="18"/>
        </w:rPr>
        <w:t>代理机构</w:t>
      </w:r>
      <w:r>
        <w:rPr>
          <w:rFonts w:hint="eastAsia" w:ascii="宋体" w:hAnsi="宋体"/>
          <w:szCs w:val="21"/>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pPr>
        <w:spacing w:line="440" w:lineRule="exact"/>
        <w:ind w:firstLine="420"/>
        <w:rPr>
          <w:rFonts w:ascii="宋体" w:hAnsi="宋体"/>
          <w:bCs/>
          <w:szCs w:val="18"/>
        </w:rPr>
      </w:pPr>
      <w:r>
        <w:rPr>
          <w:rFonts w:hint="eastAsia" w:ascii="宋体" w:hAnsi="宋体"/>
          <w:bCs/>
          <w:szCs w:val="18"/>
        </w:rPr>
        <w:t>26.3未实质性响应磋商文件的情形</w:t>
      </w:r>
    </w:p>
    <w:p>
      <w:pPr>
        <w:spacing w:line="440" w:lineRule="exact"/>
        <w:ind w:firstLine="420"/>
        <w:rPr>
          <w:rFonts w:ascii="宋体" w:hAnsi="宋体"/>
          <w:bCs/>
          <w:szCs w:val="18"/>
        </w:rPr>
      </w:pPr>
      <w:r>
        <w:rPr>
          <w:rFonts w:hint="eastAsia" w:ascii="宋体" w:hAnsi="宋体"/>
          <w:bCs/>
          <w:szCs w:val="18"/>
        </w:rPr>
        <w:t>26.3.1供应商</w:t>
      </w:r>
      <w:r>
        <w:rPr>
          <w:rFonts w:hint="eastAsia" w:ascii="宋体" w:hAnsi="宋体"/>
          <w:bCs/>
          <w:color w:val="000000"/>
          <w:szCs w:val="18"/>
        </w:rPr>
        <w:t>在</w:t>
      </w:r>
      <w:r>
        <w:rPr>
          <w:rFonts w:hint="eastAsia" w:ascii="宋体" w:hAnsi="宋体"/>
          <w:color w:val="000000"/>
          <w:szCs w:val="21"/>
        </w:rPr>
        <w:t>苏采云系统</w:t>
      </w:r>
      <w:r>
        <w:rPr>
          <w:rFonts w:hint="eastAsia" w:ascii="宋体" w:hAnsi="宋体"/>
          <w:bCs/>
          <w:color w:val="000000"/>
          <w:szCs w:val="18"/>
        </w:rPr>
        <w:t>规定</w:t>
      </w:r>
      <w:r>
        <w:rPr>
          <w:rFonts w:hint="eastAsia" w:ascii="宋体" w:hAnsi="宋体"/>
          <w:bCs/>
          <w:szCs w:val="18"/>
        </w:rPr>
        <w:t>的时间内未成功解密电子响应文件的。</w:t>
      </w:r>
    </w:p>
    <w:p>
      <w:pPr>
        <w:spacing w:line="440" w:lineRule="exact"/>
        <w:ind w:firstLine="420"/>
        <w:rPr>
          <w:rFonts w:ascii="宋体" w:hAnsi="宋体"/>
          <w:bCs/>
          <w:szCs w:val="18"/>
        </w:rPr>
      </w:pPr>
      <w:r>
        <w:rPr>
          <w:rFonts w:hint="eastAsia" w:ascii="宋体" w:hAnsi="宋体"/>
          <w:bCs/>
          <w:szCs w:val="18"/>
        </w:rPr>
        <w:t>26.3.2供应商未按照磋商文件要求上传电子响应文件的。</w:t>
      </w:r>
    </w:p>
    <w:p>
      <w:pPr>
        <w:spacing w:line="440" w:lineRule="exact"/>
        <w:ind w:firstLine="420"/>
        <w:rPr>
          <w:rFonts w:ascii="宋体" w:hAnsi="宋体"/>
          <w:bCs/>
          <w:szCs w:val="18"/>
        </w:rPr>
      </w:pPr>
      <w:r>
        <w:rPr>
          <w:rFonts w:hint="eastAsia" w:ascii="宋体" w:hAnsi="宋体"/>
          <w:bCs/>
          <w:szCs w:val="18"/>
        </w:rPr>
        <w:t>26.3.3同一供应商提交两个（含两个）以上不同的响应文件或者最后报价的。</w:t>
      </w:r>
    </w:p>
    <w:p>
      <w:pPr>
        <w:spacing w:line="440" w:lineRule="exact"/>
        <w:ind w:firstLine="420"/>
        <w:rPr>
          <w:rFonts w:ascii="宋体" w:hAnsi="宋体"/>
          <w:bCs/>
          <w:szCs w:val="18"/>
        </w:rPr>
      </w:pPr>
      <w:r>
        <w:rPr>
          <w:rFonts w:hint="eastAsia" w:ascii="宋体" w:hAnsi="宋体"/>
          <w:bCs/>
          <w:szCs w:val="18"/>
        </w:rPr>
        <w:t>26.3.4供应商不具备磋商文件中规定资格要求的。</w:t>
      </w:r>
    </w:p>
    <w:p>
      <w:pPr>
        <w:spacing w:line="440" w:lineRule="exact"/>
        <w:ind w:firstLine="420"/>
        <w:rPr>
          <w:rFonts w:ascii="宋体" w:hAnsi="宋体"/>
          <w:bCs/>
          <w:szCs w:val="18"/>
        </w:rPr>
      </w:pPr>
      <w:r>
        <w:rPr>
          <w:rFonts w:hint="eastAsia" w:ascii="宋体" w:hAnsi="宋体"/>
          <w:bCs/>
          <w:szCs w:val="18"/>
        </w:rPr>
        <w:t>26.3.5供应商的最后报价超过了采购预算。</w:t>
      </w:r>
    </w:p>
    <w:p>
      <w:pPr>
        <w:spacing w:line="440" w:lineRule="exact"/>
        <w:ind w:firstLine="420"/>
        <w:rPr>
          <w:rFonts w:ascii="宋体" w:hAnsi="宋体"/>
          <w:bCs/>
          <w:szCs w:val="18"/>
        </w:rPr>
      </w:pPr>
      <w:r>
        <w:rPr>
          <w:rFonts w:hint="eastAsia" w:ascii="宋体" w:hAnsi="宋体"/>
          <w:bCs/>
          <w:szCs w:val="18"/>
        </w:rPr>
        <w:t>26.3.6不符合磋商文件中规定的实质性要求和条件的</w:t>
      </w:r>
      <w:r>
        <w:rPr>
          <w:rFonts w:hint="eastAsia" w:ascii="宋体" w:hAnsi="宋体"/>
          <w:bCs/>
          <w:i/>
          <w:szCs w:val="18"/>
          <w:u w:val="single"/>
        </w:rPr>
        <w:t>（本磋商文件中斜体且有下划线部分为实质性要求和条件）。</w:t>
      </w:r>
    </w:p>
    <w:p>
      <w:pPr>
        <w:spacing w:line="440" w:lineRule="exact"/>
        <w:ind w:firstLine="420"/>
        <w:rPr>
          <w:rFonts w:ascii="宋体" w:hAnsi="宋体"/>
          <w:bCs/>
          <w:szCs w:val="18"/>
        </w:rPr>
      </w:pPr>
      <w:r>
        <w:rPr>
          <w:rFonts w:hint="eastAsia" w:ascii="宋体" w:hAnsi="宋体"/>
          <w:bCs/>
          <w:szCs w:val="18"/>
        </w:rPr>
        <w:t>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pPr>
        <w:spacing w:line="440" w:lineRule="exact"/>
        <w:ind w:firstLine="420"/>
        <w:rPr>
          <w:rFonts w:ascii="宋体" w:hAnsi="宋体"/>
          <w:bCs/>
          <w:szCs w:val="18"/>
          <w:highlight w:val="none"/>
        </w:rPr>
      </w:pPr>
      <w:r>
        <w:rPr>
          <w:rFonts w:hint="eastAsia" w:ascii="宋体" w:hAnsi="宋体"/>
          <w:bCs/>
          <w:szCs w:val="18"/>
          <w:highlight w:val="none"/>
        </w:rPr>
        <w:t>26.3.8 响应文件含有采购人不能接受的附加条件的。</w:t>
      </w:r>
    </w:p>
    <w:p>
      <w:pPr>
        <w:spacing w:line="440" w:lineRule="exact"/>
        <w:ind w:firstLine="420"/>
        <w:rPr>
          <w:rFonts w:ascii="宋体" w:hAnsi="宋体"/>
          <w:bCs/>
          <w:szCs w:val="18"/>
        </w:rPr>
      </w:pPr>
      <w:r>
        <w:rPr>
          <w:rFonts w:hint="eastAsia" w:ascii="宋体" w:hAnsi="宋体"/>
          <w:bCs/>
          <w:szCs w:val="18"/>
        </w:rPr>
        <w:t>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pPr>
        <w:spacing w:line="440" w:lineRule="exact"/>
        <w:ind w:firstLine="420"/>
        <w:rPr>
          <w:rFonts w:ascii="宋体" w:hAnsi="宋体"/>
          <w:bCs/>
          <w:szCs w:val="18"/>
          <w:highlight w:val="cyan"/>
        </w:rPr>
      </w:pPr>
      <w:r>
        <w:rPr>
          <w:rFonts w:hint="eastAsia" w:ascii="宋体" w:hAnsi="宋体"/>
          <w:bCs/>
          <w:szCs w:val="18"/>
          <w:highlight w:val="none"/>
        </w:rPr>
        <w:t>26.3.1</w:t>
      </w:r>
      <w:r>
        <w:rPr>
          <w:rFonts w:hint="eastAsia" w:ascii="宋体" w:hAnsi="宋体"/>
          <w:bCs/>
          <w:szCs w:val="18"/>
          <w:highlight w:val="none"/>
          <w:lang w:val="en-US" w:eastAsia="zh-CN"/>
        </w:rPr>
        <w:t>0</w:t>
      </w:r>
      <w:r>
        <w:rPr>
          <w:rFonts w:hint="eastAsia" w:ascii="宋体" w:hAnsi="宋体"/>
          <w:bCs/>
          <w:szCs w:val="18"/>
          <w:highlight w:val="none"/>
        </w:rPr>
        <w:t>响应文件未按照磋商文件要求加盖CA电子公章的。</w:t>
      </w:r>
    </w:p>
    <w:p>
      <w:pPr>
        <w:spacing w:line="440" w:lineRule="exact"/>
        <w:ind w:firstLine="420"/>
        <w:rPr>
          <w:rFonts w:ascii="宋体" w:hAnsi="宋体"/>
          <w:bCs/>
          <w:szCs w:val="18"/>
        </w:rPr>
      </w:pPr>
      <w:r>
        <w:rPr>
          <w:rFonts w:hint="eastAsia" w:ascii="宋体" w:hAnsi="宋体"/>
          <w:bCs/>
          <w:szCs w:val="18"/>
        </w:rPr>
        <w:t>26.3.1</w:t>
      </w:r>
      <w:r>
        <w:rPr>
          <w:rFonts w:hint="eastAsia" w:ascii="宋体" w:hAnsi="宋体"/>
          <w:bCs/>
          <w:szCs w:val="18"/>
          <w:lang w:val="en-US" w:eastAsia="zh-CN"/>
        </w:rPr>
        <w:t>1</w:t>
      </w:r>
      <w:r>
        <w:rPr>
          <w:rFonts w:hint="eastAsia" w:ascii="宋体" w:hAnsi="宋体"/>
          <w:bCs/>
          <w:szCs w:val="18"/>
        </w:rPr>
        <w:t>其他法律、法规及本采购文件规定的属无效响应的情形。</w:t>
      </w:r>
    </w:p>
    <w:p>
      <w:pPr>
        <w:spacing w:line="440" w:lineRule="exact"/>
        <w:ind w:firstLine="420"/>
        <w:rPr>
          <w:rFonts w:ascii="宋体" w:hAnsi="宋体"/>
          <w:bCs/>
          <w:szCs w:val="18"/>
          <w:highlight w:val="none"/>
        </w:rPr>
      </w:pPr>
      <w:r>
        <w:rPr>
          <w:rFonts w:hint="eastAsia" w:ascii="宋体" w:hAnsi="宋体"/>
          <w:bCs/>
          <w:szCs w:val="18"/>
          <w:highlight w:val="none"/>
        </w:rPr>
        <w:t>26.4未实质性响应磋商文件的响应文件按无效响应处理。</w:t>
      </w:r>
    </w:p>
    <w:p>
      <w:pPr>
        <w:spacing w:line="440" w:lineRule="exact"/>
        <w:ind w:firstLine="420"/>
        <w:rPr>
          <w:rFonts w:ascii="宋体" w:hAnsi="宋体"/>
          <w:bCs/>
          <w:szCs w:val="18"/>
          <w:highlight w:val="none"/>
        </w:rPr>
      </w:pPr>
      <w:r>
        <w:rPr>
          <w:rFonts w:hint="eastAsia" w:ascii="宋体" w:hAnsi="宋体"/>
          <w:szCs w:val="18"/>
          <w:highlight w:val="none"/>
        </w:rPr>
        <w:t>2</w:t>
      </w:r>
      <w:r>
        <w:rPr>
          <w:rFonts w:ascii="宋体" w:hAnsi="宋体"/>
          <w:szCs w:val="18"/>
          <w:highlight w:val="none"/>
        </w:rPr>
        <w:t>6</w:t>
      </w:r>
      <w:r>
        <w:rPr>
          <w:rFonts w:hint="eastAsia" w:ascii="宋体" w:hAnsi="宋体"/>
          <w:szCs w:val="18"/>
          <w:highlight w:val="none"/>
        </w:rPr>
        <w:t>.5</w:t>
      </w:r>
      <w:r>
        <w:rPr>
          <w:rFonts w:hint="eastAsia" w:ascii="宋体" w:hAnsi="宋体"/>
          <w:bCs/>
          <w:szCs w:val="18"/>
          <w:highlight w:val="none"/>
        </w:rPr>
        <w:t>如果响应文件实质上没有响应磋商文件的要求，磋商小组将予以拒绝，供应商不得通过修改或撤销不合要求的偏离或保留而使其成为实质性响应的文件。</w:t>
      </w:r>
    </w:p>
    <w:p>
      <w:pPr>
        <w:spacing w:line="440" w:lineRule="exact"/>
        <w:ind w:firstLine="422" w:firstLineChars="200"/>
        <w:rPr>
          <w:rFonts w:hint="eastAsia" w:ascii="宋体" w:hAnsi="宋体"/>
          <w:b/>
          <w:bCs w:val="0"/>
          <w:szCs w:val="18"/>
          <w:lang w:val="en-US" w:eastAsia="zh-CN"/>
        </w:rPr>
      </w:pPr>
      <w:bookmarkStart w:id="147" w:name="_Toc20823306"/>
      <w:bookmarkStart w:id="148" w:name="_Toc513029234"/>
      <w:bookmarkStart w:id="149" w:name="_Toc16938550"/>
      <w:r>
        <w:rPr>
          <w:rFonts w:hint="eastAsia" w:ascii="宋体" w:hAnsi="宋体"/>
          <w:b/>
          <w:bCs w:val="0"/>
          <w:szCs w:val="18"/>
          <w:lang w:val="en-US" w:eastAsia="zh-CN"/>
        </w:rPr>
        <w:t>25.6异常低价投标（响应）</w:t>
      </w:r>
    </w:p>
    <w:p>
      <w:pPr>
        <w:spacing w:line="440" w:lineRule="exact"/>
        <w:ind w:firstLine="420"/>
        <w:rPr>
          <w:rFonts w:hint="eastAsia" w:ascii="宋体" w:hAnsi="宋体" w:eastAsia="宋体" w:cs="Times New Roman"/>
          <w:b/>
          <w:bCs w:val="0"/>
          <w:szCs w:val="18"/>
          <w:lang w:val="en-US" w:eastAsia="zh-CN"/>
        </w:rPr>
      </w:pPr>
      <w:r>
        <w:rPr>
          <w:rFonts w:hint="default" w:ascii="宋体" w:hAnsi="宋体" w:eastAsia="宋体" w:cs="Times New Roman"/>
          <w:b/>
          <w:bCs w:val="0"/>
          <w:szCs w:val="18"/>
          <w:lang w:val="en-US" w:eastAsia="zh-CN"/>
        </w:rPr>
        <w:t>说明：</w:t>
      </w:r>
      <w:r>
        <w:rPr>
          <w:rFonts w:hint="eastAsia" w:ascii="宋体" w:hAnsi="宋体" w:eastAsia="宋体" w:cs="Times New Roman"/>
          <w:b/>
          <w:bCs w:val="0"/>
          <w:szCs w:val="18"/>
          <w:lang w:val="en-US" w:eastAsia="zh-CN"/>
        </w:rPr>
        <w:t>评审过程中出现下列情形之一的，评审委员会</w:t>
      </w:r>
      <w:r>
        <w:rPr>
          <w:rFonts w:hint="default" w:ascii="宋体" w:hAnsi="宋体" w:eastAsia="宋体" w:cs="Times New Roman"/>
          <w:b/>
          <w:bCs w:val="0"/>
          <w:szCs w:val="18"/>
          <w:lang w:val="en-US" w:eastAsia="zh-CN"/>
        </w:rPr>
        <w:t>应当</w:t>
      </w:r>
      <w:r>
        <w:rPr>
          <w:rFonts w:hint="eastAsia" w:ascii="宋体" w:hAnsi="宋体" w:eastAsia="宋体" w:cs="Times New Roman"/>
          <w:b/>
          <w:bCs w:val="0"/>
          <w:szCs w:val="18"/>
          <w:lang w:val="en-US" w:eastAsia="zh-CN"/>
        </w:rPr>
        <w:t>启动异常低价投标（响应）审查程序：</w:t>
      </w:r>
    </w:p>
    <w:p>
      <w:pPr>
        <w:spacing w:line="440" w:lineRule="exact"/>
        <w:ind w:firstLine="420"/>
        <w:rPr>
          <w:rFonts w:hint="eastAsia" w:ascii="宋体" w:hAnsi="宋体"/>
          <w:b/>
          <w:bCs w:val="0"/>
          <w:szCs w:val="18"/>
          <w:lang w:val="en-US" w:eastAsia="zh-CN"/>
        </w:rPr>
      </w:pPr>
      <w:r>
        <w:rPr>
          <w:rFonts w:hint="eastAsia" w:ascii="宋体" w:hAnsi="宋体"/>
          <w:b/>
          <w:bCs w:val="0"/>
          <w:szCs w:val="18"/>
          <w:lang w:val="en-US" w:eastAsia="zh-CN"/>
        </w:rPr>
        <w:t xml:space="preserve">1.投标（响应）报价低于全部通过符合性审查供应商投标（响应）报价平均值50%的，即投标（响应）报价&lt;全部通过符合性审查供应商投标（响应）报价平均值×50%； </w:t>
      </w:r>
    </w:p>
    <w:p>
      <w:pPr>
        <w:spacing w:line="440" w:lineRule="exact"/>
        <w:ind w:firstLine="420"/>
        <w:rPr>
          <w:rFonts w:hint="eastAsia" w:ascii="宋体" w:hAnsi="宋体"/>
          <w:b/>
          <w:bCs w:val="0"/>
          <w:szCs w:val="18"/>
          <w:lang w:val="en-US" w:eastAsia="zh-CN"/>
        </w:rPr>
      </w:pPr>
      <w:r>
        <w:rPr>
          <w:rFonts w:hint="eastAsia" w:ascii="宋体" w:hAnsi="宋体"/>
          <w:b/>
          <w:bCs w:val="0"/>
          <w:szCs w:val="18"/>
          <w:lang w:val="en-US" w:eastAsia="zh-CN"/>
        </w:rPr>
        <w:t xml:space="preserve">2.投标（响应）报价低于通过符合性审查的次低报价供应商投标（响应）报价50%的，即投标（响应）报价&lt;通过符合性审查的次低报价供应商投标（响应）报价×50%； </w:t>
      </w:r>
    </w:p>
    <w:p>
      <w:pPr>
        <w:spacing w:line="440" w:lineRule="exact"/>
        <w:ind w:firstLine="420"/>
        <w:rPr>
          <w:rFonts w:hint="eastAsia" w:ascii="宋体" w:hAnsi="宋体"/>
          <w:b/>
          <w:bCs w:val="0"/>
          <w:szCs w:val="18"/>
          <w:lang w:val="en-US" w:eastAsia="zh-CN"/>
        </w:rPr>
      </w:pPr>
      <w:r>
        <w:rPr>
          <w:rFonts w:hint="eastAsia" w:ascii="宋体" w:hAnsi="宋体"/>
          <w:b/>
          <w:bCs w:val="0"/>
          <w:szCs w:val="18"/>
          <w:lang w:val="en-US" w:eastAsia="zh-CN"/>
        </w:rPr>
        <w:t xml:space="preserve">3.投标（响应）报价低于采购项目最高限价45%的，即投标（响应）报价&lt;采购项目最高限价×45%； </w:t>
      </w:r>
    </w:p>
    <w:p>
      <w:pPr>
        <w:spacing w:line="440" w:lineRule="exact"/>
        <w:ind w:firstLine="420"/>
        <w:rPr>
          <w:rFonts w:hint="eastAsia" w:ascii="宋体" w:hAnsi="宋体"/>
          <w:b/>
          <w:bCs w:val="0"/>
          <w:szCs w:val="18"/>
          <w:lang w:val="en-US" w:eastAsia="zh-CN"/>
        </w:rPr>
      </w:pPr>
      <w:r>
        <w:rPr>
          <w:rFonts w:hint="eastAsia" w:ascii="宋体" w:hAnsi="宋体"/>
          <w:b/>
          <w:bCs w:val="0"/>
          <w:szCs w:val="18"/>
          <w:lang w:val="en-US" w:eastAsia="zh-CN"/>
        </w:rPr>
        <w:t xml:space="preserve">4.评审委员会基于专业判断，认为供应商报价过低，有可能影响产品质量或者不能诚信履约的其他情形。 </w:t>
      </w:r>
    </w:p>
    <w:p>
      <w:pPr>
        <w:spacing w:line="440" w:lineRule="exact"/>
        <w:ind w:firstLine="420"/>
        <w:rPr>
          <w:rFonts w:hint="eastAsia" w:ascii="宋体" w:hAnsi="宋体"/>
          <w:b/>
          <w:bCs w:val="0"/>
          <w:szCs w:val="18"/>
          <w:lang w:val="en-US" w:eastAsia="zh-CN"/>
        </w:rPr>
      </w:pPr>
      <w:r>
        <w:rPr>
          <w:rFonts w:hint="eastAsia" w:ascii="宋体" w:hAnsi="宋体"/>
          <w:b/>
          <w:bCs w:val="0"/>
          <w:szCs w:val="18"/>
          <w:lang w:val="en-US" w:eastAsia="zh-CN"/>
        </w:rPr>
        <w:t xml:space="preserve">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pPr>
        <w:spacing w:line="440" w:lineRule="exact"/>
        <w:ind w:firstLine="420"/>
        <w:rPr>
          <w:rFonts w:hint="eastAsia" w:ascii="宋体" w:hAnsi="宋体"/>
          <w:b/>
          <w:bCs w:val="0"/>
          <w:szCs w:val="18"/>
          <w:lang w:val="en-US" w:eastAsia="zh-CN"/>
        </w:rPr>
      </w:pPr>
      <w:r>
        <w:rPr>
          <w:rFonts w:hint="eastAsia" w:ascii="宋体" w:hAnsi="宋体"/>
          <w:b/>
          <w:bCs w:val="0"/>
          <w:szCs w:val="18"/>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spacing w:line="440" w:lineRule="exact"/>
        <w:ind w:firstLine="420"/>
        <w:rPr>
          <w:rFonts w:hint="default" w:ascii="宋体" w:hAnsi="宋体" w:eastAsia="宋体"/>
          <w:b/>
          <w:bCs w:val="0"/>
          <w:szCs w:val="18"/>
          <w:highlight w:val="none"/>
          <w:lang w:val="en-US" w:eastAsia="zh-CN"/>
        </w:rPr>
      </w:pPr>
      <w:r>
        <w:rPr>
          <w:rFonts w:hint="eastAsia" w:ascii="宋体" w:hAnsi="宋体"/>
          <w:b/>
          <w:bCs w:val="0"/>
          <w:szCs w:val="18"/>
          <w:lang w:val="en-US" w:eastAsia="zh-CN"/>
        </w:rPr>
        <w:t>异常低价投标（响应）审查的启动原因、审查意见和审查结果应当在评审报告中记录，并随供应商提供的相关书面说明及证明材料，以及评审委员会有关互联网浏览、查询历史一并归档。</w:t>
      </w:r>
    </w:p>
    <w:p>
      <w:pPr>
        <w:spacing w:line="440" w:lineRule="exact"/>
        <w:ind w:firstLine="420"/>
        <w:rPr>
          <w:rFonts w:ascii="宋体" w:hAnsi="宋体"/>
          <w:szCs w:val="18"/>
          <w:highlight w:val="none"/>
        </w:rPr>
      </w:pPr>
      <w:r>
        <w:rPr>
          <w:rFonts w:hint="eastAsia" w:ascii="宋体" w:hAnsi="宋体"/>
          <w:szCs w:val="18"/>
          <w:highlight w:val="none"/>
        </w:rPr>
        <w:t>2</w:t>
      </w:r>
      <w:r>
        <w:rPr>
          <w:rFonts w:ascii="宋体" w:hAnsi="宋体"/>
          <w:szCs w:val="18"/>
          <w:highlight w:val="none"/>
        </w:rPr>
        <w:t>6</w:t>
      </w:r>
      <w:r>
        <w:rPr>
          <w:rFonts w:hint="eastAsia" w:ascii="宋体" w:hAnsi="宋体"/>
          <w:szCs w:val="18"/>
          <w:highlight w:val="none"/>
        </w:rPr>
        <w:t>.6供应商在项目评审全过程中应保持通讯畅通，并安排专人与采购</w:t>
      </w:r>
      <w:r>
        <w:rPr>
          <w:rFonts w:hint="eastAsia" w:ascii="宋体" w:hAnsi="宋体"/>
          <w:bCs/>
          <w:szCs w:val="18"/>
          <w:highlight w:val="none"/>
        </w:rPr>
        <w:t>代理机构</w:t>
      </w:r>
      <w:r>
        <w:rPr>
          <w:rFonts w:hint="eastAsia" w:ascii="宋体" w:hAnsi="宋体"/>
          <w:szCs w:val="18"/>
          <w:highlight w:val="none"/>
        </w:rPr>
        <w:t>及磋商小组联系。</w:t>
      </w:r>
    </w:p>
    <w:p>
      <w:pPr>
        <w:keepNext/>
        <w:keepLines/>
        <w:spacing w:line="440" w:lineRule="exact"/>
        <w:ind w:firstLine="330"/>
        <w:outlineLvl w:val="3"/>
        <w:rPr>
          <w:rFonts w:ascii="黑体" w:hAnsi="黑体" w:eastAsia="黑体" w:cs="黑体"/>
          <w:sz w:val="22"/>
        </w:rPr>
      </w:pPr>
      <w:r>
        <w:rPr>
          <w:rFonts w:hint="eastAsia" w:ascii="黑体" w:hAnsi="黑体" w:eastAsia="黑体" w:cs="黑体"/>
          <w:sz w:val="22"/>
        </w:rPr>
        <w:t>27、</w:t>
      </w:r>
      <w:bookmarkEnd w:id="147"/>
      <w:bookmarkEnd w:id="148"/>
      <w:bookmarkEnd w:id="149"/>
      <w:r>
        <w:rPr>
          <w:rFonts w:hint="eastAsia" w:ascii="黑体" w:hAnsi="黑体" w:eastAsia="黑体" w:cs="黑体"/>
          <w:sz w:val="22"/>
        </w:rPr>
        <w:t>磋商程序及评审方法和评审标准</w:t>
      </w:r>
    </w:p>
    <w:p>
      <w:pPr>
        <w:tabs>
          <w:tab w:val="left" w:pos="900"/>
        </w:tabs>
        <w:spacing w:line="440" w:lineRule="exact"/>
        <w:ind w:firstLine="418"/>
        <w:rPr>
          <w:rFonts w:ascii="宋体" w:hAnsi="宋体"/>
          <w:szCs w:val="21"/>
        </w:rPr>
      </w:pPr>
      <w:r>
        <w:rPr>
          <w:rFonts w:hint="eastAsia" w:ascii="宋体" w:hAnsi="宋体"/>
          <w:szCs w:val="21"/>
        </w:rPr>
        <w:t>27.1磋商程序</w:t>
      </w:r>
    </w:p>
    <w:p>
      <w:pPr>
        <w:tabs>
          <w:tab w:val="left" w:pos="900"/>
        </w:tabs>
        <w:spacing w:line="440" w:lineRule="exact"/>
        <w:ind w:firstLine="418"/>
        <w:rPr>
          <w:rFonts w:ascii="宋体" w:hAnsi="宋体"/>
          <w:color w:val="000000"/>
          <w:szCs w:val="21"/>
        </w:rPr>
      </w:pPr>
      <w:r>
        <w:rPr>
          <w:rFonts w:hint="eastAsia" w:ascii="宋体" w:hAnsi="宋体"/>
          <w:szCs w:val="21"/>
        </w:rPr>
        <w:t>27.1.1对于通过资格审查和符合性审查的供应商，磋商小组将集中与单一供应商分别进行磋商。磋商小组通过</w:t>
      </w:r>
      <w:r>
        <w:rPr>
          <w:rFonts w:hint="eastAsia" w:ascii="宋体" w:hAnsi="宋体"/>
          <w:color w:val="000000"/>
          <w:szCs w:val="21"/>
        </w:rPr>
        <w:t>苏采云系统向供应商发布“磋商函”，供应商应当按照要求在苏采云系统提交“磋商响应函”并加盖CA电子公章。</w:t>
      </w:r>
    </w:p>
    <w:p>
      <w:pPr>
        <w:tabs>
          <w:tab w:val="left" w:pos="900"/>
        </w:tabs>
        <w:spacing w:line="440" w:lineRule="exact"/>
        <w:ind w:firstLine="418"/>
        <w:rPr>
          <w:rFonts w:ascii="宋体" w:hAnsi="宋体"/>
          <w:color w:val="000000"/>
          <w:szCs w:val="21"/>
        </w:rPr>
      </w:pPr>
      <w:r>
        <w:rPr>
          <w:rFonts w:hint="eastAsia" w:ascii="宋体" w:hAnsi="宋体"/>
          <w:color w:val="000000"/>
          <w:szCs w:val="21"/>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pPr>
        <w:tabs>
          <w:tab w:val="left" w:pos="900"/>
        </w:tabs>
        <w:spacing w:line="440" w:lineRule="exact"/>
        <w:ind w:firstLine="418"/>
        <w:rPr>
          <w:rFonts w:ascii="宋体" w:hAnsi="宋体"/>
          <w:color w:val="000000"/>
          <w:szCs w:val="21"/>
        </w:rPr>
      </w:pPr>
      <w:r>
        <w:rPr>
          <w:rFonts w:hint="eastAsia" w:ascii="宋体" w:hAnsi="宋体"/>
          <w:color w:val="000000"/>
          <w:szCs w:val="21"/>
        </w:rPr>
        <w:t>27.1.2</w:t>
      </w:r>
      <w:r>
        <w:rPr>
          <w:rFonts w:ascii="宋体" w:hAnsi="宋体"/>
          <w:color w:val="000000"/>
          <w:szCs w:val="21"/>
        </w:rPr>
        <w:t>磋商文件能够详细列明采购标的的技术、服务要求的，磋商结束后，磋商小组</w:t>
      </w:r>
      <w:r>
        <w:rPr>
          <w:rFonts w:hint="eastAsia" w:ascii="宋体" w:hAnsi="宋体"/>
          <w:color w:val="000000"/>
          <w:szCs w:val="21"/>
        </w:rPr>
        <w:t>将在苏采云系统向所有</w:t>
      </w:r>
      <w:r>
        <w:rPr>
          <w:rFonts w:ascii="宋体" w:hAnsi="宋体"/>
          <w:color w:val="000000"/>
          <w:szCs w:val="21"/>
        </w:rPr>
        <w:t>实质性响应的供应商</w:t>
      </w:r>
      <w:r>
        <w:rPr>
          <w:rFonts w:hint="eastAsia" w:ascii="宋体" w:hAnsi="宋体"/>
          <w:color w:val="000000"/>
          <w:szCs w:val="21"/>
        </w:rPr>
        <w:t>发布“最后报价要求函”及最后报价格式表，</w:t>
      </w:r>
      <w:r>
        <w:rPr>
          <w:rFonts w:ascii="宋体" w:hAnsi="宋体"/>
          <w:color w:val="000000"/>
          <w:szCs w:val="21"/>
        </w:rPr>
        <w:t>要求所有实质性响应的供应商在规定时间内提交最后报价。</w:t>
      </w:r>
    </w:p>
    <w:p>
      <w:pPr>
        <w:tabs>
          <w:tab w:val="left" w:pos="900"/>
        </w:tabs>
        <w:spacing w:line="440" w:lineRule="exact"/>
        <w:ind w:firstLine="418"/>
        <w:rPr>
          <w:rFonts w:ascii="宋体" w:hAnsi="宋体"/>
          <w:szCs w:val="21"/>
        </w:rPr>
      </w:pPr>
      <w:r>
        <w:rPr>
          <w:rFonts w:hint="eastAsia" w:ascii="宋体" w:hAnsi="宋体"/>
          <w:color w:val="000000"/>
          <w:szCs w:val="21"/>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w:t>
      </w:r>
      <w:r>
        <w:rPr>
          <w:rFonts w:hint="eastAsia" w:ascii="宋体" w:hAnsi="宋体"/>
          <w:szCs w:val="21"/>
        </w:rPr>
        <w:t>其发布“最后报价要求函”及最后报价格式表，要求其在规定时间内提交最后报价。</w:t>
      </w:r>
    </w:p>
    <w:p>
      <w:pPr>
        <w:tabs>
          <w:tab w:val="left" w:pos="900"/>
        </w:tabs>
        <w:spacing w:line="440" w:lineRule="exact"/>
        <w:ind w:firstLine="420"/>
        <w:rPr>
          <w:rFonts w:ascii="宋体" w:hAnsi="宋体"/>
          <w:szCs w:val="21"/>
        </w:rPr>
      </w:pPr>
      <w:r>
        <w:rPr>
          <w:rFonts w:hint="eastAsia" w:ascii="宋体" w:hAnsi="宋体"/>
          <w:szCs w:val="21"/>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pPr>
        <w:tabs>
          <w:tab w:val="left" w:pos="900"/>
        </w:tabs>
        <w:spacing w:line="440" w:lineRule="exact"/>
        <w:ind w:firstLine="418"/>
        <w:rPr>
          <w:rFonts w:ascii="宋体" w:hAnsi="宋体"/>
          <w:szCs w:val="21"/>
        </w:rPr>
      </w:pPr>
      <w:r>
        <w:rPr>
          <w:rFonts w:hint="eastAsia" w:ascii="宋体" w:hAnsi="宋体"/>
          <w:szCs w:val="21"/>
        </w:rPr>
        <w:t>27.1.3供应商未在磋商小组规定的时间内在</w:t>
      </w:r>
      <w:r>
        <w:rPr>
          <w:rFonts w:hint="eastAsia" w:ascii="宋体" w:hAnsi="宋体"/>
          <w:color w:val="000000"/>
          <w:szCs w:val="21"/>
        </w:rPr>
        <w:t>苏采云系统中提交最后报价的视为放弃磋商，其响应文件按无效响应处理，最后报价格式表须加盖CA电子公章,否则视为未提交最后报价。</w:t>
      </w:r>
      <w:r>
        <w:rPr>
          <w:rFonts w:ascii="宋体" w:hAnsi="宋体"/>
          <w:color w:val="000000"/>
          <w:szCs w:val="21"/>
        </w:rPr>
        <w:t>已提交响应文件的供应商，在提交最后报价之前，可以根据磋商情况退出磋商</w:t>
      </w:r>
      <w:r>
        <w:rPr>
          <w:rFonts w:hint="eastAsia" w:ascii="宋体" w:hAnsi="宋体"/>
          <w:color w:val="000000"/>
          <w:szCs w:val="21"/>
        </w:rPr>
        <w:t>，并在苏采云系统中提交“退出磋商函”并加盖CA电</w:t>
      </w:r>
      <w:r>
        <w:rPr>
          <w:rFonts w:hint="eastAsia" w:ascii="宋体" w:hAnsi="宋体"/>
          <w:szCs w:val="21"/>
        </w:rPr>
        <w:t>子公章</w:t>
      </w:r>
      <w:r>
        <w:rPr>
          <w:rFonts w:ascii="宋体" w:hAnsi="宋体"/>
          <w:szCs w:val="21"/>
        </w:rPr>
        <w:t>。</w:t>
      </w:r>
    </w:p>
    <w:p>
      <w:pPr>
        <w:tabs>
          <w:tab w:val="left" w:pos="900"/>
        </w:tabs>
        <w:spacing w:line="440" w:lineRule="exact"/>
        <w:ind w:firstLine="418"/>
        <w:rPr>
          <w:rFonts w:ascii="宋体" w:hAnsi="宋体"/>
          <w:szCs w:val="21"/>
        </w:rPr>
      </w:pPr>
      <w:r>
        <w:rPr>
          <w:rFonts w:hint="eastAsia" w:ascii="宋体" w:hAnsi="宋体"/>
          <w:szCs w:val="21"/>
        </w:rPr>
        <w:t>27.2 评审方法和评审标准</w:t>
      </w:r>
    </w:p>
    <w:p>
      <w:pPr>
        <w:tabs>
          <w:tab w:val="left" w:pos="900"/>
        </w:tabs>
        <w:spacing w:line="440" w:lineRule="exact"/>
        <w:ind w:firstLine="418"/>
        <w:rPr>
          <w:rFonts w:ascii="宋体" w:hAnsi="宋体"/>
          <w:szCs w:val="21"/>
        </w:rPr>
      </w:pPr>
      <w:r>
        <w:rPr>
          <w:rFonts w:hint="eastAsia" w:ascii="宋体" w:hAnsi="宋体"/>
          <w:szCs w:val="21"/>
        </w:rPr>
        <w:t>27.2.1评审方法。经磋商确定最终采购需求和提交最后报价的供应商后，由磋商小组采用综合评分法对提交最后报价的供应商的响应文件和最后报价进行综合评分。</w:t>
      </w:r>
    </w:p>
    <w:p>
      <w:pPr>
        <w:tabs>
          <w:tab w:val="left" w:pos="900"/>
        </w:tabs>
        <w:spacing w:line="440" w:lineRule="exact"/>
        <w:ind w:firstLine="418"/>
        <w:rPr>
          <w:rFonts w:ascii="宋体" w:hAnsi="宋体"/>
          <w:szCs w:val="21"/>
        </w:rPr>
      </w:pPr>
      <w:r>
        <w:rPr>
          <w:rFonts w:hint="eastAsia" w:ascii="宋体" w:hAnsi="宋体"/>
          <w:szCs w:val="21"/>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pPr>
        <w:tabs>
          <w:tab w:val="left" w:pos="900"/>
        </w:tabs>
        <w:spacing w:line="440" w:lineRule="exact"/>
        <w:ind w:firstLine="418"/>
        <w:rPr>
          <w:rFonts w:ascii="宋体" w:hAnsi="宋体"/>
          <w:szCs w:val="21"/>
        </w:rPr>
      </w:pPr>
      <w:r>
        <w:rPr>
          <w:rFonts w:hint="eastAsia" w:ascii="宋体" w:hAnsi="宋体"/>
          <w:szCs w:val="21"/>
        </w:rPr>
        <w:t>27.2.2评审标准</w:t>
      </w:r>
    </w:p>
    <w:p>
      <w:pPr>
        <w:tabs>
          <w:tab w:val="left" w:pos="900"/>
        </w:tabs>
        <w:spacing w:line="440" w:lineRule="exact"/>
        <w:ind w:firstLine="418"/>
        <w:rPr>
          <w:rFonts w:ascii="宋体" w:hAnsi="宋体"/>
          <w:szCs w:val="21"/>
        </w:rPr>
      </w:pPr>
      <w:r>
        <w:rPr>
          <w:rFonts w:hint="eastAsia" w:ascii="宋体" w:hAnsi="宋体"/>
          <w:szCs w:val="21"/>
        </w:rPr>
        <w:t>见本磋商文件第五章规定。</w:t>
      </w:r>
    </w:p>
    <w:p>
      <w:pPr>
        <w:tabs>
          <w:tab w:val="left" w:pos="900"/>
        </w:tabs>
        <w:spacing w:line="440" w:lineRule="exact"/>
        <w:ind w:firstLine="418"/>
        <w:rPr>
          <w:rFonts w:ascii="宋体" w:hAnsi="宋体"/>
          <w:szCs w:val="21"/>
        </w:rPr>
      </w:pPr>
      <w:r>
        <w:rPr>
          <w:rFonts w:hint="eastAsia" w:ascii="宋体" w:hAnsi="宋体"/>
          <w:szCs w:val="21"/>
        </w:rPr>
        <w:t>27.3采购活动终止的情况</w:t>
      </w:r>
    </w:p>
    <w:p>
      <w:pPr>
        <w:tabs>
          <w:tab w:val="left" w:pos="900"/>
        </w:tabs>
        <w:spacing w:line="440" w:lineRule="exact"/>
        <w:ind w:firstLine="315"/>
        <w:rPr>
          <w:rFonts w:ascii="宋体" w:hAnsi="宋体"/>
          <w:szCs w:val="21"/>
        </w:rPr>
      </w:pPr>
      <w:r>
        <w:rPr>
          <w:rFonts w:hint="eastAsia" w:ascii="宋体" w:hAnsi="宋体"/>
          <w:szCs w:val="21"/>
        </w:rPr>
        <w:t>出现下列情形之一的，本次竞争性磋商采购活动将被终止：</w:t>
      </w:r>
    </w:p>
    <w:p>
      <w:pPr>
        <w:tabs>
          <w:tab w:val="left" w:pos="900"/>
        </w:tabs>
        <w:spacing w:line="440" w:lineRule="exact"/>
        <w:ind w:firstLine="315"/>
        <w:rPr>
          <w:rFonts w:ascii="宋体" w:hAnsi="宋体"/>
          <w:szCs w:val="21"/>
        </w:rPr>
      </w:pPr>
      <w:r>
        <w:rPr>
          <w:rFonts w:hint="eastAsia" w:ascii="宋体" w:hAnsi="宋体"/>
          <w:szCs w:val="21"/>
        </w:rPr>
        <w:t>27.3.1因情况变化，不再符合规定的竞争性磋商采购方式适用情形的。</w:t>
      </w:r>
    </w:p>
    <w:p>
      <w:pPr>
        <w:tabs>
          <w:tab w:val="left" w:pos="900"/>
        </w:tabs>
        <w:spacing w:line="440" w:lineRule="exact"/>
        <w:ind w:firstLine="315"/>
        <w:rPr>
          <w:rFonts w:ascii="宋体" w:hAnsi="宋体"/>
          <w:szCs w:val="21"/>
        </w:rPr>
      </w:pPr>
      <w:r>
        <w:rPr>
          <w:rFonts w:hint="eastAsia" w:ascii="宋体" w:hAnsi="宋体"/>
          <w:szCs w:val="21"/>
        </w:rPr>
        <w:t>27.3.2出现影响采购公正的违法、违规行为的。</w:t>
      </w:r>
    </w:p>
    <w:p>
      <w:pPr>
        <w:tabs>
          <w:tab w:val="left" w:pos="900"/>
        </w:tabs>
        <w:spacing w:line="440" w:lineRule="exact"/>
        <w:ind w:firstLine="315"/>
        <w:rPr>
          <w:rFonts w:ascii="宋体" w:hAnsi="宋体"/>
          <w:szCs w:val="21"/>
        </w:rPr>
      </w:pPr>
      <w:r>
        <w:rPr>
          <w:rFonts w:hint="eastAsia" w:ascii="宋体" w:hAnsi="宋体"/>
          <w:szCs w:val="21"/>
        </w:rPr>
        <w:t>27.3.3除本磋商文件第二章第27.1.2条第三款规定的情形外，在采购过程中符合要求的供应商或者最后报价未超过采购预算的供应商不足3家的。</w:t>
      </w:r>
    </w:p>
    <w:p>
      <w:pPr>
        <w:tabs>
          <w:tab w:val="left" w:pos="900"/>
        </w:tabs>
        <w:spacing w:line="440" w:lineRule="exact"/>
        <w:ind w:firstLine="315"/>
        <w:rPr>
          <w:rFonts w:ascii="宋体" w:hAnsi="宋体" w:cs="宋体"/>
          <w:szCs w:val="21"/>
        </w:rPr>
      </w:pPr>
      <w:r>
        <w:rPr>
          <w:rFonts w:hint="eastAsia" w:ascii="宋体" w:hAnsi="宋体" w:cs="宋体"/>
          <w:szCs w:val="21"/>
        </w:rPr>
        <w:t>27.3.4在</w:t>
      </w:r>
      <w:r>
        <w:rPr>
          <w:rFonts w:hint="eastAsia" w:ascii="宋体" w:hAnsi="宋体"/>
          <w:color w:val="000000"/>
          <w:szCs w:val="21"/>
        </w:rPr>
        <w:t>苏采云系统</w:t>
      </w:r>
      <w:r>
        <w:rPr>
          <w:rFonts w:hint="eastAsia" w:ascii="宋体" w:hAnsi="宋体" w:cs="宋体"/>
          <w:color w:val="000000"/>
          <w:szCs w:val="21"/>
        </w:rPr>
        <w:t>规定</w:t>
      </w:r>
      <w:r>
        <w:rPr>
          <w:rFonts w:hint="eastAsia" w:ascii="宋体" w:hAnsi="宋体" w:cs="宋体"/>
          <w:szCs w:val="21"/>
        </w:rPr>
        <w:t>时间内成功解密电子响应文件的供应商不足3家的。</w:t>
      </w:r>
    </w:p>
    <w:p>
      <w:pPr>
        <w:keepNext/>
        <w:keepLines/>
        <w:spacing w:before="145" w:after="145" w:line="440" w:lineRule="exact"/>
        <w:ind w:firstLine="361"/>
        <w:outlineLvl w:val="2"/>
        <w:rPr>
          <w:rFonts w:ascii="Times New Roman" w:hAnsi="Times New Roman"/>
          <w:b/>
          <w:bCs/>
          <w:sz w:val="24"/>
          <w:szCs w:val="24"/>
        </w:rPr>
      </w:pPr>
      <w:bookmarkStart w:id="150" w:name="_Toc513029235"/>
      <w:bookmarkStart w:id="151" w:name="_Toc120614219"/>
      <w:bookmarkStart w:id="152" w:name="_Toc20823307"/>
      <w:bookmarkStart w:id="153" w:name="_Toc16938551"/>
      <w:r>
        <w:rPr>
          <w:rFonts w:hint="eastAsia" w:ascii="Times New Roman" w:hAnsi="Times New Roman"/>
          <w:b/>
          <w:bCs/>
          <w:sz w:val="24"/>
          <w:szCs w:val="24"/>
        </w:rPr>
        <w:t>六、</w:t>
      </w:r>
      <w:bookmarkEnd w:id="150"/>
      <w:bookmarkEnd w:id="151"/>
      <w:bookmarkEnd w:id="152"/>
      <w:bookmarkEnd w:id="153"/>
      <w:r>
        <w:rPr>
          <w:rFonts w:hint="eastAsia" w:ascii="Times New Roman" w:hAnsi="Times New Roman"/>
          <w:b/>
          <w:bCs/>
          <w:sz w:val="24"/>
          <w:szCs w:val="24"/>
        </w:rPr>
        <w:t>成交</w:t>
      </w:r>
    </w:p>
    <w:p>
      <w:pPr>
        <w:keepNext/>
        <w:keepLines/>
        <w:spacing w:line="440" w:lineRule="exact"/>
        <w:ind w:firstLine="330"/>
        <w:outlineLvl w:val="3"/>
        <w:rPr>
          <w:rFonts w:ascii="黑体" w:hAnsi="黑体" w:eastAsia="黑体" w:cs="黑体"/>
          <w:sz w:val="22"/>
        </w:rPr>
      </w:pPr>
      <w:bookmarkStart w:id="154" w:name="_Toc513029238"/>
      <w:bookmarkStart w:id="155" w:name="_Toc16938554"/>
      <w:bookmarkStart w:id="156" w:name="_Toc20823310"/>
      <w:r>
        <w:rPr>
          <w:rFonts w:hint="eastAsia" w:ascii="黑体" w:hAnsi="黑体" w:eastAsia="黑体" w:cs="黑体"/>
          <w:sz w:val="22"/>
        </w:rPr>
        <w:t>28、</w:t>
      </w:r>
      <w:bookmarkEnd w:id="154"/>
      <w:r>
        <w:rPr>
          <w:rFonts w:hint="eastAsia" w:ascii="黑体" w:hAnsi="黑体" w:eastAsia="黑体" w:cs="黑体"/>
          <w:sz w:val="22"/>
        </w:rPr>
        <w:t>确定</w:t>
      </w:r>
      <w:bookmarkEnd w:id="155"/>
      <w:bookmarkEnd w:id="156"/>
      <w:r>
        <w:rPr>
          <w:rFonts w:hint="eastAsia" w:ascii="黑体" w:hAnsi="黑体" w:eastAsia="黑体" w:cs="黑体"/>
          <w:sz w:val="22"/>
        </w:rPr>
        <w:t>成交单位</w:t>
      </w:r>
    </w:p>
    <w:p>
      <w:pPr>
        <w:tabs>
          <w:tab w:val="left" w:pos="900"/>
        </w:tabs>
        <w:spacing w:line="440" w:lineRule="exact"/>
        <w:ind w:firstLine="418"/>
        <w:rPr>
          <w:rFonts w:ascii="宋体" w:hAnsi="宋体"/>
          <w:szCs w:val="18"/>
        </w:rPr>
      </w:pPr>
      <w:r>
        <w:rPr>
          <w:rFonts w:hint="eastAsia" w:ascii="宋体" w:hAnsi="宋体"/>
          <w:bCs/>
          <w:szCs w:val="18"/>
        </w:rPr>
        <w:t>2</w:t>
      </w:r>
      <w:r>
        <w:rPr>
          <w:rFonts w:ascii="宋体" w:hAnsi="宋体"/>
          <w:bCs/>
          <w:szCs w:val="18"/>
        </w:rPr>
        <w:t>8</w:t>
      </w:r>
      <w:r>
        <w:rPr>
          <w:rFonts w:hint="eastAsia" w:ascii="宋体" w:hAnsi="宋体"/>
          <w:bCs/>
          <w:szCs w:val="18"/>
        </w:rPr>
        <w:t>.1</w:t>
      </w:r>
      <w:r>
        <w:rPr>
          <w:rFonts w:hint="eastAsia" w:ascii="宋体" w:hAnsi="宋体"/>
          <w:szCs w:val="18"/>
        </w:rPr>
        <w:t>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pPr>
        <w:spacing w:line="440" w:lineRule="exact"/>
        <w:ind w:firstLine="420"/>
        <w:rPr>
          <w:rFonts w:ascii="宋体" w:hAnsi="宋体"/>
          <w:szCs w:val="18"/>
        </w:rPr>
      </w:pPr>
      <w:r>
        <w:rPr>
          <w:rFonts w:hint="eastAsia" w:ascii="宋体" w:hAnsi="宋体"/>
          <w:szCs w:val="18"/>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pPr>
        <w:spacing w:line="440" w:lineRule="exact"/>
        <w:ind w:firstLine="420"/>
        <w:rPr>
          <w:rFonts w:ascii="宋体" w:hAnsi="宋体"/>
          <w:bCs/>
          <w:szCs w:val="18"/>
        </w:rPr>
      </w:pPr>
      <w:r>
        <w:rPr>
          <w:rFonts w:hint="eastAsia" w:ascii="宋体" w:hAnsi="宋体"/>
          <w:bCs/>
          <w:szCs w:val="18"/>
        </w:rPr>
        <w:t>2</w:t>
      </w:r>
      <w:r>
        <w:rPr>
          <w:rFonts w:ascii="宋体" w:hAnsi="宋体"/>
          <w:bCs/>
          <w:szCs w:val="18"/>
        </w:rPr>
        <w:t>8</w:t>
      </w:r>
      <w:r>
        <w:rPr>
          <w:rFonts w:hint="eastAsia" w:ascii="宋体" w:hAnsi="宋体"/>
          <w:bCs/>
          <w:szCs w:val="18"/>
        </w:rPr>
        <w:t>.2采购人从评审报告提出的成交候选供应商中，按照排序由高到低的原则确定成交供应商。采购人确定成交供应商后，采购代理机构将在“江苏政府采购网”和“中国政府采购网”发布成交结果公告，公告期限为1个工作日。</w:t>
      </w:r>
    </w:p>
    <w:p>
      <w:pPr>
        <w:spacing w:line="440" w:lineRule="exact"/>
        <w:ind w:firstLine="420"/>
        <w:rPr>
          <w:rFonts w:ascii="宋体" w:hAnsi="宋体"/>
          <w:bCs/>
          <w:szCs w:val="18"/>
        </w:rPr>
      </w:pPr>
      <w:r>
        <w:rPr>
          <w:rFonts w:hint="eastAsia" w:ascii="宋体" w:hAnsi="宋体"/>
          <w:bCs/>
          <w:szCs w:val="18"/>
        </w:rPr>
        <w:t>28.3若有充分证据证明，成交供应商出现下列情况之一的，一经查实，将被取消成交资格：</w:t>
      </w:r>
    </w:p>
    <w:p>
      <w:pPr>
        <w:spacing w:line="440" w:lineRule="exact"/>
        <w:ind w:firstLine="420"/>
        <w:rPr>
          <w:rFonts w:ascii="宋体" w:hAnsi="宋体"/>
          <w:bCs/>
          <w:szCs w:val="18"/>
        </w:rPr>
      </w:pPr>
      <w:r>
        <w:rPr>
          <w:rFonts w:hint="eastAsia" w:ascii="宋体" w:hAnsi="宋体"/>
          <w:bCs/>
          <w:szCs w:val="18"/>
        </w:rPr>
        <w:t>28.3.1提供虚假材料谋取成交的。</w:t>
      </w:r>
    </w:p>
    <w:p>
      <w:pPr>
        <w:spacing w:line="440" w:lineRule="exact"/>
        <w:ind w:firstLine="420"/>
        <w:rPr>
          <w:rFonts w:ascii="宋体" w:hAnsi="宋体"/>
          <w:bCs/>
          <w:szCs w:val="18"/>
        </w:rPr>
      </w:pPr>
      <w:r>
        <w:rPr>
          <w:rFonts w:hint="eastAsia" w:ascii="宋体" w:hAnsi="宋体"/>
          <w:bCs/>
          <w:szCs w:val="18"/>
        </w:rPr>
        <w:t>28.3.2与评审专家、采购人、其他供应商或者采购代理机构工作人员恶意串通的。</w:t>
      </w:r>
    </w:p>
    <w:p>
      <w:pPr>
        <w:spacing w:line="440" w:lineRule="exact"/>
        <w:ind w:firstLine="420"/>
        <w:rPr>
          <w:rFonts w:ascii="宋体" w:hAnsi="宋体"/>
          <w:bCs/>
          <w:szCs w:val="18"/>
        </w:rPr>
      </w:pPr>
      <w:r>
        <w:rPr>
          <w:rFonts w:hint="eastAsia" w:ascii="宋体" w:hAnsi="宋体"/>
          <w:bCs/>
          <w:szCs w:val="18"/>
        </w:rPr>
        <w:t>28.3.3向评审专家、采购人或采购代理机构工作人员行贿或者提供其他不正当利益的。</w:t>
      </w:r>
    </w:p>
    <w:p>
      <w:pPr>
        <w:spacing w:line="440" w:lineRule="exact"/>
        <w:ind w:firstLine="420"/>
        <w:rPr>
          <w:rFonts w:ascii="宋体" w:hAnsi="宋体"/>
          <w:bCs/>
          <w:szCs w:val="18"/>
        </w:rPr>
      </w:pPr>
      <w:r>
        <w:rPr>
          <w:rFonts w:hint="eastAsia" w:ascii="宋体" w:hAnsi="宋体"/>
          <w:bCs/>
          <w:szCs w:val="18"/>
        </w:rPr>
        <w:t>28.3.4恶意竞争，最后报价明显低于其自身合理成本且又无法提供证明的。</w:t>
      </w:r>
    </w:p>
    <w:p>
      <w:pPr>
        <w:spacing w:line="440" w:lineRule="exact"/>
        <w:ind w:firstLine="420"/>
        <w:rPr>
          <w:rFonts w:ascii="宋体" w:hAnsi="宋体"/>
          <w:bCs/>
          <w:szCs w:val="18"/>
        </w:rPr>
      </w:pPr>
      <w:r>
        <w:rPr>
          <w:rFonts w:hint="eastAsia" w:ascii="宋体" w:hAnsi="宋体"/>
          <w:bCs/>
          <w:szCs w:val="18"/>
        </w:rPr>
        <w:t>28.3.5不满足本磋商文件规定的实质性要求，但在评审过程中又未被磋商小组发现的。</w:t>
      </w:r>
    </w:p>
    <w:p>
      <w:pPr>
        <w:spacing w:line="440" w:lineRule="exact"/>
        <w:ind w:firstLine="420"/>
        <w:rPr>
          <w:rFonts w:ascii="宋体" w:hAnsi="宋体"/>
          <w:bCs/>
          <w:szCs w:val="18"/>
        </w:rPr>
      </w:pPr>
      <w:r>
        <w:rPr>
          <w:rFonts w:hint="eastAsia" w:ascii="宋体" w:hAnsi="宋体"/>
          <w:bCs/>
          <w:szCs w:val="18"/>
        </w:rPr>
        <w:t>28.3.6成交后无正当理由拒不与采购人签订政府采购合同或者未按照磋商文件确定的事项签订政府采购合同的。</w:t>
      </w:r>
    </w:p>
    <w:p>
      <w:pPr>
        <w:spacing w:line="440" w:lineRule="exact"/>
        <w:ind w:firstLine="420"/>
        <w:rPr>
          <w:rFonts w:ascii="宋体" w:hAnsi="宋体"/>
          <w:bCs/>
          <w:szCs w:val="18"/>
        </w:rPr>
      </w:pPr>
      <w:r>
        <w:rPr>
          <w:rFonts w:hint="eastAsia" w:ascii="宋体" w:hAnsi="宋体"/>
          <w:bCs/>
          <w:szCs w:val="18"/>
        </w:rPr>
        <w:t>28.3.7将政府采购合同转包的。</w:t>
      </w:r>
    </w:p>
    <w:p>
      <w:pPr>
        <w:spacing w:line="440" w:lineRule="exact"/>
        <w:ind w:firstLine="420"/>
        <w:rPr>
          <w:rFonts w:ascii="宋体" w:hAnsi="宋体"/>
          <w:bCs/>
          <w:szCs w:val="18"/>
        </w:rPr>
      </w:pPr>
      <w:r>
        <w:rPr>
          <w:rFonts w:hint="eastAsia" w:ascii="宋体" w:hAnsi="宋体"/>
          <w:bCs/>
          <w:szCs w:val="18"/>
        </w:rPr>
        <w:t>28.4 有下列情形之一的，视为供应商串通响应，响应无效：</w:t>
      </w:r>
    </w:p>
    <w:p>
      <w:pPr>
        <w:spacing w:line="440" w:lineRule="exact"/>
        <w:ind w:firstLine="420"/>
        <w:rPr>
          <w:rFonts w:ascii="宋体" w:hAnsi="宋体"/>
          <w:bCs/>
          <w:szCs w:val="18"/>
        </w:rPr>
      </w:pPr>
      <w:r>
        <w:rPr>
          <w:rFonts w:hint="eastAsia" w:ascii="宋体" w:hAnsi="宋体"/>
          <w:bCs/>
          <w:szCs w:val="18"/>
        </w:rPr>
        <w:t>28.4.1不同供应商的响应文件由同一单位或者个人编制。</w:t>
      </w:r>
    </w:p>
    <w:p>
      <w:pPr>
        <w:spacing w:line="440" w:lineRule="exact"/>
        <w:ind w:firstLine="420"/>
        <w:rPr>
          <w:rFonts w:ascii="宋体" w:hAnsi="宋体"/>
          <w:bCs/>
          <w:szCs w:val="18"/>
        </w:rPr>
      </w:pPr>
      <w:r>
        <w:rPr>
          <w:rFonts w:hint="eastAsia" w:ascii="宋体" w:hAnsi="宋体"/>
          <w:bCs/>
          <w:szCs w:val="18"/>
        </w:rPr>
        <w:t>经查实，不同供应商的电子响应文件出自同一台电脑的：不同供应商的标书制作工具客户端标识码存在一致的；不同供应商从同一互联网协议地址上传响应文件的。</w:t>
      </w:r>
    </w:p>
    <w:p>
      <w:pPr>
        <w:spacing w:line="440" w:lineRule="exact"/>
        <w:ind w:firstLine="420"/>
        <w:rPr>
          <w:rFonts w:ascii="宋体" w:hAnsi="宋体"/>
          <w:bCs/>
          <w:szCs w:val="18"/>
        </w:rPr>
      </w:pPr>
      <w:r>
        <w:rPr>
          <w:rFonts w:hint="eastAsia" w:ascii="宋体" w:hAnsi="宋体"/>
          <w:bCs/>
          <w:szCs w:val="18"/>
        </w:rPr>
        <w:t>28.4.2不同供应商委托同一单位或者个人办理响应事宜。</w:t>
      </w:r>
    </w:p>
    <w:p>
      <w:pPr>
        <w:spacing w:line="440" w:lineRule="exact"/>
        <w:ind w:firstLine="420"/>
        <w:rPr>
          <w:rFonts w:ascii="宋体" w:hAnsi="宋体"/>
          <w:bCs/>
          <w:szCs w:val="18"/>
        </w:rPr>
      </w:pPr>
      <w:r>
        <w:rPr>
          <w:rFonts w:hint="eastAsia" w:ascii="宋体" w:hAnsi="宋体"/>
          <w:bCs/>
          <w:szCs w:val="18"/>
        </w:rPr>
        <w:t>28.4.3 不同供应商的响应文件载明的项目管理成员或者联系人员为同一人。</w:t>
      </w:r>
    </w:p>
    <w:p>
      <w:pPr>
        <w:spacing w:line="440" w:lineRule="exact"/>
        <w:ind w:firstLine="420"/>
        <w:rPr>
          <w:rFonts w:ascii="宋体" w:hAnsi="宋体"/>
          <w:bCs/>
          <w:szCs w:val="18"/>
        </w:rPr>
      </w:pPr>
      <w:r>
        <w:rPr>
          <w:rFonts w:hint="eastAsia" w:ascii="宋体" w:hAnsi="宋体"/>
          <w:bCs/>
          <w:szCs w:val="18"/>
        </w:rPr>
        <w:t>28.4.4不同供应商的响应文件异常一致或者磋商报价呈规律性差异。</w:t>
      </w:r>
    </w:p>
    <w:p>
      <w:pPr>
        <w:keepNext/>
        <w:keepLines/>
        <w:spacing w:line="440" w:lineRule="exact"/>
        <w:ind w:firstLine="330"/>
        <w:outlineLvl w:val="3"/>
        <w:rPr>
          <w:rFonts w:ascii="黑体" w:hAnsi="黑体" w:eastAsia="黑体" w:cs="黑体"/>
          <w:sz w:val="22"/>
        </w:rPr>
      </w:pPr>
      <w:bookmarkStart w:id="157" w:name="_Toc200451960"/>
      <w:r>
        <w:rPr>
          <w:rFonts w:hint="eastAsia" w:ascii="黑体" w:hAnsi="黑体" w:eastAsia="黑体" w:cs="黑体"/>
          <w:sz w:val="22"/>
        </w:rPr>
        <w:t>29、质疑处理</w:t>
      </w:r>
      <w:bookmarkEnd w:id="157"/>
    </w:p>
    <w:p>
      <w:pPr>
        <w:spacing w:line="440" w:lineRule="exact"/>
        <w:ind w:firstLine="420"/>
        <w:rPr>
          <w:rFonts w:ascii="宋体" w:hAnsi="宋体"/>
          <w:szCs w:val="21"/>
        </w:rPr>
      </w:pPr>
      <w:r>
        <w:rPr>
          <w:rFonts w:ascii="宋体" w:hAnsi="宋体"/>
          <w:szCs w:val="21"/>
        </w:rPr>
        <w:t>29</w:t>
      </w:r>
      <w:r>
        <w:rPr>
          <w:rFonts w:hint="eastAsia" w:ascii="宋体" w:hAnsi="宋体"/>
          <w:szCs w:val="21"/>
        </w:rPr>
        <w:t>.1 提出质疑的供应商应当是参与所质疑项目采购活动的供应商。潜在供应商依法获取其可质疑的采购文件的，可以对采购文件提出质疑。</w:t>
      </w:r>
    </w:p>
    <w:p>
      <w:pPr>
        <w:spacing w:line="440" w:lineRule="exact"/>
        <w:ind w:firstLine="420"/>
        <w:rPr>
          <w:rFonts w:ascii="宋体" w:hAnsi="宋体"/>
          <w:szCs w:val="21"/>
        </w:rPr>
      </w:pPr>
      <w:r>
        <w:rPr>
          <w:rFonts w:ascii="宋体" w:hAnsi="宋体"/>
          <w:szCs w:val="21"/>
        </w:rPr>
        <w:t>29</w:t>
      </w:r>
      <w:r>
        <w:rPr>
          <w:rFonts w:hint="eastAsia" w:ascii="宋体" w:hAnsi="宋体"/>
          <w:szCs w:val="21"/>
        </w:rPr>
        <w:t>.2供应商认为采购文件、采购过程和采购结果使自己的权益受到损害的，可以在知道或应知其权益受到损害之日起七个工作日内，以书面形式根据下述29.4条款的规定向采购</w:t>
      </w:r>
      <w:r>
        <w:rPr>
          <w:rFonts w:hint="eastAsia" w:ascii="宋体" w:hAnsi="宋体"/>
          <w:bCs/>
          <w:szCs w:val="18"/>
        </w:rPr>
        <w:t>代理机构</w:t>
      </w:r>
      <w:r>
        <w:rPr>
          <w:rFonts w:hint="eastAsia" w:ascii="宋体" w:hAnsi="宋体"/>
          <w:szCs w:val="21"/>
        </w:rPr>
        <w:t>或采购人提出质疑。上述应知其权益受到损害之日，是指：</w:t>
      </w:r>
    </w:p>
    <w:p>
      <w:pPr>
        <w:spacing w:line="440" w:lineRule="exact"/>
        <w:jc w:val="left"/>
        <w:rPr>
          <w:rFonts w:ascii="Times New Roman" w:hAnsi="宋体" w:cs="宋体"/>
          <w:szCs w:val="21"/>
        </w:rPr>
      </w:pPr>
      <w:r>
        <w:rPr>
          <w:rFonts w:ascii="宋体" w:hAnsi="宋体"/>
          <w:szCs w:val="21"/>
        </w:rPr>
        <w:t xml:space="preserve">    29</w:t>
      </w:r>
      <w:r>
        <w:rPr>
          <w:rFonts w:hint="eastAsia" w:ascii="宋体" w:hAnsi="宋体"/>
          <w:szCs w:val="21"/>
        </w:rPr>
        <w:t>.2.1</w:t>
      </w:r>
      <w:r>
        <w:rPr>
          <w:rFonts w:ascii="Times New Roman" w:hAnsi="宋体" w:cs="宋体"/>
          <w:szCs w:val="21"/>
        </w:rPr>
        <w:t>对可以质疑的采购文件提出质疑的，为收到采购文件之日或者采购文件公告期限届满之日</w:t>
      </w:r>
      <w:r>
        <w:rPr>
          <w:rFonts w:hint="eastAsia" w:ascii="Times New Roman" w:hAnsi="宋体" w:cs="宋体"/>
          <w:szCs w:val="21"/>
        </w:rPr>
        <w:t>。</w:t>
      </w:r>
      <w:r>
        <w:rPr>
          <w:rFonts w:ascii="Times New Roman" w:hAnsi="宋体" w:cs="宋体"/>
          <w:szCs w:val="21"/>
        </w:rPr>
        <w:br w:type="textWrapping" w:clear="all"/>
      </w:r>
      <w:r>
        <w:rPr>
          <w:rFonts w:ascii="Times New Roman" w:hAnsi="宋体" w:cs="宋体"/>
          <w:szCs w:val="21"/>
        </w:rPr>
        <w:t xml:space="preserve">    </w:t>
      </w:r>
      <w:r>
        <w:rPr>
          <w:rFonts w:ascii="宋体" w:hAnsi="宋体"/>
          <w:szCs w:val="21"/>
        </w:rPr>
        <w:t>29</w:t>
      </w:r>
      <w:r>
        <w:rPr>
          <w:rFonts w:hint="eastAsia" w:ascii="宋体" w:hAnsi="宋体"/>
          <w:szCs w:val="21"/>
        </w:rPr>
        <w:t>.2.2</w:t>
      </w:r>
      <w:r>
        <w:rPr>
          <w:rFonts w:ascii="Times New Roman" w:hAnsi="宋体" w:cs="宋体"/>
          <w:szCs w:val="21"/>
        </w:rPr>
        <w:t>对采购过程提出质疑的，为各采购程序环节结束之日</w:t>
      </w:r>
      <w:r>
        <w:rPr>
          <w:rFonts w:hint="eastAsia" w:ascii="Times New Roman" w:hAnsi="宋体" w:cs="宋体"/>
          <w:szCs w:val="21"/>
        </w:rPr>
        <w:t>。</w:t>
      </w:r>
      <w:r>
        <w:rPr>
          <w:rFonts w:ascii="Times New Roman" w:hAnsi="宋体" w:cs="宋体"/>
          <w:szCs w:val="21"/>
        </w:rPr>
        <w:br w:type="textWrapping" w:clear="all"/>
      </w:r>
      <w:r>
        <w:rPr>
          <w:rFonts w:hint="eastAsia" w:ascii="Times New Roman" w:hAnsi="宋体" w:cs="宋体"/>
          <w:szCs w:val="21"/>
        </w:rPr>
        <w:t xml:space="preserve">    </w:t>
      </w:r>
      <w:r>
        <w:rPr>
          <w:rFonts w:ascii="宋体" w:hAnsi="宋体"/>
          <w:szCs w:val="21"/>
        </w:rPr>
        <w:t>29</w:t>
      </w:r>
      <w:r>
        <w:rPr>
          <w:rFonts w:hint="eastAsia" w:ascii="宋体" w:hAnsi="宋体"/>
          <w:szCs w:val="21"/>
        </w:rPr>
        <w:t>.2.3</w:t>
      </w:r>
      <w:r>
        <w:rPr>
          <w:rFonts w:ascii="Times New Roman" w:hAnsi="宋体" w:cs="宋体"/>
          <w:szCs w:val="21"/>
        </w:rPr>
        <w:t>对成交结果提出质疑的，为成交结果公告期限届满之日。</w:t>
      </w:r>
    </w:p>
    <w:p>
      <w:pPr>
        <w:spacing w:line="440" w:lineRule="exact"/>
        <w:ind w:firstLine="420"/>
        <w:rPr>
          <w:rFonts w:ascii="Times New Roman" w:hAnsi="宋体" w:cs="宋体"/>
          <w:szCs w:val="21"/>
        </w:rPr>
      </w:pPr>
      <w:r>
        <w:rPr>
          <w:rFonts w:hint="eastAsia" w:ascii="Times New Roman" w:hAnsi="宋体" w:cs="宋体"/>
          <w:szCs w:val="21"/>
        </w:rPr>
        <w:t>供应商应当在法定质疑期内一次性提出针对同一采购程序环节的质疑。供应商如在法定期限内对同一采购程序环节提出多次质疑的，采购</w:t>
      </w:r>
      <w:r>
        <w:rPr>
          <w:rFonts w:hint="eastAsia" w:ascii="宋体" w:hAnsi="宋体"/>
          <w:bCs/>
          <w:szCs w:val="18"/>
        </w:rPr>
        <w:t>代理机构</w:t>
      </w:r>
      <w:r>
        <w:rPr>
          <w:rFonts w:hint="eastAsia" w:ascii="Times New Roman" w:hAnsi="宋体" w:cs="宋体"/>
          <w:szCs w:val="21"/>
        </w:rPr>
        <w:t>、</w:t>
      </w:r>
      <w:r>
        <w:rPr>
          <w:rFonts w:ascii="Times New Roman" w:hAnsi="宋体" w:cs="宋体"/>
          <w:szCs w:val="21"/>
        </w:rPr>
        <w:t>采购人</w:t>
      </w:r>
      <w:r>
        <w:rPr>
          <w:rFonts w:hint="eastAsia" w:ascii="Times New Roman" w:hAnsi="宋体" w:cs="宋体"/>
          <w:szCs w:val="21"/>
        </w:rPr>
        <w:t>将只对供应商第一次质疑作出答复。</w:t>
      </w:r>
    </w:p>
    <w:p>
      <w:pPr>
        <w:spacing w:line="440" w:lineRule="exact"/>
        <w:ind w:firstLine="420"/>
        <w:rPr>
          <w:rFonts w:ascii="宋体" w:hAnsi="宋体"/>
          <w:szCs w:val="21"/>
        </w:rPr>
      </w:pPr>
      <w:r>
        <w:rPr>
          <w:rFonts w:ascii="宋体" w:hAnsi="宋体"/>
          <w:szCs w:val="21"/>
        </w:rPr>
        <w:t>29</w:t>
      </w:r>
      <w:r>
        <w:rPr>
          <w:rFonts w:hint="eastAsia" w:ascii="宋体" w:hAnsi="宋体"/>
          <w:szCs w:val="21"/>
        </w:rPr>
        <w:t>.3质疑函必须按照本磋商文件中《质疑函范本》要求的格式和内容进行填写。供应商如组成联合体参加磋商，则《质疑函范本》中要求签字、盖章、加盖公章之处，联合体各方均须按要求签字、盖章、加盖公章。</w:t>
      </w:r>
    </w:p>
    <w:p>
      <w:pPr>
        <w:spacing w:line="440" w:lineRule="exact"/>
        <w:ind w:firstLine="420"/>
        <w:rPr>
          <w:rFonts w:ascii="宋体" w:hAnsi="宋体"/>
          <w:b/>
          <w:szCs w:val="21"/>
          <w:highlight w:val="none"/>
        </w:rPr>
      </w:pPr>
      <w:r>
        <w:rPr>
          <w:rFonts w:ascii="宋体" w:hAnsi="宋体"/>
          <w:szCs w:val="21"/>
          <w:highlight w:val="none"/>
        </w:rPr>
        <w:t>29</w:t>
      </w:r>
      <w:r>
        <w:rPr>
          <w:rFonts w:hint="eastAsia" w:ascii="宋体" w:hAnsi="宋体"/>
          <w:szCs w:val="21"/>
          <w:highlight w:val="none"/>
        </w:rPr>
        <w:t>.4 供应商（含</w:t>
      </w:r>
      <w:r>
        <w:rPr>
          <w:rFonts w:ascii="宋体" w:hAnsi="宋体"/>
          <w:szCs w:val="21"/>
          <w:highlight w:val="none"/>
        </w:rPr>
        <w:t>潜在供应商</w:t>
      </w:r>
      <w:r>
        <w:rPr>
          <w:rFonts w:hint="eastAsia" w:ascii="宋体" w:hAnsi="宋体"/>
          <w:szCs w:val="21"/>
          <w:highlight w:val="none"/>
        </w:rPr>
        <w:t>）对与</w:t>
      </w:r>
      <w:r>
        <w:rPr>
          <w:rFonts w:ascii="宋体" w:hAnsi="宋体"/>
          <w:szCs w:val="21"/>
          <w:highlight w:val="none"/>
        </w:rPr>
        <w:t>本项目</w:t>
      </w:r>
      <w:r>
        <w:rPr>
          <w:rFonts w:hint="eastAsia" w:ascii="宋体" w:hAnsi="宋体"/>
          <w:szCs w:val="21"/>
          <w:highlight w:val="none"/>
        </w:rPr>
        <w:t>有关的</w:t>
      </w:r>
      <w:r>
        <w:rPr>
          <w:rFonts w:ascii="宋体" w:hAnsi="宋体"/>
          <w:szCs w:val="21"/>
          <w:highlight w:val="none"/>
        </w:rPr>
        <w:t>所有询问、质疑</w:t>
      </w:r>
      <w:r>
        <w:rPr>
          <w:rFonts w:hint="eastAsia" w:ascii="宋体" w:hAnsi="宋体"/>
          <w:szCs w:val="21"/>
          <w:highlight w:val="none"/>
        </w:rPr>
        <w:t>均</w:t>
      </w:r>
      <w:r>
        <w:rPr>
          <w:rFonts w:ascii="宋体" w:hAnsi="宋体"/>
          <w:szCs w:val="21"/>
          <w:highlight w:val="none"/>
        </w:rPr>
        <w:t>请向采购人提出，由采购人负责答复。</w:t>
      </w:r>
    </w:p>
    <w:p>
      <w:pPr>
        <w:spacing w:line="440" w:lineRule="exact"/>
        <w:ind w:firstLine="420"/>
        <w:rPr>
          <w:rFonts w:ascii="宋体" w:hAnsi="宋体"/>
          <w:szCs w:val="21"/>
        </w:rPr>
      </w:pPr>
      <w:r>
        <w:rPr>
          <w:rFonts w:hint="eastAsia" w:ascii="宋体" w:hAnsi="宋体"/>
          <w:szCs w:val="21"/>
        </w:rPr>
        <w:t>采购人及采购</w:t>
      </w:r>
      <w:r>
        <w:rPr>
          <w:rFonts w:hint="eastAsia" w:ascii="宋体" w:hAnsi="宋体"/>
          <w:bCs/>
          <w:szCs w:val="18"/>
        </w:rPr>
        <w:t>代理机构</w:t>
      </w:r>
      <w:r>
        <w:rPr>
          <w:rFonts w:hint="eastAsia" w:ascii="宋体" w:hAnsi="宋体"/>
          <w:szCs w:val="21"/>
        </w:rPr>
        <w:t>只接收以纸质原件形式送达的质疑，建议供应商尽量通过邮寄方式提交质疑（采购人和采购</w:t>
      </w:r>
      <w:r>
        <w:rPr>
          <w:rFonts w:hint="eastAsia" w:ascii="宋体" w:hAnsi="宋体"/>
          <w:bCs/>
          <w:szCs w:val="18"/>
        </w:rPr>
        <w:t>代理机构</w:t>
      </w:r>
      <w:r>
        <w:rPr>
          <w:rFonts w:hint="eastAsia" w:ascii="宋体" w:hAnsi="宋体"/>
          <w:szCs w:val="21"/>
        </w:rPr>
        <w:t>不接受未填写快递运单的快件）。</w:t>
      </w:r>
    </w:p>
    <w:p>
      <w:pPr>
        <w:spacing w:line="440" w:lineRule="exact"/>
        <w:ind w:firstLine="420"/>
        <w:rPr>
          <w:rFonts w:ascii="宋体" w:hAnsi="宋体"/>
          <w:szCs w:val="21"/>
        </w:rPr>
      </w:pPr>
      <w:r>
        <w:rPr>
          <w:rFonts w:hint="eastAsia" w:ascii="宋体" w:hAnsi="宋体"/>
          <w:szCs w:val="21"/>
        </w:rPr>
        <w:t>采购人、代理机构质疑接收联系地址、联系人及联系方式详见采购公告中采购人信息、采购代理机构信息。</w:t>
      </w:r>
    </w:p>
    <w:p>
      <w:pPr>
        <w:spacing w:line="440" w:lineRule="exact"/>
        <w:ind w:firstLine="420"/>
        <w:rPr>
          <w:rFonts w:ascii="宋体" w:hAnsi="宋体"/>
          <w:szCs w:val="21"/>
        </w:rPr>
      </w:pPr>
      <w:r>
        <w:rPr>
          <w:rFonts w:ascii="宋体" w:hAnsi="宋体"/>
          <w:szCs w:val="21"/>
        </w:rPr>
        <w:t>29</w:t>
      </w:r>
      <w:r>
        <w:rPr>
          <w:rFonts w:hint="eastAsia" w:ascii="宋体" w:hAnsi="宋体"/>
          <w:szCs w:val="21"/>
        </w:rPr>
        <w:t>.5 以下情形的质疑不予受理</w:t>
      </w:r>
    </w:p>
    <w:p>
      <w:pPr>
        <w:spacing w:line="440" w:lineRule="exact"/>
        <w:ind w:firstLine="420"/>
        <w:rPr>
          <w:rFonts w:ascii="宋体" w:hAnsi="宋体"/>
          <w:szCs w:val="21"/>
        </w:rPr>
      </w:pPr>
      <w:r>
        <w:rPr>
          <w:rFonts w:ascii="宋体" w:hAnsi="宋体"/>
          <w:szCs w:val="21"/>
        </w:rPr>
        <w:t>29</w:t>
      </w:r>
      <w:r>
        <w:rPr>
          <w:rFonts w:hint="eastAsia" w:ascii="宋体" w:hAnsi="宋体"/>
          <w:szCs w:val="21"/>
        </w:rPr>
        <w:t>.5.1 内容不符合《政府采购质疑和投诉办法》第十二条规定的质疑。</w:t>
      </w:r>
    </w:p>
    <w:p>
      <w:pPr>
        <w:spacing w:line="440" w:lineRule="exact"/>
        <w:ind w:firstLine="420"/>
        <w:rPr>
          <w:rFonts w:ascii="宋体" w:hAnsi="宋体"/>
          <w:szCs w:val="21"/>
        </w:rPr>
      </w:pPr>
      <w:r>
        <w:rPr>
          <w:rFonts w:ascii="宋体" w:hAnsi="宋体"/>
          <w:szCs w:val="21"/>
        </w:rPr>
        <w:t>29</w:t>
      </w:r>
      <w:r>
        <w:rPr>
          <w:rFonts w:hint="eastAsia" w:ascii="宋体" w:hAnsi="宋体"/>
          <w:szCs w:val="21"/>
        </w:rPr>
        <w:t>.5.2 超出政府采购法定期限的质疑。</w:t>
      </w:r>
    </w:p>
    <w:p>
      <w:pPr>
        <w:spacing w:line="440" w:lineRule="exact"/>
        <w:ind w:firstLine="420"/>
        <w:rPr>
          <w:rFonts w:ascii="宋体" w:hAnsi="宋体"/>
          <w:szCs w:val="21"/>
        </w:rPr>
      </w:pPr>
      <w:r>
        <w:rPr>
          <w:rFonts w:ascii="宋体" w:hAnsi="宋体"/>
          <w:szCs w:val="21"/>
        </w:rPr>
        <w:t>29</w:t>
      </w:r>
      <w:r>
        <w:rPr>
          <w:rFonts w:hint="eastAsia" w:ascii="宋体" w:hAnsi="宋体"/>
          <w:szCs w:val="21"/>
        </w:rPr>
        <w:t>.5.3 以传真、电子邮件等方式递交的非原件形式的质疑。</w:t>
      </w:r>
    </w:p>
    <w:p>
      <w:pPr>
        <w:spacing w:line="440" w:lineRule="exact"/>
        <w:ind w:firstLine="420"/>
        <w:rPr>
          <w:rFonts w:ascii="宋体" w:hAnsi="宋体"/>
          <w:szCs w:val="21"/>
        </w:rPr>
      </w:pPr>
      <w:r>
        <w:rPr>
          <w:rFonts w:ascii="宋体" w:hAnsi="宋体"/>
          <w:szCs w:val="21"/>
        </w:rPr>
        <w:t>29</w:t>
      </w:r>
      <w:r>
        <w:rPr>
          <w:rFonts w:hint="eastAsia" w:ascii="宋体" w:hAnsi="宋体"/>
          <w:szCs w:val="21"/>
        </w:rPr>
        <w:t>.5.4 未参加磋商活动的供应商或在磋商活动中自身权益未受到损害的供应商所提出的质疑。</w:t>
      </w:r>
    </w:p>
    <w:p>
      <w:pPr>
        <w:spacing w:line="440" w:lineRule="exact"/>
        <w:ind w:firstLine="420"/>
        <w:rPr>
          <w:rFonts w:ascii="宋体" w:hAnsi="宋体"/>
          <w:szCs w:val="21"/>
        </w:rPr>
      </w:pPr>
      <w:r>
        <w:rPr>
          <w:rFonts w:ascii="宋体" w:hAnsi="宋体"/>
          <w:szCs w:val="21"/>
        </w:rPr>
        <w:t>29</w:t>
      </w:r>
      <w:r>
        <w:rPr>
          <w:rFonts w:hint="eastAsia" w:ascii="宋体" w:hAnsi="宋体"/>
          <w:szCs w:val="21"/>
        </w:rPr>
        <w:t>.5.5供应商组成联合体参加磋商，联合体中任何一方或多方未按要求签字、盖章、加盖公章的质疑。</w:t>
      </w:r>
    </w:p>
    <w:p>
      <w:pPr>
        <w:spacing w:line="440" w:lineRule="exact"/>
        <w:ind w:firstLine="409"/>
        <w:rPr>
          <w:rFonts w:ascii="宋体" w:hAnsi="宋体"/>
          <w:szCs w:val="21"/>
        </w:rPr>
      </w:pPr>
      <w:r>
        <w:rPr>
          <w:rFonts w:ascii="宋体" w:hAnsi="宋体"/>
          <w:szCs w:val="21"/>
        </w:rPr>
        <w:t>29</w:t>
      </w:r>
      <w:r>
        <w:rPr>
          <w:rFonts w:hint="eastAsia" w:ascii="宋体" w:hAnsi="宋体"/>
          <w:szCs w:val="21"/>
        </w:rPr>
        <w:t>.6  供应商提出书面质疑必须有理、有据，不得捏造事实、提供虚假材料进行恶意质疑。否则，一经查实，采购</w:t>
      </w:r>
      <w:r>
        <w:rPr>
          <w:rFonts w:hint="eastAsia" w:ascii="宋体" w:hAnsi="宋体"/>
          <w:bCs/>
          <w:szCs w:val="18"/>
        </w:rPr>
        <w:t>代理机构</w:t>
      </w:r>
      <w:r>
        <w:rPr>
          <w:rFonts w:hint="eastAsia" w:ascii="宋体" w:hAnsi="宋体"/>
          <w:szCs w:val="21"/>
        </w:rPr>
        <w:t>有权依据政府采购的有关规定，报请政府采购监管部门对该供应商进行相应的行政处罚和记录该供应商的失信信息。</w:t>
      </w:r>
    </w:p>
    <w:p>
      <w:pPr>
        <w:keepNext/>
        <w:keepLines/>
        <w:spacing w:line="440" w:lineRule="exact"/>
        <w:ind w:firstLine="330"/>
        <w:outlineLvl w:val="3"/>
        <w:rPr>
          <w:rFonts w:ascii="黑体" w:hAnsi="黑体" w:eastAsia="黑体" w:cs="黑体"/>
          <w:sz w:val="22"/>
        </w:rPr>
      </w:pPr>
      <w:r>
        <w:rPr>
          <w:rFonts w:hint="eastAsia" w:ascii="黑体" w:hAnsi="黑体" w:eastAsia="黑体" w:cs="黑体"/>
          <w:sz w:val="22"/>
        </w:rPr>
        <w:t>30、成交通知书</w:t>
      </w:r>
    </w:p>
    <w:p>
      <w:pPr>
        <w:spacing w:line="440" w:lineRule="exact"/>
        <w:ind w:firstLine="525"/>
        <w:rPr>
          <w:rFonts w:ascii="宋体" w:hAnsi="宋体"/>
          <w:szCs w:val="21"/>
        </w:rPr>
      </w:pPr>
      <w:r>
        <w:rPr>
          <w:rFonts w:ascii="宋体" w:hAnsi="宋体"/>
          <w:szCs w:val="21"/>
        </w:rPr>
        <w:t>3</w:t>
      </w:r>
      <w:r>
        <w:rPr>
          <w:rFonts w:hint="eastAsia" w:ascii="宋体" w:hAnsi="宋体"/>
          <w:szCs w:val="21"/>
        </w:rPr>
        <w:t>0</w:t>
      </w:r>
      <w:r>
        <w:rPr>
          <w:rFonts w:ascii="宋体" w:hAnsi="宋体"/>
          <w:szCs w:val="21"/>
        </w:rPr>
        <w:t>.1</w:t>
      </w:r>
      <w:r>
        <w:rPr>
          <w:rFonts w:hint="eastAsia" w:ascii="宋体" w:hAnsi="宋体"/>
          <w:szCs w:val="21"/>
        </w:rPr>
        <w:t>成交结果确定后，采购</w:t>
      </w:r>
      <w:r>
        <w:rPr>
          <w:rFonts w:hint="eastAsia" w:ascii="宋体" w:hAnsi="宋体"/>
          <w:bCs/>
          <w:szCs w:val="18"/>
        </w:rPr>
        <w:t>代理机构</w:t>
      </w:r>
      <w:r>
        <w:rPr>
          <w:rFonts w:hint="eastAsia" w:ascii="宋体" w:hAnsi="宋体"/>
          <w:szCs w:val="21"/>
        </w:rPr>
        <w:t>将向成交供应商发出成交通知书。</w:t>
      </w:r>
      <w:r>
        <w:rPr>
          <w:rFonts w:hint="eastAsia" w:ascii="宋体" w:hAnsi="宋体" w:cs="宋体"/>
          <w:szCs w:val="21"/>
        </w:rPr>
        <w:t>请成交供应商在成交结果公告届满之日起30日内,使用CA数字证书登录</w:t>
      </w:r>
      <w:r>
        <w:rPr>
          <w:rFonts w:hint="eastAsia" w:ascii="宋体" w:hAnsi="宋体"/>
          <w:color w:val="000000"/>
          <w:szCs w:val="21"/>
        </w:rPr>
        <w:t>苏采云系统</w:t>
      </w:r>
      <w:r>
        <w:rPr>
          <w:rFonts w:hint="eastAsia" w:ascii="宋体" w:hAnsi="宋体" w:cs="宋体"/>
          <w:color w:val="000000"/>
          <w:szCs w:val="21"/>
        </w:rPr>
        <w:t>及时下载成交通知书。因系统存储空间有限，自成交结果公告届满之日起30日后，</w:t>
      </w:r>
      <w:r>
        <w:rPr>
          <w:rFonts w:hint="eastAsia" w:ascii="宋体" w:hAnsi="宋体"/>
          <w:color w:val="000000"/>
          <w:szCs w:val="21"/>
        </w:rPr>
        <w:t>苏采云系统</w:t>
      </w:r>
      <w:r>
        <w:rPr>
          <w:rFonts w:hint="eastAsia" w:ascii="宋体" w:hAnsi="宋体" w:cs="宋体"/>
          <w:szCs w:val="21"/>
        </w:rPr>
        <w:t>不再保证提供下载成交通知书服务,因未及时下载而造成的不利后果由成交供应商自行承担。</w:t>
      </w:r>
    </w:p>
    <w:p>
      <w:pPr>
        <w:spacing w:line="440" w:lineRule="exact"/>
        <w:ind w:firstLine="525"/>
        <w:rPr>
          <w:rFonts w:ascii="宋体" w:hAnsi="宋体"/>
          <w:szCs w:val="21"/>
        </w:rPr>
      </w:pPr>
      <w:r>
        <w:rPr>
          <w:rFonts w:hint="eastAsia" w:ascii="宋体" w:hAnsi="宋体"/>
          <w:szCs w:val="21"/>
        </w:rPr>
        <w:t>3</w:t>
      </w:r>
      <w:r>
        <w:rPr>
          <w:rFonts w:ascii="宋体" w:hAnsi="宋体"/>
          <w:szCs w:val="21"/>
        </w:rPr>
        <w:t>0</w:t>
      </w:r>
      <w:r>
        <w:rPr>
          <w:rFonts w:hint="eastAsia" w:ascii="宋体" w:hAnsi="宋体"/>
          <w:szCs w:val="21"/>
        </w:rPr>
        <w:t>.2成交通知书将是合同的一个组成部分。对采购人和成交供应商均具有法律效力。成交通知书发出后，采购人改变成交结果的，或者成交供应商放弃成交项目的，应当依法承担法律责任。</w:t>
      </w:r>
    </w:p>
    <w:p>
      <w:pPr>
        <w:keepNext/>
        <w:keepLines/>
        <w:spacing w:before="145" w:after="145" w:line="440" w:lineRule="exact"/>
        <w:outlineLvl w:val="2"/>
        <w:rPr>
          <w:rFonts w:ascii="Times New Roman" w:hAnsi="Times New Roman"/>
          <w:b/>
          <w:bCs/>
          <w:sz w:val="24"/>
          <w:szCs w:val="24"/>
        </w:rPr>
      </w:pPr>
      <w:bookmarkStart w:id="158" w:name="_Toc120614220"/>
      <w:bookmarkStart w:id="159" w:name="_Toc513029236"/>
      <w:bookmarkStart w:id="160" w:name="_Toc16938552"/>
      <w:bookmarkStart w:id="161" w:name="_Toc20823308"/>
      <w:r>
        <w:rPr>
          <w:rFonts w:hint="eastAsia" w:ascii="Times New Roman" w:hAnsi="Times New Roman"/>
          <w:b/>
          <w:bCs/>
          <w:sz w:val="24"/>
          <w:szCs w:val="24"/>
        </w:rPr>
        <w:t>七、授予合同</w:t>
      </w:r>
      <w:bookmarkEnd w:id="158"/>
    </w:p>
    <w:bookmarkEnd w:id="159"/>
    <w:bookmarkEnd w:id="160"/>
    <w:bookmarkEnd w:id="161"/>
    <w:p>
      <w:pPr>
        <w:keepNext/>
        <w:keepLines/>
        <w:spacing w:line="440" w:lineRule="exact"/>
        <w:ind w:firstLine="330"/>
        <w:outlineLvl w:val="3"/>
        <w:rPr>
          <w:rFonts w:ascii="黑体" w:hAnsi="黑体" w:eastAsia="黑体" w:cs="黑体"/>
          <w:sz w:val="22"/>
        </w:rPr>
      </w:pPr>
      <w:bookmarkStart w:id="162" w:name="_Toc16938553"/>
      <w:bookmarkStart w:id="163" w:name="_Toc20823309"/>
      <w:bookmarkStart w:id="164" w:name="_Toc513029237"/>
      <w:r>
        <w:rPr>
          <w:rFonts w:hint="eastAsia" w:ascii="黑体" w:hAnsi="黑体" w:eastAsia="黑体" w:cs="黑体"/>
          <w:sz w:val="22"/>
        </w:rPr>
        <w:t>31、签订合同</w:t>
      </w:r>
    </w:p>
    <w:p>
      <w:pPr>
        <w:spacing w:line="440" w:lineRule="exact"/>
        <w:ind w:firstLine="525"/>
        <w:rPr>
          <w:rFonts w:ascii="宋体" w:hAnsi="宋体"/>
          <w:szCs w:val="21"/>
        </w:rPr>
      </w:pPr>
      <w:r>
        <w:rPr>
          <w:rFonts w:hint="eastAsia" w:ascii="宋体" w:hAnsi="宋体"/>
          <w:bCs/>
          <w:szCs w:val="21"/>
        </w:rPr>
        <w:t>3</w:t>
      </w:r>
      <w:r>
        <w:rPr>
          <w:rFonts w:ascii="宋体" w:hAnsi="宋体"/>
          <w:bCs/>
          <w:szCs w:val="21"/>
        </w:rPr>
        <w:t>1</w:t>
      </w:r>
      <w:r>
        <w:rPr>
          <w:rFonts w:hint="eastAsia" w:ascii="宋体" w:hAnsi="宋体"/>
          <w:szCs w:val="21"/>
        </w:rPr>
        <w:t>.1成交供应商应当在成交通知书发出之日起三十日内，按照磋商文件确定的事项与采购人签订政府采购合同。</w:t>
      </w:r>
    </w:p>
    <w:p>
      <w:pPr>
        <w:spacing w:line="440" w:lineRule="exact"/>
        <w:ind w:firstLine="525"/>
        <w:rPr>
          <w:rFonts w:ascii="宋体" w:hAnsi="宋体"/>
          <w:szCs w:val="21"/>
        </w:rPr>
      </w:pPr>
      <w:r>
        <w:rPr>
          <w:rFonts w:hint="eastAsia" w:ascii="宋体" w:hAnsi="宋体"/>
          <w:szCs w:val="21"/>
        </w:rPr>
        <w:t>3</w:t>
      </w:r>
      <w:r>
        <w:rPr>
          <w:rFonts w:ascii="宋体" w:hAnsi="宋体"/>
          <w:szCs w:val="21"/>
        </w:rPr>
        <w:t>1</w:t>
      </w:r>
      <w:r>
        <w:rPr>
          <w:rFonts w:hint="eastAsia" w:ascii="宋体" w:hAnsi="宋体"/>
          <w:szCs w:val="21"/>
        </w:rPr>
        <w:t>.2磋商文件、成交供应商的响应文件及磋商过程中有关澄清、承诺文件均应作为合同附件。</w:t>
      </w:r>
    </w:p>
    <w:p>
      <w:pPr>
        <w:spacing w:line="440" w:lineRule="exact"/>
        <w:ind w:firstLine="525"/>
        <w:rPr>
          <w:rFonts w:ascii="宋体" w:hAnsi="宋体"/>
          <w:szCs w:val="21"/>
        </w:rPr>
      </w:pPr>
      <w:r>
        <w:rPr>
          <w:rFonts w:hint="eastAsia" w:ascii="宋体" w:hAnsi="宋体"/>
          <w:szCs w:val="21"/>
        </w:rPr>
        <w:t>3</w:t>
      </w:r>
      <w:r>
        <w:rPr>
          <w:rFonts w:ascii="宋体" w:hAnsi="宋体"/>
          <w:szCs w:val="21"/>
        </w:rPr>
        <w:t>1</w:t>
      </w:r>
      <w:r>
        <w:rPr>
          <w:rFonts w:hint="eastAsia" w:ascii="宋体" w:hAnsi="宋体"/>
          <w:szCs w:val="21"/>
        </w:rPr>
        <w:t>.3 签订合同后，</w:t>
      </w:r>
      <w:r>
        <w:rPr>
          <w:rFonts w:hint="eastAsia" w:ascii="宋体" w:hAnsi="宋体"/>
          <w:i/>
          <w:szCs w:val="21"/>
          <w:u w:val="single"/>
        </w:rPr>
        <w:t>成交供应商不得将合同标的进行转包</w:t>
      </w:r>
      <w:r>
        <w:rPr>
          <w:rFonts w:hint="eastAsia" w:ascii="宋体" w:hAnsi="宋体"/>
          <w:szCs w:val="21"/>
        </w:rPr>
        <w:t>。</w:t>
      </w:r>
      <w:r>
        <w:rPr>
          <w:rFonts w:hint="eastAsia" w:ascii="宋体" w:hAnsi="宋体"/>
          <w:color w:val="000000"/>
          <w:szCs w:val="21"/>
        </w:rPr>
        <w:t>未经采购人同意</w:t>
      </w:r>
      <w:r>
        <w:rPr>
          <w:rFonts w:hint="eastAsia" w:ascii="宋体" w:hAnsi="宋体"/>
          <w:color w:val="FF0000"/>
          <w:szCs w:val="21"/>
        </w:rPr>
        <w:t>，</w:t>
      </w:r>
      <w:r>
        <w:rPr>
          <w:rFonts w:hint="eastAsia" w:ascii="宋体" w:hAnsi="宋体"/>
          <w:szCs w:val="21"/>
        </w:rPr>
        <w:t>成交供应商也不得采用分包形式履行合同,否则采购人有权终止合同。转包或分包造成采购人损失的，成交供应商应承担相应赔偿责任。</w:t>
      </w:r>
    </w:p>
    <w:p>
      <w:pPr>
        <w:keepNext/>
        <w:keepLines/>
        <w:spacing w:line="440" w:lineRule="exact"/>
        <w:ind w:firstLine="330"/>
        <w:outlineLvl w:val="3"/>
        <w:rPr>
          <w:rFonts w:ascii="黑体" w:hAnsi="黑体" w:eastAsia="黑体" w:cs="黑体"/>
          <w:sz w:val="22"/>
        </w:rPr>
      </w:pPr>
      <w:r>
        <w:rPr>
          <w:rFonts w:hint="eastAsia" w:ascii="黑体" w:hAnsi="黑体" w:eastAsia="黑体" w:cs="黑体"/>
          <w:sz w:val="22"/>
        </w:rPr>
        <w:t>32、标的物的追加</w:t>
      </w:r>
    </w:p>
    <w:p>
      <w:pPr>
        <w:spacing w:line="440" w:lineRule="exact"/>
        <w:ind w:firstLine="420"/>
        <w:rPr>
          <w:rFonts w:ascii="宋体" w:hAnsi="宋体"/>
          <w:szCs w:val="21"/>
          <w:highlight w:val="none"/>
        </w:rPr>
      </w:pPr>
      <w:r>
        <w:rPr>
          <w:rFonts w:hint="eastAsia" w:ascii="宋体" w:hAnsi="宋体"/>
          <w:szCs w:val="21"/>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bookmarkEnd w:id="162"/>
    <w:bookmarkEnd w:id="163"/>
    <w:bookmarkEnd w:id="164"/>
    <w:p>
      <w:pPr>
        <w:keepNext/>
        <w:keepLines/>
        <w:spacing w:line="440" w:lineRule="exact"/>
        <w:ind w:firstLine="330"/>
        <w:outlineLvl w:val="3"/>
        <w:rPr>
          <w:rFonts w:ascii="黑体" w:hAnsi="黑体" w:eastAsia="黑体" w:cs="黑体"/>
          <w:sz w:val="22"/>
        </w:rPr>
      </w:pPr>
      <w:bookmarkStart w:id="165" w:name="_Toc120614221"/>
      <w:bookmarkStart w:id="166" w:name="_Toc16938558"/>
      <w:bookmarkStart w:id="167" w:name="_Toc20823314"/>
      <w:bookmarkStart w:id="168" w:name="_Toc513029242"/>
      <w:bookmarkStart w:id="169" w:name="_Toc479757207"/>
      <w:r>
        <w:rPr>
          <w:rFonts w:hint="eastAsia" w:ascii="黑体" w:hAnsi="黑体" w:eastAsia="黑体" w:cs="黑体"/>
          <w:sz w:val="22"/>
        </w:rPr>
        <w:t>33、政府采购履约资金扶持政策</w:t>
      </w:r>
    </w:p>
    <w:p>
      <w:pPr>
        <w:spacing w:line="440" w:lineRule="exact"/>
        <w:rPr>
          <w:rFonts w:ascii="宋体" w:hAnsi="宋体"/>
          <w:bCs/>
          <w:sz w:val="24"/>
          <w:szCs w:val="24"/>
        </w:rPr>
      </w:pPr>
      <w:r>
        <w:rPr>
          <w:rFonts w:hint="eastAsia" w:ascii="宋体" w:hAnsi="宋体"/>
          <w:bCs/>
          <w:szCs w:val="21"/>
        </w:rPr>
        <w:t xml:space="preserve"> 成交供应商可凭政府采购合同办理融资贷款，详情请见江苏政府采购网“政采贷”专栏。</w:t>
      </w:r>
    </w:p>
    <w:p>
      <w:pPr>
        <w:keepNext/>
        <w:jc w:val="center"/>
        <w:outlineLvl w:val="0"/>
        <w:rPr>
          <w:rFonts w:ascii="黑体" w:hAnsi="Times New Roman" w:eastAsia="黑体"/>
          <w:bCs/>
          <w:sz w:val="44"/>
          <w:szCs w:val="28"/>
        </w:rPr>
      </w:pPr>
      <w:r>
        <w:rPr>
          <w:rFonts w:hint="eastAsia" w:ascii="黑体" w:hAnsi="Times New Roman" w:eastAsia="黑体"/>
          <w:bCs/>
          <w:sz w:val="44"/>
          <w:szCs w:val="28"/>
        </w:rPr>
        <w:br w:type="page" w:clear="all"/>
      </w:r>
      <w:r>
        <w:rPr>
          <w:rFonts w:hint="eastAsia" w:ascii="黑体" w:hAnsi="Times New Roman" w:eastAsia="黑体"/>
          <w:bCs/>
          <w:sz w:val="44"/>
          <w:szCs w:val="28"/>
        </w:rPr>
        <w:t>第三章  合同</w:t>
      </w:r>
      <w:bookmarkEnd w:id="165"/>
      <w:bookmarkEnd w:id="166"/>
      <w:bookmarkEnd w:id="167"/>
      <w:bookmarkEnd w:id="168"/>
      <w:bookmarkEnd w:id="169"/>
      <w:r>
        <w:rPr>
          <w:rFonts w:hint="eastAsia" w:ascii="黑体" w:hAnsi="Times New Roman" w:eastAsia="黑体"/>
          <w:bCs/>
          <w:sz w:val="44"/>
          <w:szCs w:val="28"/>
        </w:rPr>
        <w:t>文本</w:t>
      </w:r>
    </w:p>
    <w:p>
      <w:pPr>
        <w:spacing w:before="120" w:after="120" w:line="440" w:lineRule="exact"/>
        <w:jc w:val="center"/>
        <w:outlineLvl w:val="0"/>
        <w:rPr>
          <w:rFonts w:ascii="宋体" w:hAnsi="宋体"/>
          <w:bCs/>
          <w:color w:val="000000"/>
          <w:szCs w:val="21"/>
        </w:rPr>
      </w:pPr>
      <w:bookmarkStart w:id="170" w:name="_Hlt16619350"/>
      <w:bookmarkStart w:id="171" w:name="_Toc120614244"/>
      <w:bookmarkStart w:id="172" w:name="_Toc16938590"/>
      <w:bookmarkStart w:id="173" w:name="_Toc20823346"/>
      <w:bookmarkStart w:id="174" w:name="_Toc479757211"/>
      <w:bookmarkStart w:id="175" w:name="_Toc462564139"/>
      <w:r>
        <w:rPr>
          <w:rFonts w:hint="eastAsia" w:ascii="宋体" w:hAnsi="宋体"/>
          <w:bCs/>
          <w:color w:val="000000"/>
          <w:szCs w:val="21"/>
        </w:rPr>
        <w:t>以下为成交后签定本项目合同的通用条款，成交供应商不得提出实质性的修改。</w:t>
      </w:r>
    </w:p>
    <w:p>
      <w:pPr>
        <w:spacing w:before="120" w:after="120" w:line="440" w:lineRule="exact"/>
        <w:jc w:val="center"/>
        <w:outlineLvl w:val="0"/>
        <w:rPr>
          <w:rFonts w:ascii="宋体" w:hAnsi="宋体" w:cs="宋体"/>
          <w:b/>
          <w:szCs w:val="21"/>
        </w:rPr>
      </w:pPr>
      <w:r>
        <w:rPr>
          <w:rFonts w:hint="eastAsia" w:ascii="宋体" w:hAnsi="宋体" w:cs="宋体"/>
          <w:b/>
          <w:szCs w:val="21"/>
        </w:rPr>
        <w:t>江苏省政府采购合同（合同编号）</w:t>
      </w:r>
    </w:p>
    <w:p>
      <w:pPr>
        <w:pStyle w:val="28"/>
        <w:spacing w:line="440" w:lineRule="exact"/>
        <w:rPr>
          <w:rFonts w:hint="eastAsia" w:hAnsi="宋体" w:eastAsia="宋体" w:cs="宋体"/>
          <w:sz w:val="21"/>
          <w:lang w:eastAsia="zh-CN"/>
        </w:rPr>
      </w:pPr>
      <w:r>
        <w:rPr>
          <w:rFonts w:hint="eastAsia" w:hAnsi="宋体" w:cs="宋体"/>
          <w:sz w:val="21"/>
        </w:rPr>
        <w:t>项目名称：</w:t>
      </w:r>
    </w:p>
    <w:p>
      <w:pPr>
        <w:pStyle w:val="28"/>
        <w:spacing w:line="440" w:lineRule="exact"/>
        <w:rPr>
          <w:rFonts w:hAnsi="宋体" w:cs="宋体"/>
          <w:sz w:val="21"/>
        </w:rPr>
      </w:pPr>
      <w:r>
        <w:rPr>
          <w:rFonts w:hAnsi="宋体" w:cs="宋体"/>
          <w:sz w:val="21"/>
        </w:rPr>
        <w:t>项目编号：</w:t>
      </w:r>
    </w:p>
    <w:p>
      <w:pPr>
        <w:pStyle w:val="28"/>
        <w:spacing w:line="440" w:lineRule="exact"/>
        <w:rPr>
          <w:rFonts w:hAnsi="宋体" w:cs="宋体"/>
          <w:sz w:val="21"/>
        </w:rPr>
      </w:pPr>
      <w:r>
        <w:rPr>
          <w:rFonts w:hint="eastAsia" w:hAnsi="宋体" w:cs="宋体"/>
          <w:sz w:val="21"/>
        </w:rPr>
        <w:t>甲方（买方）：</w:t>
      </w:r>
      <w:r>
        <w:rPr>
          <w:rFonts w:hint="eastAsia" w:hAnsi="宋体" w:cs="宋体"/>
          <w:sz w:val="21"/>
          <w:u w:val="single"/>
        </w:rPr>
        <w:t xml:space="preserve">                         </w:t>
      </w:r>
    </w:p>
    <w:p>
      <w:pPr>
        <w:pStyle w:val="28"/>
        <w:spacing w:line="440" w:lineRule="exact"/>
        <w:rPr>
          <w:rFonts w:hAnsi="宋体" w:cs="宋体"/>
          <w:sz w:val="21"/>
        </w:rPr>
      </w:pPr>
      <w:r>
        <w:rPr>
          <w:rFonts w:hint="eastAsia" w:hAnsi="宋体" w:cs="宋体"/>
          <w:sz w:val="21"/>
        </w:rPr>
        <w:t>乙方（卖方）：</w:t>
      </w:r>
      <w:r>
        <w:rPr>
          <w:rFonts w:hint="eastAsia" w:hAnsi="宋体" w:cs="宋体"/>
          <w:sz w:val="21"/>
          <w:u w:val="single"/>
        </w:rPr>
        <w:t xml:space="preserve">                         </w:t>
      </w:r>
    </w:p>
    <w:p>
      <w:pPr>
        <w:pStyle w:val="28"/>
        <w:spacing w:line="440" w:lineRule="exact"/>
        <w:rPr>
          <w:rFonts w:hint="eastAsia" w:hAnsi="宋体" w:eastAsia="宋体" w:cs="宋体"/>
          <w:sz w:val="21"/>
          <w:lang w:eastAsia="zh-CN"/>
        </w:rPr>
      </w:pPr>
      <w:r>
        <w:rPr>
          <w:rFonts w:hint="eastAsia" w:hAnsi="宋体" w:cs="宋体"/>
          <w:sz w:val="21"/>
        </w:rPr>
        <w:t>见证方：</w:t>
      </w:r>
      <w:r>
        <w:rPr>
          <w:rFonts w:hint="eastAsia" w:hAnsi="宋体" w:cs="宋体"/>
          <w:sz w:val="21"/>
          <w:lang w:eastAsia="zh-CN"/>
        </w:rPr>
        <w:t>中海华咨询有限公司</w:t>
      </w:r>
    </w:p>
    <w:p>
      <w:pPr>
        <w:spacing w:line="440" w:lineRule="exact"/>
        <w:ind w:firstLine="420"/>
        <w:rPr>
          <w:rFonts w:ascii="宋体" w:hAnsi="宋体"/>
          <w:szCs w:val="21"/>
        </w:rPr>
      </w:pPr>
      <w:r>
        <w:rPr>
          <w:rFonts w:hint="eastAsia" w:ascii="宋体" w:hAnsi="宋体"/>
          <w:szCs w:val="21"/>
        </w:rPr>
        <w:t>甲、乙双方根据</w:t>
      </w:r>
      <w:r>
        <w:rPr>
          <w:rFonts w:hint="eastAsia" w:ascii="宋体" w:hAnsi="宋体"/>
          <w:szCs w:val="21"/>
          <w:lang w:eastAsia="zh-CN"/>
        </w:rPr>
        <w:t>中海华咨询有限公司</w:t>
      </w:r>
      <w:r>
        <w:rPr>
          <w:rFonts w:hint="eastAsia" w:ascii="宋体" w:hAnsi="宋体"/>
          <w:szCs w:val="21"/>
          <w:u w:val="single"/>
        </w:rPr>
        <w:t xml:space="preserve">         </w:t>
      </w:r>
      <w:r>
        <w:rPr>
          <w:rFonts w:hint="eastAsia" w:ascii="宋体" w:hAnsi="宋体"/>
          <w:szCs w:val="21"/>
        </w:rPr>
        <w:t>项目竞争性磋商的结果，签署本合同。</w:t>
      </w:r>
    </w:p>
    <w:p>
      <w:pPr>
        <w:pStyle w:val="28"/>
        <w:spacing w:line="440" w:lineRule="exact"/>
        <w:ind w:firstLine="422"/>
        <w:rPr>
          <w:rFonts w:hAnsi="宋体" w:cs="宋体"/>
          <w:b/>
          <w:bCs/>
          <w:sz w:val="21"/>
        </w:rPr>
      </w:pPr>
      <w:r>
        <w:rPr>
          <w:rFonts w:hint="eastAsia" w:hAnsi="宋体" w:cs="宋体"/>
          <w:b/>
          <w:bCs/>
          <w:sz w:val="21"/>
        </w:rPr>
        <w:t>一、合同内容</w:t>
      </w:r>
    </w:p>
    <w:p>
      <w:pPr>
        <w:pStyle w:val="28"/>
        <w:spacing w:line="440" w:lineRule="exact"/>
        <w:ind w:firstLine="420"/>
        <w:rPr>
          <w:rFonts w:hAnsi="宋体" w:cs="宋体"/>
          <w:sz w:val="21"/>
        </w:rPr>
      </w:pPr>
      <w:r>
        <w:rPr>
          <w:rFonts w:hint="eastAsia" w:hAnsi="宋体" w:cs="宋体"/>
          <w:sz w:val="21"/>
        </w:rPr>
        <w:t>1.1 标的名称：</w:t>
      </w:r>
    </w:p>
    <w:p>
      <w:pPr>
        <w:pStyle w:val="28"/>
        <w:spacing w:line="440" w:lineRule="exact"/>
        <w:ind w:firstLine="420"/>
        <w:rPr>
          <w:rFonts w:hAnsi="宋体" w:cs="宋体"/>
          <w:sz w:val="21"/>
        </w:rPr>
      </w:pPr>
      <w:r>
        <w:rPr>
          <w:rFonts w:hint="eastAsia" w:hAnsi="宋体" w:cs="宋体"/>
          <w:sz w:val="21"/>
        </w:rPr>
        <w:t>1.2 标的质量：</w:t>
      </w:r>
    </w:p>
    <w:p>
      <w:pPr>
        <w:pStyle w:val="28"/>
        <w:spacing w:line="440" w:lineRule="exact"/>
        <w:ind w:firstLine="420"/>
        <w:rPr>
          <w:rFonts w:hAnsi="宋体" w:cs="宋体"/>
          <w:sz w:val="21"/>
        </w:rPr>
      </w:pPr>
      <w:r>
        <w:rPr>
          <w:rFonts w:hint="eastAsia" w:hAnsi="宋体" w:cs="宋体"/>
          <w:sz w:val="21"/>
        </w:rPr>
        <w:t>1.3 标的数量（规模）：</w:t>
      </w:r>
    </w:p>
    <w:p>
      <w:pPr>
        <w:pStyle w:val="28"/>
        <w:spacing w:line="440" w:lineRule="exact"/>
        <w:ind w:firstLine="420"/>
        <w:rPr>
          <w:rFonts w:hAnsi="宋体" w:cs="宋体"/>
          <w:sz w:val="21"/>
          <w:highlight w:val="none"/>
        </w:rPr>
      </w:pPr>
      <w:r>
        <w:rPr>
          <w:rFonts w:hint="eastAsia" w:hAnsi="宋体" w:cs="宋体"/>
          <w:sz w:val="21"/>
          <w:highlight w:val="none"/>
        </w:rPr>
        <w:t>1.4 履行时间（期限）：</w:t>
      </w:r>
      <w:r>
        <w:rPr>
          <w:rFonts w:hint="eastAsia" w:hAnsi="宋体" w:cs="宋体"/>
          <w:sz w:val="21"/>
          <w:highlight w:val="none"/>
          <w:u w:val="single"/>
          <w:lang w:val="en-US" w:eastAsia="zh-CN"/>
        </w:rPr>
        <w:t xml:space="preserve">   </w:t>
      </w:r>
      <w:r>
        <w:rPr>
          <w:rFonts w:hint="eastAsia" w:hAnsi="宋体" w:cs="宋体"/>
          <w:sz w:val="21"/>
          <w:highlight w:val="none"/>
        </w:rPr>
        <w:t>年，自</w:t>
      </w:r>
      <w:r>
        <w:rPr>
          <w:rFonts w:hint="eastAsia" w:hAnsi="宋体" w:cs="宋体"/>
          <w:sz w:val="21"/>
          <w:highlight w:val="none"/>
          <w:u w:val="single"/>
        </w:rPr>
        <w:t xml:space="preserve">    </w:t>
      </w:r>
      <w:r>
        <w:rPr>
          <w:rFonts w:hint="eastAsia" w:hAnsi="宋体" w:cs="宋体"/>
          <w:sz w:val="21"/>
          <w:highlight w:val="none"/>
        </w:rPr>
        <w:t>年</w:t>
      </w:r>
      <w:r>
        <w:rPr>
          <w:rFonts w:hint="eastAsia" w:hAnsi="宋体" w:cs="宋体"/>
          <w:sz w:val="21"/>
          <w:highlight w:val="none"/>
          <w:u w:val="single"/>
        </w:rPr>
        <w:t xml:space="preserve">   </w:t>
      </w:r>
      <w:r>
        <w:rPr>
          <w:rFonts w:hint="eastAsia" w:hAnsi="宋体" w:cs="宋体"/>
          <w:sz w:val="21"/>
          <w:highlight w:val="none"/>
        </w:rPr>
        <w:t>月</w:t>
      </w:r>
      <w:r>
        <w:rPr>
          <w:rFonts w:hint="eastAsia" w:hAnsi="宋体" w:cs="宋体"/>
          <w:sz w:val="21"/>
          <w:highlight w:val="none"/>
          <w:u w:val="single"/>
        </w:rPr>
        <w:t xml:space="preserve">   </w:t>
      </w:r>
      <w:r>
        <w:rPr>
          <w:rFonts w:hint="eastAsia" w:hAnsi="宋体" w:cs="宋体"/>
          <w:sz w:val="21"/>
          <w:highlight w:val="none"/>
        </w:rPr>
        <w:t>日起至</w:t>
      </w:r>
      <w:r>
        <w:rPr>
          <w:rFonts w:hint="eastAsia" w:hAnsi="宋体" w:cs="宋体"/>
          <w:sz w:val="21"/>
          <w:highlight w:val="none"/>
          <w:u w:val="single"/>
        </w:rPr>
        <w:t xml:space="preserve">    </w:t>
      </w:r>
      <w:r>
        <w:rPr>
          <w:rFonts w:hint="eastAsia" w:hAnsi="宋体" w:cs="宋体"/>
          <w:sz w:val="21"/>
          <w:highlight w:val="none"/>
        </w:rPr>
        <w:t>年</w:t>
      </w:r>
      <w:r>
        <w:rPr>
          <w:rFonts w:hint="eastAsia" w:hAnsi="宋体" w:cs="宋体"/>
          <w:sz w:val="21"/>
          <w:highlight w:val="none"/>
          <w:u w:val="single"/>
        </w:rPr>
        <w:t xml:space="preserve">   </w:t>
      </w:r>
      <w:r>
        <w:rPr>
          <w:rFonts w:hint="eastAsia" w:hAnsi="宋体" w:cs="宋体"/>
          <w:sz w:val="21"/>
          <w:highlight w:val="none"/>
        </w:rPr>
        <w:t>月</w:t>
      </w:r>
      <w:r>
        <w:rPr>
          <w:rFonts w:hint="eastAsia" w:hAnsi="宋体" w:cs="宋体"/>
          <w:sz w:val="21"/>
          <w:highlight w:val="none"/>
          <w:u w:val="single"/>
        </w:rPr>
        <w:t xml:space="preserve">   </w:t>
      </w:r>
      <w:r>
        <w:rPr>
          <w:rFonts w:hint="eastAsia" w:hAnsi="宋体" w:cs="宋体"/>
          <w:sz w:val="21"/>
          <w:highlight w:val="none"/>
        </w:rPr>
        <w:t>日止。</w:t>
      </w:r>
    </w:p>
    <w:p>
      <w:pPr>
        <w:pStyle w:val="28"/>
        <w:spacing w:line="440" w:lineRule="exact"/>
        <w:ind w:firstLine="420"/>
        <w:rPr>
          <w:rFonts w:hAnsi="宋体" w:cs="宋体"/>
          <w:sz w:val="21"/>
        </w:rPr>
      </w:pPr>
      <w:r>
        <w:rPr>
          <w:rFonts w:hint="eastAsia" w:hAnsi="宋体" w:cs="宋体"/>
          <w:sz w:val="21"/>
        </w:rPr>
        <w:t>1.5 履行地点：甲方指定地点</w:t>
      </w:r>
    </w:p>
    <w:p>
      <w:pPr>
        <w:pStyle w:val="28"/>
        <w:spacing w:line="440" w:lineRule="exact"/>
        <w:ind w:firstLine="420"/>
        <w:rPr>
          <w:rFonts w:hAnsi="宋体" w:cs="宋体"/>
          <w:sz w:val="21"/>
        </w:rPr>
      </w:pPr>
      <w:r>
        <w:rPr>
          <w:rFonts w:hint="eastAsia" w:hAnsi="宋体" w:cs="宋体"/>
          <w:sz w:val="21"/>
        </w:rPr>
        <w:t>1.6 履行方式：</w:t>
      </w:r>
    </w:p>
    <w:p>
      <w:pPr>
        <w:pStyle w:val="28"/>
        <w:spacing w:line="440" w:lineRule="exact"/>
        <w:ind w:firstLine="422"/>
        <w:rPr>
          <w:rFonts w:hAnsi="宋体" w:cs="宋体"/>
          <w:b/>
          <w:bCs/>
          <w:sz w:val="21"/>
        </w:rPr>
      </w:pPr>
      <w:r>
        <w:rPr>
          <w:rFonts w:hint="eastAsia" w:hAnsi="宋体" w:cs="宋体"/>
          <w:b/>
          <w:bCs/>
          <w:sz w:val="21"/>
        </w:rPr>
        <w:t>二、合同金额</w:t>
      </w:r>
    </w:p>
    <w:p>
      <w:pPr>
        <w:pStyle w:val="28"/>
        <w:spacing w:line="440" w:lineRule="exact"/>
        <w:ind w:firstLine="420"/>
        <w:rPr>
          <w:rFonts w:hAnsi="宋体" w:cs="宋体"/>
          <w:sz w:val="21"/>
        </w:rPr>
      </w:pPr>
      <w:r>
        <w:rPr>
          <w:rFonts w:hint="eastAsia" w:hAnsi="宋体" w:cs="宋体"/>
          <w:sz w:val="21"/>
        </w:rPr>
        <w:t>2.1本合同金额为（大写）：</w:t>
      </w:r>
      <w:r>
        <w:rPr>
          <w:rFonts w:hint="eastAsia" w:hAnsi="宋体" w:cs="宋体"/>
          <w:sz w:val="21"/>
          <w:u w:val="single"/>
        </w:rPr>
        <w:t xml:space="preserve">           </w:t>
      </w:r>
      <w:r>
        <w:rPr>
          <w:rFonts w:hint="eastAsia" w:hAnsi="宋体" w:cs="宋体"/>
          <w:sz w:val="21"/>
        </w:rPr>
        <w:t>圆（</w:t>
      </w:r>
      <w:r>
        <w:rPr>
          <w:rFonts w:hint="eastAsia" w:hAnsi="宋体" w:cs="宋体"/>
          <w:sz w:val="21"/>
          <w:u w:val="single"/>
        </w:rPr>
        <w:t xml:space="preserve">             </w:t>
      </w:r>
      <w:r>
        <w:rPr>
          <w:rFonts w:hint="eastAsia" w:hAnsi="宋体" w:cs="宋体"/>
          <w:sz w:val="21"/>
        </w:rPr>
        <w:t>元）人民币。</w:t>
      </w:r>
    </w:p>
    <w:p>
      <w:pPr>
        <w:pStyle w:val="28"/>
        <w:spacing w:line="440" w:lineRule="exact"/>
        <w:ind w:firstLine="422"/>
        <w:rPr>
          <w:rFonts w:hAnsi="宋体" w:cs="宋体"/>
          <w:b/>
          <w:bCs/>
          <w:sz w:val="21"/>
        </w:rPr>
      </w:pPr>
      <w:r>
        <w:rPr>
          <w:rFonts w:hint="eastAsia" w:hAnsi="宋体" w:cs="宋体"/>
          <w:b/>
          <w:bCs/>
          <w:sz w:val="21"/>
        </w:rPr>
        <w:t>三、技术资料</w:t>
      </w:r>
    </w:p>
    <w:p>
      <w:pPr>
        <w:pStyle w:val="28"/>
        <w:spacing w:line="440" w:lineRule="exact"/>
        <w:ind w:firstLine="420"/>
        <w:rPr>
          <w:rFonts w:hAnsi="宋体" w:cs="宋体"/>
          <w:sz w:val="21"/>
        </w:rPr>
      </w:pPr>
      <w:r>
        <w:rPr>
          <w:rFonts w:hint="eastAsia" w:hAnsi="宋体" w:cs="宋体"/>
          <w:sz w:val="21"/>
        </w:rPr>
        <w:t>3.1乙方应按</w:t>
      </w:r>
      <w:r>
        <w:rPr>
          <w:rFonts w:hint="eastAsia" w:hAnsi="宋体" w:cs="宋体"/>
          <w:sz w:val="21"/>
          <w:lang w:val="en-US" w:eastAsia="zh-CN"/>
        </w:rPr>
        <w:t>磋商</w:t>
      </w:r>
      <w:r>
        <w:rPr>
          <w:rFonts w:hint="eastAsia" w:hAnsi="宋体" w:cs="宋体"/>
          <w:sz w:val="21"/>
        </w:rPr>
        <w:t>文件规定的时间向甲方提供服务（包含与服务相关的货物）的有关技术资料。</w:t>
      </w:r>
    </w:p>
    <w:p>
      <w:pPr>
        <w:pStyle w:val="28"/>
        <w:spacing w:line="440" w:lineRule="exact"/>
        <w:ind w:firstLine="420"/>
        <w:rPr>
          <w:rFonts w:hAnsi="宋体" w:cs="宋体"/>
          <w:sz w:val="21"/>
        </w:rPr>
      </w:pPr>
      <w:r>
        <w:rPr>
          <w:rFonts w:hint="eastAsia" w:hAnsi="宋体" w:cs="宋体"/>
          <w:sz w:val="21"/>
        </w:rPr>
        <w:t>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pStyle w:val="28"/>
        <w:spacing w:line="440" w:lineRule="exact"/>
        <w:ind w:firstLine="422"/>
        <w:rPr>
          <w:rFonts w:hAnsi="宋体" w:cs="宋体"/>
          <w:b/>
          <w:bCs/>
          <w:sz w:val="21"/>
        </w:rPr>
      </w:pPr>
      <w:r>
        <w:rPr>
          <w:rFonts w:hint="eastAsia" w:hAnsi="宋体" w:cs="宋体"/>
          <w:b/>
          <w:bCs/>
          <w:sz w:val="21"/>
        </w:rPr>
        <w:t>四</w:t>
      </w:r>
      <w:bookmarkStart w:id="176" w:name="_Hlk33807242"/>
      <w:r>
        <w:rPr>
          <w:rFonts w:hint="eastAsia" w:hAnsi="宋体" w:cs="宋体"/>
          <w:b/>
          <w:bCs/>
          <w:sz w:val="21"/>
        </w:rPr>
        <w:t>、知识产权</w:t>
      </w:r>
    </w:p>
    <w:p>
      <w:pPr>
        <w:pStyle w:val="28"/>
        <w:spacing w:line="440" w:lineRule="exact"/>
        <w:ind w:firstLine="420"/>
        <w:rPr>
          <w:rFonts w:hAnsi="宋体" w:cs="宋体"/>
          <w:sz w:val="21"/>
        </w:rPr>
      </w:pPr>
      <w:r>
        <w:rPr>
          <w:rFonts w:hint="eastAsia" w:hAnsi="宋体" w:cs="宋体"/>
          <w:sz w:val="21"/>
        </w:rPr>
        <w:t>4.1乙方应保证甲方在使用、接受本合同服务（包含与服务相关的货物）或其任何一部分时不受第三方提出侵犯其专利权、版权、商标权和工业设计权等知识产权的起诉。一旦出现侵权，由乙方负全部责任。</w:t>
      </w:r>
      <w:bookmarkEnd w:id="176"/>
    </w:p>
    <w:p>
      <w:pPr>
        <w:pStyle w:val="28"/>
        <w:spacing w:line="440" w:lineRule="exact"/>
        <w:ind w:firstLine="422"/>
        <w:rPr>
          <w:rFonts w:hAnsi="宋体" w:cs="宋体"/>
          <w:b/>
          <w:bCs/>
          <w:sz w:val="21"/>
        </w:rPr>
      </w:pPr>
      <w:r>
        <w:rPr>
          <w:rFonts w:hint="eastAsia" w:hAnsi="宋体" w:cs="宋体"/>
          <w:b/>
          <w:bCs/>
          <w:sz w:val="21"/>
        </w:rPr>
        <w:t>五、产权担保</w:t>
      </w:r>
    </w:p>
    <w:p>
      <w:pPr>
        <w:pStyle w:val="28"/>
        <w:spacing w:line="440" w:lineRule="exact"/>
        <w:ind w:firstLine="420"/>
        <w:rPr>
          <w:rFonts w:hAnsi="宋体" w:cs="宋体"/>
          <w:sz w:val="21"/>
        </w:rPr>
      </w:pPr>
      <w:r>
        <w:rPr>
          <w:rFonts w:hint="eastAsia" w:hAnsi="宋体" w:cs="宋体"/>
          <w:sz w:val="21"/>
        </w:rPr>
        <w:t>5.1乙方保证所交付的服务（包含与服务相关的货物）的所有权完全属于乙方且无任何抵押、查封等产权瑕疵。</w:t>
      </w:r>
    </w:p>
    <w:p>
      <w:pPr>
        <w:pStyle w:val="28"/>
        <w:spacing w:line="440" w:lineRule="exact"/>
        <w:ind w:firstLine="422"/>
        <w:rPr>
          <w:rFonts w:hAnsi="宋体" w:cs="宋体"/>
          <w:b/>
          <w:bCs/>
          <w:sz w:val="21"/>
        </w:rPr>
      </w:pPr>
      <w:r>
        <w:rPr>
          <w:rFonts w:hint="eastAsia" w:hAnsi="宋体" w:cs="宋体"/>
          <w:b/>
          <w:bCs/>
          <w:sz w:val="21"/>
        </w:rPr>
        <w:t>六、履约保证金</w:t>
      </w:r>
    </w:p>
    <w:p>
      <w:pPr>
        <w:pStyle w:val="28"/>
        <w:spacing w:line="440" w:lineRule="exact"/>
        <w:ind w:firstLine="420"/>
        <w:rPr>
          <w:rFonts w:hAnsi="宋体" w:cs="宋体"/>
          <w:sz w:val="21"/>
        </w:rPr>
      </w:pPr>
      <w:r>
        <w:rPr>
          <w:rFonts w:hint="eastAsia" w:hAnsi="宋体" w:cs="宋体"/>
          <w:sz w:val="21"/>
        </w:rPr>
        <w:t>6.1 乙方交纳人民币</w:t>
      </w:r>
      <w:r>
        <w:rPr>
          <w:rFonts w:hint="eastAsia" w:hAnsi="宋体" w:cs="宋体"/>
          <w:sz w:val="21"/>
          <w:u w:val="single"/>
        </w:rPr>
        <w:t xml:space="preserve">  零  </w:t>
      </w:r>
      <w:r>
        <w:rPr>
          <w:rFonts w:hint="eastAsia" w:hAnsi="宋体" w:cs="宋体"/>
          <w:sz w:val="21"/>
        </w:rPr>
        <w:t>元作为本合同的履约保证金。（不得超过合同金额的10%）</w:t>
      </w:r>
    </w:p>
    <w:p>
      <w:pPr>
        <w:pStyle w:val="28"/>
        <w:spacing w:line="440" w:lineRule="exact"/>
        <w:ind w:firstLine="420"/>
        <w:rPr>
          <w:rFonts w:hAnsi="宋体" w:cs="宋体"/>
          <w:sz w:val="21"/>
        </w:rPr>
      </w:pPr>
      <w:r>
        <w:rPr>
          <w:rFonts w:hint="eastAsia" w:hAnsi="宋体" w:cs="宋体"/>
          <w:sz w:val="21"/>
        </w:rPr>
        <w:t>6.2合同履行结束后，甲方应及时退还交纳的履约保证金。</w:t>
      </w:r>
    </w:p>
    <w:p>
      <w:pPr>
        <w:pStyle w:val="28"/>
        <w:spacing w:line="440" w:lineRule="exact"/>
        <w:ind w:firstLine="420"/>
        <w:rPr>
          <w:rFonts w:hAnsi="宋体" w:cs="宋体"/>
          <w:sz w:val="21"/>
        </w:rPr>
      </w:pPr>
      <w:r>
        <w:rPr>
          <w:rFonts w:hint="eastAsia" w:hAnsi="宋体" w:cs="宋体"/>
          <w:sz w:val="21"/>
        </w:rPr>
        <w:t>6.2.1履约保证金退还方式：无。</w:t>
      </w:r>
    </w:p>
    <w:p>
      <w:pPr>
        <w:pStyle w:val="28"/>
        <w:spacing w:line="440" w:lineRule="exact"/>
        <w:ind w:firstLine="420"/>
        <w:rPr>
          <w:rFonts w:hAnsi="宋体" w:cs="宋体"/>
          <w:sz w:val="21"/>
        </w:rPr>
      </w:pPr>
      <w:r>
        <w:rPr>
          <w:rFonts w:hint="eastAsia" w:hAnsi="宋体" w:cs="宋体"/>
          <w:sz w:val="21"/>
        </w:rPr>
        <w:t>6.2.2履约保证金退还时间：无。</w:t>
      </w:r>
    </w:p>
    <w:p>
      <w:pPr>
        <w:pStyle w:val="28"/>
        <w:spacing w:line="440" w:lineRule="exact"/>
        <w:ind w:firstLine="420"/>
        <w:rPr>
          <w:rFonts w:hAnsi="宋体" w:cs="宋体"/>
          <w:sz w:val="21"/>
        </w:rPr>
      </w:pPr>
      <w:r>
        <w:rPr>
          <w:rFonts w:hint="eastAsia" w:hAnsi="宋体" w:cs="宋体"/>
          <w:sz w:val="21"/>
        </w:rPr>
        <w:t>6.2.3履约保证金退还条件：无。</w:t>
      </w:r>
    </w:p>
    <w:p>
      <w:pPr>
        <w:pStyle w:val="28"/>
        <w:spacing w:line="436" w:lineRule="exact"/>
        <w:ind w:firstLine="420"/>
        <w:rPr>
          <w:rFonts w:hAnsi="宋体" w:cs="宋体"/>
          <w:sz w:val="21"/>
        </w:rPr>
      </w:pPr>
      <w:r>
        <w:rPr>
          <w:rFonts w:hint="eastAsia" w:hAnsi="宋体" w:cs="宋体"/>
          <w:sz w:val="21"/>
        </w:rPr>
        <w:t>6.2.4履约保证金不予退还的情形：无</w:t>
      </w:r>
      <w:r>
        <w:rPr>
          <w:rFonts w:hAnsi="宋体" w:cs="宋体"/>
          <w:sz w:val="21"/>
        </w:rPr>
        <w:t>。</w:t>
      </w:r>
    </w:p>
    <w:p>
      <w:pPr>
        <w:pStyle w:val="28"/>
        <w:spacing w:line="440" w:lineRule="exact"/>
        <w:ind w:firstLine="420"/>
        <w:rPr>
          <w:rFonts w:hAnsi="宋体" w:cs="宋体"/>
          <w:sz w:val="21"/>
        </w:rPr>
      </w:pPr>
      <w:r>
        <w:rPr>
          <w:rFonts w:hint="eastAsia" w:hAnsi="宋体" w:cs="宋体"/>
          <w:sz w:val="21"/>
        </w:rPr>
        <w:t>6.2.5履约保证金逾期退还的违约责任：无。</w:t>
      </w:r>
    </w:p>
    <w:p>
      <w:pPr>
        <w:pStyle w:val="28"/>
        <w:spacing w:line="440" w:lineRule="exact"/>
        <w:ind w:firstLine="420"/>
        <w:rPr>
          <w:rFonts w:hAnsi="宋体" w:cs="宋体"/>
          <w:b/>
          <w:bCs/>
          <w:sz w:val="21"/>
        </w:rPr>
      </w:pPr>
      <w:r>
        <w:rPr>
          <w:rFonts w:hint="eastAsia" w:hAnsi="宋体" w:cs="宋体"/>
          <w:b/>
          <w:bCs/>
          <w:sz w:val="21"/>
        </w:rPr>
        <w:t>七、合同转包或分包</w:t>
      </w:r>
    </w:p>
    <w:p>
      <w:pPr>
        <w:pStyle w:val="28"/>
        <w:spacing w:line="440" w:lineRule="exact"/>
        <w:ind w:firstLine="420"/>
        <w:rPr>
          <w:rFonts w:hAnsi="宋体" w:cs="宋体"/>
          <w:sz w:val="21"/>
        </w:rPr>
      </w:pPr>
      <w:r>
        <w:rPr>
          <w:rFonts w:hint="eastAsia" w:hAnsi="宋体" w:cs="宋体"/>
          <w:sz w:val="21"/>
        </w:rPr>
        <w:t>7.1乙方不得将合同标的转包给他人履行。</w:t>
      </w:r>
    </w:p>
    <w:p>
      <w:pPr>
        <w:pStyle w:val="28"/>
        <w:spacing w:line="440" w:lineRule="exact"/>
        <w:ind w:firstLine="420"/>
        <w:rPr>
          <w:rFonts w:hAnsi="宋体" w:cs="宋体"/>
          <w:sz w:val="21"/>
        </w:rPr>
      </w:pPr>
      <w:r>
        <w:rPr>
          <w:rFonts w:hint="eastAsia" w:hAnsi="宋体" w:cs="宋体"/>
          <w:sz w:val="21"/>
        </w:rPr>
        <w:t>7.2乙方不得将合同标的分包给他人履行。</w:t>
      </w:r>
    </w:p>
    <w:p>
      <w:pPr>
        <w:pStyle w:val="28"/>
        <w:spacing w:line="440" w:lineRule="exact"/>
        <w:ind w:firstLine="420"/>
        <w:rPr>
          <w:rFonts w:hAnsi="宋体" w:cs="宋体"/>
          <w:sz w:val="21"/>
        </w:rPr>
      </w:pPr>
      <w:r>
        <w:rPr>
          <w:rFonts w:hint="eastAsia" w:hAnsi="宋体" w:cs="宋体"/>
          <w:sz w:val="21"/>
        </w:rPr>
        <w:t>7.3乙方如有转包或未经甲方同意的分包行为，甲方有权解除合同。</w:t>
      </w:r>
    </w:p>
    <w:p>
      <w:pPr>
        <w:pStyle w:val="28"/>
        <w:spacing w:line="440" w:lineRule="exact"/>
        <w:ind w:left="315" w:firstLine="105"/>
        <w:rPr>
          <w:rFonts w:hAnsi="宋体" w:cs="宋体"/>
          <w:b/>
          <w:bCs/>
          <w:sz w:val="21"/>
        </w:rPr>
      </w:pPr>
      <w:r>
        <w:rPr>
          <w:rFonts w:hint="eastAsia" w:hAnsi="宋体" w:cs="宋体"/>
          <w:b/>
          <w:bCs/>
          <w:sz w:val="21"/>
        </w:rPr>
        <w:t>八、合同款项支付</w:t>
      </w:r>
    </w:p>
    <w:p>
      <w:pPr>
        <w:pStyle w:val="28"/>
        <w:spacing w:line="440" w:lineRule="exact"/>
        <w:ind w:firstLine="420"/>
        <w:rPr>
          <w:rFonts w:hAnsi="宋体" w:cs="宋体"/>
          <w:bCs/>
          <w:sz w:val="21"/>
        </w:rPr>
      </w:pPr>
      <w:r>
        <w:rPr>
          <w:rFonts w:hint="eastAsia" w:hAnsi="宋体" w:cs="宋体"/>
          <w:bCs/>
          <w:sz w:val="21"/>
        </w:rPr>
        <w:t>8.1合同款项的支付方式及进度安排：</w:t>
      </w:r>
    </w:p>
    <w:p>
      <w:pPr>
        <w:pStyle w:val="28"/>
        <w:spacing w:line="440" w:lineRule="exact"/>
        <w:ind w:firstLine="422"/>
        <w:rPr>
          <w:rFonts w:hint="eastAsia" w:hAnsi="宋体" w:cs="宋体"/>
          <w:b/>
          <w:bCs/>
          <w:sz w:val="21"/>
          <w:highlight w:val="none"/>
          <w:u w:val="none"/>
        </w:rPr>
      </w:pPr>
      <w:r>
        <w:rPr>
          <w:rFonts w:hint="eastAsia" w:hAnsi="宋体" w:cs="宋体"/>
          <w:b/>
          <w:bCs/>
          <w:sz w:val="21"/>
          <w:highlight w:val="none"/>
          <w:u w:val="none"/>
        </w:rPr>
        <w:t>(1)合同签订之后，乙方向甲方开具增值税发票(全额发票，不得开具差额发票), 甲方自收到发票之日起10</w:t>
      </w:r>
      <w:r>
        <w:rPr>
          <w:rFonts w:hint="eastAsia" w:hAnsi="宋体" w:cs="宋体"/>
          <w:b/>
          <w:bCs/>
          <w:sz w:val="21"/>
          <w:highlight w:val="none"/>
          <w:u w:val="none"/>
          <w:lang w:val="en-US" w:eastAsia="zh-CN"/>
        </w:rPr>
        <w:t>个工作日</w:t>
      </w:r>
      <w:r>
        <w:rPr>
          <w:rFonts w:hint="eastAsia" w:hAnsi="宋体" w:cs="宋体"/>
          <w:b/>
          <w:bCs/>
          <w:sz w:val="21"/>
          <w:highlight w:val="none"/>
          <w:u w:val="none"/>
        </w:rPr>
        <w:t>内支付合同总价的30%的预付款;</w:t>
      </w:r>
    </w:p>
    <w:p>
      <w:pPr>
        <w:pStyle w:val="28"/>
        <w:spacing w:line="440" w:lineRule="exact"/>
        <w:ind w:firstLine="422"/>
        <w:rPr>
          <w:rFonts w:hAnsi="宋体" w:cs="宋体"/>
          <w:b/>
          <w:sz w:val="21"/>
          <w:highlight w:val="none"/>
          <w:u w:val="none"/>
        </w:rPr>
      </w:pPr>
      <w:r>
        <w:rPr>
          <w:rFonts w:hint="eastAsia" w:hAnsi="宋体" w:cs="宋体"/>
          <w:b/>
          <w:bCs/>
          <w:sz w:val="21"/>
          <w:highlight w:val="none"/>
          <w:u w:val="none"/>
        </w:rPr>
        <w:t>(2)甲乙双方确认每月实际工作量后，乙方向甲方开具增值税发票，次月支付。</w:t>
      </w:r>
    </w:p>
    <w:p>
      <w:pPr>
        <w:pStyle w:val="28"/>
        <w:spacing w:line="440" w:lineRule="exact"/>
        <w:ind w:left="315" w:firstLine="105"/>
        <w:rPr>
          <w:rFonts w:hAnsi="宋体" w:cs="宋体"/>
          <w:b/>
          <w:bCs/>
          <w:sz w:val="21"/>
        </w:rPr>
      </w:pPr>
      <w:r>
        <w:rPr>
          <w:rFonts w:hint="eastAsia" w:hAnsi="宋体" w:cs="宋体"/>
          <w:b/>
          <w:bCs/>
          <w:sz w:val="21"/>
        </w:rPr>
        <w:t>九、税费</w:t>
      </w:r>
    </w:p>
    <w:p>
      <w:pPr>
        <w:pStyle w:val="28"/>
        <w:spacing w:line="440" w:lineRule="exact"/>
        <w:ind w:firstLine="420"/>
        <w:rPr>
          <w:rFonts w:hAnsi="宋体" w:cs="宋体"/>
          <w:b/>
          <w:bCs/>
          <w:sz w:val="21"/>
        </w:rPr>
      </w:pPr>
      <w:r>
        <w:rPr>
          <w:rFonts w:hint="eastAsia" w:hAnsi="宋体" w:cs="宋体"/>
          <w:sz w:val="21"/>
        </w:rPr>
        <w:t>9.1本合同执行中相关的一切税费均由乙方负担。</w:t>
      </w:r>
    </w:p>
    <w:p>
      <w:pPr>
        <w:pStyle w:val="28"/>
        <w:spacing w:line="440" w:lineRule="exact"/>
        <w:ind w:left="315" w:firstLine="105"/>
        <w:rPr>
          <w:rFonts w:hAnsi="宋体" w:cs="宋体"/>
          <w:b/>
          <w:bCs/>
          <w:sz w:val="21"/>
        </w:rPr>
      </w:pPr>
      <w:r>
        <w:rPr>
          <w:rFonts w:hint="eastAsia" w:hAnsi="宋体" w:cs="宋体"/>
          <w:b/>
          <w:bCs/>
          <w:sz w:val="21"/>
        </w:rPr>
        <w:t>十、项目验收</w:t>
      </w:r>
    </w:p>
    <w:p>
      <w:pPr>
        <w:spacing w:line="440" w:lineRule="exact"/>
        <w:ind w:firstLine="420"/>
        <w:rPr>
          <w:rFonts w:ascii="宋体" w:hAnsi="宋体" w:cs="宋体"/>
          <w:szCs w:val="21"/>
        </w:rPr>
      </w:pPr>
      <w:r>
        <w:rPr>
          <w:rFonts w:hint="eastAsia" w:ascii="宋体" w:hAnsi="宋体" w:cs="宋体"/>
          <w:szCs w:val="21"/>
        </w:rPr>
        <w:t>10.1 甲方依法组织履约验收工作。</w:t>
      </w:r>
    </w:p>
    <w:p>
      <w:pPr>
        <w:spacing w:line="440" w:lineRule="exact"/>
        <w:ind w:firstLine="420"/>
        <w:rPr>
          <w:rFonts w:ascii="宋体" w:hAnsi="宋体" w:cs="宋体"/>
          <w:szCs w:val="21"/>
        </w:rPr>
      </w:pPr>
      <w:r>
        <w:rPr>
          <w:rFonts w:hint="eastAsia" w:ascii="宋体" w:hAnsi="宋体" w:cs="宋体"/>
          <w:szCs w:val="21"/>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pPr>
        <w:spacing w:line="440" w:lineRule="exact"/>
        <w:ind w:firstLine="420"/>
        <w:rPr>
          <w:rFonts w:ascii="宋体" w:hAnsi="宋体" w:cs="宋体"/>
          <w:szCs w:val="21"/>
        </w:rPr>
      </w:pPr>
      <w:r>
        <w:rPr>
          <w:rFonts w:hint="eastAsia" w:ascii="宋体" w:hAnsi="宋体" w:cs="宋体"/>
          <w:szCs w:val="21"/>
        </w:rPr>
        <w:t>10.3 对于实际使用人和甲方分离的项目，甲方邀请实际使用人参与验收。</w:t>
      </w:r>
    </w:p>
    <w:p>
      <w:pPr>
        <w:spacing w:line="440" w:lineRule="exact"/>
        <w:ind w:firstLine="420"/>
        <w:rPr>
          <w:rFonts w:ascii="宋体" w:hAnsi="宋体" w:cs="宋体"/>
          <w:szCs w:val="21"/>
        </w:rPr>
      </w:pPr>
      <w:r>
        <w:rPr>
          <w:rFonts w:hint="eastAsia" w:ascii="宋体" w:hAnsi="宋体" w:cs="宋体"/>
          <w:szCs w:val="21"/>
        </w:rPr>
        <w:t>10.4如有必要，甲方邀请参加本项目的其他供应商或第三方专业机构及专家参与验收，相关意见将作为验收书的参考资料。</w:t>
      </w:r>
    </w:p>
    <w:p>
      <w:pPr>
        <w:spacing w:line="440" w:lineRule="exact"/>
        <w:ind w:firstLine="420"/>
        <w:rPr>
          <w:rFonts w:ascii="宋体" w:hAnsi="宋体" w:cs="宋体"/>
          <w:szCs w:val="21"/>
        </w:rPr>
      </w:pPr>
      <w:r>
        <w:rPr>
          <w:rFonts w:hint="eastAsia" w:ascii="宋体" w:hAnsi="宋体" w:cs="宋体"/>
          <w:szCs w:val="21"/>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pPr>
        <w:spacing w:line="440" w:lineRule="exact"/>
        <w:ind w:firstLine="420"/>
        <w:rPr>
          <w:rFonts w:ascii="宋体" w:hAnsi="宋体" w:cs="宋体"/>
          <w:szCs w:val="21"/>
        </w:rPr>
      </w:pPr>
      <w:r>
        <w:rPr>
          <w:rFonts w:hint="eastAsia" w:ascii="宋体" w:hAnsi="宋体" w:cs="宋体"/>
          <w:szCs w:val="21"/>
        </w:rPr>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pPr>
        <w:pStyle w:val="28"/>
        <w:spacing w:line="440" w:lineRule="exact"/>
        <w:ind w:firstLine="422"/>
        <w:rPr>
          <w:rFonts w:hAnsi="宋体" w:cs="宋体"/>
          <w:b/>
          <w:sz w:val="21"/>
        </w:rPr>
      </w:pPr>
      <w:r>
        <w:rPr>
          <w:rFonts w:hAnsi="宋体" w:cs="宋体"/>
          <w:b/>
          <w:sz w:val="21"/>
        </w:rPr>
        <w:t>十</w:t>
      </w:r>
      <w:r>
        <w:rPr>
          <w:rFonts w:hint="eastAsia" w:hAnsi="宋体" w:cs="宋体"/>
          <w:b/>
          <w:sz w:val="21"/>
        </w:rPr>
        <w:t>一、</w:t>
      </w:r>
      <w:r>
        <w:rPr>
          <w:rFonts w:hAnsi="宋体" w:cs="宋体"/>
          <w:b/>
          <w:sz w:val="21"/>
        </w:rPr>
        <w:t>违约责任</w:t>
      </w:r>
    </w:p>
    <w:p>
      <w:pPr>
        <w:pStyle w:val="28"/>
        <w:spacing w:line="440" w:lineRule="exact"/>
        <w:ind w:firstLine="420"/>
        <w:rPr>
          <w:rFonts w:hAnsi="宋体" w:cs="宋体"/>
          <w:sz w:val="21"/>
        </w:rPr>
      </w:pPr>
      <w:bookmarkStart w:id="177" w:name="_Hlk33807171"/>
      <w:r>
        <w:rPr>
          <w:rFonts w:hint="eastAsia" w:hAnsi="宋体" w:cs="宋体"/>
          <w:sz w:val="21"/>
        </w:rPr>
        <w:t>11.1甲方无正当理由拒绝接受乙方提供服务的，甲方向乙方偿付拒绝接受服务合同价款总值</w:t>
      </w:r>
      <w:r>
        <w:rPr>
          <w:rFonts w:hint="eastAsia" w:hAnsi="宋体" w:cs="宋体"/>
          <w:sz w:val="21"/>
          <w:u w:val="single"/>
        </w:rPr>
        <w:t xml:space="preserve"> 百分之五 </w:t>
      </w:r>
      <w:r>
        <w:rPr>
          <w:rFonts w:hint="eastAsia" w:hAnsi="宋体" w:cs="宋体"/>
          <w:sz w:val="21"/>
        </w:rPr>
        <w:t>的违约金。</w:t>
      </w:r>
    </w:p>
    <w:p>
      <w:pPr>
        <w:pStyle w:val="28"/>
        <w:spacing w:line="440" w:lineRule="exact"/>
        <w:ind w:firstLine="420"/>
        <w:rPr>
          <w:rFonts w:hAnsi="宋体" w:cs="宋体"/>
          <w:sz w:val="21"/>
        </w:rPr>
      </w:pPr>
      <w:r>
        <w:rPr>
          <w:rFonts w:hint="eastAsia" w:hAnsi="宋体" w:cs="宋体"/>
          <w:sz w:val="21"/>
        </w:rPr>
        <w:t>11.2甲方无故逾期验收和办理合同款项支付手续的,甲方应按逾期付款总额每日</w:t>
      </w:r>
      <w:r>
        <w:rPr>
          <w:rFonts w:hint="eastAsia" w:hAnsi="宋体" w:cs="宋体"/>
          <w:sz w:val="21"/>
          <w:u w:val="single"/>
        </w:rPr>
        <w:t>万分之</w:t>
      </w:r>
      <w:r>
        <w:rPr>
          <w:rFonts w:hint="eastAsia" w:hAnsi="宋体" w:cs="宋体"/>
          <w:sz w:val="21"/>
          <w:u w:val="single"/>
          <w:lang w:val="en-US" w:eastAsia="zh-CN"/>
        </w:rPr>
        <w:t>三</w:t>
      </w:r>
      <w:r>
        <w:rPr>
          <w:rFonts w:hint="eastAsia" w:hAnsi="宋体" w:cs="宋体"/>
          <w:sz w:val="21"/>
          <w:u w:val="single"/>
        </w:rPr>
        <w:t xml:space="preserve"> </w:t>
      </w:r>
      <w:r>
        <w:rPr>
          <w:rFonts w:hint="eastAsia" w:hAnsi="宋体" w:cs="宋体"/>
          <w:sz w:val="21"/>
        </w:rPr>
        <w:t>向乙方支付违约金。</w:t>
      </w:r>
    </w:p>
    <w:p>
      <w:pPr>
        <w:pStyle w:val="28"/>
        <w:spacing w:line="440" w:lineRule="exact"/>
        <w:ind w:firstLine="420"/>
        <w:rPr>
          <w:rFonts w:hAnsi="宋体" w:cs="宋体"/>
          <w:sz w:val="21"/>
        </w:rPr>
      </w:pPr>
      <w:r>
        <w:rPr>
          <w:rFonts w:hint="eastAsia" w:hAnsi="宋体" w:cs="宋体"/>
          <w:sz w:val="21"/>
        </w:rPr>
        <w:t>11.3 乙方逾期提供服务的，乙方应按逾期提供服务合同总额每日千分之六向甲方支付违约金，由甲方从待付合同款项中扣除。逾期超过约定日期10个工作日不能提供服务的，甲方可解除本合同。乙方因逾期交付合同标的或因其他违约行为导致甲方解除合同的，乙方应向甲方支付合同价款总额</w:t>
      </w:r>
      <w:r>
        <w:rPr>
          <w:rFonts w:hint="eastAsia" w:hAnsi="宋体" w:cs="宋体"/>
          <w:sz w:val="21"/>
          <w:u w:val="single"/>
        </w:rPr>
        <w:t xml:space="preserve"> 5% </w:t>
      </w:r>
      <w:r>
        <w:rPr>
          <w:rFonts w:hint="eastAsia" w:hAnsi="宋体" w:cs="宋体"/>
          <w:sz w:val="21"/>
        </w:rPr>
        <w:t xml:space="preserve">的违约金，如造成甲方损失超过违约金的，超出部分由乙方继续承担赔偿责任。 </w:t>
      </w:r>
    </w:p>
    <w:p>
      <w:pPr>
        <w:pStyle w:val="28"/>
        <w:spacing w:line="440" w:lineRule="exact"/>
        <w:ind w:firstLine="420"/>
        <w:rPr>
          <w:rFonts w:hAnsi="宋体" w:cs="宋体"/>
          <w:sz w:val="21"/>
        </w:rPr>
      </w:pPr>
      <w:r>
        <w:rPr>
          <w:rFonts w:hint="eastAsia" w:hAnsi="宋体" w:cs="宋体"/>
          <w:sz w:val="21"/>
        </w:rPr>
        <w:t>11.4乙方所提供服务的标准不符合合同规定及采购文件规定标准的，甲方有权拒绝接受服务，并可单方面解除合同。</w:t>
      </w:r>
    </w:p>
    <w:p>
      <w:pPr>
        <w:pStyle w:val="28"/>
        <w:spacing w:line="440" w:lineRule="exact"/>
        <w:ind w:firstLine="420"/>
        <w:rPr>
          <w:rFonts w:hint="eastAsia" w:ascii="宋体" w:hAnsi="宋体" w:eastAsia="宋体" w:cs="宋体"/>
          <w:sz w:val="21"/>
        </w:rPr>
      </w:pPr>
      <w:r>
        <w:rPr>
          <w:rFonts w:hint="eastAsia" w:ascii="宋体" w:hAnsi="宋体" w:eastAsia="宋体" w:cs="宋体"/>
          <w:sz w:val="21"/>
        </w:rPr>
        <w:t>11.5甲方有权根据实际产能情况调增或调减工作量或工作范围，调增后的总价不得超 出预算价的10%,无论调增或调减，乙方不得拒绝。</w:t>
      </w:r>
    </w:p>
    <w:p>
      <w:pPr>
        <w:pStyle w:val="28"/>
        <w:spacing w:line="440" w:lineRule="exact"/>
        <w:ind w:left="315" w:firstLine="105"/>
        <w:rPr>
          <w:rFonts w:hAnsi="宋体" w:cs="宋体"/>
          <w:b/>
          <w:bCs/>
          <w:sz w:val="21"/>
        </w:rPr>
      </w:pPr>
      <w:r>
        <w:rPr>
          <w:rFonts w:hint="eastAsia" w:hAnsi="宋体" w:cs="宋体"/>
          <w:b/>
          <w:bCs/>
          <w:sz w:val="21"/>
        </w:rPr>
        <w:t>十二、不可抗力事件处理</w:t>
      </w:r>
    </w:p>
    <w:p>
      <w:pPr>
        <w:spacing w:line="440" w:lineRule="exact"/>
        <w:ind w:firstLine="420"/>
        <w:rPr>
          <w:rFonts w:ascii="宋体" w:hAnsi="宋体" w:cs="宋体"/>
          <w:szCs w:val="21"/>
        </w:rPr>
      </w:pPr>
      <w:r>
        <w:rPr>
          <w:rFonts w:hint="eastAsia" w:ascii="宋体" w:hAnsi="宋体" w:cs="宋体"/>
          <w:szCs w:val="21"/>
        </w:rPr>
        <w:t>12</w:t>
      </w:r>
      <w:r>
        <w:rPr>
          <w:rFonts w:ascii="宋体" w:hAnsi="宋体" w:cs="宋体"/>
          <w:szCs w:val="21"/>
        </w:rPr>
        <w:t>.1 在合同有效期内，任何一方因不可抗力事件导致不能履行合同，则合同履行期可延长</w:t>
      </w:r>
      <w:r>
        <w:rPr>
          <w:rFonts w:hint="eastAsia" w:ascii="宋体" w:hAnsi="宋体" w:cs="宋体"/>
          <w:szCs w:val="21"/>
        </w:rPr>
        <w:t>，</w:t>
      </w:r>
      <w:r>
        <w:rPr>
          <w:rFonts w:ascii="宋体" w:hAnsi="宋体" w:cs="宋体"/>
          <w:szCs w:val="21"/>
        </w:rPr>
        <w:t>其延长期与不可抗力影响期相同。</w:t>
      </w:r>
    </w:p>
    <w:p>
      <w:pPr>
        <w:spacing w:line="440" w:lineRule="exact"/>
        <w:ind w:firstLine="420"/>
        <w:rPr>
          <w:rFonts w:ascii="宋体" w:hAnsi="宋体" w:cs="宋体"/>
          <w:szCs w:val="21"/>
        </w:rPr>
      </w:pPr>
      <w:r>
        <w:rPr>
          <w:rFonts w:hint="eastAsia" w:ascii="宋体" w:hAnsi="宋体" w:cs="宋体"/>
          <w:szCs w:val="21"/>
        </w:rPr>
        <w:t>12</w:t>
      </w:r>
      <w:r>
        <w:rPr>
          <w:rFonts w:ascii="宋体" w:hAnsi="宋体" w:cs="宋体"/>
          <w:szCs w:val="21"/>
        </w:rPr>
        <w:t>.2 不可抗力事件发生后，应立即通知对方，并寄送有关权威机构出具的证明。</w:t>
      </w:r>
    </w:p>
    <w:p>
      <w:pPr>
        <w:spacing w:line="440" w:lineRule="exact"/>
        <w:ind w:firstLine="420"/>
        <w:rPr>
          <w:rFonts w:ascii="宋体" w:hAnsi="宋体" w:cs="宋体"/>
          <w:szCs w:val="21"/>
        </w:rPr>
      </w:pPr>
      <w:r>
        <w:rPr>
          <w:rFonts w:hint="eastAsia" w:ascii="宋体" w:hAnsi="宋体" w:cs="宋体"/>
          <w:szCs w:val="21"/>
        </w:rPr>
        <w:t>12</w:t>
      </w:r>
      <w:r>
        <w:rPr>
          <w:rFonts w:ascii="宋体" w:hAnsi="宋体" w:cs="宋体"/>
          <w:szCs w:val="21"/>
        </w:rPr>
        <w:t>.3 不可抗力事件延续 120 天以上，双方应通过友好协商，确定是否继续履行合同。</w:t>
      </w:r>
      <w:bookmarkEnd w:id="177"/>
    </w:p>
    <w:p>
      <w:pPr>
        <w:pStyle w:val="28"/>
        <w:spacing w:line="440" w:lineRule="exact"/>
        <w:ind w:left="315" w:firstLine="105"/>
        <w:rPr>
          <w:rFonts w:hAnsi="宋体" w:cs="宋体"/>
          <w:b/>
          <w:bCs/>
          <w:sz w:val="21"/>
        </w:rPr>
      </w:pPr>
      <w:r>
        <w:rPr>
          <w:rFonts w:hint="eastAsia" w:hAnsi="宋体" w:cs="宋体"/>
          <w:b/>
          <w:bCs/>
          <w:sz w:val="21"/>
        </w:rPr>
        <w:t>十三、解决争议的方法</w:t>
      </w:r>
    </w:p>
    <w:p>
      <w:pPr>
        <w:pStyle w:val="28"/>
        <w:spacing w:line="440" w:lineRule="exact"/>
        <w:ind w:firstLine="420"/>
        <w:rPr>
          <w:rFonts w:hAnsi="宋体" w:cs="宋体"/>
          <w:bCs/>
          <w:sz w:val="21"/>
        </w:rPr>
      </w:pPr>
      <w:r>
        <w:rPr>
          <w:rFonts w:hint="eastAsia" w:hAnsi="宋体" w:cs="宋体"/>
          <w:bCs/>
          <w:sz w:val="21"/>
        </w:rPr>
        <w:t>13.1双方在签订、履行合同中所发生的一切争议，应通过友好协商解决。如协商不成，由甲方住所地人民法院管辖。</w:t>
      </w:r>
    </w:p>
    <w:p>
      <w:pPr>
        <w:pStyle w:val="28"/>
        <w:spacing w:line="440" w:lineRule="exact"/>
        <w:ind w:left="315" w:firstLine="105"/>
        <w:rPr>
          <w:rFonts w:hAnsi="宋体" w:cs="宋体"/>
          <w:b/>
          <w:bCs/>
          <w:sz w:val="21"/>
        </w:rPr>
      </w:pPr>
      <w:r>
        <w:rPr>
          <w:rFonts w:hint="eastAsia" w:hAnsi="宋体" w:cs="宋体"/>
          <w:b/>
          <w:bCs/>
          <w:sz w:val="21"/>
        </w:rPr>
        <w:t>十四、合同生效及其它</w:t>
      </w:r>
    </w:p>
    <w:p>
      <w:pPr>
        <w:pStyle w:val="28"/>
        <w:spacing w:line="440" w:lineRule="exact"/>
        <w:ind w:firstLine="420"/>
        <w:rPr>
          <w:rFonts w:hAnsi="宋体" w:cs="宋体"/>
          <w:sz w:val="21"/>
        </w:rPr>
      </w:pPr>
      <w:r>
        <w:rPr>
          <w:rFonts w:hint="eastAsia" w:hAnsi="宋体" w:cs="宋体"/>
          <w:sz w:val="21"/>
        </w:rPr>
        <w:t>14.1合同经双方法定代表人或授权代表签字并加盖单位公章后生效，并经</w:t>
      </w:r>
      <w:r>
        <w:rPr>
          <w:rFonts w:hint="eastAsia" w:hAnsi="宋体" w:cs="宋体"/>
          <w:sz w:val="21"/>
          <w:lang w:eastAsia="zh-CN"/>
        </w:rPr>
        <w:t>中海华咨询有限公司</w:t>
      </w:r>
      <w:r>
        <w:rPr>
          <w:rFonts w:hint="eastAsia" w:hAnsi="宋体" w:cs="宋体"/>
          <w:sz w:val="21"/>
        </w:rPr>
        <w:t>见证盖章。</w:t>
      </w:r>
    </w:p>
    <w:p>
      <w:pPr>
        <w:pStyle w:val="28"/>
        <w:spacing w:line="440" w:lineRule="exact"/>
        <w:ind w:firstLine="420"/>
        <w:rPr>
          <w:rFonts w:hAnsi="宋体" w:cs="宋体"/>
          <w:sz w:val="21"/>
        </w:rPr>
      </w:pPr>
      <w:r>
        <w:rPr>
          <w:rFonts w:hint="eastAsia" w:hAnsi="宋体" w:cs="宋体"/>
          <w:sz w:val="21"/>
        </w:rPr>
        <w:t>14.2 本合同未尽事宜，遵照中华人民共和国现行法律法规有关条文执行。</w:t>
      </w:r>
    </w:p>
    <w:p>
      <w:pPr>
        <w:pStyle w:val="28"/>
        <w:spacing w:line="440" w:lineRule="exact"/>
        <w:ind w:firstLine="420"/>
        <w:rPr>
          <w:rFonts w:hAnsi="宋体" w:cs="宋体"/>
          <w:sz w:val="21"/>
        </w:rPr>
      </w:pPr>
      <w:r>
        <w:rPr>
          <w:rFonts w:hint="eastAsia" w:hAnsi="宋体" w:cs="宋体"/>
          <w:sz w:val="21"/>
        </w:rPr>
        <w:t>14.3本合同正本一式陆份，具有同等法律效力，甲方、乙方各执贰份，见证方及财政监管部门各执壹份。</w:t>
      </w:r>
    </w:p>
    <w:p>
      <w:pPr>
        <w:pStyle w:val="28"/>
        <w:spacing w:line="440" w:lineRule="exact"/>
        <w:ind w:firstLine="420"/>
        <w:rPr>
          <w:rFonts w:hAnsi="宋体" w:cs="宋体"/>
          <w:sz w:val="21"/>
        </w:rPr>
      </w:pPr>
    </w:p>
    <w:p>
      <w:pPr>
        <w:pStyle w:val="28"/>
        <w:spacing w:before="120" w:after="120" w:line="440" w:lineRule="exact"/>
        <w:ind w:left="420" w:hanging="420"/>
        <w:rPr>
          <w:rFonts w:hAnsi="宋体" w:cs="宋体"/>
          <w:sz w:val="21"/>
        </w:rPr>
      </w:pPr>
      <w:r>
        <w:rPr>
          <w:rFonts w:hint="eastAsia" w:hAnsi="宋体" w:cs="宋体"/>
          <w:sz w:val="21"/>
        </w:rPr>
        <w:t xml:space="preserve">  甲方：                            </w:t>
      </w:r>
      <w:r>
        <w:rPr>
          <w:rFonts w:hint="eastAsia" w:hAnsi="宋体" w:cs="宋体"/>
          <w:sz w:val="21"/>
        </w:rPr>
        <w:tab/>
      </w:r>
      <w:r>
        <w:rPr>
          <w:rFonts w:hint="eastAsia" w:hAnsi="宋体" w:cs="宋体"/>
          <w:sz w:val="21"/>
        </w:rPr>
        <w:t xml:space="preserve">   乙方： </w:t>
      </w:r>
    </w:p>
    <w:p>
      <w:pPr>
        <w:pStyle w:val="28"/>
        <w:spacing w:before="120" w:after="120" w:line="440" w:lineRule="exact"/>
        <w:rPr>
          <w:rFonts w:hAnsi="宋体" w:cs="宋体"/>
          <w:sz w:val="21"/>
        </w:rPr>
      </w:pPr>
      <w:r>
        <w:rPr>
          <w:rFonts w:hint="eastAsia" w:hAnsi="宋体" w:cs="宋体"/>
          <w:sz w:val="21"/>
        </w:rPr>
        <w:t xml:space="preserve">  地址：</w:t>
      </w:r>
      <w:r>
        <w:rPr>
          <w:rFonts w:hint="eastAsia" w:hAnsi="宋体" w:cs="宋体"/>
          <w:sz w:val="21"/>
        </w:rPr>
        <w:tab/>
      </w:r>
      <w:r>
        <w:rPr>
          <w:rFonts w:hint="eastAsia" w:hAnsi="宋体" w:cs="宋体"/>
          <w:sz w:val="21"/>
        </w:rPr>
        <w:tab/>
      </w:r>
      <w:r>
        <w:rPr>
          <w:rFonts w:hint="eastAsia" w:hAnsi="宋体" w:cs="宋体"/>
          <w:sz w:val="21"/>
        </w:rPr>
        <w:tab/>
      </w:r>
      <w:r>
        <w:rPr>
          <w:rFonts w:hint="eastAsia" w:hAnsi="宋体" w:cs="宋体"/>
          <w:sz w:val="21"/>
        </w:rPr>
        <w:tab/>
      </w:r>
      <w:r>
        <w:rPr>
          <w:rFonts w:hint="eastAsia" w:hAnsi="宋体" w:cs="宋体"/>
          <w:sz w:val="21"/>
        </w:rPr>
        <w:t xml:space="preserve">                   地址： </w:t>
      </w:r>
    </w:p>
    <w:p>
      <w:pPr>
        <w:pStyle w:val="28"/>
        <w:spacing w:before="120" w:after="120" w:line="440" w:lineRule="exact"/>
        <w:rPr>
          <w:rFonts w:hAnsi="宋体" w:cs="宋体"/>
          <w:sz w:val="21"/>
        </w:rPr>
      </w:pPr>
      <w:r>
        <w:rPr>
          <w:rFonts w:hint="eastAsia" w:hAnsi="宋体" w:cs="宋体"/>
          <w:sz w:val="21"/>
        </w:rPr>
        <w:t xml:space="preserve">  法定代表人或授权代表：                   法定代表人或授权代表：</w:t>
      </w:r>
    </w:p>
    <w:p>
      <w:pPr>
        <w:pStyle w:val="28"/>
        <w:spacing w:before="120" w:after="120" w:line="440" w:lineRule="exact"/>
        <w:rPr>
          <w:rFonts w:hAnsi="宋体" w:cs="宋体"/>
          <w:sz w:val="21"/>
        </w:rPr>
      </w:pPr>
      <w:r>
        <w:rPr>
          <w:rFonts w:hint="eastAsia" w:hAnsi="宋体" w:cs="宋体"/>
          <w:sz w:val="21"/>
        </w:rPr>
        <w:t xml:space="preserve">  联系电话：                               联系电话：</w:t>
      </w:r>
    </w:p>
    <w:p>
      <w:pPr>
        <w:pStyle w:val="28"/>
        <w:spacing w:before="120" w:after="120" w:line="440" w:lineRule="exact"/>
        <w:ind w:firstLine="210"/>
        <w:rPr>
          <w:rFonts w:hAnsi="宋体" w:cs="宋体"/>
          <w:sz w:val="21"/>
        </w:rPr>
      </w:pPr>
      <w:r>
        <w:rPr>
          <w:rFonts w:hint="eastAsia" w:hAnsi="宋体" w:cs="宋体"/>
          <w:sz w:val="21"/>
        </w:rPr>
        <w:t>日期：      年    月    日               日期：      年    月    日</w:t>
      </w:r>
    </w:p>
    <w:p>
      <w:pPr>
        <w:pStyle w:val="28"/>
        <w:spacing w:before="120" w:after="120" w:line="440" w:lineRule="exact"/>
        <w:rPr>
          <w:rFonts w:hAnsi="宋体" w:cs="宋体"/>
          <w:sz w:val="44"/>
        </w:rPr>
      </w:pPr>
    </w:p>
    <w:p>
      <w:pPr>
        <w:pStyle w:val="28"/>
        <w:spacing w:before="120" w:after="120" w:line="440" w:lineRule="exact"/>
        <w:rPr>
          <w:rFonts w:hAnsi="宋体" w:cs="宋体"/>
          <w:sz w:val="21"/>
        </w:rPr>
      </w:pPr>
      <w:r>
        <w:rPr>
          <w:rFonts w:hint="eastAsia" w:hAnsi="宋体" w:cs="宋体"/>
          <w:sz w:val="21"/>
        </w:rPr>
        <w:t xml:space="preserve">  见证方：</w:t>
      </w:r>
      <w:r>
        <w:rPr>
          <w:rFonts w:hint="eastAsia" w:hAnsi="宋体" w:cs="宋体"/>
          <w:sz w:val="21"/>
          <w:lang w:eastAsia="zh-CN"/>
        </w:rPr>
        <w:t>中海华咨询有限公司</w:t>
      </w:r>
      <w:r>
        <w:rPr>
          <w:rFonts w:hint="eastAsia" w:hAnsi="宋体" w:cs="宋体"/>
          <w:sz w:val="21"/>
        </w:rPr>
        <w:t xml:space="preserve"> </w:t>
      </w:r>
    </w:p>
    <w:p>
      <w:pPr>
        <w:pStyle w:val="28"/>
        <w:spacing w:before="120" w:after="120" w:line="440" w:lineRule="exact"/>
        <w:ind w:firstLine="210"/>
        <w:rPr>
          <w:rFonts w:hAnsi="宋体" w:cs="宋体"/>
          <w:sz w:val="21"/>
        </w:rPr>
      </w:pPr>
      <w:r>
        <w:rPr>
          <w:rFonts w:hint="eastAsia" w:hAnsi="宋体" w:cs="宋体"/>
          <w:sz w:val="21"/>
        </w:rPr>
        <w:t>项目经办人：</w:t>
      </w:r>
    </w:p>
    <w:p>
      <w:pPr>
        <w:pStyle w:val="28"/>
        <w:spacing w:before="120" w:after="120" w:line="440" w:lineRule="exact"/>
        <w:ind w:firstLine="210"/>
        <w:rPr>
          <w:rFonts w:hAnsi="宋体" w:cs="宋体"/>
          <w:sz w:val="21"/>
        </w:rPr>
      </w:pPr>
      <w:r>
        <w:rPr>
          <w:rFonts w:hint="eastAsia" w:hAnsi="宋体" w:cs="宋体"/>
          <w:sz w:val="21"/>
        </w:rPr>
        <w:t>日期：       年   月   日</w:t>
      </w:r>
    </w:p>
    <w:p>
      <w:pPr>
        <w:keepNext/>
        <w:spacing w:line="360" w:lineRule="auto"/>
        <w:jc w:val="center"/>
        <w:outlineLvl w:val="0"/>
        <w:rPr>
          <w:rFonts w:ascii="黑体" w:hAnsi="Courier New" w:eastAsia="黑体" w:cs="Courier New"/>
          <w:bCs/>
          <w:sz w:val="44"/>
          <w:szCs w:val="21"/>
        </w:rPr>
      </w:pPr>
      <w:r>
        <w:rPr>
          <w:sz w:val="40"/>
          <w:szCs w:val="40"/>
        </w:rPr>
        <w:br w:type="page" w:clear="all"/>
      </w:r>
      <w:r>
        <w:rPr>
          <w:rFonts w:hint="eastAsia" w:ascii="黑体" w:hAnsi="Times New Roman" w:eastAsia="黑体"/>
          <w:bCs/>
          <w:sz w:val="44"/>
          <w:szCs w:val="28"/>
        </w:rPr>
        <w:t>第</w:t>
      </w:r>
      <w:bookmarkEnd w:id="170"/>
      <w:r>
        <w:rPr>
          <w:rFonts w:hint="eastAsia" w:ascii="黑体" w:hAnsi="Times New Roman" w:eastAsia="黑体"/>
          <w:bCs/>
          <w:sz w:val="44"/>
          <w:szCs w:val="28"/>
        </w:rPr>
        <w:t>四章 采购需求</w:t>
      </w:r>
      <w:bookmarkEnd w:id="171"/>
      <w:bookmarkEnd w:id="172"/>
      <w:bookmarkEnd w:id="173"/>
      <w:bookmarkStart w:id="178" w:name="_Toc26554093"/>
      <w:bookmarkStart w:id="179" w:name="_Toc49090575"/>
    </w:p>
    <w:p>
      <w:pPr>
        <w:spacing w:line="430" w:lineRule="exact"/>
        <w:ind w:firstLine="420"/>
        <w:rPr>
          <w:highlight w:val="none"/>
        </w:rPr>
      </w:pPr>
      <w:r>
        <w:rPr>
          <w:rFonts w:hint="eastAsia"/>
          <w:highlight w:val="none"/>
        </w:rPr>
        <w:t>注：本章内容里斜体且有下划线部分为实质性要求和条件，响应文件不满足的，视为无效响应处理。请各供应商制作电子响应文件时，将实质性响应的内容在政府采购管理交易系统（苏采云）中准确填写或上传。</w:t>
      </w:r>
    </w:p>
    <w:p>
      <w:pPr>
        <w:spacing w:line="430" w:lineRule="exact"/>
        <w:rPr>
          <w:rFonts w:hint="eastAsia" w:ascii="宋体" w:hAnsi="宋体" w:cs="Arial"/>
          <w:b/>
          <w:bCs/>
          <w:szCs w:val="21"/>
          <w:highlight w:val="none"/>
        </w:rPr>
      </w:pPr>
    </w:p>
    <w:p>
      <w:pPr>
        <w:spacing w:line="430" w:lineRule="exact"/>
        <w:rPr>
          <w:rFonts w:ascii="宋体" w:hAnsi="宋体" w:cs="Arial"/>
          <w:b/>
          <w:bCs/>
          <w:szCs w:val="21"/>
          <w:highlight w:val="none"/>
        </w:rPr>
      </w:pPr>
      <w:r>
        <w:rPr>
          <w:rFonts w:hint="eastAsia" w:ascii="宋体" w:hAnsi="宋体" w:cs="Arial"/>
          <w:b/>
          <w:bCs/>
          <w:szCs w:val="21"/>
          <w:highlight w:val="none"/>
        </w:rPr>
        <w:t>项目属性：</w:t>
      </w:r>
      <w:r>
        <w:rPr>
          <w:rFonts w:hint="eastAsia" w:ascii="宋体" w:hAnsi="宋体" w:cs="Arial"/>
          <w:b/>
          <w:bCs/>
          <w:szCs w:val="21"/>
          <w:highlight w:val="none"/>
          <w:u w:val="single"/>
        </w:rPr>
        <w:t>服务类项目</w:t>
      </w:r>
    </w:p>
    <w:p>
      <w:pPr>
        <w:spacing w:line="430" w:lineRule="exact"/>
        <w:ind w:firstLine="422" w:firstLineChars="200"/>
        <w:rPr>
          <w:rFonts w:hint="eastAsia" w:eastAsia="宋体"/>
          <w:b/>
          <w:bCs/>
          <w:highlight w:val="none"/>
          <w:lang w:eastAsia="zh-CN"/>
        </w:rPr>
      </w:pPr>
      <w:r>
        <w:rPr>
          <w:rFonts w:hint="eastAsia"/>
          <w:b/>
          <w:bCs/>
          <w:highlight w:val="none"/>
        </w:rPr>
        <w:t>一、采购需求包括拟采购的标的及其需要满足的技术、商务要求</w:t>
      </w:r>
    </w:p>
    <w:p>
      <w:pPr>
        <w:spacing w:line="430" w:lineRule="exact"/>
        <w:ind w:firstLine="420"/>
        <w:rPr>
          <w:highlight w:val="none"/>
        </w:rPr>
      </w:pPr>
      <w:r>
        <w:rPr>
          <w:rFonts w:hint="eastAsia" w:ascii="宋体" w:hAnsi="宋体" w:cs="宋体"/>
          <w:highlight w:val="none"/>
        </w:rPr>
        <w:t>1、技</w:t>
      </w:r>
      <w:r>
        <w:rPr>
          <w:rFonts w:hint="eastAsia"/>
          <w:highlight w:val="none"/>
        </w:rPr>
        <w:t>术要求是指对采购标的功能和质量要求，包括性能、材料、结构、外观、安全，或者服务内容和标准等。</w:t>
      </w:r>
    </w:p>
    <w:p>
      <w:pPr>
        <w:spacing w:line="430" w:lineRule="exact"/>
        <w:ind w:firstLine="420"/>
        <w:rPr>
          <w:rFonts w:ascii="宋体" w:hAnsi="宋体" w:cs="宋体"/>
          <w:highlight w:val="none"/>
        </w:rPr>
      </w:pPr>
      <w:r>
        <w:rPr>
          <w:rFonts w:hint="eastAsia" w:ascii="宋体" w:hAnsi="宋体" w:cs="宋体"/>
          <w:highlight w:val="none"/>
        </w:rPr>
        <w:t>2、商务要求是指取得采购标的的时间、地点、财务和服务要求，包括交付（实施）的时间（期限）和地点（范围），付款条件（进度和方法），包装和运输，售后服务，保险等。</w:t>
      </w:r>
    </w:p>
    <w:p>
      <w:pPr>
        <w:spacing w:line="430" w:lineRule="exact"/>
        <w:ind w:firstLine="420"/>
        <w:rPr>
          <w:rFonts w:ascii="宋体" w:hAnsi="宋体" w:cs="宋体"/>
          <w:b/>
          <w:iCs/>
          <w:szCs w:val="21"/>
          <w:highlight w:val="none"/>
        </w:rPr>
      </w:pPr>
      <w:r>
        <w:rPr>
          <w:rFonts w:hint="eastAsia" w:ascii="宋体" w:hAnsi="宋体" w:cs="宋体"/>
          <w:iCs/>
          <w:highlight w:val="none"/>
        </w:rPr>
        <w:t>3、采购需求中必须满足的实质性要求：</w:t>
      </w:r>
      <w:r>
        <w:rPr>
          <w:rFonts w:hint="eastAsia" w:ascii="宋体" w:hAnsi="宋体" w:cs="宋体"/>
          <w:i/>
          <w:iCs w:val="0"/>
          <w:highlight w:val="none"/>
          <w:u w:val="single"/>
        </w:rPr>
        <w:t>斜体且有下划线部分</w:t>
      </w:r>
    </w:p>
    <w:p>
      <w:pPr>
        <w:spacing w:line="430" w:lineRule="exact"/>
        <w:ind w:firstLine="420"/>
        <w:rPr>
          <w:rFonts w:ascii="宋体" w:hAnsi="宋体" w:cs="宋体"/>
          <w:highlight w:val="none"/>
        </w:rPr>
      </w:pPr>
      <w:r>
        <w:rPr>
          <w:rFonts w:hint="eastAsia" w:ascii="宋体" w:hAnsi="宋体" w:cs="宋体"/>
          <w:highlight w:val="none"/>
        </w:rPr>
        <w:t>4、本项目不接受进口产品参加磋商。</w:t>
      </w:r>
    </w:p>
    <w:p>
      <w:pPr>
        <w:spacing w:line="430" w:lineRule="exact"/>
        <w:ind w:firstLine="420"/>
        <w:rPr>
          <w:rFonts w:ascii="宋体" w:hAnsi="宋体" w:cs="宋体"/>
          <w:highlight w:val="none"/>
        </w:rPr>
      </w:pPr>
      <w:r>
        <w:rPr>
          <w:rFonts w:hint="eastAsia" w:ascii="宋体" w:hAnsi="宋体" w:cs="宋体"/>
          <w:highlight w:val="none"/>
        </w:rPr>
        <w:t>5、采购标的对应的中小企业划分标准所属行业一览表</w:t>
      </w:r>
    </w:p>
    <w:tbl>
      <w:tblPr>
        <w:tblStyle w:val="4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3"/>
        <w:gridCol w:w="5696"/>
        <w:gridCol w:w="211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35" w:hRule="atLeast"/>
          <w:jc w:val="center"/>
        </w:trPr>
        <w:tc>
          <w:tcPr>
            <w:tcW w:w="418" w:type="pct"/>
            <w:noWrap w:val="0"/>
            <w:vAlign w:val="center"/>
          </w:tcPr>
          <w:p>
            <w:pPr>
              <w:spacing w:line="430" w:lineRule="exact"/>
              <w:jc w:val="center"/>
              <w:rPr>
                <w:rFonts w:ascii="宋体" w:hAnsi="宋体"/>
                <w:color w:val="000000"/>
                <w:szCs w:val="21"/>
                <w:highlight w:val="none"/>
              </w:rPr>
            </w:pPr>
            <w:r>
              <w:rPr>
                <w:rFonts w:hint="eastAsia" w:ascii="宋体" w:hAnsi="宋体"/>
                <w:color w:val="000000"/>
                <w:szCs w:val="21"/>
                <w:highlight w:val="none"/>
              </w:rPr>
              <w:t>序号</w:t>
            </w:r>
          </w:p>
        </w:tc>
        <w:tc>
          <w:tcPr>
            <w:tcW w:w="3341" w:type="pct"/>
            <w:noWrap w:val="0"/>
            <w:vAlign w:val="center"/>
          </w:tcPr>
          <w:p>
            <w:pPr>
              <w:spacing w:line="430" w:lineRule="exact"/>
              <w:jc w:val="center"/>
              <w:rPr>
                <w:rFonts w:ascii="宋体" w:hAnsi="宋体"/>
                <w:color w:val="000000"/>
                <w:szCs w:val="21"/>
                <w:highlight w:val="none"/>
              </w:rPr>
            </w:pPr>
            <w:r>
              <w:rPr>
                <w:rFonts w:hint="eastAsia" w:ascii="宋体" w:hAnsi="宋体"/>
                <w:color w:val="000000"/>
                <w:szCs w:val="21"/>
                <w:highlight w:val="none"/>
              </w:rPr>
              <w:t>采购</w:t>
            </w:r>
            <w:r>
              <w:rPr>
                <w:rFonts w:ascii="宋体" w:hAnsi="宋体"/>
                <w:color w:val="000000"/>
                <w:szCs w:val="21"/>
                <w:highlight w:val="none"/>
              </w:rPr>
              <w:t>标的</w:t>
            </w:r>
          </w:p>
        </w:tc>
        <w:tc>
          <w:tcPr>
            <w:tcW w:w="1239" w:type="pct"/>
            <w:noWrap w:val="0"/>
            <w:vAlign w:val="center"/>
          </w:tcPr>
          <w:p>
            <w:pPr>
              <w:spacing w:line="430" w:lineRule="exact"/>
              <w:jc w:val="center"/>
              <w:rPr>
                <w:rFonts w:ascii="宋体" w:hAnsi="宋体"/>
                <w:color w:val="000000"/>
                <w:szCs w:val="21"/>
                <w:highlight w:val="none"/>
              </w:rPr>
            </w:pPr>
            <w:r>
              <w:rPr>
                <w:rFonts w:hint="eastAsia" w:ascii="宋体" w:hAnsi="宋体"/>
                <w:color w:val="000000"/>
                <w:szCs w:val="21"/>
                <w:highlight w:val="none"/>
              </w:rPr>
              <w:t>对应中</w:t>
            </w:r>
            <w:r>
              <w:rPr>
                <w:rFonts w:ascii="宋体" w:hAnsi="宋体"/>
                <w:color w:val="000000"/>
                <w:szCs w:val="21"/>
                <w:highlight w:val="none"/>
              </w:rPr>
              <w:t>小企业划分标准所属行业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35" w:hRule="atLeast"/>
          <w:jc w:val="center"/>
        </w:trPr>
        <w:tc>
          <w:tcPr>
            <w:tcW w:w="418" w:type="pct"/>
            <w:noWrap w:val="0"/>
            <w:vAlign w:val="center"/>
          </w:tcPr>
          <w:p>
            <w:pPr>
              <w:spacing w:line="430" w:lineRule="exact"/>
              <w:jc w:val="center"/>
              <w:rPr>
                <w:rFonts w:ascii="宋体" w:hAnsi="宋体"/>
                <w:color w:val="000000"/>
                <w:szCs w:val="21"/>
                <w:highlight w:val="none"/>
              </w:rPr>
            </w:pPr>
            <w:r>
              <w:rPr>
                <w:rFonts w:hint="eastAsia" w:ascii="宋体" w:hAnsi="宋体"/>
                <w:color w:val="000000"/>
                <w:szCs w:val="21"/>
                <w:highlight w:val="none"/>
              </w:rPr>
              <w:t>1</w:t>
            </w:r>
          </w:p>
        </w:tc>
        <w:tc>
          <w:tcPr>
            <w:tcW w:w="3341" w:type="pct"/>
            <w:noWrap w:val="0"/>
            <w:vAlign w:val="center"/>
          </w:tcPr>
          <w:p>
            <w:pPr>
              <w:spacing w:line="430" w:lineRule="exact"/>
              <w:jc w:val="center"/>
              <w:rPr>
                <w:rFonts w:hint="eastAsia" w:ascii="宋体" w:hAnsi="宋体" w:eastAsia="宋体"/>
                <w:color w:val="000000"/>
                <w:szCs w:val="21"/>
                <w:highlight w:val="none"/>
                <w:lang w:eastAsia="zh-CN"/>
              </w:rPr>
            </w:pPr>
            <w:r>
              <w:rPr>
                <w:rFonts w:hint="eastAsia" w:ascii="宋体" w:hAnsi="宋体"/>
                <w:szCs w:val="21"/>
                <w:highlight w:val="none"/>
                <w:lang w:eastAsia="zh-CN"/>
              </w:rPr>
              <w:t>2026年度省家禽所科研辅助饲养繁育综合服务项目</w:t>
            </w:r>
          </w:p>
        </w:tc>
        <w:tc>
          <w:tcPr>
            <w:tcW w:w="1239" w:type="pct"/>
            <w:noWrap w:val="0"/>
            <w:vAlign w:val="center"/>
          </w:tcPr>
          <w:p>
            <w:pPr>
              <w:spacing w:line="430" w:lineRule="exact"/>
              <w:jc w:val="center"/>
              <w:rPr>
                <w:rFonts w:hint="default" w:ascii="宋体" w:hAnsi="宋体" w:eastAsia="宋体"/>
                <w:color w:val="000000"/>
                <w:szCs w:val="21"/>
                <w:highlight w:val="none"/>
                <w:lang w:val="en-US" w:eastAsia="zh-CN"/>
              </w:rPr>
            </w:pPr>
            <w:r>
              <w:rPr>
                <w:rFonts w:hint="eastAsia"/>
                <w:highlight w:val="none"/>
                <w:lang w:val="en-US" w:eastAsia="zh-CN"/>
              </w:rPr>
              <w:t>其他未列明行业</w:t>
            </w:r>
          </w:p>
        </w:tc>
      </w:tr>
    </w:tbl>
    <w:p>
      <w:pPr>
        <w:keepNext w:val="0"/>
        <w:keepLines w:val="0"/>
        <w:pageBreakBefore w:val="0"/>
        <w:widowControl w:val="0"/>
        <w:kinsoku/>
        <w:autoSpaceDE/>
        <w:autoSpaceDN/>
        <w:adjustRightInd/>
        <w:snapToGrid/>
        <w:spacing w:line="360" w:lineRule="auto"/>
        <w:jc w:val="both"/>
        <w:textAlignment w:val="auto"/>
        <w:rPr>
          <w:rFonts w:hint="eastAsia" w:ascii="宋体" w:hAnsi="宋体" w:cs="宋体"/>
          <w:b/>
          <w:bCs/>
          <w:snapToGrid/>
          <w:color w:val="000000"/>
          <w:kern w:val="0"/>
          <w:sz w:val="21"/>
          <w:szCs w:val="21"/>
          <w:highlight w:val="none"/>
          <w:lang w:val="en-US" w:eastAsia="zh-CN" w:bidi="ar-SA"/>
        </w:rPr>
      </w:pPr>
    </w:p>
    <w:p>
      <w:pPr>
        <w:spacing w:line="324" w:lineRule="auto"/>
        <w:ind w:firstLine="420"/>
        <w:rPr>
          <w:rFonts w:hint="eastAsia"/>
          <w:b/>
          <w:bCs/>
        </w:rPr>
      </w:pPr>
      <w:r>
        <w:rPr>
          <w:rFonts w:hint="eastAsia"/>
          <w:b/>
          <w:bCs/>
          <w:lang w:val="en-US" w:eastAsia="zh-CN"/>
        </w:rPr>
        <w:t>二、</w:t>
      </w:r>
      <w:r>
        <w:rPr>
          <w:rFonts w:hint="eastAsia"/>
          <w:b/>
          <w:bCs/>
        </w:rPr>
        <w:t>政府采购中实施本国产品标准及相关政策</w:t>
      </w:r>
    </w:p>
    <w:p>
      <w:pPr>
        <w:spacing w:line="324" w:lineRule="auto"/>
        <w:ind w:firstLine="420"/>
        <w:rPr>
          <w:rFonts w:hint="eastAsia"/>
        </w:rPr>
      </w:pPr>
      <w:r>
        <w:rPr>
          <w:rFonts w:hint="eastAsia"/>
        </w:rPr>
        <w:t xml:space="preserve">1、本项目对采购本国产品给予政策支持，具体内容见采购文件“第五章 评审方法与评审标准”。 </w:t>
      </w:r>
    </w:p>
    <w:p>
      <w:pPr>
        <w:spacing w:line="324" w:lineRule="auto"/>
        <w:ind w:firstLine="420"/>
        <w:rPr>
          <w:rFonts w:hint="eastAsia"/>
        </w:rPr>
      </w:pPr>
      <w:r>
        <w:rPr>
          <w:rFonts w:hint="eastAsi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keepNext w:val="0"/>
        <w:keepLines w:val="0"/>
        <w:pageBreakBefore w:val="0"/>
        <w:widowControl w:val="0"/>
        <w:kinsoku/>
        <w:autoSpaceDE/>
        <w:autoSpaceDN/>
        <w:adjustRightInd/>
        <w:snapToGrid/>
        <w:spacing w:line="360" w:lineRule="auto"/>
        <w:ind w:firstLine="420" w:firstLineChars="200"/>
        <w:jc w:val="both"/>
        <w:textAlignment w:val="auto"/>
        <w:rPr>
          <w:rFonts w:hint="eastAsia" w:ascii="宋体" w:hAnsi="宋体" w:cs="宋体"/>
          <w:b/>
          <w:bCs/>
          <w:snapToGrid/>
          <w:color w:val="000000"/>
          <w:kern w:val="0"/>
          <w:sz w:val="21"/>
          <w:szCs w:val="21"/>
          <w:highlight w:val="none"/>
          <w:lang w:val="en-US" w:eastAsia="zh-CN" w:bidi="ar-SA"/>
        </w:rPr>
      </w:pPr>
      <w:r>
        <w:rPr>
          <w:rFonts w:hint="eastAsi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pPr>
        <w:keepNext w:val="0"/>
        <w:keepLines w:val="0"/>
        <w:pageBreakBefore w:val="0"/>
        <w:widowControl w:val="0"/>
        <w:kinsoku/>
        <w:autoSpaceDE/>
        <w:autoSpaceDN/>
        <w:adjustRightInd/>
        <w:snapToGrid/>
        <w:spacing w:line="360" w:lineRule="auto"/>
        <w:ind w:firstLine="422" w:firstLineChars="200"/>
        <w:jc w:val="both"/>
        <w:textAlignment w:val="auto"/>
        <w:rPr>
          <w:rFonts w:hint="eastAsia" w:ascii="宋体" w:hAnsi="宋体" w:cs="宋体"/>
          <w:b/>
          <w:bCs/>
          <w:snapToGrid/>
          <w:color w:val="000000"/>
          <w:kern w:val="0"/>
          <w:sz w:val="21"/>
          <w:szCs w:val="21"/>
          <w:highlight w:val="none"/>
          <w:lang w:val="en-US" w:eastAsia="zh-CN" w:bidi="ar-SA"/>
        </w:rPr>
      </w:pPr>
    </w:p>
    <w:p>
      <w:pPr>
        <w:keepNext w:val="0"/>
        <w:keepLines w:val="0"/>
        <w:pageBreakBefore w:val="0"/>
        <w:widowControl w:val="0"/>
        <w:kinsoku/>
        <w:autoSpaceDE/>
        <w:autoSpaceDN/>
        <w:adjustRightInd/>
        <w:snapToGrid/>
        <w:spacing w:line="360" w:lineRule="auto"/>
        <w:ind w:firstLine="422" w:firstLineChars="200"/>
        <w:jc w:val="both"/>
        <w:textAlignment w:val="auto"/>
        <w:rPr>
          <w:rFonts w:hint="default" w:ascii="宋体" w:hAnsi="宋体" w:eastAsia="宋体" w:cs="宋体"/>
          <w:b/>
          <w:bCs/>
          <w:snapToGrid/>
          <w:color w:val="000000"/>
          <w:kern w:val="0"/>
          <w:sz w:val="21"/>
          <w:szCs w:val="21"/>
          <w:highlight w:val="none"/>
          <w:lang w:val="en-US" w:eastAsia="zh-CN" w:bidi="ar-SA"/>
        </w:rPr>
      </w:pPr>
      <w:r>
        <w:rPr>
          <w:rFonts w:hint="eastAsia" w:ascii="宋体" w:hAnsi="宋体" w:cs="宋体"/>
          <w:b/>
          <w:bCs/>
          <w:snapToGrid/>
          <w:color w:val="000000"/>
          <w:kern w:val="0"/>
          <w:sz w:val="21"/>
          <w:szCs w:val="21"/>
          <w:highlight w:val="none"/>
          <w:lang w:val="en-US" w:eastAsia="zh-CN" w:bidi="ar-SA"/>
        </w:rPr>
        <w:t>三</w:t>
      </w:r>
      <w:r>
        <w:rPr>
          <w:rFonts w:hint="eastAsia" w:ascii="宋体" w:hAnsi="宋体" w:eastAsia="宋体" w:cs="宋体"/>
          <w:b/>
          <w:bCs/>
          <w:snapToGrid/>
          <w:color w:val="000000"/>
          <w:kern w:val="0"/>
          <w:sz w:val="21"/>
          <w:szCs w:val="21"/>
          <w:highlight w:val="none"/>
          <w:lang w:val="en-US" w:eastAsia="zh-CN" w:bidi="ar-SA"/>
        </w:rPr>
        <w:t>、项目</w:t>
      </w:r>
      <w:r>
        <w:rPr>
          <w:rFonts w:hint="eastAsia" w:ascii="宋体" w:hAnsi="宋体" w:cs="宋体"/>
          <w:b/>
          <w:bCs/>
          <w:snapToGrid/>
          <w:color w:val="000000"/>
          <w:kern w:val="0"/>
          <w:sz w:val="21"/>
          <w:szCs w:val="21"/>
          <w:highlight w:val="none"/>
          <w:lang w:val="en-US" w:eastAsia="zh-CN" w:bidi="ar-SA"/>
        </w:rPr>
        <w:t>概况</w:t>
      </w:r>
    </w:p>
    <w:p>
      <w:pPr>
        <w:keepNext w:val="0"/>
        <w:keepLines w:val="0"/>
        <w:pageBreakBefore w:val="0"/>
        <w:widowControl w:val="0"/>
        <w:kinsoku/>
        <w:autoSpaceDE/>
        <w:autoSpaceDN/>
        <w:adjustRightInd/>
        <w:snapToGrid/>
        <w:spacing w:line="360" w:lineRule="auto"/>
        <w:ind w:firstLine="420"/>
        <w:jc w:val="both"/>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1、项目名称：</w:t>
      </w:r>
      <w:r>
        <w:rPr>
          <w:rFonts w:hint="eastAsia" w:ascii="宋体" w:hAnsi="宋体"/>
          <w:szCs w:val="21"/>
          <w:highlight w:val="none"/>
          <w:lang w:eastAsia="zh-CN"/>
        </w:rPr>
        <w:t>2026年度省家禽所科研辅助饲养繁育综合服务项目</w:t>
      </w:r>
    </w:p>
    <w:p>
      <w:pPr>
        <w:keepNext w:val="0"/>
        <w:keepLines w:val="0"/>
        <w:pageBreakBefore w:val="0"/>
        <w:widowControl w:val="0"/>
        <w:kinsoku/>
        <w:autoSpaceDE/>
        <w:autoSpaceDN/>
        <w:adjustRightInd/>
        <w:snapToGrid/>
        <w:spacing w:line="360" w:lineRule="auto"/>
        <w:ind w:firstLine="420"/>
        <w:jc w:val="both"/>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2、项目编号：</w:t>
      </w:r>
      <w:r>
        <w:rPr>
          <w:rFonts w:hint="eastAsia" w:ascii="宋体" w:hAnsi="宋体"/>
          <w:szCs w:val="21"/>
          <w:highlight w:val="none"/>
          <w:lang w:val="en-US" w:eastAsia="zh-CN"/>
        </w:rPr>
        <w:t>JSZC-320000-ZHHB-C2026-0001</w:t>
      </w:r>
    </w:p>
    <w:p>
      <w:pPr>
        <w:keepNext w:val="0"/>
        <w:keepLines w:val="0"/>
        <w:pageBreakBefore w:val="0"/>
        <w:widowControl w:val="0"/>
        <w:kinsoku/>
        <w:autoSpaceDE/>
        <w:autoSpaceDN/>
        <w:adjustRightInd/>
        <w:snapToGrid/>
        <w:spacing w:line="360" w:lineRule="auto"/>
        <w:ind w:firstLine="420"/>
        <w:jc w:val="both"/>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3、</w:t>
      </w:r>
      <w:r>
        <w:rPr>
          <w:rFonts w:hint="eastAsia" w:ascii="宋体" w:hAnsi="宋体"/>
          <w:color w:val="000000"/>
          <w:szCs w:val="21"/>
          <w:highlight w:val="none"/>
          <w:lang w:val="en-US" w:eastAsia="zh-CN"/>
        </w:rPr>
        <w:t>最高限价（如有）：本项目设定最高限价，最高限价为290万元，报价超过最高限</w:t>
      </w:r>
      <w:r>
        <w:rPr>
          <w:rFonts w:hint="eastAsia" w:ascii="宋体" w:hAnsi="宋体" w:eastAsia="宋体" w:cs="宋体"/>
          <w:snapToGrid/>
          <w:color w:val="000000"/>
          <w:kern w:val="0"/>
          <w:sz w:val="21"/>
          <w:szCs w:val="21"/>
          <w:highlight w:val="none"/>
          <w:lang w:val="en-US" w:eastAsia="zh-CN" w:bidi="ar-SA"/>
        </w:rPr>
        <w:t>价的为无效报价，按照无效响应处理。</w:t>
      </w:r>
    </w:p>
    <w:p>
      <w:pPr>
        <w:keepNext w:val="0"/>
        <w:keepLines w:val="0"/>
        <w:pageBreakBefore w:val="0"/>
        <w:widowControl w:val="0"/>
        <w:kinsoku/>
        <w:autoSpaceDE/>
        <w:autoSpaceDN/>
        <w:adjustRightInd/>
        <w:snapToGrid/>
        <w:spacing w:line="360" w:lineRule="auto"/>
        <w:ind w:firstLine="420"/>
        <w:jc w:val="both"/>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4、项目实施地点：采购人指定地点</w:t>
      </w:r>
    </w:p>
    <w:p>
      <w:pPr>
        <w:keepNext w:val="0"/>
        <w:keepLines w:val="0"/>
        <w:pageBreakBefore w:val="0"/>
        <w:widowControl w:val="0"/>
        <w:kinsoku/>
        <w:autoSpaceDE/>
        <w:autoSpaceDN/>
        <w:adjustRightInd/>
        <w:snapToGrid/>
        <w:spacing w:line="360" w:lineRule="auto"/>
        <w:ind w:firstLine="420"/>
        <w:jc w:val="both"/>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5、</w:t>
      </w:r>
      <w:r>
        <w:rPr>
          <w:rFonts w:hint="eastAsia" w:ascii="宋体" w:hAnsi="宋体"/>
          <w:color w:val="000000"/>
          <w:szCs w:val="21"/>
          <w:highlight w:val="none"/>
          <w:lang w:val="en-US" w:eastAsia="zh-CN"/>
        </w:rPr>
        <w:t>合同履行期限：</w:t>
      </w:r>
      <w:r>
        <w:rPr>
          <w:rFonts w:hint="eastAsia" w:ascii="宋体" w:hAnsi="宋体" w:cs="宋体"/>
          <w:szCs w:val="21"/>
          <w:highlight w:val="none"/>
        </w:rPr>
        <w:t>本项目服务期限为1年，起始日期以合同约定为准。</w:t>
      </w:r>
    </w:p>
    <w:p>
      <w:pPr>
        <w:keepNext w:val="0"/>
        <w:keepLines w:val="0"/>
        <w:pageBreakBefore w:val="0"/>
        <w:widowControl w:val="0"/>
        <w:kinsoku/>
        <w:autoSpaceDE/>
        <w:autoSpaceDN/>
        <w:adjustRightInd/>
        <w:snapToGrid/>
        <w:spacing w:line="360" w:lineRule="auto"/>
        <w:ind w:firstLine="420"/>
        <w:jc w:val="both"/>
        <w:textAlignment w:val="auto"/>
        <w:rPr>
          <w:rFonts w:hint="eastAsia" w:ascii="宋体" w:hAnsi="宋体" w:eastAsia="宋体" w:cs="宋体"/>
          <w:b/>
          <w:bCs/>
          <w:snapToGrid/>
          <w:color w:val="000000"/>
          <w:kern w:val="0"/>
          <w:sz w:val="21"/>
          <w:szCs w:val="21"/>
          <w:highlight w:val="none"/>
          <w:lang w:val="en-US" w:eastAsia="zh-CN" w:bidi="ar-SA"/>
        </w:rPr>
      </w:pPr>
      <w:r>
        <w:rPr>
          <w:rFonts w:hint="eastAsia" w:ascii="宋体" w:hAnsi="宋体" w:cs="宋体"/>
          <w:b/>
          <w:bCs/>
          <w:snapToGrid/>
          <w:color w:val="000000"/>
          <w:kern w:val="0"/>
          <w:sz w:val="21"/>
          <w:szCs w:val="21"/>
          <w:highlight w:val="none"/>
          <w:lang w:val="en-US" w:eastAsia="zh-CN" w:bidi="ar-SA"/>
        </w:rPr>
        <w:t>四</w:t>
      </w:r>
      <w:r>
        <w:rPr>
          <w:rFonts w:hint="eastAsia" w:ascii="宋体" w:hAnsi="宋体" w:eastAsia="宋体" w:cs="宋体"/>
          <w:b/>
          <w:bCs/>
          <w:snapToGrid/>
          <w:color w:val="000000"/>
          <w:kern w:val="0"/>
          <w:sz w:val="21"/>
          <w:szCs w:val="21"/>
          <w:highlight w:val="none"/>
          <w:lang w:val="en-US" w:eastAsia="zh-CN" w:bidi="ar-SA"/>
        </w:rPr>
        <w:t>、项目需求</w:t>
      </w:r>
    </w:p>
    <w:p>
      <w:pPr>
        <w:keepNext w:val="0"/>
        <w:keepLines w:val="0"/>
        <w:pageBreakBefore w:val="0"/>
        <w:widowControl w:val="0"/>
        <w:kinsoku/>
        <w:autoSpaceDE/>
        <w:autoSpaceDN/>
        <w:adjustRightInd/>
        <w:snapToGrid/>
        <w:spacing w:line="360" w:lineRule="auto"/>
        <w:ind w:firstLine="420"/>
        <w:jc w:val="both"/>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1、江苏省家禽科学研究所</w:t>
      </w:r>
      <w:r>
        <w:rPr>
          <w:rFonts w:hint="eastAsia" w:ascii="宋体" w:hAnsi="宋体"/>
          <w:szCs w:val="21"/>
          <w:highlight w:val="none"/>
          <w:lang w:eastAsia="zh-CN"/>
        </w:rPr>
        <w:t>2026年度省家禽所科研辅助饲养繁育综合服务项目</w:t>
      </w:r>
      <w:r>
        <w:rPr>
          <w:rFonts w:hint="eastAsia" w:ascii="宋体" w:hAnsi="宋体" w:eastAsia="宋体" w:cs="宋体"/>
          <w:snapToGrid/>
          <w:color w:val="000000"/>
          <w:kern w:val="0"/>
          <w:sz w:val="21"/>
          <w:szCs w:val="21"/>
          <w:highlight w:val="none"/>
          <w:lang w:val="en-US" w:eastAsia="zh-CN" w:bidi="ar-SA"/>
        </w:rPr>
        <w:t>，拟采用招标方式为我所采购科研辅助工作服务，成交供应商应按采购文件及采购人的要求提供相应服务。</w:t>
      </w:r>
    </w:p>
    <w:p>
      <w:pPr>
        <w:pStyle w:val="28"/>
        <w:spacing w:line="440" w:lineRule="exact"/>
        <w:ind w:firstLine="420" w:firstLineChars="200"/>
        <w:rPr>
          <w:rFonts w:hint="eastAsia" w:ascii="宋体" w:hAnsi="宋体" w:eastAsia="宋体" w:cs="宋体"/>
          <w:b w:val="0"/>
          <w:bCs w:val="0"/>
          <w:sz w:val="21"/>
          <w:highlight w:val="none"/>
        </w:rPr>
      </w:pPr>
      <w:r>
        <w:rPr>
          <w:rFonts w:hint="eastAsia" w:hAnsi="宋体" w:eastAsia="宋体" w:cs="宋体"/>
          <w:b w:val="0"/>
          <w:bCs w:val="0"/>
          <w:sz w:val="21"/>
          <w:highlight w:val="none"/>
          <w:lang w:val="en-US" w:eastAsia="zh-CN"/>
        </w:rPr>
        <w:t>2</w:t>
      </w:r>
      <w:r>
        <w:rPr>
          <w:rFonts w:hint="eastAsia" w:ascii="宋体" w:hAnsi="宋体" w:eastAsia="宋体" w:cs="宋体"/>
          <w:b w:val="0"/>
          <w:bCs w:val="0"/>
          <w:sz w:val="21"/>
          <w:highlight w:val="none"/>
        </w:rPr>
        <w:t>、人员配置要求：</w:t>
      </w:r>
    </w:p>
    <w:p>
      <w:pPr>
        <w:pStyle w:val="28"/>
        <w:spacing w:line="440" w:lineRule="exact"/>
        <w:ind w:firstLine="420"/>
        <w:rPr>
          <w:rFonts w:hint="default" w:ascii="宋体" w:hAnsi="宋体" w:eastAsia="宋体" w:cs="宋体"/>
          <w:b/>
          <w:bCs/>
          <w:strike/>
          <w:dstrike w:val="0"/>
          <w:sz w:val="21"/>
          <w:highlight w:val="yellow"/>
          <w:lang w:val="en-US" w:eastAsia="zh-CN"/>
        </w:rPr>
      </w:pPr>
      <w:r>
        <w:rPr>
          <w:rFonts w:hint="eastAsia" w:hAnsi="宋体" w:eastAsia="宋体" w:cs="宋体"/>
          <w:b/>
          <w:bCs/>
          <w:sz w:val="21"/>
          <w:highlight w:val="none"/>
          <w:lang w:val="en-US" w:eastAsia="zh-CN"/>
        </w:rPr>
        <w:t>（1）</w:t>
      </w:r>
      <w:r>
        <w:rPr>
          <w:rFonts w:hint="eastAsia" w:ascii="宋体" w:hAnsi="宋体" w:eastAsia="宋体" w:cs="宋体"/>
          <w:b/>
          <w:bCs/>
          <w:sz w:val="21"/>
          <w:highlight w:val="none"/>
          <w:lang w:val="en-US" w:eastAsia="zh-CN"/>
        </w:rPr>
        <w:t>人员配置应不低于</w:t>
      </w:r>
      <w:r>
        <w:rPr>
          <w:rFonts w:hint="eastAsia" w:hAnsi="宋体" w:cs="宋体"/>
          <w:b/>
          <w:bCs/>
          <w:sz w:val="21"/>
          <w:highlight w:val="none"/>
          <w:lang w:val="en-US" w:eastAsia="zh-CN"/>
        </w:rPr>
        <w:t>40</w:t>
      </w:r>
      <w:r>
        <w:rPr>
          <w:rFonts w:hint="eastAsia" w:ascii="宋体" w:hAnsi="宋体" w:eastAsia="宋体" w:cs="宋体"/>
          <w:b/>
          <w:bCs/>
          <w:sz w:val="21"/>
          <w:highlight w:val="none"/>
          <w:lang w:val="en-US" w:eastAsia="zh-CN"/>
        </w:rPr>
        <w:t>人，</w:t>
      </w:r>
      <w:r>
        <w:rPr>
          <w:rFonts w:hint="eastAsia" w:hAnsi="宋体" w:eastAsia="宋体" w:cs="宋体"/>
          <w:b/>
          <w:bCs/>
          <w:sz w:val="21"/>
          <w:highlight w:val="none"/>
          <w:lang w:val="en-US" w:eastAsia="zh-CN"/>
        </w:rPr>
        <w:t>其中包含项目负责人1名，</w:t>
      </w:r>
      <w:r>
        <w:rPr>
          <w:rFonts w:hint="eastAsia" w:ascii="宋体" w:hAnsi="宋体" w:eastAsia="宋体" w:cs="宋体"/>
          <w:b/>
          <w:bCs/>
          <w:sz w:val="21"/>
          <w:highlight w:val="none"/>
          <w:lang w:val="en-US" w:eastAsia="zh-CN"/>
        </w:rPr>
        <w:t>根据主要工作任务调整安排。</w:t>
      </w:r>
      <w:r>
        <w:rPr>
          <w:rFonts w:hint="eastAsia" w:ascii="宋体" w:hAnsi="宋体" w:eastAsia="宋体" w:cs="宋体"/>
          <w:b/>
          <w:bCs/>
          <w:strike w:val="0"/>
          <w:dstrike w:val="0"/>
          <w:sz w:val="21"/>
          <w:highlight w:val="none"/>
          <w:lang w:val="en-US" w:eastAsia="zh-CN"/>
        </w:rPr>
        <w:t>所配备人员及数量未经采购人同意，不得擅自更换或减少。</w:t>
      </w:r>
    </w:p>
    <w:p>
      <w:pPr>
        <w:pStyle w:val="28"/>
        <w:spacing w:line="440" w:lineRule="exact"/>
        <w:ind w:firstLine="420"/>
        <w:rPr>
          <w:rFonts w:hint="eastAsia"/>
          <w:highlight w:val="none"/>
          <w:lang w:val="en-US" w:eastAsia="zh-CN"/>
        </w:rPr>
      </w:pPr>
      <w:r>
        <w:rPr>
          <w:rFonts w:hint="eastAsia" w:hAnsi="宋体" w:eastAsia="宋体" w:cs="宋体"/>
          <w:sz w:val="21"/>
          <w:highlight w:val="none"/>
          <w:lang w:val="en-US" w:eastAsia="zh-CN"/>
        </w:rPr>
        <w:t>（2）</w:t>
      </w:r>
      <w:r>
        <w:rPr>
          <w:rFonts w:hint="eastAsia" w:ascii="宋体" w:hAnsi="宋体" w:eastAsia="宋体" w:cs="宋体"/>
          <w:sz w:val="21"/>
          <w:highlight w:val="none"/>
          <w:lang w:val="en-US" w:eastAsia="zh-CN"/>
        </w:rPr>
        <w:t>原则上工作时间：每天不少于8小时，具体由采购人</w:t>
      </w:r>
      <w:r>
        <w:rPr>
          <w:rFonts w:hint="eastAsia" w:ascii="宋体" w:hAnsi="宋体" w:eastAsia="宋体" w:cs="宋体"/>
          <w:sz w:val="21"/>
          <w:lang w:val="en-US" w:eastAsia="zh-CN"/>
        </w:rPr>
        <w:t>根据服务需要进行安排。</w:t>
      </w:r>
    </w:p>
    <w:p>
      <w:pPr>
        <w:spacing w:line="430" w:lineRule="exact"/>
        <w:ind w:firstLine="420" w:firstLineChars="200"/>
        <w:rPr>
          <w:rFonts w:hint="eastAsia"/>
          <w:b w:val="0"/>
          <w:bCs w:val="0"/>
          <w:highlight w:val="none"/>
        </w:rPr>
      </w:pPr>
      <w:r>
        <w:rPr>
          <w:rFonts w:hint="eastAsia"/>
          <w:b w:val="0"/>
          <w:bCs w:val="0"/>
          <w:highlight w:val="none"/>
          <w:lang w:val="en-US" w:eastAsia="zh-CN"/>
        </w:rPr>
        <w:t>3</w:t>
      </w:r>
      <w:r>
        <w:rPr>
          <w:rFonts w:hint="eastAsia"/>
          <w:b w:val="0"/>
          <w:bCs w:val="0"/>
          <w:highlight w:val="none"/>
        </w:rPr>
        <w:t>、人员要求：</w:t>
      </w:r>
    </w:p>
    <w:p>
      <w:pPr>
        <w:spacing w:line="430" w:lineRule="exact"/>
        <w:ind w:firstLine="420"/>
        <w:rPr>
          <w:rFonts w:hint="eastAsia"/>
          <w:highlight w:val="none"/>
        </w:rPr>
      </w:pPr>
      <w:r>
        <w:rPr>
          <w:rFonts w:hint="eastAsia"/>
          <w:highlight w:val="none"/>
        </w:rPr>
        <w:t>（1）敬岗、爱业、专业、精干、高效、健康、思想品质好，作风正派，服务意识强。</w:t>
      </w:r>
    </w:p>
    <w:p>
      <w:pPr>
        <w:spacing w:line="430" w:lineRule="exact"/>
        <w:ind w:firstLine="420"/>
        <w:rPr>
          <w:rFonts w:hint="eastAsia"/>
          <w:highlight w:val="none"/>
        </w:rPr>
      </w:pPr>
      <w:r>
        <w:rPr>
          <w:rFonts w:hint="eastAsia"/>
          <w:highlight w:val="none"/>
        </w:rPr>
        <w:t>（2）不准浓妆艳抹或佩带过分的饰物，头发染色不能过艳。</w:t>
      </w:r>
    </w:p>
    <w:p>
      <w:pPr>
        <w:spacing w:line="430" w:lineRule="exact"/>
        <w:ind w:firstLine="420"/>
        <w:rPr>
          <w:rFonts w:hint="eastAsia"/>
          <w:highlight w:val="none"/>
        </w:rPr>
      </w:pPr>
      <w:r>
        <w:rPr>
          <w:rFonts w:hint="eastAsia"/>
          <w:highlight w:val="none"/>
        </w:rPr>
        <w:t>（3）所有进驻的</w:t>
      </w:r>
      <w:r>
        <w:rPr>
          <w:rFonts w:hint="eastAsia"/>
          <w:highlight w:val="none"/>
          <w:lang w:val="en-US" w:eastAsia="zh-CN"/>
        </w:rPr>
        <w:t>服务</w:t>
      </w:r>
      <w:r>
        <w:rPr>
          <w:rFonts w:hint="eastAsia"/>
          <w:highlight w:val="none"/>
        </w:rPr>
        <w:t>人员工作时间不准抽烟或吃零食、闲谈以及做和工作无关的事；使用语言要文明，举止要大方，要具有一定的工作经验。</w:t>
      </w:r>
    </w:p>
    <w:p>
      <w:pPr>
        <w:spacing w:line="430" w:lineRule="exact"/>
        <w:ind w:firstLine="420"/>
        <w:rPr>
          <w:rFonts w:hint="eastAsia" w:ascii="宋体" w:hAnsi="宋体" w:eastAsia="宋体" w:cs="宋体"/>
          <w:b/>
          <w:bCs/>
          <w:snapToGrid/>
          <w:color w:val="000000"/>
          <w:kern w:val="0"/>
          <w:sz w:val="21"/>
          <w:szCs w:val="21"/>
          <w:highlight w:val="none"/>
          <w:lang w:val="en-US" w:eastAsia="zh-CN" w:bidi="ar-SA"/>
        </w:rPr>
      </w:pPr>
      <w:r>
        <w:rPr>
          <w:rFonts w:hint="eastAsia"/>
          <w:highlight w:val="none"/>
        </w:rPr>
        <w:t>（4）员工需统一着装上岗。</w:t>
      </w:r>
    </w:p>
    <w:p>
      <w:pPr>
        <w:pStyle w:val="28"/>
        <w:spacing w:line="440" w:lineRule="exact"/>
        <w:ind w:firstLine="420" w:firstLineChars="200"/>
        <w:rPr>
          <w:rFonts w:hint="eastAsia" w:hAnsi="宋体" w:eastAsia="宋体" w:cs="宋体"/>
          <w:b w:val="0"/>
          <w:bCs w:val="0"/>
          <w:sz w:val="21"/>
          <w:highlight w:val="none"/>
          <w:lang w:val="en-US" w:eastAsia="zh-CN"/>
        </w:rPr>
      </w:pPr>
      <w:r>
        <w:rPr>
          <w:rFonts w:hint="eastAsia" w:hAnsi="宋体" w:eastAsia="宋体" w:cs="宋体"/>
          <w:b w:val="0"/>
          <w:bCs w:val="0"/>
          <w:sz w:val="21"/>
          <w:highlight w:val="none"/>
          <w:lang w:val="en-US" w:eastAsia="zh-CN"/>
        </w:rPr>
        <w:t>4、辅助工作要求：</w:t>
      </w:r>
    </w:p>
    <w:tbl>
      <w:tblPr>
        <w:tblStyle w:val="46"/>
        <w:tblW w:w="5007" w:type="pct"/>
        <w:jc w:val="center"/>
        <w:tblLayout w:type="autofit"/>
        <w:tblCellMar>
          <w:top w:w="0" w:type="dxa"/>
          <w:left w:w="0" w:type="dxa"/>
          <w:bottom w:w="0" w:type="dxa"/>
          <w:right w:w="0" w:type="dxa"/>
        </w:tblCellMar>
      </w:tblPr>
      <w:tblGrid>
        <w:gridCol w:w="910"/>
        <w:gridCol w:w="1712"/>
        <w:gridCol w:w="4280"/>
        <w:gridCol w:w="1432"/>
      </w:tblGrid>
      <w:tr>
        <w:tblPrEx>
          <w:tblCellMar>
            <w:top w:w="0" w:type="dxa"/>
            <w:left w:w="0" w:type="dxa"/>
            <w:bottom w:w="0" w:type="dxa"/>
            <w:right w:w="0" w:type="dxa"/>
          </w:tblCellMar>
        </w:tblPrEx>
        <w:trPr>
          <w:trHeight w:val="647" w:hRule="atLeast"/>
          <w:tblHeader/>
          <w:jc w:val="center"/>
        </w:trPr>
        <w:tc>
          <w:tcPr>
            <w:tcW w:w="546"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jc w:val="center"/>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序号</w:t>
            </w:r>
          </w:p>
        </w:tc>
        <w:tc>
          <w:tcPr>
            <w:tcW w:w="1027"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jc w:val="center"/>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需求部门</w:t>
            </w:r>
          </w:p>
        </w:tc>
        <w:tc>
          <w:tcPr>
            <w:tcW w:w="2567"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jc w:val="center"/>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工作内容</w:t>
            </w:r>
          </w:p>
        </w:tc>
        <w:tc>
          <w:tcPr>
            <w:tcW w:w="858"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jc w:val="center"/>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服务地点</w:t>
            </w:r>
          </w:p>
        </w:tc>
      </w:tr>
      <w:tr>
        <w:tblPrEx>
          <w:tblCellMar>
            <w:top w:w="0" w:type="dxa"/>
            <w:left w:w="0" w:type="dxa"/>
            <w:bottom w:w="0" w:type="dxa"/>
            <w:right w:w="0" w:type="dxa"/>
          </w:tblCellMar>
        </w:tblPrEx>
        <w:trPr>
          <w:trHeight w:val="1118" w:hRule="atLeast"/>
          <w:jc w:val="center"/>
        </w:trPr>
        <w:tc>
          <w:tcPr>
            <w:tcW w:w="546"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ind w:firstLine="420"/>
              <w:jc w:val="both"/>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1</w:t>
            </w:r>
          </w:p>
        </w:tc>
        <w:tc>
          <w:tcPr>
            <w:tcW w:w="1027"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ind w:firstLine="420" w:firstLineChars="200"/>
              <w:jc w:val="both"/>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蛋鸡</w:t>
            </w:r>
            <w:r>
              <w:rPr>
                <w:rFonts w:hint="eastAsia" w:ascii="宋体" w:hAnsi="宋体" w:cs="宋体"/>
                <w:snapToGrid/>
                <w:color w:val="000000"/>
                <w:kern w:val="0"/>
                <w:sz w:val="21"/>
                <w:szCs w:val="21"/>
                <w:highlight w:val="none"/>
                <w:lang w:val="en-US" w:eastAsia="zh-CN" w:bidi="ar-SA"/>
              </w:rPr>
              <w:t>室</w:t>
            </w:r>
          </w:p>
        </w:tc>
        <w:tc>
          <w:tcPr>
            <w:tcW w:w="2567"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spacing w:line="240" w:lineRule="auto"/>
              <w:rPr>
                <w:rFonts w:hint="eastAsia" w:ascii="宋体" w:hAnsi="宋体" w:eastAsia="宋体" w:cs="宋体"/>
                <w:szCs w:val="21"/>
                <w:lang w:val="en-US" w:eastAsia="zh-CN"/>
              </w:rPr>
            </w:pPr>
            <w:r>
              <w:rPr>
                <w:rFonts w:hint="eastAsia" w:ascii="宋体" w:hAnsi="宋体" w:eastAsia="宋体" w:cs="宋体"/>
                <w:szCs w:val="21"/>
                <w:lang w:val="en-US" w:eastAsia="zh-CN"/>
              </w:rPr>
              <w:t>1年饲养雏鸡4批，每批8000只</w:t>
            </w:r>
            <w:r>
              <w:rPr>
                <w:rFonts w:hint="eastAsia" w:ascii="宋体" w:hAnsi="宋体" w:cs="宋体"/>
                <w:szCs w:val="21"/>
                <w:lang w:val="en-US" w:eastAsia="zh-CN"/>
              </w:rPr>
              <w:t>，</w:t>
            </w:r>
            <w:r>
              <w:rPr>
                <w:rFonts w:hint="eastAsia" w:ascii="宋体" w:hAnsi="宋体" w:eastAsia="宋体" w:cs="宋体"/>
                <w:szCs w:val="21"/>
                <w:lang w:val="en-US" w:eastAsia="zh-CN"/>
              </w:rPr>
              <w:t>共1栋育雏育成鸡舍和5栋产蛋鸡舍，要求饲养、保洁、科研数据记录登记、归档。</w:t>
            </w:r>
          </w:p>
        </w:tc>
        <w:tc>
          <w:tcPr>
            <w:tcW w:w="858"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ind w:firstLine="420" w:firstLineChars="200"/>
              <w:jc w:val="both"/>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月塘</w:t>
            </w:r>
          </w:p>
        </w:tc>
      </w:tr>
      <w:tr>
        <w:tblPrEx>
          <w:tblCellMar>
            <w:top w:w="0" w:type="dxa"/>
            <w:left w:w="0" w:type="dxa"/>
            <w:bottom w:w="0" w:type="dxa"/>
            <w:right w:w="0" w:type="dxa"/>
          </w:tblCellMar>
        </w:tblPrEx>
        <w:trPr>
          <w:trHeight w:val="2041" w:hRule="atLeast"/>
          <w:jc w:val="center"/>
        </w:trPr>
        <w:tc>
          <w:tcPr>
            <w:tcW w:w="546"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360" w:lineRule="auto"/>
              <w:ind w:firstLine="420"/>
              <w:jc w:val="both"/>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cs="宋体"/>
                <w:snapToGrid/>
                <w:color w:val="000000"/>
                <w:kern w:val="0"/>
                <w:sz w:val="21"/>
                <w:szCs w:val="21"/>
                <w:highlight w:val="none"/>
                <w:lang w:val="en-US" w:eastAsia="zh-CN" w:bidi="ar-SA"/>
              </w:rPr>
              <w:t>2</w:t>
            </w:r>
          </w:p>
        </w:tc>
        <w:tc>
          <w:tcPr>
            <w:tcW w:w="1027"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360" w:lineRule="auto"/>
              <w:ind w:firstLine="420"/>
              <w:jc w:val="both"/>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营养室</w:t>
            </w:r>
          </w:p>
        </w:tc>
        <w:tc>
          <w:tcPr>
            <w:tcW w:w="2567"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spacing w:line="240" w:lineRule="auto"/>
              <w:rPr>
                <w:rFonts w:hint="eastAsia" w:ascii="宋体" w:hAnsi="宋体" w:eastAsia="宋体" w:cs="宋体"/>
                <w:szCs w:val="21"/>
                <w:lang w:val="en-US" w:eastAsia="zh-CN"/>
              </w:rPr>
            </w:pPr>
            <w:r>
              <w:rPr>
                <w:rFonts w:hint="eastAsia" w:ascii="宋体" w:hAnsi="宋体" w:eastAsia="宋体" w:cs="宋体"/>
                <w:szCs w:val="21"/>
                <w:lang w:val="en-US" w:eastAsia="zh-CN"/>
              </w:rPr>
              <w:t>1、一年开展蛋鸡试验2-3 批次、肉鸡试验5-6批次，负责鸡只饲养、试验记录；</w:t>
            </w:r>
          </w:p>
          <w:p>
            <w:pPr>
              <w:spacing w:line="240" w:lineRule="auto"/>
              <w:rPr>
                <w:rFonts w:hint="eastAsia" w:ascii="宋体" w:hAnsi="宋体" w:eastAsia="宋体" w:cs="宋体"/>
                <w:szCs w:val="21"/>
                <w:lang w:val="en-US" w:eastAsia="zh-CN"/>
              </w:rPr>
            </w:pPr>
            <w:r>
              <w:rPr>
                <w:rFonts w:hint="eastAsia" w:ascii="宋体" w:hAnsi="宋体" w:eastAsia="宋体" w:cs="宋体"/>
                <w:szCs w:val="21"/>
                <w:lang w:val="en-US" w:eastAsia="zh-CN"/>
              </w:rPr>
              <w:t>2、负责场舍试验前准备、日常卫生、日常消毒和试验后清理；</w:t>
            </w:r>
          </w:p>
          <w:p>
            <w:pPr>
              <w:spacing w:line="240" w:lineRule="auto"/>
              <w:rPr>
                <w:rFonts w:hint="eastAsia" w:ascii="宋体" w:hAnsi="宋体" w:eastAsia="宋体" w:cs="宋体"/>
                <w:szCs w:val="21"/>
                <w:lang w:val="en-US" w:eastAsia="zh-CN"/>
              </w:rPr>
            </w:pPr>
            <w:r>
              <w:rPr>
                <w:rFonts w:hint="eastAsia" w:ascii="宋体" w:hAnsi="宋体" w:eastAsia="宋体" w:cs="宋体"/>
                <w:szCs w:val="21"/>
                <w:lang w:val="en-US" w:eastAsia="zh-CN"/>
              </w:rPr>
              <w:t>3、配蛋鸡试验用饲料80吨、肉鸡试验用饲料40吨；</w:t>
            </w:r>
          </w:p>
          <w:p>
            <w:pPr>
              <w:spacing w:line="240" w:lineRule="auto"/>
              <w:rPr>
                <w:rFonts w:hint="eastAsia" w:ascii="宋体" w:hAnsi="宋体" w:eastAsia="宋体" w:cs="宋体"/>
                <w:szCs w:val="21"/>
              </w:rPr>
            </w:pPr>
            <w:r>
              <w:rPr>
                <w:rFonts w:hint="eastAsia" w:ascii="宋体" w:hAnsi="宋体" w:eastAsia="宋体" w:cs="宋体"/>
                <w:szCs w:val="21"/>
                <w:lang w:val="en-US" w:eastAsia="zh-CN"/>
              </w:rPr>
              <w:t>4、参与试验采样，负责采样后场地清理。</w:t>
            </w:r>
          </w:p>
        </w:tc>
        <w:tc>
          <w:tcPr>
            <w:tcW w:w="858"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ind w:firstLine="420" w:firstLineChars="200"/>
              <w:jc w:val="both"/>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月塘</w:t>
            </w:r>
          </w:p>
        </w:tc>
      </w:tr>
      <w:tr>
        <w:tblPrEx>
          <w:tblCellMar>
            <w:top w:w="0" w:type="dxa"/>
            <w:left w:w="0" w:type="dxa"/>
            <w:bottom w:w="0" w:type="dxa"/>
            <w:right w:w="0" w:type="dxa"/>
          </w:tblCellMar>
        </w:tblPrEx>
        <w:trPr>
          <w:trHeight w:val="903" w:hRule="atLeast"/>
          <w:jc w:val="center"/>
        </w:trPr>
        <w:tc>
          <w:tcPr>
            <w:tcW w:w="546"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360" w:lineRule="auto"/>
              <w:ind w:firstLine="420"/>
              <w:jc w:val="both"/>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cs="宋体"/>
                <w:snapToGrid/>
                <w:color w:val="000000"/>
                <w:kern w:val="0"/>
                <w:sz w:val="21"/>
                <w:szCs w:val="21"/>
                <w:highlight w:val="none"/>
                <w:lang w:val="en-US" w:eastAsia="zh-CN" w:bidi="ar-SA"/>
              </w:rPr>
              <w:t>3</w:t>
            </w:r>
          </w:p>
        </w:tc>
        <w:tc>
          <w:tcPr>
            <w:tcW w:w="1027"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360" w:lineRule="auto"/>
              <w:ind w:firstLine="420"/>
              <w:jc w:val="both"/>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质量</w:t>
            </w:r>
            <w:r>
              <w:rPr>
                <w:rFonts w:hint="eastAsia" w:ascii="宋体" w:hAnsi="宋体" w:cs="宋体"/>
                <w:snapToGrid/>
                <w:color w:val="000000"/>
                <w:kern w:val="0"/>
                <w:sz w:val="21"/>
                <w:szCs w:val="21"/>
                <w:highlight w:val="none"/>
                <w:lang w:val="en-US" w:eastAsia="zh-CN" w:bidi="ar-SA"/>
              </w:rPr>
              <w:t>室</w:t>
            </w:r>
          </w:p>
        </w:tc>
        <w:tc>
          <w:tcPr>
            <w:tcW w:w="2567"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spacing w:line="240" w:lineRule="auto"/>
              <w:rPr>
                <w:rFonts w:hint="eastAsia" w:ascii="宋体" w:hAnsi="宋体" w:eastAsia="宋体" w:cs="宋体"/>
                <w:szCs w:val="21"/>
              </w:rPr>
            </w:pPr>
            <w:r>
              <w:rPr>
                <w:rFonts w:hint="eastAsia" w:ascii="宋体" w:hAnsi="宋体" w:eastAsia="宋体" w:cs="宋体"/>
                <w:szCs w:val="21"/>
                <w:lang w:val="en-US" w:eastAsia="zh-CN"/>
              </w:rPr>
              <w:t>种禽测定工作，饲养</w:t>
            </w:r>
            <w:r>
              <w:rPr>
                <w:rFonts w:hint="eastAsia" w:ascii="宋体" w:hAnsi="宋体" w:eastAsia="宋体" w:cs="宋体"/>
                <w:szCs w:val="21"/>
                <w:highlight w:val="none"/>
                <w:lang w:val="en-US" w:eastAsia="zh-CN"/>
              </w:rPr>
              <w:t>种鸡</w:t>
            </w:r>
            <w:r>
              <w:rPr>
                <w:rFonts w:hint="eastAsia" w:ascii="宋体" w:hAnsi="宋体" w:cs="宋体"/>
                <w:szCs w:val="21"/>
                <w:highlight w:val="none"/>
                <w:lang w:val="en-US" w:eastAsia="zh-CN"/>
              </w:rPr>
              <w:t>1</w:t>
            </w:r>
            <w:r>
              <w:rPr>
                <w:rFonts w:hint="eastAsia" w:ascii="宋体" w:hAnsi="宋体" w:eastAsia="宋体" w:cs="宋体"/>
                <w:szCs w:val="21"/>
                <w:highlight w:val="none"/>
                <w:lang w:val="en-US" w:eastAsia="zh-CN"/>
              </w:rPr>
              <w:t>0000只，</w:t>
            </w:r>
            <w:r>
              <w:rPr>
                <w:rFonts w:hint="eastAsia" w:ascii="宋体" w:hAnsi="宋体" w:eastAsia="宋体" w:cs="宋体"/>
                <w:szCs w:val="21"/>
                <w:lang w:val="en-US" w:eastAsia="zh-CN"/>
              </w:rPr>
              <w:t>要求饲养、保洁、科研数据记录登记、归档。</w:t>
            </w:r>
          </w:p>
        </w:tc>
        <w:tc>
          <w:tcPr>
            <w:tcW w:w="858"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ind w:firstLine="420" w:firstLineChars="200"/>
              <w:jc w:val="both"/>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月塘</w:t>
            </w:r>
          </w:p>
        </w:tc>
      </w:tr>
      <w:tr>
        <w:tblPrEx>
          <w:tblCellMar>
            <w:top w:w="0" w:type="dxa"/>
            <w:left w:w="0" w:type="dxa"/>
            <w:bottom w:w="0" w:type="dxa"/>
            <w:right w:w="0" w:type="dxa"/>
          </w:tblCellMar>
        </w:tblPrEx>
        <w:trPr>
          <w:trHeight w:val="975" w:hRule="atLeast"/>
          <w:jc w:val="center"/>
        </w:trPr>
        <w:tc>
          <w:tcPr>
            <w:tcW w:w="546"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360" w:lineRule="auto"/>
              <w:ind w:firstLine="420"/>
              <w:jc w:val="both"/>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cs="宋体"/>
                <w:snapToGrid/>
                <w:color w:val="000000"/>
                <w:kern w:val="0"/>
                <w:sz w:val="21"/>
                <w:szCs w:val="21"/>
                <w:highlight w:val="none"/>
                <w:lang w:val="en-US" w:eastAsia="zh-CN" w:bidi="ar-SA"/>
              </w:rPr>
              <w:t>4</w:t>
            </w:r>
          </w:p>
        </w:tc>
        <w:tc>
          <w:tcPr>
            <w:tcW w:w="1027"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360" w:lineRule="auto"/>
              <w:ind w:firstLine="420"/>
              <w:jc w:val="both"/>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auto"/>
                <w:kern w:val="0"/>
                <w:sz w:val="21"/>
                <w:szCs w:val="21"/>
                <w:highlight w:val="none"/>
                <w:lang w:val="en-US" w:eastAsia="zh-CN" w:bidi="ar-SA"/>
              </w:rPr>
              <w:t>肉鸡</w:t>
            </w:r>
            <w:r>
              <w:rPr>
                <w:rFonts w:hint="eastAsia" w:ascii="宋体" w:hAnsi="宋体" w:cs="宋体"/>
                <w:snapToGrid/>
                <w:color w:val="000000"/>
                <w:kern w:val="0"/>
                <w:sz w:val="21"/>
                <w:szCs w:val="21"/>
                <w:highlight w:val="none"/>
                <w:lang w:val="en-US" w:eastAsia="zh-CN" w:bidi="ar-SA"/>
              </w:rPr>
              <w:t>室</w:t>
            </w:r>
          </w:p>
        </w:tc>
        <w:tc>
          <w:tcPr>
            <w:tcW w:w="2567"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spacing w:line="240" w:lineRule="auto"/>
              <w:rPr>
                <w:rFonts w:hint="eastAsia" w:ascii="宋体" w:hAnsi="宋体" w:cs="宋体"/>
                <w:szCs w:val="21"/>
                <w:lang w:val="en-US" w:eastAsia="zh-CN"/>
              </w:rPr>
            </w:pPr>
            <w:r>
              <w:rPr>
                <w:rFonts w:hint="eastAsia" w:ascii="宋体" w:hAnsi="宋体" w:cs="宋体"/>
                <w:szCs w:val="21"/>
                <w:lang w:val="en-US" w:eastAsia="zh-CN"/>
              </w:rPr>
              <w:t>1、一</w:t>
            </w:r>
            <w:r>
              <w:rPr>
                <w:rFonts w:hint="eastAsia" w:ascii="宋体" w:hAnsi="宋体" w:eastAsia="宋体" w:cs="宋体"/>
                <w:szCs w:val="21"/>
                <w:lang w:val="en-US" w:eastAsia="zh-CN"/>
              </w:rPr>
              <w:t>年饲养雏鸡2批，每批5000只，共1栋育雏育成鸡舍和1栋产蛋鸡舍，要求饲养、保洁、科研数据记录登记、归档。</w:t>
            </w:r>
          </w:p>
          <w:p>
            <w:pPr>
              <w:spacing w:line="240" w:lineRule="auto"/>
              <w:rPr>
                <w:rFonts w:hint="eastAsia" w:ascii="宋体" w:hAnsi="宋体" w:eastAsia="宋体" w:cs="宋体"/>
                <w:szCs w:val="21"/>
                <w:lang w:val="en-US" w:eastAsia="zh-CN"/>
              </w:rPr>
            </w:pPr>
            <w:r>
              <w:rPr>
                <w:rFonts w:hint="eastAsia" w:ascii="宋体" w:hAnsi="宋体" w:cs="宋体"/>
                <w:szCs w:val="21"/>
                <w:lang w:val="en-US" w:eastAsia="zh-CN"/>
              </w:rPr>
              <w:t>2、</w:t>
            </w:r>
            <w:r>
              <w:rPr>
                <w:rFonts w:hint="eastAsia" w:ascii="宋体" w:hAnsi="宋体" w:eastAsia="宋体" w:cs="宋体"/>
                <w:szCs w:val="21"/>
                <w:lang w:val="en-US" w:eastAsia="zh-CN"/>
              </w:rPr>
              <w:t>肉鸡育种测定工作，年饲养种鸡1.2万只，要求饲养、保洁、科研数据记录登记、归档。</w:t>
            </w:r>
          </w:p>
        </w:tc>
        <w:tc>
          <w:tcPr>
            <w:tcW w:w="858"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ind w:firstLine="420" w:firstLineChars="200"/>
              <w:jc w:val="both"/>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月塘</w:t>
            </w:r>
          </w:p>
        </w:tc>
      </w:tr>
      <w:tr>
        <w:tblPrEx>
          <w:tblCellMar>
            <w:top w:w="0" w:type="dxa"/>
            <w:left w:w="0" w:type="dxa"/>
            <w:bottom w:w="0" w:type="dxa"/>
            <w:right w:w="0" w:type="dxa"/>
          </w:tblCellMar>
        </w:tblPrEx>
        <w:trPr>
          <w:trHeight w:val="1004" w:hRule="atLeast"/>
          <w:jc w:val="center"/>
        </w:trPr>
        <w:tc>
          <w:tcPr>
            <w:tcW w:w="546"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360" w:lineRule="auto"/>
              <w:ind w:firstLine="420"/>
              <w:jc w:val="both"/>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cs="宋体"/>
                <w:snapToGrid/>
                <w:color w:val="000000"/>
                <w:kern w:val="0"/>
                <w:sz w:val="21"/>
                <w:szCs w:val="21"/>
                <w:highlight w:val="none"/>
                <w:lang w:val="en-US" w:eastAsia="zh-CN" w:bidi="ar-SA"/>
              </w:rPr>
              <w:t>5</w:t>
            </w:r>
          </w:p>
        </w:tc>
        <w:tc>
          <w:tcPr>
            <w:tcW w:w="1027"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360" w:lineRule="auto"/>
              <w:ind w:firstLine="420"/>
              <w:jc w:val="both"/>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基因库</w:t>
            </w:r>
          </w:p>
        </w:tc>
        <w:tc>
          <w:tcPr>
            <w:tcW w:w="2567"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spacing w:line="240" w:lineRule="auto"/>
              <w:rPr>
                <w:rFonts w:hint="eastAsia" w:ascii="宋体" w:hAnsi="宋体" w:eastAsia="宋体" w:cs="宋体"/>
                <w:szCs w:val="21"/>
                <w:lang w:val="en-US" w:eastAsia="zh-CN"/>
              </w:rPr>
            </w:pPr>
            <w:r>
              <w:rPr>
                <w:rFonts w:hint="eastAsia" w:ascii="宋体" w:hAnsi="宋体" w:eastAsia="宋体" w:cs="宋体"/>
                <w:szCs w:val="21"/>
                <w:lang w:val="en-US" w:eastAsia="zh-CN"/>
              </w:rPr>
              <w:t>36个品种的继代繁殖和饲养，要求饲养、保洁、全年保存品种的生产性能数据记录登记、归档。</w:t>
            </w:r>
          </w:p>
        </w:tc>
        <w:tc>
          <w:tcPr>
            <w:tcW w:w="858"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ind w:firstLine="420" w:firstLineChars="200"/>
              <w:jc w:val="both"/>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月塘</w:t>
            </w:r>
          </w:p>
        </w:tc>
      </w:tr>
      <w:tr>
        <w:tblPrEx>
          <w:tblCellMar>
            <w:top w:w="0" w:type="dxa"/>
            <w:left w:w="0" w:type="dxa"/>
            <w:bottom w:w="0" w:type="dxa"/>
            <w:right w:w="0" w:type="dxa"/>
          </w:tblCellMar>
        </w:tblPrEx>
        <w:trPr>
          <w:trHeight w:val="649" w:hRule="atLeast"/>
          <w:jc w:val="center"/>
        </w:trPr>
        <w:tc>
          <w:tcPr>
            <w:tcW w:w="546"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360" w:lineRule="auto"/>
              <w:ind w:firstLine="420"/>
              <w:jc w:val="both"/>
              <w:textAlignment w:val="auto"/>
              <w:rPr>
                <w:rFonts w:hint="default" w:ascii="宋体" w:hAnsi="宋体" w:eastAsia="宋体" w:cs="宋体"/>
                <w:snapToGrid/>
                <w:color w:val="000000"/>
                <w:kern w:val="0"/>
                <w:sz w:val="21"/>
                <w:szCs w:val="21"/>
                <w:highlight w:val="none"/>
                <w:lang w:val="en-US" w:eastAsia="zh-CN" w:bidi="ar-SA"/>
              </w:rPr>
            </w:pPr>
            <w:r>
              <w:rPr>
                <w:rFonts w:hint="eastAsia" w:ascii="宋体" w:hAnsi="宋体" w:cs="宋体"/>
                <w:snapToGrid/>
                <w:color w:val="000000"/>
                <w:kern w:val="0"/>
                <w:sz w:val="21"/>
                <w:szCs w:val="21"/>
                <w:highlight w:val="none"/>
                <w:lang w:val="en-US" w:eastAsia="zh-CN" w:bidi="ar-SA"/>
              </w:rPr>
              <w:t>6</w:t>
            </w:r>
          </w:p>
        </w:tc>
        <w:tc>
          <w:tcPr>
            <w:tcW w:w="1027"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360" w:lineRule="auto"/>
              <w:jc w:val="center"/>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邵伯、月塘基地</w:t>
            </w:r>
          </w:p>
        </w:tc>
        <w:tc>
          <w:tcPr>
            <w:tcW w:w="2567"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spacing w:line="240" w:lineRule="auto"/>
              <w:rPr>
                <w:rFonts w:hint="eastAsia" w:ascii="宋体" w:hAnsi="宋体" w:eastAsia="宋体" w:cs="宋体"/>
                <w:szCs w:val="21"/>
                <w:lang w:val="en-US" w:eastAsia="zh-CN"/>
              </w:rPr>
            </w:pPr>
            <w:r>
              <w:rPr>
                <w:rFonts w:hint="eastAsia" w:ascii="宋体" w:hAnsi="宋体" w:eastAsia="宋体" w:cs="宋体"/>
                <w:szCs w:val="21"/>
                <w:lang w:val="en-US" w:eastAsia="zh-CN"/>
              </w:rPr>
              <w:t>8小时工作值班，熟悉养殖工序、基地后勤保障，综合管理等事项</w:t>
            </w:r>
            <w:r>
              <w:rPr>
                <w:rFonts w:hint="eastAsia" w:ascii="宋体" w:hAnsi="宋体" w:cs="宋体"/>
                <w:szCs w:val="21"/>
                <w:lang w:val="en-US" w:eastAsia="zh-CN"/>
              </w:rPr>
              <w:t>。</w:t>
            </w:r>
          </w:p>
        </w:tc>
        <w:tc>
          <w:tcPr>
            <w:tcW w:w="858"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jc w:val="center"/>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邵伯、月塘</w:t>
            </w:r>
          </w:p>
        </w:tc>
      </w:tr>
      <w:tr>
        <w:tblPrEx>
          <w:tblCellMar>
            <w:top w:w="0" w:type="dxa"/>
            <w:left w:w="0" w:type="dxa"/>
            <w:bottom w:w="0" w:type="dxa"/>
            <w:right w:w="0" w:type="dxa"/>
          </w:tblCellMar>
        </w:tblPrEx>
        <w:trPr>
          <w:trHeight w:val="975" w:hRule="atLeast"/>
          <w:jc w:val="center"/>
        </w:trPr>
        <w:tc>
          <w:tcPr>
            <w:tcW w:w="546"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360" w:lineRule="auto"/>
              <w:ind w:firstLine="420"/>
              <w:jc w:val="both"/>
              <w:textAlignment w:val="auto"/>
              <w:rPr>
                <w:rFonts w:hint="default" w:ascii="宋体" w:hAnsi="宋体" w:eastAsia="宋体" w:cs="宋体"/>
                <w:snapToGrid/>
                <w:color w:val="000000"/>
                <w:kern w:val="0"/>
                <w:sz w:val="21"/>
                <w:szCs w:val="21"/>
                <w:highlight w:val="none"/>
                <w:lang w:val="en-US" w:eastAsia="zh-CN" w:bidi="ar-SA"/>
              </w:rPr>
            </w:pPr>
            <w:r>
              <w:rPr>
                <w:rFonts w:hint="eastAsia" w:ascii="宋体" w:hAnsi="宋体" w:cs="宋体"/>
                <w:snapToGrid/>
                <w:color w:val="000000"/>
                <w:kern w:val="0"/>
                <w:sz w:val="21"/>
                <w:szCs w:val="21"/>
                <w:highlight w:val="none"/>
                <w:lang w:val="en-US" w:eastAsia="zh-CN" w:bidi="ar-SA"/>
              </w:rPr>
              <w:t>7</w:t>
            </w:r>
          </w:p>
        </w:tc>
        <w:tc>
          <w:tcPr>
            <w:tcW w:w="1027"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360" w:lineRule="auto"/>
              <w:jc w:val="center"/>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邵伯、月塘基地</w:t>
            </w:r>
          </w:p>
        </w:tc>
        <w:tc>
          <w:tcPr>
            <w:tcW w:w="2567"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spacing w:line="240" w:lineRule="auto"/>
              <w:rPr>
                <w:rFonts w:hint="eastAsia" w:ascii="宋体" w:hAnsi="宋体" w:eastAsia="宋体" w:cs="宋体"/>
                <w:szCs w:val="21"/>
                <w:lang w:val="en-US" w:eastAsia="zh-CN"/>
              </w:rPr>
            </w:pPr>
            <w:r>
              <w:rPr>
                <w:rFonts w:hint="eastAsia" w:ascii="宋体" w:hAnsi="宋体" w:eastAsia="宋体" w:cs="宋体"/>
                <w:szCs w:val="21"/>
                <w:lang w:val="en-US" w:eastAsia="zh-CN"/>
              </w:rPr>
              <w:t>8小时工作值班，平常水电维修，应急维护和操作发电机组，应急管理等事项</w:t>
            </w:r>
            <w:r>
              <w:rPr>
                <w:rFonts w:hint="eastAsia" w:ascii="宋体" w:hAnsi="宋体" w:cs="宋体"/>
                <w:szCs w:val="21"/>
                <w:lang w:val="en-US" w:eastAsia="zh-CN"/>
              </w:rPr>
              <w:t>。</w:t>
            </w:r>
          </w:p>
        </w:tc>
        <w:tc>
          <w:tcPr>
            <w:tcW w:w="858"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jc w:val="center"/>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邵伯、月塘</w:t>
            </w:r>
          </w:p>
        </w:tc>
      </w:tr>
    </w:tbl>
    <w:p>
      <w:pPr>
        <w:keepNext w:val="0"/>
        <w:keepLines w:val="0"/>
        <w:pageBreakBefore w:val="0"/>
        <w:widowControl w:val="0"/>
        <w:kinsoku/>
        <w:autoSpaceDE/>
        <w:autoSpaceDN/>
        <w:adjustRightInd/>
        <w:snapToGrid/>
        <w:spacing w:line="360" w:lineRule="auto"/>
        <w:ind w:firstLine="422" w:firstLineChars="200"/>
        <w:jc w:val="both"/>
        <w:textAlignment w:val="auto"/>
        <w:rPr>
          <w:rFonts w:hint="default" w:ascii="宋体" w:hAnsi="宋体" w:cs="宋体"/>
          <w:b/>
          <w:bCs/>
          <w:snapToGrid/>
          <w:color w:val="000000"/>
          <w:kern w:val="0"/>
          <w:sz w:val="21"/>
          <w:szCs w:val="21"/>
          <w:highlight w:val="none"/>
          <w:lang w:val="en-US" w:eastAsia="zh-CN" w:bidi="ar-SA"/>
        </w:rPr>
      </w:pPr>
      <w:r>
        <w:rPr>
          <w:rFonts w:hint="eastAsia" w:ascii="宋体" w:hAnsi="宋体" w:cs="宋体"/>
          <w:b/>
          <w:bCs/>
          <w:snapToGrid/>
          <w:color w:val="000000"/>
          <w:kern w:val="0"/>
          <w:sz w:val="21"/>
          <w:szCs w:val="21"/>
          <w:highlight w:val="none"/>
          <w:lang w:val="en-US" w:eastAsia="zh-CN" w:bidi="ar-SA"/>
        </w:rPr>
        <w:t>五、报价要求</w:t>
      </w:r>
    </w:p>
    <w:p>
      <w:pPr>
        <w:tabs>
          <w:tab w:val="left" w:pos="0"/>
        </w:tabs>
        <w:spacing w:line="350" w:lineRule="auto"/>
        <w:ind w:firstLine="424" w:firstLineChars="202"/>
        <w:rPr>
          <w:rFonts w:hint="eastAsia" w:ascii="宋体" w:hAnsi="宋体" w:cs="Times New Roman"/>
          <w:b w:val="0"/>
          <w:bCs w:val="0"/>
          <w:i w:val="0"/>
          <w:iCs w:val="0"/>
          <w:szCs w:val="21"/>
          <w:highlight w:val="none"/>
          <w:u w:val="none"/>
          <w:lang w:val="en-US" w:eastAsia="zh-CN"/>
        </w:rPr>
      </w:pPr>
      <w:r>
        <w:rPr>
          <w:rFonts w:hint="eastAsia" w:ascii="宋体" w:hAnsi="宋体" w:cs="Times New Roman"/>
          <w:b w:val="0"/>
          <w:bCs w:val="0"/>
          <w:i w:val="0"/>
          <w:iCs w:val="0"/>
          <w:szCs w:val="21"/>
          <w:highlight w:val="none"/>
          <w:u w:val="none"/>
          <w:lang w:val="en-US" w:eastAsia="zh-CN"/>
        </w:rPr>
        <w:t>1、</w:t>
      </w:r>
      <w:r>
        <w:rPr>
          <w:rFonts w:hint="eastAsia" w:ascii="宋体" w:hAnsi="宋体" w:eastAsia="宋体" w:cs="宋体"/>
          <w:snapToGrid/>
          <w:color w:val="000000"/>
          <w:kern w:val="0"/>
          <w:sz w:val="21"/>
          <w:szCs w:val="21"/>
          <w:highlight w:val="none"/>
          <w:lang w:val="en-US" w:eastAsia="zh-CN" w:bidi="ar-SA"/>
        </w:rPr>
        <w:t>供应商</w:t>
      </w:r>
      <w:r>
        <w:rPr>
          <w:rFonts w:hint="eastAsia" w:ascii="宋体" w:hAnsi="宋体" w:cs="宋体"/>
          <w:snapToGrid/>
          <w:color w:val="000000"/>
          <w:kern w:val="0"/>
          <w:sz w:val="21"/>
          <w:szCs w:val="21"/>
          <w:highlight w:val="none"/>
          <w:lang w:val="en-US" w:eastAsia="zh-CN" w:bidi="ar-SA"/>
        </w:rPr>
        <w:t>的</w:t>
      </w:r>
      <w:r>
        <w:rPr>
          <w:rFonts w:hint="eastAsia" w:ascii="宋体" w:hAnsi="宋体" w:cs="Times New Roman"/>
          <w:b w:val="0"/>
          <w:bCs w:val="0"/>
          <w:i w:val="0"/>
          <w:iCs w:val="0"/>
          <w:szCs w:val="21"/>
          <w:highlight w:val="none"/>
          <w:u w:val="none"/>
          <w:lang w:val="en-US" w:eastAsia="zh-CN"/>
        </w:rPr>
        <w:t>报价应包括所有的费用（含为完成磋商文件规定的服务工作所涉及到的一切相关费用）：人员工资、法定的社会保险、医疗保险、法定节假日加班费、防暑降温费、节假日福利费、意外伤害险、服装费、工具及耗材费、管理费、法定税费，及</w:t>
      </w:r>
      <w:r>
        <w:rPr>
          <w:rFonts w:hint="eastAsia" w:ascii="宋体" w:hAnsi="宋体" w:eastAsia="宋体" w:cs="宋体"/>
          <w:snapToGrid/>
          <w:color w:val="000000"/>
          <w:kern w:val="0"/>
          <w:sz w:val="21"/>
          <w:szCs w:val="21"/>
          <w:highlight w:val="none"/>
          <w:lang w:val="en-US" w:eastAsia="zh-CN" w:bidi="ar-SA"/>
        </w:rPr>
        <w:t>供应商</w:t>
      </w:r>
      <w:r>
        <w:rPr>
          <w:rFonts w:hint="eastAsia" w:ascii="宋体" w:hAnsi="宋体" w:cs="Times New Roman"/>
          <w:b w:val="0"/>
          <w:bCs w:val="0"/>
          <w:i w:val="0"/>
          <w:iCs w:val="0"/>
          <w:szCs w:val="21"/>
          <w:highlight w:val="none"/>
          <w:u w:val="none"/>
          <w:lang w:val="en-US" w:eastAsia="zh-CN"/>
        </w:rPr>
        <w:t>自行考虑的其他费用等。服务期内，所有产生的费用均由成交</w:t>
      </w:r>
      <w:r>
        <w:rPr>
          <w:rFonts w:hint="eastAsia" w:ascii="宋体" w:hAnsi="宋体" w:eastAsia="宋体" w:cs="宋体"/>
          <w:snapToGrid/>
          <w:color w:val="000000"/>
          <w:kern w:val="0"/>
          <w:sz w:val="21"/>
          <w:szCs w:val="21"/>
          <w:highlight w:val="none"/>
          <w:lang w:val="en-US" w:eastAsia="zh-CN" w:bidi="ar-SA"/>
        </w:rPr>
        <w:t>供应商</w:t>
      </w:r>
      <w:r>
        <w:rPr>
          <w:rFonts w:hint="eastAsia" w:ascii="宋体" w:hAnsi="宋体" w:cs="Times New Roman"/>
          <w:b w:val="0"/>
          <w:bCs w:val="0"/>
          <w:i w:val="0"/>
          <w:iCs w:val="0"/>
          <w:szCs w:val="21"/>
          <w:highlight w:val="none"/>
          <w:u w:val="none"/>
          <w:lang w:val="en-US" w:eastAsia="zh-CN"/>
        </w:rPr>
        <w:t>承担，采购人不再另行支付，</w:t>
      </w:r>
      <w:r>
        <w:rPr>
          <w:rFonts w:hint="eastAsia" w:ascii="宋体" w:hAnsi="宋体" w:eastAsia="宋体" w:cs="宋体"/>
          <w:snapToGrid/>
          <w:color w:val="000000"/>
          <w:kern w:val="0"/>
          <w:sz w:val="21"/>
          <w:szCs w:val="21"/>
          <w:highlight w:val="none"/>
          <w:lang w:val="en-US" w:eastAsia="zh-CN" w:bidi="ar-SA"/>
        </w:rPr>
        <w:t>供应商</w:t>
      </w:r>
      <w:r>
        <w:rPr>
          <w:rFonts w:hint="eastAsia" w:ascii="宋体" w:hAnsi="宋体" w:cs="Times New Roman"/>
          <w:b w:val="0"/>
          <w:bCs w:val="0"/>
          <w:i w:val="0"/>
          <w:iCs w:val="0"/>
          <w:szCs w:val="21"/>
          <w:highlight w:val="none"/>
          <w:u w:val="none"/>
          <w:lang w:val="en-US" w:eastAsia="zh-CN"/>
        </w:rPr>
        <w:t>应在报价中综合考虑所有本次招标涉及到的费用，</w:t>
      </w:r>
      <w:r>
        <w:rPr>
          <w:rFonts w:hint="eastAsia" w:ascii="宋体" w:hAnsi="宋体" w:eastAsia="宋体" w:cs="宋体"/>
          <w:snapToGrid/>
          <w:color w:val="000000"/>
          <w:kern w:val="0"/>
          <w:sz w:val="21"/>
          <w:szCs w:val="21"/>
          <w:highlight w:val="none"/>
          <w:lang w:val="en-US" w:eastAsia="zh-CN" w:bidi="ar-SA"/>
        </w:rPr>
        <w:t>供应商</w:t>
      </w:r>
      <w:r>
        <w:rPr>
          <w:rFonts w:hint="eastAsia" w:ascii="宋体" w:hAnsi="宋体" w:cs="Times New Roman"/>
          <w:b w:val="0"/>
          <w:bCs w:val="0"/>
          <w:i w:val="0"/>
          <w:iCs w:val="0"/>
          <w:szCs w:val="21"/>
          <w:highlight w:val="none"/>
          <w:u w:val="none"/>
          <w:lang w:val="en-US" w:eastAsia="zh-CN"/>
        </w:rPr>
        <w:t>漏报、少报部分，采购人视为此部分费用已含在报价中，不再另行支付。</w:t>
      </w:r>
    </w:p>
    <w:p>
      <w:pPr>
        <w:tabs>
          <w:tab w:val="left" w:pos="0"/>
        </w:tabs>
        <w:spacing w:line="350" w:lineRule="auto"/>
        <w:ind w:firstLine="424" w:firstLineChars="202"/>
        <w:rPr>
          <w:rFonts w:hint="eastAsia" w:ascii="宋体" w:hAnsi="宋体" w:cs="Times New Roman"/>
          <w:b w:val="0"/>
          <w:bCs w:val="0"/>
          <w:i w:val="0"/>
          <w:iCs w:val="0"/>
          <w:szCs w:val="21"/>
          <w:highlight w:val="none"/>
          <w:u w:val="none"/>
          <w:lang w:val="en-US" w:eastAsia="zh-CN"/>
        </w:rPr>
      </w:pPr>
      <w:r>
        <w:rPr>
          <w:rFonts w:hint="eastAsia" w:ascii="宋体" w:hAnsi="宋体" w:cs="Times New Roman"/>
          <w:b w:val="0"/>
          <w:bCs w:val="0"/>
          <w:i w:val="0"/>
          <w:iCs w:val="0"/>
          <w:szCs w:val="21"/>
          <w:highlight w:val="none"/>
          <w:u w:val="none"/>
          <w:lang w:val="en-US" w:eastAsia="zh-CN"/>
        </w:rPr>
        <w:t>2、合同执行期间，请充分考虑政策性调整因素。遇政策性上调职工最低工资标准、缴纳社保等，所需增加费用由成交</w:t>
      </w:r>
      <w:r>
        <w:rPr>
          <w:rFonts w:hint="eastAsia" w:ascii="宋体" w:hAnsi="宋体" w:eastAsia="宋体" w:cs="宋体"/>
          <w:snapToGrid/>
          <w:color w:val="000000"/>
          <w:kern w:val="0"/>
          <w:sz w:val="21"/>
          <w:szCs w:val="21"/>
          <w:highlight w:val="none"/>
          <w:lang w:val="en-US" w:eastAsia="zh-CN" w:bidi="ar-SA"/>
        </w:rPr>
        <w:t>供应商</w:t>
      </w:r>
      <w:r>
        <w:rPr>
          <w:rFonts w:hint="eastAsia" w:ascii="宋体" w:hAnsi="宋体" w:cs="Times New Roman"/>
          <w:b w:val="0"/>
          <w:bCs w:val="0"/>
          <w:i w:val="0"/>
          <w:iCs w:val="0"/>
          <w:szCs w:val="21"/>
          <w:highlight w:val="none"/>
          <w:u w:val="none"/>
          <w:lang w:val="en-US" w:eastAsia="zh-CN"/>
        </w:rPr>
        <w:t>承担。</w:t>
      </w:r>
    </w:p>
    <w:p>
      <w:pPr>
        <w:keepNext w:val="0"/>
        <w:keepLines w:val="0"/>
        <w:pageBreakBefore w:val="0"/>
        <w:widowControl w:val="0"/>
        <w:kinsoku/>
        <w:autoSpaceDE/>
        <w:autoSpaceDN/>
        <w:adjustRightInd/>
        <w:snapToGrid/>
        <w:spacing w:line="360" w:lineRule="auto"/>
        <w:ind w:firstLine="420"/>
        <w:jc w:val="both"/>
        <w:textAlignment w:val="auto"/>
        <w:rPr>
          <w:rFonts w:hint="eastAsia" w:ascii="宋体" w:hAnsi="宋体" w:eastAsia="宋体" w:cs="宋体"/>
          <w:b/>
          <w:bCs/>
          <w:snapToGrid/>
          <w:color w:val="000000"/>
          <w:kern w:val="0"/>
          <w:sz w:val="21"/>
          <w:szCs w:val="21"/>
          <w:highlight w:val="none"/>
          <w:lang w:val="en-US" w:eastAsia="zh-CN" w:bidi="ar-SA"/>
        </w:rPr>
      </w:pPr>
      <w:r>
        <w:rPr>
          <w:rFonts w:hint="eastAsia" w:ascii="宋体" w:hAnsi="宋体" w:cs="宋体"/>
          <w:b/>
          <w:bCs/>
          <w:snapToGrid/>
          <w:color w:val="000000"/>
          <w:kern w:val="0"/>
          <w:sz w:val="21"/>
          <w:szCs w:val="21"/>
          <w:highlight w:val="none"/>
          <w:lang w:val="en-US" w:eastAsia="zh-CN" w:bidi="ar-SA"/>
        </w:rPr>
        <w:t>六</w:t>
      </w:r>
      <w:r>
        <w:rPr>
          <w:rFonts w:hint="eastAsia" w:ascii="宋体" w:hAnsi="宋体" w:eastAsia="宋体" w:cs="宋体"/>
          <w:b/>
          <w:bCs/>
          <w:snapToGrid/>
          <w:color w:val="000000"/>
          <w:kern w:val="0"/>
          <w:sz w:val="21"/>
          <w:szCs w:val="21"/>
          <w:highlight w:val="none"/>
          <w:lang w:val="en-US" w:eastAsia="zh-CN" w:bidi="ar-SA"/>
        </w:rPr>
        <w:t>、项目要求</w:t>
      </w:r>
    </w:p>
    <w:p>
      <w:pPr>
        <w:keepNext w:val="0"/>
        <w:keepLines w:val="0"/>
        <w:pageBreakBefore w:val="0"/>
        <w:widowControl w:val="0"/>
        <w:kinsoku/>
        <w:autoSpaceDE/>
        <w:autoSpaceDN/>
        <w:adjustRightInd/>
        <w:snapToGrid/>
        <w:spacing w:line="360" w:lineRule="auto"/>
        <w:ind w:firstLine="420"/>
        <w:jc w:val="both"/>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1、供应商应根据采购文件要求，提供各项管理标准、岗位职责及工作程序、自查表格、奖惩条件和服务承诺等相关内容；应遵守各项管理制度和管理规定，并服从项目采购人的管理。</w:t>
      </w:r>
    </w:p>
    <w:p>
      <w:pPr>
        <w:keepNext w:val="0"/>
        <w:keepLines w:val="0"/>
        <w:pageBreakBefore w:val="0"/>
        <w:widowControl w:val="0"/>
        <w:kinsoku/>
        <w:autoSpaceDE/>
        <w:autoSpaceDN/>
        <w:adjustRightInd/>
        <w:snapToGrid/>
        <w:spacing w:line="360" w:lineRule="auto"/>
        <w:ind w:firstLine="420"/>
        <w:jc w:val="both"/>
        <w:textAlignment w:val="auto"/>
        <w:rPr>
          <w:rFonts w:hint="eastAsia" w:ascii="宋体" w:hAnsi="宋体" w:eastAsia="宋体" w:cs="宋体"/>
          <w:strike w:val="0"/>
          <w:snapToGrid/>
          <w:color w:val="000000"/>
          <w:kern w:val="0"/>
          <w:sz w:val="21"/>
          <w:szCs w:val="21"/>
          <w:highlight w:val="green"/>
          <w:lang w:val="en-US" w:eastAsia="zh-CN" w:bidi="ar-SA"/>
        </w:rPr>
      </w:pPr>
      <w:r>
        <w:rPr>
          <w:rFonts w:hint="eastAsia" w:ascii="宋体" w:hAnsi="宋体" w:eastAsia="宋体" w:cs="宋体"/>
          <w:snapToGrid/>
          <w:color w:val="000000"/>
          <w:kern w:val="0"/>
          <w:sz w:val="21"/>
          <w:szCs w:val="21"/>
          <w:highlight w:val="none"/>
          <w:lang w:val="en-US" w:eastAsia="zh-CN" w:bidi="ar-SA"/>
        </w:rPr>
        <w:t>2、所有进场人员须经过业务学习，采购人有权要求成交供应商撤换采购人认为不称职的任何工作人员。项目实施过程中，成交供应商因特殊原因需调换服务人员时，应保证所调换人员具有不低于岗位要求的能力水平或资质证书证明，并提前15天书面通知采购人；经采购人同意后方可调换(原则上不调换)，否则</w:t>
      </w:r>
      <w:r>
        <w:rPr>
          <w:rFonts w:hint="eastAsia" w:ascii="宋体" w:hAnsi="宋体" w:eastAsia="宋体" w:cs="宋体"/>
          <w:strike w:val="0"/>
          <w:dstrike w:val="0"/>
          <w:snapToGrid/>
          <w:color w:val="000000"/>
          <w:kern w:val="0"/>
          <w:sz w:val="21"/>
          <w:szCs w:val="21"/>
          <w:highlight w:val="none"/>
          <w:lang w:val="en-US" w:eastAsia="zh-CN" w:bidi="ar-SA"/>
        </w:rPr>
        <w:t>按合同违约责任执行</w:t>
      </w:r>
      <w:r>
        <w:rPr>
          <w:rFonts w:hint="eastAsia" w:ascii="宋体" w:hAnsi="宋体" w:eastAsia="宋体" w:cs="宋体"/>
          <w:strike w:val="0"/>
          <w:snapToGrid/>
          <w:color w:val="000000"/>
          <w:kern w:val="0"/>
          <w:sz w:val="21"/>
          <w:szCs w:val="21"/>
          <w:highlight w:val="none"/>
          <w:lang w:val="en-US" w:eastAsia="zh-CN" w:bidi="ar-SA"/>
        </w:rPr>
        <w:t>。</w:t>
      </w:r>
    </w:p>
    <w:p>
      <w:pPr>
        <w:keepNext w:val="0"/>
        <w:keepLines w:val="0"/>
        <w:pageBreakBefore w:val="0"/>
        <w:widowControl w:val="0"/>
        <w:kinsoku/>
        <w:autoSpaceDE/>
        <w:autoSpaceDN/>
        <w:adjustRightInd/>
        <w:snapToGrid/>
        <w:spacing w:line="360" w:lineRule="auto"/>
        <w:ind w:firstLine="420"/>
        <w:jc w:val="both"/>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3、成交供应商应无条件地接受采购人的监督和检查，若发现有不符合要求或未全面响应有关采购文件及相关合同内容的，由采购人发出整改通知，成交供应商应无条件接受，并做到及时整改。</w:t>
      </w:r>
    </w:p>
    <w:p>
      <w:pPr>
        <w:keepNext w:val="0"/>
        <w:keepLines w:val="0"/>
        <w:pageBreakBefore w:val="0"/>
        <w:widowControl w:val="0"/>
        <w:kinsoku/>
        <w:autoSpaceDE/>
        <w:autoSpaceDN/>
        <w:adjustRightInd/>
        <w:snapToGrid/>
        <w:spacing w:line="360" w:lineRule="auto"/>
        <w:ind w:firstLine="420"/>
        <w:jc w:val="both"/>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4、项目成交后，成交供应商应保证所配备具体服务人员按时到岗，尽快熟悉有关工作内容和要求，为开展工作提前做好衔接保障。</w:t>
      </w:r>
    </w:p>
    <w:p>
      <w:pPr>
        <w:keepNext w:val="0"/>
        <w:keepLines w:val="0"/>
        <w:pageBreakBefore w:val="0"/>
        <w:widowControl w:val="0"/>
        <w:kinsoku/>
        <w:autoSpaceDE/>
        <w:autoSpaceDN/>
        <w:adjustRightInd/>
        <w:snapToGrid/>
        <w:spacing w:line="360" w:lineRule="auto"/>
        <w:ind w:firstLine="420"/>
        <w:jc w:val="both"/>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5、供应商应严格按照相关法律、法规，恪守独立、客观、公正的原则，履行必要的执业规范和程序。</w:t>
      </w:r>
    </w:p>
    <w:p>
      <w:pPr>
        <w:keepNext w:val="0"/>
        <w:keepLines w:val="0"/>
        <w:pageBreakBefore w:val="0"/>
        <w:widowControl w:val="0"/>
        <w:kinsoku/>
        <w:autoSpaceDE/>
        <w:autoSpaceDN/>
        <w:adjustRightInd/>
        <w:snapToGrid/>
        <w:spacing w:line="360" w:lineRule="auto"/>
        <w:ind w:firstLine="420"/>
        <w:jc w:val="both"/>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6、供应商应严格遵循诚实信用的原则，不得损害国家利益、社会公共利益和他人的合法权益。</w:t>
      </w:r>
    </w:p>
    <w:p>
      <w:pPr>
        <w:keepNext w:val="0"/>
        <w:keepLines w:val="0"/>
        <w:pageBreakBefore w:val="0"/>
        <w:widowControl w:val="0"/>
        <w:kinsoku/>
        <w:autoSpaceDE/>
        <w:autoSpaceDN/>
        <w:adjustRightInd/>
        <w:snapToGrid/>
        <w:spacing w:line="360" w:lineRule="auto"/>
        <w:ind w:firstLine="420"/>
        <w:jc w:val="both"/>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7、供应商必须严格执行扬州市用工工资标准的有关规定，月最低标准不得低于</w:t>
      </w:r>
      <w:r>
        <w:rPr>
          <w:rFonts w:hint="eastAsia" w:ascii="宋体" w:hAnsi="宋体" w:cs="宋体"/>
          <w:snapToGrid/>
          <w:color w:val="000000"/>
          <w:kern w:val="0"/>
          <w:sz w:val="21"/>
          <w:szCs w:val="21"/>
          <w:highlight w:val="none"/>
          <w:lang w:val="en-US" w:eastAsia="zh-CN" w:bidi="ar-SA"/>
        </w:rPr>
        <w:t>扬州市</w:t>
      </w:r>
      <w:r>
        <w:rPr>
          <w:rFonts w:hint="eastAsia" w:ascii="宋体" w:hAnsi="宋体" w:eastAsia="宋体" w:cs="宋体"/>
          <w:snapToGrid/>
          <w:color w:val="000000"/>
          <w:kern w:val="0"/>
          <w:sz w:val="21"/>
          <w:szCs w:val="21"/>
          <w:highlight w:val="none"/>
          <w:lang w:val="en-US" w:eastAsia="zh-CN" w:bidi="ar-SA"/>
        </w:rPr>
        <w:t>最低工资标准。</w:t>
      </w:r>
    </w:p>
    <w:p>
      <w:pPr>
        <w:keepNext w:val="0"/>
        <w:keepLines w:val="0"/>
        <w:pageBreakBefore w:val="0"/>
        <w:widowControl w:val="0"/>
        <w:kinsoku/>
        <w:autoSpaceDE/>
        <w:autoSpaceDN/>
        <w:adjustRightInd/>
        <w:snapToGrid/>
        <w:spacing w:line="360" w:lineRule="auto"/>
        <w:ind w:firstLine="420"/>
        <w:jc w:val="both"/>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cs="宋体"/>
          <w:snapToGrid/>
          <w:color w:val="000000"/>
          <w:kern w:val="0"/>
          <w:sz w:val="21"/>
          <w:szCs w:val="21"/>
          <w:highlight w:val="none"/>
          <w:lang w:val="en-US" w:eastAsia="zh-CN" w:bidi="ar-SA"/>
        </w:rPr>
        <w:t>8、</w:t>
      </w:r>
      <w:r>
        <w:rPr>
          <w:rFonts w:hint="eastAsia" w:ascii="宋体" w:hAnsi="宋体" w:eastAsia="宋体" w:cs="宋体"/>
          <w:snapToGrid/>
          <w:color w:val="000000"/>
          <w:kern w:val="0"/>
          <w:sz w:val="21"/>
          <w:szCs w:val="21"/>
          <w:highlight w:val="none"/>
          <w:lang w:val="en-US" w:eastAsia="zh-CN" w:bidi="ar-SA"/>
        </w:rPr>
        <w:t>供应商应承担其雇员的劳动报酬、加班费用、劳动用工补偿金以及其他应有的福利待遇；按《劳动法》每月为员工交纳五险(养老保险、医疗保险、工伤保险、失业保险、生育保险)；维护和保障员工的合法权益，承担未正确执行劳动用工规定所产生的法律责任。</w:t>
      </w:r>
    </w:p>
    <w:p>
      <w:pPr>
        <w:keepNext w:val="0"/>
        <w:keepLines w:val="0"/>
        <w:pageBreakBefore w:val="0"/>
        <w:widowControl w:val="0"/>
        <w:tabs>
          <w:tab w:val="center" w:pos="4153"/>
        </w:tabs>
        <w:kinsoku/>
        <w:autoSpaceDE/>
        <w:autoSpaceDN/>
        <w:adjustRightInd/>
        <w:snapToGrid/>
        <w:spacing w:line="360" w:lineRule="auto"/>
        <w:ind w:firstLine="420"/>
        <w:jc w:val="both"/>
        <w:textAlignment w:val="auto"/>
        <w:rPr>
          <w:rFonts w:hint="eastAsia" w:ascii="宋体" w:hAnsi="宋体" w:eastAsia="宋体" w:cs="宋体"/>
          <w:b/>
          <w:bCs/>
          <w:snapToGrid/>
          <w:color w:val="000000"/>
          <w:kern w:val="0"/>
          <w:sz w:val="21"/>
          <w:szCs w:val="21"/>
          <w:highlight w:val="none"/>
          <w:lang w:val="en-US" w:eastAsia="zh-CN" w:bidi="ar-SA"/>
        </w:rPr>
      </w:pPr>
      <w:r>
        <w:rPr>
          <w:rFonts w:hint="eastAsia" w:ascii="宋体" w:hAnsi="宋体" w:cs="宋体"/>
          <w:b/>
          <w:bCs/>
          <w:snapToGrid/>
          <w:color w:val="000000"/>
          <w:kern w:val="0"/>
          <w:sz w:val="21"/>
          <w:szCs w:val="21"/>
          <w:highlight w:val="none"/>
          <w:lang w:val="en-US" w:eastAsia="zh-CN" w:bidi="ar-SA"/>
        </w:rPr>
        <w:t>七</w:t>
      </w:r>
      <w:r>
        <w:rPr>
          <w:rFonts w:hint="eastAsia" w:ascii="宋体" w:hAnsi="宋体" w:eastAsia="宋体" w:cs="宋体"/>
          <w:b/>
          <w:bCs/>
          <w:snapToGrid/>
          <w:color w:val="000000"/>
          <w:kern w:val="0"/>
          <w:sz w:val="21"/>
          <w:szCs w:val="21"/>
          <w:highlight w:val="none"/>
          <w:lang w:val="en-US" w:eastAsia="zh-CN" w:bidi="ar-SA"/>
        </w:rPr>
        <w:t>、</w:t>
      </w:r>
      <w:r>
        <w:rPr>
          <w:rFonts w:hint="eastAsia" w:ascii="宋体" w:hAnsi="宋体" w:cs="宋体"/>
          <w:b/>
          <w:bCs/>
          <w:snapToGrid/>
          <w:color w:val="000000"/>
          <w:kern w:val="0"/>
          <w:sz w:val="21"/>
          <w:szCs w:val="21"/>
          <w:highlight w:val="none"/>
          <w:lang w:val="en-US" w:eastAsia="zh-CN" w:bidi="ar-SA"/>
        </w:rPr>
        <w:t>其他</w:t>
      </w:r>
      <w:r>
        <w:rPr>
          <w:rFonts w:hint="eastAsia" w:ascii="宋体" w:hAnsi="宋体" w:eastAsia="宋体" w:cs="宋体"/>
          <w:b/>
          <w:bCs/>
          <w:snapToGrid/>
          <w:color w:val="000000"/>
          <w:kern w:val="0"/>
          <w:sz w:val="21"/>
          <w:szCs w:val="21"/>
          <w:highlight w:val="none"/>
          <w:lang w:val="en-US" w:eastAsia="zh-CN" w:bidi="ar-SA"/>
        </w:rPr>
        <w:t>说明</w:t>
      </w:r>
      <w:r>
        <w:rPr>
          <w:rFonts w:hint="eastAsia" w:ascii="宋体" w:hAnsi="宋体" w:eastAsia="宋体" w:cs="宋体"/>
          <w:b/>
          <w:bCs/>
          <w:snapToGrid/>
          <w:color w:val="000000"/>
          <w:kern w:val="0"/>
          <w:sz w:val="21"/>
          <w:szCs w:val="21"/>
          <w:highlight w:val="none"/>
          <w:lang w:val="en-US" w:eastAsia="zh-CN" w:bidi="ar-SA"/>
        </w:rPr>
        <w:tab/>
      </w:r>
    </w:p>
    <w:p>
      <w:pPr>
        <w:keepNext w:val="0"/>
        <w:keepLines w:val="0"/>
        <w:pageBreakBefore w:val="0"/>
        <w:widowControl w:val="0"/>
        <w:kinsoku/>
        <w:autoSpaceDE/>
        <w:autoSpaceDN/>
        <w:adjustRightInd/>
        <w:snapToGrid/>
        <w:spacing w:line="360" w:lineRule="auto"/>
        <w:ind w:firstLine="420"/>
        <w:jc w:val="both"/>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1、服务要求和质量标准应达到采购人规定的相关质量标准</w:t>
      </w:r>
      <w:r>
        <w:rPr>
          <w:rFonts w:hint="eastAsia" w:ascii="宋体" w:hAnsi="宋体" w:cs="宋体"/>
          <w:snapToGrid/>
          <w:color w:val="000000"/>
          <w:kern w:val="0"/>
          <w:sz w:val="21"/>
          <w:szCs w:val="21"/>
          <w:highlight w:val="none"/>
          <w:lang w:val="en-US" w:eastAsia="zh-CN" w:bidi="ar-SA"/>
        </w:rPr>
        <w:t>。</w:t>
      </w:r>
    </w:p>
    <w:p>
      <w:pPr>
        <w:keepNext w:val="0"/>
        <w:keepLines w:val="0"/>
        <w:pageBreakBefore w:val="0"/>
        <w:widowControl w:val="0"/>
        <w:kinsoku/>
        <w:autoSpaceDE/>
        <w:autoSpaceDN/>
        <w:adjustRightInd/>
        <w:snapToGrid/>
        <w:spacing w:line="360" w:lineRule="auto"/>
        <w:ind w:firstLine="420"/>
        <w:jc w:val="both"/>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2、供应商报价除包含采购文件中列明的项目外还应包括保障服务正常运行应当具有的物资和服务，对服务正常运行应当具有的物资和服务理解不一致的以采购人理解为准。</w:t>
      </w:r>
    </w:p>
    <w:p>
      <w:pPr>
        <w:keepNext w:val="0"/>
        <w:keepLines w:val="0"/>
        <w:pageBreakBefore w:val="0"/>
        <w:widowControl w:val="0"/>
        <w:kinsoku/>
        <w:autoSpaceDE/>
        <w:autoSpaceDN/>
        <w:adjustRightInd/>
        <w:snapToGrid/>
        <w:spacing w:line="360" w:lineRule="auto"/>
        <w:ind w:firstLine="420"/>
        <w:jc w:val="both"/>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3、供应商的任何错漏、优惠、竞争性报价不得作为减轻责任、减少服务、增加收费、降低质量的理由。</w:t>
      </w:r>
    </w:p>
    <w:p>
      <w:pPr>
        <w:keepNext w:val="0"/>
        <w:keepLines w:val="0"/>
        <w:pageBreakBefore w:val="0"/>
        <w:widowControl w:val="0"/>
        <w:kinsoku/>
        <w:autoSpaceDE/>
        <w:autoSpaceDN/>
        <w:adjustRightInd/>
        <w:snapToGrid/>
        <w:spacing w:line="360" w:lineRule="auto"/>
        <w:ind w:firstLine="420"/>
        <w:jc w:val="both"/>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4、</w:t>
      </w:r>
      <w:r>
        <w:rPr>
          <w:rFonts w:hint="eastAsia" w:ascii="宋体" w:hAnsi="宋体" w:cs="宋体"/>
          <w:snapToGrid/>
          <w:color w:val="000000"/>
          <w:kern w:val="0"/>
          <w:sz w:val="21"/>
          <w:szCs w:val="21"/>
          <w:highlight w:val="none"/>
          <w:lang w:val="en-US" w:eastAsia="zh-CN" w:bidi="ar-SA"/>
        </w:rPr>
        <w:t>成交</w:t>
      </w:r>
      <w:r>
        <w:rPr>
          <w:rFonts w:hint="eastAsia" w:ascii="宋体" w:hAnsi="宋体" w:eastAsia="宋体" w:cs="宋体"/>
          <w:snapToGrid/>
          <w:color w:val="000000"/>
          <w:kern w:val="0"/>
          <w:sz w:val="21"/>
          <w:szCs w:val="21"/>
          <w:highlight w:val="none"/>
          <w:lang w:val="en-US" w:eastAsia="zh-CN" w:bidi="ar-SA"/>
        </w:rPr>
        <w:t>供应商须按规定缴纳社会保险和意外伤害险，服务期内发生的一切人员安全问题，均由</w:t>
      </w:r>
      <w:r>
        <w:rPr>
          <w:rFonts w:hint="eastAsia" w:ascii="宋体" w:hAnsi="宋体" w:cs="宋体"/>
          <w:snapToGrid/>
          <w:color w:val="000000"/>
          <w:kern w:val="0"/>
          <w:sz w:val="21"/>
          <w:szCs w:val="21"/>
          <w:highlight w:val="none"/>
          <w:lang w:val="en-US" w:eastAsia="zh-CN" w:bidi="ar-SA"/>
        </w:rPr>
        <w:t>成交</w:t>
      </w:r>
      <w:r>
        <w:rPr>
          <w:rFonts w:hint="eastAsia" w:ascii="宋体" w:hAnsi="宋体" w:eastAsia="宋体" w:cs="宋体"/>
          <w:snapToGrid/>
          <w:color w:val="000000"/>
          <w:kern w:val="0"/>
          <w:sz w:val="21"/>
          <w:szCs w:val="21"/>
          <w:highlight w:val="none"/>
          <w:lang w:val="en-US" w:eastAsia="zh-CN" w:bidi="ar-SA"/>
        </w:rPr>
        <w:t>供应商自行负责承担，采购人不承担任何责任。</w:t>
      </w:r>
    </w:p>
    <w:p>
      <w:pPr>
        <w:keepNext w:val="0"/>
        <w:keepLines w:val="0"/>
        <w:pageBreakBefore w:val="0"/>
        <w:widowControl w:val="0"/>
        <w:kinsoku/>
        <w:autoSpaceDE/>
        <w:autoSpaceDN/>
        <w:adjustRightInd/>
        <w:snapToGrid/>
        <w:spacing w:line="360" w:lineRule="auto"/>
        <w:ind w:firstLine="420"/>
        <w:jc w:val="both"/>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5、</w:t>
      </w:r>
      <w:r>
        <w:rPr>
          <w:rFonts w:hint="eastAsia" w:ascii="宋体" w:hAnsi="宋体" w:cs="宋体"/>
          <w:snapToGrid/>
          <w:color w:val="000000"/>
          <w:kern w:val="0"/>
          <w:sz w:val="21"/>
          <w:szCs w:val="21"/>
          <w:highlight w:val="none"/>
          <w:lang w:val="en-US" w:eastAsia="zh-CN" w:bidi="ar-SA"/>
        </w:rPr>
        <w:t>成交</w:t>
      </w:r>
      <w:r>
        <w:rPr>
          <w:rFonts w:hint="eastAsia" w:ascii="宋体" w:hAnsi="宋体" w:eastAsia="宋体" w:cs="宋体"/>
          <w:snapToGrid/>
          <w:color w:val="000000"/>
          <w:kern w:val="0"/>
          <w:sz w:val="21"/>
          <w:szCs w:val="21"/>
          <w:highlight w:val="none"/>
          <w:lang w:val="en-US" w:eastAsia="zh-CN" w:bidi="ar-SA"/>
        </w:rPr>
        <w:t>供应商在签订合同时应向采购人提供派入服务人员花名册。在服务期间内，</w:t>
      </w:r>
      <w:r>
        <w:rPr>
          <w:rFonts w:hint="eastAsia" w:ascii="宋体" w:hAnsi="宋体" w:cs="宋体"/>
          <w:snapToGrid/>
          <w:color w:val="000000"/>
          <w:kern w:val="0"/>
          <w:sz w:val="21"/>
          <w:szCs w:val="21"/>
          <w:highlight w:val="none"/>
          <w:lang w:val="en-US" w:eastAsia="zh-CN" w:bidi="ar-SA"/>
        </w:rPr>
        <w:t>成交</w:t>
      </w:r>
      <w:r>
        <w:rPr>
          <w:rFonts w:hint="eastAsia" w:ascii="宋体" w:hAnsi="宋体" w:eastAsia="宋体" w:cs="宋体"/>
          <w:snapToGrid/>
          <w:color w:val="000000"/>
          <w:kern w:val="0"/>
          <w:sz w:val="21"/>
          <w:szCs w:val="21"/>
          <w:highlight w:val="none"/>
          <w:lang w:val="en-US" w:eastAsia="zh-CN" w:bidi="ar-SA"/>
        </w:rPr>
        <w:t>供应商必须对员工做好安全教育，并承诺进行安全生产，制定好详细操作规范制度，发生安全事故，</w:t>
      </w:r>
      <w:r>
        <w:rPr>
          <w:rFonts w:hint="eastAsia" w:ascii="宋体" w:hAnsi="宋体" w:cs="宋体"/>
          <w:snapToGrid/>
          <w:color w:val="000000"/>
          <w:kern w:val="0"/>
          <w:sz w:val="21"/>
          <w:szCs w:val="21"/>
          <w:highlight w:val="none"/>
          <w:lang w:val="en-US" w:eastAsia="zh-CN" w:bidi="ar-SA"/>
        </w:rPr>
        <w:t>成交</w:t>
      </w:r>
      <w:r>
        <w:rPr>
          <w:rFonts w:hint="eastAsia" w:ascii="宋体" w:hAnsi="宋体" w:eastAsia="宋体" w:cs="宋体"/>
          <w:snapToGrid/>
          <w:color w:val="000000"/>
          <w:kern w:val="0"/>
          <w:sz w:val="21"/>
          <w:szCs w:val="21"/>
          <w:highlight w:val="none"/>
          <w:lang w:val="en-US" w:eastAsia="zh-CN" w:bidi="ar-SA"/>
        </w:rPr>
        <w:t>供应商须承担一切法律、经济责任。</w:t>
      </w:r>
    </w:p>
    <w:p>
      <w:pPr>
        <w:keepNext w:val="0"/>
        <w:keepLines w:val="0"/>
        <w:pageBreakBefore w:val="0"/>
        <w:widowControl w:val="0"/>
        <w:kinsoku/>
        <w:autoSpaceDE/>
        <w:autoSpaceDN/>
        <w:adjustRightInd/>
        <w:snapToGrid/>
        <w:spacing w:line="360" w:lineRule="auto"/>
        <w:ind w:firstLine="420"/>
        <w:jc w:val="both"/>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6、</w:t>
      </w:r>
      <w:r>
        <w:rPr>
          <w:rFonts w:hint="eastAsia" w:ascii="宋体" w:hAnsi="宋体" w:cs="宋体"/>
          <w:snapToGrid/>
          <w:color w:val="000000"/>
          <w:kern w:val="0"/>
          <w:sz w:val="21"/>
          <w:szCs w:val="21"/>
          <w:highlight w:val="none"/>
          <w:lang w:val="en-US" w:eastAsia="zh-CN" w:bidi="ar-SA"/>
        </w:rPr>
        <w:t>成交</w:t>
      </w:r>
      <w:r>
        <w:rPr>
          <w:rFonts w:hint="eastAsia" w:ascii="宋体" w:hAnsi="宋体" w:eastAsia="宋体" w:cs="宋体"/>
          <w:snapToGrid/>
          <w:color w:val="000000"/>
          <w:kern w:val="0"/>
          <w:sz w:val="21"/>
          <w:szCs w:val="21"/>
          <w:highlight w:val="none"/>
          <w:lang w:val="en-US" w:eastAsia="zh-CN" w:bidi="ar-SA"/>
        </w:rPr>
        <w:t>供应商的服务人员须服从采购人的工作安排以及统一调配的要求。工作人员应统一着装，挂牌服务，文明作业，不得野蛮作业、破坏性作业。</w:t>
      </w:r>
    </w:p>
    <w:p>
      <w:pPr>
        <w:keepNext w:val="0"/>
        <w:keepLines w:val="0"/>
        <w:pageBreakBefore w:val="0"/>
        <w:widowControl w:val="0"/>
        <w:kinsoku/>
        <w:autoSpaceDE/>
        <w:autoSpaceDN/>
        <w:adjustRightInd/>
        <w:snapToGrid/>
        <w:spacing w:line="360" w:lineRule="auto"/>
        <w:ind w:firstLine="420"/>
        <w:jc w:val="both"/>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7、服务人员须报采购人备案；在工作时间须全员全时在岗，接受采购人的检查和考核。不得有脱岗、混岗、串岗现象发生。</w:t>
      </w:r>
    </w:p>
    <w:p>
      <w:pPr>
        <w:keepNext w:val="0"/>
        <w:keepLines w:val="0"/>
        <w:pageBreakBefore w:val="0"/>
        <w:widowControl w:val="0"/>
        <w:kinsoku/>
        <w:autoSpaceDE/>
        <w:autoSpaceDN/>
        <w:adjustRightInd/>
        <w:snapToGrid/>
        <w:spacing w:line="360" w:lineRule="auto"/>
        <w:ind w:firstLine="420"/>
        <w:jc w:val="both"/>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8、供应商应仔细研究</w:t>
      </w:r>
      <w:r>
        <w:rPr>
          <w:rFonts w:hint="eastAsia" w:ascii="宋体" w:hAnsi="宋体" w:cs="宋体"/>
          <w:snapToGrid/>
          <w:color w:val="000000"/>
          <w:kern w:val="0"/>
          <w:sz w:val="21"/>
          <w:szCs w:val="21"/>
          <w:highlight w:val="none"/>
          <w:lang w:val="en-US" w:eastAsia="zh-CN" w:bidi="ar-SA"/>
        </w:rPr>
        <w:t>磋商</w:t>
      </w:r>
      <w:r>
        <w:rPr>
          <w:rFonts w:hint="eastAsia" w:ascii="宋体" w:hAnsi="宋体" w:eastAsia="宋体" w:cs="宋体"/>
          <w:snapToGrid/>
          <w:color w:val="000000"/>
          <w:kern w:val="0"/>
          <w:sz w:val="21"/>
          <w:szCs w:val="21"/>
          <w:highlight w:val="none"/>
          <w:lang w:val="en-US" w:eastAsia="zh-CN" w:bidi="ar-SA"/>
        </w:rPr>
        <w:t>文件，按照</w:t>
      </w:r>
      <w:r>
        <w:rPr>
          <w:rFonts w:hint="eastAsia" w:ascii="宋体" w:hAnsi="宋体" w:cs="宋体"/>
          <w:snapToGrid/>
          <w:color w:val="000000"/>
          <w:kern w:val="0"/>
          <w:sz w:val="21"/>
          <w:szCs w:val="21"/>
          <w:highlight w:val="none"/>
          <w:lang w:val="en-US" w:eastAsia="zh-CN" w:bidi="ar-SA"/>
        </w:rPr>
        <w:t>磋商</w:t>
      </w:r>
      <w:r>
        <w:rPr>
          <w:rFonts w:hint="eastAsia" w:ascii="宋体" w:hAnsi="宋体" w:eastAsia="宋体" w:cs="宋体"/>
          <w:snapToGrid/>
          <w:color w:val="000000"/>
          <w:kern w:val="0"/>
          <w:sz w:val="21"/>
          <w:szCs w:val="21"/>
          <w:highlight w:val="none"/>
          <w:lang w:val="en-US" w:eastAsia="zh-CN" w:bidi="ar-SA"/>
        </w:rPr>
        <w:t>文件要求进行报价，供应商若在投标文件中提出超出采购需求标准的其它服务的，视为供应商自愿承担相关费用，</w:t>
      </w:r>
      <w:r>
        <w:rPr>
          <w:rFonts w:hint="eastAsia" w:ascii="宋体" w:hAnsi="宋体" w:cs="宋体"/>
          <w:snapToGrid/>
          <w:color w:val="000000"/>
          <w:kern w:val="0"/>
          <w:sz w:val="21"/>
          <w:szCs w:val="21"/>
          <w:highlight w:val="none"/>
          <w:lang w:val="en-US" w:eastAsia="zh-CN" w:bidi="ar-SA"/>
        </w:rPr>
        <w:t>成交</w:t>
      </w:r>
      <w:r>
        <w:rPr>
          <w:rFonts w:hint="eastAsia" w:ascii="宋体" w:hAnsi="宋体" w:eastAsia="宋体" w:cs="宋体"/>
          <w:snapToGrid/>
          <w:color w:val="000000"/>
          <w:kern w:val="0"/>
          <w:sz w:val="21"/>
          <w:szCs w:val="21"/>
          <w:highlight w:val="none"/>
          <w:lang w:val="en-US" w:eastAsia="zh-CN" w:bidi="ar-SA"/>
        </w:rPr>
        <w:t>后必须在承诺期限内予以实施。</w:t>
      </w:r>
    </w:p>
    <w:p>
      <w:pPr>
        <w:keepNext w:val="0"/>
        <w:keepLines w:val="0"/>
        <w:pageBreakBefore w:val="0"/>
        <w:widowControl w:val="0"/>
        <w:kinsoku/>
        <w:autoSpaceDE/>
        <w:autoSpaceDN/>
        <w:adjustRightInd/>
        <w:snapToGrid/>
        <w:spacing w:line="360" w:lineRule="auto"/>
        <w:ind w:firstLine="420"/>
        <w:jc w:val="both"/>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9、本项目由各供应商自行进行现场勘察，请务必对项目现场和周围环境进行仔细认真查勘，在随后的采购中，对现场资料和数据所作出的推论、解释和结论及由此造成的后果由供应商负责。</w:t>
      </w:r>
    </w:p>
    <w:p>
      <w:pPr>
        <w:spacing w:line="420" w:lineRule="exact"/>
        <w:ind w:firstLine="210" w:firstLineChars="100"/>
        <w:rPr>
          <w:rFonts w:ascii="宋体" w:hAnsi="宋体" w:cs="宋体"/>
          <w:szCs w:val="21"/>
        </w:rPr>
      </w:pPr>
      <w:r>
        <w:rPr>
          <w:rFonts w:hint="eastAsia" w:ascii="宋体" w:hAnsi="宋体" w:cs="宋体"/>
          <w:szCs w:val="21"/>
        </w:rPr>
        <w:br w:type="page" w:clear="all"/>
      </w:r>
    </w:p>
    <w:p>
      <w:pPr>
        <w:keepNext/>
        <w:jc w:val="center"/>
        <w:outlineLvl w:val="0"/>
        <w:rPr>
          <w:rFonts w:ascii="黑体" w:hAnsi="Times New Roman" w:eastAsia="黑体"/>
          <w:bCs/>
          <w:sz w:val="44"/>
          <w:szCs w:val="28"/>
        </w:rPr>
      </w:pPr>
      <w:bookmarkStart w:id="180" w:name="_Toc120614281"/>
      <w:r>
        <w:rPr>
          <w:rFonts w:hint="eastAsia" w:ascii="黑体" w:hAnsi="Times New Roman" w:eastAsia="黑体"/>
          <w:bCs/>
          <w:sz w:val="44"/>
          <w:szCs w:val="28"/>
        </w:rPr>
        <w:t>第五章  评审方法与评审标准</w:t>
      </w:r>
    </w:p>
    <w:p>
      <w:pPr>
        <w:rPr>
          <w:rFonts w:ascii="Times New Roman" w:hAnsi="Times New Roman"/>
          <w:szCs w:val="21"/>
        </w:rPr>
      </w:pPr>
    </w:p>
    <w:p>
      <w:pPr>
        <w:spacing w:line="360" w:lineRule="auto"/>
        <w:ind w:firstLine="386"/>
        <w:jc w:val="left"/>
        <w:rPr>
          <w:rFonts w:ascii="宋体" w:hAnsi="宋体"/>
          <w:b/>
          <w:szCs w:val="21"/>
        </w:rPr>
      </w:pPr>
      <w:r>
        <w:rPr>
          <w:rFonts w:hint="eastAsia" w:ascii="宋体" w:hAnsi="宋体"/>
          <w:b/>
          <w:szCs w:val="21"/>
        </w:rPr>
        <w:t>一、评审方法</w:t>
      </w:r>
    </w:p>
    <w:p>
      <w:pPr>
        <w:spacing w:line="360" w:lineRule="auto"/>
        <w:ind w:firstLine="317"/>
        <w:jc w:val="left"/>
        <w:rPr>
          <w:rFonts w:ascii="宋体" w:hAnsi="宋体"/>
          <w:szCs w:val="21"/>
        </w:rPr>
      </w:pPr>
      <w:r>
        <w:rPr>
          <w:rFonts w:ascii="宋体" w:hAnsi="宋体"/>
          <w:szCs w:val="21"/>
        </w:rPr>
        <w:t>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p>
    <w:p>
      <w:pPr>
        <w:spacing w:line="360" w:lineRule="auto"/>
        <w:ind w:firstLine="386"/>
        <w:jc w:val="left"/>
        <w:rPr>
          <w:rFonts w:hint="eastAsia" w:ascii="宋体" w:hAnsi="宋体" w:eastAsia="宋体" w:cs="Times New Roman"/>
          <w:b/>
          <w:szCs w:val="21"/>
        </w:rPr>
      </w:pPr>
      <w:r>
        <w:rPr>
          <w:rFonts w:hint="eastAsia" w:ascii="宋体" w:hAnsi="宋体" w:eastAsia="宋体" w:cs="Times New Roman"/>
          <w:b/>
          <w:szCs w:val="21"/>
        </w:rPr>
        <w:t>二、政府采购政策功能落实</w:t>
      </w:r>
    </w:p>
    <w:p>
      <w:pPr>
        <w:spacing w:line="360" w:lineRule="auto"/>
        <w:ind w:firstLine="317"/>
        <w:jc w:val="left"/>
        <w:rPr>
          <w:rFonts w:ascii="宋体" w:hAnsi="宋体" w:eastAsia="宋体" w:cs="Times New Roman"/>
          <w:szCs w:val="21"/>
        </w:rPr>
      </w:pPr>
      <w:r>
        <w:rPr>
          <w:rFonts w:hint="eastAsia" w:ascii="宋体" w:hAnsi="宋体" w:eastAsia="宋体" w:cs="Times New Roman"/>
          <w:szCs w:val="21"/>
        </w:rPr>
        <w:t>1、中小企业</w:t>
      </w:r>
    </w:p>
    <w:p>
      <w:pPr>
        <w:spacing w:line="360" w:lineRule="auto"/>
        <w:ind w:firstLine="317"/>
        <w:jc w:val="left"/>
        <w:rPr>
          <w:rFonts w:ascii="宋体" w:hAnsi="宋体" w:eastAsia="宋体" w:cs="Times New Roman"/>
          <w:szCs w:val="21"/>
        </w:rPr>
      </w:pPr>
      <w:r>
        <w:rPr>
          <w:rFonts w:hint="eastAsia" w:ascii="宋体" w:hAnsi="宋体" w:eastAsia="宋体" w:cs="Times New Roman"/>
          <w:szCs w:val="21"/>
        </w:rPr>
        <w:t>（1）本项目专门面向中小微企业采购，不享受价格扣除政策。</w:t>
      </w:r>
    </w:p>
    <w:p>
      <w:pPr>
        <w:spacing w:line="360" w:lineRule="auto"/>
        <w:ind w:firstLine="317"/>
        <w:jc w:val="left"/>
        <w:rPr>
          <w:rFonts w:ascii="宋体" w:hAnsi="宋体" w:eastAsia="宋体" w:cs="Times New Roman"/>
          <w:szCs w:val="21"/>
        </w:rPr>
      </w:pPr>
      <w:r>
        <w:rPr>
          <w:rFonts w:hint="eastAsia" w:ascii="宋体" w:hAnsi="宋体" w:eastAsia="宋体" w:cs="Times New Roman"/>
          <w:szCs w:val="21"/>
        </w:rPr>
        <w:t>（2）供应商需按照磋商文件的要求提供相应的《中小企业声明函》。</w:t>
      </w:r>
    </w:p>
    <w:p>
      <w:pPr>
        <w:spacing w:line="360" w:lineRule="auto"/>
        <w:ind w:firstLine="317"/>
        <w:jc w:val="left"/>
        <w:rPr>
          <w:rFonts w:ascii="宋体" w:hAnsi="宋体" w:eastAsia="宋体" w:cs="Times New Roman"/>
          <w:szCs w:val="21"/>
        </w:rPr>
      </w:pPr>
      <w:r>
        <w:rPr>
          <w:rFonts w:hint="eastAsia" w:ascii="宋体" w:hAnsi="宋体" w:eastAsia="宋体" w:cs="Times New Roman"/>
          <w:szCs w:val="21"/>
        </w:rPr>
        <w:t>（3）企业标准请参照《关于印发中小企业划型标准规定的通知》（工信部联企业〔2011〕300号）文件规定自行填写。</w:t>
      </w:r>
    </w:p>
    <w:p>
      <w:pPr>
        <w:spacing w:line="360" w:lineRule="auto"/>
        <w:ind w:firstLine="317"/>
        <w:jc w:val="left"/>
        <w:rPr>
          <w:rFonts w:ascii="宋体" w:hAnsi="宋体" w:eastAsia="宋体" w:cs="Times New Roman"/>
          <w:szCs w:val="21"/>
        </w:rPr>
      </w:pPr>
      <w:r>
        <w:rPr>
          <w:rFonts w:hint="eastAsia" w:ascii="宋体" w:hAnsi="宋体" w:eastAsia="宋体" w:cs="Times New Roman"/>
          <w:szCs w:val="21"/>
        </w:rPr>
        <w:t>2、残疾人福利单位</w:t>
      </w:r>
    </w:p>
    <w:p>
      <w:pPr>
        <w:spacing w:line="360" w:lineRule="auto"/>
        <w:ind w:firstLine="317"/>
        <w:jc w:val="left"/>
        <w:rPr>
          <w:rFonts w:ascii="宋体" w:hAnsi="宋体" w:eastAsia="宋体" w:cs="Times New Roman"/>
          <w:szCs w:val="21"/>
        </w:rPr>
      </w:pPr>
      <w:r>
        <w:rPr>
          <w:rFonts w:hint="eastAsia" w:ascii="宋体" w:hAnsi="宋体" w:eastAsia="宋体" w:cs="Times New Roman"/>
          <w:szCs w:val="21"/>
        </w:rPr>
        <w:t>（1）本项目对残疾人福利性单位视同小型、微型企业。</w:t>
      </w:r>
    </w:p>
    <w:p>
      <w:pPr>
        <w:spacing w:line="360" w:lineRule="auto"/>
        <w:ind w:firstLine="317"/>
        <w:jc w:val="left"/>
        <w:rPr>
          <w:rFonts w:ascii="宋体" w:hAnsi="宋体" w:eastAsia="宋体" w:cs="Times New Roman"/>
          <w:szCs w:val="21"/>
        </w:rPr>
      </w:pPr>
      <w:r>
        <w:rPr>
          <w:rFonts w:hint="eastAsia" w:ascii="宋体" w:hAnsi="宋体" w:eastAsia="宋体" w:cs="Times New Roman"/>
          <w:szCs w:val="21"/>
        </w:rPr>
        <w:t>（2）残疾人福利单位需按照采购文件的要求提供《残疾人福利性单位声明函》。</w:t>
      </w:r>
    </w:p>
    <w:p>
      <w:pPr>
        <w:spacing w:line="360" w:lineRule="auto"/>
        <w:ind w:firstLine="317"/>
        <w:jc w:val="left"/>
        <w:rPr>
          <w:rFonts w:ascii="宋体" w:hAnsi="宋体" w:eastAsia="宋体" w:cs="Times New Roman"/>
          <w:szCs w:val="21"/>
        </w:rPr>
      </w:pPr>
      <w:r>
        <w:rPr>
          <w:rFonts w:hint="eastAsia" w:ascii="宋体" w:hAnsi="宋体" w:eastAsia="宋体" w:cs="Times New Roman"/>
          <w:szCs w:val="21"/>
        </w:rPr>
        <w:t>（3）残疾人福利单位标准请参照《关于促进残疾人就业政府采购政策的通知》（财库</w:t>
      </w:r>
    </w:p>
    <w:p>
      <w:pPr>
        <w:spacing w:line="360" w:lineRule="auto"/>
        <w:ind w:firstLine="317"/>
        <w:jc w:val="left"/>
        <w:rPr>
          <w:rFonts w:ascii="宋体" w:hAnsi="宋体" w:eastAsia="宋体" w:cs="Times New Roman"/>
          <w:szCs w:val="21"/>
        </w:rPr>
      </w:pPr>
      <w:r>
        <w:rPr>
          <w:rFonts w:hint="eastAsia" w:ascii="宋体" w:hAnsi="宋体" w:eastAsia="宋体" w:cs="Times New Roman"/>
          <w:szCs w:val="21"/>
        </w:rPr>
        <w:t>〔2017〕141号）。</w:t>
      </w:r>
    </w:p>
    <w:p>
      <w:pPr>
        <w:spacing w:line="360" w:lineRule="auto"/>
        <w:ind w:firstLine="317"/>
        <w:jc w:val="left"/>
        <w:rPr>
          <w:rFonts w:ascii="宋体" w:hAnsi="宋体" w:eastAsia="宋体" w:cs="Times New Roman"/>
          <w:szCs w:val="21"/>
        </w:rPr>
      </w:pPr>
      <w:r>
        <w:rPr>
          <w:rFonts w:hint="eastAsia" w:ascii="宋体" w:hAnsi="宋体" w:eastAsia="宋体" w:cs="Times New Roman"/>
          <w:szCs w:val="21"/>
        </w:rPr>
        <w:t>3、监狱和戒毒企业</w:t>
      </w:r>
    </w:p>
    <w:p>
      <w:pPr>
        <w:spacing w:line="360" w:lineRule="auto"/>
        <w:ind w:firstLine="317"/>
        <w:jc w:val="left"/>
        <w:rPr>
          <w:rFonts w:ascii="宋体" w:hAnsi="宋体" w:eastAsia="宋体" w:cs="Times New Roman"/>
          <w:szCs w:val="21"/>
        </w:rPr>
      </w:pPr>
      <w:r>
        <w:rPr>
          <w:rFonts w:hint="eastAsia" w:ascii="宋体" w:hAnsi="宋体" w:eastAsia="宋体" w:cs="Times New Roman"/>
          <w:szCs w:val="21"/>
        </w:rPr>
        <w:t>（1）本项目对监狱和戒毒企业（简称监狱企业）视同小型、微型企业。</w:t>
      </w:r>
    </w:p>
    <w:p>
      <w:pPr>
        <w:spacing w:line="360" w:lineRule="auto"/>
        <w:ind w:firstLine="317"/>
        <w:jc w:val="left"/>
        <w:rPr>
          <w:rFonts w:ascii="宋体" w:hAnsi="宋体" w:eastAsia="宋体" w:cs="Times New Roman"/>
          <w:szCs w:val="21"/>
        </w:rPr>
      </w:pPr>
      <w:r>
        <w:rPr>
          <w:rFonts w:hint="eastAsia" w:ascii="宋体" w:hAnsi="宋体" w:eastAsia="宋体" w:cs="Times New Roman"/>
          <w:szCs w:val="21"/>
        </w:rPr>
        <w:t>（2）监狱企业参加政府采购活动时，需提供由省级以上监狱管理局、戒毒管理局(含新疆生产建设兵团)出具的属于监狱企业的证明文件。</w:t>
      </w:r>
    </w:p>
    <w:p>
      <w:pPr>
        <w:spacing w:line="360" w:lineRule="auto"/>
        <w:ind w:firstLine="317"/>
        <w:jc w:val="left"/>
        <w:rPr>
          <w:rFonts w:ascii="宋体" w:hAnsi="宋体" w:eastAsia="宋体" w:cs="Times New Roman"/>
          <w:szCs w:val="21"/>
        </w:rPr>
      </w:pPr>
      <w:r>
        <w:rPr>
          <w:rFonts w:hint="eastAsia" w:ascii="宋体" w:hAnsi="宋体" w:eastAsia="宋体" w:cs="Times New Roman"/>
          <w:szCs w:val="21"/>
        </w:rPr>
        <w:t>（3）监狱企业标准请参照《关于政府采购支持监狱企业发展有关问题的通知》（财库</w:t>
      </w:r>
    </w:p>
    <w:p>
      <w:pPr>
        <w:spacing w:line="360" w:lineRule="auto"/>
        <w:ind w:firstLine="317"/>
        <w:jc w:val="left"/>
        <w:rPr>
          <w:rFonts w:ascii="宋体" w:hAnsi="宋体" w:eastAsia="宋体" w:cs="Times New Roman"/>
          <w:szCs w:val="21"/>
        </w:rPr>
      </w:pPr>
      <w:r>
        <w:rPr>
          <w:rFonts w:hint="eastAsia" w:ascii="宋体" w:hAnsi="宋体" w:eastAsia="宋体" w:cs="Times New Roman"/>
          <w:szCs w:val="21"/>
        </w:rPr>
        <w:t>〔2014〕68号）。</w:t>
      </w:r>
    </w:p>
    <w:p>
      <w:pPr>
        <w:spacing w:line="360" w:lineRule="auto"/>
        <w:ind w:firstLine="317"/>
        <w:jc w:val="left"/>
        <w:rPr>
          <w:rFonts w:hint="eastAsia" w:ascii="宋体" w:hAnsi="宋体" w:eastAsia="宋体" w:cs="Times New Roman"/>
          <w:szCs w:val="21"/>
        </w:rPr>
      </w:pPr>
      <w:r>
        <w:rPr>
          <w:rFonts w:hint="eastAsia" w:ascii="宋体" w:hAnsi="宋体" w:eastAsia="宋体" w:cs="Times New Roman"/>
          <w:szCs w:val="21"/>
          <w:lang w:val="en-US" w:eastAsia="zh-CN"/>
        </w:rPr>
        <w:t>4</w:t>
      </w:r>
      <w:r>
        <w:rPr>
          <w:rFonts w:hint="eastAsia" w:ascii="宋体" w:hAnsi="宋体" w:eastAsia="宋体" w:cs="Times New Roman"/>
          <w:szCs w:val="21"/>
        </w:rPr>
        <w:t>、采购本国产品的支持政策</w:t>
      </w:r>
    </w:p>
    <w:p>
      <w:pPr>
        <w:spacing w:line="360" w:lineRule="auto"/>
        <w:ind w:firstLine="317"/>
        <w:jc w:val="left"/>
        <w:rPr>
          <w:rFonts w:hint="eastAsia" w:ascii="宋体" w:hAnsi="宋体" w:eastAsia="宋体" w:cs="Times New Roman"/>
          <w:szCs w:val="21"/>
        </w:rPr>
      </w:pPr>
      <w:r>
        <w:rPr>
          <w:rFonts w:hint="eastAsia" w:ascii="宋体" w:hAnsi="宋体" w:eastAsia="宋体" w:cs="Times New Roman"/>
          <w:szCs w:val="21"/>
          <w:lang w:val="en-US" w:eastAsia="zh-CN"/>
        </w:rPr>
        <w:t>(1)</w:t>
      </w:r>
      <w:r>
        <w:rPr>
          <w:rFonts w:hint="eastAsia" w:ascii="宋体" w:hAnsi="宋体" w:eastAsia="宋体" w:cs="Times New Roman"/>
          <w:szCs w:val="21"/>
        </w:rPr>
        <w:t>本项目政府采购活动中既有本国产品又有非本国产品参与竞争的，依法对本国产品给予价格评审优惠，对本国产品的报价给予20%的价格扣除，用扣除后的价格参与评审。</w:t>
      </w:r>
    </w:p>
    <w:p>
      <w:pPr>
        <w:spacing w:line="360" w:lineRule="auto"/>
        <w:ind w:firstLine="317"/>
        <w:jc w:val="left"/>
        <w:rPr>
          <w:rFonts w:hint="eastAsia" w:ascii="宋体" w:hAnsi="宋体" w:eastAsia="宋体" w:cs="Times New Roman"/>
          <w:szCs w:val="21"/>
        </w:rPr>
      </w:pPr>
      <w:r>
        <w:rPr>
          <w:rFonts w:hint="eastAsia" w:ascii="宋体" w:hAnsi="宋体" w:eastAsia="宋体" w:cs="Times New Roman"/>
          <w:szCs w:val="21"/>
          <w:lang w:val="en-US" w:eastAsia="zh-CN"/>
        </w:rPr>
        <w:t>(</w:t>
      </w:r>
      <w:r>
        <w:rPr>
          <w:rFonts w:hint="eastAsia" w:ascii="宋体" w:hAnsi="宋体" w:cs="Times New Roman"/>
          <w:szCs w:val="21"/>
          <w:lang w:val="en-US" w:eastAsia="zh-CN"/>
        </w:rPr>
        <w:t>2</w:t>
      </w:r>
      <w:r>
        <w:rPr>
          <w:rFonts w:hint="eastAsia" w:ascii="宋体" w:hAnsi="宋体" w:eastAsia="宋体" w:cs="Times New Roman"/>
          <w:szCs w:val="21"/>
          <w:lang w:val="en-US" w:eastAsia="zh-CN"/>
        </w:rPr>
        <w:t>)</w:t>
      </w:r>
      <w:r>
        <w:rPr>
          <w:rFonts w:hint="eastAsia" w:ascii="宋体" w:hAnsi="宋体" w:eastAsia="宋体" w:cs="Times New Roman"/>
          <w:szCs w:val="21"/>
        </w:rPr>
        <w:t>当采购项目或者采购包中含有多种产品，供应商为该采购项目或者采购包提供的符合本国产品标准的产品成本之和占该供应商提供的全部产品成本之和的比例达到80%以上时（供应商需在“第六章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pPr>
        <w:spacing w:line="360" w:lineRule="auto"/>
        <w:ind w:firstLine="317"/>
        <w:jc w:val="left"/>
        <w:rPr>
          <w:rFonts w:hint="eastAsia" w:ascii="宋体" w:hAnsi="宋体" w:eastAsia="宋体" w:cs="Times New Roman"/>
          <w:szCs w:val="21"/>
        </w:rPr>
      </w:pPr>
      <w:r>
        <w:rPr>
          <w:rFonts w:hint="eastAsia" w:ascii="宋体" w:hAnsi="宋体" w:eastAsia="宋体" w:cs="Times New Roman"/>
          <w:szCs w:val="21"/>
          <w:lang w:val="en-US" w:eastAsia="zh-CN"/>
        </w:rPr>
        <w:t>(</w:t>
      </w:r>
      <w:r>
        <w:rPr>
          <w:rFonts w:hint="eastAsia" w:ascii="宋体" w:hAnsi="宋体" w:cs="Times New Roman"/>
          <w:szCs w:val="21"/>
          <w:lang w:val="en-US" w:eastAsia="zh-CN"/>
        </w:rPr>
        <w:t>3</w:t>
      </w:r>
      <w:r>
        <w:rPr>
          <w:rFonts w:hint="eastAsia" w:ascii="宋体" w:hAnsi="宋体" w:eastAsia="宋体" w:cs="Times New Roman"/>
          <w:szCs w:val="21"/>
          <w:lang w:val="en-US" w:eastAsia="zh-CN"/>
        </w:rPr>
        <w:t>)</w:t>
      </w:r>
      <w:r>
        <w:rPr>
          <w:rFonts w:hint="eastAsia" w:ascii="宋体" w:hAnsi="宋体" w:eastAsia="宋体" w:cs="Times New Roman"/>
          <w:szCs w:val="21"/>
        </w:rPr>
        <w:t>供应商需按照招标文件的要求提供《关于符合本国产品标准的声明函》（以下简称《声明函》），如不提供将不享受本国产品价格评审优惠。</w:t>
      </w:r>
    </w:p>
    <w:p>
      <w:pPr>
        <w:spacing w:line="360" w:lineRule="auto"/>
        <w:ind w:firstLine="317"/>
        <w:jc w:val="left"/>
        <w:rPr>
          <w:rFonts w:hint="eastAsia" w:ascii="宋体" w:hAnsi="宋体" w:eastAsia="宋体" w:cs="Times New Roman"/>
          <w:szCs w:val="21"/>
        </w:rPr>
      </w:pPr>
      <w:r>
        <w:rPr>
          <w:rFonts w:hint="eastAsia" w:ascii="宋体" w:hAnsi="宋体" w:eastAsia="宋体" w:cs="Times New Roman"/>
          <w:szCs w:val="21"/>
          <w:lang w:val="en-US" w:eastAsia="zh-CN"/>
        </w:rPr>
        <w:t>(</w:t>
      </w:r>
      <w:r>
        <w:rPr>
          <w:rFonts w:hint="eastAsia" w:ascii="宋体" w:hAnsi="宋体" w:cs="Times New Roman"/>
          <w:szCs w:val="21"/>
          <w:lang w:val="en-US" w:eastAsia="zh-CN"/>
        </w:rPr>
        <w:t>4</w:t>
      </w:r>
      <w:r>
        <w:rPr>
          <w:rFonts w:hint="eastAsia" w:ascii="宋体" w:hAnsi="宋体" w:eastAsia="宋体" w:cs="Times New Roman"/>
          <w:szCs w:val="21"/>
          <w:lang w:val="en-US" w:eastAsia="zh-CN"/>
        </w:rPr>
        <w:t>)</w:t>
      </w:r>
      <w:r>
        <w:rPr>
          <w:rFonts w:hint="eastAsia" w:ascii="宋体" w:hAnsi="宋体" w:eastAsia="宋体" w:cs="Times New Roman"/>
          <w:szCs w:val="21"/>
        </w:rPr>
        <w:t>供应商需在《声明函》中逐一、准确填写产品名称、厂名、生产厂址三项信息（《声明函》中用斜线划除的地方无需填写），三项信息中任意一项未填写的视为该项产品不符合本国产品标准，不享受本国产品价格评审优惠。</w:t>
      </w:r>
    </w:p>
    <w:p>
      <w:pPr>
        <w:spacing w:line="360" w:lineRule="auto"/>
        <w:ind w:firstLine="317"/>
        <w:jc w:val="left"/>
        <w:rPr>
          <w:rFonts w:hint="eastAsia" w:ascii="宋体" w:hAnsi="宋体" w:eastAsia="宋体" w:cs="Times New Roman"/>
          <w:b/>
          <w:szCs w:val="21"/>
        </w:rPr>
      </w:pPr>
      <w:r>
        <w:rPr>
          <w:rFonts w:hint="eastAsia" w:ascii="宋体" w:hAnsi="宋体" w:eastAsia="宋体" w:cs="Times New Roman"/>
          <w:szCs w:val="21"/>
          <w:lang w:val="en-US" w:eastAsia="zh-CN"/>
        </w:rPr>
        <w:t>(</w:t>
      </w:r>
      <w:r>
        <w:rPr>
          <w:rFonts w:hint="eastAsia" w:ascii="宋体" w:hAnsi="宋体" w:cs="Times New Roman"/>
          <w:szCs w:val="21"/>
          <w:lang w:val="en-US" w:eastAsia="zh-CN"/>
        </w:rPr>
        <w:t>5</w:t>
      </w:r>
      <w:r>
        <w:rPr>
          <w:rFonts w:hint="eastAsia" w:ascii="宋体" w:hAnsi="宋体" w:eastAsia="宋体" w:cs="Times New Roman"/>
          <w:szCs w:val="21"/>
          <w:lang w:val="en-US" w:eastAsia="zh-CN"/>
        </w:rPr>
        <w:t>)</w:t>
      </w:r>
      <w:r>
        <w:rPr>
          <w:rFonts w:hint="eastAsia" w:ascii="宋体" w:hAnsi="宋体" w:eastAsia="宋体" w:cs="Times New Roman"/>
          <w:szCs w:val="21"/>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pPr>
        <w:spacing w:line="360" w:lineRule="auto"/>
        <w:ind w:firstLine="386"/>
        <w:jc w:val="left"/>
        <w:rPr>
          <w:rFonts w:hint="eastAsia" w:ascii="宋体" w:hAnsi="宋体" w:eastAsia="宋体" w:cs="Times New Roman"/>
          <w:b/>
          <w:szCs w:val="21"/>
        </w:rPr>
      </w:pPr>
      <w:r>
        <w:rPr>
          <w:rFonts w:hint="eastAsia" w:ascii="宋体" w:hAnsi="宋体" w:eastAsia="宋体" w:cs="Times New Roman"/>
          <w:b/>
          <w:szCs w:val="21"/>
        </w:rPr>
        <w:t>三、评审标准</w:t>
      </w:r>
    </w:p>
    <w:tbl>
      <w:tblPr>
        <w:tblStyle w:val="46"/>
        <w:tblW w:w="503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397"/>
        <w:gridCol w:w="698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6" w:hRule="atLeast"/>
        </w:trPr>
        <w:tc>
          <w:tcPr>
            <w:tcW w:w="834" w:type="pct"/>
            <w:noWrap w:val="0"/>
            <w:vAlign w:val="top"/>
          </w:tcPr>
          <w:p>
            <w:pPr>
              <w:pStyle w:val="356"/>
              <w:keepNext w:val="0"/>
              <w:keepLines w:val="0"/>
              <w:pageBreakBefore w:val="0"/>
              <w:kinsoku/>
              <w:wordWrap/>
              <w:overflowPunct/>
              <w:topLinePunct w:val="0"/>
              <w:autoSpaceDE/>
              <w:autoSpaceDN/>
              <w:bidi w:val="0"/>
              <w:spacing w:line="440" w:lineRule="exact"/>
              <w:ind w:left="0" w:right="0" w:firstLine="0" w:firstLineChars="0"/>
              <w:jc w:val="center"/>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评审因素</w:t>
            </w:r>
          </w:p>
        </w:tc>
        <w:tc>
          <w:tcPr>
            <w:tcW w:w="4165" w:type="pct"/>
            <w:noWrap w:val="0"/>
            <w:vAlign w:val="top"/>
          </w:tcPr>
          <w:p>
            <w:pPr>
              <w:pStyle w:val="356"/>
              <w:keepNext w:val="0"/>
              <w:keepLines w:val="0"/>
              <w:pageBreakBefore w:val="0"/>
              <w:kinsoku/>
              <w:wordWrap/>
              <w:overflowPunct/>
              <w:topLinePunct w:val="0"/>
              <w:autoSpaceDE/>
              <w:autoSpaceDN/>
              <w:bidi w:val="0"/>
              <w:spacing w:line="440" w:lineRule="exact"/>
              <w:ind w:left="0" w:right="0" w:firstLine="0" w:firstLineChars="0"/>
              <w:jc w:val="center"/>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2"/>
                <w:szCs w:val="22"/>
                <w:highlight w:val="none"/>
              </w:rPr>
              <w:t>评   分   标  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1" w:hRule="atLeast"/>
        </w:trPr>
        <w:tc>
          <w:tcPr>
            <w:tcW w:w="834" w:type="pct"/>
            <w:noWrap w:val="0"/>
            <w:vAlign w:val="center"/>
          </w:tcPr>
          <w:p>
            <w:pPr>
              <w:pStyle w:val="356"/>
              <w:keepNext w:val="0"/>
              <w:keepLines w:val="0"/>
              <w:pageBreakBefore w:val="0"/>
              <w:kinsoku/>
              <w:wordWrap/>
              <w:overflowPunct/>
              <w:topLinePunct w:val="0"/>
              <w:autoSpaceDE/>
              <w:autoSpaceDN/>
              <w:bidi w:val="0"/>
              <w:spacing w:line="440" w:lineRule="exact"/>
              <w:ind w:left="0" w:right="0" w:firstLine="0" w:firstLineChars="0"/>
              <w:jc w:val="center"/>
              <w:textAlignment w:va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价格</w:t>
            </w:r>
          </w:p>
          <w:p>
            <w:pPr>
              <w:pStyle w:val="356"/>
              <w:keepNext w:val="0"/>
              <w:keepLines w:val="0"/>
              <w:pageBreakBefore w:val="0"/>
              <w:kinsoku/>
              <w:wordWrap/>
              <w:overflowPunct/>
              <w:topLinePunct w:val="0"/>
              <w:autoSpaceDE/>
              <w:autoSpaceDN/>
              <w:bidi w:val="0"/>
              <w:spacing w:line="440" w:lineRule="exact"/>
              <w:ind w:left="0" w:right="0" w:firstLine="0" w:firstLineChars="0"/>
              <w:jc w:val="center"/>
              <w:textAlignment w:val="auto"/>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lang w:val="en-US" w:eastAsia="zh-CN"/>
              </w:rPr>
              <w:t>10分</w:t>
            </w:r>
            <w:r>
              <w:rPr>
                <w:rFonts w:hint="eastAsia" w:ascii="宋体" w:hAnsi="宋体" w:eastAsia="宋体" w:cs="宋体"/>
                <w:b/>
                <w:bCs/>
                <w:color w:val="000000"/>
                <w:sz w:val="21"/>
                <w:szCs w:val="21"/>
                <w:highlight w:val="none"/>
                <w:lang w:eastAsia="zh-CN"/>
              </w:rPr>
              <w:t>）</w:t>
            </w:r>
          </w:p>
        </w:tc>
        <w:tc>
          <w:tcPr>
            <w:tcW w:w="4165" w:type="pct"/>
            <w:noWrap w:val="0"/>
            <w:vAlign w:val="top"/>
          </w:tcPr>
          <w:p>
            <w:pPr>
              <w:pStyle w:val="312"/>
              <w:pageBreakBefore w:val="0"/>
              <w:kinsoku/>
              <w:overflowPunct/>
              <w:topLinePunct w:val="0"/>
              <w:bidi w:val="0"/>
              <w:spacing w:before="0" w:after="0" w:line="360" w:lineRule="auto"/>
              <w:ind w:left="0" w:leftChars="0" w:right="0" w:rightChars="0" w:firstLine="0"/>
              <w:jc w:val="both"/>
              <w:rPr>
                <w:rFonts w:ascii="宋体" w:hAnsi="宋体" w:cs="宋体"/>
                <w:color w:val="000000"/>
                <w:kern w:val="2"/>
                <w:sz w:val="21"/>
                <w:szCs w:val="21"/>
                <w:highlight w:val="none"/>
              </w:rPr>
            </w:pPr>
            <w:r>
              <w:rPr>
                <w:rFonts w:hint="eastAsia" w:ascii="宋体" w:hAnsi="宋体" w:cs="宋体"/>
                <w:color w:val="000000"/>
                <w:kern w:val="2"/>
                <w:sz w:val="21"/>
                <w:szCs w:val="21"/>
                <w:highlight w:val="none"/>
              </w:rPr>
              <w:t>以满足磋商文件要求且最终报价最低的价格为磋商基准价，得满分</w:t>
            </w:r>
            <w:r>
              <w:rPr>
                <w:rFonts w:hint="eastAsia" w:ascii="宋体" w:hAnsi="宋体" w:cs="宋体"/>
                <w:color w:val="000000"/>
                <w:kern w:val="2"/>
                <w:sz w:val="21"/>
                <w:szCs w:val="21"/>
                <w:highlight w:val="none"/>
                <w:lang w:val="en-US" w:eastAsia="zh-CN"/>
              </w:rPr>
              <w:t>1</w:t>
            </w:r>
            <w:r>
              <w:rPr>
                <w:rFonts w:hint="eastAsia" w:ascii="宋体" w:hAnsi="宋体" w:cs="宋体"/>
                <w:color w:val="000000"/>
                <w:kern w:val="2"/>
                <w:sz w:val="21"/>
                <w:szCs w:val="21"/>
                <w:highlight w:val="none"/>
              </w:rPr>
              <w:t>0分。</w:t>
            </w:r>
          </w:p>
          <w:p>
            <w:pPr>
              <w:pageBreakBefore w:val="0"/>
              <w:kinsoku/>
              <w:overflowPunct/>
              <w:topLinePunct w:val="0"/>
              <w:bidi w:val="0"/>
              <w:spacing w:line="360" w:lineRule="auto"/>
              <w:ind w:left="0" w:leftChars="0" w:right="0" w:rightChars="0"/>
              <w:rPr>
                <w:rFonts w:hint="eastAsia" w:ascii="宋体" w:hAnsi="宋体" w:cs="宋体"/>
                <w:color w:val="000000"/>
                <w:kern w:val="0"/>
                <w:szCs w:val="21"/>
                <w:highlight w:val="none"/>
              </w:rPr>
            </w:pPr>
            <w:r>
              <w:rPr>
                <w:rFonts w:hint="eastAsia" w:ascii="宋体" w:hAnsi="宋体" w:cs="宋体"/>
                <w:color w:val="000000"/>
                <w:szCs w:val="21"/>
                <w:highlight w:val="none"/>
              </w:rPr>
              <w:t>其他磋商报价得分=（磋商基准价/其他最后磋商报价）×</w:t>
            </w:r>
            <w:r>
              <w:rPr>
                <w:rFonts w:hint="eastAsia" w:ascii="宋体" w:hAnsi="宋体" w:cs="宋体"/>
                <w:color w:val="000000"/>
                <w:szCs w:val="21"/>
                <w:highlight w:val="none"/>
                <w:lang w:val="en-US" w:eastAsia="zh-CN"/>
              </w:rPr>
              <w:t>1</w:t>
            </w:r>
            <w:r>
              <w:rPr>
                <w:rFonts w:hint="eastAsia" w:ascii="宋体" w:hAnsi="宋体" w:cs="宋体"/>
                <w:color w:val="000000"/>
                <w:szCs w:val="21"/>
                <w:highlight w:val="none"/>
              </w:rPr>
              <w:t>0×100%</w:t>
            </w:r>
            <w:r>
              <w:rPr>
                <w:rFonts w:hint="eastAsia" w:ascii="宋体" w:hAnsi="宋体" w:cs="宋体"/>
                <w:color w:val="000000"/>
                <w:kern w:val="0"/>
                <w:szCs w:val="21"/>
                <w:highlight w:val="none"/>
              </w:rPr>
              <w:t>（四舍五入，保留两位小数）</w:t>
            </w:r>
          </w:p>
          <w:p>
            <w:pPr>
              <w:pStyle w:val="356"/>
              <w:keepNext w:val="0"/>
              <w:keepLines w:val="0"/>
              <w:pageBreakBefore w:val="0"/>
              <w:kinsoku/>
              <w:wordWrap/>
              <w:overflowPunct/>
              <w:topLinePunct w:val="0"/>
              <w:autoSpaceDE/>
              <w:autoSpaceDN/>
              <w:bidi w:val="0"/>
              <w:spacing w:line="440" w:lineRule="exact"/>
              <w:ind w:left="0" w:right="0" w:firstLine="0" w:firstLineChars="0"/>
              <w:textAlignment w:val="auto"/>
              <w:rPr>
                <w:rFonts w:hint="eastAsia" w:ascii="宋体" w:hAnsi="宋体" w:eastAsia="宋体" w:cs="宋体"/>
                <w:color w:val="000000"/>
                <w:sz w:val="21"/>
                <w:szCs w:val="21"/>
                <w:highlight w:val="none"/>
              </w:rPr>
            </w:pPr>
            <w:r>
              <w:rPr>
                <w:rFonts w:hint="eastAsia" w:ascii="宋体" w:hAnsi="宋体" w:cs="Arial"/>
                <w:b/>
                <w:bCs w:val="0"/>
                <w:szCs w:val="21"/>
              </w:rPr>
              <w:t>注：评标委员会认为供应商的报价明显低于其他通过符合性审查供应商的报价，有可能影响服务质量或者不能诚信履约的，且供应商不能在评标现场合理的时间内证明其报价合理性的，评标委员会有权将其作为无效投标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2" w:hRule="atLeast"/>
        </w:trPr>
        <w:tc>
          <w:tcPr>
            <w:tcW w:w="834" w:type="pct"/>
            <w:vMerge w:val="restart"/>
            <w:noWrap w:val="0"/>
            <w:vAlign w:val="center"/>
          </w:tcPr>
          <w:p>
            <w:pPr>
              <w:pStyle w:val="356"/>
              <w:keepNext w:val="0"/>
              <w:keepLines w:val="0"/>
              <w:pageBreakBefore w:val="0"/>
              <w:kinsoku/>
              <w:wordWrap/>
              <w:overflowPunct/>
              <w:topLinePunct w:val="0"/>
              <w:autoSpaceDE/>
              <w:autoSpaceDN/>
              <w:bidi w:val="0"/>
              <w:spacing w:line="440" w:lineRule="exact"/>
              <w:ind w:left="0" w:right="0" w:firstLine="0" w:firstLineChars="0"/>
              <w:jc w:val="center"/>
              <w:textAlignment w:va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管理方案</w:t>
            </w:r>
          </w:p>
          <w:p>
            <w:pPr>
              <w:pStyle w:val="356"/>
              <w:keepNext w:val="0"/>
              <w:keepLines w:val="0"/>
              <w:pageBreakBefore w:val="0"/>
              <w:kinsoku/>
              <w:wordWrap/>
              <w:overflowPunct/>
              <w:topLinePunct w:val="0"/>
              <w:autoSpaceDE/>
              <w:autoSpaceDN/>
              <w:bidi w:val="0"/>
              <w:spacing w:line="440" w:lineRule="exact"/>
              <w:ind w:left="0" w:right="0" w:firstLine="0" w:firstLineChars="0"/>
              <w:jc w:val="center"/>
              <w:textAlignment w:val="auto"/>
              <w:rPr>
                <w:rFonts w:hint="eastAsia" w:ascii="宋体" w:hAnsi="宋体" w:cs="宋体"/>
                <w:b/>
                <w:bCs/>
                <w:color w:val="000000"/>
                <w:sz w:val="22"/>
                <w:lang w:val="en-US" w:eastAsia="zh-CN"/>
              </w:rPr>
            </w:pPr>
            <w:r>
              <w:rPr>
                <w:rFonts w:hint="eastAsia" w:ascii="宋体" w:hAnsi="宋体" w:eastAsia="宋体" w:cs="宋体"/>
                <w:b/>
                <w:bCs/>
                <w:color w:val="000000"/>
                <w:sz w:val="21"/>
                <w:szCs w:val="21"/>
                <w:highlight w:val="none"/>
                <w:lang w:val="en-US" w:eastAsia="zh-CN"/>
              </w:rPr>
              <w:t>（50分）</w:t>
            </w:r>
          </w:p>
        </w:tc>
        <w:tc>
          <w:tcPr>
            <w:tcW w:w="4165" w:type="pct"/>
            <w:noWrap w:val="0"/>
            <w:vAlign w:val="center"/>
          </w:tcPr>
          <w:p>
            <w:pPr>
              <w:widowControl/>
              <w:numPr>
                <w:ilvl w:val="0"/>
                <w:numId w:val="0"/>
              </w:numPr>
              <w:snapToGrid w:val="0"/>
              <w:spacing w:line="288" w:lineRule="auto"/>
              <w:jc w:val="left"/>
              <w:rPr>
                <w:rFonts w:hint="eastAsia" w:ascii="宋体" w:hAnsi="宋体" w:cs="宋体"/>
                <w:b/>
                <w:bCs/>
                <w:color w:val="000000"/>
                <w:sz w:val="21"/>
                <w:szCs w:val="21"/>
                <w:lang w:val="en-US" w:eastAsia="zh-CN"/>
              </w:rPr>
            </w:pPr>
            <w:r>
              <w:rPr>
                <w:rFonts w:hint="eastAsia" w:ascii="宋体" w:hAnsi="宋体" w:cs="宋体"/>
                <w:b/>
                <w:bCs/>
                <w:color w:val="000000"/>
                <w:sz w:val="21"/>
                <w:szCs w:val="21"/>
                <w:lang w:val="en-US" w:eastAsia="zh-CN"/>
              </w:rPr>
              <w:t>1、项目理解与认知：合理把握对项目背景、总体要求、现状的认知和理解情况。（10分）</w:t>
            </w:r>
          </w:p>
          <w:p>
            <w:pPr>
              <w:widowControl/>
              <w:numPr>
                <w:ilvl w:val="0"/>
                <w:numId w:val="0"/>
              </w:numPr>
              <w:snapToGrid w:val="0"/>
              <w:spacing w:line="288" w:lineRule="auto"/>
              <w:jc w:val="left"/>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项目认知理解全面、问题分析准确，完全响应项目需求的，得10分；</w:t>
            </w:r>
          </w:p>
          <w:p>
            <w:pPr>
              <w:widowControl/>
              <w:numPr>
                <w:ilvl w:val="0"/>
                <w:numId w:val="0"/>
              </w:numPr>
              <w:snapToGrid w:val="0"/>
              <w:spacing w:line="288" w:lineRule="auto"/>
              <w:jc w:val="left"/>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项目认知理解较为全面、问题分析较为合理，较为响应项目需求的，得7分；</w:t>
            </w:r>
          </w:p>
          <w:p>
            <w:pPr>
              <w:widowControl/>
              <w:numPr>
                <w:ilvl w:val="0"/>
                <w:numId w:val="0"/>
              </w:numPr>
              <w:snapToGrid w:val="0"/>
              <w:spacing w:line="288" w:lineRule="auto"/>
              <w:jc w:val="left"/>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项目认知理解基本全面、问题分析基本合理，基本响应项目需求的，得4分；</w:t>
            </w:r>
          </w:p>
          <w:p>
            <w:pPr>
              <w:widowControl/>
              <w:numPr>
                <w:ilvl w:val="0"/>
                <w:numId w:val="0"/>
              </w:numPr>
              <w:snapToGrid w:val="0"/>
              <w:spacing w:line="288" w:lineRule="auto"/>
              <w:jc w:val="left"/>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项目认知理解不够全面、问题分析不够合理，响应度低的，得1分；</w:t>
            </w:r>
          </w:p>
          <w:p>
            <w:pPr>
              <w:widowControl/>
              <w:numPr>
                <w:ilvl w:val="0"/>
                <w:numId w:val="0"/>
              </w:numPr>
              <w:snapToGrid w:val="0"/>
              <w:spacing w:line="288" w:lineRule="auto"/>
              <w:jc w:val="left"/>
              <w:rPr>
                <w:rFonts w:hint="eastAsia" w:ascii="宋体" w:hAnsi="宋体" w:cs="宋体"/>
                <w:b/>
                <w:bCs/>
                <w:color w:val="000000"/>
                <w:sz w:val="21"/>
                <w:szCs w:val="21"/>
                <w:lang w:val="en-US" w:eastAsia="zh-CN"/>
              </w:rPr>
            </w:pPr>
            <w:r>
              <w:rPr>
                <w:rFonts w:hint="eastAsia" w:ascii="宋体" w:hAnsi="宋体" w:cs="宋体"/>
                <w:b w:val="0"/>
                <w:bCs w:val="0"/>
                <w:color w:val="000000"/>
                <w:sz w:val="21"/>
                <w:szCs w:val="21"/>
                <w:lang w:val="en-US" w:eastAsia="zh-CN"/>
              </w:rPr>
              <w:t>不提供不得分。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53" w:hRule="atLeast"/>
        </w:trPr>
        <w:tc>
          <w:tcPr>
            <w:tcW w:w="834" w:type="pct"/>
            <w:vMerge w:val="continue"/>
            <w:noWrap w:val="0"/>
            <w:vAlign w:val="center"/>
          </w:tcPr>
          <w:p>
            <w:pPr>
              <w:widowControl/>
              <w:numPr>
                <w:ilvl w:val="0"/>
                <w:numId w:val="0"/>
              </w:numPr>
              <w:snapToGrid w:val="0"/>
              <w:spacing w:line="288" w:lineRule="auto"/>
              <w:jc w:val="left"/>
              <w:rPr>
                <w:rFonts w:hint="eastAsia" w:ascii="宋体" w:hAnsi="宋体" w:cs="宋体"/>
                <w:b/>
                <w:bCs/>
                <w:color w:val="000000"/>
                <w:sz w:val="22"/>
                <w:lang w:val="en-US" w:eastAsia="zh-CN"/>
              </w:rPr>
            </w:pPr>
          </w:p>
        </w:tc>
        <w:tc>
          <w:tcPr>
            <w:tcW w:w="4165" w:type="pct"/>
            <w:noWrap w:val="0"/>
            <w:vAlign w:val="center"/>
          </w:tcPr>
          <w:p>
            <w:pPr>
              <w:widowControl/>
              <w:numPr>
                <w:ilvl w:val="0"/>
                <w:numId w:val="0"/>
              </w:numPr>
              <w:snapToGrid w:val="0"/>
              <w:spacing w:line="288" w:lineRule="auto"/>
              <w:jc w:val="left"/>
              <w:rPr>
                <w:rFonts w:hint="eastAsia" w:ascii="宋体" w:hAnsi="宋体" w:cs="宋体"/>
                <w:b/>
                <w:bCs/>
                <w:color w:val="000000"/>
                <w:sz w:val="21"/>
                <w:szCs w:val="21"/>
                <w:lang w:val="en-US" w:eastAsia="zh-CN"/>
              </w:rPr>
            </w:pPr>
            <w:r>
              <w:rPr>
                <w:rFonts w:hint="eastAsia" w:ascii="宋体" w:hAnsi="宋体" w:cs="宋体"/>
                <w:b/>
                <w:bCs/>
                <w:color w:val="000000"/>
                <w:sz w:val="21"/>
                <w:szCs w:val="21"/>
                <w:lang w:val="en-US" w:eastAsia="zh-CN"/>
              </w:rPr>
              <w:t>2、工作思路与服务内容：供应商根据项目需求提供的工作思路与服务内容。（10分）</w:t>
            </w:r>
          </w:p>
          <w:p>
            <w:pPr>
              <w:widowControl/>
              <w:numPr>
                <w:ilvl w:val="0"/>
                <w:numId w:val="0"/>
              </w:numPr>
              <w:snapToGrid w:val="0"/>
              <w:spacing w:line="288" w:lineRule="auto"/>
              <w:jc w:val="left"/>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方案严密、合理，描述详细具有针对性，得10分；</w:t>
            </w:r>
          </w:p>
          <w:p>
            <w:pPr>
              <w:widowControl/>
              <w:numPr>
                <w:ilvl w:val="0"/>
                <w:numId w:val="0"/>
              </w:numPr>
              <w:snapToGrid w:val="0"/>
              <w:spacing w:line="288" w:lineRule="auto"/>
              <w:jc w:val="left"/>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方案较合理、严密、描述较为详细，不存在实施难度，得7分；</w:t>
            </w:r>
          </w:p>
          <w:p>
            <w:pPr>
              <w:widowControl/>
              <w:numPr>
                <w:ilvl w:val="0"/>
                <w:numId w:val="0"/>
              </w:numPr>
              <w:snapToGrid w:val="0"/>
              <w:spacing w:line="288" w:lineRule="auto"/>
              <w:jc w:val="left"/>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方案基本合理、描述简单，存在可操作性，得4分；</w:t>
            </w:r>
          </w:p>
          <w:p>
            <w:pPr>
              <w:widowControl/>
              <w:numPr>
                <w:ilvl w:val="0"/>
                <w:numId w:val="0"/>
              </w:numPr>
              <w:snapToGrid w:val="0"/>
              <w:spacing w:line="288" w:lineRule="auto"/>
              <w:jc w:val="left"/>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方案描述略欠缺、存在一定实施难度方案，得1分；</w:t>
            </w:r>
          </w:p>
          <w:p>
            <w:pPr>
              <w:widowControl/>
              <w:numPr>
                <w:ilvl w:val="0"/>
                <w:numId w:val="0"/>
              </w:numPr>
              <w:snapToGrid w:val="0"/>
              <w:spacing w:line="288" w:lineRule="auto"/>
              <w:jc w:val="left"/>
              <w:rPr>
                <w:rFonts w:hint="eastAsia" w:ascii="宋体" w:hAnsi="宋体" w:cs="宋体"/>
                <w:b/>
                <w:bCs/>
                <w:color w:val="000000"/>
                <w:sz w:val="21"/>
                <w:szCs w:val="21"/>
                <w:lang w:val="en-US" w:eastAsia="zh-CN"/>
              </w:rPr>
            </w:pPr>
            <w:r>
              <w:rPr>
                <w:rFonts w:hint="eastAsia" w:ascii="宋体" w:hAnsi="宋体" w:cs="宋体"/>
                <w:b w:val="0"/>
                <w:bCs w:val="0"/>
                <w:color w:val="000000"/>
                <w:sz w:val="21"/>
                <w:szCs w:val="21"/>
                <w:lang w:val="en-US" w:eastAsia="zh-CN"/>
              </w:rPr>
              <w:t xml:space="preserve">不提供不得分。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37" w:hRule="atLeast"/>
        </w:trPr>
        <w:tc>
          <w:tcPr>
            <w:tcW w:w="834" w:type="pct"/>
            <w:vMerge w:val="continue"/>
            <w:noWrap w:val="0"/>
            <w:vAlign w:val="center"/>
          </w:tcPr>
          <w:p>
            <w:pPr>
              <w:keepNext w:val="0"/>
              <w:keepLines w:val="0"/>
              <w:pageBreakBefore w:val="0"/>
              <w:kinsoku/>
              <w:wordWrap/>
              <w:overflowPunct/>
              <w:topLinePunct w:val="0"/>
              <w:autoSpaceDE/>
              <w:autoSpaceDN/>
              <w:bidi w:val="0"/>
              <w:spacing w:line="440" w:lineRule="exact"/>
              <w:ind w:left="0" w:right="0" w:firstLine="0" w:firstLineChars="0"/>
              <w:jc w:val="center"/>
              <w:textAlignment w:val="auto"/>
              <w:rPr>
                <w:rFonts w:hint="eastAsia" w:ascii="宋体" w:hAnsi="宋体" w:eastAsia="宋体" w:cs="宋体"/>
                <w:color w:val="000000"/>
                <w:sz w:val="21"/>
                <w:szCs w:val="21"/>
                <w:highlight w:val="none"/>
              </w:rPr>
            </w:pPr>
          </w:p>
        </w:tc>
        <w:tc>
          <w:tcPr>
            <w:tcW w:w="4165" w:type="pct"/>
            <w:noWrap w:val="0"/>
            <w:vAlign w:val="center"/>
          </w:tcPr>
          <w:p>
            <w:pPr>
              <w:widowControl/>
              <w:numPr>
                <w:ilvl w:val="0"/>
                <w:numId w:val="0"/>
              </w:numPr>
              <w:snapToGrid w:val="0"/>
              <w:spacing w:line="288" w:lineRule="auto"/>
              <w:jc w:val="left"/>
              <w:rPr>
                <w:rFonts w:hint="eastAsia" w:ascii="宋体" w:hAnsi="宋体" w:cs="宋体"/>
                <w:b/>
                <w:bCs/>
                <w:color w:val="000000"/>
                <w:sz w:val="21"/>
                <w:szCs w:val="21"/>
                <w:lang w:val="en-US" w:eastAsia="zh-CN"/>
              </w:rPr>
            </w:pPr>
            <w:r>
              <w:rPr>
                <w:rFonts w:hint="eastAsia" w:ascii="宋体" w:hAnsi="宋体" w:cs="宋体"/>
                <w:b/>
                <w:bCs/>
                <w:color w:val="000000"/>
                <w:sz w:val="21"/>
                <w:szCs w:val="21"/>
                <w:lang w:val="en-US" w:eastAsia="zh-CN"/>
              </w:rPr>
              <w:t>3、人员招聘与培训方案：供应商根据项目需求提供的人员招聘与培训方案。（10分）</w:t>
            </w:r>
          </w:p>
          <w:p>
            <w:pPr>
              <w:widowControl/>
              <w:numPr>
                <w:ilvl w:val="0"/>
                <w:numId w:val="0"/>
              </w:numPr>
              <w:snapToGrid w:val="0"/>
              <w:spacing w:line="288" w:lineRule="auto"/>
              <w:jc w:val="left"/>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方案严密、合理，描述详细具有针对性，得10分；</w:t>
            </w:r>
          </w:p>
          <w:p>
            <w:pPr>
              <w:widowControl/>
              <w:numPr>
                <w:ilvl w:val="0"/>
                <w:numId w:val="0"/>
              </w:numPr>
              <w:snapToGrid w:val="0"/>
              <w:spacing w:line="288" w:lineRule="auto"/>
              <w:jc w:val="left"/>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方案较合理、严密、描述较为详细，不存在实施难度，得7分；</w:t>
            </w:r>
          </w:p>
          <w:p>
            <w:pPr>
              <w:widowControl/>
              <w:numPr>
                <w:ilvl w:val="0"/>
                <w:numId w:val="0"/>
              </w:numPr>
              <w:snapToGrid w:val="0"/>
              <w:spacing w:line="288" w:lineRule="auto"/>
              <w:jc w:val="left"/>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方案基本合理、描述简单，存在可操作性，得4分；</w:t>
            </w:r>
          </w:p>
          <w:p>
            <w:pPr>
              <w:widowControl/>
              <w:numPr>
                <w:ilvl w:val="0"/>
                <w:numId w:val="0"/>
              </w:numPr>
              <w:snapToGrid w:val="0"/>
              <w:spacing w:line="288" w:lineRule="auto"/>
              <w:jc w:val="left"/>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方案描述略欠缺、存在一定实施难度方案，得1分；</w:t>
            </w:r>
          </w:p>
          <w:p>
            <w:pPr>
              <w:widowControl/>
              <w:numPr>
                <w:ilvl w:val="0"/>
                <w:numId w:val="0"/>
              </w:numPr>
              <w:snapToGrid w:val="0"/>
              <w:spacing w:line="288" w:lineRule="auto"/>
              <w:jc w:val="left"/>
              <w:rPr>
                <w:rFonts w:hint="eastAsia"/>
                <w:sz w:val="20"/>
                <w:szCs w:val="21"/>
              </w:rPr>
            </w:pPr>
            <w:r>
              <w:rPr>
                <w:rFonts w:hint="eastAsia" w:ascii="宋体" w:hAnsi="宋体" w:cs="宋体"/>
                <w:b w:val="0"/>
                <w:bCs w:val="0"/>
                <w:color w:val="000000"/>
                <w:sz w:val="21"/>
                <w:szCs w:val="21"/>
                <w:lang w:val="en-US" w:eastAsia="zh-CN"/>
              </w:rPr>
              <w:t xml:space="preserve">不提供不得分。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47" w:hRule="atLeast"/>
        </w:trPr>
        <w:tc>
          <w:tcPr>
            <w:tcW w:w="834" w:type="pct"/>
            <w:vMerge w:val="continue"/>
            <w:noWrap w:val="0"/>
            <w:vAlign w:val="center"/>
          </w:tcPr>
          <w:p>
            <w:pPr>
              <w:keepNext w:val="0"/>
              <w:keepLines w:val="0"/>
              <w:pageBreakBefore w:val="0"/>
              <w:kinsoku/>
              <w:wordWrap/>
              <w:overflowPunct/>
              <w:topLinePunct w:val="0"/>
              <w:autoSpaceDE/>
              <w:autoSpaceDN/>
              <w:bidi w:val="0"/>
              <w:spacing w:line="440" w:lineRule="exact"/>
              <w:ind w:left="0" w:right="0" w:firstLine="0" w:firstLineChars="0"/>
              <w:jc w:val="center"/>
              <w:textAlignment w:val="auto"/>
              <w:rPr>
                <w:rFonts w:hint="eastAsia" w:ascii="宋体" w:hAnsi="宋体" w:eastAsia="宋体" w:cs="宋体"/>
                <w:color w:val="000000"/>
                <w:sz w:val="21"/>
                <w:szCs w:val="21"/>
                <w:highlight w:val="none"/>
              </w:rPr>
            </w:pPr>
          </w:p>
        </w:tc>
        <w:tc>
          <w:tcPr>
            <w:tcW w:w="4165" w:type="pct"/>
            <w:tcBorders>
              <w:bottom w:val="single" w:color="auto" w:sz="4" w:space="0"/>
            </w:tcBorders>
            <w:noWrap w:val="0"/>
            <w:vAlign w:val="center"/>
          </w:tcPr>
          <w:p>
            <w:pPr>
              <w:widowControl/>
              <w:numPr>
                <w:ilvl w:val="0"/>
                <w:numId w:val="0"/>
              </w:numPr>
              <w:snapToGrid w:val="0"/>
              <w:spacing w:line="288" w:lineRule="auto"/>
              <w:jc w:val="left"/>
              <w:rPr>
                <w:rFonts w:hint="eastAsia" w:ascii="宋体" w:hAnsi="宋体" w:cs="宋体"/>
                <w:b/>
                <w:bCs/>
                <w:color w:val="000000"/>
                <w:sz w:val="21"/>
                <w:szCs w:val="21"/>
                <w:lang w:val="en-US" w:eastAsia="zh-CN"/>
              </w:rPr>
            </w:pPr>
            <w:r>
              <w:rPr>
                <w:rFonts w:hint="eastAsia" w:ascii="宋体" w:hAnsi="宋体" w:cs="宋体"/>
                <w:b/>
                <w:bCs/>
                <w:color w:val="000000"/>
                <w:sz w:val="21"/>
                <w:szCs w:val="21"/>
                <w:lang w:val="en-US" w:eastAsia="zh-CN"/>
              </w:rPr>
              <w:t>4、服务质量控制及承诺：供应商根据项目需求提供的服务质量控制措施及服务承诺。（10分）</w:t>
            </w:r>
          </w:p>
          <w:p>
            <w:pPr>
              <w:widowControl/>
              <w:numPr>
                <w:ilvl w:val="0"/>
                <w:numId w:val="0"/>
              </w:numPr>
              <w:snapToGrid w:val="0"/>
              <w:spacing w:line="288" w:lineRule="auto"/>
              <w:jc w:val="left"/>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方案严密、合理，描述详细具有针对性，得10分；</w:t>
            </w:r>
          </w:p>
          <w:p>
            <w:pPr>
              <w:widowControl/>
              <w:numPr>
                <w:ilvl w:val="0"/>
                <w:numId w:val="0"/>
              </w:numPr>
              <w:snapToGrid w:val="0"/>
              <w:spacing w:line="288" w:lineRule="auto"/>
              <w:jc w:val="left"/>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方案较合理、严密、描述较为详细，不存在实施难度，得7分；</w:t>
            </w:r>
          </w:p>
          <w:p>
            <w:pPr>
              <w:widowControl/>
              <w:numPr>
                <w:ilvl w:val="0"/>
                <w:numId w:val="0"/>
              </w:numPr>
              <w:snapToGrid w:val="0"/>
              <w:spacing w:line="288" w:lineRule="auto"/>
              <w:jc w:val="left"/>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方案基本合理、描述简单，存在可操作性，得4分；</w:t>
            </w:r>
          </w:p>
          <w:p>
            <w:pPr>
              <w:widowControl/>
              <w:numPr>
                <w:ilvl w:val="0"/>
                <w:numId w:val="0"/>
              </w:numPr>
              <w:snapToGrid w:val="0"/>
              <w:spacing w:line="288" w:lineRule="auto"/>
              <w:jc w:val="left"/>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方案描述略欠缺、存在一定实施难度方案，得1分；</w:t>
            </w:r>
          </w:p>
          <w:p>
            <w:pPr>
              <w:widowControl/>
              <w:numPr>
                <w:ilvl w:val="0"/>
                <w:numId w:val="0"/>
              </w:numPr>
              <w:snapToGrid w:val="0"/>
              <w:spacing w:line="288" w:lineRule="auto"/>
              <w:jc w:val="left"/>
              <w:rPr>
                <w:rFonts w:hint="eastAsia"/>
                <w:sz w:val="20"/>
                <w:szCs w:val="21"/>
              </w:rPr>
            </w:pPr>
            <w:r>
              <w:rPr>
                <w:rFonts w:hint="eastAsia" w:ascii="宋体" w:hAnsi="宋体" w:cs="宋体"/>
                <w:b w:val="0"/>
                <w:bCs w:val="0"/>
                <w:color w:val="000000"/>
                <w:sz w:val="21"/>
                <w:szCs w:val="21"/>
                <w:lang w:val="en-US" w:eastAsia="zh-CN"/>
              </w:rPr>
              <w:t>不提供不得分。</w:t>
            </w:r>
            <w:r>
              <w:rPr>
                <w:rFonts w:hint="eastAsia" w:ascii="宋体" w:hAnsi="宋体" w:cs="宋体"/>
                <w:b/>
                <w:bCs/>
                <w:color w:val="000000"/>
                <w:sz w:val="21"/>
                <w:szCs w:val="21"/>
                <w:lang w:val="en-US" w:eastAsia="zh-CN"/>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94" w:hRule="atLeast"/>
        </w:trPr>
        <w:tc>
          <w:tcPr>
            <w:tcW w:w="834" w:type="pct"/>
            <w:vMerge w:val="continue"/>
            <w:noWrap w:val="0"/>
            <w:vAlign w:val="center"/>
          </w:tcPr>
          <w:p>
            <w:pPr>
              <w:keepNext w:val="0"/>
              <w:keepLines w:val="0"/>
              <w:pageBreakBefore w:val="0"/>
              <w:kinsoku/>
              <w:wordWrap/>
              <w:overflowPunct/>
              <w:topLinePunct w:val="0"/>
              <w:autoSpaceDE/>
              <w:autoSpaceDN/>
              <w:bidi w:val="0"/>
              <w:spacing w:line="440" w:lineRule="exact"/>
              <w:ind w:left="0" w:right="0" w:firstLine="0" w:firstLineChars="0"/>
              <w:jc w:val="center"/>
              <w:textAlignment w:val="auto"/>
              <w:rPr>
                <w:rFonts w:hint="eastAsia" w:ascii="宋体" w:hAnsi="宋体" w:eastAsia="宋体" w:cs="宋体"/>
                <w:color w:val="000000"/>
                <w:sz w:val="21"/>
                <w:szCs w:val="21"/>
                <w:highlight w:val="none"/>
              </w:rPr>
            </w:pPr>
          </w:p>
        </w:tc>
        <w:tc>
          <w:tcPr>
            <w:tcW w:w="4165" w:type="pct"/>
            <w:tcBorders>
              <w:bottom w:val="single" w:color="auto" w:sz="4" w:space="0"/>
            </w:tcBorders>
            <w:noWrap w:val="0"/>
            <w:vAlign w:val="center"/>
          </w:tcPr>
          <w:p>
            <w:pPr>
              <w:widowControl/>
              <w:numPr>
                <w:ilvl w:val="0"/>
                <w:numId w:val="0"/>
              </w:numPr>
              <w:snapToGrid w:val="0"/>
              <w:spacing w:line="288" w:lineRule="auto"/>
              <w:jc w:val="left"/>
              <w:rPr>
                <w:rFonts w:hint="eastAsia" w:ascii="宋体" w:hAnsi="宋体" w:cs="宋体"/>
                <w:b/>
                <w:bCs/>
                <w:color w:val="000000"/>
                <w:sz w:val="21"/>
                <w:szCs w:val="21"/>
                <w:lang w:val="en-US" w:eastAsia="zh-CN"/>
              </w:rPr>
            </w:pPr>
            <w:r>
              <w:rPr>
                <w:rFonts w:hint="eastAsia" w:ascii="宋体" w:hAnsi="宋体" w:cs="宋体"/>
                <w:b/>
                <w:bCs/>
                <w:color w:val="000000"/>
                <w:sz w:val="21"/>
                <w:szCs w:val="21"/>
                <w:lang w:val="en-US" w:eastAsia="zh-CN"/>
              </w:rPr>
              <w:t>5、劳动合同管理、薪酬福利管理、激励惩戒方案：供应商依法签订并执行劳动合同、完善薪酬福利管理制度、建立工作激励和惩戒机制等。（10分）</w:t>
            </w:r>
          </w:p>
          <w:p>
            <w:pPr>
              <w:widowControl/>
              <w:numPr>
                <w:ilvl w:val="0"/>
                <w:numId w:val="0"/>
              </w:numPr>
              <w:snapToGrid w:val="0"/>
              <w:spacing w:line="288" w:lineRule="auto"/>
              <w:jc w:val="left"/>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方案严密、合理，描述详细具有针对性，得10分；</w:t>
            </w:r>
          </w:p>
          <w:p>
            <w:pPr>
              <w:widowControl/>
              <w:numPr>
                <w:ilvl w:val="0"/>
                <w:numId w:val="0"/>
              </w:numPr>
              <w:snapToGrid w:val="0"/>
              <w:spacing w:line="288" w:lineRule="auto"/>
              <w:jc w:val="left"/>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方案较合理、严密、描述较为详细，不存在实施难度，得7分；</w:t>
            </w:r>
          </w:p>
          <w:p>
            <w:pPr>
              <w:widowControl/>
              <w:numPr>
                <w:ilvl w:val="0"/>
                <w:numId w:val="0"/>
              </w:numPr>
              <w:snapToGrid w:val="0"/>
              <w:spacing w:line="288" w:lineRule="auto"/>
              <w:jc w:val="left"/>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方案基本合理、描述简单，存在可操作性，得4分；</w:t>
            </w:r>
          </w:p>
          <w:p>
            <w:pPr>
              <w:widowControl/>
              <w:numPr>
                <w:ilvl w:val="0"/>
                <w:numId w:val="0"/>
              </w:numPr>
              <w:snapToGrid w:val="0"/>
              <w:spacing w:line="288" w:lineRule="auto"/>
              <w:jc w:val="left"/>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方案描述略欠缺、存在一定实施难度方案，得1分；</w:t>
            </w:r>
          </w:p>
          <w:p>
            <w:pPr>
              <w:widowControl/>
              <w:numPr>
                <w:ilvl w:val="0"/>
                <w:numId w:val="0"/>
              </w:numPr>
              <w:snapToGrid w:val="0"/>
              <w:spacing w:line="288" w:lineRule="auto"/>
              <w:jc w:val="left"/>
              <w:rPr>
                <w:rFonts w:hint="eastAsia"/>
                <w:sz w:val="20"/>
                <w:szCs w:val="21"/>
              </w:rPr>
            </w:pPr>
            <w:r>
              <w:rPr>
                <w:rFonts w:hint="eastAsia" w:ascii="宋体" w:hAnsi="宋体" w:cs="宋体"/>
                <w:b w:val="0"/>
                <w:bCs w:val="0"/>
                <w:color w:val="000000"/>
                <w:sz w:val="21"/>
                <w:szCs w:val="21"/>
                <w:lang w:val="en-US" w:eastAsia="zh-CN"/>
              </w:rPr>
              <w:t>不提供不得分。</w:t>
            </w:r>
            <w:r>
              <w:rPr>
                <w:rFonts w:hint="eastAsia" w:ascii="宋体" w:hAnsi="宋体" w:cs="宋体"/>
                <w:b/>
                <w:bCs/>
                <w:color w:val="000000"/>
                <w:sz w:val="21"/>
                <w:szCs w:val="21"/>
                <w:lang w:val="en-US" w:eastAsia="zh-CN"/>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3" w:hRule="atLeast"/>
        </w:trPr>
        <w:tc>
          <w:tcPr>
            <w:tcW w:w="834" w:type="pct"/>
            <w:tcBorders>
              <w:right w:val="single" w:color="auto" w:sz="4" w:space="0"/>
            </w:tcBorders>
            <w:noWrap w:val="0"/>
            <w:vAlign w:val="center"/>
          </w:tcPr>
          <w:p>
            <w:pPr>
              <w:pStyle w:val="356"/>
              <w:keepNext w:val="0"/>
              <w:keepLines w:val="0"/>
              <w:pageBreakBefore w:val="0"/>
              <w:kinsoku/>
              <w:wordWrap/>
              <w:overflowPunct/>
              <w:topLinePunct w:val="0"/>
              <w:autoSpaceDE/>
              <w:autoSpaceDN/>
              <w:bidi w:val="0"/>
              <w:spacing w:line="440" w:lineRule="exact"/>
              <w:ind w:left="0" w:right="0" w:firstLine="0" w:firstLineChars="0"/>
              <w:jc w:val="center"/>
              <w:textAlignment w:va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合理化</w:t>
            </w:r>
          </w:p>
          <w:p>
            <w:pPr>
              <w:pStyle w:val="356"/>
              <w:keepNext w:val="0"/>
              <w:keepLines w:val="0"/>
              <w:pageBreakBefore w:val="0"/>
              <w:kinsoku/>
              <w:wordWrap/>
              <w:overflowPunct/>
              <w:topLinePunct w:val="0"/>
              <w:autoSpaceDE/>
              <w:autoSpaceDN/>
              <w:bidi w:val="0"/>
              <w:spacing w:line="440" w:lineRule="exact"/>
              <w:ind w:left="0" w:right="0" w:firstLine="0" w:firstLineChars="0"/>
              <w:jc w:val="center"/>
              <w:textAlignment w:va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建议</w:t>
            </w:r>
          </w:p>
          <w:p>
            <w:pPr>
              <w:pStyle w:val="356"/>
              <w:keepNext w:val="0"/>
              <w:keepLines w:val="0"/>
              <w:pageBreakBefore w:val="0"/>
              <w:kinsoku/>
              <w:wordWrap/>
              <w:overflowPunct/>
              <w:topLinePunct w:val="0"/>
              <w:autoSpaceDE/>
              <w:autoSpaceDN/>
              <w:bidi w:val="0"/>
              <w:spacing w:line="440" w:lineRule="exact"/>
              <w:ind w:left="0" w:right="0" w:firstLine="0" w:firstLineChars="0"/>
              <w:jc w:val="center"/>
              <w:textAlignment w:val="auto"/>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w:t>
            </w:r>
            <w:r>
              <w:rPr>
                <w:rFonts w:hint="eastAsia" w:ascii="宋体" w:hAnsi="宋体" w:cs="宋体"/>
                <w:b/>
                <w:bCs/>
                <w:color w:val="000000"/>
                <w:sz w:val="21"/>
                <w:szCs w:val="21"/>
                <w:highlight w:val="none"/>
                <w:lang w:val="en-US" w:eastAsia="zh-CN"/>
              </w:rPr>
              <w:t>7</w:t>
            </w:r>
            <w:r>
              <w:rPr>
                <w:rFonts w:hint="eastAsia" w:ascii="宋体" w:hAnsi="宋体" w:eastAsia="宋体" w:cs="宋体"/>
                <w:b/>
                <w:bCs/>
                <w:color w:val="000000"/>
                <w:sz w:val="21"/>
                <w:szCs w:val="21"/>
                <w:highlight w:val="none"/>
                <w:lang w:val="en-US" w:eastAsia="zh-CN"/>
              </w:rPr>
              <w:t>分）</w:t>
            </w:r>
          </w:p>
        </w:tc>
        <w:tc>
          <w:tcPr>
            <w:tcW w:w="4165" w:type="pct"/>
            <w:tcBorders>
              <w:top w:val="single" w:color="auto" w:sz="4" w:space="0"/>
              <w:left w:val="single" w:color="auto" w:sz="4" w:space="0"/>
              <w:bottom w:val="single" w:color="auto" w:sz="4" w:space="0"/>
            </w:tcBorders>
            <w:noWrap w:val="0"/>
            <w:vAlign w:val="top"/>
          </w:tcPr>
          <w:p>
            <w:pPr>
              <w:widowControl/>
              <w:numPr>
                <w:ilvl w:val="0"/>
                <w:numId w:val="0"/>
              </w:numPr>
              <w:snapToGrid w:val="0"/>
              <w:spacing w:line="288" w:lineRule="auto"/>
              <w:jc w:val="left"/>
              <w:rPr>
                <w:rFonts w:hint="eastAsia" w:ascii="宋体" w:hAnsi="宋体" w:cs="宋体"/>
                <w:b/>
                <w:bCs/>
                <w:color w:val="000000"/>
                <w:sz w:val="21"/>
                <w:szCs w:val="21"/>
                <w:lang w:val="en-US" w:eastAsia="zh-CN"/>
              </w:rPr>
            </w:pPr>
            <w:r>
              <w:rPr>
                <w:rFonts w:hint="eastAsia" w:ascii="宋体" w:hAnsi="宋体" w:cs="宋体"/>
                <w:b/>
                <w:bCs/>
                <w:color w:val="000000"/>
                <w:sz w:val="21"/>
                <w:szCs w:val="21"/>
                <w:lang w:val="en-US" w:eastAsia="zh-CN"/>
              </w:rPr>
              <w:t>依据</w:t>
            </w:r>
            <w:r>
              <w:rPr>
                <w:rFonts w:hint="eastAsia" w:ascii="宋体" w:hAnsi="宋体" w:eastAsia="宋体" w:cs="宋体"/>
                <w:b/>
                <w:bCs/>
                <w:snapToGrid/>
                <w:color w:val="000000"/>
                <w:kern w:val="0"/>
                <w:sz w:val="21"/>
                <w:szCs w:val="21"/>
                <w:highlight w:val="none"/>
                <w:lang w:val="en-US" w:eastAsia="zh-CN" w:bidi="ar-SA"/>
              </w:rPr>
              <w:t>供应商</w:t>
            </w:r>
            <w:r>
              <w:rPr>
                <w:rFonts w:hint="eastAsia" w:ascii="宋体" w:hAnsi="宋体" w:cs="宋体"/>
                <w:b/>
                <w:bCs/>
                <w:color w:val="000000"/>
                <w:sz w:val="21"/>
                <w:szCs w:val="21"/>
                <w:lang w:val="en-US" w:eastAsia="zh-CN"/>
              </w:rPr>
              <w:t>根据项目特点提供的合理化建议方案综合评审。（7分）</w:t>
            </w:r>
          </w:p>
          <w:p>
            <w:pPr>
              <w:widowControl/>
              <w:numPr>
                <w:ilvl w:val="0"/>
                <w:numId w:val="0"/>
              </w:numPr>
              <w:snapToGrid w:val="0"/>
              <w:spacing w:line="288" w:lineRule="auto"/>
              <w:jc w:val="left"/>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提供的合理化建议符合采购人需求，贴合度高，实用性强的得7分；</w:t>
            </w:r>
          </w:p>
          <w:p>
            <w:pPr>
              <w:widowControl/>
              <w:numPr>
                <w:ilvl w:val="0"/>
                <w:numId w:val="0"/>
              </w:numPr>
              <w:snapToGrid w:val="0"/>
              <w:spacing w:line="288" w:lineRule="auto"/>
              <w:jc w:val="left"/>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提供的合理化建议较符合采购人需求，实用性较强的得4分；</w:t>
            </w:r>
          </w:p>
          <w:p>
            <w:pPr>
              <w:widowControl/>
              <w:numPr>
                <w:ilvl w:val="0"/>
                <w:numId w:val="0"/>
              </w:numPr>
              <w:snapToGrid w:val="0"/>
              <w:spacing w:line="288" w:lineRule="auto"/>
              <w:jc w:val="left"/>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提供的合理化建议尚能符合采购人需求，实用性一般的得1分；</w:t>
            </w:r>
          </w:p>
          <w:p>
            <w:pPr>
              <w:widowControl/>
              <w:numPr>
                <w:ilvl w:val="0"/>
                <w:numId w:val="0"/>
              </w:numPr>
              <w:snapToGrid w:val="0"/>
              <w:spacing w:line="288" w:lineRule="auto"/>
              <w:jc w:val="left"/>
              <w:rPr>
                <w:rFonts w:hint="eastAsia" w:ascii="宋体" w:hAnsi="宋体"/>
                <w:sz w:val="21"/>
                <w:szCs w:val="21"/>
                <w:highlight w:val="none"/>
              </w:rPr>
            </w:pPr>
            <w:r>
              <w:rPr>
                <w:rFonts w:hint="eastAsia" w:ascii="宋体" w:hAnsi="宋体" w:cs="宋体"/>
                <w:b w:val="0"/>
                <w:bCs w:val="0"/>
                <w:color w:val="000000"/>
                <w:sz w:val="21"/>
                <w:szCs w:val="21"/>
                <w:lang w:val="en-US" w:eastAsia="zh-CN"/>
              </w:rPr>
              <w:t>不提供不得分。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3" w:hRule="atLeast"/>
        </w:trPr>
        <w:tc>
          <w:tcPr>
            <w:tcW w:w="834" w:type="pct"/>
            <w:vMerge w:val="restart"/>
            <w:tcBorders>
              <w:right w:val="single" w:color="auto" w:sz="4" w:space="0"/>
            </w:tcBorders>
            <w:noWrap w:val="0"/>
            <w:vAlign w:val="center"/>
          </w:tcPr>
          <w:p>
            <w:pPr>
              <w:pStyle w:val="356"/>
              <w:keepNext w:val="0"/>
              <w:keepLines w:val="0"/>
              <w:pageBreakBefore w:val="0"/>
              <w:kinsoku/>
              <w:wordWrap/>
              <w:overflowPunct/>
              <w:topLinePunct w:val="0"/>
              <w:autoSpaceDE/>
              <w:autoSpaceDN/>
              <w:bidi w:val="0"/>
              <w:spacing w:line="440" w:lineRule="exact"/>
              <w:ind w:left="0" w:right="0" w:firstLine="0" w:firstLineChars="0"/>
              <w:jc w:val="center"/>
              <w:textAlignment w:val="auto"/>
              <w:rPr>
                <w:rFonts w:hint="default"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人员保障            （2</w:t>
            </w:r>
            <w:r>
              <w:rPr>
                <w:rFonts w:hint="eastAsia" w:ascii="宋体" w:hAnsi="宋体" w:cs="宋体"/>
                <w:b/>
                <w:bCs/>
                <w:color w:val="000000"/>
                <w:sz w:val="21"/>
                <w:szCs w:val="21"/>
                <w:highlight w:val="none"/>
                <w:lang w:val="en-US" w:eastAsia="zh-CN"/>
              </w:rPr>
              <w:t>3</w:t>
            </w:r>
            <w:r>
              <w:rPr>
                <w:rFonts w:hint="eastAsia" w:ascii="宋体" w:hAnsi="宋体" w:eastAsia="宋体" w:cs="宋体"/>
                <w:b/>
                <w:bCs/>
                <w:color w:val="000000"/>
                <w:sz w:val="21"/>
                <w:szCs w:val="21"/>
                <w:highlight w:val="none"/>
                <w:lang w:val="en-US" w:eastAsia="zh-CN"/>
              </w:rPr>
              <w:t>分）</w:t>
            </w:r>
          </w:p>
        </w:tc>
        <w:tc>
          <w:tcPr>
            <w:tcW w:w="4165" w:type="pct"/>
            <w:tcBorders>
              <w:top w:val="single" w:color="auto" w:sz="4" w:space="0"/>
              <w:left w:val="single" w:color="auto" w:sz="4" w:space="0"/>
              <w:bottom w:val="single" w:color="auto" w:sz="4" w:space="0"/>
            </w:tcBorders>
            <w:noWrap w:val="0"/>
            <w:vAlign w:val="top"/>
          </w:tcPr>
          <w:p>
            <w:pPr>
              <w:widowControl/>
              <w:numPr>
                <w:ilvl w:val="0"/>
                <w:numId w:val="0"/>
              </w:numPr>
              <w:snapToGrid w:val="0"/>
              <w:spacing w:line="288" w:lineRule="auto"/>
              <w:jc w:val="left"/>
              <w:rPr>
                <w:rFonts w:hint="eastAsia" w:ascii="宋体" w:hAnsi="宋体" w:cs="宋体"/>
                <w:b/>
                <w:bCs/>
                <w:color w:val="000000"/>
                <w:sz w:val="21"/>
                <w:szCs w:val="21"/>
                <w:lang w:val="en-US" w:eastAsia="zh-CN"/>
              </w:rPr>
            </w:pPr>
            <w:r>
              <w:rPr>
                <w:rFonts w:hint="eastAsia" w:ascii="宋体" w:hAnsi="宋体" w:cs="宋体"/>
                <w:b/>
                <w:bCs/>
                <w:color w:val="000000"/>
                <w:sz w:val="21"/>
                <w:szCs w:val="21"/>
                <w:lang w:val="en-US" w:eastAsia="zh-CN"/>
              </w:rPr>
              <w:t>项目负责人：</w:t>
            </w:r>
          </w:p>
          <w:p>
            <w:pPr>
              <w:widowControl/>
              <w:numPr>
                <w:ilvl w:val="0"/>
                <w:numId w:val="0"/>
              </w:numPr>
              <w:snapToGrid w:val="0"/>
              <w:spacing w:line="288" w:lineRule="auto"/>
              <w:jc w:val="left"/>
              <w:rPr>
                <w:rFonts w:hint="eastAsia" w:ascii="宋体" w:hAnsi="宋体" w:eastAsia="宋体" w:cs="宋体"/>
                <w:color w:val="000000"/>
                <w:kern w:val="0"/>
                <w:sz w:val="20"/>
                <w:szCs w:val="20"/>
                <w:highlight w:val="none"/>
              </w:rPr>
            </w:pPr>
            <w:r>
              <w:rPr>
                <w:rFonts w:hint="eastAsia" w:ascii="宋体" w:hAnsi="宋体" w:cs="宋体"/>
                <w:b w:val="0"/>
                <w:bCs w:val="0"/>
                <w:color w:val="000000"/>
                <w:sz w:val="21"/>
                <w:szCs w:val="21"/>
                <w:lang w:val="en-US" w:eastAsia="zh-CN"/>
              </w:rPr>
              <w:t>项目负责人具备企业人力资源管理师一级(或高级人力资源管理师)证书的，得5分；具备企业人力资源管理师二级(或中级人力资源管理师)证书的得3分；提供企业人力资源管理师三级(或助理人力资源管理师)证书得1分；本项满分5分。</w:t>
            </w:r>
            <w:r>
              <w:rPr>
                <w:rFonts w:hint="eastAsia" w:ascii="宋体" w:hAnsi="宋体" w:cs="宋体"/>
                <w:b/>
                <w:bCs/>
                <w:color w:val="000000"/>
                <w:sz w:val="21"/>
                <w:szCs w:val="21"/>
                <w:highlight w:val="none"/>
                <w:lang w:val="en-US" w:eastAsia="zh-CN"/>
              </w:rPr>
              <w:t>（提供证书原件扫描上传）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3" w:hRule="atLeast"/>
        </w:trPr>
        <w:tc>
          <w:tcPr>
            <w:tcW w:w="834" w:type="pct"/>
            <w:vMerge w:val="continue"/>
            <w:tcBorders>
              <w:right w:val="single" w:color="auto" w:sz="4" w:space="0"/>
            </w:tcBorders>
            <w:noWrap w:val="0"/>
            <w:vAlign w:val="center"/>
          </w:tcPr>
          <w:p>
            <w:pPr>
              <w:pStyle w:val="356"/>
              <w:keepNext w:val="0"/>
              <w:keepLines w:val="0"/>
              <w:pageBreakBefore w:val="0"/>
              <w:kinsoku/>
              <w:wordWrap/>
              <w:overflowPunct/>
              <w:topLinePunct w:val="0"/>
              <w:autoSpaceDE/>
              <w:autoSpaceDN/>
              <w:bidi w:val="0"/>
              <w:spacing w:line="440" w:lineRule="exact"/>
              <w:ind w:left="0" w:right="0" w:firstLine="0" w:firstLineChars="0"/>
              <w:jc w:val="center"/>
              <w:textAlignment w:val="auto"/>
              <w:rPr>
                <w:rFonts w:hint="default" w:ascii="宋体" w:hAnsi="宋体" w:eastAsia="宋体" w:cs="宋体"/>
                <w:color w:val="000000"/>
                <w:sz w:val="21"/>
                <w:szCs w:val="21"/>
                <w:highlight w:val="none"/>
                <w:lang w:val="en-US" w:eastAsia="zh-CN"/>
              </w:rPr>
            </w:pPr>
          </w:p>
        </w:tc>
        <w:tc>
          <w:tcPr>
            <w:tcW w:w="4165" w:type="pct"/>
            <w:tcBorders>
              <w:top w:val="single" w:color="auto" w:sz="4" w:space="0"/>
              <w:left w:val="single" w:color="auto" w:sz="4" w:space="0"/>
              <w:bottom w:val="single" w:color="auto" w:sz="4" w:space="0"/>
            </w:tcBorders>
            <w:noWrap w:val="0"/>
            <w:vAlign w:val="top"/>
          </w:tcPr>
          <w:p>
            <w:pPr>
              <w:widowControl/>
              <w:numPr>
                <w:ilvl w:val="0"/>
                <w:numId w:val="0"/>
              </w:numPr>
              <w:snapToGrid w:val="0"/>
              <w:spacing w:line="288" w:lineRule="auto"/>
              <w:jc w:val="left"/>
              <w:rPr>
                <w:rFonts w:hint="eastAsia" w:ascii="宋体" w:hAnsi="宋体" w:cs="宋体"/>
                <w:b/>
                <w:bCs/>
                <w:color w:val="000000"/>
                <w:sz w:val="21"/>
                <w:szCs w:val="21"/>
                <w:lang w:val="en-US" w:eastAsia="zh-CN"/>
              </w:rPr>
            </w:pPr>
            <w:r>
              <w:rPr>
                <w:rFonts w:hint="eastAsia" w:ascii="宋体" w:hAnsi="宋体" w:cs="宋体"/>
                <w:b/>
                <w:bCs/>
                <w:color w:val="000000"/>
                <w:sz w:val="21"/>
                <w:szCs w:val="21"/>
                <w:lang w:val="en-US" w:eastAsia="zh-CN"/>
              </w:rPr>
              <w:t>项目团队成员中（不含项目负责人）：</w:t>
            </w:r>
          </w:p>
          <w:p>
            <w:pPr>
              <w:widowControl/>
              <w:numPr>
                <w:ilvl w:val="0"/>
                <w:numId w:val="0"/>
              </w:numPr>
              <w:snapToGrid w:val="0"/>
              <w:spacing w:line="288" w:lineRule="auto"/>
              <w:jc w:val="left"/>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lang w:val="en-US" w:eastAsia="zh-CN"/>
              </w:rPr>
              <w:t>1、</w:t>
            </w:r>
            <w:r>
              <w:rPr>
                <w:rFonts w:hint="eastAsia" w:ascii="宋体" w:hAnsi="宋体" w:cs="宋体"/>
                <w:b w:val="0"/>
                <w:bCs w:val="0"/>
                <w:color w:val="000000"/>
                <w:sz w:val="21"/>
                <w:szCs w:val="21"/>
                <w:highlight w:val="none"/>
                <w:lang w:val="en-US" w:eastAsia="zh-CN"/>
              </w:rPr>
              <w:t>具有畜牧类或动物类专业大专或大专</w:t>
            </w:r>
            <w:r>
              <w:rPr>
                <w:rFonts w:hint="eastAsia" w:ascii="宋体" w:hAnsi="宋体" w:cs="宋体"/>
                <w:b w:val="0"/>
                <w:bCs w:val="0"/>
                <w:color w:val="000000"/>
                <w:sz w:val="21"/>
                <w:szCs w:val="21"/>
                <w:lang w:val="en-US" w:eastAsia="zh-CN"/>
              </w:rPr>
              <w:t>以上学历证书的，每提供1人得2分，最高得8分，不提供不得分。</w:t>
            </w:r>
            <w:r>
              <w:rPr>
                <w:rFonts w:hint="eastAsia" w:ascii="宋体" w:hAnsi="宋体" w:cs="宋体"/>
                <w:b/>
                <w:bCs/>
                <w:color w:val="000000"/>
                <w:sz w:val="21"/>
                <w:szCs w:val="21"/>
                <w:highlight w:val="none"/>
                <w:lang w:val="en-US" w:eastAsia="zh-CN"/>
              </w:rPr>
              <w:t>（提供证书原件扫描上传）</w:t>
            </w:r>
          </w:p>
          <w:p>
            <w:pPr>
              <w:widowControl/>
              <w:numPr>
                <w:ilvl w:val="0"/>
                <w:numId w:val="0"/>
              </w:numPr>
              <w:snapToGrid w:val="0"/>
              <w:spacing w:line="288" w:lineRule="auto"/>
              <w:jc w:val="left"/>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2、具有实验或检验员证书的，每提供1人得2分，最高得6分，不提供不得分。</w:t>
            </w:r>
            <w:r>
              <w:rPr>
                <w:rFonts w:hint="eastAsia" w:ascii="宋体" w:hAnsi="宋体" w:cs="宋体"/>
                <w:b/>
                <w:bCs/>
                <w:color w:val="000000"/>
                <w:sz w:val="21"/>
                <w:szCs w:val="21"/>
                <w:highlight w:val="none"/>
                <w:lang w:val="en-US" w:eastAsia="zh-CN"/>
              </w:rPr>
              <w:t>（提供证书原件扫描上传）</w:t>
            </w:r>
          </w:p>
          <w:p>
            <w:pPr>
              <w:widowControl/>
              <w:numPr>
                <w:ilvl w:val="0"/>
                <w:numId w:val="0"/>
              </w:numPr>
              <w:snapToGrid w:val="0"/>
              <w:spacing w:line="288" w:lineRule="auto"/>
              <w:jc w:val="left"/>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lang w:val="en-US" w:eastAsia="zh-CN"/>
              </w:rPr>
              <w:t>3、具</w:t>
            </w:r>
            <w:r>
              <w:rPr>
                <w:rFonts w:hint="eastAsia" w:ascii="宋体" w:hAnsi="宋体" w:cs="宋体"/>
                <w:b w:val="0"/>
                <w:bCs w:val="0"/>
                <w:color w:val="000000"/>
                <w:sz w:val="21"/>
                <w:szCs w:val="21"/>
                <w:highlight w:val="none"/>
                <w:lang w:val="en-US" w:eastAsia="zh-CN"/>
              </w:rPr>
              <w:t>有高压电工证的得2分，最高得2分，不提供不得分。</w:t>
            </w:r>
            <w:r>
              <w:rPr>
                <w:rFonts w:hint="eastAsia" w:ascii="宋体" w:hAnsi="宋体" w:cs="宋体"/>
                <w:b/>
                <w:bCs/>
                <w:color w:val="000000"/>
                <w:sz w:val="21"/>
                <w:szCs w:val="21"/>
                <w:highlight w:val="none"/>
                <w:lang w:val="en-US" w:eastAsia="zh-CN"/>
              </w:rPr>
              <w:t>（提供证书原件扫描上传）</w:t>
            </w:r>
          </w:p>
          <w:p>
            <w:pPr>
              <w:widowControl/>
              <w:numPr>
                <w:ilvl w:val="0"/>
                <w:numId w:val="0"/>
              </w:numPr>
              <w:snapToGrid w:val="0"/>
              <w:spacing w:line="288" w:lineRule="auto"/>
              <w:jc w:val="left"/>
              <w:rPr>
                <w:rFonts w:hint="default" w:ascii="宋体" w:hAnsi="宋体" w:eastAsia="宋体" w:cs="宋体"/>
                <w:color w:val="000000"/>
                <w:kern w:val="0"/>
                <w:sz w:val="20"/>
                <w:szCs w:val="20"/>
                <w:highlight w:val="none"/>
                <w:lang w:val="en-US" w:eastAsia="zh-CN"/>
              </w:rPr>
            </w:pPr>
            <w:r>
              <w:rPr>
                <w:rFonts w:hint="eastAsia" w:ascii="宋体" w:hAnsi="宋体" w:cs="宋体"/>
                <w:b w:val="0"/>
                <w:bCs w:val="0"/>
                <w:color w:val="000000"/>
                <w:sz w:val="21"/>
                <w:szCs w:val="21"/>
                <w:highlight w:val="none"/>
                <w:lang w:val="en-US" w:eastAsia="zh-CN"/>
              </w:rPr>
              <w:t>4、具有保安证的得2分，最高得2分，不提供不得分。</w:t>
            </w:r>
            <w:r>
              <w:rPr>
                <w:rFonts w:hint="eastAsia" w:ascii="宋体" w:hAnsi="宋体" w:cs="宋体"/>
                <w:b/>
                <w:bCs/>
                <w:color w:val="000000"/>
                <w:sz w:val="21"/>
                <w:szCs w:val="21"/>
                <w:highlight w:val="none"/>
                <w:lang w:val="en-US" w:eastAsia="zh-CN"/>
              </w:rPr>
              <w:t>（提供证书原件扫描上传）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3" w:hRule="atLeast"/>
        </w:trPr>
        <w:tc>
          <w:tcPr>
            <w:tcW w:w="834" w:type="pct"/>
            <w:tcBorders>
              <w:right w:val="single" w:color="auto" w:sz="4" w:space="0"/>
            </w:tcBorders>
            <w:noWrap w:val="0"/>
            <w:vAlign w:val="center"/>
          </w:tcPr>
          <w:p>
            <w:pPr>
              <w:pStyle w:val="356"/>
              <w:keepNext w:val="0"/>
              <w:keepLines w:val="0"/>
              <w:pageBreakBefore w:val="0"/>
              <w:kinsoku/>
              <w:wordWrap/>
              <w:overflowPunct/>
              <w:topLinePunct w:val="0"/>
              <w:autoSpaceDE/>
              <w:autoSpaceDN/>
              <w:bidi w:val="0"/>
              <w:spacing w:line="440" w:lineRule="exact"/>
              <w:ind w:left="0" w:right="0" w:firstLine="0" w:firstLineChars="0"/>
              <w:jc w:val="center"/>
              <w:textAlignment w:va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业绩</w:t>
            </w:r>
          </w:p>
          <w:p>
            <w:pPr>
              <w:pStyle w:val="356"/>
              <w:keepNext w:val="0"/>
              <w:keepLines w:val="0"/>
              <w:pageBreakBefore w:val="0"/>
              <w:kinsoku/>
              <w:wordWrap/>
              <w:overflowPunct/>
              <w:topLinePunct w:val="0"/>
              <w:autoSpaceDE/>
              <w:autoSpaceDN/>
              <w:bidi w:val="0"/>
              <w:spacing w:line="440" w:lineRule="exact"/>
              <w:ind w:left="0" w:right="0" w:firstLine="0" w:firstLineChars="0"/>
              <w:jc w:val="center"/>
              <w:textAlignment w:val="auto"/>
              <w:rPr>
                <w:rFonts w:hint="eastAsia" w:ascii="宋体" w:hAnsi="宋体" w:eastAsia="宋体" w:cs="宋体"/>
                <w:color w:val="000000"/>
                <w:sz w:val="21"/>
                <w:szCs w:val="21"/>
                <w:highlight w:val="none"/>
                <w:lang w:val="zh-CN"/>
              </w:rPr>
            </w:pPr>
            <w:r>
              <w:rPr>
                <w:rFonts w:hint="eastAsia" w:ascii="宋体" w:hAnsi="宋体" w:eastAsia="宋体" w:cs="宋体"/>
                <w:b/>
                <w:bCs/>
                <w:color w:val="000000"/>
                <w:sz w:val="21"/>
                <w:szCs w:val="21"/>
                <w:highlight w:val="none"/>
                <w:lang w:val="en-US" w:eastAsia="zh-CN"/>
              </w:rPr>
              <w:t>（10分）</w:t>
            </w:r>
          </w:p>
        </w:tc>
        <w:tc>
          <w:tcPr>
            <w:tcW w:w="4165" w:type="pct"/>
            <w:tcBorders>
              <w:top w:val="single" w:color="auto" w:sz="4" w:space="0"/>
              <w:left w:val="single" w:color="auto" w:sz="4" w:space="0"/>
            </w:tcBorders>
            <w:noWrap w:val="0"/>
            <w:vAlign w:val="center"/>
          </w:tcPr>
          <w:p>
            <w:pPr>
              <w:widowControl/>
              <w:numPr>
                <w:ilvl w:val="0"/>
                <w:numId w:val="0"/>
              </w:numPr>
              <w:snapToGrid w:val="0"/>
              <w:spacing w:line="288" w:lineRule="auto"/>
              <w:jc w:val="left"/>
              <w:rPr>
                <w:rFonts w:hint="eastAsia" w:ascii="宋体" w:hAnsi="宋体" w:eastAsia="宋体" w:cs="宋体"/>
                <w:color w:val="000000"/>
                <w:sz w:val="20"/>
                <w:szCs w:val="20"/>
                <w:highlight w:val="none"/>
              </w:rPr>
            </w:pPr>
            <w:r>
              <w:rPr>
                <w:rFonts w:hint="eastAsia" w:ascii="宋体" w:hAnsi="宋体"/>
                <w:sz w:val="21"/>
                <w:szCs w:val="21"/>
                <w:highlight w:val="none"/>
              </w:rPr>
              <w:t>供应商202</w:t>
            </w:r>
            <w:r>
              <w:rPr>
                <w:rFonts w:hint="eastAsia" w:ascii="宋体" w:hAnsi="宋体"/>
                <w:sz w:val="21"/>
                <w:szCs w:val="21"/>
                <w:highlight w:val="none"/>
                <w:lang w:val="en-US" w:eastAsia="zh-CN"/>
              </w:rPr>
              <w:t>3</w:t>
            </w:r>
            <w:r>
              <w:rPr>
                <w:rFonts w:hint="eastAsia" w:ascii="宋体" w:hAnsi="宋体"/>
                <w:sz w:val="21"/>
                <w:szCs w:val="21"/>
                <w:highlight w:val="none"/>
              </w:rPr>
              <w:t>年1月1日以来至今承担过类似</w:t>
            </w:r>
            <w:r>
              <w:rPr>
                <w:rFonts w:hint="eastAsia" w:ascii="宋体" w:hAnsi="宋体"/>
                <w:sz w:val="21"/>
                <w:szCs w:val="21"/>
                <w:highlight w:val="none"/>
                <w:lang w:val="en-US" w:eastAsia="zh-CN"/>
              </w:rPr>
              <w:t>项目</w:t>
            </w:r>
            <w:r>
              <w:rPr>
                <w:rFonts w:hint="eastAsia" w:ascii="宋体" w:hAnsi="宋体"/>
                <w:sz w:val="21"/>
                <w:szCs w:val="21"/>
                <w:highlight w:val="none"/>
              </w:rPr>
              <w:t>业绩</w:t>
            </w:r>
            <w:r>
              <w:rPr>
                <w:rFonts w:hint="eastAsia" w:ascii="宋体" w:hAnsi="宋体"/>
                <w:sz w:val="21"/>
                <w:szCs w:val="21"/>
                <w:highlight w:val="none"/>
                <w:lang w:val="en-US" w:eastAsia="zh-CN"/>
              </w:rPr>
              <w:t>的</w:t>
            </w:r>
            <w:r>
              <w:rPr>
                <w:rFonts w:hint="eastAsia" w:ascii="宋体" w:hAnsi="宋体"/>
                <w:sz w:val="21"/>
                <w:szCs w:val="21"/>
                <w:highlight w:val="none"/>
              </w:rPr>
              <w:t>，每有一项业绩得</w:t>
            </w:r>
            <w:r>
              <w:rPr>
                <w:rFonts w:hint="eastAsia" w:ascii="宋体" w:hAnsi="宋体"/>
                <w:sz w:val="21"/>
                <w:szCs w:val="21"/>
                <w:highlight w:val="none"/>
                <w:lang w:val="en-US" w:eastAsia="zh-CN"/>
              </w:rPr>
              <w:t>2</w:t>
            </w:r>
            <w:r>
              <w:rPr>
                <w:rFonts w:hint="eastAsia" w:ascii="宋体" w:hAnsi="宋体"/>
                <w:sz w:val="21"/>
                <w:szCs w:val="21"/>
                <w:highlight w:val="none"/>
              </w:rPr>
              <w:t>分，满分</w:t>
            </w:r>
            <w:r>
              <w:rPr>
                <w:rFonts w:hint="eastAsia" w:ascii="宋体" w:hAnsi="宋体"/>
                <w:sz w:val="21"/>
                <w:szCs w:val="21"/>
                <w:highlight w:val="none"/>
                <w:lang w:val="en-US" w:eastAsia="zh-CN"/>
              </w:rPr>
              <w:t>10</w:t>
            </w:r>
            <w:r>
              <w:rPr>
                <w:rFonts w:hint="eastAsia" w:ascii="宋体" w:hAnsi="宋体"/>
                <w:sz w:val="21"/>
                <w:szCs w:val="21"/>
                <w:highlight w:val="none"/>
              </w:rPr>
              <w:t>分。</w:t>
            </w:r>
            <w:r>
              <w:rPr>
                <w:rFonts w:hint="eastAsia" w:ascii="宋体" w:hAnsi="宋体"/>
                <w:b/>
                <w:bCs/>
                <w:sz w:val="21"/>
                <w:szCs w:val="21"/>
                <w:highlight w:val="none"/>
              </w:rPr>
              <w:t>（以合同签订时间为准，</w:t>
            </w:r>
            <w:r>
              <w:rPr>
                <w:rFonts w:hint="eastAsia" w:ascii="宋体" w:hAnsi="宋体" w:eastAsia="宋体" w:cs="宋体"/>
                <w:b/>
                <w:bCs/>
                <w:color w:val="000000"/>
                <w:kern w:val="0"/>
                <w:sz w:val="21"/>
                <w:szCs w:val="21"/>
                <w:highlight w:val="none"/>
              </w:rPr>
              <w:t>提供合同</w:t>
            </w:r>
            <w:r>
              <w:rPr>
                <w:rFonts w:hint="eastAsia" w:ascii="宋体" w:hAnsi="宋体" w:cs="宋体"/>
                <w:b/>
                <w:bCs/>
                <w:color w:val="000000"/>
                <w:kern w:val="0"/>
                <w:sz w:val="21"/>
                <w:szCs w:val="21"/>
                <w:highlight w:val="none"/>
                <w:lang w:val="en-US" w:eastAsia="zh-CN"/>
              </w:rPr>
              <w:t>原件扫描上传</w:t>
            </w:r>
            <w:r>
              <w:rPr>
                <w:rFonts w:hint="eastAsia" w:ascii="宋体" w:hAnsi="宋体" w:eastAsia="宋体" w:cs="宋体"/>
                <w:b/>
                <w:bCs/>
                <w:color w:val="000000"/>
                <w:kern w:val="0"/>
                <w:sz w:val="21"/>
                <w:szCs w:val="21"/>
                <w:highlight w:val="none"/>
              </w:rPr>
              <w:t>。</w:t>
            </w:r>
            <w:r>
              <w:rPr>
                <w:rFonts w:hint="eastAsia" w:ascii="宋体" w:hAnsi="宋体"/>
                <w:b/>
                <w:bCs/>
                <w:sz w:val="21"/>
                <w:szCs w:val="21"/>
                <w:highlight w:val="none"/>
              </w:rPr>
              <w:t>）</w:t>
            </w:r>
          </w:p>
        </w:tc>
      </w:tr>
    </w:tbl>
    <w:p>
      <w:pPr>
        <w:spacing w:line="440" w:lineRule="exact"/>
        <w:rPr>
          <w:rFonts w:hint="eastAsia" w:ascii="宋体" w:hAnsi="宋体"/>
          <w:b w:val="0"/>
          <w:bCs/>
          <w:szCs w:val="18"/>
          <w:lang w:val="en-US" w:eastAsia="zh-CN"/>
        </w:rPr>
      </w:pPr>
      <w:bookmarkStart w:id="206" w:name="_GoBack"/>
      <w:bookmarkEnd w:id="206"/>
      <w:r>
        <w:rPr>
          <w:rFonts w:hint="eastAsia" w:ascii="宋体" w:hAnsi="宋体"/>
          <w:b w:val="0"/>
          <w:bCs/>
          <w:szCs w:val="18"/>
          <w:lang w:val="en-US" w:eastAsia="zh-CN"/>
        </w:rPr>
        <w:t>异常低价投标（响应）</w:t>
      </w:r>
    </w:p>
    <w:p>
      <w:pPr>
        <w:spacing w:line="440" w:lineRule="exact"/>
        <w:ind w:firstLine="420"/>
        <w:rPr>
          <w:rFonts w:hint="eastAsia" w:ascii="宋体" w:hAnsi="宋体" w:eastAsia="宋体" w:cs="Times New Roman"/>
          <w:b w:val="0"/>
          <w:bCs/>
          <w:szCs w:val="18"/>
          <w:lang w:val="en-US" w:eastAsia="zh-CN"/>
        </w:rPr>
      </w:pPr>
      <w:r>
        <w:rPr>
          <w:rFonts w:hint="default" w:ascii="宋体" w:hAnsi="宋体" w:eastAsia="宋体" w:cs="Times New Roman"/>
          <w:b w:val="0"/>
          <w:bCs/>
          <w:szCs w:val="18"/>
          <w:lang w:val="en-US" w:eastAsia="zh-CN"/>
        </w:rPr>
        <w:t>说明：</w:t>
      </w:r>
      <w:r>
        <w:rPr>
          <w:rFonts w:hint="eastAsia" w:ascii="宋体" w:hAnsi="宋体" w:eastAsia="宋体" w:cs="Times New Roman"/>
          <w:b w:val="0"/>
          <w:bCs/>
          <w:szCs w:val="18"/>
          <w:lang w:val="en-US" w:eastAsia="zh-CN"/>
        </w:rPr>
        <w:t>评审过程中出现下列情形之一的，评审委员会</w:t>
      </w:r>
      <w:r>
        <w:rPr>
          <w:rFonts w:hint="default" w:ascii="宋体" w:hAnsi="宋体" w:eastAsia="宋体" w:cs="Times New Roman"/>
          <w:b w:val="0"/>
          <w:bCs/>
          <w:szCs w:val="18"/>
          <w:lang w:val="en-US" w:eastAsia="zh-CN"/>
        </w:rPr>
        <w:t>应当</w:t>
      </w:r>
      <w:r>
        <w:rPr>
          <w:rFonts w:hint="eastAsia" w:ascii="宋体" w:hAnsi="宋体" w:eastAsia="宋体" w:cs="Times New Roman"/>
          <w:b w:val="0"/>
          <w:bCs/>
          <w:szCs w:val="18"/>
          <w:lang w:val="en-US" w:eastAsia="zh-CN"/>
        </w:rPr>
        <w:t>启动异常低价投标（响应）审查程序：</w:t>
      </w:r>
    </w:p>
    <w:p>
      <w:pPr>
        <w:spacing w:line="440" w:lineRule="exact"/>
        <w:ind w:firstLine="420"/>
        <w:rPr>
          <w:rFonts w:hint="eastAsia" w:ascii="宋体" w:hAnsi="宋体"/>
          <w:b w:val="0"/>
          <w:bCs/>
          <w:szCs w:val="18"/>
          <w:lang w:val="en-US" w:eastAsia="zh-CN"/>
        </w:rPr>
      </w:pPr>
      <w:r>
        <w:rPr>
          <w:rFonts w:hint="eastAsia" w:ascii="宋体" w:hAnsi="宋体"/>
          <w:b w:val="0"/>
          <w:bCs/>
          <w:szCs w:val="18"/>
          <w:lang w:val="en-US" w:eastAsia="zh-CN"/>
        </w:rPr>
        <w:t xml:space="preserve">1.投标（响应）报价低于全部通过符合性审查供应商投标（响应）报价平均值50%的，即投标（响应）报价&lt;全部通过符合性审查供应商投标（响应）报价平均值×50%； </w:t>
      </w:r>
    </w:p>
    <w:p>
      <w:pPr>
        <w:spacing w:line="440" w:lineRule="exact"/>
        <w:ind w:firstLine="420"/>
        <w:rPr>
          <w:rFonts w:hint="eastAsia" w:ascii="宋体" w:hAnsi="宋体"/>
          <w:b w:val="0"/>
          <w:bCs/>
          <w:szCs w:val="18"/>
          <w:lang w:val="en-US" w:eastAsia="zh-CN"/>
        </w:rPr>
      </w:pPr>
      <w:r>
        <w:rPr>
          <w:rFonts w:hint="eastAsia" w:ascii="宋体" w:hAnsi="宋体"/>
          <w:b w:val="0"/>
          <w:bCs/>
          <w:szCs w:val="18"/>
          <w:lang w:val="en-US" w:eastAsia="zh-CN"/>
        </w:rPr>
        <w:t xml:space="preserve">2.投标（响应）报价低于通过符合性审查的次低报价供应商投标（响应）报价50%的，即投标（响应）报价&lt;通过符合性审查的次低报价供应商投标（响应）报价×50%； </w:t>
      </w:r>
    </w:p>
    <w:p>
      <w:pPr>
        <w:spacing w:line="440" w:lineRule="exact"/>
        <w:ind w:firstLine="420"/>
        <w:rPr>
          <w:rFonts w:hint="eastAsia" w:ascii="宋体" w:hAnsi="宋体"/>
          <w:b w:val="0"/>
          <w:bCs/>
          <w:szCs w:val="18"/>
          <w:lang w:val="en-US" w:eastAsia="zh-CN"/>
        </w:rPr>
      </w:pPr>
      <w:r>
        <w:rPr>
          <w:rFonts w:hint="eastAsia" w:ascii="宋体" w:hAnsi="宋体"/>
          <w:b w:val="0"/>
          <w:bCs/>
          <w:szCs w:val="18"/>
          <w:lang w:val="en-US" w:eastAsia="zh-CN"/>
        </w:rPr>
        <w:t xml:space="preserve">3.投标（响应）报价低于采购项目最高限价45%的，即投标（响应）报价&lt;采购项目最高限价×45%； </w:t>
      </w:r>
    </w:p>
    <w:p>
      <w:pPr>
        <w:spacing w:line="440" w:lineRule="exact"/>
        <w:ind w:firstLine="420"/>
        <w:rPr>
          <w:rFonts w:hint="eastAsia" w:ascii="宋体" w:hAnsi="宋体"/>
          <w:b w:val="0"/>
          <w:bCs/>
          <w:szCs w:val="18"/>
          <w:lang w:val="en-US" w:eastAsia="zh-CN"/>
        </w:rPr>
      </w:pPr>
      <w:r>
        <w:rPr>
          <w:rFonts w:hint="eastAsia" w:ascii="宋体" w:hAnsi="宋体"/>
          <w:b w:val="0"/>
          <w:bCs/>
          <w:szCs w:val="18"/>
          <w:lang w:val="en-US" w:eastAsia="zh-CN"/>
        </w:rPr>
        <w:t xml:space="preserve">4.评审委员会基于专业判断，认为供应商报价过低，有可能影响产品质量或者不能诚信履约的其他情形。 </w:t>
      </w:r>
    </w:p>
    <w:p>
      <w:pPr>
        <w:spacing w:line="440" w:lineRule="exact"/>
        <w:ind w:firstLine="420"/>
        <w:rPr>
          <w:rFonts w:hint="eastAsia" w:ascii="宋体" w:hAnsi="宋体"/>
          <w:b w:val="0"/>
          <w:bCs/>
          <w:szCs w:val="18"/>
          <w:lang w:val="en-US" w:eastAsia="zh-CN"/>
        </w:rPr>
      </w:pPr>
      <w:r>
        <w:rPr>
          <w:rFonts w:hint="eastAsia" w:ascii="宋体" w:hAnsi="宋体"/>
          <w:b w:val="0"/>
          <w:bCs/>
          <w:szCs w:val="18"/>
          <w:lang w:val="en-US" w:eastAsia="zh-CN"/>
        </w:rPr>
        <w:t xml:space="preserve">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pPr>
        <w:spacing w:line="440" w:lineRule="exact"/>
        <w:ind w:firstLine="420"/>
        <w:rPr>
          <w:rFonts w:hint="eastAsia" w:ascii="宋体" w:hAnsi="宋体"/>
          <w:b w:val="0"/>
          <w:bCs/>
          <w:szCs w:val="18"/>
          <w:lang w:val="en-US" w:eastAsia="zh-CN"/>
        </w:rPr>
      </w:pPr>
      <w:r>
        <w:rPr>
          <w:rFonts w:hint="eastAsia" w:ascii="宋体" w:hAnsi="宋体"/>
          <w:b w:val="0"/>
          <w:bCs/>
          <w:szCs w:val="18"/>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spacing w:line="440" w:lineRule="exact"/>
        <w:ind w:firstLine="420"/>
        <w:rPr>
          <w:rFonts w:hint="default" w:ascii="宋体" w:hAnsi="宋体" w:eastAsia="宋体"/>
          <w:b w:val="0"/>
          <w:bCs/>
          <w:szCs w:val="18"/>
          <w:highlight w:val="none"/>
          <w:lang w:val="en-US" w:eastAsia="zh-CN"/>
        </w:rPr>
      </w:pPr>
      <w:r>
        <w:rPr>
          <w:rFonts w:hint="eastAsia" w:ascii="宋体" w:hAnsi="宋体"/>
          <w:b w:val="0"/>
          <w:bCs/>
          <w:szCs w:val="18"/>
          <w:lang w:val="en-US" w:eastAsia="zh-CN"/>
        </w:rPr>
        <w:t>异常低价投标（响应）审查的启动原因、审查意见和审查结果应当在评审报告中记录，并随供应商提供的相关书面说明及证明材料，以及评审委员会有关互联网浏览、查询历史一并归档。</w:t>
      </w:r>
    </w:p>
    <w:p>
      <w:pPr>
        <w:jc w:val="center"/>
        <w:rPr>
          <w:rFonts w:ascii="黑体" w:hAnsi="Times New Roman" w:eastAsia="黑体"/>
          <w:bCs/>
          <w:sz w:val="44"/>
          <w:szCs w:val="28"/>
        </w:rPr>
      </w:pPr>
      <w:r>
        <w:rPr>
          <w:rFonts w:ascii="黑体" w:hAnsi="Times New Roman" w:eastAsia="黑体"/>
          <w:bCs/>
          <w:sz w:val="44"/>
          <w:szCs w:val="28"/>
        </w:rPr>
        <w:br w:type="page" w:clear="all"/>
      </w:r>
      <w:r>
        <w:rPr>
          <w:rFonts w:hint="eastAsia" w:ascii="黑体" w:hAnsi="Times New Roman" w:eastAsia="黑体"/>
          <w:bCs/>
          <w:sz w:val="44"/>
          <w:szCs w:val="28"/>
        </w:rPr>
        <w:t xml:space="preserve">第六章  </w:t>
      </w:r>
      <w:bookmarkEnd w:id="178"/>
      <w:bookmarkEnd w:id="179"/>
      <w:bookmarkEnd w:id="180"/>
      <w:r>
        <w:rPr>
          <w:rFonts w:hint="eastAsia" w:ascii="黑体" w:hAnsi="Times New Roman" w:eastAsia="黑体"/>
          <w:bCs/>
          <w:sz w:val="44"/>
          <w:szCs w:val="28"/>
        </w:rPr>
        <w:t>响应文件格式</w:t>
      </w:r>
    </w:p>
    <w:p>
      <w:pPr>
        <w:jc w:val="center"/>
        <w:rPr>
          <w:rFonts w:ascii="宋体" w:hAnsi="宋体"/>
          <w:b/>
          <w:sz w:val="72"/>
          <w:szCs w:val="21"/>
        </w:rPr>
      </w:pPr>
      <w:bookmarkStart w:id="181" w:name="_Hlt26955039"/>
      <w:bookmarkEnd w:id="181"/>
      <w:bookmarkStart w:id="182" w:name="_Hlt26671244"/>
      <w:bookmarkEnd w:id="182"/>
      <w:bookmarkStart w:id="183" w:name="_Toc49090576"/>
      <w:bookmarkStart w:id="184" w:name="_Toc120614282"/>
      <w:bookmarkStart w:id="185" w:name="_Toc26554094"/>
    </w:p>
    <w:p>
      <w:pPr>
        <w:pStyle w:val="228"/>
        <w:rPr>
          <w:rFonts w:ascii="宋体" w:hAnsi="宋体"/>
          <w:b w:val="0"/>
          <w:sz w:val="72"/>
          <w:szCs w:val="21"/>
        </w:rPr>
      </w:pPr>
    </w:p>
    <w:p/>
    <w:p>
      <w:pPr>
        <w:jc w:val="center"/>
        <w:rPr>
          <w:rFonts w:ascii="宋体" w:hAnsi="宋体"/>
          <w:b/>
          <w:sz w:val="72"/>
          <w:szCs w:val="21"/>
        </w:rPr>
      </w:pPr>
      <w:r>
        <w:rPr>
          <w:rFonts w:hint="eastAsia" w:ascii="宋体" w:hAnsi="宋体"/>
          <w:b/>
          <w:sz w:val="72"/>
          <w:szCs w:val="21"/>
        </w:rPr>
        <w:t>响  应  文  件</w:t>
      </w:r>
    </w:p>
    <w:p>
      <w:pPr>
        <w:jc w:val="center"/>
        <w:rPr>
          <w:rFonts w:ascii="宋体" w:hAnsi="宋体"/>
          <w:b/>
          <w:sz w:val="72"/>
          <w:szCs w:val="21"/>
        </w:rPr>
      </w:pPr>
    </w:p>
    <w:p>
      <w:pPr>
        <w:jc w:val="center"/>
        <w:rPr>
          <w:rFonts w:ascii="宋体" w:hAnsi="宋体"/>
          <w:b/>
          <w:sz w:val="72"/>
          <w:szCs w:val="21"/>
        </w:rPr>
      </w:pPr>
    </w:p>
    <w:p>
      <w:pPr>
        <w:jc w:val="center"/>
        <w:rPr>
          <w:rFonts w:ascii="宋体" w:hAnsi="宋体"/>
          <w:b/>
          <w:sz w:val="36"/>
          <w:szCs w:val="21"/>
        </w:rPr>
      </w:pPr>
    </w:p>
    <w:p>
      <w:pPr>
        <w:jc w:val="center"/>
        <w:rPr>
          <w:rFonts w:ascii="宋体" w:hAnsi="宋体"/>
          <w:b/>
          <w:sz w:val="36"/>
          <w:szCs w:val="21"/>
        </w:rPr>
      </w:pPr>
    </w:p>
    <w:p>
      <w:pPr>
        <w:jc w:val="center"/>
        <w:rPr>
          <w:rFonts w:ascii="宋体" w:hAnsi="宋体"/>
          <w:b/>
          <w:sz w:val="36"/>
          <w:szCs w:val="21"/>
        </w:rPr>
      </w:pPr>
    </w:p>
    <w:p>
      <w:pPr>
        <w:ind w:firstLine="1084"/>
        <w:rPr>
          <w:rFonts w:ascii="宋体" w:hAnsi="宋体"/>
          <w:b/>
          <w:sz w:val="36"/>
          <w:szCs w:val="21"/>
        </w:rPr>
      </w:pPr>
      <w:r>
        <w:rPr>
          <w:rFonts w:hint="eastAsia" w:ascii="宋体" w:hAnsi="宋体"/>
          <w:b/>
          <w:sz w:val="36"/>
          <w:szCs w:val="21"/>
        </w:rPr>
        <w:t>项 目 名 称：</w:t>
      </w:r>
      <w:r>
        <w:rPr>
          <w:rFonts w:hint="eastAsia" w:ascii="宋体" w:hAnsi="宋体"/>
          <w:b/>
          <w:sz w:val="36"/>
          <w:szCs w:val="21"/>
          <w:u w:val="single"/>
        </w:rPr>
        <w:t xml:space="preserve">               </w:t>
      </w:r>
    </w:p>
    <w:p>
      <w:pPr>
        <w:ind w:firstLine="1084"/>
        <w:rPr>
          <w:rFonts w:ascii="宋体" w:hAnsi="宋体"/>
          <w:b/>
          <w:sz w:val="36"/>
          <w:szCs w:val="21"/>
          <w:u w:val="single"/>
        </w:rPr>
      </w:pPr>
      <w:r>
        <w:rPr>
          <w:rFonts w:hint="eastAsia" w:ascii="宋体" w:hAnsi="宋体"/>
          <w:b/>
          <w:sz w:val="36"/>
          <w:szCs w:val="21"/>
        </w:rPr>
        <w:t>项 目 编 号：</w:t>
      </w:r>
      <w:r>
        <w:rPr>
          <w:rFonts w:hint="eastAsia" w:ascii="宋体" w:hAnsi="宋体"/>
          <w:b/>
          <w:sz w:val="36"/>
          <w:szCs w:val="21"/>
          <w:u w:val="single"/>
        </w:rPr>
        <w:t xml:space="preserve">               </w:t>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（加盖CA电子公章）</w:t>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p>
    <w:p>
      <w:pPr>
        <w:spacing w:line="440" w:lineRule="exact"/>
        <w:jc w:val="center"/>
        <w:rPr>
          <w:rFonts w:ascii="宋体" w:hAnsi="宋体"/>
          <w:b/>
          <w:bCs/>
          <w:sz w:val="32"/>
          <w:szCs w:val="32"/>
        </w:rPr>
      </w:pPr>
    </w:p>
    <w:p>
      <w:pPr>
        <w:spacing w:line="440" w:lineRule="exact"/>
        <w:rPr>
          <w:rFonts w:ascii="宋体" w:hAnsi="宋体"/>
          <w:szCs w:val="21"/>
        </w:rPr>
      </w:pPr>
    </w:p>
    <w:p>
      <w:pPr>
        <w:rPr>
          <w:rFonts w:ascii="宋体" w:hAnsi="宋体"/>
          <w:b/>
          <w:sz w:val="36"/>
          <w:szCs w:val="21"/>
          <w:u w:val="single"/>
        </w:rPr>
      </w:pPr>
    </w:p>
    <w:p>
      <w:pPr>
        <w:rPr>
          <w:rFonts w:ascii="宋体" w:hAnsi="宋体"/>
          <w:b/>
          <w:bCs/>
          <w:sz w:val="32"/>
          <w:szCs w:val="32"/>
        </w:rPr>
      </w:pPr>
      <w:r>
        <w:rPr>
          <w:rFonts w:hint="eastAsia" w:ascii="宋体" w:hAnsi="宋体"/>
          <w:b/>
          <w:bCs/>
          <w:sz w:val="32"/>
          <w:szCs w:val="32"/>
        </w:rPr>
        <w:br w:type="page" w:clear="all"/>
      </w:r>
    </w:p>
    <w:p>
      <w:pPr>
        <w:spacing w:line="440" w:lineRule="exact"/>
        <w:jc w:val="center"/>
        <w:rPr>
          <w:rFonts w:ascii="宋体" w:hAnsi="宋体"/>
          <w:b/>
          <w:bCs/>
          <w:sz w:val="32"/>
          <w:szCs w:val="32"/>
        </w:rPr>
      </w:pPr>
      <w:r>
        <w:rPr>
          <w:rFonts w:hint="eastAsia" w:ascii="宋体" w:hAnsi="宋体"/>
          <w:b/>
          <w:bCs/>
          <w:sz w:val="32"/>
          <w:szCs w:val="32"/>
        </w:rPr>
        <w:t>响应文件目录</w:t>
      </w:r>
    </w:p>
    <w:p>
      <w:pPr>
        <w:spacing w:line="440" w:lineRule="exact"/>
        <w:jc w:val="center"/>
        <w:rPr>
          <w:rFonts w:ascii="宋体" w:hAnsi="宋体"/>
          <w:b/>
          <w:bCs/>
          <w:sz w:val="32"/>
          <w:szCs w:val="32"/>
        </w:rPr>
      </w:pPr>
    </w:p>
    <w:p>
      <w:pPr>
        <w:spacing w:line="560" w:lineRule="exact"/>
        <w:ind w:firstLine="482"/>
        <w:rPr>
          <w:rFonts w:ascii="宋体" w:hAnsi="宋体"/>
          <w:bCs/>
          <w:i/>
          <w:sz w:val="24"/>
          <w:szCs w:val="24"/>
          <w:u w:val="single"/>
        </w:rPr>
      </w:pPr>
      <w:r>
        <w:rPr>
          <w:rFonts w:hint="eastAsia" w:ascii="宋体" w:hAnsi="宋体"/>
          <w:i/>
          <w:iCs/>
          <w:sz w:val="24"/>
          <w:szCs w:val="24"/>
          <w:u w:val="single"/>
        </w:rPr>
        <w:t>一、法人或者其他组织的营业执照等证明文件，自然人的身份证明</w:t>
      </w:r>
    </w:p>
    <w:p>
      <w:pPr>
        <w:spacing w:line="560" w:lineRule="exact"/>
        <w:ind w:firstLine="482"/>
        <w:rPr>
          <w:rFonts w:ascii="宋体" w:hAnsi="宋体"/>
          <w:bCs/>
          <w:i/>
          <w:sz w:val="24"/>
          <w:szCs w:val="24"/>
          <w:u w:val="single"/>
        </w:rPr>
      </w:pPr>
      <w:r>
        <w:rPr>
          <w:rFonts w:hint="eastAsia" w:ascii="宋体" w:hAnsi="宋体"/>
          <w:i/>
          <w:iCs/>
          <w:sz w:val="24"/>
          <w:szCs w:val="24"/>
          <w:u w:val="single"/>
        </w:rPr>
        <w:t>二、上一年度的财务状况报告（供应商成立不满一年无需提供）</w:t>
      </w:r>
    </w:p>
    <w:p>
      <w:pPr>
        <w:spacing w:line="560" w:lineRule="exact"/>
        <w:ind w:firstLine="482"/>
        <w:rPr>
          <w:rFonts w:ascii="宋体" w:hAnsi="宋体"/>
          <w:bCs/>
          <w:i/>
          <w:sz w:val="24"/>
          <w:szCs w:val="24"/>
          <w:u w:val="single"/>
        </w:rPr>
      </w:pPr>
      <w:r>
        <w:rPr>
          <w:rFonts w:hint="eastAsia" w:ascii="宋体" w:hAnsi="宋体"/>
          <w:i/>
          <w:iCs/>
          <w:sz w:val="24"/>
          <w:szCs w:val="24"/>
          <w:u w:val="single"/>
        </w:rPr>
        <w:t>三、依法</w:t>
      </w:r>
      <w:r>
        <w:rPr>
          <w:rFonts w:hint="eastAsia" w:ascii="宋体" w:hAnsi="宋体"/>
          <w:b/>
          <w:bCs/>
          <w:i/>
          <w:iCs/>
          <w:sz w:val="24"/>
          <w:szCs w:val="24"/>
          <w:u w:val="single"/>
        </w:rPr>
        <w:t>缴纳税收和社会保障资金</w:t>
      </w:r>
      <w:r>
        <w:rPr>
          <w:rFonts w:hint="eastAsia" w:ascii="宋体" w:hAnsi="宋体"/>
          <w:i/>
          <w:iCs/>
          <w:sz w:val="24"/>
          <w:szCs w:val="24"/>
          <w:u w:val="single"/>
        </w:rPr>
        <w:t>的相关材料（</w:t>
      </w:r>
      <w:r>
        <w:rPr>
          <w:rFonts w:hint="eastAsia" w:ascii="宋体" w:hAnsi="宋体"/>
          <w:b/>
          <w:bCs/>
          <w:i/>
          <w:iCs/>
          <w:sz w:val="24"/>
          <w:szCs w:val="24"/>
          <w:u w:val="single"/>
        </w:rPr>
        <w:t>提供提交响应文件截止时间前一年内任意一个月依法缴纳税收及缴纳社会保障资金的证明材料。</w:t>
      </w:r>
      <w:r>
        <w:rPr>
          <w:rFonts w:hint="eastAsia" w:ascii="宋体" w:hAnsi="宋体"/>
          <w:i/>
          <w:iCs/>
          <w:sz w:val="24"/>
          <w:szCs w:val="24"/>
          <w:u w:val="single"/>
        </w:rPr>
        <w:t>供应商依法享受缓缴、免缴税收、社会保障资金的提供证明材料。）</w:t>
      </w:r>
    </w:p>
    <w:p>
      <w:pPr>
        <w:spacing w:line="560" w:lineRule="exact"/>
        <w:ind w:firstLine="482"/>
        <w:rPr>
          <w:rFonts w:ascii="宋体" w:hAnsi="宋体"/>
          <w:bCs/>
          <w:i/>
          <w:sz w:val="24"/>
          <w:szCs w:val="24"/>
          <w:u w:val="single"/>
        </w:rPr>
      </w:pPr>
      <w:r>
        <w:rPr>
          <w:rFonts w:hint="eastAsia" w:ascii="宋体" w:hAnsi="宋体"/>
          <w:i/>
          <w:iCs/>
          <w:sz w:val="24"/>
          <w:szCs w:val="24"/>
          <w:u w:val="single"/>
        </w:rPr>
        <w:t>四、具备履行合同所必需的设备和专业技术能力的书面声明</w:t>
      </w:r>
    </w:p>
    <w:p>
      <w:pPr>
        <w:spacing w:line="560" w:lineRule="exact"/>
        <w:ind w:firstLine="482"/>
        <w:rPr>
          <w:rFonts w:ascii="宋体" w:hAnsi="宋体"/>
          <w:i/>
          <w:iCs/>
          <w:sz w:val="24"/>
          <w:szCs w:val="24"/>
          <w:u w:val="single"/>
        </w:rPr>
      </w:pPr>
      <w:r>
        <w:rPr>
          <w:rFonts w:hint="eastAsia" w:ascii="宋体" w:hAnsi="宋体"/>
          <w:i/>
          <w:iCs/>
          <w:sz w:val="24"/>
          <w:szCs w:val="24"/>
          <w:u w:val="single"/>
        </w:rPr>
        <w:t>五、参加政府采购活动前 3 年内在经营活动中没有重大违法记录的书面声明</w:t>
      </w:r>
    </w:p>
    <w:p>
      <w:pPr>
        <w:spacing w:line="560" w:lineRule="exact"/>
        <w:ind w:firstLine="482"/>
        <w:rPr>
          <w:rFonts w:ascii="宋体" w:hAnsi="宋体"/>
          <w:i/>
          <w:iCs/>
          <w:sz w:val="24"/>
          <w:szCs w:val="21"/>
          <w:u w:val="single"/>
        </w:rPr>
      </w:pPr>
      <w:r>
        <w:rPr>
          <w:rFonts w:hint="eastAsia" w:ascii="宋体" w:hAnsi="宋体"/>
          <w:i/>
          <w:iCs/>
          <w:sz w:val="24"/>
          <w:szCs w:val="21"/>
          <w:u w:val="single"/>
        </w:rPr>
        <w:t>六、供应商信用承诺函</w:t>
      </w:r>
    </w:p>
    <w:p>
      <w:pPr>
        <w:spacing w:line="560" w:lineRule="exact"/>
        <w:ind w:firstLine="482"/>
        <w:rPr>
          <w:rFonts w:ascii="宋体" w:hAnsi="宋体"/>
          <w:i/>
          <w:sz w:val="24"/>
          <w:szCs w:val="21"/>
          <w:u w:val="single"/>
        </w:rPr>
      </w:pPr>
      <w:r>
        <w:rPr>
          <w:rFonts w:hint="eastAsia" w:ascii="宋体" w:hAnsi="宋体"/>
          <w:i/>
          <w:sz w:val="24"/>
          <w:szCs w:val="21"/>
          <w:u w:val="single"/>
          <w:lang w:val="en-US" w:eastAsia="zh-CN"/>
        </w:rPr>
        <w:t>七</w:t>
      </w:r>
      <w:r>
        <w:rPr>
          <w:rFonts w:hint="eastAsia" w:ascii="宋体" w:hAnsi="宋体"/>
          <w:i/>
          <w:sz w:val="24"/>
          <w:szCs w:val="21"/>
          <w:u w:val="single"/>
        </w:rPr>
        <w:t>、法人授权书</w:t>
      </w:r>
    </w:p>
    <w:p>
      <w:pPr>
        <w:spacing w:line="560" w:lineRule="exact"/>
        <w:ind w:firstLine="482"/>
        <w:rPr>
          <w:rFonts w:ascii="宋体" w:hAnsi="宋体"/>
          <w:i/>
          <w:sz w:val="24"/>
          <w:szCs w:val="21"/>
          <w:u w:val="single"/>
        </w:rPr>
      </w:pPr>
      <w:r>
        <w:rPr>
          <w:rFonts w:hint="eastAsia" w:ascii="宋体" w:hAnsi="宋体"/>
          <w:i/>
          <w:sz w:val="24"/>
          <w:szCs w:val="21"/>
          <w:u w:val="single"/>
          <w:lang w:val="en-US" w:eastAsia="zh-CN"/>
        </w:rPr>
        <w:t>八</w:t>
      </w:r>
      <w:r>
        <w:rPr>
          <w:rFonts w:hint="eastAsia" w:ascii="宋体" w:hAnsi="宋体"/>
          <w:i/>
          <w:sz w:val="24"/>
          <w:szCs w:val="21"/>
          <w:u w:val="single"/>
        </w:rPr>
        <w:t>、磋商响应函</w:t>
      </w:r>
    </w:p>
    <w:p>
      <w:pPr>
        <w:spacing w:line="560" w:lineRule="exact"/>
        <w:ind w:firstLine="482"/>
        <w:rPr>
          <w:rFonts w:ascii="宋体" w:hAnsi="宋体"/>
          <w:i/>
          <w:sz w:val="24"/>
          <w:szCs w:val="21"/>
          <w:u w:val="single"/>
        </w:rPr>
      </w:pPr>
      <w:r>
        <w:rPr>
          <w:rFonts w:hint="eastAsia" w:ascii="宋体" w:hAnsi="宋体"/>
          <w:i/>
          <w:sz w:val="24"/>
          <w:szCs w:val="21"/>
          <w:u w:val="single"/>
          <w:lang w:val="en-US" w:eastAsia="zh-CN"/>
        </w:rPr>
        <w:t>九</w:t>
      </w:r>
      <w:r>
        <w:rPr>
          <w:rFonts w:hint="eastAsia" w:ascii="宋体" w:hAnsi="宋体"/>
          <w:i/>
          <w:sz w:val="24"/>
          <w:szCs w:val="21"/>
          <w:u w:val="single"/>
        </w:rPr>
        <w:t>、特定资格要求的证明文件（如果本项目设置特定资格要求，则需要提供）</w:t>
      </w:r>
    </w:p>
    <w:p>
      <w:pPr>
        <w:spacing w:line="560" w:lineRule="exact"/>
        <w:ind w:firstLine="482"/>
        <w:rPr>
          <w:rFonts w:hint="eastAsia" w:ascii="宋体" w:hAnsi="宋体"/>
          <w:sz w:val="24"/>
          <w:szCs w:val="21"/>
        </w:rPr>
      </w:pPr>
      <w:r>
        <w:rPr>
          <w:rFonts w:hint="eastAsia" w:ascii="宋体" w:hAnsi="宋体" w:eastAsia="宋体" w:cs="Times New Roman"/>
          <w:i/>
          <w:sz w:val="24"/>
          <w:szCs w:val="21"/>
          <w:u w:val="single"/>
          <w:lang w:val="en-US" w:eastAsia="zh-CN"/>
        </w:rPr>
        <w:t>十</w:t>
      </w:r>
      <w:r>
        <w:rPr>
          <w:rFonts w:hint="eastAsia" w:ascii="宋体" w:hAnsi="宋体" w:eastAsia="宋体" w:cs="Times New Roman"/>
          <w:i/>
          <w:sz w:val="24"/>
          <w:szCs w:val="21"/>
          <w:u w:val="single"/>
        </w:rPr>
        <w:t>、中小企业声明函</w:t>
      </w:r>
    </w:p>
    <w:p>
      <w:pPr>
        <w:spacing w:line="560" w:lineRule="exact"/>
        <w:ind w:firstLine="482"/>
        <w:rPr>
          <w:rFonts w:hint="eastAsia" w:ascii="宋体" w:hAnsi="宋体"/>
          <w:sz w:val="24"/>
          <w:szCs w:val="21"/>
          <w:lang w:val="en-US" w:eastAsia="zh-CN"/>
        </w:rPr>
      </w:pPr>
      <w:r>
        <w:rPr>
          <w:rFonts w:hint="eastAsia" w:ascii="宋体" w:hAnsi="宋体"/>
          <w:sz w:val="24"/>
          <w:szCs w:val="21"/>
          <w:lang w:val="en-US" w:eastAsia="zh-CN"/>
        </w:rPr>
        <w:t>十一、</w:t>
      </w:r>
      <w:r>
        <w:rPr>
          <w:rFonts w:hint="eastAsia" w:ascii="宋体" w:hAnsi="宋体"/>
          <w:sz w:val="24"/>
          <w:szCs w:val="21"/>
        </w:rPr>
        <w:t>残疾人福利性单位声明函</w:t>
      </w:r>
    </w:p>
    <w:p>
      <w:pPr>
        <w:spacing w:line="560" w:lineRule="exact"/>
        <w:ind w:firstLine="482"/>
        <w:rPr>
          <w:rFonts w:ascii="宋体" w:hAnsi="宋体"/>
          <w:sz w:val="24"/>
          <w:szCs w:val="21"/>
        </w:rPr>
      </w:pPr>
      <w:r>
        <w:rPr>
          <w:rFonts w:hint="eastAsia" w:ascii="宋体" w:hAnsi="宋体"/>
          <w:sz w:val="24"/>
          <w:szCs w:val="21"/>
        </w:rPr>
        <w:t>十</w:t>
      </w:r>
      <w:r>
        <w:rPr>
          <w:rFonts w:hint="eastAsia" w:ascii="宋体" w:hAnsi="宋体"/>
          <w:sz w:val="24"/>
          <w:szCs w:val="21"/>
          <w:lang w:val="en-US" w:eastAsia="zh-CN"/>
        </w:rPr>
        <w:t>二</w:t>
      </w:r>
      <w:r>
        <w:rPr>
          <w:rFonts w:hint="eastAsia" w:ascii="宋体" w:hAnsi="宋体"/>
          <w:sz w:val="24"/>
          <w:szCs w:val="21"/>
        </w:rPr>
        <w:t>、磋商响应报价表</w:t>
      </w:r>
    </w:p>
    <w:p>
      <w:pPr>
        <w:spacing w:line="560" w:lineRule="exact"/>
        <w:ind w:firstLine="482"/>
        <w:rPr>
          <w:rFonts w:ascii="宋体" w:hAnsi="宋体"/>
          <w:sz w:val="24"/>
          <w:szCs w:val="21"/>
        </w:rPr>
      </w:pPr>
      <w:r>
        <w:rPr>
          <w:rFonts w:hint="eastAsia" w:ascii="宋体" w:hAnsi="宋体"/>
          <w:sz w:val="24"/>
          <w:szCs w:val="21"/>
        </w:rPr>
        <w:t>十</w:t>
      </w:r>
      <w:r>
        <w:rPr>
          <w:rFonts w:hint="eastAsia" w:ascii="宋体" w:hAnsi="宋体"/>
          <w:sz w:val="24"/>
          <w:szCs w:val="21"/>
          <w:lang w:val="en-US" w:eastAsia="zh-CN"/>
        </w:rPr>
        <w:t>三</w:t>
      </w:r>
      <w:r>
        <w:rPr>
          <w:rFonts w:hint="eastAsia" w:ascii="宋体" w:hAnsi="宋体"/>
          <w:sz w:val="24"/>
          <w:szCs w:val="21"/>
        </w:rPr>
        <w:t>、分项报价表</w:t>
      </w:r>
    </w:p>
    <w:p>
      <w:pPr>
        <w:spacing w:line="560" w:lineRule="exact"/>
        <w:ind w:firstLine="482"/>
        <w:rPr>
          <w:rFonts w:ascii="宋体" w:hAnsi="宋体"/>
          <w:sz w:val="24"/>
          <w:szCs w:val="21"/>
        </w:rPr>
      </w:pPr>
      <w:r>
        <w:rPr>
          <w:rFonts w:hint="eastAsia" w:ascii="宋体" w:hAnsi="宋体"/>
          <w:sz w:val="24"/>
          <w:szCs w:val="21"/>
        </w:rPr>
        <w:t>十</w:t>
      </w:r>
      <w:r>
        <w:rPr>
          <w:rFonts w:hint="eastAsia" w:ascii="宋体" w:hAnsi="宋体"/>
          <w:sz w:val="24"/>
          <w:szCs w:val="21"/>
          <w:lang w:val="en-US" w:eastAsia="zh-CN"/>
        </w:rPr>
        <w:t>四</w:t>
      </w:r>
      <w:r>
        <w:rPr>
          <w:rFonts w:hint="eastAsia" w:ascii="宋体" w:hAnsi="宋体"/>
          <w:sz w:val="24"/>
          <w:szCs w:val="21"/>
        </w:rPr>
        <w:t>、技术要求响应及偏离表</w:t>
      </w:r>
    </w:p>
    <w:p>
      <w:pPr>
        <w:spacing w:line="560" w:lineRule="exact"/>
        <w:ind w:firstLine="482"/>
        <w:rPr>
          <w:rFonts w:ascii="宋体" w:hAnsi="宋体"/>
          <w:sz w:val="24"/>
          <w:szCs w:val="21"/>
        </w:rPr>
      </w:pPr>
      <w:r>
        <w:rPr>
          <w:rFonts w:hint="eastAsia" w:ascii="宋体" w:hAnsi="宋体"/>
          <w:sz w:val="24"/>
          <w:szCs w:val="21"/>
        </w:rPr>
        <w:t>十</w:t>
      </w:r>
      <w:r>
        <w:rPr>
          <w:rFonts w:hint="eastAsia" w:ascii="宋体" w:hAnsi="宋体"/>
          <w:sz w:val="24"/>
          <w:szCs w:val="21"/>
          <w:lang w:val="en-US" w:eastAsia="zh-CN"/>
        </w:rPr>
        <w:t>五</w:t>
      </w:r>
      <w:r>
        <w:rPr>
          <w:rFonts w:hint="eastAsia" w:ascii="宋体" w:hAnsi="宋体"/>
          <w:sz w:val="24"/>
          <w:szCs w:val="21"/>
        </w:rPr>
        <w:t>、商务要求响应及偏离表</w:t>
      </w:r>
    </w:p>
    <w:p>
      <w:pPr>
        <w:spacing w:line="560" w:lineRule="exact"/>
        <w:ind w:firstLine="482"/>
        <w:rPr>
          <w:rFonts w:ascii="宋体" w:hAnsi="宋体"/>
          <w:sz w:val="24"/>
          <w:szCs w:val="21"/>
        </w:rPr>
      </w:pPr>
      <w:r>
        <w:rPr>
          <w:rFonts w:hint="eastAsia" w:ascii="宋体" w:hAnsi="宋体"/>
          <w:sz w:val="24"/>
          <w:szCs w:val="21"/>
        </w:rPr>
        <w:t>十</w:t>
      </w:r>
      <w:r>
        <w:rPr>
          <w:rFonts w:hint="eastAsia" w:ascii="宋体" w:hAnsi="宋体"/>
          <w:sz w:val="24"/>
          <w:szCs w:val="21"/>
          <w:lang w:val="en-US" w:eastAsia="zh-CN"/>
        </w:rPr>
        <w:t>六</w:t>
      </w:r>
      <w:r>
        <w:rPr>
          <w:rFonts w:hint="eastAsia" w:ascii="宋体" w:hAnsi="宋体"/>
          <w:sz w:val="24"/>
          <w:szCs w:val="21"/>
        </w:rPr>
        <w:t>、拟投入人员一览表</w:t>
      </w:r>
    </w:p>
    <w:p>
      <w:pPr>
        <w:spacing w:line="560" w:lineRule="exact"/>
        <w:ind w:firstLine="482"/>
        <w:rPr>
          <w:rFonts w:ascii="宋体" w:hAnsi="宋体"/>
          <w:sz w:val="24"/>
          <w:szCs w:val="21"/>
        </w:rPr>
      </w:pPr>
      <w:r>
        <w:rPr>
          <w:rFonts w:hint="eastAsia" w:ascii="宋体" w:hAnsi="宋体"/>
          <w:sz w:val="24"/>
          <w:szCs w:val="21"/>
        </w:rPr>
        <w:t>十</w:t>
      </w:r>
      <w:r>
        <w:rPr>
          <w:rFonts w:hint="eastAsia" w:ascii="宋体" w:hAnsi="宋体"/>
          <w:sz w:val="24"/>
          <w:szCs w:val="21"/>
          <w:lang w:val="en-US" w:eastAsia="zh-CN"/>
        </w:rPr>
        <w:t>七</w:t>
      </w:r>
      <w:r>
        <w:rPr>
          <w:rFonts w:hint="eastAsia" w:ascii="宋体" w:hAnsi="宋体"/>
          <w:sz w:val="24"/>
          <w:szCs w:val="21"/>
        </w:rPr>
        <w:t>、主要标的信息</w:t>
      </w:r>
    </w:p>
    <w:p>
      <w:pPr>
        <w:spacing w:line="440" w:lineRule="exact"/>
        <w:rPr>
          <w:rFonts w:ascii="宋体" w:hAnsi="宋体"/>
          <w:sz w:val="24"/>
          <w:szCs w:val="21"/>
        </w:rPr>
      </w:pPr>
    </w:p>
    <w:p>
      <w:pPr>
        <w:spacing w:line="440" w:lineRule="exact"/>
        <w:ind w:firstLine="480"/>
        <w:rPr>
          <w:rFonts w:ascii="宋体" w:hAnsi="宋体"/>
          <w:sz w:val="24"/>
          <w:szCs w:val="21"/>
        </w:rPr>
      </w:pPr>
      <w:r>
        <w:rPr>
          <w:rFonts w:ascii="宋体" w:hAnsi="宋体"/>
          <w:sz w:val="24"/>
          <w:szCs w:val="21"/>
        </w:rPr>
        <w:br w:type="page" w:clear="all"/>
      </w:r>
    </w:p>
    <w:p>
      <w:pPr>
        <w:rPr>
          <w:rFonts w:ascii="黑体" w:hAnsi="黑体" w:eastAsia="黑体"/>
          <w:i/>
          <w:sz w:val="32"/>
          <w:szCs w:val="28"/>
          <w:u w:val="single"/>
        </w:rPr>
      </w:pPr>
      <w:r>
        <w:rPr>
          <w:rFonts w:hint="eastAsia" w:ascii="黑体" w:hAnsi="黑体" w:eastAsia="黑体"/>
          <w:i/>
          <w:sz w:val="32"/>
          <w:szCs w:val="28"/>
          <w:u w:val="single"/>
        </w:rPr>
        <w:t>一、法人或者其他组织的营业执照等证明文件，自然人的身份证明</w:t>
      </w:r>
    </w:p>
    <w:p>
      <w:pPr>
        <w:spacing w:line="440" w:lineRule="exact"/>
        <w:ind w:firstLine="480"/>
        <w:rPr>
          <w:rFonts w:ascii="宋体" w:hAnsi="宋体"/>
          <w:sz w:val="24"/>
          <w:szCs w:val="21"/>
        </w:rPr>
      </w:pPr>
    </w:p>
    <w:p>
      <w:pPr>
        <w:spacing w:line="440" w:lineRule="exact"/>
        <w:ind w:firstLine="480"/>
        <w:rPr>
          <w:rFonts w:ascii="宋体" w:hAnsi="宋体"/>
          <w:sz w:val="24"/>
          <w:szCs w:val="21"/>
        </w:rPr>
      </w:pPr>
    </w:p>
    <w:p>
      <w:pPr>
        <w:rPr>
          <w:rFonts w:ascii="黑体" w:hAnsi="黑体" w:eastAsia="黑体"/>
          <w:i/>
          <w:sz w:val="32"/>
          <w:szCs w:val="28"/>
          <w:u w:val="single"/>
        </w:rPr>
      </w:pPr>
      <w:r>
        <w:rPr>
          <w:rFonts w:hint="eastAsia" w:ascii="黑体" w:hAnsi="黑体" w:eastAsia="黑体"/>
          <w:i/>
          <w:sz w:val="32"/>
          <w:szCs w:val="28"/>
          <w:u w:val="single"/>
        </w:rPr>
        <w:t>二、上一年度的财务状况报告</w:t>
      </w:r>
    </w:p>
    <w:p>
      <w:pPr>
        <w:spacing w:line="440" w:lineRule="exact"/>
        <w:ind w:firstLine="420"/>
        <w:rPr>
          <w:rFonts w:ascii="宋体" w:hAnsi="宋体"/>
          <w:bCs/>
          <w:szCs w:val="18"/>
        </w:rPr>
      </w:pPr>
      <w:r>
        <w:rPr>
          <w:rFonts w:hint="eastAsia" w:ascii="宋体" w:hAnsi="宋体"/>
          <w:bCs/>
          <w:szCs w:val="18"/>
        </w:rPr>
        <w:t>供应商成立不满一年无需提供</w:t>
      </w:r>
    </w:p>
    <w:p>
      <w:pPr>
        <w:rPr>
          <w:rFonts w:ascii="黑体" w:hAnsi="黑体" w:eastAsia="黑体"/>
          <w:i/>
          <w:sz w:val="32"/>
          <w:szCs w:val="32"/>
          <w:u w:val="single"/>
        </w:rPr>
      </w:pPr>
    </w:p>
    <w:p>
      <w:pPr>
        <w:rPr>
          <w:rFonts w:ascii="黑体" w:hAnsi="黑体" w:eastAsia="黑体"/>
          <w:i/>
          <w:sz w:val="32"/>
          <w:szCs w:val="32"/>
          <w:u w:val="single"/>
        </w:rPr>
      </w:pPr>
    </w:p>
    <w:p>
      <w:pPr>
        <w:rPr>
          <w:rFonts w:ascii="黑体" w:hAnsi="黑体" w:eastAsia="黑体"/>
          <w:i/>
          <w:sz w:val="32"/>
          <w:szCs w:val="28"/>
          <w:u w:val="single"/>
        </w:rPr>
      </w:pPr>
      <w:r>
        <w:rPr>
          <w:rFonts w:hint="eastAsia" w:ascii="黑体" w:hAnsi="黑体" w:eastAsia="黑体"/>
          <w:i/>
          <w:sz w:val="32"/>
          <w:szCs w:val="28"/>
          <w:u w:val="single"/>
        </w:rPr>
        <w:t>三、依法缴纳税收和社会保障资金的相关材料</w:t>
      </w:r>
    </w:p>
    <w:p>
      <w:pPr>
        <w:spacing w:line="440" w:lineRule="exact"/>
        <w:ind w:firstLine="420"/>
        <w:rPr>
          <w:rFonts w:ascii="宋体" w:hAnsi="宋体"/>
          <w:bCs/>
          <w:szCs w:val="18"/>
        </w:rPr>
      </w:pPr>
      <w:r>
        <w:rPr>
          <w:rFonts w:hint="eastAsia" w:ascii="宋体" w:hAnsi="宋体"/>
          <w:bCs/>
          <w:szCs w:val="18"/>
        </w:rPr>
        <w:t>提供提交响应文件截止时间前一年内任意一个月依法缴纳税收及缴纳社会保障资金的证明材料。供应商依法享受缓缴、免缴税收、社会保障资金的提供证明材料。</w:t>
      </w:r>
    </w:p>
    <w:p>
      <w:pPr>
        <w:rPr>
          <w:rFonts w:ascii="黑体" w:hAnsi="黑体" w:eastAsia="黑体"/>
          <w:i/>
          <w:sz w:val="32"/>
          <w:szCs w:val="32"/>
          <w:u w:val="single"/>
        </w:rPr>
      </w:pPr>
    </w:p>
    <w:p>
      <w:pPr>
        <w:rPr>
          <w:rFonts w:ascii="黑体" w:hAnsi="黑体" w:eastAsia="黑体"/>
          <w:i/>
          <w:sz w:val="32"/>
          <w:szCs w:val="32"/>
          <w:u w:val="single"/>
        </w:rPr>
      </w:pPr>
    </w:p>
    <w:p>
      <w:pPr>
        <w:rPr>
          <w:rFonts w:ascii="黑体" w:hAnsi="黑体" w:eastAsia="黑体"/>
          <w:i/>
          <w:sz w:val="32"/>
          <w:szCs w:val="28"/>
          <w:u w:val="single"/>
        </w:rPr>
      </w:pPr>
      <w:r>
        <w:rPr>
          <w:rFonts w:hint="eastAsia" w:ascii="黑体" w:hAnsi="黑体" w:eastAsia="黑体"/>
          <w:i/>
          <w:sz w:val="32"/>
          <w:szCs w:val="28"/>
          <w:u w:val="single"/>
        </w:rPr>
        <w:t>四、具备履行合同所必需的设备和专业技术能力的书面声明</w:t>
      </w:r>
    </w:p>
    <w:p>
      <w:pPr>
        <w:spacing w:line="440" w:lineRule="exact"/>
        <w:ind w:firstLine="493"/>
        <w:rPr>
          <w:rFonts w:ascii="宋体" w:hAnsi="宋体"/>
          <w:bCs/>
          <w:szCs w:val="18"/>
        </w:rPr>
      </w:pPr>
      <w:r>
        <w:rPr>
          <w:rFonts w:hint="eastAsia" w:ascii="宋体" w:hAnsi="宋体"/>
          <w:bCs/>
          <w:szCs w:val="18"/>
        </w:rPr>
        <w:t>我单位郑重声明：我单位具备履行本项采购合同所必需的设备和专业技术能力，为履行本项采购合同我公司具备如下主要设备和主要专业技术能力：</w:t>
      </w:r>
    </w:p>
    <w:p>
      <w:pPr>
        <w:spacing w:line="440" w:lineRule="exact"/>
        <w:ind w:firstLine="493"/>
        <w:rPr>
          <w:rFonts w:ascii="宋体" w:hAnsi="宋体"/>
          <w:bCs/>
          <w:szCs w:val="18"/>
        </w:rPr>
      </w:pPr>
      <w:r>
        <w:rPr>
          <w:rFonts w:hint="eastAsia" w:ascii="宋体" w:hAnsi="宋体"/>
          <w:bCs/>
          <w:szCs w:val="18"/>
        </w:rPr>
        <w:t>主要设备有：</w:t>
      </w:r>
      <w:r>
        <w:rPr>
          <w:rFonts w:hint="eastAsia" w:ascii="宋体" w:hAnsi="宋体"/>
          <w:bCs/>
          <w:szCs w:val="18"/>
          <w:u w:val="single"/>
        </w:rPr>
        <w:t xml:space="preserve">  </w:t>
      </w:r>
      <w:r>
        <w:rPr>
          <w:rFonts w:hint="eastAsia" w:ascii="宋体" w:hAnsi="宋体"/>
          <w:bCs/>
          <w:szCs w:val="18"/>
        </w:rPr>
        <w:t>。</w:t>
      </w:r>
    </w:p>
    <w:p>
      <w:pPr>
        <w:spacing w:line="440" w:lineRule="exact"/>
        <w:ind w:firstLine="493"/>
        <w:rPr>
          <w:rFonts w:ascii="宋体" w:hAnsi="宋体"/>
          <w:bCs/>
          <w:szCs w:val="18"/>
        </w:rPr>
      </w:pPr>
      <w:r>
        <w:rPr>
          <w:rFonts w:hint="eastAsia" w:ascii="宋体" w:hAnsi="宋体"/>
          <w:bCs/>
          <w:szCs w:val="18"/>
        </w:rPr>
        <w:t>主要专业技术能力有：</w:t>
      </w:r>
      <w:r>
        <w:rPr>
          <w:rFonts w:hint="eastAsia" w:ascii="宋体" w:hAnsi="宋体"/>
          <w:bCs/>
          <w:szCs w:val="18"/>
          <w:u w:val="single"/>
        </w:rPr>
        <w:t xml:space="preserve">   </w:t>
      </w:r>
      <w:r>
        <w:rPr>
          <w:rFonts w:hint="eastAsia" w:ascii="宋体" w:hAnsi="宋体"/>
          <w:bCs/>
          <w:szCs w:val="18"/>
        </w:rPr>
        <w:t>。</w:t>
      </w:r>
    </w:p>
    <w:p>
      <w:pPr>
        <w:spacing w:line="460" w:lineRule="exact"/>
        <w:rPr>
          <w:rFonts w:ascii="宋体" w:hAnsi="宋体"/>
          <w:bCs/>
          <w:sz w:val="24"/>
          <w:szCs w:val="21"/>
        </w:rPr>
      </w:pPr>
      <w:r>
        <w:rPr>
          <w:rFonts w:hint="eastAsia" w:ascii="宋体" w:hAnsi="宋体"/>
          <w:bCs/>
          <w:sz w:val="24"/>
          <w:szCs w:val="21"/>
        </w:rPr>
        <w:t xml:space="preserve">                                     </w:t>
      </w:r>
    </w:p>
    <w:p>
      <w:pPr>
        <w:spacing w:line="360" w:lineRule="auto"/>
        <w:jc w:val="center"/>
        <w:rPr>
          <w:rFonts w:ascii="宋体" w:hAnsi="宋体"/>
          <w:bCs/>
          <w:szCs w:val="21"/>
          <w:highlight w:val="cyan"/>
        </w:rPr>
      </w:pPr>
      <w:r>
        <w:rPr>
          <w:rFonts w:hint="eastAsia" w:ascii="宋体" w:hAnsi="宋体"/>
          <w:bCs/>
          <w:szCs w:val="21"/>
          <w:lang w:val="en-US" w:eastAsia="zh-CN"/>
        </w:rPr>
        <w:t xml:space="preserve">                                 </w:t>
      </w:r>
      <w:r>
        <w:rPr>
          <w:rFonts w:hint="eastAsia" w:ascii="宋体" w:hAnsi="宋体"/>
          <w:bCs/>
          <w:szCs w:val="21"/>
        </w:rPr>
        <w:t>供应商名称</w:t>
      </w:r>
      <w:r>
        <w:rPr>
          <w:rFonts w:hint="eastAsia" w:ascii="宋体" w:hAnsi="宋体"/>
          <w:bCs/>
          <w:color w:val="000000"/>
          <w:szCs w:val="21"/>
        </w:rPr>
        <w:t>（</w:t>
      </w:r>
      <w:r>
        <w:rPr>
          <w:rFonts w:hint="eastAsia" w:ascii="宋体" w:hAnsi="宋体"/>
          <w:color w:val="000000"/>
          <w:szCs w:val="21"/>
        </w:rPr>
        <w:t>加盖CA电子公章</w:t>
      </w:r>
      <w:r>
        <w:rPr>
          <w:rFonts w:hint="eastAsia" w:ascii="宋体" w:hAnsi="宋体"/>
          <w:bCs/>
          <w:color w:val="000000"/>
          <w:szCs w:val="21"/>
        </w:rPr>
        <w:t>）</w:t>
      </w:r>
      <w:r>
        <w:rPr>
          <w:rFonts w:hint="eastAsia" w:ascii="宋体" w:hAnsi="宋体"/>
          <w:bCs/>
          <w:szCs w:val="21"/>
        </w:rPr>
        <w:t>：</w:t>
      </w:r>
      <w:r>
        <w:rPr>
          <w:rFonts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bCs/>
          <w:szCs w:val="21"/>
        </w:rPr>
        <w:t xml:space="preserve">                  </w:t>
      </w:r>
    </w:p>
    <w:p>
      <w:pPr>
        <w:ind w:firstLine="5040" w:firstLineChars="2400"/>
        <w:rPr>
          <w:rFonts w:ascii="Times New Roman" w:hAnsi="Times New Roman"/>
          <w:szCs w:val="21"/>
        </w:rPr>
      </w:pPr>
      <w:r>
        <w:rPr>
          <w:rFonts w:hint="eastAsia" w:ascii="宋体" w:hAnsi="宋体"/>
          <w:bCs/>
          <w:szCs w:val="21"/>
        </w:rPr>
        <w:t>日期：______年______月______日</w:t>
      </w:r>
      <w:r>
        <w:rPr>
          <w:rFonts w:ascii="宋体" w:hAnsi="宋体"/>
          <w:bCs/>
          <w:szCs w:val="21"/>
        </w:rPr>
        <w:t xml:space="preserve"> </w:t>
      </w:r>
    </w:p>
    <w:p>
      <w:pPr>
        <w:rPr>
          <w:rFonts w:ascii="Times New Roman" w:hAnsi="Times New Roman"/>
          <w:szCs w:val="21"/>
        </w:rPr>
      </w:pPr>
    </w:p>
    <w:p>
      <w:pPr>
        <w:rPr>
          <w:rFonts w:hint="eastAsia" w:ascii="黑体" w:hAnsi="黑体" w:eastAsia="黑体"/>
          <w:i/>
          <w:sz w:val="32"/>
          <w:szCs w:val="28"/>
          <w:u w:val="single"/>
        </w:rPr>
      </w:pPr>
    </w:p>
    <w:p>
      <w:pPr>
        <w:rPr>
          <w:rFonts w:hint="eastAsia" w:ascii="黑体" w:hAnsi="黑体" w:eastAsia="黑体"/>
          <w:i/>
          <w:sz w:val="32"/>
          <w:szCs w:val="28"/>
          <w:u w:val="single"/>
        </w:rPr>
      </w:pPr>
    </w:p>
    <w:p>
      <w:pPr>
        <w:rPr>
          <w:rFonts w:hint="eastAsia" w:ascii="黑体" w:hAnsi="黑体" w:eastAsia="黑体"/>
          <w:i/>
          <w:sz w:val="32"/>
          <w:szCs w:val="28"/>
          <w:u w:val="single"/>
        </w:rPr>
      </w:pPr>
    </w:p>
    <w:p>
      <w:pPr>
        <w:rPr>
          <w:rFonts w:hint="eastAsia" w:ascii="黑体" w:hAnsi="黑体" w:eastAsia="黑体"/>
          <w:i/>
          <w:sz w:val="32"/>
          <w:szCs w:val="28"/>
          <w:u w:val="single"/>
        </w:rPr>
      </w:pPr>
    </w:p>
    <w:p>
      <w:pPr>
        <w:rPr>
          <w:rFonts w:hint="eastAsia" w:ascii="黑体" w:hAnsi="黑体" w:eastAsia="黑体"/>
          <w:i/>
          <w:sz w:val="32"/>
          <w:szCs w:val="28"/>
          <w:u w:val="single"/>
        </w:rPr>
      </w:pPr>
    </w:p>
    <w:p>
      <w:pPr>
        <w:rPr>
          <w:rFonts w:hint="eastAsia" w:ascii="黑体" w:hAnsi="黑体" w:eastAsia="黑体"/>
          <w:i/>
          <w:sz w:val="32"/>
          <w:szCs w:val="28"/>
          <w:u w:val="single"/>
        </w:rPr>
      </w:pPr>
    </w:p>
    <w:p>
      <w:pPr>
        <w:rPr>
          <w:rFonts w:hint="eastAsia" w:ascii="黑体" w:hAnsi="黑体" w:eastAsia="黑体"/>
          <w:i/>
          <w:sz w:val="32"/>
          <w:szCs w:val="28"/>
          <w:u w:val="single"/>
        </w:rPr>
      </w:pPr>
    </w:p>
    <w:p>
      <w:pPr>
        <w:rPr>
          <w:rFonts w:hint="eastAsia" w:ascii="黑体" w:hAnsi="黑体" w:eastAsia="黑体"/>
          <w:i/>
          <w:sz w:val="32"/>
          <w:szCs w:val="28"/>
          <w:u w:val="single"/>
        </w:rPr>
      </w:pPr>
    </w:p>
    <w:p>
      <w:pPr>
        <w:rPr>
          <w:rFonts w:hint="eastAsia" w:ascii="黑体" w:hAnsi="黑体" w:eastAsia="黑体"/>
          <w:i/>
          <w:sz w:val="32"/>
          <w:szCs w:val="28"/>
          <w:u w:val="single"/>
        </w:rPr>
      </w:pPr>
    </w:p>
    <w:p>
      <w:pPr>
        <w:rPr>
          <w:rFonts w:hint="eastAsia" w:ascii="黑体" w:hAnsi="黑体" w:eastAsia="黑体"/>
          <w:i/>
          <w:sz w:val="32"/>
          <w:szCs w:val="28"/>
          <w:u w:val="single"/>
        </w:rPr>
      </w:pPr>
    </w:p>
    <w:p>
      <w:pPr>
        <w:rPr>
          <w:rFonts w:ascii="黑体" w:hAnsi="黑体" w:eastAsia="黑体"/>
          <w:i/>
          <w:sz w:val="32"/>
          <w:szCs w:val="28"/>
          <w:u w:val="single"/>
        </w:rPr>
      </w:pPr>
      <w:r>
        <w:rPr>
          <w:rFonts w:hint="eastAsia" w:ascii="黑体" w:hAnsi="黑体" w:eastAsia="黑体"/>
          <w:i/>
          <w:sz w:val="32"/>
          <w:szCs w:val="28"/>
          <w:u w:val="single"/>
        </w:rPr>
        <w:t>五、参加政府采购活动前 3 年内在经营活动中没有重大违法记录的书面声明</w:t>
      </w:r>
    </w:p>
    <w:p>
      <w:pPr>
        <w:spacing w:line="460" w:lineRule="exact"/>
        <w:rPr>
          <w:rFonts w:ascii="宋体" w:hAnsi="宋体"/>
          <w:b/>
          <w:bCs/>
          <w:sz w:val="44"/>
          <w:szCs w:val="44"/>
          <w:highlight w:val="none"/>
        </w:rPr>
      </w:pPr>
      <w:r>
        <w:rPr>
          <w:rFonts w:hint="eastAsia" w:ascii="宋体" w:hAnsi="宋体"/>
          <w:b/>
          <w:bCs/>
          <w:sz w:val="44"/>
          <w:szCs w:val="44"/>
        </w:rPr>
        <w:t xml:space="preserve">           </w:t>
      </w:r>
      <w:r>
        <w:rPr>
          <w:rFonts w:hint="eastAsia" w:ascii="宋体" w:hAnsi="宋体"/>
          <w:b/>
          <w:bCs/>
          <w:sz w:val="44"/>
          <w:szCs w:val="44"/>
          <w:highlight w:val="none"/>
        </w:rPr>
        <w:t xml:space="preserve">      </w:t>
      </w:r>
      <w:r>
        <w:rPr>
          <w:rFonts w:hint="eastAsia" w:ascii="宋体" w:hAnsi="宋体"/>
          <w:b/>
          <w:bCs/>
          <w:sz w:val="36"/>
          <w:szCs w:val="36"/>
          <w:highlight w:val="none"/>
        </w:rPr>
        <w:t>声  明</w:t>
      </w:r>
    </w:p>
    <w:p>
      <w:pPr>
        <w:spacing w:line="440" w:lineRule="exact"/>
        <w:rPr>
          <w:rFonts w:ascii="宋体" w:hAnsi="宋体"/>
          <w:bCs/>
          <w:szCs w:val="18"/>
        </w:rPr>
      </w:pPr>
      <w:r>
        <w:rPr>
          <w:rFonts w:hint="eastAsia" w:ascii="宋体" w:hAnsi="宋体"/>
          <w:b/>
          <w:bCs/>
          <w:sz w:val="24"/>
          <w:szCs w:val="21"/>
        </w:rPr>
        <w:t xml:space="preserve">    </w:t>
      </w:r>
      <w:r>
        <w:rPr>
          <w:rFonts w:hint="eastAsia" w:ascii="宋体" w:hAnsi="宋体"/>
          <w:bCs/>
          <w:szCs w:val="18"/>
        </w:rPr>
        <w:t>我单位郑重声明：参加本次政府采购活动前 3 年内，我单位在经营活动中没有因违法经营受到刑事处罚或者责令停产停业、吊销许可证或者执照、较大数额罚款等行政处罚。</w:t>
      </w:r>
    </w:p>
    <w:p>
      <w:pPr>
        <w:rPr>
          <w:rFonts w:ascii="黑体" w:hAnsi="黑体" w:eastAsia="黑体"/>
          <w:i/>
          <w:sz w:val="32"/>
          <w:szCs w:val="32"/>
          <w:u w:val="single"/>
        </w:rPr>
      </w:pPr>
    </w:p>
    <w:p>
      <w:pPr>
        <w:spacing w:line="360" w:lineRule="auto"/>
        <w:ind w:left="4410"/>
        <w:rPr>
          <w:rFonts w:ascii="宋体" w:hAnsi="宋体"/>
          <w:bCs/>
          <w:szCs w:val="21"/>
        </w:rPr>
      </w:pPr>
      <w:r>
        <w:rPr>
          <w:rFonts w:hint="eastAsia" w:ascii="宋体" w:hAnsi="宋体"/>
          <w:bCs/>
          <w:szCs w:val="21"/>
        </w:rPr>
        <w:t>供应商名称</w:t>
      </w:r>
      <w:r>
        <w:rPr>
          <w:rFonts w:hint="eastAsia" w:ascii="宋体" w:hAnsi="宋体"/>
          <w:bCs/>
          <w:color w:val="000000"/>
          <w:szCs w:val="21"/>
        </w:rPr>
        <w:t>（</w:t>
      </w:r>
      <w:r>
        <w:rPr>
          <w:rFonts w:hint="eastAsia" w:ascii="宋体" w:hAnsi="宋体"/>
          <w:color w:val="000000"/>
          <w:szCs w:val="21"/>
        </w:rPr>
        <w:t>加盖CA电子公章</w:t>
      </w:r>
      <w:r>
        <w:rPr>
          <w:rFonts w:hint="eastAsia" w:ascii="宋体" w:hAnsi="宋体"/>
          <w:bCs/>
          <w:color w:val="000000"/>
          <w:szCs w:val="21"/>
        </w:rPr>
        <w:t>）</w:t>
      </w:r>
      <w:r>
        <w:rPr>
          <w:rFonts w:hint="eastAsia" w:ascii="宋体" w:hAnsi="宋体"/>
          <w:bCs/>
          <w:szCs w:val="21"/>
        </w:rPr>
        <w:t>：</w:t>
      </w:r>
      <w:r>
        <w:rPr>
          <w:rFonts w:ascii="宋体" w:hAnsi="宋体"/>
          <w:bCs/>
          <w:szCs w:val="21"/>
          <w:u w:val="single"/>
        </w:rPr>
        <w:t xml:space="preserve">                   </w:t>
      </w:r>
    </w:p>
    <w:p>
      <w:pPr>
        <w:spacing w:line="360" w:lineRule="auto"/>
        <w:jc w:val="center"/>
        <w:rPr>
          <w:rFonts w:ascii="宋体" w:hAnsi="宋体"/>
          <w:bCs/>
          <w:szCs w:val="21"/>
          <w:highlight w:val="none"/>
        </w:rPr>
      </w:pPr>
      <w:r>
        <w:rPr>
          <w:rFonts w:hint="eastAsia" w:ascii="宋体" w:hAnsi="宋体"/>
          <w:bCs/>
          <w:szCs w:val="21"/>
        </w:rPr>
        <w:t xml:space="preserve">              </w:t>
      </w:r>
      <w:r>
        <w:rPr>
          <w:rFonts w:hint="eastAsia" w:ascii="宋体" w:hAnsi="宋体"/>
          <w:bCs/>
          <w:szCs w:val="21"/>
          <w:lang w:val="en-US" w:eastAsia="zh-CN"/>
        </w:rPr>
        <w:t xml:space="preserve"> </w:t>
      </w:r>
      <w:r>
        <w:rPr>
          <w:rFonts w:hint="eastAsia" w:ascii="宋体" w:hAnsi="宋体"/>
          <w:bCs/>
          <w:szCs w:val="21"/>
        </w:rPr>
        <w:t xml:space="preserve">     </w:t>
      </w:r>
      <w:r>
        <w:rPr>
          <w:rFonts w:hint="eastAsia" w:ascii="宋体" w:hAnsi="宋体"/>
          <w:bCs/>
          <w:szCs w:val="21"/>
          <w:highlight w:val="none"/>
        </w:rPr>
        <w:t xml:space="preserve">  法定代表人签章：</w:t>
      </w:r>
      <w:r>
        <w:rPr>
          <w:rFonts w:ascii="宋体" w:hAnsi="宋体"/>
          <w:bCs/>
          <w:szCs w:val="21"/>
          <w:highlight w:val="none"/>
          <w:u w:val="single"/>
        </w:rPr>
        <w:t xml:space="preserve">                    </w:t>
      </w:r>
    </w:p>
    <w:p>
      <w:pPr>
        <w:spacing w:line="360" w:lineRule="auto"/>
        <w:jc w:val="right"/>
        <w:rPr>
          <w:rFonts w:ascii="宋体" w:hAnsi="宋体"/>
          <w:bCs/>
          <w:szCs w:val="21"/>
        </w:rPr>
      </w:pPr>
      <w:r>
        <w:rPr>
          <w:rFonts w:hint="eastAsia" w:ascii="宋体" w:hAnsi="宋体"/>
          <w:bCs/>
          <w:szCs w:val="21"/>
        </w:rPr>
        <w:t>日期：______年______月______日</w:t>
      </w:r>
      <w:r>
        <w:rPr>
          <w:rFonts w:ascii="宋体" w:hAnsi="宋体"/>
          <w:bCs/>
          <w:szCs w:val="21"/>
        </w:rPr>
        <w:t xml:space="preserve"> </w:t>
      </w:r>
    </w:p>
    <w:p>
      <w:pPr>
        <w:rPr>
          <w:rFonts w:hint="eastAsia" w:ascii="黑体" w:hAnsi="黑体" w:eastAsia="黑体"/>
          <w:i/>
          <w:sz w:val="32"/>
          <w:szCs w:val="28"/>
          <w:u w:val="single"/>
        </w:rPr>
      </w:pPr>
    </w:p>
    <w:p>
      <w:pPr>
        <w:rPr>
          <w:rFonts w:hint="eastAsia" w:ascii="黑体" w:hAnsi="黑体" w:eastAsia="黑体"/>
          <w:i/>
          <w:sz w:val="32"/>
          <w:szCs w:val="28"/>
          <w:u w:val="single"/>
        </w:rPr>
      </w:pPr>
    </w:p>
    <w:p>
      <w:pPr>
        <w:rPr>
          <w:rFonts w:hint="eastAsia" w:ascii="黑体" w:hAnsi="黑体" w:eastAsia="黑体"/>
          <w:i/>
          <w:sz w:val="32"/>
          <w:szCs w:val="28"/>
          <w:u w:val="single"/>
        </w:rPr>
      </w:pPr>
    </w:p>
    <w:p>
      <w:pPr>
        <w:rPr>
          <w:rFonts w:hint="eastAsia" w:ascii="黑体" w:hAnsi="黑体" w:eastAsia="黑体"/>
          <w:i/>
          <w:sz w:val="32"/>
          <w:szCs w:val="28"/>
          <w:u w:val="single"/>
        </w:rPr>
      </w:pPr>
    </w:p>
    <w:p>
      <w:pPr>
        <w:rPr>
          <w:rFonts w:hint="eastAsia" w:ascii="黑体" w:hAnsi="黑体" w:eastAsia="黑体"/>
          <w:i/>
          <w:sz w:val="32"/>
          <w:szCs w:val="28"/>
          <w:u w:val="single"/>
        </w:rPr>
      </w:pPr>
    </w:p>
    <w:p>
      <w:pPr>
        <w:rPr>
          <w:rFonts w:hint="eastAsia" w:ascii="黑体" w:hAnsi="黑体" w:eastAsia="黑体"/>
          <w:i/>
          <w:sz w:val="32"/>
          <w:szCs w:val="28"/>
          <w:u w:val="single"/>
        </w:rPr>
      </w:pPr>
    </w:p>
    <w:p>
      <w:pPr>
        <w:rPr>
          <w:rFonts w:hint="eastAsia" w:ascii="黑体" w:hAnsi="黑体" w:eastAsia="黑体"/>
          <w:i/>
          <w:sz w:val="32"/>
          <w:szCs w:val="28"/>
          <w:u w:val="single"/>
        </w:rPr>
      </w:pPr>
    </w:p>
    <w:p>
      <w:pPr>
        <w:rPr>
          <w:rFonts w:hint="eastAsia" w:ascii="黑体" w:hAnsi="黑体" w:eastAsia="黑体"/>
          <w:i/>
          <w:sz w:val="32"/>
          <w:szCs w:val="28"/>
          <w:u w:val="single"/>
        </w:rPr>
      </w:pPr>
    </w:p>
    <w:p>
      <w:pPr>
        <w:rPr>
          <w:rFonts w:hint="eastAsia" w:ascii="黑体" w:hAnsi="黑体" w:eastAsia="黑体"/>
          <w:i/>
          <w:sz w:val="32"/>
          <w:szCs w:val="28"/>
          <w:u w:val="single"/>
        </w:rPr>
      </w:pPr>
    </w:p>
    <w:p>
      <w:pPr>
        <w:rPr>
          <w:rFonts w:hint="eastAsia" w:ascii="黑体" w:hAnsi="黑体" w:eastAsia="黑体"/>
          <w:i/>
          <w:sz w:val="32"/>
          <w:szCs w:val="28"/>
          <w:u w:val="single"/>
        </w:rPr>
      </w:pPr>
    </w:p>
    <w:p>
      <w:pPr>
        <w:rPr>
          <w:rFonts w:hint="eastAsia" w:ascii="黑体" w:hAnsi="黑体" w:eastAsia="黑体"/>
          <w:i/>
          <w:sz w:val="32"/>
          <w:szCs w:val="28"/>
          <w:u w:val="single"/>
        </w:rPr>
      </w:pPr>
    </w:p>
    <w:p>
      <w:pPr>
        <w:rPr>
          <w:rFonts w:hint="eastAsia" w:ascii="黑体" w:hAnsi="黑体" w:eastAsia="黑体"/>
          <w:i/>
          <w:sz w:val="32"/>
          <w:szCs w:val="28"/>
          <w:u w:val="single"/>
        </w:rPr>
      </w:pPr>
    </w:p>
    <w:p>
      <w:pPr>
        <w:rPr>
          <w:rFonts w:hint="eastAsia" w:ascii="黑体" w:hAnsi="黑体" w:eastAsia="黑体"/>
          <w:i/>
          <w:sz w:val="32"/>
          <w:szCs w:val="28"/>
          <w:u w:val="single"/>
        </w:rPr>
      </w:pPr>
    </w:p>
    <w:p>
      <w:pPr>
        <w:rPr>
          <w:rFonts w:hint="eastAsia" w:ascii="黑体" w:hAnsi="黑体" w:eastAsia="黑体"/>
          <w:i/>
          <w:sz w:val="32"/>
          <w:szCs w:val="28"/>
          <w:u w:val="single"/>
        </w:rPr>
      </w:pPr>
    </w:p>
    <w:p>
      <w:pPr>
        <w:rPr>
          <w:rFonts w:hint="eastAsia" w:ascii="黑体" w:hAnsi="黑体" w:eastAsia="黑体"/>
          <w:i/>
          <w:sz w:val="32"/>
          <w:szCs w:val="28"/>
          <w:u w:val="single"/>
        </w:rPr>
      </w:pPr>
    </w:p>
    <w:p>
      <w:pPr>
        <w:rPr>
          <w:rFonts w:hint="eastAsia" w:ascii="黑体" w:hAnsi="黑体" w:eastAsia="黑体"/>
          <w:i/>
          <w:sz w:val="32"/>
          <w:szCs w:val="28"/>
          <w:u w:val="single"/>
        </w:rPr>
      </w:pPr>
    </w:p>
    <w:p>
      <w:pPr>
        <w:rPr>
          <w:rFonts w:hint="eastAsia" w:ascii="黑体" w:hAnsi="黑体" w:eastAsia="黑体"/>
          <w:i/>
          <w:sz w:val="32"/>
          <w:szCs w:val="28"/>
          <w:u w:val="single"/>
        </w:rPr>
      </w:pPr>
    </w:p>
    <w:p>
      <w:pPr>
        <w:rPr>
          <w:rFonts w:hint="eastAsia" w:ascii="黑体" w:hAnsi="黑体" w:eastAsia="黑体"/>
          <w:i/>
          <w:sz w:val="32"/>
          <w:szCs w:val="28"/>
          <w:u w:val="single"/>
        </w:rPr>
      </w:pPr>
    </w:p>
    <w:p>
      <w:pPr>
        <w:rPr>
          <w:rFonts w:hint="eastAsia" w:ascii="黑体" w:hAnsi="黑体" w:eastAsia="黑体"/>
          <w:i/>
          <w:sz w:val="32"/>
          <w:szCs w:val="28"/>
          <w:u w:val="single"/>
        </w:rPr>
      </w:pPr>
    </w:p>
    <w:p>
      <w:pPr>
        <w:rPr>
          <w:rFonts w:hint="eastAsia" w:ascii="黑体" w:hAnsi="黑体" w:eastAsia="黑体"/>
          <w:i/>
          <w:sz w:val="32"/>
          <w:szCs w:val="28"/>
          <w:u w:val="single"/>
        </w:rPr>
      </w:pPr>
    </w:p>
    <w:p>
      <w:pPr>
        <w:rPr>
          <w:rFonts w:hint="eastAsia" w:ascii="黑体" w:hAnsi="黑体" w:eastAsia="黑体"/>
          <w:i/>
          <w:sz w:val="32"/>
          <w:szCs w:val="28"/>
          <w:u w:val="single"/>
        </w:rPr>
      </w:pPr>
    </w:p>
    <w:p>
      <w:pPr>
        <w:rPr>
          <w:rFonts w:hint="eastAsia" w:ascii="黑体" w:hAnsi="黑体" w:eastAsia="黑体"/>
          <w:i/>
          <w:sz w:val="32"/>
          <w:szCs w:val="28"/>
          <w:u w:val="single"/>
        </w:rPr>
      </w:pPr>
    </w:p>
    <w:p>
      <w:pPr>
        <w:rPr>
          <w:rFonts w:hint="eastAsia" w:ascii="黑体" w:hAnsi="黑体" w:eastAsia="黑体"/>
          <w:i/>
          <w:sz w:val="32"/>
          <w:szCs w:val="28"/>
          <w:u w:val="single"/>
        </w:rPr>
      </w:pPr>
    </w:p>
    <w:p>
      <w:pPr>
        <w:rPr>
          <w:rFonts w:ascii="宋体" w:hAnsi="宋体"/>
          <w:sz w:val="24"/>
          <w:szCs w:val="21"/>
        </w:rPr>
      </w:pPr>
      <w:r>
        <w:rPr>
          <w:rFonts w:hint="eastAsia" w:ascii="黑体" w:hAnsi="黑体" w:eastAsia="黑体"/>
          <w:i/>
          <w:sz w:val="32"/>
          <w:szCs w:val="28"/>
          <w:u w:val="single"/>
        </w:rPr>
        <w:t>六、供应商信用承诺函</w:t>
      </w:r>
    </w:p>
    <w:p>
      <w:pPr>
        <w:spacing w:before="120" w:line="360" w:lineRule="auto"/>
        <w:jc w:val="center"/>
        <w:rPr>
          <w:rFonts w:ascii="宋体" w:hAnsi="宋体"/>
          <w:sz w:val="24"/>
          <w:szCs w:val="21"/>
        </w:rPr>
      </w:pPr>
      <w:r>
        <w:rPr>
          <w:rFonts w:hint="eastAsia" w:ascii="宋体" w:hAnsi="宋体"/>
          <w:sz w:val="24"/>
          <w:szCs w:val="21"/>
        </w:rPr>
        <w:t>供应商信用承诺函</w:t>
      </w:r>
    </w:p>
    <w:p>
      <w:pPr>
        <w:spacing w:line="360" w:lineRule="auto"/>
        <w:rPr>
          <w:rFonts w:ascii="宋体" w:hAnsi="宋体"/>
          <w:szCs w:val="21"/>
        </w:rPr>
      </w:pPr>
    </w:p>
    <w:p>
      <w:pPr>
        <w:spacing w:line="360" w:lineRule="auto"/>
        <w:rPr>
          <w:rFonts w:ascii="宋体" w:hAnsi="宋体"/>
          <w:szCs w:val="21"/>
        </w:rPr>
      </w:pPr>
      <w:r>
        <w:rPr>
          <w:rFonts w:hint="eastAsia" w:ascii="宋体" w:hAnsi="宋体"/>
          <w:szCs w:val="21"/>
        </w:rPr>
        <w:t>承诺主体名称：</w:t>
      </w:r>
    </w:p>
    <w:p>
      <w:pPr>
        <w:spacing w:line="360" w:lineRule="auto"/>
        <w:rPr>
          <w:rFonts w:ascii="宋体" w:hAnsi="宋体"/>
          <w:szCs w:val="21"/>
        </w:rPr>
      </w:pPr>
      <w:r>
        <w:rPr>
          <w:rFonts w:hint="eastAsia" w:ascii="宋体" w:hAnsi="宋体"/>
          <w:szCs w:val="21"/>
        </w:rPr>
        <w:t>统一社会信用代码：</w:t>
      </w:r>
    </w:p>
    <w:p>
      <w:pPr>
        <w:spacing w:line="360" w:lineRule="auto"/>
        <w:rPr>
          <w:rFonts w:ascii="宋体" w:hAnsi="宋体"/>
          <w:szCs w:val="21"/>
        </w:rPr>
      </w:pPr>
    </w:p>
    <w:p>
      <w:pPr>
        <w:spacing w:line="360" w:lineRule="auto"/>
        <w:ind w:firstLine="420"/>
        <w:rPr>
          <w:rFonts w:ascii="宋体" w:hAnsi="宋体"/>
          <w:szCs w:val="21"/>
        </w:rPr>
      </w:pPr>
      <w:r>
        <w:rPr>
          <w:rFonts w:hint="eastAsia" w:ascii="宋体" w:hAnsi="宋体"/>
          <w:szCs w:val="21"/>
        </w:rPr>
        <w:t>为维护公平竞争、规范有序的市场秩序，营造诚实守信的信用环境，共同推进社会信用体系建设完善，树立企业诚信守法形象，本企业对________________________项目政府采购活动郑重承诺如下:</w:t>
      </w:r>
    </w:p>
    <w:p>
      <w:pPr>
        <w:spacing w:line="360" w:lineRule="auto"/>
        <w:ind w:firstLine="420"/>
        <w:rPr>
          <w:rFonts w:ascii="宋体" w:hAnsi="宋体"/>
          <w:szCs w:val="21"/>
        </w:rPr>
      </w:pPr>
      <w:r>
        <w:rPr>
          <w:rFonts w:hint="eastAsia" w:ascii="宋体" w:hAnsi="宋体"/>
          <w:szCs w:val="21"/>
        </w:rPr>
        <w:t>一、对提供给注册登记部门、行业管理部门、司法部门、行业组织以及在政府采购活动中提交的所有资料的合法性、真实性、准确性和有效性负责；</w:t>
      </w:r>
    </w:p>
    <w:p>
      <w:pPr>
        <w:spacing w:line="360" w:lineRule="auto"/>
        <w:ind w:firstLine="420"/>
        <w:rPr>
          <w:rFonts w:ascii="宋体" w:hAnsi="宋体"/>
          <w:szCs w:val="21"/>
        </w:rPr>
      </w:pPr>
      <w:r>
        <w:rPr>
          <w:rFonts w:hint="eastAsia" w:ascii="宋体" w:hAnsi="宋体"/>
          <w:szCs w:val="21"/>
        </w:rPr>
        <w:t>二、严格按照国家法律、法规和规章开展采购活动，全面履行应尽的责任和义务，全面做到履约守信，具备《中华人民共和国政府采购法》第二十二条第一款规定的条件；</w:t>
      </w:r>
    </w:p>
    <w:p>
      <w:pPr>
        <w:spacing w:line="360" w:lineRule="auto"/>
        <w:ind w:firstLine="420"/>
        <w:rPr>
          <w:rFonts w:ascii="宋体" w:hAnsi="宋体"/>
          <w:szCs w:val="21"/>
        </w:rPr>
      </w:pPr>
      <w:r>
        <w:rPr>
          <w:rFonts w:hint="eastAsia" w:ascii="宋体" w:hAnsi="宋体"/>
          <w:szCs w:val="21"/>
        </w:rPr>
        <w:t>三、严格依法开展生产经营活动，主动接受行业监管，自愿接受依法开展的日常检查；违法失信经营后将自愿接受约束和惩戒，并依法承担相应责任；</w:t>
      </w:r>
    </w:p>
    <w:p>
      <w:pPr>
        <w:spacing w:line="360" w:lineRule="auto"/>
        <w:ind w:firstLine="420"/>
        <w:rPr>
          <w:rFonts w:ascii="宋体" w:hAnsi="宋体"/>
          <w:szCs w:val="21"/>
        </w:rPr>
      </w:pPr>
      <w:r>
        <w:rPr>
          <w:rFonts w:hint="eastAsia" w:ascii="宋体" w:hAnsi="宋体"/>
          <w:szCs w:val="21"/>
        </w:rPr>
        <w:t>四、自觉接受行政管理部门、行业组织、社会公众、新闻舆论的监督；</w:t>
      </w:r>
    </w:p>
    <w:p>
      <w:pPr>
        <w:spacing w:line="360" w:lineRule="auto"/>
        <w:ind w:firstLine="420"/>
        <w:rPr>
          <w:rFonts w:ascii="宋体" w:hAnsi="宋体"/>
          <w:szCs w:val="21"/>
        </w:rPr>
      </w:pPr>
      <w:r>
        <w:rPr>
          <w:rFonts w:hint="eastAsia" w:ascii="宋体" w:hAnsi="宋体"/>
          <w:szCs w:val="21"/>
        </w:rPr>
        <w:t>五、自觉做到自我约束、自我管理，不制假售假、商标侵权、虚假宣传、违约毁约、恶意逃债、偷税漏税、垄断和不正当竞争，维护经营者、消费者的合法权益；</w:t>
      </w:r>
    </w:p>
    <w:p>
      <w:pPr>
        <w:spacing w:line="360" w:lineRule="auto"/>
        <w:ind w:firstLine="420"/>
        <w:rPr>
          <w:rFonts w:ascii="宋体" w:hAnsi="宋体"/>
          <w:szCs w:val="21"/>
        </w:rPr>
      </w:pPr>
      <w:r>
        <w:rPr>
          <w:rFonts w:hint="eastAsia" w:ascii="宋体" w:hAnsi="宋体"/>
          <w:szCs w:val="21"/>
        </w:rPr>
        <w:t>六、提出政府采购质疑和投诉坚持依法依规、诚实信用原则，在全国范围12个月内没有三次以上查无实据的政府采购投诉；</w:t>
      </w:r>
    </w:p>
    <w:p>
      <w:pPr>
        <w:spacing w:line="360" w:lineRule="auto"/>
        <w:ind w:firstLine="420"/>
        <w:rPr>
          <w:rFonts w:ascii="宋体" w:hAnsi="宋体"/>
          <w:szCs w:val="21"/>
        </w:rPr>
      </w:pPr>
      <w:r>
        <w:rPr>
          <w:rFonts w:hint="eastAsia" w:ascii="宋体" w:hAnsi="宋体"/>
          <w:szCs w:val="21"/>
        </w:rPr>
        <w:t>七、严格遵守信用信息公示相关规定，向社会公示信用信息；</w:t>
      </w:r>
    </w:p>
    <w:p>
      <w:pPr>
        <w:spacing w:line="360" w:lineRule="auto"/>
        <w:ind w:firstLine="420"/>
        <w:rPr>
          <w:rFonts w:ascii="宋体" w:hAnsi="宋体"/>
          <w:szCs w:val="21"/>
        </w:rPr>
      </w:pPr>
      <w:r>
        <w:rPr>
          <w:rFonts w:hint="eastAsia" w:ascii="宋体" w:hAnsi="宋体"/>
          <w:szCs w:val="21"/>
        </w:rPr>
        <w:t>八、在“信用中国”和“中国政府采购网”网站中无违法违规、较重或严重失信记录；</w:t>
      </w:r>
    </w:p>
    <w:p>
      <w:pPr>
        <w:spacing w:line="360" w:lineRule="auto"/>
        <w:ind w:firstLine="420"/>
        <w:rPr>
          <w:rFonts w:ascii="宋体" w:hAnsi="宋体"/>
          <w:szCs w:val="21"/>
        </w:rPr>
      </w:pPr>
      <w:r>
        <w:rPr>
          <w:rFonts w:hint="eastAsia" w:ascii="宋体" w:hAnsi="宋体"/>
          <w:szCs w:val="21"/>
        </w:rPr>
        <w:t>九、如违反承诺，自愿接受管理部门依法给予的行政处罚，同意将违反承诺的行为作为不良记录记入信用档案，依法依规进行信息公示，并承担所产生的一切法律责任和经济损失。</w:t>
      </w:r>
    </w:p>
    <w:p>
      <w:pPr>
        <w:spacing w:line="360" w:lineRule="auto"/>
        <w:ind w:firstLine="420"/>
        <w:rPr>
          <w:rFonts w:ascii="宋体" w:hAnsi="宋体"/>
          <w:szCs w:val="21"/>
        </w:rPr>
      </w:pPr>
      <w:r>
        <w:rPr>
          <w:rFonts w:hint="eastAsia" w:ascii="宋体" w:hAnsi="宋体"/>
          <w:szCs w:val="21"/>
        </w:rPr>
        <w:t>十、本承诺书自签订之日起生效。</w:t>
      </w:r>
    </w:p>
    <w:p>
      <w:pPr>
        <w:spacing w:line="360" w:lineRule="auto"/>
        <w:ind w:firstLine="420"/>
        <w:rPr>
          <w:rFonts w:ascii="宋体" w:hAnsi="宋体"/>
          <w:szCs w:val="21"/>
        </w:rPr>
      </w:pPr>
      <w:r>
        <w:rPr>
          <w:rFonts w:hint="eastAsia" w:ascii="宋体" w:hAnsi="宋体"/>
          <w:szCs w:val="21"/>
        </w:rPr>
        <w:t> （注：法定代表人或负责人、主体名称发生变更的应当重新做出承诺。）</w:t>
      </w:r>
    </w:p>
    <w:p/>
    <w:p/>
    <w:p>
      <w:pPr>
        <w:spacing w:line="432" w:lineRule="auto"/>
        <w:jc w:val="center"/>
        <w:rPr>
          <w:rFonts w:ascii="宋体" w:hAnsi="宋体"/>
          <w:szCs w:val="21"/>
        </w:rPr>
      </w:pPr>
      <w:r>
        <w:rPr>
          <w:rFonts w:hint="eastAsia" w:ascii="宋体" w:hAnsi="宋体"/>
          <w:szCs w:val="21"/>
        </w:rPr>
        <w:t xml:space="preserve">　　　　　　　　　　          承诺单位（加盖CA电子公章）：      </w:t>
      </w:r>
    </w:p>
    <w:p>
      <w:pPr>
        <w:spacing w:line="432" w:lineRule="auto"/>
        <w:jc w:val="center"/>
        <w:rPr>
          <w:rFonts w:ascii="宋体" w:hAnsi="宋体"/>
          <w:szCs w:val="21"/>
        </w:rPr>
      </w:pPr>
      <w:r>
        <w:rPr>
          <w:rFonts w:hint="eastAsia" w:ascii="宋体" w:hAnsi="宋体"/>
          <w:szCs w:val="21"/>
        </w:rPr>
        <w:t>　　　　　　　　　   　  法定代表人（负责人）：</w:t>
      </w:r>
    </w:p>
    <w:p>
      <w:pPr>
        <w:spacing w:line="432" w:lineRule="auto"/>
        <w:jc w:val="center"/>
        <w:rPr>
          <w:rFonts w:ascii="宋体" w:hAnsi="宋体"/>
          <w:szCs w:val="21"/>
        </w:rPr>
      </w:pPr>
      <w:r>
        <w:rPr>
          <w:rFonts w:hint="eastAsia" w:ascii="宋体" w:hAnsi="宋体"/>
          <w:szCs w:val="21"/>
        </w:rPr>
        <w:t>　　　　　　　　　      　年  月  日</w:t>
      </w:r>
    </w:p>
    <w:bookmarkEnd w:id="183"/>
    <w:bookmarkEnd w:id="184"/>
    <w:bookmarkEnd w:id="185"/>
    <w:p>
      <w:pPr>
        <w:spacing w:before="240"/>
        <w:jc w:val="left"/>
        <w:rPr>
          <w:rFonts w:ascii="黑体" w:hAnsi="黑体" w:eastAsia="黑体"/>
          <w:i/>
          <w:sz w:val="32"/>
          <w:szCs w:val="32"/>
          <w:u w:val="single"/>
        </w:rPr>
      </w:pPr>
      <w:bookmarkStart w:id="186" w:name="_Toc120614284"/>
      <w:r>
        <w:rPr>
          <w:rFonts w:hint="eastAsia" w:ascii="黑体" w:hAnsi="黑体" w:eastAsia="黑体"/>
          <w:i/>
          <w:sz w:val="32"/>
          <w:szCs w:val="32"/>
          <w:u w:val="single"/>
        </w:rPr>
        <w:br w:type="page" w:clear="all"/>
      </w:r>
      <w:r>
        <w:rPr>
          <w:rFonts w:hint="eastAsia" w:ascii="黑体" w:hAnsi="黑体" w:eastAsia="黑体"/>
          <w:i/>
          <w:sz w:val="32"/>
          <w:szCs w:val="32"/>
          <w:u w:val="single"/>
          <w:lang w:val="en-US" w:eastAsia="zh-CN"/>
        </w:rPr>
        <w:t>七</w:t>
      </w:r>
      <w:r>
        <w:rPr>
          <w:rFonts w:hint="eastAsia" w:ascii="黑体" w:hAnsi="黑体" w:eastAsia="黑体"/>
          <w:b/>
          <w:i/>
          <w:sz w:val="32"/>
          <w:szCs w:val="28"/>
          <w:u w:val="single"/>
        </w:rPr>
        <w:t>、法人授权书</w:t>
      </w:r>
    </w:p>
    <w:p>
      <w:pPr>
        <w:tabs>
          <w:tab w:val="left" w:pos="360"/>
        </w:tabs>
        <w:spacing w:line="500" w:lineRule="exact"/>
        <w:ind w:firstLine="420"/>
        <w:rPr>
          <w:rFonts w:ascii="Times New Roman" w:hAnsi="Times New Roman"/>
          <w:szCs w:val="21"/>
        </w:rPr>
      </w:pPr>
      <w:r>
        <w:rPr>
          <w:rFonts w:hint="eastAsia" w:ascii="Times New Roman" w:hAnsi="Times New Roman"/>
          <w:szCs w:val="21"/>
        </w:rPr>
        <w:t>本授权书声明：____________（供应商名称）授权________________（被授权人的姓名）为我方就</w:t>
      </w:r>
      <w:r>
        <w:rPr>
          <w:rFonts w:hint="eastAsia" w:ascii="Times New Roman" w:hAnsi="Times New Roman"/>
          <w:szCs w:val="21"/>
          <w:u w:val="single"/>
        </w:rPr>
        <w:t xml:space="preserve">        </w:t>
      </w:r>
      <w:r>
        <w:rPr>
          <w:rFonts w:hint="eastAsia" w:ascii="Times New Roman" w:hAnsi="Times New Roman"/>
          <w:szCs w:val="21"/>
        </w:rPr>
        <w:t>号项目采购活动的合法代理人，以本单位名义全权处理一切与该项目采购有关的事务。</w:t>
      </w:r>
    </w:p>
    <w:p>
      <w:pPr>
        <w:tabs>
          <w:tab w:val="left" w:pos="360"/>
        </w:tabs>
        <w:spacing w:line="500" w:lineRule="exact"/>
        <w:ind w:firstLine="420"/>
        <w:rPr>
          <w:rFonts w:ascii="Times New Roman" w:hAnsi="Times New Roman"/>
          <w:szCs w:val="21"/>
        </w:rPr>
      </w:pPr>
      <w:r>
        <w:rPr>
          <w:rFonts w:hint="eastAsia" w:ascii="Times New Roman" w:hAnsi="Times New Roman"/>
          <w:szCs w:val="21"/>
        </w:rPr>
        <w:t>本授权书于______年____月____日起生效，特此声明。</w:t>
      </w:r>
    </w:p>
    <w:p>
      <w:pPr>
        <w:tabs>
          <w:tab w:val="left" w:pos="360"/>
        </w:tabs>
        <w:spacing w:line="500" w:lineRule="exact"/>
        <w:ind w:firstLine="420"/>
        <w:rPr>
          <w:rFonts w:ascii="Times New Roman" w:hAnsi="Times New Roman"/>
          <w:szCs w:val="21"/>
        </w:rPr>
      </w:pPr>
    </w:p>
    <w:p>
      <w:pPr>
        <w:tabs>
          <w:tab w:val="left" w:pos="360"/>
        </w:tabs>
        <w:spacing w:line="500" w:lineRule="exact"/>
        <w:rPr>
          <w:rFonts w:ascii="Times New Roman" w:hAnsi="Times New Roman"/>
          <w:szCs w:val="21"/>
          <w:u w:val="single"/>
        </w:rPr>
      </w:pPr>
      <w:r>
        <w:rPr>
          <w:rFonts w:hint="eastAsia" w:ascii="Times New Roman" w:hAnsi="Times New Roman"/>
          <w:szCs w:val="21"/>
        </w:rPr>
        <w:t xml:space="preserve">    被授权人身份证号码：</w:t>
      </w:r>
      <w:r>
        <w:rPr>
          <w:rFonts w:hint="eastAsia" w:ascii="Times New Roman" w:hAnsi="Times New Roman"/>
          <w:szCs w:val="21"/>
          <w:u w:val="single"/>
        </w:rPr>
        <w:t xml:space="preserve">                              </w:t>
      </w:r>
    </w:p>
    <w:p>
      <w:pPr>
        <w:tabs>
          <w:tab w:val="left" w:pos="360"/>
        </w:tabs>
        <w:spacing w:line="500" w:lineRule="exact"/>
        <w:rPr>
          <w:rFonts w:ascii="Times New Roman" w:hAnsi="Times New Roman"/>
          <w:szCs w:val="21"/>
          <w:u w:val="single"/>
        </w:rPr>
      </w:pPr>
      <w:r>
        <w:rPr>
          <w:rFonts w:hint="eastAsia" w:ascii="Times New Roman" w:hAnsi="Times New Roman"/>
          <w:szCs w:val="21"/>
        </w:rPr>
        <w:t xml:space="preserve">    被授权人联系电话：（手机）</w:t>
      </w:r>
      <w:r>
        <w:rPr>
          <w:rFonts w:hint="eastAsia" w:ascii="Times New Roman" w:hAnsi="Times New Roman"/>
          <w:szCs w:val="21"/>
          <w:u w:val="single"/>
        </w:rPr>
        <w:t xml:space="preserve">                          </w:t>
      </w:r>
    </w:p>
    <w:p>
      <w:pPr>
        <w:tabs>
          <w:tab w:val="left" w:pos="360"/>
        </w:tabs>
        <w:spacing w:line="500" w:lineRule="exact"/>
        <w:ind w:firstLine="420"/>
        <w:rPr>
          <w:rFonts w:ascii="Times New Roman" w:hAnsi="Times New Roman"/>
          <w:szCs w:val="21"/>
        </w:rPr>
      </w:pPr>
      <w:r>
        <w:rPr>
          <w:rFonts w:hint="eastAsia" w:ascii="Times New Roman" w:hAnsi="Times New Roman"/>
          <w:szCs w:val="21"/>
        </w:rPr>
        <w:t>授权单位名称：</w:t>
      </w:r>
      <w:r>
        <w:rPr>
          <w:rFonts w:hint="eastAsia" w:ascii="Times New Roman" w:hAnsi="Times New Roman"/>
          <w:szCs w:val="21"/>
          <w:u w:val="single"/>
        </w:rPr>
        <w:t>（加盖CA电子公章）</w:t>
      </w:r>
    </w:p>
    <w:p>
      <w:pPr>
        <w:tabs>
          <w:tab w:val="left" w:pos="360"/>
        </w:tabs>
        <w:spacing w:line="500" w:lineRule="exact"/>
        <w:ind w:firstLine="420"/>
        <w:rPr>
          <w:rFonts w:ascii="Times New Roman" w:hAnsi="Times New Roman"/>
          <w:szCs w:val="21"/>
          <w:u w:val="single"/>
        </w:rPr>
      </w:pPr>
      <w:r>
        <w:rPr>
          <w:rFonts w:hint="eastAsia" w:ascii="Times New Roman" w:hAnsi="Times New Roman"/>
          <w:szCs w:val="21"/>
        </w:rPr>
        <w:t>单位地址：</w:t>
      </w:r>
      <w:r>
        <w:rPr>
          <w:rFonts w:hint="eastAsia" w:ascii="Times New Roman" w:hAnsi="Times New Roman"/>
          <w:szCs w:val="21"/>
          <w:u w:val="single"/>
        </w:rPr>
        <w:t xml:space="preserve">                                         </w:t>
      </w:r>
    </w:p>
    <w:p>
      <w:pPr>
        <w:tabs>
          <w:tab w:val="left" w:pos="360"/>
        </w:tabs>
        <w:spacing w:line="500" w:lineRule="exact"/>
        <w:ind w:firstLine="420"/>
        <w:rPr>
          <w:rFonts w:ascii="Times New Roman" w:hAnsi="Times New Roman"/>
          <w:szCs w:val="21"/>
          <w:u w:val="single"/>
        </w:rPr>
      </w:pPr>
      <w:r>
        <w:rPr>
          <w:rFonts w:hint="eastAsia" w:ascii="Times New Roman" w:hAnsi="Times New Roman"/>
          <w:szCs w:val="21"/>
        </w:rPr>
        <w:t>日期：</w:t>
      </w:r>
      <w:bookmarkStart w:id="187" w:name="_Hlt26955070"/>
      <w:bookmarkEnd w:id="187"/>
      <w:bookmarkStart w:id="188" w:name="_Hlt26671380"/>
      <w:bookmarkEnd w:id="188"/>
      <w:bookmarkStart w:id="189" w:name="_格式3__银行出具的资信证明"/>
      <w:bookmarkEnd w:id="189"/>
      <w:r>
        <w:rPr>
          <w:rFonts w:hint="eastAsia" w:ascii="Times New Roman" w:hAnsi="Times New Roman"/>
          <w:szCs w:val="21"/>
          <w:u w:val="single"/>
        </w:rPr>
        <w:t xml:space="preserve">                                         </w:t>
      </w:r>
    </w:p>
    <w:p>
      <w:pPr>
        <w:tabs>
          <w:tab w:val="left" w:pos="360"/>
        </w:tabs>
        <w:spacing w:line="440" w:lineRule="exact"/>
        <w:ind w:firstLine="420"/>
        <w:rPr>
          <w:rFonts w:ascii="Times New Roman" w:hAnsi="Times New Roman"/>
          <w:szCs w:val="21"/>
          <w:u w:val="single"/>
        </w:rPr>
      </w:pPr>
    </w:p>
    <w:p>
      <w:pPr>
        <w:tabs>
          <w:tab w:val="left" w:pos="360"/>
        </w:tabs>
        <w:spacing w:line="440" w:lineRule="exact"/>
        <w:ind w:firstLine="420"/>
        <w:rPr>
          <w:rFonts w:ascii="Times New Roman" w:hAnsi="Times New Roman"/>
          <w:szCs w:val="21"/>
          <w:highlight w:val="none"/>
        </w:rPr>
      </w:pPr>
    </w:p>
    <w:p>
      <w:pPr>
        <w:tabs>
          <w:tab w:val="left" w:pos="360"/>
        </w:tabs>
        <w:spacing w:line="440" w:lineRule="exact"/>
        <w:ind w:firstLine="420"/>
        <w:rPr>
          <w:rFonts w:ascii="Times New Roman" w:hAnsi="Times New Roman"/>
          <w:szCs w:val="21"/>
          <w:highlight w:val="none"/>
        </w:rPr>
      </w:pPr>
      <w:r>
        <w:rPr>
          <w:rFonts w:hint="eastAsia" w:ascii="Times New Roman" w:hAnsi="Times New Roman"/>
          <w:szCs w:val="21"/>
          <w:highlight w:val="none"/>
        </w:rPr>
        <w:t>法定代表人身份证复印件（正反）</w:t>
      </w:r>
    </w:p>
    <w:p>
      <w:pPr>
        <w:tabs>
          <w:tab w:val="left" w:pos="360"/>
        </w:tabs>
        <w:spacing w:line="440" w:lineRule="exact"/>
        <w:ind w:firstLine="420"/>
        <w:rPr>
          <w:rFonts w:ascii="Times New Roman" w:hAnsi="Times New Roman"/>
          <w:szCs w:val="21"/>
        </w:rPr>
      </w:pPr>
    </w:p>
    <w:p>
      <w:pPr>
        <w:tabs>
          <w:tab w:val="left" w:pos="360"/>
        </w:tabs>
        <w:spacing w:line="440" w:lineRule="exact"/>
        <w:ind w:firstLine="420"/>
        <w:rPr>
          <w:rFonts w:ascii="Times New Roman" w:hAnsi="Times New Roman"/>
          <w:szCs w:val="21"/>
        </w:rPr>
      </w:pPr>
    </w:p>
    <w:p>
      <w:pPr>
        <w:tabs>
          <w:tab w:val="left" w:pos="360"/>
        </w:tabs>
        <w:spacing w:line="440" w:lineRule="exact"/>
        <w:ind w:firstLine="420"/>
        <w:rPr>
          <w:rFonts w:ascii="Times New Roman" w:hAnsi="Times New Roman"/>
          <w:szCs w:val="21"/>
        </w:rPr>
      </w:pPr>
    </w:p>
    <w:p>
      <w:pPr>
        <w:tabs>
          <w:tab w:val="left" w:pos="360"/>
        </w:tabs>
        <w:spacing w:line="440" w:lineRule="exact"/>
        <w:ind w:firstLine="420"/>
        <w:rPr>
          <w:rFonts w:ascii="Times New Roman" w:hAnsi="Times New Roman"/>
          <w:szCs w:val="21"/>
        </w:rPr>
      </w:pPr>
    </w:p>
    <w:p>
      <w:pPr>
        <w:tabs>
          <w:tab w:val="left" w:pos="360"/>
        </w:tabs>
        <w:spacing w:line="440" w:lineRule="exact"/>
        <w:ind w:firstLine="420"/>
        <w:rPr>
          <w:rFonts w:ascii="Times New Roman" w:hAnsi="Times New Roman"/>
          <w:szCs w:val="21"/>
        </w:rPr>
      </w:pPr>
    </w:p>
    <w:p>
      <w:pPr>
        <w:tabs>
          <w:tab w:val="left" w:pos="360"/>
        </w:tabs>
        <w:spacing w:line="440" w:lineRule="exact"/>
        <w:ind w:firstLine="420"/>
        <w:rPr>
          <w:rFonts w:ascii="Times New Roman" w:hAnsi="Times New Roman"/>
          <w:szCs w:val="21"/>
        </w:rPr>
      </w:pPr>
    </w:p>
    <w:p>
      <w:pPr>
        <w:tabs>
          <w:tab w:val="left" w:pos="360"/>
        </w:tabs>
        <w:spacing w:line="440" w:lineRule="exact"/>
        <w:rPr>
          <w:rFonts w:ascii="Times New Roman" w:hAnsi="Times New Roman"/>
          <w:szCs w:val="21"/>
        </w:rPr>
      </w:pPr>
    </w:p>
    <w:p>
      <w:pPr>
        <w:tabs>
          <w:tab w:val="left" w:pos="360"/>
        </w:tabs>
        <w:spacing w:line="440" w:lineRule="exact"/>
        <w:ind w:firstLine="420"/>
        <w:rPr>
          <w:rFonts w:ascii="Times New Roman" w:hAnsi="Times New Roman"/>
          <w:szCs w:val="21"/>
        </w:rPr>
      </w:pPr>
      <w:r>
        <w:rPr>
          <w:rFonts w:hint="eastAsia" w:ascii="Times New Roman" w:hAnsi="Times New Roman"/>
          <w:szCs w:val="21"/>
        </w:rPr>
        <w:t>被授权人身份证复印件（正反）</w:t>
      </w:r>
    </w:p>
    <w:p>
      <w:pPr>
        <w:rPr>
          <w:rFonts w:ascii="Times New Roman" w:hAnsi="Times New Roman"/>
          <w:szCs w:val="21"/>
        </w:rPr>
      </w:pPr>
    </w:p>
    <w:p>
      <w:pPr>
        <w:keepNext/>
        <w:keepLines/>
        <w:spacing w:before="260" w:after="260" w:line="416" w:lineRule="auto"/>
        <w:jc w:val="both"/>
        <w:outlineLvl w:val="1"/>
        <w:rPr>
          <w:rFonts w:ascii="黑体" w:hAnsi="黑体" w:eastAsia="黑体"/>
          <w:b/>
          <w:i/>
          <w:sz w:val="32"/>
          <w:szCs w:val="32"/>
          <w:u w:val="single"/>
        </w:rPr>
      </w:pPr>
      <w:r>
        <w:rPr>
          <w:rFonts w:ascii="宋体" w:hAnsi="宋体" w:eastAsia="幼圆" w:cs="Arial"/>
          <w:b/>
          <w:sz w:val="24"/>
          <w:szCs w:val="44"/>
        </w:rPr>
        <w:br w:type="page" w:clear="all"/>
      </w:r>
      <w:r>
        <w:rPr>
          <w:rFonts w:hint="eastAsia" w:ascii="黑体" w:hAnsi="黑体" w:eastAsia="黑体" w:cs="Arial"/>
          <w:b/>
          <w:i/>
          <w:sz w:val="32"/>
          <w:szCs w:val="28"/>
          <w:u w:val="single"/>
          <w:lang w:val="en-US" w:eastAsia="zh-CN"/>
        </w:rPr>
        <w:t>八</w:t>
      </w:r>
      <w:r>
        <w:rPr>
          <w:rFonts w:hint="eastAsia" w:ascii="黑体" w:hAnsi="黑体" w:eastAsia="黑体" w:cs="Arial"/>
          <w:b/>
          <w:i/>
          <w:sz w:val="32"/>
          <w:szCs w:val="28"/>
          <w:u w:val="single"/>
        </w:rPr>
        <w:t>、</w:t>
      </w:r>
      <w:r>
        <w:rPr>
          <w:rFonts w:hint="eastAsia" w:ascii="黑体" w:hAnsi="黑体" w:eastAsia="黑体"/>
          <w:b/>
          <w:i/>
          <w:sz w:val="32"/>
          <w:szCs w:val="28"/>
          <w:u w:val="single"/>
        </w:rPr>
        <w:t>磋商响应函</w:t>
      </w:r>
    </w:p>
    <w:p>
      <w:pPr>
        <w:spacing w:line="440" w:lineRule="exact"/>
        <w:jc w:val="left"/>
        <w:rPr>
          <w:rFonts w:hint="eastAsia" w:ascii="宋体" w:hAnsi="宋体" w:eastAsia="宋体"/>
          <w:szCs w:val="21"/>
          <w:lang w:eastAsia="zh-CN"/>
        </w:rPr>
      </w:pPr>
      <w:r>
        <w:rPr>
          <w:rFonts w:hint="eastAsia" w:ascii="宋体" w:hAnsi="宋体"/>
          <w:szCs w:val="21"/>
        </w:rPr>
        <w:t>致：</w:t>
      </w:r>
      <w:r>
        <w:rPr>
          <w:rFonts w:hint="eastAsia" w:ascii="宋体" w:hAnsi="宋体"/>
          <w:szCs w:val="21"/>
          <w:lang w:eastAsia="zh-CN"/>
        </w:rPr>
        <w:t>中海华咨询有限公司</w:t>
      </w:r>
    </w:p>
    <w:p>
      <w:pPr>
        <w:spacing w:line="440" w:lineRule="exact"/>
        <w:ind w:firstLine="420"/>
        <w:jc w:val="left"/>
        <w:rPr>
          <w:rFonts w:ascii="宋体" w:hAnsi="宋体"/>
          <w:szCs w:val="21"/>
        </w:rPr>
      </w:pPr>
      <w:r>
        <w:rPr>
          <w:rFonts w:hint="eastAsia" w:ascii="宋体" w:hAnsi="宋体"/>
          <w:szCs w:val="21"/>
        </w:rPr>
        <w:t>根据贵方的</w:t>
      </w:r>
      <w:r>
        <w:rPr>
          <w:rFonts w:hint="eastAsia" w:ascii="宋体" w:hAnsi="宋体"/>
          <w:szCs w:val="21"/>
          <w:u w:val="single"/>
        </w:rPr>
        <w:t xml:space="preserve">           </w:t>
      </w:r>
      <w:r>
        <w:rPr>
          <w:rFonts w:hint="eastAsia" w:ascii="宋体" w:hAnsi="宋体"/>
          <w:szCs w:val="21"/>
        </w:rPr>
        <w:t>号磋商文件，正式授权下述签字人______(姓名)代表我方______________（供应商的名称），全权处理本次项目磋商的有关事宜。</w:t>
      </w:r>
    </w:p>
    <w:p>
      <w:pPr>
        <w:spacing w:line="440" w:lineRule="exact"/>
        <w:ind w:firstLine="420"/>
        <w:jc w:val="left"/>
        <w:rPr>
          <w:rFonts w:ascii="宋体" w:hAnsi="宋体"/>
          <w:szCs w:val="21"/>
        </w:rPr>
      </w:pPr>
      <w:r>
        <w:rPr>
          <w:rFonts w:hint="eastAsia" w:ascii="宋体" w:hAnsi="宋体"/>
          <w:szCs w:val="21"/>
        </w:rPr>
        <w:t>据此函，__________签字人兹宣布同意如下：</w:t>
      </w:r>
    </w:p>
    <w:p>
      <w:pPr>
        <w:spacing w:line="440" w:lineRule="exact"/>
        <w:ind w:firstLine="420"/>
        <w:jc w:val="left"/>
        <w:rPr>
          <w:rFonts w:ascii="宋体" w:hAnsi="宋体"/>
          <w:szCs w:val="21"/>
        </w:rPr>
      </w:pPr>
      <w:r>
        <w:rPr>
          <w:rFonts w:hint="eastAsia" w:ascii="宋体" w:hAnsi="宋体"/>
          <w:szCs w:val="21"/>
        </w:rPr>
        <w:t>1.</w:t>
      </w:r>
      <w:r>
        <w:rPr>
          <w:rFonts w:hint="eastAsia"/>
        </w:rPr>
        <w:t xml:space="preserve"> </w:t>
      </w:r>
      <w:r>
        <w:rPr>
          <w:rFonts w:hint="eastAsia" w:ascii="宋体" w:hAnsi="宋体"/>
          <w:szCs w:val="21"/>
        </w:rPr>
        <w:t>按磋商文件规定的各项要求，向买方提供所需货物、服务（包含与货物相关的服务及与服务相关的货物）。</w:t>
      </w:r>
    </w:p>
    <w:p>
      <w:pPr>
        <w:spacing w:line="440" w:lineRule="exact"/>
        <w:ind w:firstLine="420"/>
        <w:jc w:val="left"/>
        <w:rPr>
          <w:rFonts w:ascii="宋体" w:hAnsi="宋体"/>
          <w:szCs w:val="21"/>
        </w:rPr>
      </w:pPr>
      <w:r>
        <w:rPr>
          <w:rFonts w:hint="eastAsia" w:ascii="宋体" w:hAnsi="宋体"/>
          <w:szCs w:val="21"/>
        </w:rPr>
        <w:t>2.我们完全理解贵方不一定将合同授予最低报价的供应商。</w:t>
      </w:r>
    </w:p>
    <w:p>
      <w:pPr>
        <w:spacing w:line="440" w:lineRule="exact"/>
        <w:ind w:firstLine="420"/>
        <w:jc w:val="left"/>
        <w:rPr>
          <w:rFonts w:ascii="宋体" w:hAnsi="宋体"/>
          <w:szCs w:val="21"/>
        </w:rPr>
      </w:pPr>
      <w:r>
        <w:rPr>
          <w:rFonts w:hint="eastAsia" w:ascii="宋体" w:hAnsi="宋体"/>
          <w:szCs w:val="21"/>
        </w:rPr>
        <w:t>3.我们已详细审核全部磋商文件及其有效补充文件，我们知道必须放弃提出含糊不清或误解问题的权利。</w:t>
      </w:r>
    </w:p>
    <w:p>
      <w:pPr>
        <w:spacing w:line="440" w:lineRule="exact"/>
        <w:ind w:firstLine="420"/>
        <w:jc w:val="left"/>
        <w:rPr>
          <w:rFonts w:ascii="宋体" w:hAnsi="宋体"/>
          <w:szCs w:val="21"/>
        </w:rPr>
      </w:pPr>
      <w:r>
        <w:rPr>
          <w:rFonts w:hint="eastAsia" w:ascii="宋体" w:hAnsi="宋体"/>
          <w:szCs w:val="21"/>
        </w:rPr>
        <w:t>4.我们同意从规定的开标日期起遵循本响应文件，并在规定的磋商有效期期满之前均具有约束力。</w:t>
      </w:r>
    </w:p>
    <w:p>
      <w:pPr>
        <w:spacing w:line="440" w:lineRule="exact"/>
        <w:ind w:firstLine="420"/>
        <w:jc w:val="left"/>
        <w:rPr>
          <w:rFonts w:ascii="宋体" w:hAnsi="宋体"/>
          <w:szCs w:val="21"/>
        </w:rPr>
      </w:pPr>
      <w:r>
        <w:rPr>
          <w:rFonts w:ascii="宋体" w:hAnsi="宋体"/>
          <w:szCs w:val="21"/>
        </w:rPr>
        <w:t>5</w:t>
      </w:r>
      <w:r>
        <w:rPr>
          <w:rFonts w:hint="eastAsia" w:ascii="宋体" w:hAnsi="宋体"/>
          <w:szCs w:val="21"/>
        </w:rPr>
        <w:t>.同意向贵方提供贵方可能另外要求的与磋商有关的任何证据或资料，并保证我方已提供和将要提供的文件是真实的、准确的。</w:t>
      </w:r>
    </w:p>
    <w:p>
      <w:pPr>
        <w:spacing w:line="440" w:lineRule="exact"/>
        <w:ind w:firstLine="420"/>
        <w:jc w:val="left"/>
        <w:rPr>
          <w:rFonts w:ascii="宋体" w:hAnsi="宋体"/>
          <w:szCs w:val="21"/>
        </w:rPr>
      </w:pPr>
      <w:r>
        <w:rPr>
          <w:rFonts w:ascii="宋体" w:hAnsi="宋体"/>
          <w:szCs w:val="21"/>
        </w:rPr>
        <w:t>6</w:t>
      </w:r>
      <w:r>
        <w:rPr>
          <w:rFonts w:hint="eastAsia" w:ascii="宋体" w:hAnsi="宋体"/>
          <w:szCs w:val="21"/>
        </w:rPr>
        <w:t>.一旦我方成交,我方将根据磋商文件的规定，严格履行合同的责任和义务,并保证在磋商文件规定的时间完成项目，交付买方验收、使用。</w:t>
      </w:r>
    </w:p>
    <w:p>
      <w:pPr>
        <w:spacing w:line="440" w:lineRule="exact"/>
        <w:ind w:firstLine="420"/>
        <w:jc w:val="left"/>
        <w:rPr>
          <w:rFonts w:ascii="宋体" w:hAnsi="宋体"/>
          <w:szCs w:val="21"/>
        </w:rPr>
      </w:pPr>
      <w:r>
        <w:rPr>
          <w:rFonts w:ascii="宋体" w:hAnsi="宋体"/>
          <w:szCs w:val="21"/>
        </w:rPr>
        <w:t>7</w:t>
      </w:r>
      <w:r>
        <w:rPr>
          <w:rFonts w:hint="eastAsia" w:ascii="宋体" w:hAnsi="宋体"/>
          <w:szCs w:val="21"/>
        </w:rPr>
        <w:t>.我方与本磋商有关的正式通讯地址为：</w:t>
      </w:r>
    </w:p>
    <w:p>
      <w:pPr>
        <w:spacing w:line="440" w:lineRule="exact"/>
        <w:ind w:left="420" w:firstLine="420"/>
        <w:jc w:val="left"/>
        <w:rPr>
          <w:rFonts w:ascii="宋体" w:hAnsi="宋体"/>
          <w:szCs w:val="21"/>
        </w:rPr>
      </w:pPr>
      <w:r>
        <w:rPr>
          <w:rFonts w:hint="eastAsia" w:ascii="宋体" w:hAnsi="宋体"/>
          <w:szCs w:val="21"/>
        </w:rPr>
        <w:t>地          址：</w:t>
      </w:r>
    </w:p>
    <w:p>
      <w:pPr>
        <w:spacing w:line="440" w:lineRule="exact"/>
        <w:ind w:left="420" w:firstLine="420"/>
        <w:jc w:val="left"/>
        <w:rPr>
          <w:rFonts w:ascii="宋体" w:hAnsi="宋体"/>
          <w:szCs w:val="21"/>
        </w:rPr>
      </w:pPr>
      <w:r>
        <w:rPr>
          <w:rFonts w:hint="eastAsia" w:ascii="宋体" w:hAnsi="宋体"/>
          <w:szCs w:val="21"/>
        </w:rPr>
        <w:t>邮          编：</w:t>
      </w:r>
    </w:p>
    <w:p>
      <w:pPr>
        <w:spacing w:line="440" w:lineRule="exact"/>
        <w:ind w:left="420" w:firstLine="420"/>
        <w:jc w:val="left"/>
        <w:rPr>
          <w:rFonts w:ascii="宋体" w:hAnsi="宋体"/>
          <w:szCs w:val="21"/>
        </w:rPr>
      </w:pPr>
      <w:r>
        <w:rPr>
          <w:rFonts w:hint="eastAsia" w:ascii="宋体" w:hAnsi="宋体"/>
          <w:szCs w:val="21"/>
        </w:rPr>
        <w:t>电          话：</w:t>
      </w:r>
    </w:p>
    <w:p>
      <w:pPr>
        <w:spacing w:line="440" w:lineRule="exact"/>
        <w:ind w:left="420" w:firstLine="420"/>
        <w:jc w:val="left"/>
        <w:rPr>
          <w:rFonts w:ascii="宋体" w:hAnsi="宋体"/>
          <w:szCs w:val="21"/>
        </w:rPr>
      </w:pPr>
      <w:r>
        <w:rPr>
          <w:rFonts w:hint="eastAsia" w:ascii="宋体" w:hAnsi="宋体"/>
          <w:szCs w:val="21"/>
        </w:rPr>
        <w:t>传          真：</w:t>
      </w:r>
    </w:p>
    <w:p>
      <w:pPr>
        <w:spacing w:line="440" w:lineRule="exact"/>
        <w:ind w:left="420" w:firstLine="420"/>
        <w:jc w:val="left"/>
        <w:rPr>
          <w:rFonts w:ascii="宋体" w:hAnsi="宋体"/>
          <w:szCs w:val="21"/>
        </w:rPr>
      </w:pPr>
      <w:r>
        <w:rPr>
          <w:rFonts w:hint="eastAsia" w:ascii="宋体" w:hAnsi="宋体"/>
          <w:szCs w:val="21"/>
        </w:rPr>
        <w:t>供应商开户行：</w:t>
      </w:r>
    </w:p>
    <w:p>
      <w:pPr>
        <w:spacing w:line="440" w:lineRule="exact"/>
        <w:ind w:left="420" w:firstLine="420"/>
        <w:jc w:val="left"/>
        <w:rPr>
          <w:rFonts w:ascii="宋体" w:hAnsi="宋体"/>
          <w:szCs w:val="21"/>
        </w:rPr>
      </w:pPr>
      <w:r>
        <w:rPr>
          <w:rFonts w:hint="eastAsia" w:ascii="宋体" w:hAnsi="宋体"/>
          <w:szCs w:val="21"/>
        </w:rPr>
        <w:t xml:space="preserve">账          号： </w:t>
      </w:r>
    </w:p>
    <w:p>
      <w:pPr>
        <w:spacing w:line="440" w:lineRule="exact"/>
        <w:ind w:left="420" w:firstLine="420"/>
        <w:jc w:val="left"/>
        <w:rPr>
          <w:rFonts w:ascii="宋体" w:hAnsi="宋体"/>
          <w:szCs w:val="21"/>
        </w:rPr>
      </w:pPr>
      <w:r>
        <w:rPr>
          <w:rFonts w:hint="eastAsia" w:ascii="宋体" w:hAnsi="宋体"/>
          <w:szCs w:val="21"/>
        </w:rPr>
        <w:t>日          期：________年____月____日</w:t>
      </w:r>
    </w:p>
    <w:p>
      <w:pPr>
        <w:spacing w:line="560" w:lineRule="exact"/>
        <w:ind w:firstLine="240"/>
        <w:jc w:val="center"/>
        <w:rPr>
          <w:rFonts w:ascii="宋体" w:hAnsi="宋体"/>
          <w:bCs/>
          <w:sz w:val="24"/>
          <w:szCs w:val="21"/>
        </w:rPr>
      </w:pPr>
    </w:p>
    <w:p>
      <w:pPr>
        <w:spacing w:line="560" w:lineRule="exact"/>
        <w:ind w:firstLine="240"/>
        <w:jc w:val="center"/>
        <w:rPr>
          <w:rFonts w:ascii="宋体" w:hAnsi="宋体"/>
          <w:bCs/>
          <w:sz w:val="24"/>
          <w:szCs w:val="21"/>
        </w:rPr>
      </w:pPr>
    </w:p>
    <w:p>
      <w:pPr>
        <w:spacing w:line="560" w:lineRule="exact"/>
        <w:ind w:firstLine="240"/>
        <w:jc w:val="center"/>
        <w:rPr>
          <w:rFonts w:ascii="宋体" w:hAnsi="宋体"/>
          <w:bCs/>
          <w:sz w:val="24"/>
          <w:szCs w:val="21"/>
        </w:rPr>
      </w:pPr>
    </w:p>
    <w:p>
      <w:pPr>
        <w:spacing w:line="560" w:lineRule="exact"/>
        <w:ind w:firstLine="240"/>
        <w:jc w:val="center"/>
        <w:rPr>
          <w:rFonts w:ascii="宋体" w:hAnsi="宋体"/>
          <w:bCs/>
          <w:sz w:val="24"/>
          <w:szCs w:val="21"/>
        </w:rPr>
      </w:pPr>
    </w:p>
    <w:p>
      <w:pPr>
        <w:spacing w:line="360" w:lineRule="auto"/>
        <w:jc w:val="center"/>
        <w:rPr>
          <w:rFonts w:ascii="黑体" w:hAnsi="黑体" w:eastAsia="黑体"/>
          <w:b/>
          <w:sz w:val="32"/>
          <w:szCs w:val="32"/>
        </w:rPr>
        <w:sectPr>
          <w:footerReference r:id="rId8" w:type="first"/>
          <w:footerReference r:id="rId7" w:type="default"/>
          <w:pgSz w:w="11906" w:h="16838"/>
          <w:pgMar w:top="1440" w:right="1800" w:bottom="1440" w:left="1800" w:header="851" w:footer="907" w:gutter="0"/>
          <w:pgNumType w:start="1"/>
          <w:cols w:space="720" w:num="1"/>
          <w:titlePg/>
          <w:docGrid w:linePitch="360" w:charSpace="0"/>
        </w:sectPr>
      </w:pPr>
    </w:p>
    <w:p>
      <w:pPr>
        <w:rPr>
          <w:rFonts w:ascii="黑体" w:hAnsi="黑体" w:eastAsia="黑体"/>
          <w:i/>
          <w:sz w:val="32"/>
          <w:szCs w:val="28"/>
          <w:u w:val="single"/>
        </w:rPr>
      </w:pPr>
      <w:r>
        <w:rPr>
          <w:rFonts w:hint="eastAsia" w:ascii="黑体" w:hAnsi="黑体" w:eastAsia="黑体"/>
          <w:i/>
          <w:sz w:val="32"/>
          <w:szCs w:val="28"/>
          <w:u w:val="single"/>
          <w:lang w:val="en-US" w:eastAsia="zh-CN"/>
        </w:rPr>
        <w:t>九</w:t>
      </w:r>
      <w:r>
        <w:rPr>
          <w:rFonts w:hint="eastAsia" w:ascii="黑体" w:hAnsi="黑体" w:eastAsia="黑体"/>
          <w:i/>
          <w:sz w:val="32"/>
          <w:szCs w:val="28"/>
          <w:u w:val="single"/>
        </w:rPr>
        <w:t>、特定资格要求的证明文件</w:t>
      </w:r>
    </w:p>
    <w:p>
      <w:pPr>
        <w:keepNext/>
        <w:keepLines/>
        <w:spacing w:before="120" w:after="120" w:line="415" w:lineRule="auto"/>
        <w:jc w:val="center"/>
        <w:outlineLvl w:val="1"/>
        <w:rPr>
          <w:rFonts w:hint="eastAsia" w:ascii="宋体" w:hAnsi="宋体"/>
          <w:bCs/>
          <w:szCs w:val="18"/>
        </w:rPr>
      </w:pPr>
      <w:r>
        <w:rPr>
          <w:rFonts w:hint="eastAsia" w:ascii="宋体" w:hAnsi="宋体"/>
          <w:bCs/>
          <w:szCs w:val="18"/>
        </w:rPr>
        <w:t>如果本项目设置特定资格要求，则需要提供。</w:t>
      </w:r>
    </w:p>
    <w:p>
      <w:pPr>
        <w:keepNext/>
        <w:keepLines/>
        <w:spacing w:before="120" w:after="120" w:line="415" w:lineRule="auto"/>
        <w:jc w:val="center"/>
        <w:outlineLvl w:val="1"/>
        <w:rPr>
          <w:rFonts w:hint="eastAsia" w:ascii="宋体" w:hAnsi="宋体"/>
          <w:bCs/>
          <w:szCs w:val="18"/>
        </w:rPr>
      </w:pPr>
    </w:p>
    <w:p>
      <w:pPr>
        <w:keepNext/>
        <w:keepLines/>
        <w:spacing w:before="120" w:after="120" w:line="415" w:lineRule="auto"/>
        <w:jc w:val="center"/>
        <w:outlineLvl w:val="1"/>
        <w:rPr>
          <w:rFonts w:hint="eastAsia" w:ascii="宋体" w:hAnsi="宋体"/>
          <w:bCs/>
          <w:szCs w:val="18"/>
        </w:rPr>
      </w:pPr>
    </w:p>
    <w:p>
      <w:pPr>
        <w:keepNext/>
        <w:keepLines/>
        <w:spacing w:before="120" w:after="120" w:line="415" w:lineRule="auto"/>
        <w:jc w:val="center"/>
        <w:outlineLvl w:val="1"/>
        <w:rPr>
          <w:rFonts w:hint="eastAsia" w:ascii="宋体" w:hAnsi="宋体"/>
          <w:bCs/>
          <w:szCs w:val="18"/>
        </w:rPr>
      </w:pPr>
    </w:p>
    <w:p>
      <w:pPr>
        <w:keepNext/>
        <w:keepLines/>
        <w:spacing w:before="120" w:after="120" w:line="415" w:lineRule="auto"/>
        <w:jc w:val="center"/>
        <w:outlineLvl w:val="1"/>
        <w:rPr>
          <w:rFonts w:hint="eastAsia" w:ascii="宋体" w:hAnsi="宋体"/>
          <w:bCs/>
          <w:szCs w:val="18"/>
        </w:rPr>
      </w:pPr>
    </w:p>
    <w:p>
      <w:pPr>
        <w:keepNext/>
        <w:keepLines/>
        <w:spacing w:before="120" w:after="120" w:line="415" w:lineRule="auto"/>
        <w:jc w:val="center"/>
        <w:outlineLvl w:val="1"/>
        <w:rPr>
          <w:rFonts w:hint="eastAsia" w:ascii="宋体" w:hAnsi="宋体"/>
          <w:bCs/>
          <w:szCs w:val="18"/>
        </w:rPr>
      </w:pPr>
    </w:p>
    <w:p>
      <w:pPr>
        <w:keepNext/>
        <w:keepLines/>
        <w:spacing w:before="120" w:after="120" w:line="415" w:lineRule="auto"/>
        <w:jc w:val="center"/>
        <w:outlineLvl w:val="1"/>
        <w:rPr>
          <w:rFonts w:hint="eastAsia" w:ascii="宋体" w:hAnsi="宋体"/>
          <w:bCs/>
          <w:szCs w:val="18"/>
        </w:rPr>
      </w:pPr>
    </w:p>
    <w:p>
      <w:pPr>
        <w:pStyle w:val="24"/>
        <w:rPr>
          <w:rFonts w:hint="eastAsia" w:ascii="宋体" w:hAnsi="宋体"/>
          <w:bCs/>
          <w:szCs w:val="18"/>
          <w:lang w:eastAsia="zh-CN"/>
        </w:rPr>
      </w:pPr>
    </w:p>
    <w:p>
      <w:pPr>
        <w:pStyle w:val="25"/>
        <w:rPr>
          <w:rFonts w:hint="eastAsia" w:ascii="宋体" w:hAnsi="宋体"/>
          <w:bCs/>
          <w:szCs w:val="18"/>
          <w:lang w:eastAsia="zh-CN"/>
        </w:rPr>
      </w:pPr>
    </w:p>
    <w:p>
      <w:pPr>
        <w:pStyle w:val="25"/>
        <w:rPr>
          <w:rFonts w:hint="eastAsia" w:ascii="宋体" w:hAnsi="宋体"/>
          <w:bCs/>
          <w:szCs w:val="18"/>
          <w:lang w:eastAsia="zh-CN"/>
        </w:rPr>
      </w:pPr>
    </w:p>
    <w:p>
      <w:pPr>
        <w:pStyle w:val="25"/>
        <w:rPr>
          <w:rFonts w:hint="eastAsia" w:ascii="宋体" w:hAnsi="宋体"/>
          <w:bCs/>
          <w:szCs w:val="18"/>
          <w:lang w:eastAsia="zh-CN"/>
        </w:rPr>
      </w:pPr>
    </w:p>
    <w:p>
      <w:pPr>
        <w:pStyle w:val="25"/>
        <w:rPr>
          <w:rFonts w:hint="eastAsia" w:ascii="宋体" w:hAnsi="宋体"/>
          <w:bCs/>
          <w:szCs w:val="18"/>
          <w:lang w:eastAsia="zh-CN"/>
        </w:rPr>
      </w:pPr>
    </w:p>
    <w:p>
      <w:pPr>
        <w:pStyle w:val="25"/>
        <w:rPr>
          <w:rFonts w:hint="eastAsia" w:ascii="宋体" w:hAnsi="宋体"/>
          <w:bCs/>
          <w:szCs w:val="18"/>
          <w:lang w:eastAsia="zh-CN"/>
        </w:rPr>
      </w:pPr>
    </w:p>
    <w:p>
      <w:pPr>
        <w:pStyle w:val="25"/>
        <w:rPr>
          <w:rFonts w:hint="eastAsia" w:ascii="宋体" w:hAnsi="宋体"/>
          <w:bCs/>
          <w:szCs w:val="18"/>
          <w:lang w:eastAsia="zh-CN"/>
        </w:rPr>
      </w:pPr>
    </w:p>
    <w:p>
      <w:pPr>
        <w:pStyle w:val="25"/>
        <w:rPr>
          <w:rFonts w:hint="eastAsia" w:ascii="宋体" w:hAnsi="宋体"/>
          <w:bCs/>
          <w:szCs w:val="18"/>
          <w:lang w:eastAsia="zh-CN"/>
        </w:rPr>
      </w:pPr>
    </w:p>
    <w:p>
      <w:pPr>
        <w:pStyle w:val="25"/>
        <w:rPr>
          <w:rFonts w:hint="eastAsia" w:ascii="宋体" w:hAnsi="宋体"/>
          <w:bCs/>
          <w:szCs w:val="18"/>
          <w:lang w:eastAsia="zh-CN"/>
        </w:rPr>
      </w:pPr>
    </w:p>
    <w:p>
      <w:pPr>
        <w:pStyle w:val="25"/>
        <w:rPr>
          <w:rFonts w:hint="eastAsia" w:ascii="宋体" w:hAnsi="宋体"/>
          <w:bCs/>
          <w:szCs w:val="18"/>
          <w:lang w:eastAsia="zh-CN"/>
        </w:rPr>
      </w:pPr>
    </w:p>
    <w:p>
      <w:pPr>
        <w:pStyle w:val="25"/>
        <w:rPr>
          <w:rFonts w:hint="eastAsia" w:ascii="宋体" w:hAnsi="宋体"/>
          <w:bCs/>
          <w:szCs w:val="18"/>
          <w:lang w:eastAsia="zh-CN"/>
        </w:rPr>
      </w:pPr>
    </w:p>
    <w:p>
      <w:pPr>
        <w:pStyle w:val="25"/>
        <w:rPr>
          <w:rFonts w:hint="eastAsia" w:ascii="宋体" w:hAnsi="宋体"/>
          <w:bCs/>
          <w:szCs w:val="18"/>
          <w:lang w:eastAsia="zh-CN"/>
        </w:rPr>
      </w:pPr>
    </w:p>
    <w:p>
      <w:pPr>
        <w:pStyle w:val="25"/>
        <w:rPr>
          <w:rFonts w:hint="eastAsia" w:ascii="宋体" w:hAnsi="宋体"/>
          <w:bCs/>
          <w:szCs w:val="18"/>
          <w:lang w:eastAsia="zh-CN"/>
        </w:rPr>
      </w:pPr>
    </w:p>
    <w:p>
      <w:pPr>
        <w:pStyle w:val="25"/>
        <w:rPr>
          <w:rFonts w:hint="eastAsia" w:ascii="宋体" w:hAnsi="宋体"/>
          <w:bCs/>
          <w:szCs w:val="18"/>
          <w:lang w:eastAsia="zh-CN"/>
        </w:rPr>
      </w:pPr>
    </w:p>
    <w:p>
      <w:pPr>
        <w:pStyle w:val="25"/>
        <w:rPr>
          <w:rFonts w:hint="eastAsia" w:ascii="宋体" w:hAnsi="宋体"/>
          <w:bCs/>
          <w:szCs w:val="18"/>
          <w:lang w:eastAsia="zh-CN"/>
        </w:rPr>
      </w:pPr>
    </w:p>
    <w:p>
      <w:pPr>
        <w:pStyle w:val="25"/>
        <w:rPr>
          <w:rFonts w:hint="eastAsia" w:ascii="宋体" w:hAnsi="宋体"/>
          <w:bCs/>
          <w:szCs w:val="18"/>
          <w:lang w:eastAsia="zh-CN"/>
        </w:rPr>
      </w:pPr>
    </w:p>
    <w:p>
      <w:pPr>
        <w:pStyle w:val="25"/>
        <w:rPr>
          <w:rFonts w:hint="eastAsia" w:ascii="宋体" w:hAnsi="宋体"/>
          <w:bCs/>
          <w:szCs w:val="18"/>
          <w:lang w:eastAsia="zh-CN"/>
        </w:rPr>
      </w:pPr>
    </w:p>
    <w:p>
      <w:pPr>
        <w:pStyle w:val="25"/>
        <w:rPr>
          <w:rFonts w:hint="eastAsia" w:ascii="宋体" w:hAnsi="宋体"/>
          <w:bCs/>
          <w:szCs w:val="18"/>
          <w:lang w:eastAsia="zh-CN"/>
        </w:rPr>
      </w:pPr>
    </w:p>
    <w:p>
      <w:pPr>
        <w:pStyle w:val="25"/>
        <w:rPr>
          <w:rFonts w:hint="eastAsia" w:ascii="宋体" w:hAnsi="宋体"/>
          <w:bCs/>
          <w:szCs w:val="18"/>
          <w:lang w:eastAsia="zh-CN"/>
        </w:rPr>
      </w:pPr>
    </w:p>
    <w:p>
      <w:pPr>
        <w:pStyle w:val="25"/>
        <w:rPr>
          <w:rFonts w:hint="eastAsia" w:ascii="宋体" w:hAnsi="宋体"/>
          <w:bCs/>
          <w:szCs w:val="18"/>
          <w:lang w:eastAsia="zh-CN"/>
        </w:rPr>
      </w:pPr>
    </w:p>
    <w:p>
      <w:pPr>
        <w:pStyle w:val="25"/>
        <w:rPr>
          <w:rFonts w:hint="eastAsia" w:ascii="宋体" w:hAnsi="宋体"/>
          <w:bCs/>
          <w:szCs w:val="18"/>
          <w:lang w:eastAsia="zh-CN"/>
        </w:rPr>
      </w:pPr>
    </w:p>
    <w:p>
      <w:pPr>
        <w:pStyle w:val="25"/>
        <w:rPr>
          <w:rFonts w:hint="eastAsia" w:ascii="宋体" w:hAnsi="宋体"/>
          <w:bCs/>
          <w:szCs w:val="18"/>
          <w:lang w:eastAsia="zh-CN"/>
        </w:rPr>
      </w:pPr>
    </w:p>
    <w:p>
      <w:pPr>
        <w:pStyle w:val="25"/>
        <w:rPr>
          <w:rFonts w:hint="eastAsia" w:ascii="宋体" w:hAnsi="宋体"/>
          <w:bCs/>
          <w:szCs w:val="18"/>
          <w:lang w:eastAsia="zh-CN"/>
        </w:rPr>
      </w:pPr>
    </w:p>
    <w:p>
      <w:pPr>
        <w:pStyle w:val="25"/>
        <w:rPr>
          <w:rFonts w:hint="eastAsia" w:ascii="宋体" w:hAnsi="宋体"/>
          <w:bCs/>
          <w:szCs w:val="18"/>
          <w:lang w:eastAsia="zh-CN"/>
        </w:rPr>
      </w:pPr>
    </w:p>
    <w:p>
      <w:pPr>
        <w:pStyle w:val="25"/>
        <w:rPr>
          <w:rFonts w:hint="eastAsia" w:ascii="宋体" w:hAnsi="宋体"/>
          <w:bCs/>
          <w:szCs w:val="18"/>
          <w:lang w:eastAsia="zh-CN"/>
        </w:rPr>
      </w:pPr>
    </w:p>
    <w:p>
      <w:pPr>
        <w:keepNext/>
        <w:keepLines/>
        <w:spacing w:before="120" w:after="120" w:line="415" w:lineRule="auto"/>
        <w:jc w:val="both"/>
        <w:outlineLvl w:val="1"/>
        <w:rPr>
          <w:rFonts w:hint="eastAsia" w:ascii="黑体" w:hAnsi="黑体" w:eastAsia="黑体" w:cs="Arial"/>
          <w:b/>
          <w:i/>
          <w:iCs w:val="0"/>
          <w:sz w:val="32"/>
          <w:szCs w:val="28"/>
          <w:highlight w:val="none"/>
          <w:u w:val="single"/>
        </w:rPr>
      </w:pPr>
    </w:p>
    <w:p>
      <w:pPr>
        <w:pStyle w:val="24"/>
        <w:rPr>
          <w:rFonts w:hint="eastAsia"/>
        </w:rPr>
      </w:pPr>
    </w:p>
    <w:p>
      <w:pPr>
        <w:keepNext/>
        <w:keepLines/>
        <w:spacing w:before="120" w:after="120" w:line="415" w:lineRule="auto"/>
        <w:jc w:val="both"/>
        <w:outlineLvl w:val="1"/>
        <w:rPr>
          <w:rFonts w:ascii="黑体" w:hAnsi="黑体" w:eastAsia="黑体" w:cs="Arial"/>
          <w:b/>
          <w:i w:val="0"/>
          <w:iCs/>
          <w:sz w:val="32"/>
          <w:szCs w:val="28"/>
          <w:highlight w:val="none"/>
          <w:u w:val="none"/>
        </w:rPr>
      </w:pPr>
      <w:r>
        <w:rPr>
          <w:rFonts w:hint="eastAsia" w:ascii="黑体" w:hAnsi="黑体" w:eastAsia="黑体" w:cs="Arial"/>
          <w:b/>
          <w:i/>
          <w:iCs w:val="0"/>
          <w:sz w:val="32"/>
          <w:szCs w:val="28"/>
          <w:highlight w:val="none"/>
          <w:u w:val="single"/>
        </w:rPr>
        <w:t>十、中小企业声明函（工程、服务）</w:t>
      </w:r>
    </w:p>
    <w:p>
      <w:pPr>
        <w:spacing w:line="360" w:lineRule="auto"/>
        <w:ind w:firstLine="420"/>
        <w:jc w:val="left"/>
      </w:pPr>
      <w:r>
        <w:rPr>
          <w:rFonts w:hint="eastAsia"/>
        </w:rPr>
        <w:t>本公司（联合体）郑重声明，根据《政府采购促进中小企业发展管理办法》（财库﹝2020﹞46 号）的规定，本公司（联合体）参加</w:t>
      </w:r>
      <w:r>
        <w:rPr>
          <w:rFonts w:hint="eastAsia"/>
          <w:u w:val="single"/>
        </w:rPr>
        <w:t>（单位名称）</w:t>
      </w:r>
      <w:r>
        <w:rPr>
          <w:rFonts w:hint="eastAsia"/>
        </w:rPr>
        <w:t>的</w:t>
      </w:r>
      <w:r>
        <w:rPr>
          <w:rFonts w:hint="eastAsia"/>
          <w:u w:val="single"/>
        </w:rPr>
        <w:t>（项目名称）</w:t>
      </w:r>
      <w:r>
        <w:rPr>
          <w:rFonts w:hint="eastAsia"/>
        </w:rPr>
        <w:t>采购活动，工程的施工单位全部为符合政策要求的中小企业（或者：服务全部由符合政策要求的中小企业承接）。相关企业（含联合体中的中小企业、签订分包意向协议的中小企业）的具体情况如下：</w:t>
      </w:r>
    </w:p>
    <w:p>
      <w:pPr>
        <w:numPr>
          <w:ilvl w:val="0"/>
          <w:numId w:val="5"/>
        </w:numPr>
        <w:spacing w:line="360" w:lineRule="auto"/>
        <w:ind w:firstLine="420"/>
        <w:jc w:val="left"/>
        <w:rPr>
          <w:u w:val="single"/>
        </w:rPr>
      </w:pPr>
      <w:r>
        <w:rPr>
          <w:rFonts w:hint="eastAsia"/>
          <w:u w:val="single"/>
        </w:rPr>
        <w:t>（标的名称）</w:t>
      </w:r>
      <w:r>
        <w:rPr>
          <w:rFonts w:hint="eastAsia"/>
        </w:rPr>
        <w:t>，属于</w:t>
      </w:r>
      <w:r>
        <w:rPr>
          <w:rFonts w:hint="eastAsia"/>
          <w:u w:val="single"/>
          <w:lang w:val="en-US" w:eastAsia="zh-CN"/>
        </w:rPr>
        <w:t xml:space="preserve"> </w:t>
      </w:r>
      <w:r>
        <w:rPr>
          <w:rFonts w:hint="eastAsia"/>
          <w:b/>
          <w:bCs/>
          <w:highlight w:val="none"/>
          <w:u w:val="single"/>
          <w:lang w:val="en-US" w:eastAsia="zh-CN"/>
        </w:rPr>
        <w:t>其他未列明行业</w:t>
      </w:r>
      <w:r>
        <w:rPr>
          <w:rFonts w:hint="eastAsia"/>
          <w:u w:val="single"/>
        </w:rPr>
        <w:t>（该行业类别不可修改）</w:t>
      </w:r>
      <w:r>
        <w:rPr>
          <w:rFonts w:hint="eastAsia"/>
        </w:rPr>
        <w:t>；承建（承接）企业为</w:t>
      </w:r>
      <w:r>
        <w:rPr>
          <w:rFonts w:hint="eastAsia"/>
          <w:u w:val="single"/>
        </w:rPr>
        <w:t>（企业名称）</w:t>
      </w:r>
      <w:r>
        <w:rPr>
          <w:rFonts w:hint="eastAsia"/>
        </w:rPr>
        <w:t>，从业人员</w:t>
      </w:r>
      <w:r>
        <w:rPr>
          <w:rFonts w:hint="eastAsia"/>
          <w:u w:val="single"/>
        </w:rPr>
        <w:t xml:space="preserve">      </w:t>
      </w:r>
      <w:r>
        <w:rPr>
          <w:rFonts w:hint="eastAsia"/>
        </w:rPr>
        <w:t>人，营业收入为</w:t>
      </w:r>
      <w:r>
        <w:rPr>
          <w:rFonts w:hint="eastAsia"/>
          <w:u w:val="single"/>
        </w:rPr>
        <w:t xml:space="preserve">      </w:t>
      </w:r>
      <w:r>
        <w:rPr>
          <w:rFonts w:hint="eastAsia"/>
        </w:rPr>
        <w:t>万元，资产总额为</w:t>
      </w:r>
      <w:r>
        <w:rPr>
          <w:rFonts w:hint="eastAsia"/>
          <w:u w:val="single"/>
        </w:rPr>
        <w:t xml:space="preserve">     </w:t>
      </w:r>
      <w:r>
        <w:rPr>
          <w:rFonts w:hint="eastAsia"/>
        </w:rPr>
        <w:t>万元</w:t>
      </w:r>
      <w:r>
        <w:fldChar w:fldCharType="begin"/>
      </w:r>
      <w:r>
        <w:instrText xml:space="preserve"> HYPERLINK \l "br1" \o "#br1" </w:instrText>
      </w:r>
      <w:r>
        <w:fldChar w:fldCharType="separate"/>
      </w:r>
      <w:r>
        <w:rPr>
          <w:rFonts w:ascii="仿宋" w:eastAsia="Times New Roman"/>
          <w:color w:val="000000"/>
          <w:spacing w:val="-1"/>
          <w:vertAlign w:val="superscript"/>
        </w:rPr>
        <w:t>1</w:t>
      </w:r>
      <w:r>
        <w:rPr>
          <w:rFonts w:ascii="仿宋" w:eastAsia="Times New Roman"/>
          <w:color w:val="000000"/>
          <w:spacing w:val="-1"/>
          <w:vertAlign w:val="superscript"/>
        </w:rPr>
        <w:fldChar w:fldCharType="end"/>
      </w:r>
      <w:r>
        <w:rPr>
          <w:rFonts w:hint="eastAsia"/>
        </w:rPr>
        <w:t>，属于</w:t>
      </w:r>
      <w:r>
        <w:rPr>
          <w:rFonts w:hint="eastAsia"/>
          <w:u w:val="single"/>
          <w:lang w:val="en-US" w:eastAsia="zh-CN"/>
        </w:rPr>
        <w:t xml:space="preserve">             </w:t>
      </w:r>
      <w:r>
        <w:rPr>
          <w:rFonts w:hint="eastAsia"/>
          <w:u w:val="single"/>
        </w:rPr>
        <w:t>（中型企业、小型企业、微型企业）；</w:t>
      </w:r>
    </w:p>
    <w:p>
      <w:pPr>
        <w:spacing w:line="360" w:lineRule="auto"/>
        <w:ind w:firstLine="420"/>
        <w:jc w:val="left"/>
        <w:rPr>
          <w:u w:val="single"/>
        </w:rPr>
      </w:pPr>
      <w:r>
        <w:rPr>
          <w:rFonts w:hint="eastAsia"/>
        </w:rPr>
        <w:t xml:space="preserve">2. </w:t>
      </w:r>
      <w:r>
        <w:rPr>
          <w:rFonts w:hint="eastAsia"/>
          <w:u w:val="single"/>
        </w:rPr>
        <w:t>（标的名称）</w:t>
      </w:r>
      <w:r>
        <w:rPr>
          <w:rFonts w:hint="eastAsia"/>
        </w:rPr>
        <w:t>，属于</w:t>
      </w:r>
      <w:r>
        <w:rPr>
          <w:rFonts w:hint="eastAsia"/>
          <w:u w:val="single"/>
        </w:rPr>
        <w:t>（采购文件中明确的所属行业（该行业类别不可修改））</w:t>
      </w:r>
      <w:r>
        <w:rPr>
          <w:rFonts w:hint="eastAsia"/>
        </w:rPr>
        <w:t>；承建（承接）企业为</w:t>
      </w:r>
      <w:r>
        <w:rPr>
          <w:rFonts w:hint="eastAsia"/>
          <w:u w:val="single"/>
        </w:rPr>
        <w:t>（企业名称）</w:t>
      </w:r>
      <w:r>
        <w:rPr>
          <w:rFonts w:hint="eastAsia"/>
        </w:rPr>
        <w:t>，从业人员</w:t>
      </w:r>
      <w:r>
        <w:rPr>
          <w:rFonts w:hint="eastAsia"/>
          <w:u w:val="single"/>
        </w:rPr>
        <w:t xml:space="preserve">      </w:t>
      </w:r>
      <w:r>
        <w:rPr>
          <w:rFonts w:hint="eastAsia"/>
        </w:rPr>
        <w:t>人，营业收入为</w:t>
      </w:r>
      <w:r>
        <w:rPr>
          <w:rFonts w:hint="eastAsia"/>
          <w:u w:val="single"/>
        </w:rPr>
        <w:t xml:space="preserve">      </w:t>
      </w:r>
      <w:r>
        <w:rPr>
          <w:rFonts w:hint="eastAsia"/>
        </w:rPr>
        <w:t>万元，资产总额为</w:t>
      </w:r>
      <w:r>
        <w:rPr>
          <w:rFonts w:hint="eastAsia"/>
          <w:u w:val="single"/>
        </w:rPr>
        <w:t xml:space="preserve">       </w:t>
      </w:r>
      <w:r>
        <w:rPr>
          <w:rFonts w:hint="eastAsia"/>
        </w:rPr>
        <w:t>万元，属于</w:t>
      </w:r>
      <w:r>
        <w:rPr>
          <w:rFonts w:hint="eastAsia"/>
          <w:u w:val="single"/>
        </w:rPr>
        <w:t>（中型企业、小型企业、微型企业）；</w:t>
      </w:r>
    </w:p>
    <w:p>
      <w:pPr>
        <w:spacing w:line="360" w:lineRule="auto"/>
        <w:ind w:firstLine="420"/>
        <w:jc w:val="left"/>
      </w:pPr>
      <w:r>
        <w:rPr>
          <w:rFonts w:hint="eastAsia"/>
        </w:rPr>
        <w:t>……</w:t>
      </w:r>
    </w:p>
    <w:p>
      <w:pPr>
        <w:spacing w:line="360" w:lineRule="auto"/>
        <w:ind w:firstLine="420"/>
        <w:jc w:val="left"/>
      </w:pPr>
      <w:r>
        <w:rPr>
          <w:rFonts w:hint="eastAsia"/>
        </w:rPr>
        <w:t>以上企业，不属于大企业的分支机构，不存在控股股东为大企业的情形，也不存在与大企业的负责人为同一人的情形。</w:t>
      </w:r>
    </w:p>
    <w:p>
      <w:pPr>
        <w:spacing w:line="360" w:lineRule="auto"/>
        <w:ind w:firstLine="420"/>
        <w:jc w:val="left"/>
      </w:pPr>
      <w:r>
        <w:rPr>
          <w:rFonts w:hint="eastAsia"/>
        </w:rPr>
        <w:t>本企业对上述声明内容的真实性负责。如有虚假，将依法承担相应责任。</w:t>
      </w:r>
    </w:p>
    <w:p>
      <w:pPr>
        <w:spacing w:line="360" w:lineRule="auto"/>
        <w:ind w:firstLine="420"/>
        <w:jc w:val="left"/>
      </w:pPr>
    </w:p>
    <w:p>
      <w:pPr>
        <w:spacing w:line="360" w:lineRule="auto"/>
        <w:ind w:firstLine="4620"/>
        <w:jc w:val="left"/>
      </w:pPr>
      <w:r>
        <w:rPr>
          <w:rFonts w:hint="eastAsia"/>
        </w:rPr>
        <w:t>企业名称（加盖CA电子公章）：</w:t>
      </w:r>
    </w:p>
    <w:p>
      <w:pPr>
        <w:spacing w:line="360" w:lineRule="auto"/>
        <w:ind w:firstLine="4620"/>
        <w:jc w:val="left"/>
      </w:pPr>
      <w:r>
        <w:rPr>
          <w:rFonts w:hint="eastAsia"/>
        </w:rPr>
        <w:t>日 期：</w:t>
      </w:r>
    </w:p>
    <w:p>
      <w:pPr>
        <w:spacing w:line="360" w:lineRule="auto"/>
        <w:ind w:firstLine="420"/>
        <w:jc w:val="left"/>
      </w:pPr>
    </w:p>
    <w:p>
      <w:pPr>
        <w:spacing w:line="360" w:lineRule="auto"/>
        <w:rPr>
          <w:rFonts w:ascii="宋体" w:hAnsi="宋体"/>
        </w:rPr>
      </w:pPr>
      <w:r>
        <w:rPr>
          <w:rFonts w:hint="eastAsia" w:ascii="宋体" w:hAnsi="宋体"/>
          <w:b/>
          <w:bCs/>
        </w:rPr>
        <w:t>注</w:t>
      </w:r>
      <w:r>
        <w:rPr>
          <w:rFonts w:hint="eastAsia" w:ascii="宋体" w:hAnsi="宋体"/>
        </w:rPr>
        <w:t>：1、</w:t>
      </w:r>
      <w:r>
        <w:rPr>
          <w:rFonts w:hint="eastAsia"/>
        </w:rPr>
        <w:t>从业人员（不仅指在职职工）、营业收入、资产总额填报上一年度数据，无上一年度数据的新成立企业可不填报。</w:t>
      </w:r>
    </w:p>
    <w:p>
      <w:pPr>
        <w:numPr>
          <w:ilvl w:val="0"/>
          <w:numId w:val="0"/>
        </w:numPr>
        <w:spacing w:line="360" w:lineRule="auto"/>
        <w:ind w:firstLine="422" w:firstLineChars="200"/>
        <w:rPr>
          <w:rFonts w:hint="eastAsia" w:ascii="宋体" w:hAnsi="宋体"/>
          <w:b/>
        </w:rPr>
      </w:pPr>
      <w:r>
        <w:rPr>
          <w:rFonts w:hint="eastAsia" w:ascii="宋体" w:hAnsi="宋体"/>
          <w:b/>
          <w:lang w:val="en-US" w:eastAsia="zh-CN"/>
        </w:rPr>
        <w:t>2、</w:t>
      </w:r>
      <w:r>
        <w:rPr>
          <w:rFonts w:hint="eastAsia" w:ascii="宋体" w:hAnsi="宋体"/>
          <w:b/>
        </w:rPr>
        <w:t>供应商如不提供此声明函，</w:t>
      </w:r>
      <w:r>
        <w:rPr>
          <w:rFonts w:hint="eastAsia" w:ascii="宋体" w:hAnsi="宋体"/>
          <w:b/>
          <w:lang w:val="en-US" w:eastAsia="zh-CN"/>
        </w:rPr>
        <w:t>响应文件无效</w:t>
      </w:r>
      <w:r>
        <w:rPr>
          <w:rFonts w:hint="eastAsia" w:ascii="宋体" w:hAnsi="宋体"/>
          <w:b/>
        </w:rPr>
        <w:t>。</w:t>
      </w:r>
    </w:p>
    <w:p>
      <w:pPr>
        <w:numPr>
          <w:ilvl w:val="0"/>
          <w:numId w:val="0"/>
        </w:numPr>
        <w:spacing w:line="360" w:lineRule="auto"/>
        <w:ind w:firstLine="420" w:firstLineChars="200"/>
        <w:rPr>
          <w:rFonts w:ascii="宋体" w:hAnsi="宋体" w:cs="宋体"/>
        </w:rPr>
      </w:pPr>
      <w:r>
        <w:rPr>
          <w:rFonts w:hint="eastAsia" w:ascii="宋体" w:hAnsi="宋体" w:cs="宋体"/>
        </w:rPr>
        <w:t>3、企业声明函请完整填写，成交后将公示。</w:t>
      </w:r>
    </w:p>
    <w:p>
      <w:pPr>
        <w:spacing w:line="360" w:lineRule="auto"/>
        <w:ind w:firstLine="420"/>
        <w:jc w:val="left"/>
        <w:rPr>
          <w:rFonts w:ascii="宋体" w:hAnsi="宋体" w:cs="宋体"/>
        </w:rPr>
      </w:pPr>
      <w:r>
        <w:rPr>
          <w:rFonts w:hint="eastAsia" w:ascii="宋体" w:hAnsi="宋体" w:cs="宋体"/>
        </w:rPr>
        <w:t>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p>
    <w:p>
      <w:pPr>
        <w:spacing w:line="360" w:lineRule="auto"/>
        <w:ind w:firstLine="420"/>
        <w:jc w:val="left"/>
        <w:rPr>
          <w:rFonts w:ascii="宋体" w:hAnsi="宋体" w:cs="宋体"/>
        </w:rPr>
      </w:pPr>
      <w:r>
        <w:rPr>
          <w:rFonts w:hint="eastAsia" w:ascii="宋体" w:hAnsi="宋体" w:cs="宋体"/>
        </w:rPr>
        <w:t>5、中小企业不得属于大企业的分支机构，不得存在控股股东为大企业的情形，不得存在与大企业的负责人为同一人的情形。</w:t>
      </w:r>
    </w:p>
    <w:p>
      <w:pPr>
        <w:spacing w:line="360" w:lineRule="auto"/>
        <w:ind w:firstLine="420"/>
        <w:jc w:val="left"/>
      </w:pPr>
      <w:r>
        <w:rPr>
          <w:rFonts w:hint="eastAsia" w:ascii="宋体" w:hAnsi="宋体" w:cs="宋体"/>
        </w:rPr>
        <w:t>6、《政府采购法》第七十七条第一款：提供虚假材料谋取中标、成交的，处以采购金额千分之五以上</w:t>
      </w:r>
      <w:r>
        <w:rPr>
          <w:rFonts w:hint="eastAsia"/>
        </w:rPr>
        <w:t>千分之十以下的罚款，列入不良行为记录名单，在一至三年内禁止参加政府采购活动，有违法所得的，并处没收违法所得，情节严重的，由工商行政管理机关吊销营业执照；构成犯罪的，依法追究刑事责任 。</w:t>
      </w:r>
    </w:p>
    <w:p>
      <w:pPr>
        <w:pStyle w:val="226"/>
        <w:widowControl/>
        <w:spacing w:before="300" w:after="300" w:line="360" w:lineRule="auto"/>
        <w:rPr>
          <w:rFonts w:ascii="宋体" w:hAnsi="宋体"/>
          <w:color w:val="666666"/>
          <w:sz w:val="21"/>
          <w:szCs w:val="21"/>
        </w:rPr>
      </w:pPr>
      <w:bookmarkStart w:id="190" w:name="_Toc109304977"/>
      <w:r>
        <w:rPr>
          <w:rFonts w:hint="eastAsia" w:ascii="宋体" w:hAnsi="宋体" w:cs="微软雅黑"/>
          <w:bCs w:val="0"/>
          <w:color w:val="333333"/>
          <w:sz w:val="21"/>
          <w:szCs w:val="21"/>
        </w:rPr>
        <w:t>中小微企业划型标准</w:t>
      </w:r>
      <w:bookmarkEnd w:id="190"/>
      <w:r>
        <w:rPr>
          <w:rFonts w:hint="eastAsia" w:ascii="宋体" w:hAnsi="宋体" w:cs="微软雅黑"/>
          <w:bCs w:val="0"/>
          <w:color w:val="666666"/>
          <w:sz w:val="21"/>
          <w:szCs w:val="21"/>
        </w:rPr>
        <w:t> </w:t>
      </w:r>
    </w:p>
    <w:p>
      <w:pPr>
        <w:pStyle w:val="288"/>
        <w:spacing w:before="300" w:after="452" w:line="360" w:lineRule="auto"/>
        <w:ind w:firstLine="420"/>
        <w:rPr>
          <w:color w:val="666666"/>
          <w:sz w:val="21"/>
          <w:szCs w:val="21"/>
        </w:rPr>
      </w:pPr>
      <w:r>
        <w:rPr>
          <w:rFonts w:hint="eastAsia" w:cs="仿宋"/>
          <w:color w:val="666666"/>
          <w:sz w:val="21"/>
          <w:szCs w:val="21"/>
        </w:rPr>
        <w:t>    </w:t>
      </w:r>
      <w:r>
        <w:rPr>
          <w:rStyle w:val="297"/>
          <w:rFonts w:hint="eastAsia" w:cs="仿宋"/>
          <w:color w:val="666666"/>
          <w:sz w:val="21"/>
          <w:szCs w:val="21"/>
        </w:rPr>
        <w:t>中小微企业划型标准如下：</w:t>
      </w:r>
    </w:p>
    <w:tbl>
      <w:tblPr>
        <w:tblStyle w:val="46"/>
        <w:tblW w:w="8988"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46"/>
        <w:gridCol w:w="1739"/>
        <w:gridCol w:w="651"/>
        <w:gridCol w:w="1943"/>
        <w:gridCol w:w="1709"/>
        <w:gridCol w:w="1500"/>
      </w:tblGrid>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CellSpacing w:w="15" w:type="dxa"/>
          <w:jc w:val="center"/>
        </w:trPr>
        <w:tc>
          <w:tcPr>
            <w:tcW w:w="1401" w:type="dxa"/>
            <w:tcBorders>
              <w:top w:val="single" w:color="000000" w:sz="6" w:space="0"/>
              <w:left w:val="single" w:color="000000" w:sz="6" w:space="0"/>
              <w:bottom w:val="single" w:color="000000" w:sz="6" w:space="0"/>
              <w:right w:val="single" w:color="000000"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行业名称</w:t>
            </w:r>
          </w:p>
        </w:tc>
        <w:tc>
          <w:tcPr>
            <w:tcW w:w="1709" w:type="dxa"/>
            <w:tcBorders>
              <w:top w:val="single" w:color="000000" w:sz="6" w:space="0"/>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指标名称</w:t>
            </w:r>
          </w:p>
        </w:tc>
        <w:tc>
          <w:tcPr>
            <w:tcW w:w="621" w:type="dxa"/>
            <w:tcBorders>
              <w:top w:val="single" w:color="000000" w:sz="6" w:space="0"/>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计量单位</w:t>
            </w:r>
          </w:p>
        </w:tc>
        <w:tc>
          <w:tcPr>
            <w:tcW w:w="1913" w:type="dxa"/>
            <w:tcBorders>
              <w:top w:val="single" w:color="000000" w:sz="6" w:space="0"/>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中型</w:t>
            </w:r>
          </w:p>
        </w:tc>
        <w:tc>
          <w:tcPr>
            <w:tcW w:w="1679" w:type="dxa"/>
            <w:tcBorders>
              <w:top w:val="single" w:color="000000" w:sz="6" w:space="0"/>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小型</w:t>
            </w:r>
          </w:p>
        </w:tc>
        <w:tc>
          <w:tcPr>
            <w:tcW w:w="1455" w:type="dxa"/>
            <w:tcBorders>
              <w:top w:val="single" w:color="000000" w:sz="6" w:space="0"/>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微型</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jc w:val="center"/>
        </w:trPr>
        <w:tc>
          <w:tcPr>
            <w:tcW w:w="1401" w:type="dxa"/>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农、林、牧、渔</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营业收入（Y）</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万元</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500≤Y＜20000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50≤Y＜500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Y＜50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工业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从业人员（X）</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人</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20≤X＜300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X＜20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356" w:type="dxa"/>
            <w:vMerge w:val="continue"/>
            <w:tcBorders>
              <w:top w:val="nil"/>
              <w:left w:val="single" w:color="000000" w:sz="6" w:space="0"/>
              <w:bottom w:val="single" w:color="999999" w:sz="6" w:space="0"/>
              <w:right w:val="single" w:color="999999" w:sz="6" w:space="0"/>
            </w:tcBorders>
            <w:noWrap w:val="0"/>
            <w:vAlign w:val="center"/>
          </w:tcPr>
          <w:p>
            <w:pPr>
              <w:widowControl/>
              <w:jc w:val="left"/>
              <w:rPr>
                <w:rFonts w:ascii="宋体" w:hAnsi="宋体" w:cs="宋体"/>
                <w:color w:val="666666"/>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营业收入（Y）</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万元</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2000≤Y＜40000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300≤Y＜2000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Y＜300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建筑业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营业收入（Y）</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万元</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6000≤Y＜80000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300≤Y＜6000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Y＜300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356" w:type="dxa"/>
            <w:vMerge w:val="continue"/>
            <w:tcBorders>
              <w:top w:val="nil"/>
              <w:left w:val="single" w:color="000000" w:sz="6" w:space="0"/>
              <w:bottom w:val="single" w:color="999999" w:sz="6" w:space="0"/>
              <w:right w:val="single" w:color="999999" w:sz="6" w:space="0"/>
            </w:tcBorders>
            <w:noWrap w:val="0"/>
            <w:vAlign w:val="center"/>
          </w:tcPr>
          <w:p>
            <w:pPr>
              <w:widowControl/>
              <w:jc w:val="left"/>
              <w:rPr>
                <w:rFonts w:ascii="宋体" w:hAnsi="宋体" w:cs="宋体"/>
                <w:color w:val="666666"/>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资产总额（Z）</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万元</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5000≤Z＜80000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300≤Z＜5000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Z＜300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rStyle w:val="297"/>
                <w:rFonts w:cs="仿宋"/>
              </w:rPr>
            </w:pPr>
            <w:r>
              <w:rPr>
                <w:rStyle w:val="297"/>
                <w:rFonts w:hint="eastAsia" w:cs="仿宋"/>
                <w:color w:val="666666"/>
                <w:sz w:val="21"/>
                <w:szCs w:val="21"/>
              </w:rPr>
              <w:t>批发业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从业人员（X）</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人</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20≤X＜200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5≤X＜20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X＜5</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356" w:type="dxa"/>
            <w:vMerge w:val="continue"/>
            <w:tcBorders>
              <w:top w:val="nil"/>
              <w:left w:val="single" w:color="000000" w:sz="6" w:space="0"/>
              <w:bottom w:val="single" w:color="999999" w:sz="6" w:space="0"/>
              <w:right w:val="single" w:color="999999" w:sz="6" w:space="0"/>
            </w:tcBorders>
            <w:noWrap w:val="0"/>
            <w:vAlign w:val="center"/>
          </w:tcPr>
          <w:p>
            <w:pPr>
              <w:widowControl/>
              <w:jc w:val="left"/>
              <w:rPr>
                <w:rStyle w:val="297"/>
                <w:rFonts w:ascii="宋体" w:hAnsi="宋体" w:cs="仿宋"/>
                <w:sz w:val="24"/>
                <w:szCs w:val="24"/>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营业收入（Y）</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万元</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5000≤Y＜40000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1000≤Y＜5000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Y＜1000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零售业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从业人员（X）</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人</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50≤X＜300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10≤X＜50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X＜10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356" w:type="dxa"/>
            <w:vMerge w:val="continue"/>
            <w:tcBorders>
              <w:top w:val="nil"/>
              <w:left w:val="single" w:color="000000" w:sz="6" w:space="0"/>
              <w:bottom w:val="single" w:color="999999" w:sz="6" w:space="0"/>
              <w:right w:val="single" w:color="999999" w:sz="6" w:space="0"/>
            </w:tcBorders>
            <w:noWrap w:val="0"/>
            <w:vAlign w:val="center"/>
          </w:tcPr>
          <w:p>
            <w:pPr>
              <w:widowControl/>
              <w:jc w:val="left"/>
              <w:rPr>
                <w:rFonts w:ascii="宋体" w:hAnsi="宋体" w:cs="宋体"/>
                <w:color w:val="666666"/>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营业收入（Y）</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万元</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500≤Y＜20000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100≤Y＜500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Y＜100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交通运输业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从业人员（X）</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人</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20≤X＜300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X＜20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356" w:type="dxa"/>
            <w:vMerge w:val="continue"/>
            <w:tcBorders>
              <w:top w:val="nil"/>
              <w:left w:val="single" w:color="000000" w:sz="6" w:space="0"/>
              <w:bottom w:val="single" w:color="999999" w:sz="6" w:space="0"/>
              <w:right w:val="single" w:color="999999" w:sz="6" w:space="0"/>
            </w:tcBorders>
            <w:noWrap w:val="0"/>
            <w:vAlign w:val="center"/>
          </w:tcPr>
          <w:p>
            <w:pPr>
              <w:widowControl/>
              <w:jc w:val="left"/>
              <w:rPr>
                <w:rFonts w:ascii="宋体" w:hAnsi="宋体" w:cs="宋体"/>
                <w:color w:val="666666"/>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营业收入（Y）</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万元</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3000≤Y＜30000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200≤Y＜3000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Y＜200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仓储业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从业人员（X）</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人</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100≤X＜200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20≤X＜100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X＜20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356" w:type="dxa"/>
            <w:vMerge w:val="continue"/>
            <w:tcBorders>
              <w:top w:val="nil"/>
              <w:left w:val="single" w:color="000000" w:sz="6" w:space="0"/>
              <w:bottom w:val="single" w:color="999999" w:sz="6" w:space="0"/>
              <w:right w:val="single" w:color="999999" w:sz="6" w:space="0"/>
            </w:tcBorders>
            <w:noWrap w:val="0"/>
            <w:vAlign w:val="center"/>
          </w:tcPr>
          <w:p>
            <w:pPr>
              <w:widowControl/>
              <w:jc w:val="left"/>
              <w:rPr>
                <w:rFonts w:ascii="宋体" w:hAnsi="宋体" w:cs="宋体"/>
                <w:color w:val="666666"/>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营业收入（Y）</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万元</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1000≤Y＜30000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100≤Y＜1000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Y＜100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邮政业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从业人员（X）</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人</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20≤X＜300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X＜20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356" w:type="dxa"/>
            <w:vMerge w:val="continue"/>
            <w:tcBorders>
              <w:top w:val="nil"/>
              <w:left w:val="single" w:color="000000" w:sz="6" w:space="0"/>
              <w:bottom w:val="single" w:color="999999" w:sz="6" w:space="0"/>
              <w:right w:val="single" w:color="999999" w:sz="6" w:space="0"/>
            </w:tcBorders>
            <w:noWrap w:val="0"/>
            <w:vAlign w:val="center"/>
          </w:tcPr>
          <w:p>
            <w:pPr>
              <w:widowControl/>
              <w:jc w:val="left"/>
              <w:rPr>
                <w:rFonts w:ascii="宋体" w:hAnsi="宋体" w:cs="宋体"/>
                <w:color w:val="666666"/>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营业收入（Y）</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万元</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2000≤Y＜30000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100≤Y＜2000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Y＜100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住宿业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从业人员（X）</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人</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X＜10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356" w:type="dxa"/>
            <w:vMerge w:val="continue"/>
            <w:tcBorders>
              <w:top w:val="nil"/>
              <w:left w:val="single" w:color="000000" w:sz="6" w:space="0"/>
              <w:bottom w:val="single" w:color="999999" w:sz="6" w:space="0"/>
              <w:right w:val="single" w:color="999999" w:sz="6" w:space="0"/>
            </w:tcBorders>
            <w:noWrap w:val="0"/>
            <w:vAlign w:val="center"/>
          </w:tcPr>
          <w:p>
            <w:pPr>
              <w:widowControl/>
              <w:jc w:val="left"/>
              <w:rPr>
                <w:rFonts w:ascii="宋体" w:hAnsi="宋体" w:cs="宋体"/>
                <w:color w:val="666666"/>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营业收入（Y）</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万元</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2000≤Y＜10000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100≤Y＜2000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Y＜100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餐饮业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从业人员（X）</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人</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X＜10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356" w:type="dxa"/>
            <w:vMerge w:val="continue"/>
            <w:tcBorders>
              <w:top w:val="nil"/>
              <w:left w:val="single" w:color="000000" w:sz="6" w:space="0"/>
              <w:bottom w:val="single" w:color="999999" w:sz="6" w:space="0"/>
              <w:right w:val="single" w:color="999999" w:sz="6" w:space="0"/>
            </w:tcBorders>
            <w:noWrap w:val="0"/>
            <w:vAlign w:val="center"/>
          </w:tcPr>
          <w:p>
            <w:pPr>
              <w:widowControl/>
              <w:jc w:val="left"/>
              <w:rPr>
                <w:rFonts w:ascii="宋体" w:hAnsi="宋体" w:cs="宋体"/>
                <w:color w:val="666666"/>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营业收入（Y）</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万元</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2000≤Y＜10000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100≤Y＜2000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Y＜100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信息传输业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从业人员（X）</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人</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100≤X＜2000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X＜10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356" w:type="dxa"/>
            <w:vMerge w:val="continue"/>
            <w:tcBorders>
              <w:top w:val="nil"/>
              <w:left w:val="single" w:color="000000" w:sz="6" w:space="0"/>
              <w:bottom w:val="single" w:color="999999" w:sz="6" w:space="0"/>
              <w:right w:val="single" w:color="999999" w:sz="6" w:space="0"/>
            </w:tcBorders>
            <w:noWrap w:val="0"/>
            <w:vAlign w:val="center"/>
          </w:tcPr>
          <w:p>
            <w:pPr>
              <w:widowControl/>
              <w:jc w:val="left"/>
              <w:rPr>
                <w:rFonts w:ascii="宋体" w:hAnsi="宋体" w:cs="宋体"/>
                <w:color w:val="666666"/>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营业收入（Y）</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万元</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1000≤Y＜100000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100≤Y＜1000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Y＜100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软件和信息技术服务业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从业人员（X）</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人</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X＜10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356" w:type="dxa"/>
            <w:vMerge w:val="continue"/>
            <w:tcBorders>
              <w:top w:val="nil"/>
              <w:left w:val="single" w:color="000000" w:sz="6" w:space="0"/>
              <w:bottom w:val="single" w:color="999999" w:sz="6" w:space="0"/>
              <w:right w:val="single" w:color="999999" w:sz="6" w:space="0"/>
            </w:tcBorders>
            <w:noWrap w:val="0"/>
            <w:vAlign w:val="center"/>
          </w:tcPr>
          <w:p>
            <w:pPr>
              <w:widowControl/>
              <w:jc w:val="left"/>
              <w:rPr>
                <w:rFonts w:ascii="宋体" w:hAnsi="宋体" w:cs="宋体"/>
                <w:color w:val="666666"/>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营业收入（Y）</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万元</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1000≤Y＜10000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50≤Y＜1000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Y＜50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房地产开发经营</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rPr>
                <w:color w:val="666666"/>
                <w:sz w:val="21"/>
                <w:szCs w:val="21"/>
              </w:rPr>
            </w:pPr>
            <w:r>
              <w:rPr>
                <w:rStyle w:val="297"/>
                <w:rFonts w:hint="eastAsia" w:cs="仿宋"/>
                <w:color w:val="666666"/>
                <w:sz w:val="21"/>
                <w:szCs w:val="21"/>
              </w:rPr>
              <w:t>营业收入（Y）</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万元</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1000≤Y＜200000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100≤X＜1000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X＜100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356" w:type="dxa"/>
            <w:vMerge w:val="continue"/>
            <w:tcBorders>
              <w:top w:val="nil"/>
              <w:left w:val="single" w:color="000000" w:sz="6" w:space="0"/>
              <w:bottom w:val="single" w:color="999999" w:sz="6" w:space="0"/>
              <w:right w:val="single" w:color="999999" w:sz="6" w:space="0"/>
            </w:tcBorders>
            <w:noWrap w:val="0"/>
            <w:vAlign w:val="center"/>
          </w:tcPr>
          <w:p>
            <w:pPr>
              <w:widowControl/>
              <w:jc w:val="left"/>
              <w:rPr>
                <w:rFonts w:ascii="宋体" w:hAnsi="宋体" w:cs="宋体"/>
                <w:color w:val="666666"/>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rPr>
                <w:color w:val="666666"/>
                <w:sz w:val="21"/>
                <w:szCs w:val="21"/>
              </w:rPr>
            </w:pPr>
            <w:r>
              <w:rPr>
                <w:rStyle w:val="297"/>
                <w:rFonts w:hint="eastAsia" w:cs="仿宋"/>
                <w:color w:val="666666"/>
                <w:sz w:val="21"/>
                <w:szCs w:val="21"/>
              </w:rPr>
              <w:t>资产总额（Z）</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万元</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5000≤Z＜10000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2000≤Y＜5000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Y＜2000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物业管理</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从业人员（X）</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人</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100≤X＜300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X＜100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356" w:type="dxa"/>
            <w:vMerge w:val="continue"/>
            <w:tcBorders>
              <w:top w:val="nil"/>
              <w:left w:val="single" w:color="000000" w:sz="6" w:space="0"/>
              <w:bottom w:val="single" w:color="999999" w:sz="6" w:space="0"/>
              <w:right w:val="single" w:color="999999" w:sz="6" w:space="0"/>
            </w:tcBorders>
            <w:noWrap w:val="0"/>
            <w:vAlign w:val="center"/>
          </w:tcPr>
          <w:p>
            <w:pPr>
              <w:widowControl/>
              <w:jc w:val="left"/>
              <w:rPr>
                <w:rFonts w:ascii="宋体" w:hAnsi="宋体" w:cs="宋体"/>
                <w:color w:val="666666"/>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营业收入（Y）</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万元</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1000≤Y＜5000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500≤Y＜1000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Y＜500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租赁和商务服务业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从业人员（X）</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人</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X＜10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jc w:val="center"/>
        </w:trPr>
        <w:tc>
          <w:tcPr>
            <w:tcW w:w="1356" w:type="dxa"/>
            <w:vMerge w:val="continue"/>
            <w:tcBorders>
              <w:top w:val="nil"/>
              <w:left w:val="single" w:color="000000" w:sz="6" w:space="0"/>
              <w:bottom w:val="single" w:color="999999" w:sz="6" w:space="0"/>
              <w:right w:val="single" w:color="999999" w:sz="6" w:space="0"/>
            </w:tcBorders>
            <w:noWrap w:val="0"/>
            <w:vAlign w:val="center"/>
          </w:tcPr>
          <w:p>
            <w:pPr>
              <w:widowControl/>
              <w:jc w:val="left"/>
              <w:rPr>
                <w:rFonts w:ascii="宋体" w:hAnsi="宋体" w:cs="宋体"/>
                <w:color w:val="666666"/>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资产总额（Z）</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万元</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8000≤Z＜120000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100≤Z＜8000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Y＜100</w:t>
            </w:r>
          </w:p>
        </w:tc>
      </w:tr>
      <w:tr>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jc w:val="center"/>
        </w:trPr>
        <w:tc>
          <w:tcPr>
            <w:tcW w:w="1401" w:type="dxa"/>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其他未列明行业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从业人员（X）</w:t>
            </w:r>
          </w:p>
        </w:tc>
        <w:tc>
          <w:tcPr>
            <w:tcW w:w="6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人</w:t>
            </w:r>
          </w:p>
        </w:tc>
        <w:tc>
          <w:tcPr>
            <w:tcW w:w="19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pPr>
              <w:pStyle w:val="288"/>
              <w:spacing w:line="360" w:lineRule="auto"/>
              <w:jc w:val="center"/>
              <w:rPr>
                <w:color w:val="666666"/>
                <w:sz w:val="21"/>
                <w:szCs w:val="21"/>
              </w:rPr>
            </w:pPr>
            <w:r>
              <w:rPr>
                <w:rStyle w:val="297"/>
                <w:rFonts w:hint="eastAsia" w:cs="仿宋"/>
                <w:color w:val="666666"/>
                <w:sz w:val="21"/>
                <w:szCs w:val="21"/>
              </w:rPr>
              <w:t>X＜10</w:t>
            </w:r>
          </w:p>
        </w:tc>
      </w:tr>
    </w:tbl>
    <w:p>
      <w:pPr>
        <w:pStyle w:val="288"/>
        <w:spacing w:before="300" w:after="452" w:line="360" w:lineRule="auto"/>
        <w:ind w:firstLine="420"/>
        <w:rPr>
          <w:rFonts w:ascii="黑体" w:hAnsi="黑体" w:eastAsia="黑体"/>
          <w:b/>
          <w:bCs/>
          <w:sz w:val="32"/>
          <w:szCs w:val="32"/>
        </w:rPr>
      </w:pPr>
      <w:r>
        <w:rPr>
          <w:rStyle w:val="297"/>
          <w:rFonts w:hint="eastAsia" w:cs="仿宋"/>
          <w:color w:val="666666"/>
          <w:sz w:val="21"/>
          <w:szCs w:val="21"/>
        </w:rPr>
        <w:t>说明：上述标准参照《关于印发中小企业划型标准规定的通知》（工信部联企业[2011]300号），大型、中型和小型企业须同时满足所列指标的下限，否则下划一档；微型企业只须满足所列指标中的一项即可。</w:t>
      </w:r>
    </w:p>
    <w:p>
      <w:pPr>
        <w:rPr>
          <w:rFonts w:ascii="黑体" w:hAnsi="黑体" w:eastAsia="黑体"/>
          <w:b/>
          <w:sz w:val="32"/>
          <w:szCs w:val="32"/>
        </w:rPr>
      </w:pPr>
      <w:r>
        <w:rPr>
          <w:rFonts w:hint="eastAsia" w:ascii="黑体" w:hAnsi="黑体" w:eastAsia="黑体"/>
          <w:b/>
          <w:sz w:val="32"/>
          <w:szCs w:val="32"/>
        </w:rPr>
        <w:br w:type="page" w:clear="all"/>
      </w:r>
    </w:p>
    <w:p>
      <w:pPr>
        <w:keepNext/>
        <w:keepLines/>
        <w:spacing w:before="260" w:after="120" w:line="415" w:lineRule="auto"/>
        <w:jc w:val="center"/>
        <w:outlineLvl w:val="1"/>
        <w:rPr>
          <w:rFonts w:ascii="黑体" w:hAnsi="黑体" w:eastAsia="黑体" w:cs="Arial"/>
          <w:b/>
          <w:sz w:val="32"/>
          <w:szCs w:val="28"/>
        </w:rPr>
      </w:pPr>
      <w:r>
        <w:rPr>
          <w:rFonts w:hint="eastAsia" w:ascii="黑体" w:hAnsi="黑体" w:eastAsia="黑体"/>
          <w:b/>
          <w:color w:val="000000"/>
          <w:sz w:val="32"/>
          <w:szCs w:val="32"/>
        </w:rPr>
        <w:t>十一</w:t>
      </w:r>
      <w:r>
        <w:rPr>
          <w:rFonts w:hint="eastAsia" w:ascii="黑体" w:hAnsi="黑体" w:eastAsia="黑体"/>
          <w:b/>
          <w:color w:val="000000"/>
          <w:sz w:val="32"/>
          <w:szCs w:val="32"/>
          <w:lang w:eastAsia="zh-CN"/>
        </w:rPr>
        <w:t>、</w:t>
      </w:r>
      <w:r>
        <w:rPr>
          <w:rFonts w:hint="eastAsia" w:ascii="黑体" w:hAnsi="黑体" w:eastAsia="黑体" w:cs="Arial"/>
          <w:b/>
          <w:sz w:val="32"/>
          <w:szCs w:val="28"/>
        </w:rPr>
        <w:t>残疾人福利性单位声明函</w:t>
      </w:r>
    </w:p>
    <w:p>
      <w:pPr>
        <w:spacing w:line="588" w:lineRule="exact"/>
        <w:ind w:firstLine="420"/>
        <w:rPr>
          <w:rFonts w:ascii="宋体" w:hAnsi="宋体"/>
          <w:szCs w:val="21"/>
        </w:rPr>
      </w:pPr>
      <w:r>
        <w:rPr>
          <w:rFonts w:hint="eastAsia" w:ascii="宋体" w:hAnsi="宋体"/>
          <w:szCs w:val="21"/>
        </w:rPr>
        <w:t>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szCs w:val="21"/>
          <w:u w:val="single"/>
        </w:rPr>
        <w:t xml:space="preserve">       </w:t>
      </w:r>
      <w:r>
        <w:rPr>
          <w:rFonts w:hint="eastAsia" w:ascii="宋体" w:hAnsi="宋体"/>
          <w:szCs w:val="21"/>
        </w:rPr>
        <w:t>项目采购活动提供本单位制造的货物（由本单位承担工程/提供服务），或者提供其他残疾人福利性单位制造的货物（不包括使用非残疾人福利性单位注册商标的货物）。</w:t>
      </w:r>
    </w:p>
    <w:p>
      <w:pPr>
        <w:spacing w:line="588" w:lineRule="exact"/>
        <w:ind w:firstLine="420"/>
        <w:rPr>
          <w:rFonts w:ascii="宋体" w:hAnsi="宋体"/>
          <w:szCs w:val="21"/>
        </w:rPr>
      </w:pPr>
      <w:r>
        <w:rPr>
          <w:rFonts w:hint="eastAsia" w:ascii="宋体" w:hAnsi="宋体"/>
          <w:szCs w:val="21"/>
        </w:rPr>
        <w:t>本单位对上述声明的真实性负责。如有虚假，将依法承担相应责任。</w:t>
      </w:r>
    </w:p>
    <w:p>
      <w:pPr>
        <w:spacing w:line="588" w:lineRule="exact"/>
        <w:ind w:firstLine="420"/>
        <w:rPr>
          <w:rFonts w:ascii="宋体" w:hAnsi="宋体"/>
          <w:szCs w:val="21"/>
        </w:rPr>
      </w:pPr>
    </w:p>
    <w:p>
      <w:pPr>
        <w:spacing w:line="588" w:lineRule="exact"/>
        <w:ind w:firstLine="420"/>
        <w:rPr>
          <w:rFonts w:ascii="宋体" w:hAnsi="宋体"/>
          <w:szCs w:val="21"/>
        </w:rPr>
      </w:pPr>
      <w:r>
        <w:rPr>
          <w:rFonts w:hint="eastAsia" w:ascii="宋体" w:hAnsi="宋体"/>
          <w:szCs w:val="21"/>
        </w:rPr>
        <w:t>（备注：成交供应商为残疾人福利单位的，此声明函将随成交结果同时公告，接受社会监督）</w:t>
      </w:r>
    </w:p>
    <w:p>
      <w:pPr>
        <w:spacing w:line="588" w:lineRule="exact"/>
        <w:ind w:firstLine="444"/>
        <w:rPr>
          <w:rFonts w:ascii="仿宋_GB2312" w:hAnsi="Times New Roman" w:eastAsia="仿宋_GB2312"/>
          <w:spacing w:val="6"/>
          <w:szCs w:val="21"/>
        </w:rPr>
      </w:pPr>
    </w:p>
    <w:p>
      <w:pPr>
        <w:tabs>
          <w:tab w:val="left" w:pos="4860"/>
        </w:tabs>
        <w:spacing w:line="588" w:lineRule="exact"/>
        <w:ind w:right="1560" w:firstLine="444"/>
        <w:jc w:val="center"/>
        <w:rPr>
          <w:rFonts w:ascii="宋体" w:hAnsi="宋体"/>
          <w:szCs w:val="21"/>
        </w:rPr>
      </w:pPr>
      <w:r>
        <w:rPr>
          <w:rFonts w:hint="eastAsia" w:ascii="仿宋_GB2312" w:hAnsi="Times New Roman" w:eastAsia="仿宋_GB2312"/>
          <w:spacing w:val="6"/>
          <w:szCs w:val="21"/>
        </w:rPr>
        <w:t xml:space="preserve">             </w:t>
      </w:r>
      <w:r>
        <w:rPr>
          <w:rFonts w:hint="eastAsia" w:ascii="宋体" w:hAnsi="宋体"/>
          <w:szCs w:val="21"/>
        </w:rPr>
        <w:t xml:space="preserve">      供应商全称（加盖CA电子公章）：</w:t>
      </w:r>
    </w:p>
    <w:p>
      <w:pPr>
        <w:tabs>
          <w:tab w:val="left" w:pos="4860"/>
        </w:tabs>
        <w:spacing w:line="588" w:lineRule="exact"/>
        <w:ind w:right="1560" w:firstLine="3150"/>
        <w:rPr>
          <w:rFonts w:ascii="宋体" w:hAnsi="宋体"/>
          <w:szCs w:val="21"/>
        </w:rPr>
      </w:pPr>
      <w:r>
        <w:rPr>
          <w:rFonts w:hint="eastAsia" w:ascii="宋体" w:hAnsi="宋体"/>
          <w:szCs w:val="21"/>
        </w:rPr>
        <w:t>日  期：</w:t>
      </w:r>
    </w:p>
    <w:p>
      <w:pPr>
        <w:rPr>
          <w:rFonts w:ascii="黑体" w:hAnsi="黑体" w:eastAsia="黑体"/>
          <w:b/>
          <w:color w:val="000000"/>
          <w:sz w:val="32"/>
          <w:szCs w:val="32"/>
        </w:rPr>
      </w:pPr>
      <w:r>
        <w:rPr>
          <w:rFonts w:hint="eastAsia" w:ascii="黑体" w:hAnsi="黑体" w:eastAsia="黑体"/>
          <w:b/>
          <w:color w:val="000000"/>
          <w:sz w:val="32"/>
          <w:szCs w:val="32"/>
        </w:rPr>
        <w:br w:type="page" w:clear="all"/>
      </w:r>
    </w:p>
    <w:p>
      <w:pPr>
        <w:pBdr>
          <w:top w:val="none" w:color="000000" w:sz="0" w:space="0"/>
          <w:left w:val="none" w:color="000000" w:sz="0" w:space="0"/>
          <w:bottom w:val="none" w:color="000000" w:sz="0" w:space="0"/>
          <w:right w:val="none" w:color="000000" w:sz="0" w:space="0"/>
        </w:pBdr>
        <w:spacing w:before="220" w:after="0" w:line="249" w:lineRule="atLeast"/>
        <w:ind w:left="0" w:right="0" w:firstLine="241"/>
        <w:jc w:val="center"/>
      </w:pPr>
      <w:r>
        <w:rPr>
          <w:rFonts w:ascii="宋体" w:hAnsi="宋体" w:eastAsia="宋体" w:cs="宋体"/>
          <w:b/>
          <w:color w:val="000000"/>
          <w:sz w:val="24"/>
        </w:rPr>
        <w:t>关于符合本国产品标准的声明函</w:t>
      </w:r>
    </w:p>
    <w:p>
      <w:pPr>
        <w:pBdr>
          <w:top w:val="none" w:color="000000" w:sz="0" w:space="0"/>
          <w:left w:val="none" w:color="000000" w:sz="0" w:space="0"/>
          <w:bottom w:val="none" w:color="000000" w:sz="0" w:space="0"/>
          <w:right w:val="none" w:color="000000" w:sz="0" w:space="0"/>
        </w:pBdr>
        <w:spacing w:before="220" w:after="200" w:line="249" w:lineRule="atLeast"/>
        <w:ind w:left="0" w:right="0" w:firstLine="420"/>
      </w:pPr>
      <w:r>
        <w:rPr>
          <w:rFonts w:ascii="宋体" w:hAnsi="宋体" w:eastAsia="宋体" w:cs="宋体"/>
          <w:color w:val="000000"/>
          <w:sz w:val="21"/>
        </w:rPr>
        <w:t> </w:t>
      </w:r>
    </w:p>
    <w:p>
      <w:pPr>
        <w:pBdr>
          <w:top w:val="none" w:color="000000" w:sz="0" w:space="0"/>
          <w:left w:val="none" w:color="000000" w:sz="0" w:space="0"/>
          <w:bottom w:val="none" w:color="000000" w:sz="0" w:space="0"/>
          <w:right w:val="none" w:color="000000" w:sz="0" w:space="0"/>
        </w:pBdr>
        <w:spacing w:before="220" w:after="200" w:line="249" w:lineRule="atLeast"/>
        <w:ind w:left="0" w:right="0" w:firstLine="480"/>
      </w:pPr>
      <w:r>
        <w:rPr>
          <w:rFonts w:ascii="宋体" w:hAnsi="宋体" w:eastAsia="宋体" w:cs="宋体"/>
          <w:color w:val="000000"/>
          <w:sz w:val="22"/>
        </w:rPr>
        <w:t>本公司（单位）郑重声明，根据《国务院办公厅关于在政府采购中实施本国产品标准及相关政策的通知》（国办发〔2025〕34号）的规定，本公司（单位）提供的以下产品属于本国产品。具体情况如下：</w:t>
      </w:r>
    </w:p>
    <w:p>
      <w:pPr>
        <w:pBdr>
          <w:top w:val="none" w:color="000000" w:sz="0" w:space="0"/>
          <w:left w:val="none" w:color="000000" w:sz="0" w:space="0"/>
          <w:bottom w:val="none" w:color="000000" w:sz="0" w:space="0"/>
          <w:right w:val="none" w:color="000000" w:sz="0" w:space="0"/>
        </w:pBdr>
        <w:spacing w:before="220" w:after="200" w:line="249" w:lineRule="atLeast"/>
        <w:ind w:left="0" w:right="0" w:firstLine="480"/>
      </w:pPr>
      <w:r>
        <w:rPr>
          <w:rFonts w:ascii="宋体" w:hAnsi="宋体" w:eastAsia="宋体" w:cs="宋体"/>
          <w:color w:val="000000"/>
          <w:sz w:val="22"/>
        </w:rPr>
        <w:t>1.</w:t>
      </w:r>
      <w:r>
        <w:rPr>
          <w:rFonts w:ascii="宋体" w:hAnsi="宋体" w:eastAsia="宋体" w:cs="宋体"/>
          <w:color w:val="000000"/>
          <w:sz w:val="22"/>
          <w:u w:val="single"/>
        </w:rPr>
        <w:t>（产品名称1）</w:t>
      </w:r>
      <w:r>
        <w:rPr>
          <w:rFonts w:ascii="宋体" w:hAnsi="宋体" w:eastAsia="宋体" w:cs="宋体"/>
          <w:color w:val="000000"/>
          <w:sz w:val="22"/>
          <w:vertAlign w:val="superscript"/>
        </w:rPr>
        <w:t>1</w:t>
      </w:r>
      <w:r>
        <w:rPr>
          <w:rFonts w:ascii="宋体" w:hAnsi="宋体" w:eastAsia="宋体" w:cs="宋体"/>
          <w:color w:val="000000"/>
          <w:sz w:val="22"/>
        </w:rPr>
        <w:t>，生产厂为</w:t>
      </w:r>
      <w:r>
        <w:rPr>
          <w:rFonts w:ascii="宋体" w:hAnsi="宋体" w:eastAsia="宋体" w:cs="宋体"/>
          <w:color w:val="000000"/>
          <w:sz w:val="22"/>
          <w:u w:val="single"/>
        </w:rPr>
        <w:t>（厂名）</w:t>
      </w:r>
      <w:r>
        <w:rPr>
          <w:rFonts w:ascii="宋体" w:hAnsi="宋体" w:eastAsia="宋体" w:cs="宋体"/>
          <w:color w:val="000000"/>
          <w:sz w:val="22"/>
          <w:vertAlign w:val="superscript"/>
        </w:rPr>
        <w:t>2</w:t>
      </w:r>
      <w:r>
        <w:rPr>
          <w:rFonts w:ascii="宋体" w:hAnsi="宋体" w:eastAsia="宋体" w:cs="宋体"/>
          <w:color w:val="000000"/>
          <w:sz w:val="22"/>
        </w:rPr>
        <w:t>，厂址为</w:t>
      </w:r>
      <w:r>
        <w:rPr>
          <w:rFonts w:ascii="宋体" w:hAnsi="宋体" w:eastAsia="宋体" w:cs="宋体"/>
          <w:color w:val="000000"/>
          <w:sz w:val="22"/>
          <w:u w:val="single"/>
        </w:rPr>
        <w:t>（生产厂址）</w:t>
      </w:r>
      <w:r>
        <w:rPr>
          <w:rFonts w:ascii="宋体" w:hAnsi="宋体" w:eastAsia="宋体" w:cs="宋体"/>
          <w:color w:val="000000"/>
          <w:sz w:val="22"/>
        </w:rPr>
        <w:t>。</w:t>
      </w:r>
      <w:r>
        <w:rPr>
          <w:rFonts w:ascii="宋体" w:hAnsi="宋体" w:eastAsia="宋体" w:cs="宋体"/>
          <w:color w:val="000000"/>
          <w:sz w:val="22"/>
          <w:u w:val="single"/>
        </w:rPr>
        <w:t> </w:t>
      </w:r>
      <w:r>
        <w:rPr>
          <w:rFonts w:ascii="宋体" w:hAnsi="宋体" w:eastAsia="宋体" w:cs="宋体"/>
          <w:strike/>
          <w:color w:val="000000"/>
          <w:sz w:val="22"/>
          <w:u w:val="single"/>
        </w:rPr>
        <w:t>（产品名称1）</w:t>
      </w:r>
      <w:r>
        <w:rPr>
          <w:rFonts w:ascii="宋体" w:hAnsi="宋体" w:eastAsia="宋体" w:cs="宋体"/>
          <w:color w:val="000000"/>
          <w:sz w:val="22"/>
          <w:u w:val="single"/>
        </w:rPr>
        <w:t> </w:t>
      </w:r>
      <w:r>
        <w:rPr>
          <w:rFonts w:ascii="宋体" w:hAnsi="宋体" w:eastAsia="宋体" w:cs="宋体"/>
          <w:color w:val="000000"/>
          <w:sz w:val="22"/>
        </w:rPr>
        <w:t>的中国境内生产的组件成本占比≥</w:t>
      </w:r>
      <w:r>
        <w:rPr>
          <w:rFonts w:ascii="宋体" w:hAnsi="宋体" w:eastAsia="宋体" w:cs="宋体"/>
          <w:strike/>
          <w:color w:val="000000"/>
          <w:sz w:val="22"/>
          <w:u w:val="single"/>
        </w:rPr>
        <w:t>（规定比例）</w:t>
      </w:r>
      <w:r>
        <w:rPr>
          <w:rFonts w:ascii="宋体" w:hAnsi="宋体" w:eastAsia="宋体" w:cs="宋体"/>
          <w:color w:val="000000"/>
          <w:sz w:val="22"/>
          <w:vertAlign w:val="superscript"/>
        </w:rPr>
        <w:t>3</w:t>
      </w:r>
      <w:r>
        <w:rPr>
          <w:rFonts w:ascii="宋体" w:hAnsi="宋体" w:eastAsia="宋体" w:cs="宋体"/>
          <w:color w:val="000000"/>
          <w:sz w:val="22"/>
        </w:rPr>
        <w:t>。</w:t>
      </w:r>
      <w:r>
        <w:rPr>
          <w:rFonts w:ascii="宋体" w:hAnsi="宋体" w:eastAsia="宋体" w:cs="宋体"/>
          <w:strike/>
          <w:color w:val="000000"/>
          <w:sz w:val="22"/>
          <w:u w:val="single"/>
        </w:rPr>
        <w:t>（产品名称1）</w:t>
      </w:r>
      <w:r>
        <w:rPr>
          <w:rFonts w:ascii="宋体" w:hAnsi="宋体" w:eastAsia="宋体" w:cs="宋体"/>
          <w:color w:val="000000"/>
          <w:sz w:val="22"/>
        </w:rPr>
        <w:t>的</w:t>
      </w:r>
      <w:r>
        <w:rPr>
          <w:rFonts w:ascii="宋体" w:hAnsi="宋体" w:eastAsia="宋体" w:cs="宋体"/>
          <w:strike/>
          <w:color w:val="000000"/>
          <w:sz w:val="22"/>
          <w:u w:val="single"/>
        </w:rPr>
        <w:t>（关键组件）</w:t>
      </w:r>
      <w:r>
        <w:rPr>
          <w:rFonts w:ascii="宋体" w:hAnsi="宋体" w:eastAsia="宋体" w:cs="宋体"/>
          <w:color w:val="000000"/>
          <w:sz w:val="22"/>
          <w:vertAlign w:val="superscript"/>
        </w:rPr>
        <w:t>4</w:t>
      </w:r>
      <w:r>
        <w:rPr>
          <w:rFonts w:ascii="宋体" w:hAnsi="宋体" w:eastAsia="宋体" w:cs="宋体"/>
          <w:color w:val="000000"/>
          <w:sz w:val="22"/>
        </w:rPr>
        <w:t>在中国境内生产。</w:t>
      </w:r>
      <w:r>
        <w:rPr>
          <w:rFonts w:ascii="宋体" w:hAnsi="宋体" w:eastAsia="宋体" w:cs="宋体"/>
          <w:strike/>
          <w:color w:val="000000"/>
          <w:sz w:val="22"/>
          <w:u w:val="single"/>
        </w:rPr>
        <w:t>（产品名称1）</w:t>
      </w:r>
      <w:r>
        <w:rPr>
          <w:rFonts w:ascii="宋体" w:hAnsi="宋体" w:eastAsia="宋体" w:cs="宋体"/>
          <w:color w:val="000000"/>
          <w:sz w:val="22"/>
        </w:rPr>
        <w:t>的</w:t>
      </w:r>
      <w:r>
        <w:rPr>
          <w:rFonts w:ascii="宋体" w:hAnsi="宋体" w:eastAsia="宋体" w:cs="宋体"/>
          <w:strike/>
          <w:color w:val="000000"/>
          <w:sz w:val="22"/>
          <w:u w:val="single"/>
        </w:rPr>
        <w:t>（关键工序）</w:t>
      </w:r>
      <w:r>
        <w:rPr>
          <w:rFonts w:ascii="宋体" w:hAnsi="宋体" w:eastAsia="宋体" w:cs="宋体"/>
          <w:color w:val="000000"/>
          <w:sz w:val="22"/>
          <w:vertAlign w:val="superscript"/>
        </w:rPr>
        <w:t>5</w:t>
      </w:r>
      <w:r>
        <w:rPr>
          <w:rFonts w:ascii="宋体" w:hAnsi="宋体" w:eastAsia="宋体" w:cs="宋体"/>
          <w:color w:val="000000"/>
          <w:sz w:val="22"/>
        </w:rPr>
        <w:t>在中国境内完成。</w:t>
      </w:r>
    </w:p>
    <w:p>
      <w:pPr>
        <w:pBdr>
          <w:top w:val="none" w:color="000000" w:sz="0" w:space="0"/>
          <w:left w:val="none" w:color="000000" w:sz="0" w:space="0"/>
          <w:bottom w:val="none" w:color="000000" w:sz="0" w:space="0"/>
          <w:right w:val="none" w:color="000000" w:sz="0" w:space="0"/>
        </w:pBdr>
        <w:spacing w:before="220" w:after="200" w:line="249" w:lineRule="atLeast"/>
        <w:ind w:left="0" w:right="0" w:firstLine="480"/>
      </w:pPr>
      <w:r>
        <w:rPr>
          <w:rFonts w:ascii="宋体" w:hAnsi="宋体" w:eastAsia="宋体" w:cs="宋体"/>
          <w:color w:val="000000"/>
          <w:sz w:val="22"/>
        </w:rPr>
        <w:t>2.</w:t>
      </w:r>
      <w:r>
        <w:rPr>
          <w:rFonts w:ascii="宋体" w:hAnsi="宋体" w:eastAsia="宋体" w:cs="宋体"/>
          <w:color w:val="000000"/>
          <w:sz w:val="22"/>
          <w:u w:val="single"/>
        </w:rPr>
        <w:t>（产品名称2）</w:t>
      </w:r>
      <w:r>
        <w:rPr>
          <w:rFonts w:ascii="宋体" w:hAnsi="宋体" w:eastAsia="宋体" w:cs="宋体"/>
          <w:color w:val="000000"/>
          <w:sz w:val="22"/>
        </w:rPr>
        <w:t>，生产厂为</w:t>
      </w:r>
      <w:r>
        <w:rPr>
          <w:rFonts w:ascii="宋体" w:hAnsi="宋体" w:eastAsia="宋体" w:cs="宋体"/>
          <w:color w:val="000000"/>
          <w:sz w:val="22"/>
          <w:u w:val="single"/>
        </w:rPr>
        <w:t>（厂名）</w:t>
      </w:r>
      <w:r>
        <w:rPr>
          <w:rFonts w:ascii="宋体" w:hAnsi="宋体" w:eastAsia="宋体" w:cs="宋体"/>
          <w:color w:val="000000"/>
          <w:sz w:val="22"/>
        </w:rPr>
        <w:t>，厂址为</w:t>
      </w:r>
      <w:r>
        <w:rPr>
          <w:rFonts w:ascii="宋体" w:hAnsi="宋体" w:eastAsia="宋体" w:cs="宋体"/>
          <w:color w:val="000000"/>
          <w:sz w:val="22"/>
          <w:u w:val="single"/>
        </w:rPr>
        <w:t>（生产厂址）</w:t>
      </w:r>
      <w:r>
        <w:rPr>
          <w:rFonts w:ascii="宋体" w:hAnsi="宋体" w:eastAsia="宋体" w:cs="宋体"/>
          <w:color w:val="000000"/>
          <w:sz w:val="22"/>
        </w:rPr>
        <w:t>。</w:t>
      </w:r>
      <w:r>
        <w:rPr>
          <w:rFonts w:ascii="宋体" w:hAnsi="宋体" w:eastAsia="宋体" w:cs="宋体"/>
          <w:strike/>
          <w:color w:val="000000"/>
          <w:sz w:val="22"/>
          <w:u w:val="single"/>
        </w:rPr>
        <w:t>（产品名称2）</w:t>
      </w:r>
      <w:r>
        <w:rPr>
          <w:rFonts w:ascii="宋体" w:hAnsi="宋体" w:eastAsia="宋体" w:cs="宋体"/>
          <w:color w:val="000000"/>
          <w:sz w:val="22"/>
        </w:rPr>
        <w:t>的中国境内生产的组件成本占比≥</w:t>
      </w:r>
      <w:r>
        <w:rPr>
          <w:rFonts w:ascii="宋体" w:hAnsi="宋体" w:eastAsia="宋体" w:cs="宋体"/>
          <w:strike/>
          <w:color w:val="000000"/>
          <w:sz w:val="22"/>
          <w:u w:val="single"/>
        </w:rPr>
        <w:t>（规定比例）</w:t>
      </w:r>
      <w:r>
        <w:rPr>
          <w:rFonts w:ascii="宋体" w:hAnsi="宋体" w:eastAsia="宋体" w:cs="宋体"/>
          <w:color w:val="000000"/>
          <w:sz w:val="22"/>
        </w:rPr>
        <w:t>。</w:t>
      </w:r>
      <w:r>
        <w:rPr>
          <w:rFonts w:ascii="宋体" w:hAnsi="宋体" w:eastAsia="宋体" w:cs="宋体"/>
          <w:strike/>
          <w:color w:val="000000"/>
          <w:sz w:val="22"/>
          <w:u w:val="single"/>
        </w:rPr>
        <w:t>（产品名称2）</w:t>
      </w:r>
      <w:r>
        <w:rPr>
          <w:rFonts w:ascii="宋体" w:hAnsi="宋体" w:eastAsia="宋体" w:cs="宋体"/>
          <w:color w:val="000000"/>
          <w:sz w:val="22"/>
        </w:rPr>
        <w:t>的</w:t>
      </w:r>
      <w:r>
        <w:rPr>
          <w:rFonts w:ascii="宋体" w:hAnsi="宋体" w:eastAsia="宋体" w:cs="宋体"/>
          <w:strike/>
          <w:color w:val="000000"/>
          <w:sz w:val="22"/>
          <w:u w:val="single"/>
        </w:rPr>
        <w:t>（关键组件）</w:t>
      </w:r>
      <w:r>
        <w:rPr>
          <w:rFonts w:ascii="宋体" w:hAnsi="宋体" w:eastAsia="宋体" w:cs="宋体"/>
          <w:color w:val="000000"/>
          <w:sz w:val="22"/>
        </w:rPr>
        <w:t>在中国境内生产。</w:t>
      </w:r>
      <w:r>
        <w:rPr>
          <w:rFonts w:ascii="宋体" w:hAnsi="宋体" w:eastAsia="宋体" w:cs="宋体"/>
          <w:strike/>
          <w:color w:val="000000"/>
          <w:sz w:val="22"/>
          <w:u w:val="single"/>
        </w:rPr>
        <w:t>（产品名称1）</w:t>
      </w:r>
      <w:r>
        <w:rPr>
          <w:rFonts w:ascii="宋体" w:hAnsi="宋体" w:eastAsia="宋体" w:cs="宋体"/>
          <w:color w:val="000000"/>
          <w:sz w:val="22"/>
        </w:rPr>
        <w:t>的</w:t>
      </w:r>
      <w:r>
        <w:rPr>
          <w:rFonts w:ascii="宋体" w:hAnsi="宋体" w:eastAsia="宋体" w:cs="宋体"/>
          <w:strike/>
          <w:color w:val="000000"/>
          <w:sz w:val="22"/>
          <w:u w:val="single"/>
        </w:rPr>
        <w:t>（关键工序）</w:t>
      </w:r>
      <w:r>
        <w:rPr>
          <w:rFonts w:ascii="宋体" w:hAnsi="宋体" w:eastAsia="宋体" w:cs="宋体"/>
          <w:color w:val="000000"/>
          <w:sz w:val="22"/>
        </w:rPr>
        <w:t>在中国境内完成。</w:t>
      </w:r>
    </w:p>
    <w:p>
      <w:pPr>
        <w:pBdr>
          <w:top w:val="none" w:color="000000" w:sz="0" w:space="0"/>
          <w:left w:val="none" w:color="000000" w:sz="0" w:space="0"/>
          <w:bottom w:val="none" w:color="000000" w:sz="0" w:space="0"/>
          <w:right w:val="none" w:color="000000" w:sz="0" w:space="0"/>
        </w:pBdr>
        <w:spacing w:before="220" w:after="200" w:line="249" w:lineRule="atLeast"/>
        <w:ind w:left="0" w:right="0" w:firstLine="480"/>
      </w:pPr>
      <w:r>
        <w:rPr>
          <w:rFonts w:ascii="宋体" w:hAnsi="宋体" w:eastAsia="宋体" w:cs="宋体"/>
          <w:color w:val="000000"/>
          <w:sz w:val="22"/>
        </w:rPr>
        <w:t>……</w:t>
      </w:r>
    </w:p>
    <w:p>
      <w:pPr>
        <w:pBdr>
          <w:top w:val="none" w:color="000000" w:sz="0" w:space="0"/>
          <w:left w:val="none" w:color="000000" w:sz="0" w:space="0"/>
          <w:bottom w:val="none" w:color="000000" w:sz="0" w:space="0"/>
          <w:right w:val="none" w:color="000000" w:sz="0" w:space="0"/>
        </w:pBdr>
        <w:spacing w:before="220" w:after="200" w:line="249" w:lineRule="atLeast"/>
        <w:ind w:left="0" w:right="0" w:firstLine="480"/>
      </w:pPr>
      <w:r>
        <w:rPr>
          <w:rFonts w:ascii="宋体" w:hAnsi="宋体" w:eastAsia="宋体" w:cs="宋体"/>
          <w:color w:val="000000"/>
          <w:sz w:val="22"/>
        </w:rPr>
        <w:t>本公司（单位）对上述声明内容的真实性负责。如有虚假，愿承担相应法律责任。</w:t>
      </w:r>
    </w:p>
    <w:p>
      <w:pPr>
        <w:pBdr>
          <w:top w:val="none" w:color="000000" w:sz="0" w:space="0"/>
          <w:left w:val="none" w:color="000000" w:sz="0" w:space="0"/>
          <w:bottom w:val="none" w:color="000000" w:sz="0" w:space="0"/>
          <w:right w:val="none" w:color="000000" w:sz="0" w:space="0"/>
        </w:pBdr>
        <w:spacing w:before="220" w:after="200" w:line="249" w:lineRule="atLeast"/>
        <w:ind w:left="0" w:right="0" w:firstLine="480"/>
      </w:pPr>
      <w:r>
        <w:rPr>
          <w:rFonts w:ascii="宋体" w:hAnsi="宋体" w:eastAsia="宋体" w:cs="宋体"/>
          <w:color w:val="000000"/>
          <w:sz w:val="22"/>
        </w:rPr>
        <w:t> </w:t>
      </w:r>
    </w:p>
    <w:p>
      <w:pPr>
        <w:pBdr>
          <w:top w:val="none" w:color="000000" w:sz="0" w:space="0"/>
          <w:left w:val="none" w:color="000000" w:sz="0" w:space="0"/>
          <w:bottom w:val="none" w:color="000000" w:sz="0" w:space="0"/>
          <w:right w:val="none" w:color="000000" w:sz="0" w:space="0"/>
        </w:pBdr>
        <w:spacing w:before="220" w:after="200" w:line="249" w:lineRule="atLeast"/>
        <w:ind w:left="0" w:right="0" w:firstLine="2400"/>
      </w:pPr>
      <w:r>
        <w:rPr>
          <w:rFonts w:ascii="宋体" w:hAnsi="宋体" w:eastAsia="宋体" w:cs="宋体"/>
          <w:color w:val="000000"/>
          <w:sz w:val="22"/>
        </w:rPr>
        <w:t>公司（单位）名称（盖章）：　</w:t>
      </w:r>
    </w:p>
    <w:p>
      <w:pPr>
        <w:pBdr>
          <w:top w:val="none" w:color="000000" w:sz="0" w:space="0"/>
          <w:left w:val="none" w:color="000000" w:sz="0" w:space="0"/>
          <w:bottom w:val="none" w:color="000000" w:sz="0" w:space="0"/>
          <w:right w:val="none" w:color="000000" w:sz="0" w:space="0"/>
        </w:pBdr>
        <w:spacing w:before="220" w:after="200" w:line="249" w:lineRule="atLeast"/>
        <w:ind w:left="0" w:right="0" w:firstLine="2400"/>
        <w:jc w:val="both"/>
      </w:pPr>
      <w:r>
        <w:rPr>
          <w:rFonts w:ascii="宋体" w:hAnsi="宋体" w:eastAsia="宋体" w:cs="宋体"/>
          <w:color w:val="000000"/>
          <w:sz w:val="22"/>
        </w:rPr>
        <w:t>日期：　   年　  月　  日         </w:t>
      </w:r>
    </w:p>
    <w:p>
      <w:pPr>
        <w:pBdr>
          <w:top w:val="none" w:color="000000" w:sz="0" w:space="0"/>
          <w:left w:val="none" w:color="000000" w:sz="0" w:space="0"/>
          <w:bottom w:val="none" w:color="000000" w:sz="0" w:space="0"/>
          <w:right w:val="none" w:color="000000" w:sz="0" w:space="0"/>
        </w:pBdr>
        <w:spacing w:before="220" w:after="200" w:line="249" w:lineRule="atLeast"/>
        <w:ind w:left="0" w:right="0" w:firstLine="480"/>
      </w:pPr>
      <w:r>
        <w:rPr>
          <w:rFonts w:ascii="宋体" w:hAnsi="宋体" w:eastAsia="宋体" w:cs="宋体"/>
          <w:color w:val="000000"/>
          <w:sz w:val="22"/>
        </w:rPr>
        <w:t>__________________</w:t>
      </w:r>
    </w:p>
    <w:p>
      <w:pPr>
        <w:pBdr>
          <w:top w:val="none" w:color="000000" w:sz="0" w:space="0"/>
          <w:left w:val="none" w:color="000000" w:sz="0" w:space="0"/>
          <w:bottom w:val="none" w:color="000000" w:sz="0" w:space="0"/>
          <w:right w:val="none" w:color="000000" w:sz="0" w:space="0"/>
        </w:pBdr>
        <w:spacing w:before="220" w:after="200" w:line="249" w:lineRule="atLeast"/>
        <w:ind w:left="0" w:right="0" w:firstLine="440"/>
      </w:pPr>
      <w:r>
        <w:rPr>
          <w:rFonts w:ascii="宋体" w:hAnsi="宋体" w:eastAsia="宋体" w:cs="宋体"/>
          <w:color w:val="000000"/>
          <w:sz w:val="22"/>
        </w:rPr>
        <w:t>1.产品如有型号，请在“产品名称”栏一并填写。</w:t>
      </w:r>
    </w:p>
    <w:p>
      <w:pPr>
        <w:pBdr>
          <w:top w:val="none" w:color="000000" w:sz="0" w:space="0"/>
          <w:left w:val="none" w:color="000000" w:sz="0" w:space="0"/>
          <w:bottom w:val="none" w:color="000000" w:sz="0" w:space="0"/>
          <w:right w:val="none" w:color="000000" w:sz="0" w:space="0"/>
        </w:pBdr>
        <w:spacing w:before="220" w:after="200" w:line="249" w:lineRule="atLeast"/>
        <w:ind w:left="0" w:right="0" w:firstLine="440"/>
      </w:pPr>
      <w:r>
        <w:rPr>
          <w:rFonts w:ascii="宋体" w:hAnsi="宋体" w:eastAsia="宋体" w:cs="宋体"/>
          <w:color w:val="000000"/>
          <w:sz w:val="22"/>
        </w:rPr>
        <w:t>2.生产厂名与厂址应与生产厂营业执照载明的相关信息保持一致。</w:t>
      </w:r>
    </w:p>
    <w:p>
      <w:pPr>
        <w:pBdr>
          <w:top w:val="none" w:color="000000" w:sz="0" w:space="0"/>
          <w:left w:val="none" w:color="000000" w:sz="0" w:space="0"/>
          <w:bottom w:val="none" w:color="000000" w:sz="0" w:space="0"/>
          <w:right w:val="none" w:color="000000" w:sz="0" w:space="0"/>
        </w:pBdr>
        <w:spacing w:before="220" w:after="200" w:line="249" w:lineRule="atLeast"/>
        <w:ind w:left="0" w:right="0" w:firstLine="440"/>
      </w:pPr>
      <w:r>
        <w:rPr>
          <w:rFonts w:ascii="宋体" w:hAnsi="宋体" w:eastAsia="宋体" w:cs="宋体"/>
          <w:color w:val="000000"/>
          <w:sz w:val="22"/>
        </w:rPr>
        <w:t>3.该产品的中国境内生产的组件成本占比相关要求实施前，“规定比例”栏可不填，下同。</w:t>
      </w:r>
    </w:p>
    <w:p>
      <w:pPr>
        <w:pBdr>
          <w:top w:val="none" w:color="000000" w:sz="0" w:space="0"/>
          <w:left w:val="none" w:color="000000" w:sz="0" w:space="0"/>
          <w:bottom w:val="none" w:color="000000" w:sz="0" w:space="0"/>
          <w:right w:val="none" w:color="000000" w:sz="0" w:space="0"/>
        </w:pBdr>
        <w:spacing w:before="220" w:after="200" w:line="249" w:lineRule="atLeast"/>
        <w:ind w:left="0" w:right="0" w:firstLine="440"/>
      </w:pPr>
      <w:r>
        <w:rPr>
          <w:rFonts w:ascii="宋体" w:hAnsi="宋体" w:eastAsia="宋体" w:cs="宋体"/>
          <w:color w:val="000000"/>
          <w:sz w:val="22"/>
        </w:rPr>
        <w:t>4.该产品的关键组件要求实施前，“关键组件”栏可不填，下同。</w:t>
      </w:r>
    </w:p>
    <w:p>
      <w:pPr>
        <w:pBdr>
          <w:top w:val="none" w:color="000000" w:sz="0" w:space="0"/>
          <w:left w:val="none" w:color="000000" w:sz="0" w:space="0"/>
          <w:bottom w:val="none" w:color="000000" w:sz="0" w:space="0"/>
          <w:right w:val="none" w:color="000000" w:sz="0" w:space="0"/>
        </w:pBdr>
        <w:spacing w:before="220" w:after="200" w:line="249" w:lineRule="atLeast"/>
        <w:ind w:left="0" w:right="0" w:firstLine="440"/>
      </w:pPr>
      <w:r>
        <w:rPr>
          <w:rFonts w:ascii="宋体" w:hAnsi="宋体" w:eastAsia="宋体" w:cs="宋体"/>
          <w:color w:val="000000"/>
          <w:sz w:val="22"/>
        </w:rPr>
        <w:t>5.该产品的关键工序要求实施前，“关键工序”栏可不填，下同。</w:t>
      </w:r>
    </w:p>
    <w:p>
      <w:pPr>
        <w:pBdr>
          <w:top w:val="none" w:color="000000" w:sz="0" w:space="0"/>
          <w:left w:val="none" w:color="000000" w:sz="0" w:space="0"/>
          <w:bottom w:val="none" w:color="000000" w:sz="0" w:space="0"/>
          <w:right w:val="none" w:color="000000" w:sz="0" w:space="0"/>
        </w:pBdr>
        <w:spacing w:before="220" w:after="200" w:line="249" w:lineRule="atLeast"/>
        <w:ind w:left="0" w:right="0" w:firstLine="440"/>
      </w:pPr>
      <w:r>
        <w:rPr>
          <w:rFonts w:ascii="宋体" w:hAnsi="宋体" w:eastAsia="宋体" w:cs="宋体"/>
          <w:color w:val="000000"/>
          <w:sz w:val="22"/>
        </w:rPr>
        <w:t>6.用横线划除的地方无需填写。</w:t>
      </w:r>
    </w:p>
    <w:p>
      <w:pPr>
        <w:jc w:val="center"/>
        <w:rPr>
          <w:rFonts w:hint="eastAsia" w:ascii="黑体" w:hAnsi="黑体" w:eastAsia="黑体"/>
          <w:b/>
          <w:color w:val="000000"/>
          <w:sz w:val="32"/>
          <w:szCs w:val="32"/>
        </w:rPr>
      </w:pPr>
    </w:p>
    <w:p>
      <w:pPr>
        <w:jc w:val="center"/>
        <w:rPr>
          <w:rFonts w:hint="eastAsia" w:ascii="黑体" w:hAnsi="黑体" w:eastAsia="黑体"/>
          <w:b/>
          <w:color w:val="000000"/>
          <w:sz w:val="32"/>
          <w:szCs w:val="32"/>
        </w:rPr>
      </w:pPr>
    </w:p>
    <w:p>
      <w:pPr>
        <w:jc w:val="center"/>
        <w:rPr>
          <w:rFonts w:hint="eastAsia" w:ascii="黑体" w:hAnsi="黑体" w:eastAsia="黑体"/>
          <w:b/>
          <w:color w:val="000000"/>
          <w:sz w:val="32"/>
          <w:szCs w:val="32"/>
        </w:rPr>
      </w:pPr>
    </w:p>
    <w:p>
      <w:pPr>
        <w:jc w:val="center"/>
        <w:rPr>
          <w:rFonts w:hint="eastAsia" w:ascii="黑体" w:hAnsi="黑体" w:eastAsia="黑体"/>
          <w:b/>
          <w:color w:val="000000"/>
          <w:sz w:val="32"/>
          <w:szCs w:val="32"/>
        </w:rPr>
      </w:pPr>
    </w:p>
    <w:p>
      <w:pPr>
        <w:jc w:val="center"/>
        <w:rPr>
          <w:rFonts w:hint="eastAsia" w:ascii="黑体" w:hAnsi="黑体" w:eastAsia="黑体"/>
          <w:b/>
          <w:color w:val="000000"/>
          <w:sz w:val="32"/>
          <w:szCs w:val="32"/>
        </w:rPr>
      </w:pPr>
    </w:p>
    <w:p>
      <w:pPr>
        <w:jc w:val="center"/>
        <w:rPr>
          <w:rFonts w:hint="eastAsia" w:ascii="黑体" w:hAnsi="黑体" w:eastAsia="黑体"/>
          <w:b/>
          <w:color w:val="000000"/>
          <w:sz w:val="32"/>
          <w:szCs w:val="32"/>
        </w:rPr>
      </w:pPr>
    </w:p>
    <w:p>
      <w:pPr>
        <w:jc w:val="center"/>
        <w:rPr>
          <w:rFonts w:hint="eastAsia" w:ascii="黑体" w:hAnsi="黑体" w:eastAsia="黑体"/>
          <w:b/>
          <w:color w:val="000000"/>
          <w:sz w:val="32"/>
          <w:szCs w:val="32"/>
        </w:rPr>
      </w:pPr>
    </w:p>
    <w:p>
      <w:pPr>
        <w:jc w:val="center"/>
        <w:rPr>
          <w:rFonts w:ascii="黑体" w:hAnsi="黑体" w:eastAsia="黑体"/>
          <w:b/>
          <w:color w:val="000000"/>
          <w:sz w:val="32"/>
          <w:szCs w:val="32"/>
        </w:rPr>
      </w:pPr>
      <w:r>
        <w:rPr>
          <w:rFonts w:hint="eastAsia" w:ascii="黑体" w:hAnsi="黑体" w:eastAsia="黑体"/>
          <w:b/>
          <w:color w:val="000000"/>
          <w:sz w:val="32"/>
          <w:szCs w:val="32"/>
        </w:rPr>
        <w:t>十</w:t>
      </w:r>
      <w:r>
        <w:rPr>
          <w:rFonts w:hint="eastAsia" w:ascii="黑体" w:hAnsi="黑体" w:eastAsia="黑体"/>
          <w:b/>
          <w:color w:val="000000"/>
          <w:sz w:val="32"/>
          <w:szCs w:val="32"/>
          <w:lang w:val="en-US" w:eastAsia="zh-CN"/>
        </w:rPr>
        <w:t>二</w:t>
      </w:r>
      <w:r>
        <w:rPr>
          <w:rFonts w:hint="eastAsia" w:ascii="黑体" w:hAnsi="黑体" w:eastAsia="黑体"/>
          <w:b/>
          <w:color w:val="000000"/>
          <w:sz w:val="32"/>
          <w:szCs w:val="32"/>
        </w:rPr>
        <w:t>、磋商响应报价表</w:t>
      </w:r>
    </w:p>
    <w:p>
      <w:pPr>
        <w:spacing w:line="360" w:lineRule="auto"/>
        <w:rPr>
          <w:rFonts w:ascii="宋体" w:hAnsi="宋体"/>
        </w:rPr>
      </w:pPr>
      <w:r>
        <w:rPr>
          <w:rFonts w:hint="eastAsia" w:ascii="宋体" w:hAnsi="宋体"/>
        </w:rPr>
        <w:t xml:space="preserve">    </w:t>
      </w:r>
    </w:p>
    <w:p>
      <w:pPr>
        <w:pStyle w:val="268"/>
        <w:spacing w:line="360" w:lineRule="auto"/>
        <w:rPr>
          <w:rFonts w:ascii="宋体" w:hAnsi="宋体"/>
          <w:color w:val="000000"/>
          <w:sz w:val="21"/>
          <w:szCs w:val="21"/>
        </w:rPr>
      </w:pPr>
      <w:r>
        <w:rPr>
          <w:rFonts w:hint="eastAsia" w:ascii="宋体" w:hAnsi="宋体"/>
          <w:color w:val="000000"/>
          <w:sz w:val="21"/>
          <w:szCs w:val="21"/>
        </w:rPr>
        <w:t xml:space="preserve">项目名称： </w:t>
      </w:r>
    </w:p>
    <w:p>
      <w:pPr>
        <w:spacing w:line="360" w:lineRule="auto"/>
        <w:rPr>
          <w:rFonts w:ascii="宋体" w:hAnsi="宋体"/>
          <w:color w:val="000000"/>
        </w:rPr>
      </w:pPr>
      <w:r>
        <w:rPr>
          <w:rFonts w:hint="eastAsia" w:ascii="宋体" w:hAnsi="宋体"/>
        </w:rPr>
        <w:t xml:space="preserve">项目编号： </w:t>
      </w:r>
      <w:r>
        <w:rPr>
          <w:rFonts w:hint="eastAsia" w:ascii="宋体" w:hAnsi="宋体"/>
          <w:color w:val="000000"/>
        </w:rPr>
        <w:t xml:space="preserve">    </w:t>
      </w:r>
    </w:p>
    <w:p>
      <w:pPr>
        <w:spacing w:before="240" w:line="360" w:lineRule="auto"/>
        <w:rPr>
          <w:rFonts w:ascii="宋体" w:hAnsi="宋体"/>
          <w:color w:val="000000"/>
        </w:rPr>
      </w:pPr>
      <w:r>
        <w:rPr>
          <w:rFonts w:hint="eastAsia" w:ascii="宋体" w:hAnsi="宋体"/>
          <w:color w:val="000000"/>
        </w:rPr>
        <w:t>本次为首次报价</w:t>
      </w:r>
    </w:p>
    <w:tbl>
      <w:tblPr>
        <w:tblStyle w:val="4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70"/>
        <w:gridCol w:w="695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49" w:hRule="atLeast"/>
        </w:trPr>
        <w:tc>
          <w:tcPr>
            <w:tcW w:w="921" w:type="pct"/>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color w:val="000000"/>
                <w:szCs w:val="21"/>
              </w:rPr>
            </w:pPr>
            <w:r>
              <w:rPr>
                <w:rFonts w:hint="eastAsia" w:ascii="宋体" w:hAnsi="宋体"/>
                <w:color w:val="000000"/>
              </w:rPr>
              <w:t>名称</w:t>
            </w:r>
          </w:p>
        </w:tc>
        <w:tc>
          <w:tcPr>
            <w:tcW w:w="4078" w:type="pct"/>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color w:val="000000"/>
                <w:szCs w:val="21"/>
              </w:rPr>
            </w:pPr>
            <w:r>
              <w:rPr>
                <w:rFonts w:hint="eastAsia" w:ascii="宋体" w:hAnsi="宋体"/>
                <w:color w:val="000000"/>
                <w:szCs w:val="21"/>
              </w:rPr>
              <w:t>第一次报价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00" w:hRule="atLeast"/>
        </w:trPr>
        <w:tc>
          <w:tcPr>
            <w:tcW w:w="921" w:type="pct"/>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color w:val="000000"/>
                <w:szCs w:val="21"/>
              </w:rPr>
            </w:pPr>
            <w:r>
              <w:rPr>
                <w:rFonts w:hint="eastAsia" w:ascii="宋体" w:hAnsi="宋体"/>
                <w:color w:val="000000"/>
                <w:szCs w:val="21"/>
              </w:rPr>
              <w:t>报价</w:t>
            </w:r>
          </w:p>
        </w:tc>
        <w:tc>
          <w:tcPr>
            <w:tcW w:w="4078" w:type="pct"/>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ascii="宋体" w:hAnsi="宋体"/>
                <w:color w:val="000000"/>
                <w:szCs w:val="21"/>
              </w:rPr>
            </w:pPr>
            <w:r>
              <w:rPr>
                <w:rFonts w:hint="eastAsia" w:ascii="宋体" w:hAnsi="宋体"/>
                <w:color w:val="000000"/>
                <w:szCs w:val="21"/>
              </w:rPr>
              <w:t>大写：</w:t>
            </w:r>
          </w:p>
          <w:p>
            <w:pPr>
              <w:spacing w:line="360" w:lineRule="auto"/>
              <w:rPr>
                <w:rFonts w:hint="eastAsia" w:ascii="宋体" w:hAnsi="宋体" w:eastAsia="宋体"/>
                <w:color w:val="000000"/>
                <w:szCs w:val="21"/>
                <w:lang w:eastAsia="zh-CN"/>
              </w:rPr>
            </w:pPr>
            <w:r>
              <w:rPr>
                <w:rFonts w:hint="eastAsia" w:ascii="宋体" w:hAnsi="宋体"/>
                <w:color w:val="000000"/>
                <w:szCs w:val="21"/>
              </w:rPr>
              <w:t xml:space="preserve">小写：        </w:t>
            </w:r>
            <w:r>
              <w:rPr>
                <w:rFonts w:hint="eastAsia" w:ascii="宋体" w:hAnsi="宋体"/>
                <w:color w:val="000000"/>
                <w:szCs w:val="21"/>
                <w:lang w:val="en-US" w:eastAsia="zh-CN"/>
              </w:rPr>
              <w:t xml:space="preserve">                  </w:t>
            </w:r>
            <w:r>
              <w:rPr>
                <w:rFonts w:hint="eastAsia" w:ascii="宋体" w:hAnsi="宋体"/>
                <w:color w:val="000000"/>
                <w:szCs w:val="21"/>
              </w:rPr>
              <w:t>(人民币</w:t>
            </w:r>
            <w:r>
              <w:rPr>
                <w:rFonts w:hint="eastAsia" w:ascii="宋体" w:hAnsi="宋体"/>
                <w:color w:val="000000"/>
                <w:szCs w:val="21"/>
                <w:lang w:eastAsia="zh-CN"/>
              </w:rPr>
              <w:t>：</w:t>
            </w:r>
            <w:r>
              <w:rPr>
                <w:rFonts w:hint="eastAsia" w:ascii="宋体" w:hAnsi="宋体"/>
                <w:color w:val="000000"/>
                <w:szCs w:val="21"/>
                <w:lang w:val="en-US" w:eastAsia="zh-CN"/>
              </w:rPr>
              <w:t>元</w:t>
            </w:r>
            <w:r>
              <w:rPr>
                <w:rFonts w:hint="eastAsia" w:ascii="宋体" w:hAnsi="宋体"/>
                <w:color w:val="000000"/>
                <w:szCs w:val="21"/>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49" w:hRule="atLeast"/>
        </w:trPr>
        <w:tc>
          <w:tcPr>
            <w:tcW w:w="921" w:type="pct"/>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color w:val="000000"/>
                <w:szCs w:val="21"/>
              </w:rPr>
            </w:pPr>
            <w:r>
              <w:rPr>
                <w:rFonts w:hint="eastAsia" w:ascii="宋体" w:hAnsi="宋体"/>
                <w:color w:val="000000"/>
                <w:szCs w:val="21"/>
              </w:rPr>
              <w:t>备注</w:t>
            </w:r>
          </w:p>
        </w:tc>
        <w:tc>
          <w:tcPr>
            <w:tcW w:w="4078" w:type="pct"/>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color w:val="000000"/>
                <w:szCs w:val="21"/>
              </w:rPr>
            </w:pPr>
          </w:p>
        </w:tc>
      </w:tr>
    </w:tbl>
    <w:p>
      <w:pPr>
        <w:spacing w:before="480" w:line="360" w:lineRule="auto"/>
        <w:jc w:val="left"/>
        <w:rPr>
          <w:rFonts w:ascii="宋体" w:hAnsi="宋体"/>
          <w:color w:val="000000"/>
          <w:szCs w:val="21"/>
        </w:rPr>
      </w:pPr>
      <w:r>
        <w:rPr>
          <w:rFonts w:hint="eastAsia" w:ascii="宋体" w:hAnsi="宋体"/>
          <w:color w:val="000000"/>
          <w:szCs w:val="21"/>
        </w:rPr>
        <w:t>备注：该表报价非本次磋商中的最后报价。</w:t>
      </w:r>
    </w:p>
    <w:p>
      <w:pPr>
        <w:spacing w:line="360" w:lineRule="auto"/>
        <w:jc w:val="left"/>
        <w:rPr>
          <w:rFonts w:ascii="宋体" w:hAnsi="宋体"/>
          <w:color w:val="000000"/>
        </w:rPr>
      </w:pPr>
    </w:p>
    <w:p>
      <w:pPr>
        <w:spacing w:line="360" w:lineRule="auto"/>
        <w:jc w:val="left"/>
        <w:rPr>
          <w:rFonts w:ascii="宋体" w:hAnsi="宋体"/>
          <w:color w:val="000000"/>
        </w:rPr>
      </w:pPr>
    </w:p>
    <w:p>
      <w:pPr>
        <w:spacing w:line="360" w:lineRule="auto"/>
        <w:jc w:val="left"/>
        <w:rPr>
          <w:rFonts w:ascii="宋体" w:hAnsi="宋体"/>
          <w:color w:val="000000"/>
        </w:rPr>
      </w:pPr>
    </w:p>
    <w:p>
      <w:pPr>
        <w:spacing w:line="360" w:lineRule="auto"/>
      </w:pPr>
      <w:bookmarkStart w:id="191" w:name="OLE_LINK1"/>
      <w:r>
        <w:rPr>
          <w:rFonts w:hint="eastAsia" w:ascii="宋体" w:hAnsi="宋体"/>
          <w:color w:val="000000"/>
          <w:szCs w:val="21"/>
        </w:rPr>
        <w:t>供应商全称（加盖CA电子公章）：</w:t>
      </w:r>
    </w:p>
    <w:bookmarkEnd w:id="191"/>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jc w:val="right"/>
        <w:rPr>
          <w:rFonts w:ascii="宋体" w:hAnsi="宋体"/>
          <w:color w:val="000000"/>
          <w:szCs w:val="21"/>
        </w:rPr>
      </w:pPr>
      <w:r>
        <w:rPr>
          <w:rFonts w:hint="eastAsia" w:ascii="宋体" w:hAnsi="宋体"/>
          <w:color w:val="000000"/>
          <w:szCs w:val="21"/>
        </w:rPr>
        <w:t xml:space="preserve">  日期：    年   月    日</w:t>
      </w:r>
    </w:p>
    <w:p>
      <w:pPr>
        <w:jc w:val="center"/>
      </w:pPr>
      <w:r>
        <w:rPr>
          <w:rFonts w:hint="eastAsia" w:ascii="黑体" w:hAnsi="黑体" w:eastAsia="黑体"/>
          <w:b/>
          <w:color w:val="FF0000"/>
          <w:sz w:val="32"/>
          <w:szCs w:val="32"/>
        </w:rPr>
        <w:br w:type="page" w:clear="all"/>
      </w:r>
      <w:r>
        <w:rPr>
          <w:rFonts w:hint="eastAsia" w:ascii="黑体" w:hAnsi="黑体" w:eastAsia="黑体"/>
          <w:b/>
          <w:color w:val="auto"/>
          <w:sz w:val="32"/>
          <w:szCs w:val="32"/>
        </w:rPr>
        <w:t>十</w:t>
      </w:r>
      <w:r>
        <w:rPr>
          <w:rFonts w:hint="eastAsia" w:ascii="黑体" w:hAnsi="黑体" w:eastAsia="黑体"/>
          <w:b/>
          <w:color w:val="auto"/>
          <w:sz w:val="32"/>
          <w:szCs w:val="32"/>
          <w:lang w:val="en-US" w:eastAsia="zh-CN"/>
        </w:rPr>
        <w:t>三</w:t>
      </w:r>
      <w:r>
        <w:rPr>
          <w:rFonts w:hint="eastAsia" w:ascii="黑体" w:hAnsi="黑体" w:eastAsia="黑体"/>
          <w:b/>
          <w:color w:val="auto"/>
          <w:sz w:val="32"/>
          <w:szCs w:val="32"/>
        </w:rPr>
        <w:t>、分项报价表</w:t>
      </w:r>
    </w:p>
    <w:p>
      <w:pPr>
        <w:pStyle w:val="268"/>
        <w:spacing w:line="360" w:lineRule="auto"/>
        <w:rPr>
          <w:rFonts w:hint="eastAsia" w:ascii="宋体" w:hAnsi="宋体"/>
          <w:color w:val="000000"/>
          <w:sz w:val="21"/>
          <w:szCs w:val="21"/>
        </w:rPr>
      </w:pPr>
      <w:r>
        <w:rPr>
          <w:rFonts w:hint="eastAsia" w:ascii="宋体" w:hAnsi="宋体"/>
          <w:color w:val="000000"/>
          <w:sz w:val="21"/>
          <w:szCs w:val="21"/>
        </w:rPr>
        <w:t xml:space="preserve">项目名称： </w:t>
      </w:r>
    </w:p>
    <w:p>
      <w:pPr>
        <w:pStyle w:val="268"/>
        <w:spacing w:line="360" w:lineRule="auto"/>
        <w:rPr>
          <w:rFonts w:hint="eastAsia" w:ascii="宋体" w:hAnsi="宋体"/>
          <w:color w:val="000000"/>
          <w:sz w:val="21"/>
          <w:szCs w:val="21"/>
        </w:rPr>
      </w:pPr>
      <w:r>
        <w:rPr>
          <w:rFonts w:hint="eastAsia" w:ascii="宋体" w:hAnsi="宋体"/>
          <w:color w:val="000000"/>
          <w:sz w:val="21"/>
          <w:szCs w:val="21"/>
        </w:rPr>
        <w:t xml:space="preserve">项目编号： </w:t>
      </w:r>
    </w:p>
    <w:tbl>
      <w:tblPr>
        <w:tblStyle w:val="46"/>
        <w:tblW w:w="5505" w:type="pct"/>
        <w:jc w:val="center"/>
        <w:tblLayout w:type="autofit"/>
        <w:tblCellMar>
          <w:top w:w="0" w:type="dxa"/>
          <w:left w:w="0" w:type="dxa"/>
          <w:bottom w:w="0" w:type="dxa"/>
          <w:right w:w="0" w:type="dxa"/>
        </w:tblCellMar>
      </w:tblPr>
      <w:tblGrid>
        <w:gridCol w:w="633"/>
        <w:gridCol w:w="1208"/>
        <w:gridCol w:w="3991"/>
        <w:gridCol w:w="765"/>
        <w:gridCol w:w="854"/>
        <w:gridCol w:w="854"/>
        <w:gridCol w:w="858"/>
      </w:tblGrid>
      <w:tr>
        <w:trPr>
          <w:trHeight w:val="647" w:hRule="atLeast"/>
          <w:tblHeader/>
          <w:jc w:val="center"/>
        </w:trPr>
        <w:tc>
          <w:tcPr>
            <w:tcW w:w="345"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jc w:val="center"/>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序号</w:t>
            </w:r>
          </w:p>
        </w:tc>
        <w:tc>
          <w:tcPr>
            <w:tcW w:w="659"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jc w:val="center"/>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需求部门</w:t>
            </w:r>
          </w:p>
        </w:tc>
        <w:tc>
          <w:tcPr>
            <w:tcW w:w="2177"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jc w:val="center"/>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工作内容</w:t>
            </w:r>
          </w:p>
        </w:tc>
        <w:tc>
          <w:tcPr>
            <w:tcW w:w="417"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jc w:val="center"/>
              <w:textAlignment w:val="auto"/>
              <w:rPr>
                <w:rFonts w:hint="default" w:ascii="宋体" w:hAnsi="宋体" w:eastAsia="宋体" w:cs="宋体"/>
                <w:snapToGrid/>
                <w:color w:val="000000"/>
                <w:kern w:val="0"/>
                <w:sz w:val="21"/>
                <w:szCs w:val="21"/>
                <w:highlight w:val="none"/>
                <w:lang w:val="en-US" w:eastAsia="zh-CN" w:bidi="ar-SA"/>
              </w:rPr>
            </w:pPr>
            <w:r>
              <w:rPr>
                <w:rFonts w:hint="eastAsia" w:ascii="宋体" w:hAnsi="宋体" w:cs="宋体"/>
                <w:snapToGrid/>
                <w:color w:val="000000"/>
                <w:kern w:val="0"/>
                <w:sz w:val="21"/>
                <w:szCs w:val="21"/>
                <w:highlight w:val="none"/>
                <w:lang w:val="en-US" w:eastAsia="zh-CN" w:bidi="ar-SA"/>
              </w:rPr>
              <w:t>单位</w:t>
            </w:r>
          </w:p>
        </w:tc>
        <w:tc>
          <w:tcPr>
            <w:tcW w:w="466"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jc w:val="center"/>
              <w:textAlignment w:val="auto"/>
              <w:rPr>
                <w:rFonts w:hint="default" w:ascii="宋体" w:hAnsi="宋体" w:eastAsia="宋体" w:cs="宋体"/>
                <w:snapToGrid/>
                <w:color w:val="000000"/>
                <w:kern w:val="0"/>
                <w:sz w:val="21"/>
                <w:szCs w:val="21"/>
                <w:highlight w:val="none"/>
                <w:lang w:val="en-US" w:eastAsia="zh-CN" w:bidi="ar-SA"/>
              </w:rPr>
            </w:pPr>
            <w:r>
              <w:rPr>
                <w:rFonts w:hint="eastAsia" w:ascii="宋体" w:hAnsi="宋体" w:cs="宋体"/>
                <w:snapToGrid/>
                <w:color w:val="000000"/>
                <w:kern w:val="0"/>
                <w:sz w:val="21"/>
                <w:szCs w:val="21"/>
                <w:highlight w:val="none"/>
                <w:lang w:val="en-US" w:eastAsia="zh-CN" w:bidi="ar-SA"/>
              </w:rPr>
              <w:t>数量</w:t>
            </w:r>
          </w:p>
        </w:tc>
        <w:tc>
          <w:tcPr>
            <w:tcW w:w="466"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jc w:val="center"/>
              <w:textAlignment w:val="auto"/>
              <w:rPr>
                <w:rFonts w:hint="default" w:ascii="宋体" w:hAnsi="宋体" w:cs="宋体"/>
                <w:snapToGrid/>
                <w:color w:val="000000"/>
                <w:kern w:val="0"/>
                <w:sz w:val="21"/>
                <w:szCs w:val="21"/>
                <w:highlight w:val="none"/>
                <w:lang w:val="en-US" w:eastAsia="zh-CN" w:bidi="ar-SA"/>
              </w:rPr>
            </w:pPr>
            <w:r>
              <w:rPr>
                <w:rFonts w:hint="eastAsia" w:ascii="宋体" w:hAnsi="宋体" w:cs="宋体"/>
                <w:snapToGrid/>
                <w:color w:val="000000"/>
                <w:kern w:val="0"/>
                <w:sz w:val="21"/>
                <w:szCs w:val="21"/>
                <w:highlight w:val="none"/>
                <w:lang w:val="en-US" w:eastAsia="zh-CN" w:bidi="ar-SA"/>
              </w:rPr>
              <w:t>单价（元）</w:t>
            </w:r>
          </w:p>
        </w:tc>
        <w:tc>
          <w:tcPr>
            <w:tcW w:w="467"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jc w:val="center"/>
              <w:textAlignment w:val="auto"/>
              <w:rPr>
                <w:rFonts w:hint="default" w:ascii="宋体" w:hAnsi="宋体" w:cs="宋体"/>
                <w:snapToGrid/>
                <w:color w:val="000000"/>
                <w:kern w:val="0"/>
                <w:sz w:val="21"/>
                <w:szCs w:val="21"/>
                <w:highlight w:val="none"/>
                <w:lang w:val="en-US" w:eastAsia="zh-CN" w:bidi="ar-SA"/>
              </w:rPr>
            </w:pPr>
            <w:r>
              <w:rPr>
                <w:rFonts w:hint="eastAsia" w:ascii="宋体" w:hAnsi="宋体" w:cs="宋体"/>
                <w:snapToGrid/>
                <w:color w:val="000000"/>
                <w:kern w:val="0"/>
                <w:sz w:val="21"/>
                <w:szCs w:val="21"/>
                <w:highlight w:val="none"/>
                <w:lang w:val="en-US" w:eastAsia="zh-CN" w:bidi="ar-SA"/>
              </w:rPr>
              <w:t>合价（元）</w:t>
            </w:r>
          </w:p>
        </w:tc>
      </w:tr>
      <w:tr>
        <w:tblPrEx>
          <w:tblCellMar>
            <w:top w:w="0" w:type="dxa"/>
            <w:left w:w="0" w:type="dxa"/>
            <w:bottom w:w="0" w:type="dxa"/>
            <w:right w:w="0" w:type="dxa"/>
          </w:tblCellMar>
        </w:tblPrEx>
        <w:trPr>
          <w:trHeight w:val="968" w:hRule="atLeast"/>
          <w:jc w:val="center"/>
        </w:trPr>
        <w:tc>
          <w:tcPr>
            <w:tcW w:w="345"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jc w:val="center"/>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1</w:t>
            </w:r>
          </w:p>
        </w:tc>
        <w:tc>
          <w:tcPr>
            <w:tcW w:w="659"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jc w:val="center"/>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蛋鸡</w:t>
            </w:r>
            <w:r>
              <w:rPr>
                <w:rFonts w:hint="eastAsia" w:ascii="宋体" w:hAnsi="宋体" w:cs="宋体"/>
                <w:snapToGrid/>
                <w:color w:val="000000"/>
                <w:kern w:val="0"/>
                <w:sz w:val="21"/>
                <w:szCs w:val="21"/>
                <w:highlight w:val="none"/>
                <w:lang w:val="en-US" w:eastAsia="zh-CN" w:bidi="ar-SA"/>
              </w:rPr>
              <w:t>室</w:t>
            </w:r>
          </w:p>
        </w:tc>
        <w:tc>
          <w:tcPr>
            <w:tcW w:w="2177"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spacing w:line="240" w:lineRule="auto"/>
              <w:rPr>
                <w:rFonts w:hint="eastAsia" w:ascii="宋体" w:hAnsi="宋体" w:eastAsia="宋体" w:cs="宋体"/>
                <w:szCs w:val="21"/>
                <w:lang w:val="en-US" w:eastAsia="zh-CN"/>
              </w:rPr>
            </w:pPr>
            <w:r>
              <w:rPr>
                <w:rFonts w:hint="eastAsia" w:ascii="宋体" w:hAnsi="宋体" w:eastAsia="宋体" w:cs="宋体"/>
                <w:szCs w:val="21"/>
                <w:lang w:val="en-US" w:eastAsia="zh-CN"/>
              </w:rPr>
              <w:t>1年饲养雏鸡4批，每批8000只，共1栋育雏育成鸡舍和5栋产蛋鸡舍，要求饲养、保洁、科研数据记录登记、归档。</w:t>
            </w:r>
          </w:p>
        </w:tc>
        <w:tc>
          <w:tcPr>
            <w:tcW w:w="417"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jc w:val="center"/>
              <w:textAlignment w:val="auto"/>
              <w:rPr>
                <w:rFonts w:hint="eastAsia" w:ascii="宋体" w:hAnsi="宋体" w:cs="宋体"/>
                <w:snapToGrid/>
                <w:color w:val="000000"/>
                <w:kern w:val="0"/>
                <w:sz w:val="21"/>
                <w:szCs w:val="21"/>
                <w:highlight w:val="none"/>
                <w:lang w:val="en-US" w:eastAsia="zh-CN" w:bidi="ar-SA"/>
              </w:rPr>
            </w:pPr>
            <w:r>
              <w:rPr>
                <w:rFonts w:hint="eastAsia" w:ascii="宋体" w:hAnsi="宋体" w:cs="宋体"/>
                <w:snapToGrid/>
                <w:color w:val="000000"/>
                <w:kern w:val="0"/>
                <w:sz w:val="21"/>
                <w:szCs w:val="21"/>
                <w:highlight w:val="none"/>
                <w:lang w:val="en-US" w:eastAsia="zh-CN" w:bidi="ar-SA"/>
              </w:rPr>
              <w:t>只</w:t>
            </w:r>
          </w:p>
        </w:tc>
        <w:tc>
          <w:tcPr>
            <w:tcW w:w="466"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jc w:val="center"/>
              <w:textAlignment w:val="auto"/>
              <w:rPr>
                <w:rFonts w:hint="default" w:ascii="宋体" w:hAnsi="宋体" w:eastAsia="宋体" w:cs="宋体"/>
                <w:spacing w:val="2"/>
                <w:sz w:val="23"/>
                <w:szCs w:val="23"/>
                <w:lang w:val="en-US" w:eastAsia="zh-CN"/>
              </w:rPr>
            </w:pPr>
            <w:r>
              <w:rPr>
                <w:rFonts w:hint="eastAsia" w:ascii="宋体" w:hAnsi="宋体" w:cs="宋体"/>
                <w:spacing w:val="2"/>
                <w:sz w:val="23"/>
                <w:szCs w:val="23"/>
                <w:lang w:val="en-US" w:eastAsia="zh-CN"/>
              </w:rPr>
              <w:t>32000</w:t>
            </w:r>
          </w:p>
        </w:tc>
        <w:tc>
          <w:tcPr>
            <w:tcW w:w="466"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ind w:firstLine="420"/>
              <w:jc w:val="both"/>
              <w:textAlignment w:val="auto"/>
              <w:rPr>
                <w:rFonts w:ascii="宋体" w:hAnsi="宋体" w:eastAsia="宋体" w:cs="宋体"/>
                <w:spacing w:val="2"/>
                <w:sz w:val="23"/>
                <w:szCs w:val="23"/>
              </w:rPr>
            </w:pPr>
          </w:p>
        </w:tc>
        <w:tc>
          <w:tcPr>
            <w:tcW w:w="467"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ind w:firstLine="420"/>
              <w:jc w:val="both"/>
              <w:textAlignment w:val="auto"/>
              <w:rPr>
                <w:rFonts w:ascii="宋体" w:hAnsi="宋体" w:eastAsia="宋体" w:cs="宋体"/>
                <w:spacing w:val="2"/>
                <w:sz w:val="23"/>
                <w:szCs w:val="23"/>
              </w:rPr>
            </w:pPr>
          </w:p>
        </w:tc>
      </w:tr>
      <w:tr>
        <w:tblPrEx>
          <w:tblCellMar>
            <w:top w:w="0" w:type="dxa"/>
            <w:left w:w="0" w:type="dxa"/>
            <w:bottom w:w="0" w:type="dxa"/>
            <w:right w:w="0" w:type="dxa"/>
          </w:tblCellMar>
        </w:tblPrEx>
        <w:trPr>
          <w:jc w:val="center"/>
        </w:trPr>
        <w:tc>
          <w:tcPr>
            <w:tcW w:w="345"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360" w:lineRule="auto"/>
              <w:jc w:val="center"/>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cs="宋体"/>
                <w:snapToGrid/>
                <w:color w:val="000000"/>
                <w:kern w:val="0"/>
                <w:sz w:val="21"/>
                <w:szCs w:val="21"/>
                <w:highlight w:val="none"/>
                <w:lang w:val="en-US" w:eastAsia="zh-CN" w:bidi="ar-SA"/>
              </w:rPr>
              <w:t>2</w:t>
            </w:r>
          </w:p>
        </w:tc>
        <w:tc>
          <w:tcPr>
            <w:tcW w:w="659"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jc w:val="center"/>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营养室</w:t>
            </w:r>
          </w:p>
        </w:tc>
        <w:tc>
          <w:tcPr>
            <w:tcW w:w="2177"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spacing w:line="240" w:lineRule="auto"/>
              <w:rPr>
                <w:rFonts w:hint="eastAsia" w:ascii="宋体" w:hAnsi="宋体" w:eastAsia="宋体" w:cs="宋体"/>
                <w:szCs w:val="21"/>
                <w:lang w:val="en-US" w:eastAsia="zh-CN"/>
              </w:rPr>
            </w:pPr>
            <w:r>
              <w:rPr>
                <w:rFonts w:hint="eastAsia" w:ascii="宋体" w:hAnsi="宋体" w:eastAsia="宋体" w:cs="宋体"/>
                <w:szCs w:val="21"/>
                <w:lang w:val="en-US" w:eastAsia="zh-CN"/>
              </w:rPr>
              <w:t>1、一年开展蛋鸡试验2-3批次、肉鸡试验5-6批次，负责鸡只饲养、试验记录；</w:t>
            </w:r>
          </w:p>
          <w:p>
            <w:pPr>
              <w:spacing w:line="240" w:lineRule="auto"/>
              <w:rPr>
                <w:rFonts w:hint="eastAsia" w:ascii="宋体" w:hAnsi="宋体" w:eastAsia="宋体" w:cs="宋体"/>
                <w:szCs w:val="21"/>
                <w:lang w:val="en-US" w:eastAsia="zh-CN"/>
              </w:rPr>
            </w:pPr>
            <w:r>
              <w:rPr>
                <w:rFonts w:hint="eastAsia" w:ascii="宋体" w:hAnsi="宋体" w:eastAsia="宋体" w:cs="宋体"/>
                <w:szCs w:val="21"/>
                <w:lang w:val="en-US" w:eastAsia="zh-CN"/>
              </w:rPr>
              <w:t>2、负责场舍试验前准备、日常卫生、日常消毒和试验后清理；</w:t>
            </w:r>
          </w:p>
          <w:p>
            <w:pPr>
              <w:spacing w:line="240" w:lineRule="auto"/>
              <w:rPr>
                <w:rFonts w:hint="eastAsia" w:ascii="宋体" w:hAnsi="宋体" w:eastAsia="宋体" w:cs="宋体"/>
                <w:szCs w:val="21"/>
                <w:lang w:val="en-US" w:eastAsia="zh-CN"/>
              </w:rPr>
            </w:pPr>
            <w:r>
              <w:rPr>
                <w:rFonts w:hint="eastAsia" w:ascii="宋体" w:hAnsi="宋体" w:eastAsia="宋体" w:cs="宋体"/>
                <w:szCs w:val="21"/>
                <w:lang w:val="en-US" w:eastAsia="zh-CN"/>
              </w:rPr>
              <w:t>3、配蛋鸡试验用饲料80吨、肉鸡试验用饲料40吨；</w:t>
            </w:r>
          </w:p>
          <w:p>
            <w:pPr>
              <w:spacing w:line="240" w:lineRule="auto"/>
              <w:rPr>
                <w:rFonts w:hint="eastAsia" w:ascii="宋体" w:hAnsi="宋体" w:eastAsia="宋体" w:cs="宋体"/>
                <w:szCs w:val="21"/>
              </w:rPr>
            </w:pPr>
            <w:r>
              <w:rPr>
                <w:rFonts w:hint="eastAsia" w:ascii="宋体" w:hAnsi="宋体" w:eastAsia="宋体" w:cs="宋体"/>
                <w:szCs w:val="21"/>
                <w:lang w:val="en-US" w:eastAsia="zh-CN"/>
              </w:rPr>
              <w:t>4、参与试验采样，负责采样后场地清理。</w:t>
            </w:r>
          </w:p>
        </w:tc>
        <w:tc>
          <w:tcPr>
            <w:tcW w:w="417"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jc w:val="center"/>
              <w:textAlignment w:val="auto"/>
              <w:rPr>
                <w:rFonts w:hint="eastAsia" w:ascii="宋体" w:hAnsi="宋体" w:cs="宋体"/>
                <w:snapToGrid/>
                <w:color w:val="000000"/>
                <w:kern w:val="0"/>
                <w:sz w:val="21"/>
                <w:szCs w:val="21"/>
                <w:highlight w:val="none"/>
                <w:lang w:val="en-US" w:eastAsia="zh-CN" w:bidi="ar-SA"/>
              </w:rPr>
            </w:pPr>
            <w:r>
              <w:rPr>
                <w:rFonts w:hint="eastAsia" w:ascii="宋体" w:hAnsi="宋体" w:cs="宋体"/>
                <w:snapToGrid/>
                <w:color w:val="000000"/>
                <w:kern w:val="0"/>
                <w:sz w:val="21"/>
                <w:szCs w:val="21"/>
                <w:highlight w:val="none"/>
                <w:lang w:val="en-US" w:eastAsia="zh-CN" w:bidi="ar-SA"/>
              </w:rPr>
              <w:t>批</w:t>
            </w:r>
          </w:p>
        </w:tc>
        <w:tc>
          <w:tcPr>
            <w:tcW w:w="466"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pageBreakBefore w:val="0"/>
              <w:widowControl w:val="0"/>
              <w:spacing w:line="360" w:lineRule="auto"/>
              <w:jc w:val="center"/>
              <w:rPr>
                <w:rFonts w:hint="eastAsia" w:ascii="宋体" w:hAnsi="宋体" w:eastAsia="宋体" w:cs="宋体"/>
                <w:spacing w:val="2"/>
                <w:sz w:val="23"/>
                <w:szCs w:val="23"/>
                <w:lang w:val="en-US" w:eastAsia="zh-CN"/>
              </w:rPr>
            </w:pPr>
            <w:r>
              <w:rPr>
                <w:rFonts w:hint="eastAsia" w:ascii="宋体" w:hAnsi="宋体" w:cs="宋体"/>
                <w:spacing w:val="2"/>
                <w:sz w:val="23"/>
                <w:szCs w:val="23"/>
                <w:lang w:val="en-US" w:eastAsia="zh-CN"/>
              </w:rPr>
              <w:t>9</w:t>
            </w:r>
          </w:p>
        </w:tc>
        <w:tc>
          <w:tcPr>
            <w:tcW w:w="466"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pageBreakBefore w:val="0"/>
              <w:widowControl w:val="0"/>
              <w:spacing w:line="360" w:lineRule="auto"/>
              <w:jc w:val="center"/>
              <w:rPr>
                <w:rFonts w:ascii="宋体" w:hAnsi="宋体" w:eastAsia="宋体" w:cs="宋体"/>
                <w:spacing w:val="2"/>
                <w:sz w:val="23"/>
                <w:szCs w:val="23"/>
              </w:rPr>
            </w:pPr>
          </w:p>
        </w:tc>
        <w:tc>
          <w:tcPr>
            <w:tcW w:w="467"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pageBreakBefore w:val="0"/>
              <w:widowControl w:val="0"/>
              <w:spacing w:line="360" w:lineRule="auto"/>
              <w:jc w:val="center"/>
              <w:rPr>
                <w:rFonts w:ascii="宋体" w:hAnsi="宋体" w:eastAsia="宋体" w:cs="宋体"/>
                <w:spacing w:val="2"/>
                <w:sz w:val="23"/>
                <w:szCs w:val="23"/>
              </w:rPr>
            </w:pPr>
          </w:p>
        </w:tc>
      </w:tr>
      <w:tr>
        <w:tblPrEx>
          <w:tblCellMar>
            <w:top w:w="0" w:type="dxa"/>
            <w:left w:w="0" w:type="dxa"/>
            <w:bottom w:w="0" w:type="dxa"/>
            <w:right w:w="0" w:type="dxa"/>
          </w:tblCellMar>
        </w:tblPrEx>
        <w:trPr>
          <w:trHeight w:val="783" w:hRule="atLeast"/>
          <w:jc w:val="center"/>
        </w:trPr>
        <w:tc>
          <w:tcPr>
            <w:tcW w:w="345"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360" w:lineRule="auto"/>
              <w:jc w:val="center"/>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cs="宋体"/>
                <w:snapToGrid/>
                <w:color w:val="000000"/>
                <w:kern w:val="0"/>
                <w:sz w:val="21"/>
                <w:szCs w:val="21"/>
                <w:highlight w:val="none"/>
                <w:lang w:val="en-US" w:eastAsia="zh-CN" w:bidi="ar-SA"/>
              </w:rPr>
              <w:t>3</w:t>
            </w:r>
          </w:p>
        </w:tc>
        <w:tc>
          <w:tcPr>
            <w:tcW w:w="659"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jc w:val="center"/>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质量</w:t>
            </w:r>
            <w:r>
              <w:rPr>
                <w:rFonts w:hint="eastAsia" w:ascii="宋体" w:hAnsi="宋体" w:cs="宋体"/>
                <w:snapToGrid/>
                <w:color w:val="000000"/>
                <w:kern w:val="0"/>
                <w:sz w:val="21"/>
                <w:szCs w:val="21"/>
                <w:highlight w:val="none"/>
                <w:lang w:val="en-US" w:eastAsia="zh-CN" w:bidi="ar-SA"/>
              </w:rPr>
              <w:t>室</w:t>
            </w:r>
          </w:p>
        </w:tc>
        <w:tc>
          <w:tcPr>
            <w:tcW w:w="2177"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spacing w:line="240" w:lineRule="auto"/>
              <w:rPr>
                <w:rFonts w:hint="eastAsia" w:ascii="宋体" w:hAnsi="宋体" w:eastAsia="宋体" w:cs="宋体"/>
                <w:szCs w:val="21"/>
              </w:rPr>
            </w:pPr>
            <w:r>
              <w:rPr>
                <w:rFonts w:hint="eastAsia" w:ascii="宋体" w:hAnsi="宋体" w:eastAsia="宋体" w:cs="宋体"/>
                <w:szCs w:val="21"/>
                <w:lang w:val="en-US" w:eastAsia="zh-CN"/>
              </w:rPr>
              <w:t>种禽测定工作，</w:t>
            </w:r>
            <w:r>
              <w:rPr>
                <w:rFonts w:hint="eastAsia" w:ascii="宋体" w:hAnsi="宋体" w:eastAsia="宋体" w:cs="宋体"/>
                <w:szCs w:val="21"/>
                <w:highlight w:val="none"/>
                <w:lang w:val="en-US" w:eastAsia="zh-CN"/>
              </w:rPr>
              <w:t>饲养种鸡</w:t>
            </w:r>
            <w:r>
              <w:rPr>
                <w:rFonts w:hint="eastAsia" w:ascii="宋体" w:hAnsi="宋体" w:cs="宋体"/>
                <w:szCs w:val="21"/>
                <w:highlight w:val="none"/>
                <w:lang w:val="en-US" w:eastAsia="zh-CN"/>
              </w:rPr>
              <w:t>1</w:t>
            </w:r>
            <w:r>
              <w:rPr>
                <w:rFonts w:hint="eastAsia" w:ascii="宋体" w:hAnsi="宋体" w:eastAsia="宋体" w:cs="宋体"/>
                <w:szCs w:val="21"/>
                <w:highlight w:val="none"/>
                <w:lang w:val="en-US" w:eastAsia="zh-CN"/>
              </w:rPr>
              <w:t>0000只，要求饲养、保洁、科研数据记录登记、归</w:t>
            </w:r>
            <w:r>
              <w:rPr>
                <w:rFonts w:hint="eastAsia" w:ascii="宋体" w:hAnsi="宋体" w:eastAsia="宋体" w:cs="宋体"/>
                <w:szCs w:val="21"/>
                <w:lang w:val="en-US" w:eastAsia="zh-CN"/>
              </w:rPr>
              <w:t>档。</w:t>
            </w:r>
          </w:p>
        </w:tc>
        <w:tc>
          <w:tcPr>
            <w:tcW w:w="417"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jc w:val="center"/>
              <w:textAlignment w:val="auto"/>
              <w:rPr>
                <w:rFonts w:hint="eastAsia" w:ascii="宋体" w:hAnsi="宋体" w:cs="宋体"/>
                <w:snapToGrid/>
                <w:color w:val="000000"/>
                <w:kern w:val="0"/>
                <w:sz w:val="21"/>
                <w:szCs w:val="21"/>
                <w:highlight w:val="none"/>
                <w:lang w:val="en-US" w:eastAsia="zh-CN" w:bidi="ar-SA"/>
              </w:rPr>
            </w:pPr>
            <w:r>
              <w:rPr>
                <w:rFonts w:hint="eastAsia" w:ascii="宋体" w:hAnsi="宋体" w:cs="宋体"/>
                <w:snapToGrid/>
                <w:color w:val="000000"/>
                <w:kern w:val="0"/>
                <w:sz w:val="21"/>
                <w:szCs w:val="21"/>
                <w:highlight w:val="none"/>
                <w:lang w:val="en-US" w:eastAsia="zh-CN" w:bidi="ar-SA"/>
              </w:rPr>
              <w:t>只</w:t>
            </w:r>
          </w:p>
        </w:tc>
        <w:tc>
          <w:tcPr>
            <w:tcW w:w="466"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pageBreakBefore w:val="0"/>
              <w:widowControl w:val="0"/>
              <w:spacing w:line="360" w:lineRule="auto"/>
              <w:jc w:val="center"/>
              <w:rPr>
                <w:rFonts w:hint="default" w:ascii="宋体" w:hAnsi="宋体" w:eastAsia="宋体" w:cs="宋体"/>
                <w:spacing w:val="2"/>
                <w:sz w:val="23"/>
                <w:szCs w:val="23"/>
                <w:lang w:val="en-US" w:eastAsia="zh-CN"/>
              </w:rPr>
            </w:pPr>
            <w:r>
              <w:rPr>
                <w:rFonts w:hint="eastAsia" w:ascii="宋体" w:hAnsi="宋体" w:cs="宋体"/>
                <w:spacing w:val="2"/>
                <w:sz w:val="23"/>
                <w:szCs w:val="23"/>
                <w:lang w:val="en-US" w:eastAsia="zh-CN"/>
              </w:rPr>
              <w:t>10000</w:t>
            </w:r>
          </w:p>
        </w:tc>
        <w:tc>
          <w:tcPr>
            <w:tcW w:w="466"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pageBreakBefore w:val="0"/>
              <w:widowControl w:val="0"/>
              <w:spacing w:line="360" w:lineRule="auto"/>
              <w:jc w:val="center"/>
              <w:rPr>
                <w:rFonts w:ascii="宋体" w:hAnsi="宋体" w:eastAsia="宋体" w:cs="宋体"/>
                <w:spacing w:val="2"/>
                <w:sz w:val="23"/>
                <w:szCs w:val="23"/>
              </w:rPr>
            </w:pPr>
          </w:p>
        </w:tc>
        <w:tc>
          <w:tcPr>
            <w:tcW w:w="467"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pageBreakBefore w:val="0"/>
              <w:widowControl w:val="0"/>
              <w:spacing w:line="360" w:lineRule="auto"/>
              <w:jc w:val="center"/>
              <w:rPr>
                <w:rFonts w:ascii="宋体" w:hAnsi="宋体" w:eastAsia="宋体" w:cs="宋体"/>
                <w:spacing w:val="2"/>
                <w:sz w:val="23"/>
                <w:szCs w:val="23"/>
              </w:rPr>
            </w:pPr>
          </w:p>
        </w:tc>
      </w:tr>
      <w:tr>
        <w:tblPrEx>
          <w:tblCellMar>
            <w:top w:w="0" w:type="dxa"/>
            <w:left w:w="0" w:type="dxa"/>
            <w:bottom w:w="0" w:type="dxa"/>
            <w:right w:w="0" w:type="dxa"/>
          </w:tblCellMar>
        </w:tblPrEx>
        <w:trPr>
          <w:trHeight w:val="975" w:hRule="atLeast"/>
          <w:jc w:val="center"/>
        </w:trPr>
        <w:tc>
          <w:tcPr>
            <w:tcW w:w="345"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360" w:lineRule="auto"/>
              <w:jc w:val="center"/>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cs="宋体"/>
                <w:snapToGrid/>
                <w:color w:val="000000"/>
                <w:kern w:val="0"/>
                <w:sz w:val="21"/>
                <w:szCs w:val="21"/>
                <w:highlight w:val="none"/>
                <w:lang w:val="en-US" w:eastAsia="zh-CN" w:bidi="ar-SA"/>
              </w:rPr>
              <w:t>4</w:t>
            </w:r>
          </w:p>
        </w:tc>
        <w:tc>
          <w:tcPr>
            <w:tcW w:w="659"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jc w:val="center"/>
              <w:textAlignment w:val="auto"/>
              <w:rPr>
                <w:rFonts w:hint="default"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肉鸡</w:t>
            </w:r>
            <w:r>
              <w:rPr>
                <w:rFonts w:hint="eastAsia" w:ascii="宋体" w:hAnsi="宋体" w:cs="宋体"/>
                <w:snapToGrid/>
                <w:color w:val="000000"/>
                <w:kern w:val="0"/>
                <w:sz w:val="21"/>
                <w:szCs w:val="21"/>
                <w:highlight w:val="none"/>
                <w:lang w:val="en-US" w:eastAsia="zh-CN" w:bidi="ar-SA"/>
              </w:rPr>
              <w:t>室</w:t>
            </w:r>
          </w:p>
        </w:tc>
        <w:tc>
          <w:tcPr>
            <w:tcW w:w="2177"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spacing w:line="240" w:lineRule="auto"/>
              <w:rPr>
                <w:rFonts w:hint="eastAsia" w:ascii="宋体" w:hAnsi="宋体" w:cs="宋体"/>
                <w:szCs w:val="21"/>
                <w:lang w:val="en-US" w:eastAsia="zh-CN"/>
              </w:rPr>
            </w:pPr>
            <w:r>
              <w:rPr>
                <w:rFonts w:hint="eastAsia" w:ascii="宋体" w:hAnsi="宋体" w:eastAsia="宋体" w:cs="宋体"/>
                <w:szCs w:val="21"/>
                <w:lang w:val="en-US" w:eastAsia="zh-CN"/>
              </w:rPr>
              <w:t>1</w:t>
            </w:r>
            <w:r>
              <w:rPr>
                <w:rFonts w:hint="eastAsia" w:ascii="宋体" w:hAnsi="宋体" w:cs="宋体"/>
                <w:szCs w:val="21"/>
                <w:lang w:val="en-US" w:eastAsia="zh-CN"/>
              </w:rPr>
              <w:t>、一</w:t>
            </w:r>
            <w:r>
              <w:rPr>
                <w:rFonts w:hint="eastAsia" w:ascii="宋体" w:hAnsi="宋体" w:eastAsia="宋体" w:cs="宋体"/>
                <w:szCs w:val="21"/>
                <w:lang w:val="en-US" w:eastAsia="zh-CN"/>
              </w:rPr>
              <w:t>年饲养雏鸡2批，每批5000只</w:t>
            </w:r>
            <w:r>
              <w:rPr>
                <w:rFonts w:hint="eastAsia" w:ascii="宋体" w:hAnsi="宋体" w:eastAsia="宋体" w:cs="宋体"/>
                <w:szCs w:val="21"/>
                <w:highlight w:val="none"/>
                <w:lang w:val="en-US" w:eastAsia="zh-CN"/>
              </w:rPr>
              <w:t>，</w:t>
            </w:r>
            <w:r>
              <w:rPr>
                <w:rFonts w:hint="eastAsia" w:ascii="宋体" w:hAnsi="宋体" w:eastAsia="宋体" w:cs="宋体"/>
                <w:szCs w:val="21"/>
                <w:lang w:val="en-US" w:eastAsia="zh-CN"/>
              </w:rPr>
              <w:t>共1栋育雏育成鸡舍和1栋产蛋鸡舍，要求饲养、保洁、科研数据记录登记、归档。</w:t>
            </w:r>
          </w:p>
          <w:p>
            <w:pPr>
              <w:spacing w:line="240" w:lineRule="auto"/>
              <w:rPr>
                <w:rFonts w:hint="eastAsia" w:ascii="宋体" w:hAnsi="宋体" w:eastAsia="宋体" w:cs="宋体"/>
                <w:szCs w:val="21"/>
                <w:lang w:val="en-US" w:eastAsia="zh-CN"/>
              </w:rPr>
            </w:pPr>
            <w:r>
              <w:rPr>
                <w:rFonts w:hint="eastAsia" w:ascii="宋体" w:hAnsi="宋体" w:cs="宋体"/>
                <w:szCs w:val="21"/>
                <w:lang w:val="en-US" w:eastAsia="zh-CN"/>
              </w:rPr>
              <w:t>2、</w:t>
            </w:r>
            <w:r>
              <w:rPr>
                <w:rFonts w:hint="eastAsia" w:ascii="宋体" w:hAnsi="宋体" w:eastAsia="宋体" w:cs="宋体"/>
                <w:szCs w:val="21"/>
                <w:lang w:val="en-US" w:eastAsia="zh-CN"/>
              </w:rPr>
              <w:t>肉鸡育种测定工作，年饲养种鸡1.2万只，要求饲养、保洁、科研数据记录登记、归档。</w:t>
            </w:r>
          </w:p>
        </w:tc>
        <w:tc>
          <w:tcPr>
            <w:tcW w:w="417"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jc w:val="center"/>
              <w:textAlignment w:val="auto"/>
              <w:rPr>
                <w:rFonts w:hint="eastAsia" w:ascii="宋体" w:hAnsi="宋体" w:cs="宋体"/>
                <w:snapToGrid/>
                <w:color w:val="000000"/>
                <w:kern w:val="0"/>
                <w:sz w:val="21"/>
                <w:szCs w:val="21"/>
                <w:highlight w:val="none"/>
                <w:lang w:val="en-US" w:eastAsia="zh-CN" w:bidi="ar-SA"/>
              </w:rPr>
            </w:pPr>
            <w:r>
              <w:rPr>
                <w:rFonts w:hint="eastAsia" w:ascii="宋体" w:hAnsi="宋体" w:cs="宋体"/>
                <w:snapToGrid/>
                <w:color w:val="000000"/>
                <w:kern w:val="0"/>
                <w:sz w:val="21"/>
                <w:szCs w:val="21"/>
                <w:highlight w:val="none"/>
                <w:lang w:val="en-US" w:eastAsia="zh-CN" w:bidi="ar-SA"/>
              </w:rPr>
              <w:t>只</w:t>
            </w:r>
          </w:p>
        </w:tc>
        <w:tc>
          <w:tcPr>
            <w:tcW w:w="466"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jc w:val="center"/>
              <w:textAlignment w:val="auto"/>
              <w:rPr>
                <w:rFonts w:hint="default" w:ascii="宋体" w:hAnsi="宋体" w:eastAsia="宋体" w:cs="宋体"/>
                <w:snapToGrid/>
                <w:color w:val="000000"/>
                <w:kern w:val="0"/>
                <w:sz w:val="21"/>
                <w:szCs w:val="21"/>
                <w:highlight w:val="none"/>
                <w:lang w:val="en-US" w:eastAsia="zh-CN" w:bidi="ar-SA"/>
              </w:rPr>
            </w:pPr>
            <w:r>
              <w:rPr>
                <w:rFonts w:hint="eastAsia" w:ascii="宋体" w:hAnsi="宋体" w:cs="宋体"/>
                <w:snapToGrid/>
                <w:color w:val="000000"/>
                <w:kern w:val="0"/>
                <w:sz w:val="21"/>
                <w:szCs w:val="21"/>
                <w:highlight w:val="none"/>
                <w:lang w:val="en-US" w:eastAsia="zh-CN" w:bidi="ar-SA"/>
              </w:rPr>
              <w:t>22000</w:t>
            </w:r>
          </w:p>
        </w:tc>
        <w:tc>
          <w:tcPr>
            <w:tcW w:w="466"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ind w:firstLine="420"/>
              <w:jc w:val="both"/>
              <w:textAlignment w:val="auto"/>
              <w:rPr>
                <w:rFonts w:hint="eastAsia" w:ascii="宋体" w:hAnsi="宋体" w:eastAsia="宋体" w:cs="宋体"/>
                <w:snapToGrid/>
                <w:color w:val="000000"/>
                <w:kern w:val="0"/>
                <w:sz w:val="21"/>
                <w:szCs w:val="21"/>
                <w:highlight w:val="none"/>
                <w:lang w:val="en-US" w:eastAsia="zh-CN" w:bidi="ar-SA"/>
              </w:rPr>
            </w:pPr>
          </w:p>
        </w:tc>
        <w:tc>
          <w:tcPr>
            <w:tcW w:w="467"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ind w:firstLine="420"/>
              <w:jc w:val="both"/>
              <w:textAlignment w:val="auto"/>
              <w:rPr>
                <w:rFonts w:hint="eastAsia" w:ascii="宋体" w:hAnsi="宋体" w:eastAsia="宋体" w:cs="宋体"/>
                <w:snapToGrid/>
                <w:color w:val="000000"/>
                <w:kern w:val="0"/>
                <w:sz w:val="21"/>
                <w:szCs w:val="21"/>
                <w:highlight w:val="none"/>
                <w:lang w:val="en-US" w:eastAsia="zh-CN" w:bidi="ar-SA"/>
              </w:rPr>
            </w:pPr>
          </w:p>
        </w:tc>
      </w:tr>
      <w:tr>
        <w:tblPrEx>
          <w:tblCellMar>
            <w:top w:w="0" w:type="dxa"/>
            <w:left w:w="0" w:type="dxa"/>
            <w:bottom w:w="0" w:type="dxa"/>
            <w:right w:w="0" w:type="dxa"/>
          </w:tblCellMar>
        </w:tblPrEx>
        <w:trPr>
          <w:trHeight w:val="869" w:hRule="atLeast"/>
          <w:jc w:val="center"/>
        </w:trPr>
        <w:tc>
          <w:tcPr>
            <w:tcW w:w="345"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360" w:lineRule="auto"/>
              <w:jc w:val="center"/>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cs="宋体"/>
                <w:snapToGrid/>
                <w:color w:val="000000"/>
                <w:kern w:val="0"/>
                <w:sz w:val="21"/>
                <w:szCs w:val="21"/>
                <w:highlight w:val="none"/>
                <w:lang w:val="en-US" w:eastAsia="zh-CN" w:bidi="ar-SA"/>
              </w:rPr>
              <w:t>5</w:t>
            </w:r>
          </w:p>
        </w:tc>
        <w:tc>
          <w:tcPr>
            <w:tcW w:w="659"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jc w:val="center"/>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基因库</w:t>
            </w:r>
          </w:p>
        </w:tc>
        <w:tc>
          <w:tcPr>
            <w:tcW w:w="2177"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spacing w:line="240" w:lineRule="auto"/>
              <w:rPr>
                <w:rFonts w:hint="eastAsia" w:ascii="宋体" w:hAnsi="宋体" w:eastAsia="宋体" w:cs="宋体"/>
                <w:szCs w:val="21"/>
                <w:lang w:val="en-US" w:eastAsia="zh-CN"/>
              </w:rPr>
            </w:pPr>
            <w:r>
              <w:rPr>
                <w:rFonts w:hint="eastAsia" w:ascii="宋体" w:hAnsi="宋体" w:eastAsia="宋体" w:cs="宋体"/>
                <w:szCs w:val="21"/>
                <w:lang w:val="en-US" w:eastAsia="zh-CN"/>
              </w:rPr>
              <w:t>36个品种的继代繁殖和饲养，要求饲养、保洁、全年保存品种的生产性能数据记录登记、归档。</w:t>
            </w:r>
          </w:p>
        </w:tc>
        <w:tc>
          <w:tcPr>
            <w:tcW w:w="417"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jc w:val="center"/>
              <w:textAlignment w:val="auto"/>
              <w:rPr>
                <w:rFonts w:hint="default" w:ascii="宋体" w:hAnsi="宋体" w:cs="宋体"/>
                <w:snapToGrid/>
                <w:color w:val="000000"/>
                <w:kern w:val="0"/>
                <w:sz w:val="21"/>
                <w:szCs w:val="21"/>
                <w:highlight w:val="none"/>
                <w:lang w:val="en-US" w:eastAsia="zh-CN" w:bidi="ar-SA"/>
              </w:rPr>
            </w:pPr>
            <w:r>
              <w:rPr>
                <w:rFonts w:hint="eastAsia" w:ascii="宋体" w:hAnsi="宋体" w:cs="宋体"/>
                <w:snapToGrid/>
                <w:color w:val="000000"/>
                <w:kern w:val="0"/>
                <w:sz w:val="21"/>
                <w:szCs w:val="21"/>
                <w:highlight w:val="none"/>
                <w:lang w:val="en-US" w:eastAsia="zh-CN" w:bidi="ar-SA"/>
              </w:rPr>
              <w:t>个</w:t>
            </w:r>
          </w:p>
        </w:tc>
        <w:tc>
          <w:tcPr>
            <w:tcW w:w="466"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jc w:val="center"/>
              <w:textAlignment w:val="auto"/>
              <w:rPr>
                <w:rFonts w:hint="default" w:ascii="宋体" w:hAnsi="宋体" w:eastAsia="宋体" w:cs="宋体"/>
                <w:snapToGrid/>
                <w:color w:val="000000"/>
                <w:kern w:val="0"/>
                <w:sz w:val="21"/>
                <w:szCs w:val="21"/>
                <w:highlight w:val="none"/>
                <w:lang w:val="en-US" w:eastAsia="zh-CN" w:bidi="ar-SA"/>
              </w:rPr>
            </w:pPr>
            <w:r>
              <w:rPr>
                <w:rFonts w:hint="eastAsia" w:ascii="宋体" w:hAnsi="宋体" w:cs="宋体"/>
                <w:snapToGrid/>
                <w:color w:val="000000"/>
                <w:kern w:val="0"/>
                <w:sz w:val="21"/>
                <w:szCs w:val="21"/>
                <w:highlight w:val="none"/>
                <w:lang w:val="en-US" w:eastAsia="zh-CN" w:bidi="ar-SA"/>
              </w:rPr>
              <w:t>36</w:t>
            </w:r>
          </w:p>
        </w:tc>
        <w:tc>
          <w:tcPr>
            <w:tcW w:w="466"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ind w:firstLine="420"/>
              <w:jc w:val="both"/>
              <w:textAlignment w:val="auto"/>
              <w:rPr>
                <w:rFonts w:hint="eastAsia" w:ascii="宋体" w:hAnsi="宋体" w:eastAsia="宋体" w:cs="宋体"/>
                <w:snapToGrid/>
                <w:color w:val="000000"/>
                <w:kern w:val="0"/>
                <w:sz w:val="21"/>
                <w:szCs w:val="21"/>
                <w:highlight w:val="none"/>
                <w:lang w:val="en-US" w:eastAsia="zh-CN" w:bidi="ar-SA"/>
              </w:rPr>
            </w:pPr>
          </w:p>
        </w:tc>
        <w:tc>
          <w:tcPr>
            <w:tcW w:w="467"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ind w:firstLine="420"/>
              <w:jc w:val="both"/>
              <w:textAlignment w:val="auto"/>
              <w:rPr>
                <w:rFonts w:hint="eastAsia" w:ascii="宋体" w:hAnsi="宋体" w:eastAsia="宋体" w:cs="宋体"/>
                <w:snapToGrid/>
                <w:color w:val="000000"/>
                <w:kern w:val="0"/>
                <w:sz w:val="21"/>
                <w:szCs w:val="21"/>
                <w:highlight w:val="none"/>
                <w:lang w:val="en-US" w:eastAsia="zh-CN" w:bidi="ar-SA"/>
              </w:rPr>
            </w:pPr>
          </w:p>
        </w:tc>
      </w:tr>
      <w:tr>
        <w:tblPrEx>
          <w:tblCellMar>
            <w:top w:w="0" w:type="dxa"/>
            <w:left w:w="0" w:type="dxa"/>
            <w:bottom w:w="0" w:type="dxa"/>
            <w:right w:w="0" w:type="dxa"/>
          </w:tblCellMar>
        </w:tblPrEx>
        <w:trPr>
          <w:trHeight w:val="705" w:hRule="atLeast"/>
          <w:jc w:val="center"/>
        </w:trPr>
        <w:tc>
          <w:tcPr>
            <w:tcW w:w="345"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360" w:lineRule="auto"/>
              <w:jc w:val="center"/>
              <w:textAlignment w:val="auto"/>
              <w:rPr>
                <w:rFonts w:hint="default" w:ascii="宋体" w:hAnsi="宋体" w:eastAsia="宋体" w:cs="宋体"/>
                <w:snapToGrid/>
                <w:color w:val="000000"/>
                <w:kern w:val="0"/>
                <w:sz w:val="21"/>
                <w:szCs w:val="21"/>
                <w:highlight w:val="none"/>
                <w:lang w:val="en-US" w:eastAsia="zh-CN" w:bidi="ar-SA"/>
              </w:rPr>
            </w:pPr>
            <w:r>
              <w:rPr>
                <w:rFonts w:hint="eastAsia" w:ascii="宋体" w:hAnsi="宋体" w:cs="宋体"/>
                <w:snapToGrid/>
                <w:color w:val="000000"/>
                <w:kern w:val="0"/>
                <w:sz w:val="21"/>
                <w:szCs w:val="21"/>
                <w:highlight w:val="none"/>
                <w:lang w:val="en-US" w:eastAsia="zh-CN" w:bidi="ar-SA"/>
              </w:rPr>
              <w:t>6</w:t>
            </w:r>
          </w:p>
        </w:tc>
        <w:tc>
          <w:tcPr>
            <w:tcW w:w="659"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jc w:val="center"/>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邵伯、月塘基地</w:t>
            </w:r>
          </w:p>
        </w:tc>
        <w:tc>
          <w:tcPr>
            <w:tcW w:w="2177"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spacing w:line="240" w:lineRule="auto"/>
              <w:rPr>
                <w:rFonts w:hint="eastAsia" w:ascii="宋体" w:hAnsi="宋体" w:eastAsia="宋体" w:cs="宋体"/>
                <w:szCs w:val="21"/>
                <w:lang w:val="en-US" w:eastAsia="zh-CN"/>
              </w:rPr>
            </w:pPr>
            <w:r>
              <w:rPr>
                <w:rFonts w:hint="eastAsia" w:ascii="宋体" w:hAnsi="宋体" w:eastAsia="宋体" w:cs="宋体"/>
                <w:szCs w:val="21"/>
                <w:lang w:val="en-US" w:eastAsia="zh-CN"/>
              </w:rPr>
              <w:t>8小时工作值班，熟悉养殖工序、基地后勤保障，综合管理等事项</w:t>
            </w:r>
            <w:r>
              <w:rPr>
                <w:rFonts w:hint="eastAsia" w:ascii="宋体" w:hAnsi="宋体" w:cs="宋体"/>
                <w:szCs w:val="21"/>
                <w:lang w:val="en-US" w:eastAsia="zh-CN"/>
              </w:rPr>
              <w:t>。</w:t>
            </w:r>
          </w:p>
        </w:tc>
        <w:tc>
          <w:tcPr>
            <w:tcW w:w="417"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jc w:val="center"/>
              <w:textAlignment w:val="auto"/>
              <w:rPr>
                <w:rFonts w:hint="default" w:ascii="宋体" w:hAnsi="宋体" w:cs="宋体"/>
                <w:snapToGrid/>
                <w:color w:val="000000"/>
                <w:kern w:val="0"/>
                <w:sz w:val="21"/>
                <w:szCs w:val="21"/>
                <w:highlight w:val="none"/>
                <w:lang w:val="en-US" w:eastAsia="zh-CN" w:bidi="ar-SA"/>
              </w:rPr>
            </w:pPr>
            <w:r>
              <w:rPr>
                <w:rFonts w:hint="eastAsia" w:ascii="宋体" w:hAnsi="宋体" w:cs="宋体"/>
                <w:snapToGrid/>
                <w:color w:val="000000"/>
                <w:kern w:val="0"/>
                <w:sz w:val="21"/>
                <w:szCs w:val="21"/>
                <w:highlight w:val="none"/>
                <w:lang w:val="en-US" w:eastAsia="zh-CN" w:bidi="ar-SA"/>
              </w:rPr>
              <w:t>亩</w:t>
            </w:r>
          </w:p>
        </w:tc>
        <w:tc>
          <w:tcPr>
            <w:tcW w:w="466"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jc w:val="center"/>
              <w:textAlignment w:val="auto"/>
              <w:rPr>
                <w:rFonts w:hint="default" w:ascii="宋体" w:hAnsi="宋体" w:eastAsia="宋体" w:cs="宋体"/>
                <w:snapToGrid/>
                <w:color w:val="000000"/>
                <w:kern w:val="0"/>
                <w:sz w:val="21"/>
                <w:szCs w:val="21"/>
                <w:highlight w:val="none"/>
                <w:lang w:val="en-US" w:eastAsia="zh-CN" w:bidi="ar-SA"/>
              </w:rPr>
            </w:pPr>
            <w:r>
              <w:rPr>
                <w:rFonts w:hint="eastAsia" w:ascii="宋体" w:hAnsi="宋体" w:cs="宋体"/>
                <w:snapToGrid/>
                <w:color w:val="000000"/>
                <w:kern w:val="0"/>
                <w:sz w:val="21"/>
                <w:szCs w:val="21"/>
                <w:highlight w:val="none"/>
                <w:lang w:val="en-US" w:eastAsia="zh-CN" w:bidi="ar-SA"/>
              </w:rPr>
              <w:t>500</w:t>
            </w:r>
          </w:p>
        </w:tc>
        <w:tc>
          <w:tcPr>
            <w:tcW w:w="466"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jc w:val="both"/>
              <w:textAlignment w:val="auto"/>
              <w:rPr>
                <w:rFonts w:hint="eastAsia" w:ascii="宋体" w:hAnsi="宋体" w:eastAsia="宋体" w:cs="宋体"/>
                <w:snapToGrid/>
                <w:color w:val="000000"/>
                <w:kern w:val="0"/>
                <w:sz w:val="21"/>
                <w:szCs w:val="21"/>
                <w:highlight w:val="none"/>
                <w:lang w:val="en-US" w:eastAsia="zh-CN" w:bidi="ar-SA"/>
              </w:rPr>
            </w:pPr>
          </w:p>
        </w:tc>
        <w:tc>
          <w:tcPr>
            <w:tcW w:w="467"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jc w:val="both"/>
              <w:textAlignment w:val="auto"/>
              <w:rPr>
                <w:rFonts w:hint="eastAsia" w:ascii="宋体" w:hAnsi="宋体" w:eastAsia="宋体" w:cs="宋体"/>
                <w:snapToGrid/>
                <w:color w:val="000000"/>
                <w:kern w:val="0"/>
                <w:sz w:val="21"/>
                <w:szCs w:val="21"/>
                <w:highlight w:val="none"/>
                <w:lang w:val="en-US" w:eastAsia="zh-CN" w:bidi="ar-SA"/>
              </w:rPr>
            </w:pPr>
          </w:p>
        </w:tc>
      </w:tr>
      <w:tr>
        <w:tblPrEx>
          <w:tblCellMar>
            <w:top w:w="0" w:type="dxa"/>
            <w:left w:w="0" w:type="dxa"/>
            <w:bottom w:w="0" w:type="dxa"/>
            <w:right w:w="0" w:type="dxa"/>
          </w:tblCellMar>
        </w:tblPrEx>
        <w:trPr>
          <w:trHeight w:val="735" w:hRule="atLeast"/>
          <w:jc w:val="center"/>
        </w:trPr>
        <w:tc>
          <w:tcPr>
            <w:tcW w:w="345"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360" w:lineRule="auto"/>
              <w:jc w:val="center"/>
              <w:textAlignment w:val="auto"/>
              <w:rPr>
                <w:rFonts w:hint="default" w:ascii="宋体" w:hAnsi="宋体" w:eastAsia="宋体" w:cs="宋体"/>
                <w:snapToGrid/>
                <w:color w:val="000000"/>
                <w:kern w:val="0"/>
                <w:sz w:val="21"/>
                <w:szCs w:val="21"/>
                <w:highlight w:val="none"/>
                <w:lang w:val="en-US" w:eastAsia="zh-CN" w:bidi="ar-SA"/>
              </w:rPr>
            </w:pPr>
            <w:r>
              <w:rPr>
                <w:rFonts w:hint="eastAsia" w:ascii="宋体" w:hAnsi="宋体" w:cs="宋体"/>
                <w:snapToGrid/>
                <w:color w:val="000000"/>
                <w:kern w:val="0"/>
                <w:sz w:val="21"/>
                <w:szCs w:val="21"/>
                <w:highlight w:val="none"/>
                <w:lang w:val="en-US" w:eastAsia="zh-CN" w:bidi="ar-SA"/>
              </w:rPr>
              <w:t>7</w:t>
            </w:r>
          </w:p>
        </w:tc>
        <w:tc>
          <w:tcPr>
            <w:tcW w:w="659"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jc w:val="center"/>
              <w:textAlignment w:val="auto"/>
              <w:rPr>
                <w:rFonts w:hint="eastAsia" w:ascii="宋体" w:hAnsi="宋体" w:eastAsia="宋体" w:cs="宋体"/>
                <w:snapToGrid/>
                <w:color w:val="000000"/>
                <w:kern w:val="0"/>
                <w:sz w:val="21"/>
                <w:szCs w:val="21"/>
                <w:highlight w:val="none"/>
                <w:lang w:val="en-US" w:eastAsia="zh-CN" w:bidi="ar-SA"/>
              </w:rPr>
            </w:pPr>
            <w:r>
              <w:rPr>
                <w:rFonts w:hint="eastAsia" w:ascii="宋体" w:hAnsi="宋体" w:eastAsia="宋体" w:cs="宋体"/>
                <w:snapToGrid/>
                <w:color w:val="000000"/>
                <w:kern w:val="0"/>
                <w:sz w:val="21"/>
                <w:szCs w:val="21"/>
                <w:highlight w:val="none"/>
                <w:lang w:val="en-US" w:eastAsia="zh-CN" w:bidi="ar-SA"/>
              </w:rPr>
              <w:t>邵伯、月塘基地</w:t>
            </w:r>
          </w:p>
        </w:tc>
        <w:tc>
          <w:tcPr>
            <w:tcW w:w="2177"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spacing w:line="240" w:lineRule="auto"/>
              <w:rPr>
                <w:rFonts w:hint="eastAsia" w:ascii="宋体" w:hAnsi="宋体" w:eastAsia="宋体" w:cs="宋体"/>
                <w:szCs w:val="21"/>
                <w:lang w:val="en-US" w:eastAsia="zh-CN"/>
              </w:rPr>
            </w:pPr>
            <w:r>
              <w:rPr>
                <w:rFonts w:hint="eastAsia" w:ascii="宋体" w:hAnsi="宋体" w:eastAsia="宋体" w:cs="宋体"/>
                <w:szCs w:val="21"/>
                <w:lang w:val="en-US" w:eastAsia="zh-CN"/>
              </w:rPr>
              <w:t>8小时工作值班，平常水电维修，应急维护和操作发电机组，应急管理等事项</w:t>
            </w:r>
            <w:r>
              <w:rPr>
                <w:rFonts w:hint="eastAsia" w:ascii="宋体" w:hAnsi="宋体" w:cs="宋体"/>
                <w:szCs w:val="21"/>
                <w:lang w:val="en-US" w:eastAsia="zh-CN"/>
              </w:rPr>
              <w:t>。</w:t>
            </w:r>
          </w:p>
        </w:tc>
        <w:tc>
          <w:tcPr>
            <w:tcW w:w="417"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jc w:val="center"/>
              <w:textAlignment w:val="auto"/>
              <w:rPr>
                <w:rFonts w:hint="eastAsia" w:ascii="宋体" w:hAnsi="宋体" w:cs="宋体"/>
                <w:snapToGrid/>
                <w:color w:val="000000"/>
                <w:kern w:val="0"/>
                <w:sz w:val="21"/>
                <w:szCs w:val="21"/>
                <w:highlight w:val="none"/>
                <w:lang w:val="en-US" w:eastAsia="zh-CN" w:bidi="ar-SA"/>
              </w:rPr>
            </w:pPr>
            <w:r>
              <w:rPr>
                <w:rFonts w:hint="eastAsia" w:ascii="宋体" w:hAnsi="宋体" w:cs="宋体"/>
                <w:snapToGrid/>
                <w:color w:val="000000"/>
                <w:kern w:val="0"/>
                <w:sz w:val="21"/>
                <w:szCs w:val="21"/>
                <w:highlight w:val="none"/>
                <w:lang w:val="en-US" w:eastAsia="zh-CN" w:bidi="ar-SA"/>
              </w:rPr>
              <w:t>亩</w:t>
            </w:r>
          </w:p>
        </w:tc>
        <w:tc>
          <w:tcPr>
            <w:tcW w:w="466"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jc w:val="center"/>
              <w:textAlignment w:val="auto"/>
              <w:rPr>
                <w:rFonts w:hint="default" w:ascii="宋体" w:hAnsi="宋体" w:eastAsia="宋体" w:cs="宋体"/>
                <w:snapToGrid/>
                <w:color w:val="000000"/>
                <w:kern w:val="0"/>
                <w:sz w:val="21"/>
                <w:szCs w:val="21"/>
                <w:highlight w:val="none"/>
                <w:lang w:val="en-US" w:eastAsia="zh-CN" w:bidi="ar-SA"/>
              </w:rPr>
            </w:pPr>
            <w:r>
              <w:rPr>
                <w:rFonts w:hint="eastAsia" w:ascii="宋体" w:hAnsi="宋体" w:cs="宋体"/>
                <w:snapToGrid/>
                <w:color w:val="000000"/>
                <w:kern w:val="0"/>
                <w:sz w:val="21"/>
                <w:szCs w:val="21"/>
                <w:highlight w:val="none"/>
                <w:lang w:val="en-US" w:eastAsia="zh-CN" w:bidi="ar-SA"/>
              </w:rPr>
              <w:t>500</w:t>
            </w:r>
          </w:p>
        </w:tc>
        <w:tc>
          <w:tcPr>
            <w:tcW w:w="466"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jc w:val="both"/>
              <w:textAlignment w:val="auto"/>
              <w:rPr>
                <w:rFonts w:hint="eastAsia" w:ascii="宋体" w:hAnsi="宋体" w:eastAsia="宋体" w:cs="宋体"/>
                <w:snapToGrid/>
                <w:color w:val="000000"/>
                <w:kern w:val="0"/>
                <w:sz w:val="21"/>
                <w:szCs w:val="21"/>
                <w:highlight w:val="none"/>
                <w:lang w:val="en-US" w:eastAsia="zh-CN" w:bidi="ar-SA"/>
              </w:rPr>
            </w:pPr>
          </w:p>
        </w:tc>
        <w:tc>
          <w:tcPr>
            <w:tcW w:w="467"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jc w:val="both"/>
              <w:textAlignment w:val="auto"/>
              <w:rPr>
                <w:rFonts w:hint="eastAsia" w:ascii="宋体" w:hAnsi="宋体" w:eastAsia="宋体" w:cs="宋体"/>
                <w:snapToGrid/>
                <w:color w:val="000000"/>
                <w:kern w:val="0"/>
                <w:sz w:val="21"/>
                <w:szCs w:val="21"/>
                <w:highlight w:val="none"/>
                <w:lang w:val="en-US" w:eastAsia="zh-CN" w:bidi="ar-SA"/>
              </w:rPr>
            </w:pPr>
          </w:p>
        </w:tc>
      </w:tr>
      <w:tr>
        <w:tblPrEx>
          <w:tblCellMar>
            <w:top w:w="0" w:type="dxa"/>
            <w:left w:w="0" w:type="dxa"/>
            <w:bottom w:w="0" w:type="dxa"/>
            <w:right w:w="0" w:type="dxa"/>
          </w:tblCellMar>
        </w:tblPrEx>
        <w:trPr>
          <w:trHeight w:val="768" w:hRule="atLeast"/>
          <w:jc w:val="center"/>
        </w:trPr>
        <w:tc>
          <w:tcPr>
            <w:tcW w:w="345"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360" w:lineRule="auto"/>
              <w:jc w:val="center"/>
              <w:textAlignment w:val="auto"/>
              <w:rPr>
                <w:rFonts w:hint="default" w:ascii="宋体" w:hAnsi="宋体" w:eastAsia="宋体" w:cs="宋体"/>
                <w:snapToGrid/>
                <w:color w:val="000000"/>
                <w:kern w:val="0"/>
                <w:sz w:val="21"/>
                <w:szCs w:val="21"/>
                <w:highlight w:val="none"/>
                <w:lang w:val="en-US" w:eastAsia="zh-CN" w:bidi="ar-SA"/>
              </w:rPr>
            </w:pPr>
            <w:r>
              <w:rPr>
                <w:rFonts w:hint="eastAsia" w:ascii="宋体" w:hAnsi="宋体" w:cs="宋体"/>
                <w:snapToGrid/>
                <w:color w:val="000000"/>
                <w:kern w:val="0"/>
                <w:sz w:val="21"/>
                <w:szCs w:val="21"/>
                <w:highlight w:val="none"/>
                <w:lang w:val="en-US" w:eastAsia="zh-CN" w:bidi="ar-SA"/>
              </w:rPr>
              <w:t>8</w:t>
            </w:r>
          </w:p>
        </w:tc>
        <w:tc>
          <w:tcPr>
            <w:tcW w:w="2836" w:type="pct"/>
            <w:gridSpan w:val="2"/>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spacing w:line="240" w:lineRule="auto"/>
              <w:jc w:val="center"/>
              <w:rPr>
                <w:rFonts w:hint="eastAsia" w:ascii="宋体" w:hAnsi="宋体" w:eastAsia="宋体" w:cs="宋体"/>
                <w:szCs w:val="21"/>
                <w:lang w:val="en-US" w:eastAsia="zh-CN"/>
              </w:rPr>
            </w:pPr>
            <w:r>
              <w:rPr>
                <w:rFonts w:hint="eastAsia" w:ascii="宋体" w:hAnsi="宋体" w:cs="宋体"/>
                <w:snapToGrid/>
                <w:color w:val="000000"/>
                <w:kern w:val="0"/>
                <w:sz w:val="21"/>
                <w:szCs w:val="21"/>
                <w:highlight w:val="none"/>
                <w:lang w:val="en-US" w:eastAsia="zh-CN" w:bidi="ar-SA"/>
              </w:rPr>
              <w:t>合计（人民币：元）</w:t>
            </w:r>
          </w:p>
        </w:tc>
        <w:tc>
          <w:tcPr>
            <w:tcW w:w="1817" w:type="pct"/>
            <w:gridSpan w:val="4"/>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pPr>
              <w:keepNext w:val="0"/>
              <w:keepLines w:val="0"/>
              <w:pageBreakBefore w:val="0"/>
              <w:widowControl w:val="0"/>
              <w:kinsoku/>
              <w:autoSpaceDE/>
              <w:autoSpaceDN/>
              <w:adjustRightInd/>
              <w:snapToGrid/>
              <w:spacing w:line="240" w:lineRule="auto"/>
              <w:jc w:val="both"/>
              <w:textAlignment w:val="auto"/>
              <w:rPr>
                <w:rFonts w:hint="eastAsia" w:ascii="宋体" w:hAnsi="宋体" w:eastAsia="宋体" w:cs="宋体"/>
                <w:snapToGrid/>
                <w:color w:val="000000"/>
                <w:kern w:val="0"/>
                <w:sz w:val="21"/>
                <w:szCs w:val="21"/>
                <w:highlight w:val="none"/>
                <w:lang w:val="en-US" w:eastAsia="zh-CN" w:bidi="ar-SA"/>
              </w:rPr>
            </w:pPr>
          </w:p>
        </w:tc>
      </w:tr>
    </w:tbl>
    <w:p>
      <w:pPr>
        <w:spacing w:line="360" w:lineRule="auto"/>
        <w:rPr>
          <w:rFonts w:hint="eastAsia" w:ascii="宋体" w:hAnsi="宋体"/>
          <w:color w:val="000000"/>
          <w:szCs w:val="21"/>
        </w:rPr>
      </w:pPr>
    </w:p>
    <w:p>
      <w:pPr>
        <w:spacing w:line="360" w:lineRule="auto"/>
        <w:ind w:firstLine="210" w:firstLineChars="100"/>
        <w:rPr>
          <w:rFonts w:hint="eastAsia" w:ascii="宋体" w:hAnsi="宋体" w:cs="宋体"/>
          <w:szCs w:val="21"/>
        </w:rPr>
      </w:pPr>
      <w:r>
        <w:rPr>
          <w:rFonts w:hint="eastAsia" w:ascii="宋体" w:hAnsi="宋体"/>
          <w:color w:val="000000"/>
          <w:szCs w:val="21"/>
        </w:rPr>
        <w:t>供应商全称（加盖CA电子公章）：</w:t>
      </w:r>
    </w:p>
    <w:p>
      <w:pPr>
        <w:spacing w:before="240" w:line="360" w:lineRule="auto"/>
        <w:jc w:val="right"/>
        <w:rPr>
          <w:rFonts w:hint="eastAsia" w:ascii="宋体" w:hAnsi="宋体"/>
          <w:color w:val="000000"/>
          <w:szCs w:val="21"/>
        </w:rPr>
      </w:pPr>
      <w:r>
        <w:rPr>
          <w:rFonts w:hint="eastAsia" w:ascii="宋体" w:hAnsi="宋体"/>
          <w:color w:val="000000"/>
          <w:szCs w:val="21"/>
        </w:rPr>
        <w:t>日期：    年   月    日</w:t>
      </w:r>
    </w:p>
    <w:p>
      <w:pPr>
        <w:spacing w:before="240" w:line="360" w:lineRule="auto"/>
        <w:rPr>
          <w:rFonts w:ascii="宋体" w:hAnsi="宋体" w:cs="宋体"/>
          <w:szCs w:val="21"/>
        </w:rPr>
      </w:pPr>
      <w:r>
        <w:rPr>
          <w:rFonts w:hint="eastAsia" w:ascii="宋体" w:hAnsi="宋体" w:cs="宋体"/>
          <w:szCs w:val="21"/>
        </w:rPr>
        <w:t>备注：</w:t>
      </w:r>
      <w:r>
        <w:rPr>
          <w:rFonts w:ascii="宋体" w:hAnsi="宋体" w:cs="宋体"/>
          <w:szCs w:val="21"/>
        </w:rPr>
        <w:t xml:space="preserve"> </w:t>
      </w:r>
    </w:p>
    <w:p>
      <w:pPr>
        <w:spacing w:line="360" w:lineRule="auto"/>
        <w:ind w:firstLine="420" w:firstLineChars="200"/>
        <w:jc w:val="left"/>
        <w:rPr>
          <w:rFonts w:hint="eastAsia" w:ascii="宋体" w:hAnsi="宋体" w:eastAsia="宋体" w:cs="Times New Roman"/>
          <w:color w:val="000000"/>
          <w:szCs w:val="21"/>
        </w:rPr>
      </w:pPr>
      <w:r>
        <w:rPr>
          <w:rFonts w:hint="eastAsia" w:ascii="宋体" w:hAnsi="宋体" w:eastAsia="宋体" w:cs="Times New Roman"/>
          <w:color w:val="000000"/>
          <w:szCs w:val="21"/>
        </w:rPr>
        <w:t>1、所有报价（含各分项报价）必须符合国家法律法规及本次磋商文件要求。</w:t>
      </w:r>
    </w:p>
    <w:p>
      <w:pPr>
        <w:spacing w:line="360" w:lineRule="auto"/>
        <w:ind w:firstLine="420" w:firstLineChars="200"/>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2、如果按单价计算的结果与总价不一致，以单价为准修正总价。         </w:t>
      </w:r>
    </w:p>
    <w:p>
      <w:pPr>
        <w:spacing w:line="360" w:lineRule="auto"/>
        <w:jc w:val="left"/>
        <w:rPr>
          <w:rFonts w:hint="eastAsia" w:ascii="宋体" w:hAnsi="宋体" w:eastAsia="宋体"/>
          <w:color w:val="000000"/>
          <w:lang w:eastAsia="zh-CN"/>
        </w:rPr>
      </w:pP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 </w:t>
      </w:r>
      <w:r>
        <w:rPr>
          <w:rFonts w:hint="eastAsia" w:ascii="宋体" w:hAnsi="宋体"/>
          <w:color w:val="000000"/>
          <w:szCs w:val="21"/>
          <w:lang w:val="en-US" w:eastAsia="zh-CN"/>
        </w:rPr>
        <w:t>3</w:t>
      </w:r>
      <w:r>
        <w:rPr>
          <w:rFonts w:hint="eastAsia" w:ascii="宋体" w:hAnsi="宋体"/>
          <w:color w:val="000000"/>
          <w:szCs w:val="21"/>
        </w:rPr>
        <w:t>、服务费用单独列明，必须明确具体金额，否则磋商可能会被拒绝</w:t>
      </w:r>
      <w:r>
        <w:rPr>
          <w:rFonts w:hint="eastAsia" w:ascii="宋体" w:hAnsi="宋体"/>
          <w:color w:val="000000"/>
          <w:szCs w:val="21"/>
          <w:lang w:eastAsia="zh-CN"/>
        </w:rPr>
        <w:t>。</w:t>
      </w:r>
    </w:p>
    <w:p>
      <w:pPr>
        <w:spacing w:line="360" w:lineRule="auto"/>
        <w:ind w:firstLine="420" w:firstLineChars="200"/>
        <w:rPr>
          <w:rFonts w:hint="eastAsia" w:ascii="宋体" w:hAnsi="宋体" w:eastAsia="宋体"/>
          <w:color w:val="000000"/>
          <w:szCs w:val="21"/>
          <w:lang w:eastAsia="zh-CN"/>
        </w:rPr>
      </w:pPr>
      <w:r>
        <w:rPr>
          <w:rFonts w:hint="eastAsia" w:ascii="宋体" w:hAnsi="宋体"/>
          <w:color w:val="000000"/>
          <w:szCs w:val="21"/>
          <w:lang w:val="en-US" w:eastAsia="zh-CN"/>
        </w:rPr>
        <w:t>4</w:t>
      </w:r>
      <w:r>
        <w:rPr>
          <w:rFonts w:hint="eastAsia" w:ascii="宋体" w:hAnsi="宋体"/>
          <w:color w:val="000000"/>
          <w:szCs w:val="21"/>
        </w:rPr>
        <w:t>、如果不提供分项报价将视为没有实质性响应招标文件</w:t>
      </w:r>
      <w:r>
        <w:rPr>
          <w:rFonts w:hint="eastAsia" w:ascii="宋体" w:hAnsi="宋体"/>
          <w:color w:val="000000"/>
          <w:szCs w:val="21"/>
          <w:lang w:eastAsia="zh-CN"/>
        </w:rPr>
        <w:t>。</w:t>
      </w:r>
    </w:p>
    <w:p>
      <w:pPr>
        <w:spacing w:line="360" w:lineRule="auto"/>
        <w:ind w:firstLine="420" w:firstLineChars="200"/>
        <w:rPr>
          <w:rFonts w:hint="eastAsia" w:ascii="宋体" w:hAnsi="宋体"/>
          <w:color w:val="000000"/>
          <w:szCs w:val="21"/>
        </w:rPr>
      </w:pPr>
      <w:r>
        <w:rPr>
          <w:rFonts w:hint="eastAsia" w:ascii="宋体" w:hAnsi="宋体"/>
          <w:color w:val="000000"/>
          <w:szCs w:val="21"/>
          <w:lang w:val="en-US" w:eastAsia="zh-CN"/>
        </w:rPr>
        <w:t>5、</w:t>
      </w:r>
      <w:r>
        <w:rPr>
          <w:rFonts w:hint="eastAsia" w:ascii="宋体" w:hAnsi="宋体"/>
          <w:color w:val="000000"/>
          <w:szCs w:val="21"/>
        </w:rPr>
        <w:t>报价应为供应商全年综合报价。</w:t>
      </w:r>
    </w:p>
    <w:p>
      <w:pPr>
        <w:spacing w:line="360" w:lineRule="auto"/>
        <w:ind w:firstLine="420" w:firstLineChars="200"/>
        <w:jc w:val="left"/>
        <w:rPr>
          <w:rFonts w:hint="eastAsia" w:ascii="宋体" w:hAnsi="宋体" w:eastAsia="宋体" w:cs="Times New Roman"/>
          <w:color w:val="000000"/>
          <w:szCs w:val="21"/>
        </w:rPr>
      </w:pPr>
      <w:r>
        <w:rPr>
          <w:rFonts w:hint="eastAsia" w:ascii="宋体" w:hAnsi="宋体" w:eastAsia="宋体" w:cs="Times New Roman"/>
          <w:color w:val="000000"/>
          <w:szCs w:val="21"/>
          <w:lang w:val="en-US" w:eastAsia="zh-CN"/>
        </w:rPr>
        <w:t>6</w:t>
      </w:r>
      <w:r>
        <w:rPr>
          <w:rFonts w:hint="eastAsia" w:ascii="宋体" w:hAnsi="宋体" w:eastAsia="宋体" w:cs="Times New Roman"/>
          <w:color w:val="000000"/>
          <w:szCs w:val="21"/>
        </w:rPr>
        <w:t>、供应商成交后根据本单位的最终总报价和首次明细报价，自行调整各明细单价（原则上除不可竞争费外，其他各分项报价同比例下浮），直至合价和最终总报价（保留两位小数）相符。</w:t>
      </w:r>
    </w:p>
    <w:p>
      <w:pPr>
        <w:spacing w:line="360" w:lineRule="auto"/>
        <w:rPr>
          <w:rFonts w:ascii="宋体" w:hAnsi="宋体"/>
          <w:sz w:val="24"/>
          <w:szCs w:val="24"/>
        </w:rPr>
      </w:pPr>
    </w:p>
    <w:p>
      <w:pPr>
        <w:jc w:val="center"/>
        <w:rPr>
          <w:rFonts w:ascii="黑体" w:hAnsi="黑体" w:eastAsia="黑体"/>
          <w:b/>
          <w:sz w:val="32"/>
          <w:szCs w:val="32"/>
        </w:rPr>
      </w:pPr>
      <w:r>
        <w:rPr>
          <w:rFonts w:hint="eastAsia" w:ascii="黑体" w:hAnsi="黑体" w:eastAsia="黑体"/>
          <w:b/>
          <w:color w:val="FF0000"/>
          <w:sz w:val="32"/>
          <w:szCs w:val="32"/>
        </w:rPr>
        <w:br w:type="page" w:clear="all"/>
      </w:r>
      <w:r>
        <w:rPr>
          <w:rFonts w:hint="eastAsia" w:ascii="黑体" w:hAnsi="黑体" w:eastAsia="黑体"/>
          <w:b/>
          <w:sz w:val="32"/>
          <w:szCs w:val="32"/>
        </w:rPr>
        <w:t>十</w:t>
      </w:r>
      <w:r>
        <w:rPr>
          <w:rFonts w:hint="eastAsia" w:ascii="黑体" w:hAnsi="黑体" w:eastAsia="黑体"/>
          <w:b/>
          <w:sz w:val="32"/>
          <w:szCs w:val="32"/>
          <w:lang w:val="en-US" w:eastAsia="zh-CN"/>
        </w:rPr>
        <w:t>四</w:t>
      </w:r>
      <w:r>
        <w:rPr>
          <w:rFonts w:hint="eastAsia" w:ascii="黑体" w:hAnsi="黑体" w:eastAsia="黑体"/>
          <w:b/>
          <w:sz w:val="32"/>
          <w:szCs w:val="32"/>
        </w:rPr>
        <w:t>、技术要求响应及偏离表</w:t>
      </w:r>
    </w:p>
    <w:p/>
    <w:tbl>
      <w:tblPr>
        <w:tblStyle w:val="4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
        <w:gridCol w:w="3058"/>
        <w:gridCol w:w="2651"/>
        <w:gridCol w:w="1216"/>
        <w:gridCol w:w="108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296" w:type="pct"/>
            <w:noWrap w:val="0"/>
            <w:vAlign w:val="center"/>
          </w:tcPr>
          <w:p>
            <w:pPr>
              <w:jc w:val="center"/>
              <w:rPr>
                <w:rFonts w:ascii="宋体" w:hAnsi="宋体" w:cs="宋体"/>
                <w:szCs w:val="21"/>
              </w:rPr>
            </w:pPr>
            <w:r>
              <w:rPr>
                <w:rFonts w:hint="eastAsia" w:ascii="宋体" w:hAnsi="宋体" w:cs="宋体"/>
                <w:szCs w:val="21"/>
              </w:rPr>
              <w:t>序号</w:t>
            </w:r>
          </w:p>
        </w:tc>
        <w:tc>
          <w:tcPr>
            <w:tcW w:w="1794" w:type="pct"/>
            <w:noWrap w:val="0"/>
            <w:vAlign w:val="center"/>
          </w:tcPr>
          <w:p>
            <w:pPr>
              <w:jc w:val="center"/>
              <w:rPr>
                <w:rFonts w:ascii="宋体" w:hAnsi="宋体" w:cs="宋体"/>
                <w:szCs w:val="21"/>
              </w:rPr>
            </w:pPr>
            <w:r>
              <w:rPr>
                <w:rFonts w:hint="eastAsia" w:ascii="宋体" w:hAnsi="宋体" w:cs="宋体"/>
                <w:szCs w:val="21"/>
              </w:rPr>
              <w:t>磋商文件要求</w:t>
            </w:r>
          </w:p>
        </w:tc>
        <w:tc>
          <w:tcPr>
            <w:tcW w:w="1555" w:type="pct"/>
            <w:noWrap w:val="0"/>
            <w:vAlign w:val="center"/>
          </w:tcPr>
          <w:p>
            <w:pPr>
              <w:jc w:val="center"/>
              <w:rPr>
                <w:rFonts w:ascii="宋体" w:hAnsi="宋体" w:cs="宋体"/>
                <w:szCs w:val="21"/>
              </w:rPr>
            </w:pPr>
            <w:r>
              <w:rPr>
                <w:rFonts w:hint="eastAsia" w:ascii="宋体" w:hAnsi="宋体" w:cs="宋体"/>
                <w:szCs w:val="21"/>
              </w:rPr>
              <w:t>响应情况</w:t>
            </w:r>
          </w:p>
        </w:tc>
        <w:tc>
          <w:tcPr>
            <w:tcW w:w="713" w:type="pct"/>
            <w:noWrap w:val="0"/>
            <w:vAlign w:val="center"/>
          </w:tcPr>
          <w:p>
            <w:pPr>
              <w:jc w:val="center"/>
              <w:rPr>
                <w:rFonts w:ascii="宋体" w:hAnsi="宋体" w:cs="宋体"/>
                <w:szCs w:val="21"/>
              </w:rPr>
            </w:pPr>
            <w:r>
              <w:rPr>
                <w:rFonts w:hint="eastAsia" w:ascii="宋体" w:hAnsi="宋体" w:cs="宋体"/>
                <w:szCs w:val="21"/>
              </w:rPr>
              <w:t>超出、符合或偏离</w:t>
            </w:r>
          </w:p>
        </w:tc>
        <w:tc>
          <w:tcPr>
            <w:tcW w:w="639" w:type="pct"/>
            <w:noWrap w:val="0"/>
            <w:vAlign w:val="center"/>
          </w:tcPr>
          <w:p>
            <w:pPr>
              <w:jc w:val="center"/>
              <w:rPr>
                <w:rFonts w:ascii="宋体" w:hAnsi="宋体" w:cs="宋体"/>
                <w:szCs w:val="21"/>
              </w:rPr>
            </w:pPr>
            <w:r>
              <w:rPr>
                <w:rFonts w:hint="eastAsia" w:ascii="宋体" w:hAnsi="宋体" w:cs="宋体"/>
                <w:szCs w:val="21"/>
              </w:rPr>
              <w:t>证明</w:t>
            </w:r>
          </w:p>
          <w:p>
            <w:pPr>
              <w:jc w:val="center"/>
              <w:rPr>
                <w:rFonts w:ascii="宋体" w:hAnsi="宋体" w:cs="宋体"/>
                <w:szCs w:val="21"/>
              </w:rPr>
            </w:pPr>
            <w:r>
              <w:rPr>
                <w:rFonts w:hint="eastAsia" w:ascii="宋体" w:hAnsi="宋体" w:cs="宋体"/>
                <w:szCs w:val="21"/>
              </w:rPr>
              <w:t>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296" w:type="pct"/>
            <w:noWrap w:val="0"/>
          </w:tcPr>
          <w:p>
            <w:pPr>
              <w:jc w:val="center"/>
              <w:rPr>
                <w:rFonts w:ascii="宋体" w:hAnsi="宋体" w:cs="宋体"/>
                <w:szCs w:val="21"/>
              </w:rPr>
            </w:pPr>
          </w:p>
        </w:tc>
        <w:tc>
          <w:tcPr>
            <w:tcW w:w="1794" w:type="pct"/>
            <w:noWrap w:val="0"/>
          </w:tcPr>
          <w:p>
            <w:pPr>
              <w:jc w:val="center"/>
              <w:rPr>
                <w:rFonts w:ascii="宋体" w:hAnsi="宋体" w:cs="宋体"/>
                <w:szCs w:val="21"/>
              </w:rPr>
            </w:pPr>
          </w:p>
        </w:tc>
        <w:tc>
          <w:tcPr>
            <w:tcW w:w="1555" w:type="pct"/>
            <w:noWrap w:val="0"/>
          </w:tcPr>
          <w:p>
            <w:pPr>
              <w:jc w:val="center"/>
              <w:rPr>
                <w:rFonts w:ascii="宋体" w:hAnsi="宋体" w:cs="宋体"/>
                <w:szCs w:val="21"/>
              </w:rPr>
            </w:pPr>
          </w:p>
        </w:tc>
        <w:tc>
          <w:tcPr>
            <w:tcW w:w="713" w:type="pct"/>
            <w:noWrap w:val="0"/>
          </w:tcPr>
          <w:p>
            <w:pPr>
              <w:jc w:val="center"/>
              <w:rPr>
                <w:rFonts w:ascii="宋体" w:hAnsi="宋体" w:cs="宋体"/>
                <w:szCs w:val="21"/>
              </w:rPr>
            </w:pPr>
          </w:p>
        </w:tc>
        <w:tc>
          <w:tcPr>
            <w:tcW w:w="639" w:type="pct"/>
            <w:noWrap w:val="0"/>
          </w:tcPr>
          <w:p>
            <w:pPr>
              <w:jc w:val="center"/>
              <w:rPr>
                <w:rFonts w:ascii="宋体" w:hAnsi="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296" w:type="pct"/>
            <w:noWrap w:val="0"/>
          </w:tcPr>
          <w:p>
            <w:pPr>
              <w:jc w:val="center"/>
              <w:rPr>
                <w:rFonts w:ascii="宋体" w:hAnsi="宋体" w:cs="宋体"/>
                <w:szCs w:val="21"/>
              </w:rPr>
            </w:pPr>
          </w:p>
        </w:tc>
        <w:tc>
          <w:tcPr>
            <w:tcW w:w="1794" w:type="pct"/>
            <w:noWrap w:val="0"/>
          </w:tcPr>
          <w:p>
            <w:pPr>
              <w:jc w:val="center"/>
              <w:rPr>
                <w:rFonts w:ascii="宋体" w:hAnsi="宋体" w:cs="宋体"/>
                <w:szCs w:val="21"/>
              </w:rPr>
            </w:pPr>
          </w:p>
        </w:tc>
        <w:tc>
          <w:tcPr>
            <w:tcW w:w="1555" w:type="pct"/>
            <w:noWrap w:val="0"/>
          </w:tcPr>
          <w:p>
            <w:pPr>
              <w:jc w:val="center"/>
              <w:rPr>
                <w:rFonts w:ascii="宋体" w:hAnsi="宋体" w:cs="宋体"/>
                <w:szCs w:val="21"/>
              </w:rPr>
            </w:pPr>
          </w:p>
        </w:tc>
        <w:tc>
          <w:tcPr>
            <w:tcW w:w="713" w:type="pct"/>
            <w:noWrap w:val="0"/>
          </w:tcPr>
          <w:p>
            <w:pPr>
              <w:jc w:val="center"/>
              <w:rPr>
                <w:rFonts w:ascii="宋体" w:hAnsi="宋体" w:cs="宋体"/>
                <w:szCs w:val="21"/>
              </w:rPr>
            </w:pPr>
          </w:p>
        </w:tc>
        <w:tc>
          <w:tcPr>
            <w:tcW w:w="639" w:type="pct"/>
            <w:noWrap w:val="0"/>
          </w:tcPr>
          <w:p>
            <w:pPr>
              <w:jc w:val="center"/>
              <w:rPr>
                <w:rFonts w:ascii="宋体" w:hAnsi="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296" w:type="pct"/>
            <w:noWrap w:val="0"/>
          </w:tcPr>
          <w:p>
            <w:pPr>
              <w:jc w:val="center"/>
              <w:rPr>
                <w:rFonts w:ascii="宋体" w:hAnsi="宋体" w:cs="宋体"/>
                <w:szCs w:val="21"/>
              </w:rPr>
            </w:pPr>
          </w:p>
        </w:tc>
        <w:tc>
          <w:tcPr>
            <w:tcW w:w="1794" w:type="pct"/>
            <w:noWrap w:val="0"/>
          </w:tcPr>
          <w:p>
            <w:pPr>
              <w:jc w:val="center"/>
              <w:rPr>
                <w:rFonts w:ascii="宋体" w:hAnsi="宋体" w:cs="宋体"/>
                <w:szCs w:val="21"/>
              </w:rPr>
            </w:pPr>
          </w:p>
        </w:tc>
        <w:tc>
          <w:tcPr>
            <w:tcW w:w="1555" w:type="pct"/>
            <w:noWrap w:val="0"/>
          </w:tcPr>
          <w:p>
            <w:pPr>
              <w:jc w:val="center"/>
              <w:rPr>
                <w:rFonts w:ascii="宋体" w:hAnsi="宋体" w:cs="宋体"/>
                <w:szCs w:val="21"/>
              </w:rPr>
            </w:pPr>
          </w:p>
        </w:tc>
        <w:tc>
          <w:tcPr>
            <w:tcW w:w="713" w:type="pct"/>
            <w:noWrap w:val="0"/>
          </w:tcPr>
          <w:p>
            <w:pPr>
              <w:jc w:val="center"/>
              <w:rPr>
                <w:rFonts w:ascii="宋体" w:hAnsi="宋体" w:cs="宋体"/>
                <w:szCs w:val="21"/>
              </w:rPr>
            </w:pPr>
          </w:p>
        </w:tc>
        <w:tc>
          <w:tcPr>
            <w:tcW w:w="639" w:type="pct"/>
            <w:noWrap w:val="0"/>
          </w:tcPr>
          <w:p>
            <w:pPr>
              <w:jc w:val="center"/>
              <w:rPr>
                <w:rFonts w:ascii="宋体" w:hAnsi="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296" w:type="pct"/>
            <w:noWrap w:val="0"/>
          </w:tcPr>
          <w:p>
            <w:pPr>
              <w:jc w:val="center"/>
              <w:rPr>
                <w:rFonts w:ascii="宋体" w:hAnsi="宋体" w:cs="宋体"/>
                <w:szCs w:val="21"/>
              </w:rPr>
            </w:pPr>
          </w:p>
        </w:tc>
        <w:tc>
          <w:tcPr>
            <w:tcW w:w="1794" w:type="pct"/>
            <w:noWrap w:val="0"/>
          </w:tcPr>
          <w:p>
            <w:pPr>
              <w:jc w:val="center"/>
              <w:rPr>
                <w:rFonts w:ascii="宋体" w:hAnsi="宋体" w:cs="宋体"/>
                <w:szCs w:val="21"/>
              </w:rPr>
            </w:pPr>
          </w:p>
        </w:tc>
        <w:tc>
          <w:tcPr>
            <w:tcW w:w="1555" w:type="pct"/>
            <w:noWrap w:val="0"/>
          </w:tcPr>
          <w:p>
            <w:pPr>
              <w:jc w:val="center"/>
              <w:rPr>
                <w:rFonts w:ascii="宋体" w:hAnsi="宋体" w:cs="宋体"/>
                <w:szCs w:val="21"/>
              </w:rPr>
            </w:pPr>
          </w:p>
        </w:tc>
        <w:tc>
          <w:tcPr>
            <w:tcW w:w="713" w:type="pct"/>
            <w:noWrap w:val="0"/>
          </w:tcPr>
          <w:p>
            <w:pPr>
              <w:jc w:val="center"/>
              <w:rPr>
                <w:rFonts w:ascii="宋体" w:hAnsi="宋体" w:cs="宋体"/>
                <w:szCs w:val="21"/>
              </w:rPr>
            </w:pPr>
          </w:p>
        </w:tc>
        <w:tc>
          <w:tcPr>
            <w:tcW w:w="639" w:type="pct"/>
            <w:noWrap w:val="0"/>
          </w:tcPr>
          <w:p>
            <w:pPr>
              <w:jc w:val="center"/>
              <w:rPr>
                <w:rFonts w:ascii="宋体" w:hAnsi="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296" w:type="pct"/>
            <w:noWrap w:val="0"/>
          </w:tcPr>
          <w:p>
            <w:pPr>
              <w:jc w:val="center"/>
              <w:rPr>
                <w:rFonts w:ascii="宋体" w:hAnsi="宋体" w:cs="宋体"/>
                <w:szCs w:val="21"/>
              </w:rPr>
            </w:pPr>
          </w:p>
        </w:tc>
        <w:tc>
          <w:tcPr>
            <w:tcW w:w="1794" w:type="pct"/>
            <w:noWrap w:val="0"/>
          </w:tcPr>
          <w:p>
            <w:pPr>
              <w:jc w:val="center"/>
              <w:rPr>
                <w:rFonts w:ascii="宋体" w:hAnsi="宋体" w:cs="宋体"/>
                <w:szCs w:val="21"/>
              </w:rPr>
            </w:pPr>
          </w:p>
        </w:tc>
        <w:tc>
          <w:tcPr>
            <w:tcW w:w="1555" w:type="pct"/>
            <w:noWrap w:val="0"/>
          </w:tcPr>
          <w:p>
            <w:pPr>
              <w:jc w:val="center"/>
              <w:rPr>
                <w:rFonts w:ascii="宋体" w:hAnsi="宋体" w:cs="宋体"/>
                <w:szCs w:val="21"/>
              </w:rPr>
            </w:pPr>
          </w:p>
        </w:tc>
        <w:tc>
          <w:tcPr>
            <w:tcW w:w="713" w:type="pct"/>
            <w:noWrap w:val="0"/>
          </w:tcPr>
          <w:p>
            <w:pPr>
              <w:jc w:val="center"/>
              <w:rPr>
                <w:rFonts w:ascii="宋体" w:hAnsi="宋体" w:cs="宋体"/>
                <w:szCs w:val="21"/>
              </w:rPr>
            </w:pPr>
          </w:p>
        </w:tc>
        <w:tc>
          <w:tcPr>
            <w:tcW w:w="639" w:type="pct"/>
            <w:noWrap w:val="0"/>
          </w:tcPr>
          <w:p>
            <w:pPr>
              <w:jc w:val="center"/>
              <w:rPr>
                <w:rFonts w:ascii="宋体" w:hAnsi="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296" w:type="pct"/>
            <w:noWrap w:val="0"/>
          </w:tcPr>
          <w:p>
            <w:pPr>
              <w:jc w:val="center"/>
              <w:rPr>
                <w:rFonts w:ascii="宋体" w:hAnsi="宋体" w:cs="宋体"/>
                <w:szCs w:val="21"/>
              </w:rPr>
            </w:pPr>
          </w:p>
        </w:tc>
        <w:tc>
          <w:tcPr>
            <w:tcW w:w="1794" w:type="pct"/>
            <w:noWrap w:val="0"/>
          </w:tcPr>
          <w:p>
            <w:pPr>
              <w:jc w:val="center"/>
              <w:rPr>
                <w:rFonts w:ascii="宋体" w:hAnsi="宋体" w:cs="宋体"/>
                <w:szCs w:val="21"/>
              </w:rPr>
            </w:pPr>
          </w:p>
        </w:tc>
        <w:tc>
          <w:tcPr>
            <w:tcW w:w="1555" w:type="pct"/>
            <w:noWrap w:val="0"/>
          </w:tcPr>
          <w:p>
            <w:pPr>
              <w:jc w:val="center"/>
              <w:rPr>
                <w:rFonts w:ascii="宋体" w:hAnsi="宋体" w:cs="宋体"/>
                <w:szCs w:val="21"/>
              </w:rPr>
            </w:pPr>
          </w:p>
        </w:tc>
        <w:tc>
          <w:tcPr>
            <w:tcW w:w="713" w:type="pct"/>
            <w:noWrap w:val="0"/>
          </w:tcPr>
          <w:p>
            <w:pPr>
              <w:jc w:val="center"/>
              <w:rPr>
                <w:rFonts w:ascii="宋体" w:hAnsi="宋体" w:cs="宋体"/>
                <w:szCs w:val="21"/>
              </w:rPr>
            </w:pPr>
          </w:p>
        </w:tc>
        <w:tc>
          <w:tcPr>
            <w:tcW w:w="639" w:type="pct"/>
            <w:noWrap w:val="0"/>
          </w:tcPr>
          <w:p>
            <w:pPr>
              <w:jc w:val="center"/>
              <w:rPr>
                <w:rFonts w:ascii="宋体" w:hAnsi="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296" w:type="pct"/>
            <w:noWrap w:val="0"/>
          </w:tcPr>
          <w:p>
            <w:pPr>
              <w:jc w:val="center"/>
              <w:rPr>
                <w:rFonts w:ascii="宋体" w:hAnsi="宋体" w:cs="宋体"/>
                <w:szCs w:val="21"/>
              </w:rPr>
            </w:pPr>
          </w:p>
        </w:tc>
        <w:tc>
          <w:tcPr>
            <w:tcW w:w="1794" w:type="pct"/>
            <w:noWrap w:val="0"/>
          </w:tcPr>
          <w:p>
            <w:pPr>
              <w:jc w:val="center"/>
              <w:rPr>
                <w:rFonts w:ascii="宋体" w:hAnsi="宋体" w:cs="宋体"/>
                <w:szCs w:val="21"/>
              </w:rPr>
            </w:pPr>
          </w:p>
        </w:tc>
        <w:tc>
          <w:tcPr>
            <w:tcW w:w="1555" w:type="pct"/>
            <w:noWrap w:val="0"/>
          </w:tcPr>
          <w:p>
            <w:pPr>
              <w:jc w:val="center"/>
              <w:rPr>
                <w:rFonts w:ascii="宋体" w:hAnsi="宋体" w:cs="宋体"/>
                <w:szCs w:val="21"/>
              </w:rPr>
            </w:pPr>
          </w:p>
        </w:tc>
        <w:tc>
          <w:tcPr>
            <w:tcW w:w="713" w:type="pct"/>
            <w:noWrap w:val="0"/>
          </w:tcPr>
          <w:p>
            <w:pPr>
              <w:jc w:val="center"/>
              <w:rPr>
                <w:rFonts w:ascii="宋体" w:hAnsi="宋体" w:cs="宋体"/>
                <w:szCs w:val="21"/>
              </w:rPr>
            </w:pPr>
          </w:p>
        </w:tc>
        <w:tc>
          <w:tcPr>
            <w:tcW w:w="639" w:type="pct"/>
            <w:noWrap w:val="0"/>
          </w:tcPr>
          <w:p>
            <w:pPr>
              <w:jc w:val="center"/>
              <w:rPr>
                <w:rFonts w:ascii="宋体" w:hAnsi="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296" w:type="pct"/>
            <w:noWrap w:val="0"/>
          </w:tcPr>
          <w:p>
            <w:pPr>
              <w:jc w:val="center"/>
              <w:rPr>
                <w:rFonts w:ascii="宋体" w:hAnsi="宋体" w:cs="宋体"/>
                <w:szCs w:val="21"/>
              </w:rPr>
            </w:pPr>
          </w:p>
        </w:tc>
        <w:tc>
          <w:tcPr>
            <w:tcW w:w="1794" w:type="pct"/>
            <w:noWrap w:val="0"/>
          </w:tcPr>
          <w:p>
            <w:pPr>
              <w:jc w:val="center"/>
              <w:rPr>
                <w:rFonts w:ascii="宋体" w:hAnsi="宋体" w:cs="宋体"/>
                <w:szCs w:val="21"/>
              </w:rPr>
            </w:pPr>
            <w:r>
              <w:rPr>
                <w:rFonts w:hint="eastAsia" w:ascii="宋体" w:hAnsi="宋体" w:cs="宋体"/>
                <w:szCs w:val="21"/>
              </w:rPr>
              <w:t>……</w:t>
            </w:r>
          </w:p>
        </w:tc>
        <w:tc>
          <w:tcPr>
            <w:tcW w:w="1555" w:type="pct"/>
            <w:noWrap w:val="0"/>
          </w:tcPr>
          <w:p>
            <w:pPr>
              <w:jc w:val="center"/>
              <w:rPr>
                <w:rFonts w:ascii="宋体" w:hAnsi="宋体" w:cs="宋体"/>
                <w:szCs w:val="21"/>
              </w:rPr>
            </w:pPr>
          </w:p>
        </w:tc>
        <w:tc>
          <w:tcPr>
            <w:tcW w:w="713" w:type="pct"/>
            <w:noWrap w:val="0"/>
          </w:tcPr>
          <w:p>
            <w:pPr>
              <w:jc w:val="center"/>
              <w:rPr>
                <w:rFonts w:ascii="宋体" w:hAnsi="宋体" w:cs="宋体"/>
                <w:szCs w:val="21"/>
              </w:rPr>
            </w:pPr>
          </w:p>
        </w:tc>
        <w:tc>
          <w:tcPr>
            <w:tcW w:w="639" w:type="pct"/>
            <w:noWrap w:val="0"/>
          </w:tcPr>
          <w:p>
            <w:pPr>
              <w:jc w:val="center"/>
              <w:rPr>
                <w:rFonts w:ascii="宋体" w:hAnsi="宋体" w:cs="宋体"/>
                <w:szCs w:val="21"/>
              </w:rPr>
            </w:pPr>
          </w:p>
        </w:tc>
      </w:tr>
    </w:tbl>
    <w:p>
      <w:pPr>
        <w:spacing w:before="240" w:line="360" w:lineRule="auto"/>
        <w:rPr>
          <w:rFonts w:ascii="宋体" w:hAnsi="宋体" w:cs="宋体"/>
          <w:szCs w:val="21"/>
        </w:rPr>
      </w:pPr>
      <w:r>
        <w:rPr>
          <w:rFonts w:hint="eastAsia" w:ascii="宋体" w:hAnsi="宋体" w:cs="宋体"/>
          <w:szCs w:val="21"/>
        </w:rPr>
        <w:t>注：1、行数不够，可自行添加。</w:t>
      </w:r>
    </w:p>
    <w:p>
      <w:pPr>
        <w:spacing w:before="160" w:line="360" w:lineRule="auto"/>
        <w:ind w:firstLine="420"/>
        <w:rPr>
          <w:rFonts w:ascii="宋体" w:hAnsi="宋体" w:cs="宋体"/>
          <w:szCs w:val="21"/>
        </w:rPr>
      </w:pPr>
      <w:r>
        <w:rPr>
          <w:rFonts w:hint="eastAsia" w:ascii="宋体" w:hAnsi="宋体" w:cs="宋体"/>
          <w:szCs w:val="21"/>
        </w:rPr>
        <w:t>2、供应商应对照采购文件服务要求，逐条说明所提供服务己对采购文件的服务要求做出了实质性的响应，并声明与服务要求条文的偏差和例外。未在上表中说明的，将被认为完全响应采购文件的规定。</w:t>
      </w:r>
    </w:p>
    <w:p>
      <w:pPr>
        <w:jc w:val="center"/>
        <w:rPr>
          <w:rFonts w:ascii="黑体" w:hAnsi="Arial" w:eastAsia="黑体"/>
          <w:b/>
          <w:sz w:val="36"/>
          <w:szCs w:val="21"/>
        </w:rPr>
      </w:pPr>
    </w:p>
    <w:p>
      <w:pPr>
        <w:pBdr>
          <w:top w:val="none" w:color="000000" w:sz="0" w:space="0"/>
          <w:left w:val="none" w:color="000000" w:sz="0" w:space="0"/>
          <w:bottom w:val="none" w:color="000000" w:sz="0" w:space="0"/>
          <w:right w:val="none" w:color="000000" w:sz="0" w:space="0"/>
        </w:pBdr>
        <w:spacing w:before="220" w:line="250" w:lineRule="atLeast"/>
        <w:ind w:firstLine="420"/>
      </w:pPr>
      <w:r>
        <w:rPr>
          <w:rFonts w:ascii="宋体" w:hAnsi="宋体" w:cs="宋体"/>
          <w:color w:val="000000"/>
          <w:sz w:val="22"/>
        </w:rPr>
        <w:t>供应商全称：（</w:t>
      </w:r>
      <w:r>
        <w:rPr>
          <w:rFonts w:hint="eastAsia" w:ascii="宋体" w:hAnsi="宋体" w:cs="宋体"/>
          <w:color w:val="000000"/>
          <w:sz w:val="22"/>
        </w:rPr>
        <w:t>加盖CA电子公章</w:t>
      </w:r>
      <w:r>
        <w:rPr>
          <w:rFonts w:ascii="宋体" w:hAnsi="宋体" w:cs="宋体"/>
          <w:color w:val="000000"/>
          <w:sz w:val="22"/>
        </w:rPr>
        <w:t>）</w:t>
      </w:r>
    </w:p>
    <w:p>
      <w:pPr>
        <w:pBdr>
          <w:top w:val="none" w:color="000000" w:sz="0" w:space="0"/>
          <w:left w:val="none" w:color="000000" w:sz="0" w:space="0"/>
          <w:bottom w:val="none" w:color="000000" w:sz="0" w:space="0"/>
          <w:right w:val="none" w:color="000000" w:sz="0" w:space="0"/>
        </w:pBdr>
        <w:spacing w:before="220" w:line="250" w:lineRule="atLeast"/>
        <w:ind w:firstLine="420"/>
        <w:jc w:val="right"/>
        <w:rPr>
          <w:rFonts w:ascii="宋体" w:hAnsi="宋体" w:cs="宋体"/>
          <w:color w:val="000000"/>
          <w:sz w:val="22"/>
        </w:rPr>
      </w:pPr>
      <w:r>
        <w:rPr>
          <w:rFonts w:ascii="宋体" w:hAnsi="宋体" w:cs="宋体"/>
          <w:color w:val="000000"/>
          <w:sz w:val="22"/>
        </w:rPr>
        <w:t>日期：</w:t>
      </w:r>
      <w:r>
        <w:rPr>
          <w:rFonts w:hint="eastAsia" w:ascii="宋体" w:hAnsi="宋体" w:cs="宋体"/>
          <w:color w:val="000000"/>
          <w:sz w:val="22"/>
        </w:rPr>
        <w:t xml:space="preserve">      </w:t>
      </w:r>
      <w:r>
        <w:rPr>
          <w:rFonts w:ascii="宋体" w:hAnsi="宋体" w:cs="宋体"/>
          <w:color w:val="000000"/>
          <w:sz w:val="22"/>
        </w:rPr>
        <w:t>年</w:t>
      </w:r>
      <w:r>
        <w:rPr>
          <w:rFonts w:hint="eastAsia" w:ascii="宋体" w:hAnsi="宋体" w:cs="宋体"/>
          <w:color w:val="000000"/>
          <w:sz w:val="22"/>
        </w:rPr>
        <w:t xml:space="preserve">   </w:t>
      </w:r>
      <w:r>
        <w:rPr>
          <w:rFonts w:ascii="宋体" w:hAnsi="宋体" w:cs="宋体"/>
          <w:color w:val="000000"/>
          <w:sz w:val="22"/>
        </w:rPr>
        <w:t>月</w:t>
      </w:r>
      <w:r>
        <w:rPr>
          <w:rFonts w:hint="eastAsia" w:ascii="宋体" w:hAnsi="宋体" w:cs="宋体"/>
          <w:color w:val="000000"/>
          <w:sz w:val="22"/>
        </w:rPr>
        <w:t xml:space="preserve">    </w:t>
      </w:r>
      <w:r>
        <w:rPr>
          <w:rFonts w:ascii="宋体" w:hAnsi="宋体" w:cs="宋体"/>
          <w:color w:val="000000"/>
          <w:sz w:val="22"/>
        </w:rPr>
        <w:t>日</w:t>
      </w:r>
    </w:p>
    <w:p>
      <w:pPr>
        <w:jc w:val="center"/>
        <w:rPr>
          <w:rFonts w:ascii="黑体" w:hAnsi="Arial" w:eastAsia="黑体"/>
          <w:b/>
          <w:sz w:val="36"/>
          <w:szCs w:val="21"/>
        </w:rPr>
      </w:pPr>
    </w:p>
    <w:p>
      <w:pPr>
        <w:jc w:val="center"/>
        <w:rPr>
          <w:rFonts w:ascii="黑体" w:hAnsi="Arial" w:eastAsia="黑体"/>
          <w:b/>
          <w:sz w:val="36"/>
          <w:szCs w:val="21"/>
        </w:rPr>
      </w:pPr>
    </w:p>
    <w:p>
      <w:pPr>
        <w:jc w:val="center"/>
        <w:rPr>
          <w:rFonts w:ascii="黑体" w:hAnsi="Arial" w:eastAsia="黑体"/>
          <w:b/>
          <w:sz w:val="36"/>
          <w:szCs w:val="21"/>
        </w:rPr>
      </w:pPr>
    </w:p>
    <w:bookmarkEnd w:id="186"/>
    <w:p>
      <w:pPr>
        <w:rPr>
          <w:rFonts w:ascii="黑体" w:hAnsi="黑体" w:eastAsia="黑体"/>
          <w:b/>
          <w:sz w:val="32"/>
          <w:szCs w:val="32"/>
        </w:rPr>
      </w:pPr>
      <w:bookmarkStart w:id="192" w:name="_Hlt26955054"/>
      <w:bookmarkEnd w:id="192"/>
      <w:r>
        <w:rPr>
          <w:rFonts w:hint="eastAsia" w:ascii="黑体" w:hAnsi="黑体" w:eastAsia="黑体"/>
          <w:b/>
          <w:sz w:val="32"/>
          <w:szCs w:val="32"/>
        </w:rPr>
        <w:br w:type="page" w:clear="all"/>
      </w:r>
    </w:p>
    <w:p>
      <w:pPr>
        <w:jc w:val="center"/>
        <w:rPr>
          <w:rFonts w:ascii="黑体" w:hAnsi="黑体" w:eastAsia="黑体"/>
          <w:b/>
          <w:sz w:val="32"/>
          <w:szCs w:val="32"/>
        </w:rPr>
      </w:pPr>
      <w:r>
        <w:rPr>
          <w:rFonts w:hint="eastAsia" w:ascii="黑体" w:hAnsi="黑体" w:eastAsia="黑体"/>
          <w:b/>
          <w:sz w:val="32"/>
          <w:szCs w:val="32"/>
        </w:rPr>
        <w:t>十</w:t>
      </w:r>
      <w:r>
        <w:rPr>
          <w:rFonts w:hint="eastAsia" w:ascii="黑体" w:hAnsi="黑体" w:eastAsia="黑体"/>
          <w:b/>
          <w:sz w:val="32"/>
          <w:szCs w:val="32"/>
          <w:lang w:val="en-US" w:eastAsia="zh-CN"/>
        </w:rPr>
        <w:t>五</w:t>
      </w:r>
      <w:r>
        <w:rPr>
          <w:rFonts w:hint="eastAsia" w:ascii="黑体" w:hAnsi="黑体" w:eastAsia="黑体"/>
          <w:b/>
          <w:sz w:val="32"/>
          <w:szCs w:val="32"/>
        </w:rPr>
        <w:t>、商务要求响应及偏离表</w:t>
      </w:r>
    </w:p>
    <w:p/>
    <w:tbl>
      <w:tblPr>
        <w:tblStyle w:val="4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26"/>
        <w:gridCol w:w="2838"/>
        <w:gridCol w:w="2650"/>
        <w:gridCol w:w="1215"/>
        <w:gridCol w:w="109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426" w:type="pct"/>
            <w:noWrap w:val="0"/>
            <w:vAlign w:val="center"/>
          </w:tcPr>
          <w:p>
            <w:pPr>
              <w:jc w:val="center"/>
              <w:rPr>
                <w:rFonts w:ascii="宋体" w:hAnsi="宋体" w:cs="宋体"/>
                <w:szCs w:val="21"/>
              </w:rPr>
            </w:pPr>
            <w:bookmarkStart w:id="193" w:name="_Hlt26609391"/>
            <w:bookmarkEnd w:id="193"/>
            <w:bookmarkStart w:id="194" w:name="_Hlt26671343"/>
            <w:bookmarkEnd w:id="194"/>
            <w:bookmarkStart w:id="195" w:name="_Hlt26782999"/>
            <w:bookmarkEnd w:id="195"/>
            <w:bookmarkStart w:id="196" w:name="_Hlt26671372"/>
            <w:bookmarkEnd w:id="196"/>
            <w:bookmarkStart w:id="197" w:name="_Hlt24879081"/>
            <w:bookmarkEnd w:id="197"/>
            <w:bookmarkStart w:id="198" w:name="_Hlt26955056"/>
            <w:bookmarkEnd w:id="198"/>
            <w:bookmarkStart w:id="199" w:name="_Hlt26580838"/>
            <w:bookmarkEnd w:id="199"/>
            <w:bookmarkStart w:id="200" w:name="_Hlt26955064"/>
            <w:bookmarkEnd w:id="200"/>
            <w:r>
              <w:rPr>
                <w:rFonts w:hint="eastAsia" w:ascii="宋体" w:hAnsi="宋体" w:cs="宋体"/>
                <w:szCs w:val="21"/>
              </w:rPr>
              <w:t>序号</w:t>
            </w:r>
          </w:p>
        </w:tc>
        <w:tc>
          <w:tcPr>
            <w:tcW w:w="1665" w:type="pct"/>
            <w:noWrap w:val="0"/>
            <w:vAlign w:val="center"/>
          </w:tcPr>
          <w:p>
            <w:pPr>
              <w:jc w:val="center"/>
              <w:rPr>
                <w:rFonts w:ascii="宋体" w:hAnsi="宋体" w:cs="宋体"/>
                <w:szCs w:val="21"/>
              </w:rPr>
            </w:pPr>
            <w:r>
              <w:rPr>
                <w:rFonts w:hint="eastAsia" w:ascii="宋体" w:hAnsi="宋体" w:cs="宋体"/>
                <w:szCs w:val="21"/>
              </w:rPr>
              <w:t>磋商文件要求</w:t>
            </w:r>
          </w:p>
        </w:tc>
        <w:tc>
          <w:tcPr>
            <w:tcW w:w="1555" w:type="pct"/>
            <w:noWrap w:val="0"/>
            <w:vAlign w:val="center"/>
          </w:tcPr>
          <w:p>
            <w:pPr>
              <w:jc w:val="center"/>
              <w:rPr>
                <w:rFonts w:ascii="宋体" w:hAnsi="宋体" w:cs="宋体"/>
                <w:szCs w:val="21"/>
              </w:rPr>
            </w:pPr>
            <w:r>
              <w:rPr>
                <w:rFonts w:hint="eastAsia" w:ascii="宋体" w:hAnsi="宋体" w:cs="宋体"/>
                <w:szCs w:val="21"/>
              </w:rPr>
              <w:t>响应情况</w:t>
            </w:r>
          </w:p>
        </w:tc>
        <w:tc>
          <w:tcPr>
            <w:tcW w:w="713" w:type="pct"/>
            <w:noWrap w:val="0"/>
            <w:vAlign w:val="center"/>
          </w:tcPr>
          <w:p>
            <w:pPr>
              <w:jc w:val="center"/>
              <w:rPr>
                <w:rFonts w:ascii="宋体" w:hAnsi="宋体" w:cs="宋体"/>
                <w:szCs w:val="21"/>
              </w:rPr>
            </w:pPr>
            <w:r>
              <w:rPr>
                <w:rFonts w:hint="eastAsia" w:ascii="宋体" w:hAnsi="宋体" w:cs="宋体"/>
                <w:szCs w:val="21"/>
              </w:rPr>
              <w:t>超出、符合或偏离</w:t>
            </w:r>
          </w:p>
        </w:tc>
        <w:tc>
          <w:tcPr>
            <w:tcW w:w="639" w:type="pct"/>
            <w:noWrap w:val="0"/>
            <w:vAlign w:val="center"/>
          </w:tcPr>
          <w:p>
            <w:pPr>
              <w:jc w:val="center"/>
              <w:rPr>
                <w:rFonts w:ascii="宋体" w:hAnsi="宋体" w:cs="宋体"/>
                <w:szCs w:val="21"/>
              </w:rPr>
            </w:pPr>
            <w:r>
              <w:rPr>
                <w:rFonts w:hint="eastAsia" w:ascii="宋体" w:hAnsi="宋体" w:cs="宋体"/>
                <w:szCs w:val="21"/>
              </w:rPr>
              <w:t>证明</w:t>
            </w:r>
          </w:p>
          <w:p>
            <w:pPr>
              <w:jc w:val="center"/>
              <w:rPr>
                <w:rFonts w:ascii="宋体" w:hAnsi="宋体" w:cs="宋体"/>
                <w:szCs w:val="21"/>
              </w:rPr>
            </w:pPr>
            <w:r>
              <w:rPr>
                <w:rFonts w:hint="eastAsia" w:ascii="宋体" w:hAnsi="宋体" w:cs="宋体"/>
                <w:szCs w:val="21"/>
              </w:rPr>
              <w:t>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426" w:type="pct"/>
            <w:noWrap w:val="0"/>
          </w:tcPr>
          <w:p>
            <w:pPr>
              <w:jc w:val="center"/>
              <w:rPr>
                <w:rFonts w:ascii="宋体" w:hAnsi="宋体" w:cs="宋体"/>
                <w:szCs w:val="21"/>
              </w:rPr>
            </w:pPr>
          </w:p>
        </w:tc>
        <w:tc>
          <w:tcPr>
            <w:tcW w:w="1665" w:type="pct"/>
            <w:noWrap w:val="0"/>
            <w:vAlign w:val="center"/>
          </w:tcPr>
          <w:p>
            <w:pPr>
              <w:pBdr>
                <w:top w:val="none" w:color="000000" w:sz="0" w:space="0"/>
                <w:left w:val="none" w:color="000000" w:sz="0" w:space="0"/>
                <w:bottom w:val="none" w:color="000000" w:sz="0" w:space="0"/>
                <w:right w:val="none" w:color="000000" w:sz="0" w:space="0"/>
              </w:pBdr>
              <w:spacing w:before="220" w:line="250" w:lineRule="atLeast"/>
              <w:jc w:val="center"/>
            </w:pPr>
            <w:r>
              <w:rPr>
                <w:rFonts w:ascii="宋体" w:hAnsi="宋体" w:cs="宋体"/>
                <w:color w:val="000000"/>
                <w:sz w:val="22"/>
              </w:rPr>
              <w:t>服务期限</w:t>
            </w:r>
          </w:p>
        </w:tc>
        <w:tc>
          <w:tcPr>
            <w:tcW w:w="1555" w:type="pct"/>
            <w:noWrap w:val="0"/>
          </w:tcPr>
          <w:p>
            <w:pPr>
              <w:jc w:val="center"/>
              <w:rPr>
                <w:rFonts w:ascii="宋体" w:hAnsi="宋体" w:cs="宋体"/>
                <w:szCs w:val="21"/>
              </w:rPr>
            </w:pPr>
          </w:p>
        </w:tc>
        <w:tc>
          <w:tcPr>
            <w:tcW w:w="713" w:type="pct"/>
            <w:noWrap w:val="0"/>
          </w:tcPr>
          <w:p>
            <w:pPr>
              <w:jc w:val="center"/>
              <w:rPr>
                <w:rFonts w:ascii="宋体" w:hAnsi="宋体" w:cs="宋体"/>
                <w:szCs w:val="21"/>
              </w:rPr>
            </w:pPr>
          </w:p>
        </w:tc>
        <w:tc>
          <w:tcPr>
            <w:tcW w:w="639" w:type="pct"/>
            <w:noWrap w:val="0"/>
          </w:tcPr>
          <w:p>
            <w:pPr>
              <w:jc w:val="center"/>
              <w:rPr>
                <w:rFonts w:ascii="宋体" w:hAnsi="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426" w:type="pct"/>
            <w:noWrap w:val="0"/>
          </w:tcPr>
          <w:p>
            <w:pPr>
              <w:jc w:val="center"/>
              <w:rPr>
                <w:rFonts w:ascii="宋体" w:hAnsi="宋体" w:cs="宋体"/>
                <w:szCs w:val="21"/>
              </w:rPr>
            </w:pPr>
          </w:p>
        </w:tc>
        <w:tc>
          <w:tcPr>
            <w:tcW w:w="1665" w:type="pct"/>
            <w:noWrap w:val="0"/>
            <w:vAlign w:val="center"/>
          </w:tcPr>
          <w:p>
            <w:pPr>
              <w:pBdr>
                <w:top w:val="none" w:color="000000" w:sz="0" w:space="0"/>
                <w:left w:val="none" w:color="000000" w:sz="0" w:space="0"/>
                <w:bottom w:val="none" w:color="000000" w:sz="0" w:space="0"/>
                <w:right w:val="none" w:color="000000" w:sz="0" w:space="0"/>
              </w:pBdr>
              <w:spacing w:before="220" w:line="250" w:lineRule="atLeast"/>
              <w:jc w:val="center"/>
            </w:pPr>
            <w:r>
              <w:rPr>
                <w:rFonts w:ascii="宋体" w:hAnsi="宋体" w:cs="宋体"/>
                <w:color w:val="000000"/>
                <w:sz w:val="22"/>
              </w:rPr>
              <w:t>服务要求</w:t>
            </w:r>
          </w:p>
        </w:tc>
        <w:tc>
          <w:tcPr>
            <w:tcW w:w="1555" w:type="pct"/>
            <w:noWrap w:val="0"/>
          </w:tcPr>
          <w:p>
            <w:pPr>
              <w:jc w:val="center"/>
              <w:rPr>
                <w:rFonts w:ascii="宋体" w:hAnsi="宋体" w:cs="宋体"/>
                <w:szCs w:val="21"/>
              </w:rPr>
            </w:pPr>
          </w:p>
        </w:tc>
        <w:tc>
          <w:tcPr>
            <w:tcW w:w="713" w:type="pct"/>
            <w:noWrap w:val="0"/>
          </w:tcPr>
          <w:p>
            <w:pPr>
              <w:jc w:val="center"/>
              <w:rPr>
                <w:rFonts w:ascii="宋体" w:hAnsi="宋体" w:cs="宋体"/>
                <w:szCs w:val="21"/>
              </w:rPr>
            </w:pPr>
          </w:p>
        </w:tc>
        <w:tc>
          <w:tcPr>
            <w:tcW w:w="639" w:type="pct"/>
            <w:noWrap w:val="0"/>
          </w:tcPr>
          <w:p>
            <w:pPr>
              <w:jc w:val="center"/>
              <w:rPr>
                <w:rFonts w:ascii="宋体" w:hAnsi="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426" w:type="pct"/>
            <w:noWrap w:val="0"/>
          </w:tcPr>
          <w:p>
            <w:pPr>
              <w:jc w:val="center"/>
              <w:rPr>
                <w:rFonts w:ascii="宋体" w:hAnsi="宋体" w:cs="宋体"/>
                <w:szCs w:val="21"/>
              </w:rPr>
            </w:pPr>
          </w:p>
        </w:tc>
        <w:tc>
          <w:tcPr>
            <w:tcW w:w="1665" w:type="pct"/>
            <w:noWrap w:val="0"/>
            <w:vAlign w:val="center"/>
          </w:tcPr>
          <w:p>
            <w:pPr>
              <w:pBdr>
                <w:top w:val="none" w:color="000000" w:sz="0" w:space="0"/>
                <w:left w:val="none" w:color="000000" w:sz="0" w:space="0"/>
                <w:bottom w:val="none" w:color="000000" w:sz="0" w:space="0"/>
                <w:right w:val="none" w:color="000000" w:sz="0" w:space="0"/>
              </w:pBdr>
              <w:spacing w:before="220" w:line="250" w:lineRule="atLeast"/>
              <w:jc w:val="center"/>
            </w:pPr>
            <w:r>
              <w:rPr>
                <w:rFonts w:ascii="宋体" w:hAnsi="宋体" w:cs="宋体"/>
                <w:color w:val="000000"/>
                <w:sz w:val="22"/>
              </w:rPr>
              <w:t>付款方式</w:t>
            </w:r>
          </w:p>
        </w:tc>
        <w:tc>
          <w:tcPr>
            <w:tcW w:w="1555" w:type="pct"/>
            <w:noWrap w:val="0"/>
          </w:tcPr>
          <w:p>
            <w:pPr>
              <w:jc w:val="center"/>
              <w:rPr>
                <w:rFonts w:ascii="宋体" w:hAnsi="宋体" w:cs="宋体"/>
                <w:szCs w:val="21"/>
              </w:rPr>
            </w:pPr>
          </w:p>
        </w:tc>
        <w:tc>
          <w:tcPr>
            <w:tcW w:w="713" w:type="pct"/>
            <w:noWrap w:val="0"/>
          </w:tcPr>
          <w:p>
            <w:pPr>
              <w:jc w:val="center"/>
              <w:rPr>
                <w:rFonts w:ascii="宋体" w:hAnsi="宋体" w:cs="宋体"/>
                <w:szCs w:val="21"/>
              </w:rPr>
            </w:pPr>
          </w:p>
        </w:tc>
        <w:tc>
          <w:tcPr>
            <w:tcW w:w="639" w:type="pct"/>
            <w:noWrap w:val="0"/>
          </w:tcPr>
          <w:p>
            <w:pPr>
              <w:jc w:val="center"/>
              <w:rPr>
                <w:rFonts w:ascii="宋体" w:hAnsi="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426" w:type="pct"/>
            <w:noWrap w:val="0"/>
          </w:tcPr>
          <w:p>
            <w:pPr>
              <w:jc w:val="center"/>
              <w:rPr>
                <w:rFonts w:ascii="宋体" w:hAnsi="宋体" w:cs="宋体"/>
                <w:szCs w:val="21"/>
              </w:rPr>
            </w:pPr>
          </w:p>
        </w:tc>
        <w:tc>
          <w:tcPr>
            <w:tcW w:w="1665" w:type="pct"/>
            <w:noWrap w:val="0"/>
            <w:vAlign w:val="center"/>
          </w:tcPr>
          <w:p>
            <w:pPr>
              <w:pBdr>
                <w:top w:val="none" w:color="000000" w:sz="0" w:space="0"/>
                <w:left w:val="none" w:color="000000" w:sz="0" w:space="0"/>
                <w:bottom w:val="none" w:color="000000" w:sz="0" w:space="0"/>
                <w:right w:val="none" w:color="000000" w:sz="0" w:space="0"/>
              </w:pBdr>
              <w:spacing w:before="220" w:line="250" w:lineRule="atLeast"/>
              <w:jc w:val="center"/>
            </w:pPr>
            <w:r>
              <w:rPr>
                <w:rFonts w:ascii="宋体" w:hAnsi="宋体" w:cs="宋体"/>
                <w:color w:val="000000"/>
                <w:sz w:val="22"/>
              </w:rPr>
              <w:t>服务地点</w:t>
            </w:r>
          </w:p>
        </w:tc>
        <w:tc>
          <w:tcPr>
            <w:tcW w:w="1555" w:type="pct"/>
            <w:noWrap w:val="0"/>
          </w:tcPr>
          <w:p>
            <w:pPr>
              <w:jc w:val="center"/>
              <w:rPr>
                <w:rFonts w:ascii="宋体" w:hAnsi="宋体" w:cs="宋体"/>
                <w:szCs w:val="21"/>
              </w:rPr>
            </w:pPr>
          </w:p>
        </w:tc>
        <w:tc>
          <w:tcPr>
            <w:tcW w:w="713" w:type="pct"/>
            <w:noWrap w:val="0"/>
          </w:tcPr>
          <w:p>
            <w:pPr>
              <w:jc w:val="center"/>
              <w:rPr>
                <w:rFonts w:ascii="宋体" w:hAnsi="宋体" w:cs="宋体"/>
                <w:szCs w:val="21"/>
              </w:rPr>
            </w:pPr>
          </w:p>
        </w:tc>
        <w:tc>
          <w:tcPr>
            <w:tcW w:w="639" w:type="pct"/>
            <w:noWrap w:val="0"/>
          </w:tcPr>
          <w:p>
            <w:pPr>
              <w:jc w:val="center"/>
              <w:rPr>
                <w:rFonts w:ascii="宋体" w:hAnsi="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426" w:type="pct"/>
            <w:noWrap w:val="0"/>
          </w:tcPr>
          <w:p>
            <w:pPr>
              <w:jc w:val="center"/>
              <w:rPr>
                <w:rFonts w:ascii="宋体" w:hAnsi="宋体" w:cs="宋体"/>
                <w:szCs w:val="21"/>
              </w:rPr>
            </w:pPr>
          </w:p>
        </w:tc>
        <w:tc>
          <w:tcPr>
            <w:tcW w:w="1665" w:type="pct"/>
            <w:noWrap w:val="0"/>
            <w:vAlign w:val="center"/>
          </w:tcPr>
          <w:p>
            <w:pPr>
              <w:pBdr>
                <w:top w:val="none" w:color="000000" w:sz="0" w:space="0"/>
                <w:left w:val="none" w:color="000000" w:sz="0" w:space="0"/>
                <w:bottom w:val="none" w:color="000000" w:sz="0" w:space="0"/>
                <w:right w:val="none" w:color="000000" w:sz="0" w:space="0"/>
              </w:pBdr>
              <w:spacing w:before="220" w:line="250" w:lineRule="atLeast"/>
              <w:jc w:val="center"/>
            </w:pPr>
            <w:r>
              <w:rPr>
                <w:rFonts w:ascii="宋体" w:hAnsi="宋体" w:cs="宋体"/>
                <w:color w:val="000000"/>
                <w:sz w:val="22"/>
              </w:rPr>
              <w:t>磋商响应货币</w:t>
            </w:r>
          </w:p>
        </w:tc>
        <w:tc>
          <w:tcPr>
            <w:tcW w:w="1555" w:type="pct"/>
            <w:noWrap w:val="0"/>
          </w:tcPr>
          <w:p>
            <w:pPr>
              <w:jc w:val="center"/>
              <w:rPr>
                <w:rFonts w:ascii="宋体" w:hAnsi="宋体" w:cs="宋体"/>
                <w:szCs w:val="21"/>
              </w:rPr>
            </w:pPr>
          </w:p>
        </w:tc>
        <w:tc>
          <w:tcPr>
            <w:tcW w:w="713" w:type="pct"/>
            <w:noWrap w:val="0"/>
          </w:tcPr>
          <w:p>
            <w:pPr>
              <w:jc w:val="center"/>
              <w:rPr>
                <w:rFonts w:ascii="宋体" w:hAnsi="宋体" w:cs="宋体"/>
                <w:szCs w:val="21"/>
              </w:rPr>
            </w:pPr>
          </w:p>
        </w:tc>
        <w:tc>
          <w:tcPr>
            <w:tcW w:w="639" w:type="pct"/>
            <w:noWrap w:val="0"/>
          </w:tcPr>
          <w:p>
            <w:pPr>
              <w:jc w:val="center"/>
              <w:rPr>
                <w:rFonts w:ascii="宋体" w:hAnsi="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426" w:type="pct"/>
            <w:noWrap w:val="0"/>
          </w:tcPr>
          <w:p>
            <w:pPr>
              <w:jc w:val="center"/>
              <w:rPr>
                <w:rFonts w:ascii="宋体" w:hAnsi="宋体" w:cs="宋体"/>
                <w:szCs w:val="21"/>
              </w:rPr>
            </w:pPr>
          </w:p>
        </w:tc>
        <w:tc>
          <w:tcPr>
            <w:tcW w:w="1665" w:type="pct"/>
            <w:noWrap w:val="0"/>
            <w:vAlign w:val="center"/>
          </w:tcPr>
          <w:p>
            <w:pPr>
              <w:pBdr>
                <w:top w:val="none" w:color="000000" w:sz="0" w:space="0"/>
                <w:left w:val="none" w:color="000000" w:sz="0" w:space="0"/>
                <w:bottom w:val="none" w:color="000000" w:sz="0" w:space="0"/>
                <w:right w:val="none" w:color="000000" w:sz="0" w:space="0"/>
              </w:pBdr>
              <w:spacing w:before="220" w:line="250" w:lineRule="atLeast"/>
              <w:jc w:val="center"/>
            </w:pPr>
            <w:r>
              <w:rPr>
                <w:rFonts w:ascii="宋体" w:hAnsi="宋体" w:cs="宋体"/>
                <w:color w:val="000000"/>
                <w:sz w:val="22"/>
              </w:rPr>
              <w:t>其他</w:t>
            </w:r>
          </w:p>
        </w:tc>
        <w:tc>
          <w:tcPr>
            <w:tcW w:w="1555" w:type="pct"/>
            <w:noWrap w:val="0"/>
          </w:tcPr>
          <w:p>
            <w:pPr>
              <w:jc w:val="center"/>
              <w:rPr>
                <w:rFonts w:ascii="宋体" w:hAnsi="宋体" w:cs="宋体"/>
                <w:szCs w:val="21"/>
              </w:rPr>
            </w:pPr>
          </w:p>
        </w:tc>
        <w:tc>
          <w:tcPr>
            <w:tcW w:w="713" w:type="pct"/>
            <w:noWrap w:val="0"/>
          </w:tcPr>
          <w:p>
            <w:pPr>
              <w:jc w:val="center"/>
              <w:rPr>
                <w:rFonts w:ascii="宋体" w:hAnsi="宋体" w:cs="宋体"/>
                <w:szCs w:val="21"/>
              </w:rPr>
            </w:pPr>
          </w:p>
        </w:tc>
        <w:tc>
          <w:tcPr>
            <w:tcW w:w="639" w:type="pct"/>
            <w:noWrap w:val="0"/>
          </w:tcPr>
          <w:p>
            <w:pPr>
              <w:jc w:val="center"/>
              <w:rPr>
                <w:rFonts w:ascii="宋体" w:hAnsi="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426" w:type="pct"/>
            <w:noWrap w:val="0"/>
          </w:tcPr>
          <w:p>
            <w:pPr>
              <w:jc w:val="center"/>
              <w:rPr>
                <w:rFonts w:ascii="宋体" w:hAnsi="宋体" w:cs="宋体"/>
                <w:szCs w:val="21"/>
              </w:rPr>
            </w:pPr>
          </w:p>
        </w:tc>
        <w:tc>
          <w:tcPr>
            <w:tcW w:w="1665" w:type="pct"/>
            <w:noWrap w:val="0"/>
          </w:tcPr>
          <w:p>
            <w:pPr>
              <w:jc w:val="center"/>
              <w:rPr>
                <w:rFonts w:ascii="宋体" w:hAnsi="宋体" w:cs="宋体"/>
                <w:szCs w:val="21"/>
              </w:rPr>
            </w:pPr>
          </w:p>
        </w:tc>
        <w:tc>
          <w:tcPr>
            <w:tcW w:w="1555" w:type="pct"/>
            <w:noWrap w:val="0"/>
          </w:tcPr>
          <w:p>
            <w:pPr>
              <w:jc w:val="center"/>
              <w:rPr>
                <w:rFonts w:ascii="宋体" w:hAnsi="宋体" w:cs="宋体"/>
                <w:szCs w:val="21"/>
              </w:rPr>
            </w:pPr>
          </w:p>
        </w:tc>
        <w:tc>
          <w:tcPr>
            <w:tcW w:w="713" w:type="pct"/>
            <w:noWrap w:val="0"/>
          </w:tcPr>
          <w:p>
            <w:pPr>
              <w:jc w:val="center"/>
              <w:rPr>
                <w:rFonts w:ascii="宋体" w:hAnsi="宋体" w:cs="宋体"/>
                <w:szCs w:val="21"/>
              </w:rPr>
            </w:pPr>
          </w:p>
        </w:tc>
        <w:tc>
          <w:tcPr>
            <w:tcW w:w="639" w:type="pct"/>
            <w:noWrap w:val="0"/>
          </w:tcPr>
          <w:p>
            <w:pPr>
              <w:jc w:val="center"/>
              <w:rPr>
                <w:rFonts w:ascii="宋体" w:hAnsi="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426" w:type="pct"/>
            <w:noWrap w:val="0"/>
          </w:tcPr>
          <w:p>
            <w:pPr>
              <w:jc w:val="center"/>
              <w:rPr>
                <w:rFonts w:ascii="宋体" w:hAnsi="宋体" w:cs="宋体"/>
                <w:szCs w:val="21"/>
              </w:rPr>
            </w:pPr>
          </w:p>
        </w:tc>
        <w:tc>
          <w:tcPr>
            <w:tcW w:w="1665" w:type="pct"/>
            <w:noWrap w:val="0"/>
          </w:tcPr>
          <w:p>
            <w:pPr>
              <w:jc w:val="center"/>
              <w:rPr>
                <w:rFonts w:ascii="宋体" w:hAnsi="宋体" w:cs="宋体"/>
                <w:szCs w:val="21"/>
              </w:rPr>
            </w:pPr>
            <w:r>
              <w:rPr>
                <w:rFonts w:hint="eastAsia" w:ascii="宋体" w:hAnsi="宋体" w:cs="宋体"/>
                <w:szCs w:val="21"/>
              </w:rPr>
              <w:t>……</w:t>
            </w:r>
          </w:p>
        </w:tc>
        <w:tc>
          <w:tcPr>
            <w:tcW w:w="1555" w:type="pct"/>
            <w:noWrap w:val="0"/>
          </w:tcPr>
          <w:p>
            <w:pPr>
              <w:jc w:val="center"/>
              <w:rPr>
                <w:rFonts w:ascii="宋体" w:hAnsi="宋体" w:cs="宋体"/>
                <w:szCs w:val="21"/>
              </w:rPr>
            </w:pPr>
          </w:p>
        </w:tc>
        <w:tc>
          <w:tcPr>
            <w:tcW w:w="713" w:type="pct"/>
            <w:noWrap w:val="0"/>
          </w:tcPr>
          <w:p>
            <w:pPr>
              <w:jc w:val="center"/>
              <w:rPr>
                <w:rFonts w:ascii="宋体" w:hAnsi="宋体" w:cs="宋体"/>
                <w:szCs w:val="21"/>
              </w:rPr>
            </w:pPr>
          </w:p>
        </w:tc>
        <w:tc>
          <w:tcPr>
            <w:tcW w:w="639" w:type="pct"/>
            <w:noWrap w:val="0"/>
          </w:tcPr>
          <w:p>
            <w:pPr>
              <w:jc w:val="center"/>
              <w:rPr>
                <w:rFonts w:ascii="宋体" w:hAnsi="宋体" w:cs="宋体"/>
                <w:szCs w:val="21"/>
              </w:rPr>
            </w:pPr>
          </w:p>
        </w:tc>
      </w:tr>
    </w:tbl>
    <w:p>
      <w:pPr>
        <w:spacing w:before="240" w:line="360" w:lineRule="auto"/>
        <w:rPr>
          <w:rFonts w:ascii="宋体" w:hAnsi="宋体" w:cs="宋体"/>
          <w:szCs w:val="21"/>
        </w:rPr>
      </w:pPr>
      <w:r>
        <w:rPr>
          <w:rFonts w:hint="eastAsia" w:ascii="宋体" w:hAnsi="宋体" w:cs="宋体"/>
          <w:szCs w:val="21"/>
        </w:rPr>
        <w:t>注：1、行数不够，可自行添加。</w:t>
      </w:r>
    </w:p>
    <w:p>
      <w:pPr>
        <w:spacing w:before="160" w:line="360" w:lineRule="auto"/>
        <w:ind w:firstLine="420"/>
        <w:rPr>
          <w:rFonts w:ascii="宋体" w:hAnsi="宋体" w:cs="宋体"/>
          <w:szCs w:val="21"/>
        </w:rPr>
      </w:pPr>
      <w:r>
        <w:rPr>
          <w:rFonts w:hint="eastAsia" w:ascii="宋体" w:hAnsi="宋体" w:cs="宋体"/>
          <w:szCs w:val="21"/>
        </w:rPr>
        <w:t>2、供应商应对照采购文件服务要求，逐条说明所提供服务己对采购文件的服务要求做出了实质性的响应，并声明与服务要求条文的偏差和例外。未在上表中说明的，将被认为完全响应采购文件的规定。</w:t>
      </w:r>
    </w:p>
    <w:p>
      <w:pPr>
        <w:spacing w:line="480" w:lineRule="auto"/>
        <w:rPr>
          <w:rFonts w:ascii="宋体" w:hAnsi="宋体" w:cs="宋体"/>
          <w:szCs w:val="21"/>
        </w:rPr>
      </w:pPr>
    </w:p>
    <w:p>
      <w:pPr>
        <w:pBdr>
          <w:top w:val="none" w:color="000000" w:sz="0" w:space="0"/>
          <w:left w:val="none" w:color="000000" w:sz="0" w:space="0"/>
          <w:bottom w:val="none" w:color="000000" w:sz="0" w:space="0"/>
          <w:right w:val="none" w:color="000000" w:sz="0" w:space="0"/>
        </w:pBdr>
        <w:spacing w:before="220" w:line="250" w:lineRule="atLeast"/>
        <w:ind w:firstLine="420"/>
      </w:pPr>
      <w:r>
        <w:rPr>
          <w:rFonts w:ascii="宋体" w:hAnsi="宋体" w:cs="宋体"/>
          <w:color w:val="000000"/>
          <w:sz w:val="22"/>
        </w:rPr>
        <w:t>供应商全称：（</w:t>
      </w:r>
      <w:r>
        <w:rPr>
          <w:rFonts w:hint="eastAsia" w:ascii="宋体" w:hAnsi="宋体" w:cs="宋体"/>
          <w:color w:val="000000"/>
          <w:sz w:val="22"/>
        </w:rPr>
        <w:t>加盖CA电子公章</w:t>
      </w:r>
      <w:r>
        <w:rPr>
          <w:rFonts w:ascii="宋体" w:hAnsi="宋体" w:cs="宋体"/>
          <w:color w:val="000000"/>
          <w:sz w:val="22"/>
        </w:rPr>
        <w:t>）</w:t>
      </w:r>
    </w:p>
    <w:p>
      <w:pPr>
        <w:pBdr>
          <w:top w:val="none" w:color="000000" w:sz="0" w:space="0"/>
          <w:left w:val="none" w:color="000000" w:sz="0" w:space="0"/>
          <w:bottom w:val="none" w:color="000000" w:sz="0" w:space="0"/>
          <w:right w:val="none" w:color="000000" w:sz="0" w:space="0"/>
        </w:pBdr>
        <w:spacing w:before="220" w:line="250" w:lineRule="atLeast"/>
        <w:ind w:firstLine="420"/>
        <w:jc w:val="right"/>
        <w:rPr>
          <w:rFonts w:ascii="宋体" w:hAnsi="宋体" w:cs="宋体"/>
          <w:color w:val="000000"/>
          <w:sz w:val="22"/>
        </w:rPr>
      </w:pPr>
      <w:r>
        <w:rPr>
          <w:rFonts w:ascii="宋体" w:hAnsi="宋体" w:cs="宋体"/>
          <w:color w:val="000000"/>
          <w:sz w:val="22"/>
        </w:rPr>
        <w:t>日期：</w:t>
      </w:r>
      <w:r>
        <w:rPr>
          <w:rFonts w:hint="eastAsia" w:ascii="宋体" w:hAnsi="宋体" w:cs="宋体"/>
          <w:color w:val="000000"/>
          <w:sz w:val="22"/>
        </w:rPr>
        <w:t xml:space="preserve">      </w:t>
      </w:r>
      <w:r>
        <w:rPr>
          <w:rFonts w:ascii="宋体" w:hAnsi="宋体" w:cs="宋体"/>
          <w:color w:val="000000"/>
          <w:sz w:val="22"/>
        </w:rPr>
        <w:t>年</w:t>
      </w:r>
      <w:r>
        <w:rPr>
          <w:rFonts w:hint="eastAsia" w:ascii="宋体" w:hAnsi="宋体" w:cs="宋体"/>
          <w:color w:val="000000"/>
          <w:sz w:val="22"/>
        </w:rPr>
        <w:t xml:space="preserve">   </w:t>
      </w:r>
      <w:r>
        <w:rPr>
          <w:rFonts w:ascii="宋体" w:hAnsi="宋体" w:cs="宋体"/>
          <w:color w:val="000000"/>
          <w:sz w:val="22"/>
        </w:rPr>
        <w:t>月</w:t>
      </w:r>
      <w:r>
        <w:rPr>
          <w:rFonts w:hint="eastAsia" w:ascii="宋体" w:hAnsi="宋体" w:cs="宋体"/>
          <w:color w:val="000000"/>
          <w:sz w:val="22"/>
        </w:rPr>
        <w:t xml:space="preserve">    </w:t>
      </w:r>
      <w:r>
        <w:rPr>
          <w:rFonts w:ascii="宋体" w:hAnsi="宋体" w:cs="宋体"/>
          <w:color w:val="000000"/>
          <w:sz w:val="22"/>
        </w:rPr>
        <w:t>日</w:t>
      </w:r>
    </w:p>
    <w:p>
      <w:pPr>
        <w:spacing w:line="480" w:lineRule="auto"/>
        <w:rPr>
          <w:rFonts w:ascii="仿宋_GB2312" w:hAnsi="Arial"/>
          <w:sz w:val="30"/>
          <w:szCs w:val="21"/>
        </w:rPr>
      </w:pPr>
    </w:p>
    <w:p>
      <w:pPr>
        <w:rPr>
          <w:rFonts w:ascii="宋体" w:hAnsi="宋体"/>
          <w:sz w:val="24"/>
          <w:szCs w:val="21"/>
        </w:rPr>
      </w:pPr>
      <w:bookmarkStart w:id="201" w:name="_Hlt26955066"/>
      <w:bookmarkEnd w:id="201"/>
      <w:bookmarkStart w:id="202" w:name="_Hlt26671374"/>
      <w:bookmarkEnd w:id="202"/>
      <w:bookmarkStart w:id="203" w:name="_Hlt26609389"/>
      <w:bookmarkEnd w:id="203"/>
      <w:bookmarkStart w:id="204" w:name="_Toc462564146"/>
    </w:p>
    <w:bookmarkEnd w:id="174"/>
    <w:bookmarkEnd w:id="175"/>
    <w:bookmarkEnd w:id="204"/>
    <w:p>
      <w:pPr>
        <w:jc w:val="center"/>
        <w:rPr>
          <w:rFonts w:ascii="黑体" w:hAnsi="黑体" w:eastAsia="黑体"/>
          <w:b/>
          <w:sz w:val="32"/>
          <w:szCs w:val="32"/>
        </w:rPr>
      </w:pPr>
      <w:bookmarkStart w:id="205" w:name="_格式2__法定代表人授权书"/>
      <w:bookmarkEnd w:id="205"/>
    </w:p>
    <w:p>
      <w:pPr>
        <w:jc w:val="center"/>
        <w:rPr>
          <w:rFonts w:ascii="黑体" w:hAnsi="黑体" w:eastAsia="黑体"/>
          <w:b/>
          <w:sz w:val="32"/>
          <w:szCs w:val="32"/>
        </w:rPr>
      </w:pPr>
    </w:p>
    <w:p>
      <w:pPr>
        <w:jc w:val="center"/>
        <w:rPr>
          <w:rFonts w:ascii="黑体" w:hAnsi="黑体" w:eastAsia="黑体"/>
          <w:b/>
          <w:sz w:val="32"/>
          <w:szCs w:val="32"/>
        </w:rPr>
      </w:pPr>
    </w:p>
    <w:p>
      <w:pPr>
        <w:jc w:val="center"/>
        <w:rPr>
          <w:rFonts w:ascii="黑体" w:hAnsi="黑体" w:eastAsia="黑体"/>
          <w:b/>
          <w:sz w:val="32"/>
          <w:szCs w:val="32"/>
        </w:rPr>
      </w:pPr>
    </w:p>
    <w:p>
      <w:pPr>
        <w:jc w:val="center"/>
        <w:rPr>
          <w:rFonts w:ascii="黑体" w:hAnsi="黑体" w:eastAsia="黑体"/>
          <w:b/>
          <w:sz w:val="32"/>
          <w:szCs w:val="32"/>
        </w:rPr>
      </w:pPr>
    </w:p>
    <w:p>
      <w:pPr>
        <w:jc w:val="center"/>
        <w:rPr>
          <w:rFonts w:ascii="黑体" w:hAnsi="黑体" w:eastAsia="黑体"/>
          <w:b/>
          <w:color w:val="000000"/>
          <w:sz w:val="32"/>
          <w:szCs w:val="32"/>
          <w:highlight w:val="none"/>
        </w:rPr>
      </w:pPr>
      <w:r>
        <w:rPr>
          <w:rFonts w:hint="eastAsia" w:ascii="黑体" w:hAnsi="黑体" w:eastAsia="黑体"/>
          <w:b/>
          <w:color w:val="000000"/>
          <w:sz w:val="32"/>
          <w:szCs w:val="32"/>
        </w:rPr>
        <w:br w:type="page" w:clear="all"/>
      </w:r>
      <w:r>
        <w:rPr>
          <w:rFonts w:hint="eastAsia" w:ascii="黑体" w:hAnsi="黑体" w:eastAsia="黑体"/>
          <w:b/>
          <w:sz w:val="32"/>
          <w:szCs w:val="32"/>
          <w:highlight w:val="none"/>
        </w:rPr>
        <w:t>十</w:t>
      </w:r>
      <w:r>
        <w:rPr>
          <w:rFonts w:hint="eastAsia" w:ascii="黑体" w:hAnsi="黑体" w:eastAsia="黑体"/>
          <w:b/>
          <w:sz w:val="32"/>
          <w:szCs w:val="32"/>
          <w:highlight w:val="none"/>
          <w:lang w:val="en-US" w:eastAsia="zh-CN"/>
        </w:rPr>
        <w:t>六</w:t>
      </w:r>
      <w:r>
        <w:rPr>
          <w:rFonts w:hint="eastAsia" w:ascii="黑体" w:hAnsi="黑体" w:eastAsia="黑体"/>
          <w:b/>
          <w:sz w:val="32"/>
          <w:szCs w:val="32"/>
          <w:highlight w:val="none"/>
        </w:rPr>
        <w:t>、拟投入人员一览表</w:t>
      </w:r>
    </w:p>
    <w:p>
      <w:pPr>
        <w:pStyle w:val="268"/>
        <w:spacing w:line="360" w:lineRule="auto"/>
        <w:rPr>
          <w:rFonts w:ascii="宋体" w:hAnsi="宋体" w:cs="宋体"/>
          <w:sz w:val="21"/>
          <w:szCs w:val="21"/>
        </w:rPr>
      </w:pPr>
    </w:p>
    <w:p>
      <w:pPr>
        <w:pStyle w:val="268"/>
        <w:spacing w:line="360" w:lineRule="auto"/>
        <w:rPr>
          <w:rFonts w:ascii="宋体" w:hAnsi="宋体" w:cs="宋体"/>
          <w:sz w:val="21"/>
          <w:szCs w:val="21"/>
        </w:rPr>
      </w:pPr>
      <w:r>
        <w:rPr>
          <w:rFonts w:hint="eastAsia" w:ascii="宋体" w:hAnsi="宋体" w:cs="宋体"/>
          <w:sz w:val="21"/>
          <w:szCs w:val="21"/>
        </w:rPr>
        <w:t xml:space="preserve">项目名称： </w:t>
      </w:r>
    </w:p>
    <w:p>
      <w:pPr>
        <w:pBdr>
          <w:top w:val="none" w:color="000000" w:sz="0" w:space="0"/>
          <w:left w:val="none" w:color="000000" w:sz="0" w:space="0"/>
          <w:bottom w:val="none" w:color="000000" w:sz="0" w:space="0"/>
          <w:right w:val="none" w:color="000000" w:sz="0" w:space="0"/>
        </w:pBdr>
        <w:spacing w:before="220" w:line="250" w:lineRule="atLeast"/>
        <w:rPr>
          <w:rFonts w:ascii="黑体" w:hAnsi="黑体" w:eastAsia="黑体" w:cs="黑体"/>
          <w:b/>
          <w:color w:val="000000"/>
          <w:sz w:val="32"/>
        </w:rPr>
      </w:pPr>
      <w:r>
        <w:rPr>
          <w:rFonts w:hint="eastAsia" w:ascii="宋体" w:hAnsi="宋体" w:cs="宋体"/>
        </w:rPr>
        <w:t xml:space="preserve">项目编号：   </w:t>
      </w:r>
    </w:p>
    <w:p>
      <w:pPr>
        <w:pBdr>
          <w:top w:val="none" w:color="000000" w:sz="0" w:space="0"/>
          <w:left w:val="none" w:color="000000" w:sz="0" w:space="0"/>
          <w:bottom w:val="none" w:color="000000" w:sz="0" w:space="0"/>
          <w:right w:val="none" w:color="000000" w:sz="0" w:space="0"/>
        </w:pBdr>
        <w:spacing w:before="220" w:line="250" w:lineRule="atLeast"/>
        <w:ind w:firstLine="420"/>
      </w:pPr>
      <w:r>
        <w:rPr>
          <w:rFonts w:eastAsia="Times New Roman"/>
          <w:color w:val="000000"/>
          <w:sz w:val="22"/>
        </w:rPr>
        <w:t> </w:t>
      </w:r>
    </w:p>
    <w:tbl>
      <w:tblPr>
        <w:tblStyle w:val="4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3"/>
        <w:gridCol w:w="1063"/>
        <w:gridCol w:w="1065"/>
        <w:gridCol w:w="1065"/>
        <w:gridCol w:w="1065"/>
        <w:gridCol w:w="1065"/>
        <w:gridCol w:w="1065"/>
        <w:gridCol w:w="10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trPr>
        <w:tc>
          <w:tcPr>
            <w:tcW w:w="624"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312" w:line="85" w:lineRule="atLeast"/>
              <w:ind w:right="-2"/>
              <w:jc w:val="center"/>
              <w:rPr>
                <w:rFonts w:ascii="宋体" w:hAnsi="宋体"/>
                <w:color w:val="000000"/>
                <w:szCs w:val="21"/>
              </w:rPr>
            </w:pPr>
            <w:r>
              <w:rPr>
                <w:rFonts w:hint="eastAsia" w:ascii="宋体" w:hAnsi="宋体"/>
                <w:color w:val="000000"/>
                <w:szCs w:val="21"/>
              </w:rPr>
              <w:t>序号</w:t>
            </w:r>
          </w:p>
        </w:tc>
        <w:tc>
          <w:tcPr>
            <w:tcW w:w="624"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312" w:line="85" w:lineRule="atLeast"/>
              <w:ind w:right="-2"/>
              <w:jc w:val="center"/>
              <w:rPr>
                <w:rFonts w:ascii="宋体" w:hAnsi="宋体"/>
                <w:color w:val="000000"/>
                <w:szCs w:val="21"/>
              </w:rPr>
            </w:pPr>
            <w:r>
              <w:rPr>
                <w:rFonts w:hint="eastAsia" w:ascii="宋体" w:hAnsi="宋体"/>
                <w:color w:val="000000"/>
                <w:szCs w:val="21"/>
              </w:rPr>
              <w:t>岗位</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312" w:line="85" w:lineRule="atLeast"/>
              <w:ind w:right="-2"/>
              <w:jc w:val="center"/>
              <w:rPr>
                <w:rFonts w:ascii="宋体" w:hAnsi="宋体"/>
                <w:color w:val="000000"/>
                <w:szCs w:val="21"/>
              </w:rPr>
            </w:pPr>
            <w:r>
              <w:rPr>
                <w:rFonts w:hint="eastAsia" w:ascii="宋体" w:hAnsi="宋体"/>
                <w:color w:val="000000"/>
                <w:szCs w:val="21"/>
              </w:rPr>
              <w:t>姓 名</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312" w:line="85" w:lineRule="atLeast"/>
              <w:ind w:right="-2"/>
              <w:jc w:val="center"/>
              <w:rPr>
                <w:rFonts w:ascii="宋体" w:hAnsi="宋体"/>
                <w:color w:val="000000"/>
                <w:szCs w:val="21"/>
              </w:rPr>
            </w:pPr>
            <w:r>
              <w:rPr>
                <w:rFonts w:hint="eastAsia" w:ascii="宋体" w:hAnsi="宋体"/>
                <w:color w:val="000000"/>
                <w:szCs w:val="21"/>
              </w:rPr>
              <w:t>性别</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312" w:line="85" w:lineRule="atLeast"/>
              <w:ind w:right="-2"/>
              <w:jc w:val="center"/>
              <w:rPr>
                <w:rFonts w:ascii="宋体" w:hAnsi="宋体"/>
                <w:color w:val="000000"/>
                <w:szCs w:val="21"/>
              </w:rPr>
            </w:pPr>
            <w:r>
              <w:rPr>
                <w:rFonts w:hint="eastAsia" w:ascii="宋体" w:hAnsi="宋体"/>
                <w:color w:val="000000"/>
                <w:szCs w:val="21"/>
              </w:rPr>
              <w:t>学历</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312" w:line="85" w:lineRule="atLeast"/>
              <w:ind w:right="-2"/>
              <w:jc w:val="center"/>
              <w:rPr>
                <w:rFonts w:ascii="宋体" w:hAnsi="宋体"/>
                <w:color w:val="000000"/>
                <w:szCs w:val="21"/>
              </w:rPr>
            </w:pPr>
            <w:r>
              <w:rPr>
                <w:rFonts w:hint="eastAsia" w:ascii="宋体" w:hAnsi="宋体"/>
                <w:color w:val="000000"/>
                <w:szCs w:val="21"/>
              </w:rPr>
              <w:t>出生年月</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312" w:line="85" w:lineRule="atLeast"/>
              <w:ind w:right="-2"/>
              <w:jc w:val="center"/>
              <w:rPr>
                <w:rFonts w:ascii="宋体" w:hAnsi="宋体"/>
                <w:color w:val="000000"/>
                <w:szCs w:val="21"/>
              </w:rPr>
            </w:pPr>
            <w:r>
              <w:rPr>
                <w:rFonts w:hint="eastAsia" w:ascii="宋体" w:hAnsi="宋体"/>
                <w:color w:val="000000"/>
                <w:szCs w:val="21"/>
              </w:rPr>
              <w:t>专业</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312" w:line="85" w:lineRule="atLeast"/>
              <w:ind w:right="-2"/>
              <w:jc w:val="center"/>
              <w:rPr>
                <w:rFonts w:ascii="宋体" w:hAnsi="宋体"/>
                <w:color w:val="000000"/>
                <w:szCs w:val="21"/>
              </w:rPr>
            </w:pPr>
            <w:r>
              <w:rPr>
                <w:rFonts w:hint="eastAsia" w:ascii="宋体" w:hAnsi="宋体"/>
                <w:color w:val="00000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624"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4"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624"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4"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624"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4"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624"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4"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624"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4"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624"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4"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624"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4"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624"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4"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624"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4"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c>
          <w:tcPr>
            <w:tcW w:w="625" w:type="pct"/>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85" w:lineRule="atLeast"/>
              <w:ind w:right="-2"/>
              <w:jc w:val="center"/>
              <w:rPr>
                <w:rFonts w:ascii="宋体" w:hAnsi="宋体"/>
                <w:color w:val="000000"/>
                <w:szCs w:val="21"/>
              </w:rPr>
            </w:pPr>
            <w:r>
              <w:rPr>
                <w:rFonts w:hint="eastAsia" w:ascii="宋体" w:hAnsi="宋体"/>
                <w:color w:val="000000"/>
                <w:szCs w:val="21"/>
              </w:rPr>
              <w:t> </w:t>
            </w:r>
          </w:p>
        </w:tc>
      </w:tr>
    </w:tbl>
    <w:p>
      <w:pPr>
        <w:pBdr>
          <w:top w:val="none" w:color="000000" w:sz="0" w:space="0"/>
          <w:left w:val="none" w:color="000000" w:sz="0" w:space="0"/>
          <w:bottom w:val="none" w:color="000000" w:sz="0" w:space="0"/>
          <w:right w:val="none" w:color="000000" w:sz="0" w:space="0"/>
        </w:pBdr>
        <w:spacing w:before="220" w:line="250" w:lineRule="atLeast"/>
        <w:ind w:firstLine="420"/>
      </w:pPr>
      <w:r>
        <w:rPr>
          <w:rFonts w:eastAsia="Times New Roman"/>
          <w:color w:val="000000"/>
          <w:sz w:val="22"/>
        </w:rPr>
        <w:t> </w:t>
      </w:r>
    </w:p>
    <w:p>
      <w:pPr>
        <w:pBdr>
          <w:top w:val="none" w:color="000000" w:sz="0" w:space="0"/>
          <w:left w:val="none" w:color="000000" w:sz="0" w:space="0"/>
          <w:bottom w:val="none" w:color="000000" w:sz="0" w:space="0"/>
          <w:right w:val="none" w:color="000000" w:sz="0" w:space="0"/>
        </w:pBdr>
        <w:spacing w:before="220" w:line="250" w:lineRule="atLeast"/>
        <w:ind w:firstLine="420"/>
      </w:pPr>
      <w:r>
        <w:rPr>
          <w:rFonts w:ascii="宋体" w:hAnsi="宋体" w:cs="宋体"/>
          <w:color w:val="000000"/>
          <w:sz w:val="22"/>
        </w:rPr>
        <w:t>供应商全称：（</w:t>
      </w:r>
      <w:r>
        <w:rPr>
          <w:rFonts w:hint="eastAsia" w:ascii="宋体" w:hAnsi="宋体" w:cs="宋体"/>
          <w:color w:val="000000"/>
          <w:sz w:val="22"/>
        </w:rPr>
        <w:t>加盖CA电子公章</w:t>
      </w:r>
      <w:r>
        <w:rPr>
          <w:rFonts w:ascii="宋体" w:hAnsi="宋体" w:cs="宋体"/>
          <w:color w:val="000000"/>
          <w:sz w:val="22"/>
        </w:rPr>
        <w:t>）</w:t>
      </w:r>
    </w:p>
    <w:p>
      <w:pPr>
        <w:pBdr>
          <w:top w:val="none" w:color="000000" w:sz="0" w:space="0"/>
          <w:left w:val="none" w:color="000000" w:sz="0" w:space="0"/>
          <w:bottom w:val="none" w:color="000000" w:sz="0" w:space="0"/>
          <w:right w:val="none" w:color="000000" w:sz="0" w:space="0"/>
        </w:pBdr>
        <w:spacing w:before="220" w:line="250" w:lineRule="atLeast"/>
        <w:ind w:firstLine="420"/>
        <w:jc w:val="right"/>
      </w:pPr>
      <w:r>
        <w:rPr>
          <w:rFonts w:ascii="宋体" w:hAnsi="宋体" w:cs="宋体"/>
          <w:color w:val="000000"/>
          <w:sz w:val="22"/>
        </w:rPr>
        <w:t>日期：</w:t>
      </w:r>
      <w:r>
        <w:rPr>
          <w:rFonts w:hint="eastAsia" w:ascii="宋体" w:hAnsi="宋体" w:cs="宋体"/>
          <w:color w:val="000000"/>
          <w:sz w:val="22"/>
        </w:rPr>
        <w:t xml:space="preserve">      </w:t>
      </w:r>
      <w:r>
        <w:rPr>
          <w:rFonts w:ascii="宋体" w:hAnsi="宋体" w:cs="宋体"/>
          <w:color w:val="000000"/>
          <w:sz w:val="22"/>
        </w:rPr>
        <w:t>年</w:t>
      </w:r>
      <w:r>
        <w:rPr>
          <w:rFonts w:hint="eastAsia" w:ascii="宋体" w:hAnsi="宋体" w:cs="宋体"/>
          <w:color w:val="000000"/>
          <w:sz w:val="22"/>
        </w:rPr>
        <w:t xml:space="preserve">   </w:t>
      </w:r>
      <w:r>
        <w:rPr>
          <w:rFonts w:ascii="宋体" w:hAnsi="宋体" w:cs="宋体"/>
          <w:color w:val="000000"/>
          <w:sz w:val="22"/>
        </w:rPr>
        <w:t>月</w:t>
      </w:r>
      <w:r>
        <w:rPr>
          <w:rFonts w:hint="eastAsia" w:ascii="宋体" w:hAnsi="宋体" w:cs="宋体"/>
          <w:color w:val="000000"/>
          <w:sz w:val="22"/>
        </w:rPr>
        <w:t xml:space="preserve">    </w:t>
      </w:r>
      <w:r>
        <w:rPr>
          <w:rFonts w:ascii="宋体" w:hAnsi="宋体" w:cs="宋体"/>
          <w:color w:val="000000"/>
          <w:sz w:val="22"/>
        </w:rPr>
        <w:t>日</w:t>
      </w:r>
    </w:p>
    <w:p>
      <w:pPr>
        <w:jc w:val="center"/>
        <w:rPr>
          <w:rFonts w:ascii="黑体" w:hAnsi="黑体" w:eastAsia="黑体"/>
          <w:b/>
          <w:sz w:val="32"/>
          <w:szCs w:val="32"/>
        </w:rPr>
      </w:pPr>
      <w:r>
        <w:rPr>
          <w:rFonts w:ascii="黑体" w:hAnsi="黑体" w:eastAsia="黑体"/>
          <w:b/>
          <w:color w:val="000000"/>
          <w:sz w:val="32"/>
          <w:szCs w:val="32"/>
        </w:rPr>
        <w:br w:type="page" w:clear="all"/>
      </w:r>
      <w:r>
        <w:rPr>
          <w:rFonts w:hint="eastAsia" w:ascii="黑体" w:hAnsi="黑体" w:eastAsia="黑体"/>
          <w:b/>
          <w:sz w:val="32"/>
          <w:szCs w:val="32"/>
        </w:rPr>
        <w:t>十</w:t>
      </w:r>
      <w:r>
        <w:rPr>
          <w:rFonts w:hint="eastAsia" w:ascii="黑体" w:hAnsi="黑体" w:eastAsia="黑体"/>
          <w:b/>
          <w:sz w:val="32"/>
          <w:szCs w:val="32"/>
          <w:lang w:val="en-US" w:eastAsia="zh-CN"/>
        </w:rPr>
        <w:t>七</w:t>
      </w:r>
      <w:r>
        <w:rPr>
          <w:rFonts w:hint="eastAsia" w:ascii="黑体" w:hAnsi="黑体" w:eastAsia="黑体"/>
          <w:b/>
          <w:sz w:val="32"/>
          <w:szCs w:val="32"/>
        </w:rPr>
        <w:t>、主要标的信息</w:t>
      </w:r>
    </w:p>
    <w:p>
      <w:pPr>
        <w:jc w:val="center"/>
        <w:rPr>
          <w:rFonts w:ascii="黑体" w:hAnsi="黑体" w:eastAsia="黑体"/>
          <w:b/>
          <w:sz w:val="32"/>
          <w:szCs w:val="32"/>
        </w:rPr>
      </w:pPr>
    </w:p>
    <w:p>
      <w:pPr>
        <w:spacing w:before="312" w:line="360" w:lineRule="auto"/>
        <w:jc w:val="center"/>
        <w:rPr>
          <w:rFonts w:ascii="宋体" w:hAnsi="宋体"/>
          <w:b/>
          <w:color w:val="000000"/>
          <w:highlight w:val="none"/>
        </w:rPr>
      </w:pPr>
      <w:r>
        <w:rPr>
          <w:rFonts w:hint="eastAsia" w:ascii="宋体" w:hAnsi="宋体"/>
          <w:b/>
          <w:color w:val="000000"/>
          <w:highlight w:val="none"/>
        </w:rPr>
        <w:t>主要标的信息（成交后将公示）</w:t>
      </w:r>
    </w:p>
    <w:p>
      <w:pPr>
        <w:spacing w:line="480" w:lineRule="auto"/>
        <w:rPr>
          <w:rFonts w:ascii="宋体" w:hAnsi="宋体"/>
          <w:b/>
        </w:rPr>
      </w:pPr>
      <w:r>
        <w:rPr>
          <w:rFonts w:hint="eastAsia" w:ascii="宋体" w:hAnsi="宋体"/>
        </w:rPr>
        <w:t>供应商全称：</w:t>
      </w:r>
      <w:r>
        <w:rPr>
          <w:rFonts w:hint="eastAsia" w:ascii="宋体" w:hAnsi="宋体"/>
          <w:color w:val="000000"/>
          <w:szCs w:val="21"/>
        </w:rPr>
        <w:t>（加盖CA电子公章）：</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8149" w:type="dxa"/>
          </w:tcPr>
          <w:p>
            <w:pPr>
              <w:spacing w:line="360" w:lineRule="auto"/>
              <w:jc w:val="center"/>
              <w:rPr>
                <w:rFonts w:ascii="宋体" w:hAnsi="宋体" w:cs="宋体"/>
              </w:rPr>
            </w:pPr>
            <w:r>
              <w:rPr>
                <w:rFonts w:hint="eastAsia" w:ascii="宋体" w:hAnsi="宋体" w:cs="宋体"/>
              </w:rPr>
              <w:t>服务类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3" w:hRule="atLeast"/>
        </w:trPr>
        <w:tc>
          <w:tcPr>
            <w:tcW w:w="8149" w:type="dxa"/>
          </w:tcPr>
          <w:p>
            <w:pPr>
              <w:spacing w:line="360" w:lineRule="auto"/>
              <w:rPr>
                <w:rFonts w:ascii="宋体" w:hAnsi="宋体" w:cs="宋体"/>
              </w:rPr>
            </w:pPr>
            <w:r>
              <w:rPr>
                <w:rFonts w:hint="eastAsia" w:ascii="宋体" w:hAnsi="宋体" w:cs="宋体"/>
              </w:rPr>
              <w:t>名称：</w:t>
            </w:r>
          </w:p>
          <w:p>
            <w:pPr>
              <w:spacing w:line="360" w:lineRule="auto"/>
              <w:rPr>
                <w:rFonts w:ascii="宋体" w:hAnsi="宋体" w:cs="宋体"/>
              </w:rPr>
            </w:pPr>
            <w:r>
              <w:rPr>
                <w:rFonts w:hint="eastAsia" w:ascii="宋体" w:hAnsi="宋体" w:cs="宋体"/>
              </w:rPr>
              <w:t>服务范围：</w:t>
            </w:r>
          </w:p>
          <w:p>
            <w:pPr>
              <w:spacing w:line="360" w:lineRule="auto"/>
              <w:rPr>
                <w:rFonts w:ascii="宋体" w:hAnsi="宋体" w:cs="宋体"/>
              </w:rPr>
            </w:pPr>
            <w:r>
              <w:rPr>
                <w:rFonts w:hint="eastAsia" w:ascii="宋体" w:hAnsi="宋体" w:cs="宋体"/>
              </w:rPr>
              <w:t>服务要求：</w:t>
            </w:r>
          </w:p>
          <w:p>
            <w:pPr>
              <w:spacing w:line="360" w:lineRule="auto"/>
              <w:rPr>
                <w:rFonts w:ascii="宋体" w:hAnsi="宋体" w:cs="宋体"/>
              </w:rPr>
            </w:pPr>
            <w:r>
              <w:rPr>
                <w:rFonts w:hint="eastAsia" w:ascii="宋体" w:hAnsi="宋体" w:cs="宋体"/>
              </w:rPr>
              <w:t>服务时间：</w:t>
            </w:r>
          </w:p>
          <w:p>
            <w:pPr>
              <w:spacing w:line="360" w:lineRule="auto"/>
              <w:rPr>
                <w:rFonts w:ascii="宋体" w:hAnsi="宋体" w:cs="宋体"/>
              </w:rPr>
            </w:pPr>
            <w:r>
              <w:rPr>
                <w:rFonts w:hint="eastAsia" w:ascii="宋体" w:hAnsi="宋体" w:cs="宋体"/>
              </w:rPr>
              <w:t>服务标准：</w:t>
            </w:r>
          </w:p>
        </w:tc>
      </w:tr>
    </w:tbl>
    <w:p>
      <w:pPr>
        <w:jc w:val="center"/>
        <w:rPr>
          <w:rFonts w:ascii="宋体" w:hAnsi="宋体" w:cs="仿宋"/>
          <w:b/>
          <w:bCs/>
          <w:sz w:val="32"/>
          <w:szCs w:val="32"/>
        </w:rPr>
      </w:pPr>
    </w:p>
    <w:p>
      <w:pPr>
        <w:jc w:val="center"/>
        <w:rPr>
          <w:rFonts w:ascii="宋体" w:hAnsi="宋体" w:cs="仿宋"/>
          <w:b/>
          <w:bCs/>
          <w:sz w:val="32"/>
          <w:szCs w:val="32"/>
        </w:rPr>
      </w:pPr>
    </w:p>
    <w:p>
      <w:pPr>
        <w:jc w:val="center"/>
        <w:rPr>
          <w:rFonts w:ascii="黑体" w:hAnsi="黑体" w:eastAsia="黑体"/>
          <w:b/>
          <w:color w:val="000000"/>
          <w:sz w:val="32"/>
          <w:szCs w:val="32"/>
        </w:rPr>
      </w:pPr>
    </w:p>
    <w:p>
      <w:pPr>
        <w:jc w:val="center"/>
        <w:rPr>
          <w:rFonts w:ascii="宋体" w:hAnsi="宋体" w:cs="仿宋"/>
          <w:b/>
          <w:bCs/>
          <w:sz w:val="32"/>
          <w:szCs w:val="32"/>
        </w:rPr>
      </w:pPr>
      <w:r>
        <w:rPr>
          <w:rFonts w:ascii="黑体" w:hAnsi="黑体" w:eastAsia="黑体"/>
          <w:b/>
          <w:color w:val="000000"/>
          <w:sz w:val="32"/>
          <w:szCs w:val="32"/>
        </w:rPr>
        <w:br w:type="page" w:clear="all"/>
      </w:r>
      <w:r>
        <w:rPr>
          <w:rFonts w:hint="eastAsia" w:ascii="宋体" w:hAnsi="宋体" w:cs="仿宋"/>
          <w:b/>
          <w:bCs/>
          <w:sz w:val="32"/>
          <w:szCs w:val="32"/>
        </w:rPr>
        <w:t>质疑函范本</w:t>
      </w:r>
    </w:p>
    <w:p>
      <w:pPr>
        <w:spacing w:before="290" w:line="360" w:lineRule="auto"/>
        <w:rPr>
          <w:rFonts w:ascii="宋体" w:hAnsi="宋体" w:cs="仿宋"/>
          <w:bCs/>
          <w:szCs w:val="21"/>
        </w:rPr>
      </w:pPr>
      <w:r>
        <w:rPr>
          <w:rFonts w:hint="eastAsia" w:ascii="宋体" w:hAnsi="宋体" w:cs="仿宋"/>
          <w:bCs/>
          <w:szCs w:val="21"/>
        </w:rPr>
        <w:t>一、质疑供应商基本信息</w:t>
      </w:r>
    </w:p>
    <w:p>
      <w:pPr>
        <w:spacing w:line="360" w:lineRule="auto"/>
        <w:rPr>
          <w:rFonts w:ascii="宋体" w:hAnsi="宋体" w:cs="仿宋"/>
          <w:szCs w:val="21"/>
          <w:u w:val="single"/>
        </w:rPr>
      </w:pPr>
      <w:r>
        <w:rPr>
          <w:rFonts w:hint="eastAsia" w:ascii="宋体" w:hAnsi="宋体" w:cs="仿宋"/>
          <w:szCs w:val="21"/>
        </w:rPr>
        <w:t>质疑供应商：</w:t>
      </w:r>
      <w:r>
        <w:rPr>
          <w:rFonts w:hint="eastAsia" w:ascii="宋体" w:hAnsi="宋体" w:cs="仿宋"/>
          <w:szCs w:val="21"/>
          <w:u w:val="single"/>
        </w:rPr>
        <w:t xml:space="preserve">                                                              </w:t>
      </w:r>
    </w:p>
    <w:p>
      <w:pPr>
        <w:spacing w:line="360" w:lineRule="auto"/>
        <w:rPr>
          <w:rFonts w:ascii="宋体" w:hAnsi="宋体" w:cs="仿宋"/>
          <w:szCs w:val="21"/>
        </w:rPr>
      </w:pPr>
      <w:r>
        <w:rPr>
          <w:rFonts w:hint="eastAsia" w:ascii="宋体" w:hAnsi="宋体" w:cs="仿宋"/>
          <w:szCs w:val="21"/>
        </w:rPr>
        <w:t>地址：</w:t>
      </w:r>
      <w:r>
        <w:rPr>
          <w:rFonts w:hint="eastAsia" w:ascii="宋体" w:hAnsi="宋体" w:cs="仿宋"/>
          <w:szCs w:val="21"/>
          <w:u w:val="single"/>
        </w:rPr>
        <w:t xml:space="preserve">                             </w:t>
      </w:r>
      <w:r>
        <w:rPr>
          <w:rFonts w:hint="eastAsia" w:ascii="宋体" w:hAnsi="宋体" w:cs="仿宋"/>
          <w:szCs w:val="21"/>
        </w:rPr>
        <w:t>邮编：</w:t>
      </w:r>
      <w:r>
        <w:rPr>
          <w:rFonts w:hint="eastAsia" w:ascii="宋体" w:hAnsi="宋体" w:cs="仿宋"/>
          <w:szCs w:val="21"/>
          <w:u w:val="single"/>
        </w:rPr>
        <w:t xml:space="preserve">                                    </w:t>
      </w:r>
    </w:p>
    <w:p>
      <w:pPr>
        <w:spacing w:line="360" w:lineRule="auto"/>
        <w:rPr>
          <w:rFonts w:ascii="宋体" w:hAnsi="宋体" w:cs="仿宋"/>
          <w:szCs w:val="21"/>
        </w:rPr>
      </w:pPr>
      <w:r>
        <w:rPr>
          <w:rFonts w:hint="eastAsia" w:ascii="宋体" w:hAnsi="宋体" w:cs="仿宋"/>
          <w:szCs w:val="21"/>
        </w:rPr>
        <w:t>联系人：</w:t>
      </w:r>
      <w:r>
        <w:rPr>
          <w:rFonts w:hint="eastAsia" w:ascii="宋体" w:hAnsi="宋体" w:cs="仿宋"/>
          <w:szCs w:val="21"/>
          <w:u w:val="single"/>
        </w:rPr>
        <w:t xml:space="preserve">                      </w:t>
      </w:r>
      <w:r>
        <w:rPr>
          <w:rFonts w:hint="eastAsia" w:ascii="宋体" w:hAnsi="宋体" w:cs="仿宋"/>
          <w:szCs w:val="21"/>
        </w:rPr>
        <w:t>联系电话：</w:t>
      </w:r>
      <w:r>
        <w:rPr>
          <w:rFonts w:hint="eastAsia" w:ascii="宋体" w:hAnsi="宋体" w:cs="仿宋"/>
          <w:szCs w:val="21"/>
          <w:u w:val="single"/>
        </w:rPr>
        <w:t xml:space="preserve">                                       </w:t>
      </w:r>
    </w:p>
    <w:p>
      <w:pPr>
        <w:spacing w:line="360" w:lineRule="auto"/>
        <w:rPr>
          <w:rFonts w:ascii="宋体" w:hAnsi="宋体" w:cs="仿宋"/>
          <w:szCs w:val="21"/>
          <w:u w:val="single"/>
        </w:rPr>
      </w:pPr>
      <w:r>
        <w:rPr>
          <w:rFonts w:hint="eastAsia" w:ascii="宋体" w:hAnsi="宋体" w:cs="仿宋"/>
          <w:szCs w:val="21"/>
        </w:rPr>
        <w:t>授权代表：</w:t>
      </w:r>
      <w:r>
        <w:rPr>
          <w:rFonts w:hint="eastAsia" w:ascii="宋体" w:hAnsi="宋体" w:cs="仿宋"/>
          <w:szCs w:val="21"/>
          <w:u w:val="single"/>
        </w:rPr>
        <w:t xml:space="preserve">                                                                 </w:t>
      </w:r>
    </w:p>
    <w:p>
      <w:pPr>
        <w:spacing w:line="360" w:lineRule="auto"/>
        <w:rPr>
          <w:rFonts w:ascii="宋体" w:hAnsi="宋体" w:cs="仿宋"/>
          <w:szCs w:val="21"/>
        </w:rPr>
      </w:pPr>
      <w:r>
        <w:rPr>
          <w:rFonts w:hint="eastAsia" w:ascii="宋体" w:hAnsi="宋体" w:cs="仿宋"/>
          <w:szCs w:val="21"/>
        </w:rPr>
        <w:t>联系电话：</w:t>
      </w:r>
      <w:r>
        <w:rPr>
          <w:rFonts w:hint="eastAsia" w:ascii="宋体" w:hAnsi="宋体" w:cs="仿宋"/>
          <w:szCs w:val="21"/>
          <w:u w:val="single"/>
        </w:rPr>
        <w:t xml:space="preserve">                                                                </w:t>
      </w:r>
    </w:p>
    <w:p>
      <w:pPr>
        <w:spacing w:line="360" w:lineRule="auto"/>
        <w:rPr>
          <w:rFonts w:ascii="宋体" w:hAnsi="宋体" w:cs="仿宋"/>
          <w:szCs w:val="21"/>
        </w:rPr>
      </w:pPr>
      <w:r>
        <w:rPr>
          <w:rFonts w:hint="eastAsia" w:ascii="宋体" w:hAnsi="宋体" w:cs="仿宋"/>
          <w:szCs w:val="21"/>
        </w:rPr>
        <w:t>地址：</w:t>
      </w:r>
      <w:r>
        <w:rPr>
          <w:rFonts w:ascii="宋体" w:hAnsi="宋体" w:cs="仿宋"/>
          <w:szCs w:val="21"/>
        </w:rPr>
        <w:t xml:space="preserve"> </w:t>
      </w:r>
      <w:r>
        <w:rPr>
          <w:rFonts w:hint="eastAsia" w:ascii="宋体" w:hAnsi="宋体" w:cs="仿宋"/>
          <w:szCs w:val="21"/>
          <w:u w:val="single"/>
        </w:rPr>
        <w:t xml:space="preserve">                        </w:t>
      </w:r>
      <w:r>
        <w:rPr>
          <w:rFonts w:hint="eastAsia" w:ascii="宋体" w:hAnsi="宋体" w:cs="仿宋"/>
          <w:szCs w:val="21"/>
        </w:rPr>
        <w:t>邮编：</w:t>
      </w:r>
      <w:r>
        <w:rPr>
          <w:rFonts w:hint="eastAsia" w:ascii="宋体" w:hAnsi="宋体" w:cs="仿宋"/>
          <w:szCs w:val="21"/>
          <w:u w:val="single"/>
        </w:rPr>
        <w:t xml:space="preserve">                                     </w:t>
      </w:r>
    </w:p>
    <w:p>
      <w:pPr>
        <w:spacing w:line="360" w:lineRule="auto"/>
        <w:rPr>
          <w:rFonts w:ascii="宋体" w:hAnsi="宋体" w:cs="仿宋"/>
          <w:bCs/>
          <w:szCs w:val="21"/>
        </w:rPr>
      </w:pPr>
      <w:r>
        <w:rPr>
          <w:rFonts w:hint="eastAsia" w:ascii="宋体" w:hAnsi="宋体" w:cs="仿宋"/>
          <w:bCs/>
          <w:szCs w:val="21"/>
        </w:rPr>
        <w:t>二、质疑项目基本情况</w:t>
      </w:r>
    </w:p>
    <w:p>
      <w:pPr>
        <w:spacing w:line="360" w:lineRule="auto"/>
        <w:rPr>
          <w:rFonts w:ascii="宋体" w:hAnsi="宋体" w:cs="仿宋"/>
          <w:szCs w:val="21"/>
        </w:rPr>
      </w:pPr>
      <w:r>
        <w:rPr>
          <w:rFonts w:hint="eastAsia" w:ascii="宋体" w:hAnsi="宋体" w:cs="仿宋"/>
          <w:szCs w:val="21"/>
        </w:rPr>
        <w:t>质疑项目的名称：</w:t>
      </w:r>
      <w:r>
        <w:rPr>
          <w:rFonts w:hint="eastAsia" w:ascii="宋体" w:hAnsi="宋体" w:cs="仿宋"/>
          <w:szCs w:val="21"/>
          <w:u w:val="single"/>
        </w:rPr>
        <w:t xml:space="preserve">                                                          </w:t>
      </w:r>
    </w:p>
    <w:p>
      <w:pPr>
        <w:spacing w:line="360" w:lineRule="auto"/>
        <w:rPr>
          <w:rFonts w:ascii="宋体" w:hAnsi="宋体" w:cs="仿宋"/>
          <w:szCs w:val="21"/>
        </w:rPr>
      </w:pPr>
      <w:r>
        <w:rPr>
          <w:rFonts w:hint="eastAsia" w:ascii="宋体" w:hAnsi="宋体" w:cs="仿宋"/>
          <w:szCs w:val="21"/>
        </w:rPr>
        <w:t>质疑项目的编号：</w:t>
      </w:r>
      <w:r>
        <w:rPr>
          <w:rFonts w:hint="eastAsia" w:ascii="宋体" w:hAnsi="宋体" w:cs="仿宋"/>
          <w:szCs w:val="21"/>
          <w:u w:val="single"/>
        </w:rPr>
        <w:t xml:space="preserve">                         </w:t>
      </w:r>
      <w:r>
        <w:rPr>
          <w:rFonts w:hint="eastAsia" w:ascii="宋体" w:hAnsi="宋体" w:cs="仿宋"/>
          <w:szCs w:val="21"/>
        </w:rPr>
        <w:t>包号：</w:t>
      </w:r>
      <w:r>
        <w:rPr>
          <w:rFonts w:hint="eastAsia" w:ascii="宋体" w:hAnsi="宋体" w:cs="仿宋"/>
          <w:szCs w:val="21"/>
          <w:u w:val="single"/>
        </w:rPr>
        <w:t xml:space="preserve">                           </w:t>
      </w:r>
    </w:p>
    <w:p>
      <w:pPr>
        <w:spacing w:line="360" w:lineRule="auto"/>
        <w:rPr>
          <w:rFonts w:ascii="宋体" w:hAnsi="宋体" w:cs="仿宋"/>
          <w:szCs w:val="21"/>
          <w:u w:val="single"/>
        </w:rPr>
      </w:pPr>
      <w:r>
        <w:rPr>
          <w:rFonts w:hint="eastAsia" w:ascii="宋体" w:hAnsi="宋体" w:cs="仿宋"/>
          <w:szCs w:val="21"/>
        </w:rPr>
        <w:t>采购人名称：</w:t>
      </w:r>
      <w:r>
        <w:rPr>
          <w:rFonts w:hint="eastAsia" w:ascii="宋体" w:hAnsi="宋体" w:cs="仿宋"/>
          <w:szCs w:val="21"/>
          <w:u w:val="single"/>
        </w:rPr>
        <w:t xml:space="preserve">                                                              </w:t>
      </w:r>
    </w:p>
    <w:p>
      <w:pPr>
        <w:spacing w:line="360" w:lineRule="auto"/>
        <w:rPr>
          <w:rFonts w:ascii="宋体" w:hAnsi="宋体" w:cs="仿宋"/>
          <w:szCs w:val="21"/>
        </w:rPr>
      </w:pPr>
      <w:r>
        <w:rPr>
          <w:rFonts w:hint="eastAsia" w:ascii="宋体" w:hAnsi="宋体" w:cs="仿宋"/>
          <w:szCs w:val="21"/>
        </w:rPr>
        <w:t>采购文件获取日期：</w:t>
      </w:r>
      <w:r>
        <w:rPr>
          <w:rFonts w:hint="eastAsia" w:ascii="宋体" w:hAnsi="宋体" w:cs="仿宋"/>
          <w:szCs w:val="21"/>
          <w:u w:val="single"/>
        </w:rPr>
        <w:t xml:space="preserve">                                                        </w:t>
      </w:r>
    </w:p>
    <w:p>
      <w:pPr>
        <w:spacing w:line="360" w:lineRule="auto"/>
        <w:rPr>
          <w:rFonts w:ascii="宋体" w:hAnsi="宋体" w:cs="仿宋"/>
          <w:bCs/>
          <w:szCs w:val="21"/>
        </w:rPr>
      </w:pPr>
      <w:r>
        <w:rPr>
          <w:rFonts w:hint="eastAsia" w:ascii="宋体" w:hAnsi="宋体" w:cs="仿宋"/>
          <w:bCs/>
          <w:szCs w:val="21"/>
        </w:rPr>
        <w:t>三、质疑事项具体内容</w:t>
      </w:r>
    </w:p>
    <w:p>
      <w:pPr>
        <w:spacing w:line="360" w:lineRule="auto"/>
        <w:rPr>
          <w:rFonts w:ascii="宋体" w:hAnsi="宋体" w:cs="仿宋"/>
          <w:szCs w:val="21"/>
          <w:u w:val="single"/>
        </w:rPr>
      </w:pPr>
      <w:r>
        <w:rPr>
          <w:rFonts w:hint="eastAsia" w:ascii="宋体" w:hAnsi="宋体" w:cs="仿宋"/>
          <w:szCs w:val="21"/>
        </w:rPr>
        <w:t>质疑事项1：</w:t>
      </w:r>
      <w:r>
        <w:rPr>
          <w:rFonts w:hint="eastAsia" w:ascii="宋体" w:hAnsi="宋体" w:cs="仿宋"/>
          <w:szCs w:val="21"/>
          <w:u w:val="single"/>
        </w:rPr>
        <w:t xml:space="preserve">                                                              </w:t>
      </w:r>
    </w:p>
    <w:p>
      <w:pPr>
        <w:spacing w:line="360" w:lineRule="auto"/>
        <w:rPr>
          <w:rFonts w:ascii="宋体" w:hAnsi="宋体" w:cs="仿宋"/>
          <w:szCs w:val="21"/>
          <w:u w:val="single"/>
        </w:rPr>
      </w:pPr>
      <w:r>
        <w:rPr>
          <w:rFonts w:hint="eastAsia" w:ascii="宋体" w:hAnsi="宋体" w:cs="仿宋"/>
          <w:szCs w:val="21"/>
        </w:rPr>
        <w:t>事实依据：</w:t>
      </w:r>
      <w:r>
        <w:rPr>
          <w:rFonts w:hint="eastAsia" w:ascii="宋体" w:hAnsi="宋体" w:cs="仿宋"/>
          <w:szCs w:val="21"/>
          <w:u w:val="single"/>
        </w:rPr>
        <w:t xml:space="preserve">                                                                </w:t>
      </w:r>
    </w:p>
    <w:p>
      <w:pPr>
        <w:spacing w:line="360" w:lineRule="auto"/>
        <w:rPr>
          <w:rFonts w:ascii="宋体" w:hAnsi="宋体" w:cs="仿宋"/>
          <w:szCs w:val="21"/>
        </w:rPr>
      </w:pPr>
      <w:r>
        <w:rPr>
          <w:rFonts w:hint="eastAsia" w:ascii="宋体" w:hAnsi="宋体" w:cs="仿宋"/>
          <w:szCs w:val="21"/>
          <w:u w:val="single"/>
        </w:rPr>
        <w:t xml:space="preserve">                                                                           </w:t>
      </w:r>
    </w:p>
    <w:p>
      <w:pPr>
        <w:spacing w:line="360" w:lineRule="auto"/>
        <w:rPr>
          <w:rFonts w:ascii="宋体" w:hAnsi="宋体" w:cs="仿宋"/>
          <w:szCs w:val="21"/>
          <w:u w:val="single"/>
        </w:rPr>
      </w:pPr>
      <w:r>
        <w:rPr>
          <w:rFonts w:hint="eastAsia" w:ascii="宋体" w:hAnsi="宋体" w:cs="仿宋"/>
          <w:szCs w:val="21"/>
        </w:rPr>
        <w:t>法律依据：</w:t>
      </w:r>
      <w:r>
        <w:rPr>
          <w:rFonts w:hint="eastAsia" w:ascii="宋体" w:hAnsi="宋体" w:cs="仿宋"/>
          <w:szCs w:val="21"/>
          <w:u w:val="single"/>
        </w:rPr>
        <w:t xml:space="preserve">                                                                 </w:t>
      </w:r>
    </w:p>
    <w:p>
      <w:pPr>
        <w:spacing w:line="360" w:lineRule="auto"/>
        <w:rPr>
          <w:rFonts w:ascii="宋体" w:hAnsi="宋体" w:cs="仿宋"/>
          <w:szCs w:val="21"/>
          <w:u w:val="single"/>
        </w:rPr>
      </w:pPr>
      <w:r>
        <w:rPr>
          <w:rFonts w:hint="eastAsia" w:ascii="宋体" w:hAnsi="宋体" w:cs="仿宋"/>
          <w:szCs w:val="21"/>
          <w:u w:val="single"/>
        </w:rPr>
        <w:t xml:space="preserve">                                                                           </w:t>
      </w:r>
    </w:p>
    <w:p>
      <w:pPr>
        <w:spacing w:line="360" w:lineRule="auto"/>
        <w:rPr>
          <w:rFonts w:ascii="宋体" w:hAnsi="宋体" w:cs="仿宋"/>
          <w:szCs w:val="21"/>
          <w:u w:val="single"/>
        </w:rPr>
      </w:pPr>
      <w:r>
        <w:rPr>
          <w:rFonts w:hint="eastAsia" w:ascii="宋体" w:hAnsi="宋体" w:cs="仿宋"/>
          <w:szCs w:val="21"/>
        </w:rPr>
        <w:t>质疑事项2</w:t>
      </w:r>
    </w:p>
    <w:p>
      <w:pPr>
        <w:spacing w:line="360" w:lineRule="auto"/>
        <w:rPr>
          <w:rFonts w:ascii="宋体" w:hAnsi="宋体" w:cs="仿宋"/>
          <w:szCs w:val="21"/>
        </w:rPr>
      </w:pPr>
      <w:r>
        <w:rPr>
          <w:rFonts w:hint="eastAsia" w:ascii="宋体" w:hAnsi="宋体" w:cs="仿宋"/>
          <w:szCs w:val="21"/>
        </w:rPr>
        <w:t>……</w:t>
      </w:r>
    </w:p>
    <w:p>
      <w:pPr>
        <w:spacing w:line="360" w:lineRule="auto"/>
        <w:rPr>
          <w:rFonts w:ascii="宋体" w:hAnsi="宋体" w:cs="仿宋"/>
          <w:bCs/>
          <w:szCs w:val="21"/>
        </w:rPr>
      </w:pPr>
      <w:r>
        <w:rPr>
          <w:rFonts w:hint="eastAsia" w:ascii="宋体" w:hAnsi="宋体" w:cs="仿宋"/>
          <w:bCs/>
          <w:szCs w:val="21"/>
        </w:rPr>
        <w:t>四、与质疑事项相关的质疑请求</w:t>
      </w:r>
    </w:p>
    <w:p>
      <w:pPr>
        <w:spacing w:line="360" w:lineRule="auto"/>
        <w:rPr>
          <w:rFonts w:ascii="宋体" w:hAnsi="宋体" w:cs="仿宋"/>
          <w:szCs w:val="21"/>
          <w:u w:val="single"/>
        </w:rPr>
      </w:pPr>
      <w:r>
        <w:rPr>
          <w:rFonts w:hint="eastAsia" w:ascii="宋体" w:hAnsi="宋体" w:cs="仿宋"/>
          <w:szCs w:val="21"/>
        </w:rPr>
        <w:t>请求：</w:t>
      </w:r>
      <w:r>
        <w:rPr>
          <w:rFonts w:hint="eastAsia" w:ascii="宋体" w:hAnsi="宋体" w:cs="仿宋"/>
          <w:szCs w:val="21"/>
          <w:u w:val="single"/>
        </w:rPr>
        <w:t xml:space="preserve">                                                                     </w:t>
      </w:r>
    </w:p>
    <w:p>
      <w:pPr>
        <w:rPr>
          <w:rFonts w:ascii="宋体" w:hAnsi="宋体"/>
          <w:szCs w:val="21"/>
        </w:rPr>
      </w:pPr>
      <w:r>
        <w:rPr>
          <w:rFonts w:hint="eastAsia" w:ascii="宋体" w:hAnsi="宋体"/>
          <w:szCs w:val="21"/>
        </w:rPr>
        <w:t xml:space="preserve">签字(签章)：                   公章：                      </w:t>
      </w:r>
    </w:p>
    <w:p>
      <w:pPr>
        <w:rPr>
          <w:rFonts w:ascii="宋体" w:hAnsi="宋体"/>
          <w:szCs w:val="21"/>
        </w:rPr>
      </w:pPr>
      <w:r>
        <w:rPr>
          <w:rFonts w:hint="eastAsia" w:ascii="宋体" w:hAnsi="宋体"/>
          <w:szCs w:val="21"/>
        </w:rPr>
        <w:t xml:space="preserve">日期：    </w:t>
      </w:r>
    </w:p>
    <w:p>
      <w:pPr>
        <w:spacing w:line="400" w:lineRule="exact"/>
        <w:rPr>
          <w:rFonts w:ascii="宋体" w:hAnsi="宋体"/>
          <w:b/>
          <w:szCs w:val="21"/>
        </w:rPr>
      </w:pPr>
      <w:r>
        <w:rPr>
          <w:rFonts w:hint="eastAsia" w:ascii="宋体" w:hAnsi="宋体"/>
          <w:b/>
          <w:szCs w:val="21"/>
        </w:rPr>
        <w:t>质疑函制作说明：</w:t>
      </w:r>
    </w:p>
    <w:p>
      <w:pPr>
        <w:widowControl/>
        <w:spacing w:line="400" w:lineRule="exact"/>
        <w:ind w:firstLine="420"/>
        <w:jc w:val="left"/>
        <w:rPr>
          <w:rFonts w:ascii="宋体" w:hAnsi="宋体"/>
          <w:szCs w:val="21"/>
        </w:rPr>
      </w:pPr>
      <w:r>
        <w:rPr>
          <w:rFonts w:hint="eastAsia" w:ascii="宋体" w:hAnsi="宋体"/>
          <w:szCs w:val="21"/>
        </w:rPr>
        <w:t>1.供应商提出质疑时，应提交质疑函和必要的证明材料。</w:t>
      </w:r>
    </w:p>
    <w:p>
      <w:pPr>
        <w:widowControl/>
        <w:spacing w:line="400" w:lineRule="exact"/>
        <w:ind w:firstLine="420"/>
        <w:jc w:val="left"/>
        <w:rPr>
          <w:rFonts w:ascii="宋体" w:hAnsi="宋体"/>
          <w:szCs w:val="21"/>
        </w:rPr>
      </w:pPr>
      <w:r>
        <w:rPr>
          <w:rFonts w:hint="eastAsia" w:ascii="宋体" w:hAnsi="宋体"/>
          <w:szCs w:val="21"/>
        </w:rPr>
        <w:t>2.质疑供应商若委托代理人进行质疑的，质疑函应按要求列明“授权代表”的有关内容，并在附件中提交由质疑</w:t>
      </w:r>
      <w:r>
        <w:rPr>
          <w:rFonts w:hint="eastAsia" w:ascii="宋体" w:hAnsi="宋体" w:cs="宋体"/>
          <w:szCs w:val="21"/>
        </w:rPr>
        <w:t>供应商签署的授权委托书。授权委托书应载明代理人的姓名或者名称、代理事项、具体权限、期限和相关事项。</w:t>
      </w:r>
    </w:p>
    <w:p>
      <w:pPr>
        <w:widowControl/>
        <w:spacing w:line="400" w:lineRule="exact"/>
        <w:ind w:firstLine="420"/>
        <w:jc w:val="left"/>
        <w:rPr>
          <w:rFonts w:ascii="宋体" w:hAnsi="宋体"/>
          <w:szCs w:val="21"/>
        </w:rPr>
      </w:pPr>
      <w:r>
        <w:rPr>
          <w:rFonts w:hint="eastAsia" w:ascii="宋体" w:hAnsi="宋体"/>
          <w:szCs w:val="21"/>
        </w:rPr>
        <w:t>3.质疑供应商若对项目的某一分包进行质疑，质疑函中应列明具体分包号。</w:t>
      </w:r>
    </w:p>
    <w:p>
      <w:pPr>
        <w:widowControl/>
        <w:spacing w:line="400" w:lineRule="exact"/>
        <w:ind w:firstLine="420"/>
        <w:jc w:val="left"/>
        <w:rPr>
          <w:rFonts w:ascii="宋体" w:hAnsi="宋体"/>
          <w:szCs w:val="21"/>
        </w:rPr>
      </w:pPr>
      <w:r>
        <w:rPr>
          <w:rFonts w:hint="eastAsia" w:ascii="宋体" w:hAnsi="宋体"/>
          <w:szCs w:val="21"/>
        </w:rPr>
        <w:t>4.质疑函的质疑事项应具体、明确，并有必要的事实依据和法律依据。</w:t>
      </w:r>
    </w:p>
    <w:p>
      <w:pPr>
        <w:widowControl/>
        <w:spacing w:line="400" w:lineRule="exact"/>
        <w:ind w:firstLine="420"/>
        <w:jc w:val="left"/>
        <w:rPr>
          <w:rFonts w:ascii="宋体" w:hAnsi="宋体"/>
          <w:szCs w:val="21"/>
        </w:rPr>
      </w:pPr>
      <w:r>
        <w:rPr>
          <w:rFonts w:hint="eastAsia" w:ascii="宋体" w:hAnsi="宋体"/>
          <w:szCs w:val="21"/>
        </w:rPr>
        <w:t>5.质疑函的质疑请求应与质疑事项相关。</w:t>
      </w:r>
    </w:p>
    <w:p>
      <w:pPr>
        <w:widowControl/>
        <w:spacing w:line="400" w:lineRule="exact"/>
        <w:ind w:firstLine="420"/>
        <w:jc w:val="left"/>
        <w:rPr>
          <w:rFonts w:ascii="宋体" w:hAnsi="宋体"/>
          <w:szCs w:val="21"/>
        </w:rPr>
      </w:pPr>
      <w:r>
        <w:rPr>
          <w:rFonts w:hint="eastAsia" w:ascii="宋体" w:hAnsi="宋体"/>
          <w:szCs w:val="21"/>
        </w:rPr>
        <w:t>6.质疑供应商为自然人的，质疑函应由本人签字；质疑供应商为法人或者其他组织的，质疑函应由法定代表人、主要负责人，或者其授权代表签字或者盖章，并加盖公章。</w:t>
      </w:r>
    </w:p>
    <w:p>
      <w:pPr>
        <w:ind w:firstLine="420"/>
        <w:rPr>
          <w:rFonts w:ascii="Times New Roman" w:hAnsi="Times New Roman"/>
          <w:sz w:val="24"/>
          <w:szCs w:val="24"/>
        </w:rPr>
      </w:pPr>
    </w:p>
    <w:p>
      <w:pPr>
        <w:ind w:firstLine="420"/>
        <w:rPr>
          <w:rFonts w:ascii="Times New Roman" w:hAnsi="Times New Roman"/>
          <w:sz w:val="24"/>
          <w:szCs w:val="24"/>
        </w:rPr>
      </w:pPr>
    </w:p>
    <w:sectPr>
      <w:footerReference r:id="rId10" w:type="first"/>
      <w:footerReference r:id="rId9" w:type="default"/>
      <w:pgSz w:w="11906" w:h="16838"/>
      <w:pgMar w:top="1440" w:right="1800" w:bottom="1440" w:left="1800"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00000000000000000"/>
    <w:charset w:val="86"/>
    <w:family w:val="auto"/>
    <w:pitch w:val="default"/>
    <w:sig w:usb0="00000000" w:usb1="00000000" w:usb2="00082016" w:usb3="00000000" w:csb0="00040001" w:csb1="00000000"/>
  </w:font>
  <w:font w:name="Showcard Gothic">
    <w:altName w:val="Gabriola"/>
    <w:panose1 w:val="04020904020102020604"/>
    <w:charset w:val="00"/>
    <w:family w:val="auto"/>
    <w:pitch w:val="default"/>
    <w:sig w:usb0="00000000" w:usb1="00000000" w:usb2="00000000" w:usb3="00000000" w:csb0="20000001" w:csb1="00000000"/>
  </w:font>
  <w:font w:name="Gabriola">
    <w:panose1 w:val="04040605051002020D02"/>
    <w:charset w:val="00"/>
    <w:family w:val="auto"/>
    <w:pitch w:val="default"/>
    <w:sig w:usb0="E00002EF" w:usb1="5000204B"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4"/>
      <w:jc w:val="center"/>
      <w:rPr>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4"/>
      <w:framePr w:wrap="around" w:vAnchor="text" w:hAnchor="margin" w:xAlign="center" w:y="1"/>
      <w:rPr>
        <w:rStyle w:val="298"/>
      </w:rPr>
    </w:pPr>
    <w:r>
      <w:fldChar w:fldCharType="begin"/>
    </w:r>
    <w:r>
      <w:rPr>
        <w:rStyle w:val="298"/>
      </w:rPr>
      <w:instrText xml:space="preserve">PAGE  </w:instrText>
    </w:r>
    <w:r>
      <w:fldChar w:fldCharType="separate"/>
    </w:r>
    <w:r>
      <w:rPr>
        <w:rStyle w:val="298"/>
      </w:rPr>
      <w:t>1</w:t>
    </w:r>
    <w:r>
      <w:fldChar w:fldCharType="end"/>
    </w:r>
  </w:p>
  <w:p>
    <w:pPr>
      <w:pStyle w:val="27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6695" cy="16256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226695" cy="162560"/>
                      </a:xfrm>
                      <a:prstGeom prst="rect">
                        <a:avLst/>
                      </a:prstGeom>
                      <a:noFill/>
                      <a:ln>
                        <a:noFill/>
                      </a:ln>
                    </wps:spPr>
                    <wps:txbx>
                      <w:txbxContent>
                        <w:p>
                          <w:pPr>
                            <w:pStyle w:val="33"/>
                          </w:pPr>
                          <w:r>
                            <w:fldChar w:fldCharType="begin"/>
                          </w:r>
                          <w:r>
                            <w:instrText xml:space="preserve"> PAGE  \* MERGEFORMAT </w:instrText>
                          </w:r>
                          <w:r>
                            <w:fldChar w:fldCharType="separate"/>
                          </w:r>
                          <w:r>
                            <w:t>2</w:t>
                          </w:r>
                          <w:r>
                            <w:fldChar w:fldCharType="end"/>
                          </w:r>
                        </w:p>
                      </w:txbxContent>
                    </wps:txbx>
                    <wps:bodyPr wrap="square" lIns="0" tIns="0" rIns="0" bIns="0" upright="1"/>
                  </wps:wsp>
                </a:graphicData>
              </a:graphic>
            </wp:anchor>
          </w:drawing>
        </mc:Choice>
        <mc:Fallback>
          <w:pict>
            <v:shape id="_x0000_s1026" o:spid="_x0000_s1026" o:spt="202" type="#_x0000_t202" style="position:absolute;left:0pt;margin-top:0pt;height:12.8pt;width:17.85pt;mso-position-horizontal:center;mso-position-horizontal-relative:margin;z-index:251659264;mso-width-relative:page;mso-height-relative:page;" filled="f" stroked="f" coordsize="21600,21600" o:gfxdata="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g0T8U1AAAAAMBAAAPAAAAAAAAAAEAIAAAACIAAABkcnMv&#10;ZG93bnJldi54bWxQSwECFAAUAAAACACHTuJAA/wgi84BAACNAwAADgAAAAAAAAABACAAAAAjAQAA&#10;ZHJzL2Uyb0RvYy54bWxQSwUGAAAAAAYABgBZAQAAYwUAAAAA&#10;">
              <v:fill on="f" focussize="0,0"/>
              <v:stroke on="f"/>
              <v:imagedata o:title=""/>
              <o:lock v:ext="edit" aspectratio="f"/>
              <v:textbox inset="0mm,0mm,0mm,0mm">
                <w:txbxContent>
                  <w:p>
                    <w:pPr>
                      <w:pStyle w:val="33"/>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pPr>
                            <w:pStyle w:val="33"/>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pPr>
                      <w:pStyle w:val="3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4"/>
      <w:jc w:val="center"/>
      <w:rPr>
        <w:b/>
        <w:i/>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69545" cy="16256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69545" cy="162560"/>
                      </a:xfrm>
                      <a:prstGeom prst="rect">
                        <a:avLst/>
                      </a:prstGeom>
                      <a:noFill/>
                      <a:ln>
                        <a:noFill/>
                      </a:ln>
                    </wps:spPr>
                    <wps:txbx>
                      <w:txbxContent>
                        <w:p>
                          <w:pPr>
                            <w:pStyle w:val="33"/>
                          </w:pPr>
                          <w:r>
                            <w:fldChar w:fldCharType="begin"/>
                          </w:r>
                          <w:r>
                            <w:instrText xml:space="preserve"> PAGE  \* MERGEFORMAT </w:instrText>
                          </w:r>
                          <w:r>
                            <w:fldChar w:fldCharType="separate"/>
                          </w:r>
                          <w:r>
                            <w:t>40</w:t>
                          </w:r>
                          <w:r>
                            <w:fldChar w:fldCharType="end"/>
                          </w:r>
                        </w:p>
                      </w:txbxContent>
                    </wps:txbx>
                    <wps:bodyPr wrap="square" lIns="0" tIns="0" rIns="0" bIns="0" upright="1"/>
                  </wps:wsp>
                </a:graphicData>
              </a:graphic>
            </wp:anchor>
          </w:drawing>
        </mc:Choice>
        <mc:Fallback>
          <w:pict>
            <v:shape id="_x0000_s1026" o:spid="_x0000_s1026" o:spt="202" type="#_x0000_t202" style="position:absolute;left:0pt;margin-top:0pt;height:12.8pt;width:13.35pt;mso-position-horizontal:center;mso-position-horizontal-relative:margin;z-index:251659264;mso-width-relative:page;mso-height-relative:page;" filled="f" stroked="f" coordsize="21600,21600" o:gfxdata="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jD+Z10wAAAAMBAAAPAAAAAAAAAAEAIAAAACIAAABkcnMv&#10;ZG93bnJldi54bWxQSwECFAAUAAAACACHTuJAUzy0Gc8BAACNAwAADgAAAAAAAAABACAAAAAiAQAA&#10;ZHJzL2Uyb0RvYy54bWxQSwUGAAAAAAYABgBZAQAAYwUAAAAA&#10;">
              <v:fill on="f" focussize="0,0"/>
              <v:stroke on="f"/>
              <v:imagedata o:title=""/>
              <o:lock v:ext="edit" aspectratio="f"/>
              <v:textbox inset="0mm,0mm,0mm,0mm">
                <w:txbxContent>
                  <w:p>
                    <w:pPr>
                      <w:pStyle w:val="33"/>
                    </w:pPr>
                    <w:r>
                      <w:fldChar w:fldCharType="begin"/>
                    </w:r>
                    <w:r>
                      <w:instrText xml:space="preserve"> PAGE  \* MERGEFORMAT </w:instrText>
                    </w:r>
                    <w:r>
                      <w:fldChar w:fldCharType="separate"/>
                    </w:r>
                    <w:r>
                      <w:t>40</w:t>
                    </w:r>
                    <w:r>
                      <w:fldChar w:fldCharType="end"/>
                    </w:r>
                  </w:p>
                </w:txbxContent>
              </v:textbox>
            </v:shape>
          </w:pict>
        </mc:Fallback>
      </mc:AlternateContent>
    </w:r>
    <w:r>
      <w:rPr>
        <w:b/>
        <w:i/>
        <w:sz w:val="20"/>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5420" cy="16256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5420" cy="162560"/>
                      </a:xfrm>
                      <a:prstGeom prst="rect">
                        <a:avLst/>
                      </a:prstGeom>
                      <a:noFill/>
                      <a:ln>
                        <a:noFill/>
                      </a:ln>
                    </wps:spPr>
                    <wps:txbx>
                      <w:txbxContent>
                        <w:p>
                          <w:pPr>
                            <w:pStyle w:val="33"/>
                          </w:pPr>
                          <w:r>
                            <w:fldChar w:fldCharType="begin"/>
                          </w:r>
                          <w:r>
                            <w:instrText xml:space="preserve"> PAGE  \* MERGEFORMAT </w:instrText>
                          </w:r>
                          <w:r>
                            <w:fldChar w:fldCharType="separate"/>
                          </w:r>
                          <w:r>
                            <w:t>39</w:t>
                          </w:r>
                          <w:r>
                            <w:fldChar w:fldCharType="end"/>
                          </w:r>
                        </w:p>
                      </w:txbxContent>
                    </wps:txbx>
                    <wps:bodyPr wrap="square" lIns="0" tIns="0" rIns="0" bIns="0" upright="1"/>
                  </wps:wsp>
                </a:graphicData>
              </a:graphic>
            </wp:anchor>
          </w:drawing>
        </mc:Choice>
        <mc:Fallback>
          <w:pict>
            <v:shape id="_x0000_s1026" o:spid="_x0000_s1026" o:spt="202" type="#_x0000_t202" style="position:absolute;left:0pt;margin-top:0pt;height:12.8pt;width:14.6pt;mso-position-horizontal:center;mso-position-horizontal-relative:margin;z-index:251659264;mso-width-relative:page;mso-height-relative:page;" filled="f" stroked="f" coordsize="21600,21600" o:gfxdata="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BxkjXPTAAAAAwEAAA8AAAAAAAAAAQAgAAAAIgAAAGRycy9k&#10;b3ducmV2LnhtbFBLAQIUABQAAAAIAIdO4kDvjNluzgEAAI0DAAAOAAAAAAAAAAEAIAAAACIBAABk&#10;cnMvZTJvRG9jLnhtbFBLBQYAAAAABgAGAFkBAABiBQAAAAA=&#10;">
              <v:fill on="f" focussize="0,0"/>
              <v:stroke on="f"/>
              <v:imagedata o:title=""/>
              <o:lock v:ext="edit" aspectratio="f"/>
              <v:textbox inset="0mm,0mm,0mm,0mm">
                <w:txbxContent>
                  <w:p>
                    <w:pPr>
                      <w:pStyle w:val="33"/>
                    </w:pPr>
                    <w:r>
                      <w:fldChar w:fldCharType="begin"/>
                    </w:r>
                    <w:r>
                      <w:instrText xml:space="preserve"> PAGE  \* MERGEFORMAT </w:instrText>
                    </w:r>
                    <w:r>
                      <w:fldChar w:fldCharType="separate"/>
                    </w:r>
                    <w:r>
                      <w:t>39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6"/>
      <w:pBdr>
        <w:bottom w:val="single" w:color="auto" w:sz="4"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Bdr>
        <w:bottom w:val="single" w:color="auto" w:sz="4"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468BD2"/>
    <w:multiLevelType w:val="singleLevel"/>
    <w:tmpl w:val="AB468BD2"/>
    <w:lvl w:ilvl="0" w:tentative="0">
      <w:start w:val="1"/>
      <w:numFmt w:val="decimal"/>
      <w:suff w:val="space"/>
      <w:lvlText w:val="%1."/>
      <w:lvlJc w:val="left"/>
    </w:lvl>
  </w:abstractNum>
  <w:abstractNum w:abstractNumId="1">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upperLetter"/>
      <w:pStyle w:val="316"/>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31"/>
      <w:suff w:val="nothing"/>
      <w:lvlText w:val=""/>
      <w:lvlJc w:val="left"/>
      <w:pPr>
        <w:ind w:left="0" w:firstLine="0"/>
      </w:pPr>
      <w:rPr>
        <w:rFonts w:hint="eastAsia"/>
      </w:rPr>
    </w:lvl>
    <w:lvl w:ilvl="6" w:tentative="0">
      <w:start w:val="1"/>
      <w:numFmt w:val="decimal"/>
      <w:pStyle w:val="232"/>
      <w:suff w:val="nothing"/>
      <w:lvlText w:val=""/>
      <w:lvlJc w:val="left"/>
      <w:pPr>
        <w:ind w:left="0" w:firstLine="0"/>
      </w:pPr>
      <w:rPr>
        <w:rFonts w:hint="eastAsia"/>
      </w:rPr>
    </w:lvl>
    <w:lvl w:ilvl="7" w:tentative="0">
      <w:start w:val="1"/>
      <w:numFmt w:val="decimal"/>
      <w:pStyle w:val="233"/>
      <w:suff w:val="nothing"/>
      <w:lvlText w:val=""/>
      <w:lvlJc w:val="left"/>
      <w:pPr>
        <w:ind w:left="0" w:firstLine="0"/>
      </w:pPr>
      <w:rPr>
        <w:rFonts w:hint="eastAsia"/>
      </w:rPr>
    </w:lvl>
    <w:lvl w:ilvl="8" w:tentative="0">
      <w:start w:val="1"/>
      <w:numFmt w:val="decimal"/>
      <w:pStyle w:val="234"/>
      <w:suff w:val="nothing"/>
      <w:lvlText w:val=""/>
      <w:lvlJc w:val="left"/>
      <w:pPr>
        <w:ind w:left="0" w:firstLine="0"/>
      </w:pPr>
      <w:rPr>
        <w:rFonts w:hint="eastAsia"/>
      </w:rPr>
    </w:lvl>
  </w:abstractNum>
  <w:abstractNum w:abstractNumId="4">
    <w:nsid w:val="59ADCABA"/>
    <w:multiLevelType w:val="multilevel"/>
    <w:tmpl w:val="59ADCABA"/>
    <w:lvl w:ilvl="0" w:tentative="0">
      <w:start w:val="1"/>
      <w:numFmt w:val="decimal"/>
      <w:pStyle w:val="32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Q2MTM1MTA1NzI4OWUyOTBiM2IzYzQ1OGMxMmNjYjEifQ=="/>
  </w:docVars>
  <w:rsids>
    <w:rsidRoot w:val="00000000"/>
    <w:rsid w:val="0011760F"/>
    <w:rsid w:val="00133387"/>
    <w:rsid w:val="001D7D62"/>
    <w:rsid w:val="00225378"/>
    <w:rsid w:val="002630BB"/>
    <w:rsid w:val="002B247F"/>
    <w:rsid w:val="002C4449"/>
    <w:rsid w:val="00311A5F"/>
    <w:rsid w:val="0031380D"/>
    <w:rsid w:val="00384B9C"/>
    <w:rsid w:val="003C28DE"/>
    <w:rsid w:val="004B48CF"/>
    <w:rsid w:val="004B4A97"/>
    <w:rsid w:val="004E2611"/>
    <w:rsid w:val="005A0FB6"/>
    <w:rsid w:val="0066795B"/>
    <w:rsid w:val="00757B9E"/>
    <w:rsid w:val="007C0F2D"/>
    <w:rsid w:val="0088506E"/>
    <w:rsid w:val="009444C8"/>
    <w:rsid w:val="0095356F"/>
    <w:rsid w:val="009F2E6D"/>
    <w:rsid w:val="00B32474"/>
    <w:rsid w:val="00B52690"/>
    <w:rsid w:val="00B5443F"/>
    <w:rsid w:val="00BF52BD"/>
    <w:rsid w:val="00C6664C"/>
    <w:rsid w:val="00CD79DA"/>
    <w:rsid w:val="00D9012D"/>
    <w:rsid w:val="00EA233A"/>
    <w:rsid w:val="00EB1C0E"/>
    <w:rsid w:val="00ED31FD"/>
    <w:rsid w:val="00ED5986"/>
    <w:rsid w:val="00F72CA9"/>
    <w:rsid w:val="010351AA"/>
    <w:rsid w:val="01050F22"/>
    <w:rsid w:val="010A3C11"/>
    <w:rsid w:val="01101675"/>
    <w:rsid w:val="01115B19"/>
    <w:rsid w:val="0116312F"/>
    <w:rsid w:val="011D2710"/>
    <w:rsid w:val="011E0236"/>
    <w:rsid w:val="01203FAE"/>
    <w:rsid w:val="013637D1"/>
    <w:rsid w:val="01390BCC"/>
    <w:rsid w:val="014001AC"/>
    <w:rsid w:val="01487061"/>
    <w:rsid w:val="014A4B87"/>
    <w:rsid w:val="014F6641"/>
    <w:rsid w:val="01505F15"/>
    <w:rsid w:val="015754F6"/>
    <w:rsid w:val="015B4FE6"/>
    <w:rsid w:val="01695955"/>
    <w:rsid w:val="016C0FA1"/>
    <w:rsid w:val="017A141F"/>
    <w:rsid w:val="018362EB"/>
    <w:rsid w:val="018A58CB"/>
    <w:rsid w:val="018D6632"/>
    <w:rsid w:val="018E7169"/>
    <w:rsid w:val="019127B6"/>
    <w:rsid w:val="0194674A"/>
    <w:rsid w:val="01963029"/>
    <w:rsid w:val="019F727F"/>
    <w:rsid w:val="01A55B1C"/>
    <w:rsid w:val="01B3097E"/>
    <w:rsid w:val="01B42A40"/>
    <w:rsid w:val="01BF5575"/>
    <w:rsid w:val="01C34939"/>
    <w:rsid w:val="01CF7782"/>
    <w:rsid w:val="01D34B7C"/>
    <w:rsid w:val="01D54D98"/>
    <w:rsid w:val="01D86637"/>
    <w:rsid w:val="01E7687A"/>
    <w:rsid w:val="01FB2325"/>
    <w:rsid w:val="01FF1E15"/>
    <w:rsid w:val="020411DA"/>
    <w:rsid w:val="02070CCA"/>
    <w:rsid w:val="020A2568"/>
    <w:rsid w:val="020B07BA"/>
    <w:rsid w:val="020C62E0"/>
    <w:rsid w:val="02111B48"/>
    <w:rsid w:val="02187528"/>
    <w:rsid w:val="021A27AB"/>
    <w:rsid w:val="021D229B"/>
    <w:rsid w:val="02203B3A"/>
    <w:rsid w:val="0224187C"/>
    <w:rsid w:val="022573A2"/>
    <w:rsid w:val="0227136C"/>
    <w:rsid w:val="02301FCF"/>
    <w:rsid w:val="02353A89"/>
    <w:rsid w:val="02380E83"/>
    <w:rsid w:val="023B0973"/>
    <w:rsid w:val="023F2212"/>
    <w:rsid w:val="024261A6"/>
    <w:rsid w:val="0261662C"/>
    <w:rsid w:val="026779BA"/>
    <w:rsid w:val="026954E1"/>
    <w:rsid w:val="027125E7"/>
    <w:rsid w:val="029167E5"/>
    <w:rsid w:val="02985DC6"/>
    <w:rsid w:val="029C3B08"/>
    <w:rsid w:val="02A93B2F"/>
    <w:rsid w:val="02B349AE"/>
    <w:rsid w:val="02C24BF1"/>
    <w:rsid w:val="02C40969"/>
    <w:rsid w:val="02C46BBB"/>
    <w:rsid w:val="02C72207"/>
    <w:rsid w:val="02CE17E8"/>
    <w:rsid w:val="02D05560"/>
    <w:rsid w:val="02D446A4"/>
    <w:rsid w:val="02E1776D"/>
    <w:rsid w:val="02F94AB6"/>
    <w:rsid w:val="02FE3E7B"/>
    <w:rsid w:val="030A6CC4"/>
    <w:rsid w:val="03196F07"/>
    <w:rsid w:val="0328714A"/>
    <w:rsid w:val="03304250"/>
    <w:rsid w:val="03321D76"/>
    <w:rsid w:val="033A4B32"/>
    <w:rsid w:val="033C0E47"/>
    <w:rsid w:val="033E696D"/>
    <w:rsid w:val="03563CB7"/>
    <w:rsid w:val="03597303"/>
    <w:rsid w:val="035A307B"/>
    <w:rsid w:val="035E4919"/>
    <w:rsid w:val="03667C72"/>
    <w:rsid w:val="03717F45"/>
    <w:rsid w:val="037C2812"/>
    <w:rsid w:val="0381685A"/>
    <w:rsid w:val="03836A76"/>
    <w:rsid w:val="038A7E04"/>
    <w:rsid w:val="038D16A3"/>
    <w:rsid w:val="03AE3AF3"/>
    <w:rsid w:val="03C5328B"/>
    <w:rsid w:val="03CA1FAF"/>
    <w:rsid w:val="03CF3A69"/>
    <w:rsid w:val="03DF1EFE"/>
    <w:rsid w:val="03E2379C"/>
    <w:rsid w:val="03E272F9"/>
    <w:rsid w:val="03EC0177"/>
    <w:rsid w:val="03EF1A15"/>
    <w:rsid w:val="03FA6D38"/>
    <w:rsid w:val="04071455"/>
    <w:rsid w:val="04074FB1"/>
    <w:rsid w:val="041A2F36"/>
    <w:rsid w:val="04206073"/>
    <w:rsid w:val="042F4508"/>
    <w:rsid w:val="042F62B6"/>
    <w:rsid w:val="04357D70"/>
    <w:rsid w:val="04441D61"/>
    <w:rsid w:val="044C50BA"/>
    <w:rsid w:val="0455262A"/>
    <w:rsid w:val="045A3333"/>
    <w:rsid w:val="046643CE"/>
    <w:rsid w:val="048D195A"/>
    <w:rsid w:val="048E122E"/>
    <w:rsid w:val="049031F8"/>
    <w:rsid w:val="04932CE9"/>
    <w:rsid w:val="04AE18D1"/>
    <w:rsid w:val="04BC223F"/>
    <w:rsid w:val="04C410F4"/>
    <w:rsid w:val="04D56E5D"/>
    <w:rsid w:val="04DA4474"/>
    <w:rsid w:val="04EA6DAD"/>
    <w:rsid w:val="04FE4606"/>
    <w:rsid w:val="05017C52"/>
    <w:rsid w:val="05195543"/>
    <w:rsid w:val="051A6F66"/>
    <w:rsid w:val="05263B5D"/>
    <w:rsid w:val="052878D5"/>
    <w:rsid w:val="0539563E"/>
    <w:rsid w:val="053C512E"/>
    <w:rsid w:val="053D548D"/>
    <w:rsid w:val="053F077B"/>
    <w:rsid w:val="05412745"/>
    <w:rsid w:val="054B35C3"/>
    <w:rsid w:val="05614B95"/>
    <w:rsid w:val="05634469"/>
    <w:rsid w:val="056A57F8"/>
    <w:rsid w:val="05776166"/>
    <w:rsid w:val="05922FA0"/>
    <w:rsid w:val="05940AC6"/>
    <w:rsid w:val="05976809"/>
    <w:rsid w:val="05AD7DDA"/>
    <w:rsid w:val="05AF5900"/>
    <w:rsid w:val="05B13426"/>
    <w:rsid w:val="05C25634"/>
    <w:rsid w:val="05C55124"/>
    <w:rsid w:val="05C84EDF"/>
    <w:rsid w:val="05CC64B2"/>
    <w:rsid w:val="05DE61E6"/>
    <w:rsid w:val="05E2362C"/>
    <w:rsid w:val="05E80E12"/>
    <w:rsid w:val="05ED6429"/>
    <w:rsid w:val="060379FA"/>
    <w:rsid w:val="06071298"/>
    <w:rsid w:val="060914B4"/>
    <w:rsid w:val="060A432D"/>
    <w:rsid w:val="060C4B01"/>
    <w:rsid w:val="060D2627"/>
    <w:rsid w:val="0616597F"/>
    <w:rsid w:val="061834A6"/>
    <w:rsid w:val="06190FCC"/>
    <w:rsid w:val="06210291"/>
    <w:rsid w:val="062C51A3"/>
    <w:rsid w:val="063D4CBA"/>
    <w:rsid w:val="064424ED"/>
    <w:rsid w:val="06502FD7"/>
    <w:rsid w:val="065A1D10"/>
    <w:rsid w:val="065E2E82"/>
    <w:rsid w:val="06651661"/>
    <w:rsid w:val="06677F89"/>
    <w:rsid w:val="06691F53"/>
    <w:rsid w:val="067F2C7F"/>
    <w:rsid w:val="06826B71"/>
    <w:rsid w:val="06862B05"/>
    <w:rsid w:val="06911A77"/>
    <w:rsid w:val="069A65B0"/>
    <w:rsid w:val="06A42F8B"/>
    <w:rsid w:val="06A44D39"/>
    <w:rsid w:val="06A66D03"/>
    <w:rsid w:val="06A967F3"/>
    <w:rsid w:val="06B62CBE"/>
    <w:rsid w:val="06BF7DC5"/>
    <w:rsid w:val="06C673A5"/>
    <w:rsid w:val="06C83B4C"/>
    <w:rsid w:val="06CB676A"/>
    <w:rsid w:val="06D33870"/>
    <w:rsid w:val="06E63795"/>
    <w:rsid w:val="06E94E42"/>
    <w:rsid w:val="06EB6E0C"/>
    <w:rsid w:val="06EE4206"/>
    <w:rsid w:val="06F2019A"/>
    <w:rsid w:val="06FC4B75"/>
    <w:rsid w:val="07013F3A"/>
    <w:rsid w:val="070C28DE"/>
    <w:rsid w:val="07140111"/>
    <w:rsid w:val="071719AF"/>
    <w:rsid w:val="071E0F8F"/>
    <w:rsid w:val="071F2612"/>
    <w:rsid w:val="072034F0"/>
    <w:rsid w:val="072A7934"/>
    <w:rsid w:val="072F4F4B"/>
    <w:rsid w:val="073267E9"/>
    <w:rsid w:val="074E2EF7"/>
    <w:rsid w:val="075E5F8F"/>
    <w:rsid w:val="076369A2"/>
    <w:rsid w:val="07743210"/>
    <w:rsid w:val="07797F74"/>
    <w:rsid w:val="07830DF3"/>
    <w:rsid w:val="07832762"/>
    <w:rsid w:val="07951EC6"/>
    <w:rsid w:val="079E79DA"/>
    <w:rsid w:val="07B216D8"/>
    <w:rsid w:val="07B45450"/>
    <w:rsid w:val="07C75183"/>
    <w:rsid w:val="07CB4548"/>
    <w:rsid w:val="07D16002"/>
    <w:rsid w:val="07D52A65"/>
    <w:rsid w:val="07DC6755"/>
    <w:rsid w:val="07E51AAD"/>
    <w:rsid w:val="07FF6D7E"/>
    <w:rsid w:val="08065580"/>
    <w:rsid w:val="081303C8"/>
    <w:rsid w:val="081952B3"/>
    <w:rsid w:val="0822060B"/>
    <w:rsid w:val="082500FC"/>
    <w:rsid w:val="082C3238"/>
    <w:rsid w:val="08316AA1"/>
    <w:rsid w:val="08362309"/>
    <w:rsid w:val="085A5FF7"/>
    <w:rsid w:val="08671AC5"/>
    <w:rsid w:val="086C1887"/>
    <w:rsid w:val="08716E9D"/>
    <w:rsid w:val="08762705"/>
    <w:rsid w:val="087B5F6E"/>
    <w:rsid w:val="088209C9"/>
    <w:rsid w:val="088C3CD7"/>
    <w:rsid w:val="088E5CA1"/>
    <w:rsid w:val="08915791"/>
    <w:rsid w:val="08AA23AF"/>
    <w:rsid w:val="08B576D2"/>
    <w:rsid w:val="08BB45BC"/>
    <w:rsid w:val="08BD6586"/>
    <w:rsid w:val="08E753B1"/>
    <w:rsid w:val="08E7715F"/>
    <w:rsid w:val="08F525BD"/>
    <w:rsid w:val="08F57ACE"/>
    <w:rsid w:val="08FA50E4"/>
    <w:rsid w:val="09016473"/>
    <w:rsid w:val="091066B6"/>
    <w:rsid w:val="0911242E"/>
    <w:rsid w:val="091837BC"/>
    <w:rsid w:val="091E5277"/>
    <w:rsid w:val="092403B3"/>
    <w:rsid w:val="09265ED9"/>
    <w:rsid w:val="09383E5F"/>
    <w:rsid w:val="09436A8B"/>
    <w:rsid w:val="09475E50"/>
    <w:rsid w:val="094B6462"/>
    <w:rsid w:val="094F6DDF"/>
    <w:rsid w:val="09523172"/>
    <w:rsid w:val="09615163"/>
    <w:rsid w:val="0963712E"/>
    <w:rsid w:val="096E162E"/>
    <w:rsid w:val="097924AD"/>
    <w:rsid w:val="097A4477"/>
    <w:rsid w:val="09864BCA"/>
    <w:rsid w:val="09896468"/>
    <w:rsid w:val="098B21E0"/>
    <w:rsid w:val="09905A49"/>
    <w:rsid w:val="099F5C8C"/>
    <w:rsid w:val="09A6526C"/>
    <w:rsid w:val="09AB4631"/>
    <w:rsid w:val="09AF2373"/>
    <w:rsid w:val="09BC05EC"/>
    <w:rsid w:val="09CB082F"/>
    <w:rsid w:val="09CD2C33"/>
    <w:rsid w:val="09D41DD9"/>
    <w:rsid w:val="09D516AE"/>
    <w:rsid w:val="09DB2911"/>
    <w:rsid w:val="09DE0562"/>
    <w:rsid w:val="09E813E1"/>
    <w:rsid w:val="09E85885"/>
    <w:rsid w:val="09F064E7"/>
    <w:rsid w:val="09F2400E"/>
    <w:rsid w:val="09FB7366"/>
    <w:rsid w:val="0A03446D"/>
    <w:rsid w:val="0A067AB9"/>
    <w:rsid w:val="0A083831"/>
    <w:rsid w:val="0A1E12A6"/>
    <w:rsid w:val="0A23066B"/>
    <w:rsid w:val="0A342878"/>
    <w:rsid w:val="0A3B59B5"/>
    <w:rsid w:val="0A456833"/>
    <w:rsid w:val="0A4C1970"/>
    <w:rsid w:val="0A4D56E8"/>
    <w:rsid w:val="0A6767AA"/>
    <w:rsid w:val="0A690774"/>
    <w:rsid w:val="0A742C74"/>
    <w:rsid w:val="0A7669ED"/>
    <w:rsid w:val="0A7C0425"/>
    <w:rsid w:val="0A854E82"/>
    <w:rsid w:val="0A8729A8"/>
    <w:rsid w:val="0A8A06EA"/>
    <w:rsid w:val="0A92134D"/>
    <w:rsid w:val="0AA25A34"/>
    <w:rsid w:val="0AA44D6C"/>
    <w:rsid w:val="0AB85257"/>
    <w:rsid w:val="0AC260D6"/>
    <w:rsid w:val="0AC534D0"/>
    <w:rsid w:val="0AC7549A"/>
    <w:rsid w:val="0ACB4F8A"/>
    <w:rsid w:val="0AD55A2E"/>
    <w:rsid w:val="0AE24082"/>
    <w:rsid w:val="0AE95411"/>
    <w:rsid w:val="0AF81AF7"/>
    <w:rsid w:val="0AFF2E86"/>
    <w:rsid w:val="0B016BFE"/>
    <w:rsid w:val="0B04224A"/>
    <w:rsid w:val="0B077F8D"/>
    <w:rsid w:val="0B0C10FF"/>
    <w:rsid w:val="0B112BB9"/>
    <w:rsid w:val="0B1145CD"/>
    <w:rsid w:val="0B114967"/>
    <w:rsid w:val="0B193543"/>
    <w:rsid w:val="0B260413"/>
    <w:rsid w:val="0B2621C1"/>
    <w:rsid w:val="0B2B77D7"/>
    <w:rsid w:val="0B2E5519"/>
    <w:rsid w:val="0B304DED"/>
    <w:rsid w:val="0B352404"/>
    <w:rsid w:val="0B354AFA"/>
    <w:rsid w:val="0B3C7C36"/>
    <w:rsid w:val="0B4B7E79"/>
    <w:rsid w:val="0B5A00BC"/>
    <w:rsid w:val="0B6131F9"/>
    <w:rsid w:val="0B6E484E"/>
    <w:rsid w:val="0B6E5916"/>
    <w:rsid w:val="0B7078E0"/>
    <w:rsid w:val="0B770C6E"/>
    <w:rsid w:val="0B870B9C"/>
    <w:rsid w:val="0B9974E3"/>
    <w:rsid w:val="0BA60270"/>
    <w:rsid w:val="0BA650B0"/>
    <w:rsid w:val="0BA8707A"/>
    <w:rsid w:val="0BAB0918"/>
    <w:rsid w:val="0BBE689D"/>
    <w:rsid w:val="0BBF6A8A"/>
    <w:rsid w:val="0BCB0FBA"/>
    <w:rsid w:val="0BCF2858"/>
    <w:rsid w:val="0BDB744F"/>
    <w:rsid w:val="0BE45BD8"/>
    <w:rsid w:val="0BE502CE"/>
    <w:rsid w:val="0BE91440"/>
    <w:rsid w:val="0BF40511"/>
    <w:rsid w:val="0BF4406D"/>
    <w:rsid w:val="0BF70001"/>
    <w:rsid w:val="0BFC5617"/>
    <w:rsid w:val="0BFE313E"/>
    <w:rsid w:val="0C004AA5"/>
    <w:rsid w:val="0C095A89"/>
    <w:rsid w:val="0C0C2634"/>
    <w:rsid w:val="0C1352E6"/>
    <w:rsid w:val="0C1464BD"/>
    <w:rsid w:val="0C191D25"/>
    <w:rsid w:val="0C1B5A9E"/>
    <w:rsid w:val="0C273F15"/>
    <w:rsid w:val="0C2F1549"/>
    <w:rsid w:val="0C540FAF"/>
    <w:rsid w:val="0C5745FC"/>
    <w:rsid w:val="0C5908D8"/>
    <w:rsid w:val="0C607954"/>
    <w:rsid w:val="0C632FA1"/>
    <w:rsid w:val="0C6706F1"/>
    <w:rsid w:val="0C6805B7"/>
    <w:rsid w:val="0C6E0433"/>
    <w:rsid w:val="0C6E7A55"/>
    <w:rsid w:val="0C743400"/>
    <w:rsid w:val="0C807CE3"/>
    <w:rsid w:val="0C880C59"/>
    <w:rsid w:val="0C8C0749"/>
    <w:rsid w:val="0C8F023A"/>
    <w:rsid w:val="0C945850"/>
    <w:rsid w:val="0C9E222B"/>
    <w:rsid w:val="0CA43CE5"/>
    <w:rsid w:val="0CA737D5"/>
    <w:rsid w:val="0CB47CA0"/>
    <w:rsid w:val="0CB832EC"/>
    <w:rsid w:val="0CBE28CD"/>
    <w:rsid w:val="0CC46135"/>
    <w:rsid w:val="0CC872A8"/>
    <w:rsid w:val="0CDF4D1D"/>
    <w:rsid w:val="0CE2480D"/>
    <w:rsid w:val="0CFB767D"/>
    <w:rsid w:val="0D056F2A"/>
    <w:rsid w:val="0D076022"/>
    <w:rsid w:val="0D1F511A"/>
    <w:rsid w:val="0D246BD4"/>
    <w:rsid w:val="0D2564A8"/>
    <w:rsid w:val="0D2A1D10"/>
    <w:rsid w:val="0D3B3F1D"/>
    <w:rsid w:val="0D441024"/>
    <w:rsid w:val="0D442DD2"/>
    <w:rsid w:val="0D611BD6"/>
    <w:rsid w:val="0D65587A"/>
    <w:rsid w:val="0D703BC7"/>
    <w:rsid w:val="0D7218DD"/>
    <w:rsid w:val="0D837D9E"/>
    <w:rsid w:val="0D95362E"/>
    <w:rsid w:val="0DAB4BFF"/>
    <w:rsid w:val="0DB066B9"/>
    <w:rsid w:val="0DB55A7E"/>
    <w:rsid w:val="0DBA3094"/>
    <w:rsid w:val="0DBA3FC7"/>
    <w:rsid w:val="0DBC0BBA"/>
    <w:rsid w:val="0DC161D1"/>
    <w:rsid w:val="0DC21F49"/>
    <w:rsid w:val="0DC65EDD"/>
    <w:rsid w:val="0DCB34F3"/>
    <w:rsid w:val="0DCC7955"/>
    <w:rsid w:val="0DD979BE"/>
    <w:rsid w:val="0DEB76F2"/>
    <w:rsid w:val="0DFC18FF"/>
    <w:rsid w:val="0DFE11D3"/>
    <w:rsid w:val="0DFF319D"/>
    <w:rsid w:val="0E056A05"/>
    <w:rsid w:val="0E0E083C"/>
    <w:rsid w:val="0E197DBB"/>
    <w:rsid w:val="0E1C3D4F"/>
    <w:rsid w:val="0E2350DD"/>
    <w:rsid w:val="0E26072A"/>
    <w:rsid w:val="0E323572"/>
    <w:rsid w:val="0E364E11"/>
    <w:rsid w:val="0E4A266A"/>
    <w:rsid w:val="0E4F5ED2"/>
    <w:rsid w:val="0E5434E9"/>
    <w:rsid w:val="0E545297"/>
    <w:rsid w:val="0E5A4271"/>
    <w:rsid w:val="0E6354DA"/>
    <w:rsid w:val="0E7C617B"/>
    <w:rsid w:val="0E8042DE"/>
    <w:rsid w:val="0E8D07A9"/>
    <w:rsid w:val="0EA31D7A"/>
    <w:rsid w:val="0EA36482"/>
    <w:rsid w:val="0EA855E3"/>
    <w:rsid w:val="0EAA135B"/>
    <w:rsid w:val="0EAA3109"/>
    <w:rsid w:val="0EB14497"/>
    <w:rsid w:val="0EBA459B"/>
    <w:rsid w:val="0EC817E1"/>
    <w:rsid w:val="0ECA37AB"/>
    <w:rsid w:val="0ED97325"/>
    <w:rsid w:val="0EDC703A"/>
    <w:rsid w:val="0EE26D46"/>
    <w:rsid w:val="0EE3661B"/>
    <w:rsid w:val="0EE77EB9"/>
    <w:rsid w:val="0EF12AE6"/>
    <w:rsid w:val="0EF44384"/>
    <w:rsid w:val="0F000F7B"/>
    <w:rsid w:val="0F026AA1"/>
    <w:rsid w:val="0F0F7410"/>
    <w:rsid w:val="0F113188"/>
    <w:rsid w:val="0F16254C"/>
    <w:rsid w:val="0F1862C4"/>
    <w:rsid w:val="0F227143"/>
    <w:rsid w:val="0F28662E"/>
    <w:rsid w:val="0F2B249C"/>
    <w:rsid w:val="0F380715"/>
    <w:rsid w:val="0F490B74"/>
    <w:rsid w:val="0F544B86"/>
    <w:rsid w:val="0F655282"/>
    <w:rsid w:val="0F6634D4"/>
    <w:rsid w:val="0F7F4595"/>
    <w:rsid w:val="0F87344A"/>
    <w:rsid w:val="0F8A6A96"/>
    <w:rsid w:val="0F9301BE"/>
    <w:rsid w:val="0FA43FFC"/>
    <w:rsid w:val="0FB0474F"/>
    <w:rsid w:val="0FC41FA8"/>
    <w:rsid w:val="0FC47022"/>
    <w:rsid w:val="0FC621C4"/>
    <w:rsid w:val="0FC71A98"/>
    <w:rsid w:val="0FCC1EC6"/>
    <w:rsid w:val="0FD22A7F"/>
    <w:rsid w:val="0FDF3286"/>
    <w:rsid w:val="0FF26B15"/>
    <w:rsid w:val="0FF3288D"/>
    <w:rsid w:val="0FF52AA9"/>
    <w:rsid w:val="0FF87EA4"/>
    <w:rsid w:val="0FFA3C1C"/>
    <w:rsid w:val="0FFC1742"/>
    <w:rsid w:val="0FFC3E38"/>
    <w:rsid w:val="10042CED"/>
    <w:rsid w:val="10044A9B"/>
    <w:rsid w:val="10090303"/>
    <w:rsid w:val="100F5919"/>
    <w:rsid w:val="10162571"/>
    <w:rsid w:val="10190546"/>
    <w:rsid w:val="101E3DAE"/>
    <w:rsid w:val="102D5D9F"/>
    <w:rsid w:val="103A04BC"/>
    <w:rsid w:val="103C4234"/>
    <w:rsid w:val="104A4BA3"/>
    <w:rsid w:val="104F7C33"/>
    <w:rsid w:val="10686DD7"/>
    <w:rsid w:val="106F0166"/>
    <w:rsid w:val="107E65FB"/>
    <w:rsid w:val="108A31F2"/>
    <w:rsid w:val="108C4B27"/>
    <w:rsid w:val="10A4100D"/>
    <w:rsid w:val="10A5002C"/>
    <w:rsid w:val="10AB3168"/>
    <w:rsid w:val="10AD0C8E"/>
    <w:rsid w:val="10AD5132"/>
    <w:rsid w:val="10B1077E"/>
    <w:rsid w:val="10B262A5"/>
    <w:rsid w:val="10B4026F"/>
    <w:rsid w:val="10B65D95"/>
    <w:rsid w:val="10BD35C7"/>
    <w:rsid w:val="10C33511"/>
    <w:rsid w:val="10D10E21"/>
    <w:rsid w:val="10EF12A7"/>
    <w:rsid w:val="11022040"/>
    <w:rsid w:val="1109680C"/>
    <w:rsid w:val="110A7E8F"/>
    <w:rsid w:val="110C3C07"/>
    <w:rsid w:val="111331E7"/>
    <w:rsid w:val="111927C8"/>
    <w:rsid w:val="112847B9"/>
    <w:rsid w:val="112A0531"/>
    <w:rsid w:val="112E0021"/>
    <w:rsid w:val="112E1DCF"/>
    <w:rsid w:val="11357601"/>
    <w:rsid w:val="113B44EC"/>
    <w:rsid w:val="113D2012"/>
    <w:rsid w:val="11427629"/>
    <w:rsid w:val="11464D4E"/>
    <w:rsid w:val="115B2DE0"/>
    <w:rsid w:val="116021A5"/>
    <w:rsid w:val="116E041E"/>
    <w:rsid w:val="118934A9"/>
    <w:rsid w:val="11895257"/>
    <w:rsid w:val="118C11EC"/>
    <w:rsid w:val="11943BFC"/>
    <w:rsid w:val="119D6F55"/>
    <w:rsid w:val="119F4A7B"/>
    <w:rsid w:val="11A42091"/>
    <w:rsid w:val="11A6405B"/>
    <w:rsid w:val="11AB719A"/>
    <w:rsid w:val="11BD3153"/>
    <w:rsid w:val="11C646FD"/>
    <w:rsid w:val="11DC5CCF"/>
    <w:rsid w:val="11E06E41"/>
    <w:rsid w:val="11F03528"/>
    <w:rsid w:val="11F528ED"/>
    <w:rsid w:val="11FC011F"/>
    <w:rsid w:val="12154D3D"/>
    <w:rsid w:val="121A2353"/>
    <w:rsid w:val="121A5F6A"/>
    <w:rsid w:val="122040CF"/>
    <w:rsid w:val="122356AC"/>
    <w:rsid w:val="1235718D"/>
    <w:rsid w:val="123A29F6"/>
    <w:rsid w:val="12490E8B"/>
    <w:rsid w:val="124B075F"/>
    <w:rsid w:val="12655CC4"/>
    <w:rsid w:val="12681311"/>
    <w:rsid w:val="12695089"/>
    <w:rsid w:val="127203E1"/>
    <w:rsid w:val="12767ED2"/>
    <w:rsid w:val="12785A50"/>
    <w:rsid w:val="129245E0"/>
    <w:rsid w:val="12993BC0"/>
    <w:rsid w:val="129C720C"/>
    <w:rsid w:val="12A33B0D"/>
    <w:rsid w:val="12A6008B"/>
    <w:rsid w:val="12AA1929"/>
    <w:rsid w:val="12AA36D7"/>
    <w:rsid w:val="12B26A30"/>
    <w:rsid w:val="12BA6738"/>
    <w:rsid w:val="12BC340B"/>
    <w:rsid w:val="12C16C73"/>
    <w:rsid w:val="12C30C3D"/>
    <w:rsid w:val="12D9220E"/>
    <w:rsid w:val="12DB7D35"/>
    <w:rsid w:val="12E56E05"/>
    <w:rsid w:val="12E806A4"/>
    <w:rsid w:val="12F42BA4"/>
    <w:rsid w:val="12F6691D"/>
    <w:rsid w:val="12F708E7"/>
    <w:rsid w:val="13037AFF"/>
    <w:rsid w:val="130D1EB8"/>
    <w:rsid w:val="130D3C66"/>
    <w:rsid w:val="1319260B"/>
    <w:rsid w:val="13242AE7"/>
    <w:rsid w:val="132E42E0"/>
    <w:rsid w:val="13386F35"/>
    <w:rsid w:val="13433851"/>
    <w:rsid w:val="134A310C"/>
    <w:rsid w:val="134C478E"/>
    <w:rsid w:val="134D334B"/>
    <w:rsid w:val="13547AE7"/>
    <w:rsid w:val="13596EAB"/>
    <w:rsid w:val="136E2957"/>
    <w:rsid w:val="13712447"/>
    <w:rsid w:val="13732930"/>
    <w:rsid w:val="13824C83"/>
    <w:rsid w:val="13897791"/>
    <w:rsid w:val="138C102F"/>
    <w:rsid w:val="139879D4"/>
    <w:rsid w:val="139D3726"/>
    <w:rsid w:val="13A20852"/>
    <w:rsid w:val="13AF2F6F"/>
    <w:rsid w:val="13B50586"/>
    <w:rsid w:val="13BF1404"/>
    <w:rsid w:val="13CA7517"/>
    <w:rsid w:val="13D73FBA"/>
    <w:rsid w:val="13D749A0"/>
    <w:rsid w:val="13F84916"/>
    <w:rsid w:val="13F866C4"/>
    <w:rsid w:val="14060DE1"/>
    <w:rsid w:val="14076907"/>
    <w:rsid w:val="14096B23"/>
    <w:rsid w:val="141B23B3"/>
    <w:rsid w:val="142474B9"/>
    <w:rsid w:val="14294AD0"/>
    <w:rsid w:val="142C45C0"/>
    <w:rsid w:val="142E0338"/>
    <w:rsid w:val="14333BA0"/>
    <w:rsid w:val="14353475"/>
    <w:rsid w:val="14373691"/>
    <w:rsid w:val="143C4803"/>
    <w:rsid w:val="143F60A1"/>
    <w:rsid w:val="144162BD"/>
    <w:rsid w:val="14496F20"/>
    <w:rsid w:val="144D6A10"/>
    <w:rsid w:val="144E09DA"/>
    <w:rsid w:val="14522278"/>
    <w:rsid w:val="14524026"/>
    <w:rsid w:val="145A2EDB"/>
    <w:rsid w:val="145C6C53"/>
    <w:rsid w:val="1461426A"/>
    <w:rsid w:val="146D0E60"/>
    <w:rsid w:val="14726477"/>
    <w:rsid w:val="147815B3"/>
    <w:rsid w:val="14795A57"/>
    <w:rsid w:val="147C5547"/>
    <w:rsid w:val="14A64372"/>
    <w:rsid w:val="14B00D4D"/>
    <w:rsid w:val="14B60A59"/>
    <w:rsid w:val="14B7032D"/>
    <w:rsid w:val="14C82A75"/>
    <w:rsid w:val="14C91DC3"/>
    <w:rsid w:val="14CF38C9"/>
    <w:rsid w:val="14D94748"/>
    <w:rsid w:val="14E32ED1"/>
    <w:rsid w:val="14F50E56"/>
    <w:rsid w:val="14F926F4"/>
    <w:rsid w:val="15155054"/>
    <w:rsid w:val="15175270"/>
    <w:rsid w:val="151A266A"/>
    <w:rsid w:val="151B6B0E"/>
    <w:rsid w:val="15204125"/>
    <w:rsid w:val="15270331"/>
    <w:rsid w:val="154020D1"/>
    <w:rsid w:val="15477903"/>
    <w:rsid w:val="154B0357"/>
    <w:rsid w:val="154F67B8"/>
    <w:rsid w:val="155344FA"/>
    <w:rsid w:val="1562473D"/>
    <w:rsid w:val="15654529"/>
    <w:rsid w:val="156E30E2"/>
    <w:rsid w:val="1571672E"/>
    <w:rsid w:val="15724254"/>
    <w:rsid w:val="157601E9"/>
    <w:rsid w:val="15806971"/>
    <w:rsid w:val="158A5A42"/>
    <w:rsid w:val="158A77F0"/>
    <w:rsid w:val="15A20FDE"/>
    <w:rsid w:val="15AE34DE"/>
    <w:rsid w:val="15C553EF"/>
    <w:rsid w:val="15CD16BF"/>
    <w:rsid w:val="15CE3B81"/>
    <w:rsid w:val="15D54F0F"/>
    <w:rsid w:val="15DA0777"/>
    <w:rsid w:val="15DB629E"/>
    <w:rsid w:val="15FF3D3A"/>
    <w:rsid w:val="16104199"/>
    <w:rsid w:val="16157DBE"/>
    <w:rsid w:val="161812A0"/>
    <w:rsid w:val="162714E3"/>
    <w:rsid w:val="16351E52"/>
    <w:rsid w:val="163A2FC4"/>
    <w:rsid w:val="16465E0D"/>
    <w:rsid w:val="16491459"/>
    <w:rsid w:val="164B3423"/>
    <w:rsid w:val="16556050"/>
    <w:rsid w:val="165C118C"/>
    <w:rsid w:val="16695657"/>
    <w:rsid w:val="167209B0"/>
    <w:rsid w:val="167C538B"/>
    <w:rsid w:val="16832BBD"/>
    <w:rsid w:val="1686445B"/>
    <w:rsid w:val="16866209"/>
    <w:rsid w:val="168B7CC4"/>
    <w:rsid w:val="168E3310"/>
    <w:rsid w:val="16942AD6"/>
    <w:rsid w:val="169A1CB5"/>
    <w:rsid w:val="169E17A5"/>
    <w:rsid w:val="16A82624"/>
    <w:rsid w:val="16AA639C"/>
    <w:rsid w:val="16AB3EC2"/>
    <w:rsid w:val="16AD19E8"/>
    <w:rsid w:val="16CB2E15"/>
    <w:rsid w:val="16CE195E"/>
    <w:rsid w:val="16D8458B"/>
    <w:rsid w:val="16F13FCB"/>
    <w:rsid w:val="16F5338F"/>
    <w:rsid w:val="17012C29"/>
    <w:rsid w:val="1703785A"/>
    <w:rsid w:val="170830C2"/>
    <w:rsid w:val="170F26A3"/>
    <w:rsid w:val="171001C9"/>
    <w:rsid w:val="17173305"/>
    <w:rsid w:val="1720040C"/>
    <w:rsid w:val="17231CAA"/>
    <w:rsid w:val="17255A22"/>
    <w:rsid w:val="172872C1"/>
    <w:rsid w:val="172F68A1"/>
    <w:rsid w:val="17400AAE"/>
    <w:rsid w:val="174165D4"/>
    <w:rsid w:val="17463BEB"/>
    <w:rsid w:val="175045F4"/>
    <w:rsid w:val="175207E1"/>
    <w:rsid w:val="17555BDC"/>
    <w:rsid w:val="17604CAC"/>
    <w:rsid w:val="176127D3"/>
    <w:rsid w:val="177469AA"/>
    <w:rsid w:val="177B3E6B"/>
    <w:rsid w:val="17800EAB"/>
    <w:rsid w:val="17836BED"/>
    <w:rsid w:val="178F7340"/>
    <w:rsid w:val="179761F4"/>
    <w:rsid w:val="179901BE"/>
    <w:rsid w:val="179E3A27"/>
    <w:rsid w:val="179E7583"/>
    <w:rsid w:val="17A4103D"/>
    <w:rsid w:val="17A96653"/>
    <w:rsid w:val="17AA23CB"/>
    <w:rsid w:val="17B374D2"/>
    <w:rsid w:val="17BD5C5B"/>
    <w:rsid w:val="17C0574B"/>
    <w:rsid w:val="17C3523B"/>
    <w:rsid w:val="17C84600"/>
    <w:rsid w:val="17C92852"/>
    <w:rsid w:val="17CA481C"/>
    <w:rsid w:val="17EA27C8"/>
    <w:rsid w:val="17F81389"/>
    <w:rsid w:val="18003D99"/>
    <w:rsid w:val="1805260F"/>
    <w:rsid w:val="18115FA7"/>
    <w:rsid w:val="181D494B"/>
    <w:rsid w:val="18291542"/>
    <w:rsid w:val="183028D1"/>
    <w:rsid w:val="183452A7"/>
    <w:rsid w:val="18363C5F"/>
    <w:rsid w:val="18365A0D"/>
    <w:rsid w:val="183D6D9C"/>
    <w:rsid w:val="1840063A"/>
    <w:rsid w:val="184B770B"/>
    <w:rsid w:val="18544FDE"/>
    <w:rsid w:val="185C49C3"/>
    <w:rsid w:val="185D7DDC"/>
    <w:rsid w:val="18610CDC"/>
    <w:rsid w:val="18622CA6"/>
    <w:rsid w:val="18814EDA"/>
    <w:rsid w:val="188E5849"/>
    <w:rsid w:val="18934C0E"/>
    <w:rsid w:val="189A5F9C"/>
    <w:rsid w:val="18A92683"/>
    <w:rsid w:val="18C13529"/>
    <w:rsid w:val="18C66D91"/>
    <w:rsid w:val="18CE5C46"/>
    <w:rsid w:val="18D21BDA"/>
    <w:rsid w:val="18D25736"/>
    <w:rsid w:val="18DA6CE0"/>
    <w:rsid w:val="18E23597"/>
    <w:rsid w:val="18ED07C2"/>
    <w:rsid w:val="18F2402A"/>
    <w:rsid w:val="190D2C12"/>
    <w:rsid w:val="19197809"/>
    <w:rsid w:val="19235F91"/>
    <w:rsid w:val="192A37C4"/>
    <w:rsid w:val="192F2B88"/>
    <w:rsid w:val="193F08F1"/>
    <w:rsid w:val="194A5C14"/>
    <w:rsid w:val="19516FA3"/>
    <w:rsid w:val="195919B3"/>
    <w:rsid w:val="19614D0C"/>
    <w:rsid w:val="196F567B"/>
    <w:rsid w:val="19856C4C"/>
    <w:rsid w:val="198D5B01"/>
    <w:rsid w:val="198E25D5"/>
    <w:rsid w:val="198F3627"/>
    <w:rsid w:val="1997072D"/>
    <w:rsid w:val="19996254"/>
    <w:rsid w:val="199D21E8"/>
    <w:rsid w:val="19A76BC3"/>
    <w:rsid w:val="19AE61A3"/>
    <w:rsid w:val="19AF1F1B"/>
    <w:rsid w:val="19B117EF"/>
    <w:rsid w:val="19CE05F3"/>
    <w:rsid w:val="19D41982"/>
    <w:rsid w:val="19E75211"/>
    <w:rsid w:val="19F94F44"/>
    <w:rsid w:val="1A051B3B"/>
    <w:rsid w:val="1A09162B"/>
    <w:rsid w:val="1A0B1C7C"/>
    <w:rsid w:val="1A0F29BA"/>
    <w:rsid w:val="1A143B2C"/>
    <w:rsid w:val="1A1D0C33"/>
    <w:rsid w:val="1A255D39"/>
    <w:rsid w:val="1A2A15A2"/>
    <w:rsid w:val="1A3366A8"/>
    <w:rsid w:val="1A3C3108"/>
    <w:rsid w:val="1A420699"/>
    <w:rsid w:val="1A4240A2"/>
    <w:rsid w:val="1A450189"/>
    <w:rsid w:val="1A4B1C44"/>
    <w:rsid w:val="1A4C32C6"/>
    <w:rsid w:val="1A4D795A"/>
    <w:rsid w:val="1A564145"/>
    <w:rsid w:val="1A58610F"/>
    <w:rsid w:val="1A640552"/>
    <w:rsid w:val="1A652887"/>
    <w:rsid w:val="1A68631B"/>
    <w:rsid w:val="1A782AE2"/>
    <w:rsid w:val="1A7C5F3D"/>
    <w:rsid w:val="1A7D7923"/>
    <w:rsid w:val="1A7F5449"/>
    <w:rsid w:val="1A8707A2"/>
    <w:rsid w:val="1A89451A"/>
    <w:rsid w:val="1A9D7FC6"/>
    <w:rsid w:val="1AA41354"/>
    <w:rsid w:val="1AA90718"/>
    <w:rsid w:val="1AA9696A"/>
    <w:rsid w:val="1AAB26E2"/>
    <w:rsid w:val="1AB31597"/>
    <w:rsid w:val="1ABA6B2C"/>
    <w:rsid w:val="1AC27A2C"/>
    <w:rsid w:val="1AC94917"/>
    <w:rsid w:val="1ACC4407"/>
    <w:rsid w:val="1ADE4866"/>
    <w:rsid w:val="1AE17EB2"/>
    <w:rsid w:val="1AE259D8"/>
    <w:rsid w:val="1B040045"/>
    <w:rsid w:val="1B0818E3"/>
    <w:rsid w:val="1B100797"/>
    <w:rsid w:val="1B1348AC"/>
    <w:rsid w:val="1B193AF0"/>
    <w:rsid w:val="1B1E1106"/>
    <w:rsid w:val="1B214753"/>
    <w:rsid w:val="1B46240B"/>
    <w:rsid w:val="1B4D379A"/>
    <w:rsid w:val="1B4F12C0"/>
    <w:rsid w:val="1B522B5E"/>
    <w:rsid w:val="1B570174"/>
    <w:rsid w:val="1B60171F"/>
    <w:rsid w:val="1B66485B"/>
    <w:rsid w:val="1B7A3E63"/>
    <w:rsid w:val="1B8B42C2"/>
    <w:rsid w:val="1B8D003A"/>
    <w:rsid w:val="1B921E5D"/>
    <w:rsid w:val="1BA3160C"/>
    <w:rsid w:val="1BA4071F"/>
    <w:rsid w:val="1BA50EE0"/>
    <w:rsid w:val="1BA57132"/>
    <w:rsid w:val="1BA64C58"/>
    <w:rsid w:val="1BAD5FE6"/>
    <w:rsid w:val="1BB11F7A"/>
    <w:rsid w:val="1BB76E65"/>
    <w:rsid w:val="1BBB0703"/>
    <w:rsid w:val="1BBE01F3"/>
    <w:rsid w:val="1BC3580A"/>
    <w:rsid w:val="1BC841B7"/>
    <w:rsid w:val="1BCD6688"/>
    <w:rsid w:val="1BD6378F"/>
    <w:rsid w:val="1BDD3F75"/>
    <w:rsid w:val="1BDD4B1E"/>
    <w:rsid w:val="1BDF39B5"/>
    <w:rsid w:val="1BF12377"/>
    <w:rsid w:val="1BF27E9D"/>
    <w:rsid w:val="1BF37289"/>
    <w:rsid w:val="1C0A168B"/>
    <w:rsid w:val="1C0C0F5F"/>
    <w:rsid w:val="1C0E2F29"/>
    <w:rsid w:val="1C0E7EC3"/>
    <w:rsid w:val="1C1918CE"/>
    <w:rsid w:val="1C273A04"/>
    <w:rsid w:val="1C2C7853"/>
    <w:rsid w:val="1C3B5CE8"/>
    <w:rsid w:val="1C3D736A"/>
    <w:rsid w:val="1C4032FE"/>
    <w:rsid w:val="1C4B3B00"/>
    <w:rsid w:val="1C5D7A0C"/>
    <w:rsid w:val="1C6012AB"/>
    <w:rsid w:val="1C6C40F3"/>
    <w:rsid w:val="1C6E1C1A"/>
    <w:rsid w:val="1C6F7740"/>
    <w:rsid w:val="1C8054A9"/>
    <w:rsid w:val="1C8E7BC6"/>
    <w:rsid w:val="1C9A095A"/>
    <w:rsid w:val="1C9A47BD"/>
    <w:rsid w:val="1C9D42AD"/>
    <w:rsid w:val="1CB33AD0"/>
    <w:rsid w:val="1CC25AC1"/>
    <w:rsid w:val="1CC45CDD"/>
    <w:rsid w:val="1CC61A56"/>
    <w:rsid w:val="1CCE4466"/>
    <w:rsid w:val="1CD203FA"/>
    <w:rsid w:val="1CDD6D9F"/>
    <w:rsid w:val="1CE67A02"/>
    <w:rsid w:val="1CEB6DC6"/>
    <w:rsid w:val="1CEE2D5A"/>
    <w:rsid w:val="1CF540E9"/>
    <w:rsid w:val="1D022362"/>
    <w:rsid w:val="1D061E52"/>
    <w:rsid w:val="1D0E6F59"/>
    <w:rsid w:val="1D100F23"/>
    <w:rsid w:val="1D167BBB"/>
    <w:rsid w:val="1D175E0D"/>
    <w:rsid w:val="1D440BCC"/>
    <w:rsid w:val="1D444728"/>
    <w:rsid w:val="1D4D5CD3"/>
    <w:rsid w:val="1D552DD9"/>
    <w:rsid w:val="1D61352C"/>
    <w:rsid w:val="1D7414B2"/>
    <w:rsid w:val="1D774AFE"/>
    <w:rsid w:val="1D7A639C"/>
    <w:rsid w:val="1D862F93"/>
    <w:rsid w:val="1D954F84"/>
    <w:rsid w:val="1DA619A9"/>
    <w:rsid w:val="1DA91A6B"/>
    <w:rsid w:val="1DB01DBE"/>
    <w:rsid w:val="1DB573D4"/>
    <w:rsid w:val="1DB754FF"/>
    <w:rsid w:val="1DD957B9"/>
    <w:rsid w:val="1DE008F5"/>
    <w:rsid w:val="1DE1641B"/>
    <w:rsid w:val="1DE5415D"/>
    <w:rsid w:val="1DE81558"/>
    <w:rsid w:val="1E0F4D8D"/>
    <w:rsid w:val="1E1A454E"/>
    <w:rsid w:val="1E1D56A5"/>
    <w:rsid w:val="1E255A10"/>
    <w:rsid w:val="1E256308"/>
    <w:rsid w:val="1E285DF8"/>
    <w:rsid w:val="1E2A1B70"/>
    <w:rsid w:val="1E2D6346"/>
    <w:rsid w:val="1E2F53D8"/>
    <w:rsid w:val="1E334EC9"/>
    <w:rsid w:val="1E37603B"/>
    <w:rsid w:val="1E4E1D03"/>
    <w:rsid w:val="1E4F15D7"/>
    <w:rsid w:val="1E5A1A7D"/>
    <w:rsid w:val="1E682698"/>
    <w:rsid w:val="1E6E4153"/>
    <w:rsid w:val="1E766B63"/>
    <w:rsid w:val="1E8474D2"/>
    <w:rsid w:val="1E8C1D5D"/>
    <w:rsid w:val="1E933BB9"/>
    <w:rsid w:val="1EA41923"/>
    <w:rsid w:val="1EAA19F2"/>
    <w:rsid w:val="1EAA2CB1"/>
    <w:rsid w:val="1EBB0A1A"/>
    <w:rsid w:val="1EC57AEB"/>
    <w:rsid w:val="1ECE699F"/>
    <w:rsid w:val="1ED0096A"/>
    <w:rsid w:val="1ED92F13"/>
    <w:rsid w:val="1EDD6BE3"/>
    <w:rsid w:val="1EE91A2B"/>
    <w:rsid w:val="1F071EB1"/>
    <w:rsid w:val="1F0A1D41"/>
    <w:rsid w:val="1F0B19A2"/>
    <w:rsid w:val="1F0E1492"/>
    <w:rsid w:val="1F1B770B"/>
    <w:rsid w:val="1F2B3DF2"/>
    <w:rsid w:val="1F325180"/>
    <w:rsid w:val="1F334A54"/>
    <w:rsid w:val="1F3802BD"/>
    <w:rsid w:val="1F3F5AEF"/>
    <w:rsid w:val="1F3F789D"/>
    <w:rsid w:val="1F4149E1"/>
    <w:rsid w:val="1F494278"/>
    <w:rsid w:val="1F5570C1"/>
    <w:rsid w:val="1F6410B2"/>
    <w:rsid w:val="1F721A21"/>
    <w:rsid w:val="1F75506D"/>
    <w:rsid w:val="1F78690B"/>
    <w:rsid w:val="1F957747"/>
    <w:rsid w:val="1F9D6372"/>
    <w:rsid w:val="1F9E2816"/>
    <w:rsid w:val="1FAD4807"/>
    <w:rsid w:val="1FB57B5F"/>
    <w:rsid w:val="1FB77434"/>
    <w:rsid w:val="1FBB33C8"/>
    <w:rsid w:val="1FD2426D"/>
    <w:rsid w:val="1FDC333E"/>
    <w:rsid w:val="1FEB532F"/>
    <w:rsid w:val="1FF40126"/>
    <w:rsid w:val="20000DDB"/>
    <w:rsid w:val="2000702C"/>
    <w:rsid w:val="200C3C23"/>
    <w:rsid w:val="20223FAE"/>
    <w:rsid w:val="202251F5"/>
    <w:rsid w:val="20280331"/>
    <w:rsid w:val="202820DF"/>
    <w:rsid w:val="202C6073"/>
    <w:rsid w:val="202D5948"/>
    <w:rsid w:val="202F4064"/>
    <w:rsid w:val="204D1B46"/>
    <w:rsid w:val="205904EB"/>
    <w:rsid w:val="207F330F"/>
    <w:rsid w:val="208337BA"/>
    <w:rsid w:val="208512E0"/>
    <w:rsid w:val="20857532"/>
    <w:rsid w:val="209A600A"/>
    <w:rsid w:val="209D0D1F"/>
    <w:rsid w:val="20A35C0A"/>
    <w:rsid w:val="20A774A8"/>
    <w:rsid w:val="20AA6F98"/>
    <w:rsid w:val="20B120D5"/>
    <w:rsid w:val="20B47E17"/>
    <w:rsid w:val="20BD316F"/>
    <w:rsid w:val="20C04A0E"/>
    <w:rsid w:val="20C20786"/>
    <w:rsid w:val="20C52024"/>
    <w:rsid w:val="20D64231"/>
    <w:rsid w:val="20E57FD0"/>
    <w:rsid w:val="20EF0E4F"/>
    <w:rsid w:val="20F46465"/>
    <w:rsid w:val="20FC1639"/>
    <w:rsid w:val="20FD531A"/>
    <w:rsid w:val="2116462E"/>
    <w:rsid w:val="211663DC"/>
    <w:rsid w:val="211A2370"/>
    <w:rsid w:val="211F46A1"/>
    <w:rsid w:val="21246D4B"/>
    <w:rsid w:val="212705E9"/>
    <w:rsid w:val="21350F58"/>
    <w:rsid w:val="2136082C"/>
    <w:rsid w:val="213F5933"/>
    <w:rsid w:val="21515666"/>
    <w:rsid w:val="21570ECE"/>
    <w:rsid w:val="215869F4"/>
    <w:rsid w:val="215A09BE"/>
    <w:rsid w:val="21676C37"/>
    <w:rsid w:val="216B6728"/>
    <w:rsid w:val="216C24A0"/>
    <w:rsid w:val="21703D3E"/>
    <w:rsid w:val="21725D08"/>
    <w:rsid w:val="217355DC"/>
    <w:rsid w:val="217F6677"/>
    <w:rsid w:val="21817CF9"/>
    <w:rsid w:val="21867A05"/>
    <w:rsid w:val="218912A4"/>
    <w:rsid w:val="218D2B42"/>
    <w:rsid w:val="2197751D"/>
    <w:rsid w:val="21AA0ECA"/>
    <w:rsid w:val="21B31E7D"/>
    <w:rsid w:val="21B71716"/>
    <w:rsid w:val="21C1459A"/>
    <w:rsid w:val="21CA3032"/>
    <w:rsid w:val="21D40771"/>
    <w:rsid w:val="21D50045"/>
    <w:rsid w:val="21D7200F"/>
    <w:rsid w:val="21DC5877"/>
    <w:rsid w:val="21DC7625"/>
    <w:rsid w:val="21DE514B"/>
    <w:rsid w:val="21F20BF7"/>
    <w:rsid w:val="21F4496F"/>
    <w:rsid w:val="2208041A"/>
    <w:rsid w:val="220B7F0B"/>
    <w:rsid w:val="221548E5"/>
    <w:rsid w:val="2226421E"/>
    <w:rsid w:val="223631D9"/>
    <w:rsid w:val="22477195"/>
    <w:rsid w:val="22665141"/>
    <w:rsid w:val="226715E5"/>
    <w:rsid w:val="22743D02"/>
    <w:rsid w:val="2278210B"/>
    <w:rsid w:val="22784204"/>
    <w:rsid w:val="227C4964"/>
    <w:rsid w:val="227C6712"/>
    <w:rsid w:val="229121BE"/>
    <w:rsid w:val="22943A5C"/>
    <w:rsid w:val="22993768"/>
    <w:rsid w:val="22AD16D9"/>
    <w:rsid w:val="22B61C24"/>
    <w:rsid w:val="22C00CF5"/>
    <w:rsid w:val="22C32593"/>
    <w:rsid w:val="22CC1448"/>
    <w:rsid w:val="22D12F02"/>
    <w:rsid w:val="22D64075"/>
    <w:rsid w:val="22D84291"/>
    <w:rsid w:val="22DD5403"/>
    <w:rsid w:val="22EC0514"/>
    <w:rsid w:val="22F62969"/>
    <w:rsid w:val="22FB1D2D"/>
    <w:rsid w:val="22FD7853"/>
    <w:rsid w:val="23007343"/>
    <w:rsid w:val="23024E6A"/>
    <w:rsid w:val="23046E34"/>
    <w:rsid w:val="23052BAC"/>
    <w:rsid w:val="230B6414"/>
    <w:rsid w:val="231352C9"/>
    <w:rsid w:val="231E77CA"/>
    <w:rsid w:val="23250B58"/>
    <w:rsid w:val="23256DAA"/>
    <w:rsid w:val="23290648"/>
    <w:rsid w:val="232C1EE7"/>
    <w:rsid w:val="233174FD"/>
    <w:rsid w:val="23333275"/>
    <w:rsid w:val="23515DF1"/>
    <w:rsid w:val="23533577"/>
    <w:rsid w:val="23582CDC"/>
    <w:rsid w:val="235C6C70"/>
    <w:rsid w:val="23607DE2"/>
    <w:rsid w:val="23614286"/>
    <w:rsid w:val="23645B24"/>
    <w:rsid w:val="2369138D"/>
    <w:rsid w:val="2369313B"/>
    <w:rsid w:val="236B0C61"/>
    <w:rsid w:val="236C6787"/>
    <w:rsid w:val="237613B4"/>
    <w:rsid w:val="237815D0"/>
    <w:rsid w:val="237C2E6E"/>
    <w:rsid w:val="237D0994"/>
    <w:rsid w:val="237F470C"/>
    <w:rsid w:val="238B30B1"/>
    <w:rsid w:val="238E6718"/>
    <w:rsid w:val="23931F66"/>
    <w:rsid w:val="239A32F4"/>
    <w:rsid w:val="23B343B6"/>
    <w:rsid w:val="23B75C54"/>
    <w:rsid w:val="23B87C1E"/>
    <w:rsid w:val="23D06D16"/>
    <w:rsid w:val="23D36806"/>
    <w:rsid w:val="23E32EED"/>
    <w:rsid w:val="23ED1676"/>
    <w:rsid w:val="23FC5D5D"/>
    <w:rsid w:val="24034DE3"/>
    <w:rsid w:val="24044C11"/>
    <w:rsid w:val="24172B97"/>
    <w:rsid w:val="241C63FF"/>
    <w:rsid w:val="242552B4"/>
    <w:rsid w:val="24294678"/>
    <w:rsid w:val="242D2D0F"/>
    <w:rsid w:val="242F7EE0"/>
    <w:rsid w:val="243279D1"/>
    <w:rsid w:val="24410DB7"/>
    <w:rsid w:val="24545B99"/>
    <w:rsid w:val="245B6F27"/>
    <w:rsid w:val="24612064"/>
    <w:rsid w:val="24657D7E"/>
    <w:rsid w:val="246D0A09"/>
    <w:rsid w:val="247104F9"/>
    <w:rsid w:val="247C6E9E"/>
    <w:rsid w:val="24816262"/>
    <w:rsid w:val="2492221D"/>
    <w:rsid w:val="24942439"/>
    <w:rsid w:val="249C4E4A"/>
    <w:rsid w:val="249E0BC2"/>
    <w:rsid w:val="24A106B2"/>
    <w:rsid w:val="24AF4B7D"/>
    <w:rsid w:val="24B77ED6"/>
    <w:rsid w:val="24C06D8A"/>
    <w:rsid w:val="24C20D54"/>
    <w:rsid w:val="24C30629"/>
    <w:rsid w:val="24CC3981"/>
    <w:rsid w:val="24DD793C"/>
    <w:rsid w:val="24DE36B4"/>
    <w:rsid w:val="24EA4FDD"/>
    <w:rsid w:val="24ED38F7"/>
    <w:rsid w:val="24F353B2"/>
    <w:rsid w:val="24FA6740"/>
    <w:rsid w:val="24FF3D57"/>
    <w:rsid w:val="250A44A9"/>
    <w:rsid w:val="251F61A7"/>
    <w:rsid w:val="252B034F"/>
    <w:rsid w:val="252F3F10"/>
    <w:rsid w:val="25357778"/>
    <w:rsid w:val="254554E2"/>
    <w:rsid w:val="254E5A36"/>
    <w:rsid w:val="255E64C4"/>
    <w:rsid w:val="256A4F48"/>
    <w:rsid w:val="258C1362"/>
    <w:rsid w:val="259455FA"/>
    <w:rsid w:val="25A26779"/>
    <w:rsid w:val="25AE3087"/>
    <w:rsid w:val="25E76599"/>
    <w:rsid w:val="25E92311"/>
    <w:rsid w:val="25EB7E37"/>
    <w:rsid w:val="25F22003"/>
    <w:rsid w:val="25F3318F"/>
    <w:rsid w:val="25FA451E"/>
    <w:rsid w:val="25FF38E2"/>
    <w:rsid w:val="260D24A3"/>
    <w:rsid w:val="261C6242"/>
    <w:rsid w:val="26284BE7"/>
    <w:rsid w:val="262B2929"/>
    <w:rsid w:val="262B46D7"/>
    <w:rsid w:val="26404627"/>
    <w:rsid w:val="265E4AAD"/>
    <w:rsid w:val="266876DA"/>
    <w:rsid w:val="26751DF6"/>
    <w:rsid w:val="26775B6F"/>
    <w:rsid w:val="26793695"/>
    <w:rsid w:val="267E514F"/>
    <w:rsid w:val="26804A23"/>
    <w:rsid w:val="269229A8"/>
    <w:rsid w:val="26976211"/>
    <w:rsid w:val="26995227"/>
    <w:rsid w:val="269B185D"/>
    <w:rsid w:val="269C55D5"/>
    <w:rsid w:val="26B50445"/>
    <w:rsid w:val="26C30DB4"/>
    <w:rsid w:val="26CF59AB"/>
    <w:rsid w:val="26DD00C8"/>
    <w:rsid w:val="270A253F"/>
    <w:rsid w:val="270C62B7"/>
    <w:rsid w:val="270F5DA7"/>
    <w:rsid w:val="2714160F"/>
    <w:rsid w:val="271E5FEA"/>
    <w:rsid w:val="27231852"/>
    <w:rsid w:val="27377E1D"/>
    <w:rsid w:val="273E043A"/>
    <w:rsid w:val="27483067"/>
    <w:rsid w:val="27514612"/>
    <w:rsid w:val="276205CD"/>
    <w:rsid w:val="27655CDB"/>
    <w:rsid w:val="276C144B"/>
    <w:rsid w:val="276E6F72"/>
    <w:rsid w:val="277976C4"/>
    <w:rsid w:val="277A166B"/>
    <w:rsid w:val="278C564A"/>
    <w:rsid w:val="2790513A"/>
    <w:rsid w:val="279938C3"/>
    <w:rsid w:val="27A02EA3"/>
    <w:rsid w:val="27B5694E"/>
    <w:rsid w:val="27BD5803"/>
    <w:rsid w:val="27C13545"/>
    <w:rsid w:val="27C6290A"/>
    <w:rsid w:val="27CB43C4"/>
    <w:rsid w:val="27D02E91"/>
    <w:rsid w:val="27DC037F"/>
    <w:rsid w:val="27FC27CF"/>
    <w:rsid w:val="28041684"/>
    <w:rsid w:val="28072F22"/>
    <w:rsid w:val="280C22E7"/>
    <w:rsid w:val="28125B4F"/>
    <w:rsid w:val="281C5F77"/>
    <w:rsid w:val="28292E99"/>
    <w:rsid w:val="28463A4A"/>
    <w:rsid w:val="28515327"/>
    <w:rsid w:val="285F68BA"/>
    <w:rsid w:val="28620159"/>
    <w:rsid w:val="28665E9B"/>
    <w:rsid w:val="28724840"/>
    <w:rsid w:val="28795BCE"/>
    <w:rsid w:val="28810F26"/>
    <w:rsid w:val="28862099"/>
    <w:rsid w:val="288F719F"/>
    <w:rsid w:val="28A15125"/>
    <w:rsid w:val="28A8200F"/>
    <w:rsid w:val="28AB7D51"/>
    <w:rsid w:val="28BE7A85"/>
    <w:rsid w:val="28CB3F50"/>
    <w:rsid w:val="28D252DE"/>
    <w:rsid w:val="28E514B5"/>
    <w:rsid w:val="28EA6ACC"/>
    <w:rsid w:val="28EB0C2F"/>
    <w:rsid w:val="28EF5E90"/>
    <w:rsid w:val="29015BC3"/>
    <w:rsid w:val="29017971"/>
    <w:rsid w:val="29115E06"/>
    <w:rsid w:val="291476A5"/>
    <w:rsid w:val="292D69B8"/>
    <w:rsid w:val="29310257"/>
    <w:rsid w:val="293D4E4D"/>
    <w:rsid w:val="294A30C6"/>
    <w:rsid w:val="295126A7"/>
    <w:rsid w:val="2959155B"/>
    <w:rsid w:val="295B52D4"/>
    <w:rsid w:val="295E4DC4"/>
    <w:rsid w:val="296C128F"/>
    <w:rsid w:val="297024E8"/>
    <w:rsid w:val="29802F8C"/>
    <w:rsid w:val="29883BEF"/>
    <w:rsid w:val="29A053DC"/>
    <w:rsid w:val="29AC5B2F"/>
    <w:rsid w:val="29B11398"/>
    <w:rsid w:val="29B13146"/>
    <w:rsid w:val="29B64C00"/>
    <w:rsid w:val="29C410CB"/>
    <w:rsid w:val="29C4731D"/>
    <w:rsid w:val="29CC61D1"/>
    <w:rsid w:val="29CC7F7F"/>
    <w:rsid w:val="29D15596"/>
    <w:rsid w:val="29F1409D"/>
    <w:rsid w:val="29F23E8A"/>
    <w:rsid w:val="29F37C02"/>
    <w:rsid w:val="29FA689B"/>
    <w:rsid w:val="2A3F4BF5"/>
    <w:rsid w:val="2A4346E5"/>
    <w:rsid w:val="2A465F84"/>
    <w:rsid w:val="2A4B17EC"/>
    <w:rsid w:val="2A4E6BE6"/>
    <w:rsid w:val="2A662182"/>
    <w:rsid w:val="2A677CA8"/>
    <w:rsid w:val="2A7C7BF7"/>
    <w:rsid w:val="2A810D6A"/>
    <w:rsid w:val="2A834AE2"/>
    <w:rsid w:val="2A84085A"/>
    <w:rsid w:val="2A8B3997"/>
    <w:rsid w:val="2A97058D"/>
    <w:rsid w:val="2A9D36CA"/>
    <w:rsid w:val="2AA84549"/>
    <w:rsid w:val="2AC1385C"/>
    <w:rsid w:val="2AC61C8E"/>
    <w:rsid w:val="2AD01CF1"/>
    <w:rsid w:val="2AD52E64"/>
    <w:rsid w:val="2AEB2687"/>
    <w:rsid w:val="2AF4778E"/>
    <w:rsid w:val="2B006133"/>
    <w:rsid w:val="2B125E66"/>
    <w:rsid w:val="2B1716CE"/>
    <w:rsid w:val="2B17347C"/>
    <w:rsid w:val="2B283BFC"/>
    <w:rsid w:val="2B285689"/>
    <w:rsid w:val="2B3C1135"/>
    <w:rsid w:val="2B3E4EAD"/>
    <w:rsid w:val="2B4019A6"/>
    <w:rsid w:val="2B406E77"/>
    <w:rsid w:val="2B4F0E68"/>
    <w:rsid w:val="2B51698E"/>
    <w:rsid w:val="2B606BD1"/>
    <w:rsid w:val="2B6F5066"/>
    <w:rsid w:val="2B710DDE"/>
    <w:rsid w:val="2B715282"/>
    <w:rsid w:val="2B7D59D5"/>
    <w:rsid w:val="2B7E52A9"/>
    <w:rsid w:val="2B830B12"/>
    <w:rsid w:val="2B906F6D"/>
    <w:rsid w:val="2B9176D3"/>
    <w:rsid w:val="2B9D1BD3"/>
    <w:rsid w:val="2B9D7E25"/>
    <w:rsid w:val="2BA50A88"/>
    <w:rsid w:val="2BAC62BA"/>
    <w:rsid w:val="2BBA6680"/>
    <w:rsid w:val="2BC25ADE"/>
    <w:rsid w:val="2BC37160"/>
    <w:rsid w:val="2BC41856"/>
    <w:rsid w:val="2BD72A2F"/>
    <w:rsid w:val="2BDA2E28"/>
    <w:rsid w:val="2BEC6C4B"/>
    <w:rsid w:val="2BFD32D8"/>
    <w:rsid w:val="2C043A01"/>
    <w:rsid w:val="2C0B5B3F"/>
    <w:rsid w:val="2C11611D"/>
    <w:rsid w:val="2C1610DB"/>
    <w:rsid w:val="2C1D2D14"/>
    <w:rsid w:val="2C1F6A8C"/>
    <w:rsid w:val="2C2E3173"/>
    <w:rsid w:val="2C35005E"/>
    <w:rsid w:val="2C385DA0"/>
    <w:rsid w:val="2C3F2C8B"/>
    <w:rsid w:val="2C4209CD"/>
    <w:rsid w:val="2C4C57BC"/>
    <w:rsid w:val="2C520C10"/>
    <w:rsid w:val="2C602C01"/>
    <w:rsid w:val="2C622E1D"/>
    <w:rsid w:val="2C697D08"/>
    <w:rsid w:val="2C703257"/>
    <w:rsid w:val="2C772424"/>
    <w:rsid w:val="2C92725E"/>
    <w:rsid w:val="2C941B89"/>
    <w:rsid w:val="2C9D5C03"/>
    <w:rsid w:val="2C9F197B"/>
    <w:rsid w:val="2C9F3729"/>
    <w:rsid w:val="2CA13945"/>
    <w:rsid w:val="2CA43435"/>
    <w:rsid w:val="2CAB47C4"/>
    <w:rsid w:val="2CB43679"/>
    <w:rsid w:val="2CB52F4D"/>
    <w:rsid w:val="2CBC6D61"/>
    <w:rsid w:val="2CCB09C2"/>
    <w:rsid w:val="2CCB2770"/>
    <w:rsid w:val="2CCD0296"/>
    <w:rsid w:val="2CD31625"/>
    <w:rsid w:val="2CD755B9"/>
    <w:rsid w:val="2CDA0C05"/>
    <w:rsid w:val="2CDB4EBB"/>
    <w:rsid w:val="2CE13D42"/>
    <w:rsid w:val="2CE33F5E"/>
    <w:rsid w:val="2CE850D0"/>
    <w:rsid w:val="2CEB2E12"/>
    <w:rsid w:val="2CF73565"/>
    <w:rsid w:val="2CFA4E04"/>
    <w:rsid w:val="2D0637A8"/>
    <w:rsid w:val="2D095047"/>
    <w:rsid w:val="2D0D2D89"/>
    <w:rsid w:val="2D18421D"/>
    <w:rsid w:val="2D2135EE"/>
    <w:rsid w:val="2D300825"/>
    <w:rsid w:val="2D360531"/>
    <w:rsid w:val="2D3C541C"/>
    <w:rsid w:val="2D454904"/>
    <w:rsid w:val="2D6D3827"/>
    <w:rsid w:val="2D7746A6"/>
    <w:rsid w:val="2D783B6A"/>
    <w:rsid w:val="2D7C1CBC"/>
    <w:rsid w:val="2D7D7F0E"/>
    <w:rsid w:val="2D80355B"/>
    <w:rsid w:val="2D8D3ECA"/>
    <w:rsid w:val="2D8D7A26"/>
    <w:rsid w:val="2D8F19F0"/>
    <w:rsid w:val="2D917516"/>
    <w:rsid w:val="2DA90D03"/>
    <w:rsid w:val="2DC07DFB"/>
    <w:rsid w:val="2DD13DB6"/>
    <w:rsid w:val="2DDD275B"/>
    <w:rsid w:val="2DE0049D"/>
    <w:rsid w:val="2DEC0BF0"/>
    <w:rsid w:val="2DEC6433"/>
    <w:rsid w:val="2DF40D54"/>
    <w:rsid w:val="2E1168A9"/>
    <w:rsid w:val="2E162111"/>
    <w:rsid w:val="2E163EBF"/>
    <w:rsid w:val="2E224612"/>
    <w:rsid w:val="2E2465DC"/>
    <w:rsid w:val="2E3A195C"/>
    <w:rsid w:val="2E402CEA"/>
    <w:rsid w:val="2E4722CA"/>
    <w:rsid w:val="2E474078"/>
    <w:rsid w:val="2E4E18AB"/>
    <w:rsid w:val="2E505623"/>
    <w:rsid w:val="2E530C6F"/>
    <w:rsid w:val="2E542C1C"/>
    <w:rsid w:val="2E556795"/>
    <w:rsid w:val="2E5F198C"/>
    <w:rsid w:val="2E625356"/>
    <w:rsid w:val="2E6609A2"/>
    <w:rsid w:val="2E693FEF"/>
    <w:rsid w:val="2E6B420B"/>
    <w:rsid w:val="2E6B483B"/>
    <w:rsid w:val="2E717347"/>
    <w:rsid w:val="2E7806D6"/>
    <w:rsid w:val="2E864BA1"/>
    <w:rsid w:val="2E89643F"/>
    <w:rsid w:val="2E8D7DF7"/>
    <w:rsid w:val="2E8E35A8"/>
    <w:rsid w:val="2E921798"/>
    <w:rsid w:val="2E9574DA"/>
    <w:rsid w:val="2E982B26"/>
    <w:rsid w:val="2E9D638E"/>
    <w:rsid w:val="2E9E1585"/>
    <w:rsid w:val="2EA66FF1"/>
    <w:rsid w:val="2EA80FBB"/>
    <w:rsid w:val="2EAB4607"/>
    <w:rsid w:val="2EB23BE8"/>
    <w:rsid w:val="2EC15BD9"/>
    <w:rsid w:val="2EC97183"/>
    <w:rsid w:val="2ECD6C74"/>
    <w:rsid w:val="2EE144CD"/>
    <w:rsid w:val="2EED4C20"/>
    <w:rsid w:val="2EF7784D"/>
    <w:rsid w:val="2F041F69"/>
    <w:rsid w:val="2F0E4B96"/>
    <w:rsid w:val="2F0F5433"/>
    <w:rsid w:val="2F1F6DA3"/>
    <w:rsid w:val="2F2C3BAD"/>
    <w:rsid w:val="2F2C5F9C"/>
    <w:rsid w:val="2F39658F"/>
    <w:rsid w:val="2F397E65"/>
    <w:rsid w:val="2F3E191F"/>
    <w:rsid w:val="2F4405B8"/>
    <w:rsid w:val="2F4D3910"/>
    <w:rsid w:val="2F57653D"/>
    <w:rsid w:val="2F5C34B7"/>
    <w:rsid w:val="2F5F53F2"/>
    <w:rsid w:val="2F6B3FCA"/>
    <w:rsid w:val="2F6F69AC"/>
    <w:rsid w:val="2F81180C"/>
    <w:rsid w:val="2F996B56"/>
    <w:rsid w:val="2FA8323D"/>
    <w:rsid w:val="2FB67708"/>
    <w:rsid w:val="2FBB6ACC"/>
    <w:rsid w:val="2FC260AC"/>
    <w:rsid w:val="2FC55B9D"/>
    <w:rsid w:val="2FD1009E"/>
    <w:rsid w:val="2FDB716E"/>
    <w:rsid w:val="2FF40230"/>
    <w:rsid w:val="2FF700B2"/>
    <w:rsid w:val="30000983"/>
    <w:rsid w:val="30134B5A"/>
    <w:rsid w:val="301461DC"/>
    <w:rsid w:val="301B45F3"/>
    <w:rsid w:val="302208F9"/>
    <w:rsid w:val="3025663B"/>
    <w:rsid w:val="30274161"/>
    <w:rsid w:val="303845C1"/>
    <w:rsid w:val="303F76FD"/>
    <w:rsid w:val="30542A7D"/>
    <w:rsid w:val="305B02AF"/>
    <w:rsid w:val="30662EDC"/>
    <w:rsid w:val="30703D5A"/>
    <w:rsid w:val="30705B08"/>
    <w:rsid w:val="307B625B"/>
    <w:rsid w:val="307F5D4C"/>
    <w:rsid w:val="308248CB"/>
    <w:rsid w:val="30896BCA"/>
    <w:rsid w:val="3091782D"/>
    <w:rsid w:val="30922B28"/>
    <w:rsid w:val="309A4933"/>
    <w:rsid w:val="30A73B89"/>
    <w:rsid w:val="30B04157"/>
    <w:rsid w:val="30B579BF"/>
    <w:rsid w:val="30C220DC"/>
    <w:rsid w:val="30CE0A81"/>
    <w:rsid w:val="30CE3D98"/>
    <w:rsid w:val="30E738F1"/>
    <w:rsid w:val="30F46739"/>
    <w:rsid w:val="30FD3114"/>
    <w:rsid w:val="30FF6E8C"/>
    <w:rsid w:val="3103599E"/>
    <w:rsid w:val="3106021B"/>
    <w:rsid w:val="31126BC0"/>
    <w:rsid w:val="311346E6"/>
    <w:rsid w:val="31174143"/>
    <w:rsid w:val="31175F84"/>
    <w:rsid w:val="311E402B"/>
    <w:rsid w:val="312132A7"/>
    <w:rsid w:val="31280191"/>
    <w:rsid w:val="31293F09"/>
    <w:rsid w:val="31307046"/>
    <w:rsid w:val="31374878"/>
    <w:rsid w:val="313F372D"/>
    <w:rsid w:val="31576CC8"/>
    <w:rsid w:val="315C42DF"/>
    <w:rsid w:val="315C7E3B"/>
    <w:rsid w:val="31662A68"/>
    <w:rsid w:val="31701B38"/>
    <w:rsid w:val="31864EB8"/>
    <w:rsid w:val="319055AA"/>
    <w:rsid w:val="31A55C86"/>
    <w:rsid w:val="31AB491E"/>
    <w:rsid w:val="31B71515"/>
    <w:rsid w:val="31BB7257"/>
    <w:rsid w:val="31C75BFC"/>
    <w:rsid w:val="31CD297B"/>
    <w:rsid w:val="31D413BE"/>
    <w:rsid w:val="31E3055C"/>
    <w:rsid w:val="31E542D4"/>
    <w:rsid w:val="31E56082"/>
    <w:rsid w:val="31F42769"/>
    <w:rsid w:val="32060862"/>
    <w:rsid w:val="3207424B"/>
    <w:rsid w:val="321B7CF6"/>
    <w:rsid w:val="322A1CE7"/>
    <w:rsid w:val="322C5A5F"/>
    <w:rsid w:val="322E7A29"/>
    <w:rsid w:val="3244724D"/>
    <w:rsid w:val="32476D3D"/>
    <w:rsid w:val="324C4353"/>
    <w:rsid w:val="32562ADC"/>
    <w:rsid w:val="32582CF8"/>
    <w:rsid w:val="325B4596"/>
    <w:rsid w:val="328533C1"/>
    <w:rsid w:val="3293788C"/>
    <w:rsid w:val="32943604"/>
    <w:rsid w:val="32951856"/>
    <w:rsid w:val="32990C1B"/>
    <w:rsid w:val="32A23F73"/>
    <w:rsid w:val="32C20171"/>
    <w:rsid w:val="32CB171C"/>
    <w:rsid w:val="32D61E6F"/>
    <w:rsid w:val="32E4633A"/>
    <w:rsid w:val="32F12805"/>
    <w:rsid w:val="32F42FBE"/>
    <w:rsid w:val="32F56799"/>
    <w:rsid w:val="32F83B93"/>
    <w:rsid w:val="32FA5B5D"/>
    <w:rsid w:val="332350B4"/>
    <w:rsid w:val="333F17C2"/>
    <w:rsid w:val="3344327C"/>
    <w:rsid w:val="33477DBB"/>
    <w:rsid w:val="334868C9"/>
    <w:rsid w:val="33490893"/>
    <w:rsid w:val="334F40FB"/>
    <w:rsid w:val="3350577D"/>
    <w:rsid w:val="335F3C12"/>
    <w:rsid w:val="33863895"/>
    <w:rsid w:val="33AA78FC"/>
    <w:rsid w:val="33B026C0"/>
    <w:rsid w:val="33B421B0"/>
    <w:rsid w:val="33C10429"/>
    <w:rsid w:val="33C70135"/>
    <w:rsid w:val="33CF46BF"/>
    <w:rsid w:val="33D740F0"/>
    <w:rsid w:val="33E04D53"/>
    <w:rsid w:val="33EF4F96"/>
    <w:rsid w:val="33F16F60"/>
    <w:rsid w:val="33F407FF"/>
    <w:rsid w:val="33F8693E"/>
    <w:rsid w:val="33FB7DDF"/>
    <w:rsid w:val="34000F51"/>
    <w:rsid w:val="34030A42"/>
    <w:rsid w:val="340C3D9A"/>
    <w:rsid w:val="3411315F"/>
    <w:rsid w:val="341B3FDD"/>
    <w:rsid w:val="341D7D55"/>
    <w:rsid w:val="34207846"/>
    <w:rsid w:val="342F6779"/>
    <w:rsid w:val="34337579"/>
    <w:rsid w:val="343B642D"/>
    <w:rsid w:val="343C3F54"/>
    <w:rsid w:val="345B6AD0"/>
    <w:rsid w:val="3472006B"/>
    <w:rsid w:val="34733E19"/>
    <w:rsid w:val="34735BC7"/>
    <w:rsid w:val="348576A9"/>
    <w:rsid w:val="348B4B08"/>
    <w:rsid w:val="34931DC5"/>
    <w:rsid w:val="34943D90"/>
    <w:rsid w:val="349A75F8"/>
    <w:rsid w:val="349B6ECC"/>
    <w:rsid w:val="34A52E51"/>
    <w:rsid w:val="34B41D3C"/>
    <w:rsid w:val="34C603ED"/>
    <w:rsid w:val="34CE72A2"/>
    <w:rsid w:val="34DB19BE"/>
    <w:rsid w:val="34DD74E5"/>
    <w:rsid w:val="34DF500B"/>
    <w:rsid w:val="34FD36E3"/>
    <w:rsid w:val="350E58F0"/>
    <w:rsid w:val="351F5D4F"/>
    <w:rsid w:val="35260E8C"/>
    <w:rsid w:val="353A4937"/>
    <w:rsid w:val="353A7F42"/>
    <w:rsid w:val="35411821"/>
    <w:rsid w:val="354237EC"/>
    <w:rsid w:val="354B08F2"/>
    <w:rsid w:val="354D6418"/>
    <w:rsid w:val="354F7530"/>
    <w:rsid w:val="355157DD"/>
    <w:rsid w:val="35672959"/>
    <w:rsid w:val="356D6ABA"/>
    <w:rsid w:val="3589141A"/>
    <w:rsid w:val="35A61FCC"/>
    <w:rsid w:val="35B9585C"/>
    <w:rsid w:val="35BA7826"/>
    <w:rsid w:val="35C91817"/>
    <w:rsid w:val="35C97A69"/>
    <w:rsid w:val="35DA1C76"/>
    <w:rsid w:val="35DC154A"/>
    <w:rsid w:val="35DC779C"/>
    <w:rsid w:val="35E13004"/>
    <w:rsid w:val="35ED3757"/>
    <w:rsid w:val="35F5085E"/>
    <w:rsid w:val="361B02C4"/>
    <w:rsid w:val="362F3D70"/>
    <w:rsid w:val="3660217B"/>
    <w:rsid w:val="36664A31"/>
    <w:rsid w:val="366F23BE"/>
    <w:rsid w:val="367125DA"/>
    <w:rsid w:val="36794FEB"/>
    <w:rsid w:val="368F0CB2"/>
    <w:rsid w:val="369462C9"/>
    <w:rsid w:val="36AA33F6"/>
    <w:rsid w:val="36AE1139"/>
    <w:rsid w:val="36B6623F"/>
    <w:rsid w:val="36BD137C"/>
    <w:rsid w:val="36BE50F4"/>
    <w:rsid w:val="36C96F41"/>
    <w:rsid w:val="36CE5337"/>
    <w:rsid w:val="36D3294D"/>
    <w:rsid w:val="36D44917"/>
    <w:rsid w:val="36DF61E9"/>
    <w:rsid w:val="36E36908"/>
    <w:rsid w:val="36E42DAC"/>
    <w:rsid w:val="36E903C3"/>
    <w:rsid w:val="36EB413B"/>
    <w:rsid w:val="36EC3A0F"/>
    <w:rsid w:val="36EE3C2B"/>
    <w:rsid w:val="36F31241"/>
    <w:rsid w:val="36F7589E"/>
    <w:rsid w:val="36F759BD"/>
    <w:rsid w:val="37021484"/>
    <w:rsid w:val="370B658B"/>
    <w:rsid w:val="37103BA1"/>
    <w:rsid w:val="37133692"/>
    <w:rsid w:val="371B60A2"/>
    <w:rsid w:val="37256F21"/>
    <w:rsid w:val="37384EA6"/>
    <w:rsid w:val="373D540C"/>
    <w:rsid w:val="37400A6A"/>
    <w:rsid w:val="37533A8E"/>
    <w:rsid w:val="37557806"/>
    <w:rsid w:val="376143FD"/>
    <w:rsid w:val="37647A49"/>
    <w:rsid w:val="377C1237"/>
    <w:rsid w:val="37893954"/>
    <w:rsid w:val="378E0F6A"/>
    <w:rsid w:val="37977E1F"/>
    <w:rsid w:val="379F77DE"/>
    <w:rsid w:val="37B26A07"/>
    <w:rsid w:val="37BA58BB"/>
    <w:rsid w:val="37BF1123"/>
    <w:rsid w:val="37C130EE"/>
    <w:rsid w:val="37D50947"/>
    <w:rsid w:val="37DA5F5D"/>
    <w:rsid w:val="37E1553E"/>
    <w:rsid w:val="37ED5C91"/>
    <w:rsid w:val="37FE1C4C"/>
    <w:rsid w:val="37FE39FA"/>
    <w:rsid w:val="382275F5"/>
    <w:rsid w:val="382471D8"/>
    <w:rsid w:val="38283467"/>
    <w:rsid w:val="382A2A41"/>
    <w:rsid w:val="382F0057"/>
    <w:rsid w:val="38376F0C"/>
    <w:rsid w:val="384D4981"/>
    <w:rsid w:val="38514471"/>
    <w:rsid w:val="385775AE"/>
    <w:rsid w:val="38591578"/>
    <w:rsid w:val="386B4E07"/>
    <w:rsid w:val="38763ED8"/>
    <w:rsid w:val="38787C50"/>
    <w:rsid w:val="388008B3"/>
    <w:rsid w:val="388303A3"/>
    <w:rsid w:val="3885411B"/>
    <w:rsid w:val="38961E84"/>
    <w:rsid w:val="38983E4E"/>
    <w:rsid w:val="389F4A2A"/>
    <w:rsid w:val="38AA1DD4"/>
    <w:rsid w:val="38AD71CE"/>
    <w:rsid w:val="38B60778"/>
    <w:rsid w:val="38B7004D"/>
    <w:rsid w:val="38C34C43"/>
    <w:rsid w:val="38CC3AF8"/>
    <w:rsid w:val="38CD7870"/>
    <w:rsid w:val="38CE5AC2"/>
    <w:rsid w:val="38DD3F57"/>
    <w:rsid w:val="38DF7CCF"/>
    <w:rsid w:val="38E70932"/>
    <w:rsid w:val="38E86458"/>
    <w:rsid w:val="38EA21D0"/>
    <w:rsid w:val="38F80D91"/>
    <w:rsid w:val="38FB618B"/>
    <w:rsid w:val="38FD63A7"/>
    <w:rsid w:val="38FF0C15"/>
    <w:rsid w:val="39013990"/>
    <w:rsid w:val="39050DB8"/>
    <w:rsid w:val="391264CE"/>
    <w:rsid w:val="391536F1"/>
    <w:rsid w:val="391B05DB"/>
    <w:rsid w:val="393022D9"/>
    <w:rsid w:val="39317DFF"/>
    <w:rsid w:val="393A3157"/>
    <w:rsid w:val="393C6ED0"/>
    <w:rsid w:val="394915ED"/>
    <w:rsid w:val="39567866"/>
    <w:rsid w:val="395A1104"/>
    <w:rsid w:val="39657AA9"/>
    <w:rsid w:val="396E4BAF"/>
    <w:rsid w:val="398048E2"/>
    <w:rsid w:val="39810D86"/>
    <w:rsid w:val="39A93E39"/>
    <w:rsid w:val="39BA1BA2"/>
    <w:rsid w:val="39BE5B37"/>
    <w:rsid w:val="39CB3DB0"/>
    <w:rsid w:val="39E15381"/>
    <w:rsid w:val="39E60BE9"/>
    <w:rsid w:val="39F5707E"/>
    <w:rsid w:val="39F8091D"/>
    <w:rsid w:val="39F96B6F"/>
    <w:rsid w:val="39FA6443"/>
    <w:rsid w:val="39FE4185"/>
    <w:rsid w:val="3A00614F"/>
    <w:rsid w:val="3A0E0140"/>
    <w:rsid w:val="3A1A6AE5"/>
    <w:rsid w:val="3A281202"/>
    <w:rsid w:val="3A282FB0"/>
    <w:rsid w:val="3A2C2CB0"/>
    <w:rsid w:val="3A377697"/>
    <w:rsid w:val="3A3C157F"/>
    <w:rsid w:val="3A3F7873"/>
    <w:rsid w:val="3A465B2C"/>
    <w:rsid w:val="3A63223A"/>
    <w:rsid w:val="3A663AD8"/>
    <w:rsid w:val="3A72247D"/>
    <w:rsid w:val="3A7C32FC"/>
    <w:rsid w:val="3A8B0C83"/>
    <w:rsid w:val="3A8C5E79"/>
    <w:rsid w:val="3A8D375B"/>
    <w:rsid w:val="3AA27206"/>
    <w:rsid w:val="3AA755A5"/>
    <w:rsid w:val="3AAD15EC"/>
    <w:rsid w:val="3AB111F7"/>
    <w:rsid w:val="3AC21656"/>
    <w:rsid w:val="3AD13648"/>
    <w:rsid w:val="3AD924FC"/>
    <w:rsid w:val="3AEE244B"/>
    <w:rsid w:val="3AEF1D20"/>
    <w:rsid w:val="3B08248F"/>
    <w:rsid w:val="3B1606B9"/>
    <w:rsid w:val="3B1D063B"/>
    <w:rsid w:val="3B1D4ADF"/>
    <w:rsid w:val="3B255741"/>
    <w:rsid w:val="3B286FE0"/>
    <w:rsid w:val="3B2E0A9A"/>
    <w:rsid w:val="3B2F4FC9"/>
    <w:rsid w:val="3B345984"/>
    <w:rsid w:val="3B351E28"/>
    <w:rsid w:val="3B3911ED"/>
    <w:rsid w:val="3B3A743F"/>
    <w:rsid w:val="3B3F61FF"/>
    <w:rsid w:val="3B4200A1"/>
    <w:rsid w:val="3B424545"/>
    <w:rsid w:val="3B457B92"/>
    <w:rsid w:val="3B531D3E"/>
    <w:rsid w:val="3B5322AF"/>
    <w:rsid w:val="3B567FF1"/>
    <w:rsid w:val="3B5D137F"/>
    <w:rsid w:val="3B5F515D"/>
    <w:rsid w:val="3B6312E8"/>
    <w:rsid w:val="3B710987"/>
    <w:rsid w:val="3B822B94"/>
    <w:rsid w:val="3B914B85"/>
    <w:rsid w:val="3B9A7EDD"/>
    <w:rsid w:val="3BA96372"/>
    <w:rsid w:val="3BB54D17"/>
    <w:rsid w:val="3BB865B6"/>
    <w:rsid w:val="3BBA0580"/>
    <w:rsid w:val="3BC62A80"/>
    <w:rsid w:val="3BC74A4B"/>
    <w:rsid w:val="3BD056AD"/>
    <w:rsid w:val="3BD11425"/>
    <w:rsid w:val="3BE8116C"/>
    <w:rsid w:val="3BE9676F"/>
    <w:rsid w:val="3BF84C04"/>
    <w:rsid w:val="3C0435A9"/>
    <w:rsid w:val="3C123F18"/>
    <w:rsid w:val="3C2105FF"/>
    <w:rsid w:val="3C3013DF"/>
    <w:rsid w:val="3C3814A4"/>
    <w:rsid w:val="3C3B39CF"/>
    <w:rsid w:val="3C3D6ABB"/>
    <w:rsid w:val="3C44609B"/>
    <w:rsid w:val="3C577B7C"/>
    <w:rsid w:val="3C5A58BF"/>
    <w:rsid w:val="3C60131B"/>
    <w:rsid w:val="3C6F136A"/>
    <w:rsid w:val="3C7626F9"/>
    <w:rsid w:val="3C7F0E81"/>
    <w:rsid w:val="3C830972"/>
    <w:rsid w:val="3C862210"/>
    <w:rsid w:val="3C964B49"/>
    <w:rsid w:val="3C991F43"/>
    <w:rsid w:val="3C9A11D3"/>
    <w:rsid w:val="3CA628B2"/>
    <w:rsid w:val="3CB72D11"/>
    <w:rsid w:val="3CB7686D"/>
    <w:rsid w:val="3CD45671"/>
    <w:rsid w:val="3CD76F0F"/>
    <w:rsid w:val="3CDD2778"/>
    <w:rsid w:val="3CF63839"/>
    <w:rsid w:val="3CFC24D2"/>
    <w:rsid w:val="3D0E0B83"/>
    <w:rsid w:val="3D1141CF"/>
    <w:rsid w:val="3D1912D6"/>
    <w:rsid w:val="3D193084"/>
    <w:rsid w:val="3D2263DC"/>
    <w:rsid w:val="3D2A34E3"/>
    <w:rsid w:val="3D2F4655"/>
    <w:rsid w:val="3D332398"/>
    <w:rsid w:val="3D3D3216"/>
    <w:rsid w:val="3D4501F5"/>
    <w:rsid w:val="3D4F2F4A"/>
    <w:rsid w:val="3D5B544A"/>
    <w:rsid w:val="3D670293"/>
    <w:rsid w:val="3D6E33D0"/>
    <w:rsid w:val="3D711112"/>
    <w:rsid w:val="3D734E8A"/>
    <w:rsid w:val="3D736C38"/>
    <w:rsid w:val="3D7A6218"/>
    <w:rsid w:val="3D842AB7"/>
    <w:rsid w:val="3D8726E3"/>
    <w:rsid w:val="3D954E00"/>
    <w:rsid w:val="3D962926"/>
    <w:rsid w:val="3D9C31D4"/>
    <w:rsid w:val="3DAE1A1E"/>
    <w:rsid w:val="3DB039E8"/>
    <w:rsid w:val="3DCB6A74"/>
    <w:rsid w:val="3DCE3E6E"/>
    <w:rsid w:val="3DD60F75"/>
    <w:rsid w:val="3DD84D3C"/>
    <w:rsid w:val="3DDA2813"/>
    <w:rsid w:val="3DE141B8"/>
    <w:rsid w:val="3DE15D8D"/>
    <w:rsid w:val="3DE43692"/>
    <w:rsid w:val="3DF00289"/>
    <w:rsid w:val="3DF77869"/>
    <w:rsid w:val="3DFA2EB5"/>
    <w:rsid w:val="3DFD0D30"/>
    <w:rsid w:val="3E133F77"/>
    <w:rsid w:val="3E151A9D"/>
    <w:rsid w:val="3E1C107E"/>
    <w:rsid w:val="3E1C2E2C"/>
    <w:rsid w:val="3E1C72D0"/>
    <w:rsid w:val="3E1D4AF4"/>
    <w:rsid w:val="3E42660A"/>
    <w:rsid w:val="3E43485C"/>
    <w:rsid w:val="3E46434D"/>
    <w:rsid w:val="3E4660FB"/>
    <w:rsid w:val="3E4F1453"/>
    <w:rsid w:val="3E611186"/>
    <w:rsid w:val="3E642A25"/>
    <w:rsid w:val="3E774506"/>
    <w:rsid w:val="3E80785E"/>
    <w:rsid w:val="3E8E020D"/>
    <w:rsid w:val="3E8E35FE"/>
    <w:rsid w:val="3E8F1850"/>
    <w:rsid w:val="3E907376"/>
    <w:rsid w:val="3E95498C"/>
    <w:rsid w:val="3E9739EC"/>
    <w:rsid w:val="3EBC63BD"/>
    <w:rsid w:val="3EC05EAD"/>
    <w:rsid w:val="3EC6723B"/>
    <w:rsid w:val="3ED324B7"/>
    <w:rsid w:val="3ED86ACD"/>
    <w:rsid w:val="3ED90D1D"/>
    <w:rsid w:val="3EE576C2"/>
    <w:rsid w:val="3EF06066"/>
    <w:rsid w:val="3EF21DDE"/>
    <w:rsid w:val="3F00274D"/>
    <w:rsid w:val="3F03223E"/>
    <w:rsid w:val="3F073ADC"/>
    <w:rsid w:val="3F387A53"/>
    <w:rsid w:val="3F400D9C"/>
    <w:rsid w:val="3F47037C"/>
    <w:rsid w:val="3F554BAC"/>
    <w:rsid w:val="3F6031EC"/>
    <w:rsid w:val="3F650930"/>
    <w:rsid w:val="3F6F78D3"/>
    <w:rsid w:val="3F7B0026"/>
    <w:rsid w:val="3F7B6278"/>
    <w:rsid w:val="3F7D5B4C"/>
    <w:rsid w:val="3F8A64BB"/>
    <w:rsid w:val="3F8F587F"/>
    <w:rsid w:val="3F8F762D"/>
    <w:rsid w:val="3F980BD8"/>
    <w:rsid w:val="3F9B4224"/>
    <w:rsid w:val="3FA1636E"/>
    <w:rsid w:val="3FA96941"/>
    <w:rsid w:val="3FAE2679"/>
    <w:rsid w:val="3FAF1A7E"/>
    <w:rsid w:val="3FB3156E"/>
    <w:rsid w:val="3FB35A12"/>
    <w:rsid w:val="3FB752D2"/>
    <w:rsid w:val="3FBB0422"/>
    <w:rsid w:val="3FBB48C6"/>
    <w:rsid w:val="3FCC6AD3"/>
    <w:rsid w:val="3FD414E4"/>
    <w:rsid w:val="3FD634AE"/>
    <w:rsid w:val="3FDF4418"/>
    <w:rsid w:val="3FED7B60"/>
    <w:rsid w:val="3FF658FE"/>
    <w:rsid w:val="40041DC9"/>
    <w:rsid w:val="401364B0"/>
    <w:rsid w:val="40167D4F"/>
    <w:rsid w:val="401C5365"/>
    <w:rsid w:val="40267F92"/>
    <w:rsid w:val="40491ED2"/>
    <w:rsid w:val="40503261"/>
    <w:rsid w:val="405D597D"/>
    <w:rsid w:val="405F16F6"/>
    <w:rsid w:val="406311E6"/>
    <w:rsid w:val="406960D0"/>
    <w:rsid w:val="407C4056"/>
    <w:rsid w:val="40844CB8"/>
    <w:rsid w:val="40866C82"/>
    <w:rsid w:val="40890521"/>
    <w:rsid w:val="408E5B37"/>
    <w:rsid w:val="4093314D"/>
    <w:rsid w:val="409E28CD"/>
    <w:rsid w:val="409E3FCC"/>
    <w:rsid w:val="40A92971"/>
    <w:rsid w:val="40CB6D8B"/>
    <w:rsid w:val="40D95004"/>
    <w:rsid w:val="40DE6ABE"/>
    <w:rsid w:val="40DF45ED"/>
    <w:rsid w:val="40E63BC5"/>
    <w:rsid w:val="40EB4D37"/>
    <w:rsid w:val="40EF4827"/>
    <w:rsid w:val="40F05018"/>
    <w:rsid w:val="40F63E08"/>
    <w:rsid w:val="40FA2D84"/>
    <w:rsid w:val="410A78B3"/>
    <w:rsid w:val="411F2F2F"/>
    <w:rsid w:val="412D5350"/>
    <w:rsid w:val="41320BB8"/>
    <w:rsid w:val="41326E0A"/>
    <w:rsid w:val="41391F47"/>
    <w:rsid w:val="413E57AF"/>
    <w:rsid w:val="41401527"/>
    <w:rsid w:val="41483F38"/>
    <w:rsid w:val="414F3518"/>
    <w:rsid w:val="41533533"/>
    <w:rsid w:val="417C720B"/>
    <w:rsid w:val="41807B75"/>
    <w:rsid w:val="418331C2"/>
    <w:rsid w:val="418A27A2"/>
    <w:rsid w:val="419378A9"/>
    <w:rsid w:val="419B050B"/>
    <w:rsid w:val="419E58AE"/>
    <w:rsid w:val="41AF2209"/>
    <w:rsid w:val="41BA3087"/>
    <w:rsid w:val="41C04416"/>
    <w:rsid w:val="41C21F3C"/>
    <w:rsid w:val="41C45CB4"/>
    <w:rsid w:val="41C64FAB"/>
    <w:rsid w:val="41C71300"/>
    <w:rsid w:val="41E40104"/>
    <w:rsid w:val="41EE0F83"/>
    <w:rsid w:val="41F45E6E"/>
    <w:rsid w:val="41F83BB0"/>
    <w:rsid w:val="41FB36A0"/>
    <w:rsid w:val="42027077"/>
    <w:rsid w:val="42091919"/>
    <w:rsid w:val="420936C7"/>
    <w:rsid w:val="42167715"/>
    <w:rsid w:val="421F738E"/>
    <w:rsid w:val="422229DB"/>
    <w:rsid w:val="42254279"/>
    <w:rsid w:val="422B5D33"/>
    <w:rsid w:val="422F7524"/>
    <w:rsid w:val="423066CC"/>
    <w:rsid w:val="423D7815"/>
    <w:rsid w:val="42402E61"/>
    <w:rsid w:val="42462B6D"/>
    <w:rsid w:val="424C5CAA"/>
    <w:rsid w:val="425012F6"/>
    <w:rsid w:val="425A03C6"/>
    <w:rsid w:val="425C5EED"/>
    <w:rsid w:val="42864D18"/>
    <w:rsid w:val="42894808"/>
    <w:rsid w:val="428D254A"/>
    <w:rsid w:val="42937435"/>
    <w:rsid w:val="42976F25"/>
    <w:rsid w:val="42A11B51"/>
    <w:rsid w:val="42A653BA"/>
    <w:rsid w:val="42A72649"/>
    <w:rsid w:val="42AA7468"/>
    <w:rsid w:val="42B15B0D"/>
    <w:rsid w:val="42B75819"/>
    <w:rsid w:val="42BC4BDD"/>
    <w:rsid w:val="42C35F6C"/>
    <w:rsid w:val="42C462D4"/>
    <w:rsid w:val="42C65A5C"/>
    <w:rsid w:val="42C817D4"/>
    <w:rsid w:val="42D31245"/>
    <w:rsid w:val="42DD6902"/>
    <w:rsid w:val="42E163F2"/>
    <w:rsid w:val="42ED4D97"/>
    <w:rsid w:val="42EF4FB3"/>
    <w:rsid w:val="42F8373B"/>
    <w:rsid w:val="42FA5706"/>
    <w:rsid w:val="43086074"/>
    <w:rsid w:val="430D71E7"/>
    <w:rsid w:val="43291B47"/>
    <w:rsid w:val="432B1D63"/>
    <w:rsid w:val="43317379"/>
    <w:rsid w:val="433724B6"/>
    <w:rsid w:val="433B1FA6"/>
    <w:rsid w:val="433C5D1E"/>
    <w:rsid w:val="43482915"/>
    <w:rsid w:val="434A043B"/>
    <w:rsid w:val="434F5A51"/>
    <w:rsid w:val="435272F0"/>
    <w:rsid w:val="43543068"/>
    <w:rsid w:val="43544E16"/>
    <w:rsid w:val="43827BD5"/>
    <w:rsid w:val="438751EB"/>
    <w:rsid w:val="43882D11"/>
    <w:rsid w:val="438F5E4E"/>
    <w:rsid w:val="439416B6"/>
    <w:rsid w:val="439671DC"/>
    <w:rsid w:val="43972F54"/>
    <w:rsid w:val="43994F1E"/>
    <w:rsid w:val="43A01E09"/>
    <w:rsid w:val="43A74F98"/>
    <w:rsid w:val="43AC4C52"/>
    <w:rsid w:val="43AE09CA"/>
    <w:rsid w:val="43B43B06"/>
    <w:rsid w:val="43B45509"/>
    <w:rsid w:val="43CA332A"/>
    <w:rsid w:val="43CD7A4D"/>
    <w:rsid w:val="43D63A7D"/>
    <w:rsid w:val="43E443EC"/>
    <w:rsid w:val="43E73EDC"/>
    <w:rsid w:val="43E91A02"/>
    <w:rsid w:val="43F8287B"/>
    <w:rsid w:val="44071E88"/>
    <w:rsid w:val="44134CD1"/>
    <w:rsid w:val="44185E43"/>
    <w:rsid w:val="44191BBB"/>
    <w:rsid w:val="441D78FE"/>
    <w:rsid w:val="442347E8"/>
    <w:rsid w:val="442B201A"/>
    <w:rsid w:val="44354C47"/>
    <w:rsid w:val="4440539A"/>
    <w:rsid w:val="444E7AB7"/>
    <w:rsid w:val="445F1CC4"/>
    <w:rsid w:val="4461570D"/>
    <w:rsid w:val="44670B79"/>
    <w:rsid w:val="446F7A2D"/>
    <w:rsid w:val="447A4D50"/>
    <w:rsid w:val="447F2366"/>
    <w:rsid w:val="4488746D"/>
    <w:rsid w:val="44A122DD"/>
    <w:rsid w:val="44A678F3"/>
    <w:rsid w:val="44AB315B"/>
    <w:rsid w:val="44AB6CB7"/>
    <w:rsid w:val="44B33DBE"/>
    <w:rsid w:val="44BC0EC5"/>
    <w:rsid w:val="44C9538F"/>
    <w:rsid w:val="44D53881"/>
    <w:rsid w:val="44D73F50"/>
    <w:rsid w:val="44E977E0"/>
    <w:rsid w:val="44F52628"/>
    <w:rsid w:val="44FF0DB1"/>
    <w:rsid w:val="44FF5255"/>
    <w:rsid w:val="45074284"/>
    <w:rsid w:val="450D7972"/>
    <w:rsid w:val="451707F1"/>
    <w:rsid w:val="4517434D"/>
    <w:rsid w:val="451A208F"/>
    <w:rsid w:val="4521341D"/>
    <w:rsid w:val="452627E2"/>
    <w:rsid w:val="452B604A"/>
    <w:rsid w:val="45321187"/>
    <w:rsid w:val="453B5FB7"/>
    <w:rsid w:val="454135FD"/>
    <w:rsid w:val="45553C41"/>
    <w:rsid w:val="4557554F"/>
    <w:rsid w:val="4561381A"/>
    <w:rsid w:val="45637592"/>
    <w:rsid w:val="45711797"/>
    <w:rsid w:val="45763769"/>
    <w:rsid w:val="457B2B2E"/>
    <w:rsid w:val="45967968"/>
    <w:rsid w:val="459B4F7E"/>
    <w:rsid w:val="45A73923"/>
    <w:rsid w:val="45B61DB8"/>
    <w:rsid w:val="45B82804"/>
    <w:rsid w:val="45C142B9"/>
    <w:rsid w:val="45C53DA9"/>
    <w:rsid w:val="45C81AEB"/>
    <w:rsid w:val="45D85B67"/>
    <w:rsid w:val="45D86F40"/>
    <w:rsid w:val="45E71F71"/>
    <w:rsid w:val="45F56BB2"/>
    <w:rsid w:val="45F83A10"/>
    <w:rsid w:val="45F8417E"/>
    <w:rsid w:val="46004DE1"/>
    <w:rsid w:val="460F3276"/>
    <w:rsid w:val="461D4BCB"/>
    <w:rsid w:val="46244F73"/>
    <w:rsid w:val="46250CEB"/>
    <w:rsid w:val="462A4554"/>
    <w:rsid w:val="462C207A"/>
    <w:rsid w:val="46340F2E"/>
    <w:rsid w:val="46342CDD"/>
    <w:rsid w:val="4645313C"/>
    <w:rsid w:val="46454EEA"/>
    <w:rsid w:val="46517D32"/>
    <w:rsid w:val="465A5737"/>
    <w:rsid w:val="46712183"/>
    <w:rsid w:val="46741270"/>
    <w:rsid w:val="4674757D"/>
    <w:rsid w:val="46965745"/>
    <w:rsid w:val="46A26D85"/>
    <w:rsid w:val="46A47E62"/>
    <w:rsid w:val="46AA7D34"/>
    <w:rsid w:val="46AC31BB"/>
    <w:rsid w:val="46B02CAB"/>
    <w:rsid w:val="46C87FF5"/>
    <w:rsid w:val="46E22739"/>
    <w:rsid w:val="46E62229"/>
    <w:rsid w:val="46F5246C"/>
    <w:rsid w:val="47024B89"/>
    <w:rsid w:val="470628CB"/>
    <w:rsid w:val="47086643"/>
    <w:rsid w:val="47290367"/>
    <w:rsid w:val="473C453F"/>
    <w:rsid w:val="473F5DDD"/>
    <w:rsid w:val="47413903"/>
    <w:rsid w:val="474433F3"/>
    <w:rsid w:val="47490C0E"/>
    <w:rsid w:val="475064D9"/>
    <w:rsid w:val="475A49C5"/>
    <w:rsid w:val="475E2707"/>
    <w:rsid w:val="475E677D"/>
    <w:rsid w:val="4760647F"/>
    <w:rsid w:val="476E221E"/>
    <w:rsid w:val="477A0BC3"/>
    <w:rsid w:val="478D3956"/>
    <w:rsid w:val="479C6D8B"/>
    <w:rsid w:val="479E0D55"/>
    <w:rsid w:val="47A81BD4"/>
    <w:rsid w:val="47A83982"/>
    <w:rsid w:val="47AB5220"/>
    <w:rsid w:val="47B35213"/>
    <w:rsid w:val="47B474C1"/>
    <w:rsid w:val="47C36A0E"/>
    <w:rsid w:val="47CA56A6"/>
    <w:rsid w:val="47DB78B4"/>
    <w:rsid w:val="47E04ECA"/>
    <w:rsid w:val="47E66258"/>
    <w:rsid w:val="47F41D83"/>
    <w:rsid w:val="47FF6EB7"/>
    <w:rsid w:val="48030BB8"/>
    <w:rsid w:val="48054931"/>
    <w:rsid w:val="480A63EB"/>
    <w:rsid w:val="482374AD"/>
    <w:rsid w:val="482A25E9"/>
    <w:rsid w:val="482A4397"/>
    <w:rsid w:val="482C010F"/>
    <w:rsid w:val="48346000"/>
    <w:rsid w:val="483671E0"/>
    <w:rsid w:val="48382F58"/>
    <w:rsid w:val="48384D06"/>
    <w:rsid w:val="484F02A2"/>
    <w:rsid w:val="485633DE"/>
    <w:rsid w:val="485B27A2"/>
    <w:rsid w:val="4860600B"/>
    <w:rsid w:val="48691363"/>
    <w:rsid w:val="4876582E"/>
    <w:rsid w:val="48790E7B"/>
    <w:rsid w:val="487970CD"/>
    <w:rsid w:val="487D4E0F"/>
    <w:rsid w:val="4880045B"/>
    <w:rsid w:val="48897310"/>
    <w:rsid w:val="488A3088"/>
    <w:rsid w:val="488F68F0"/>
    <w:rsid w:val="48945CB4"/>
    <w:rsid w:val="489F4D85"/>
    <w:rsid w:val="48A405ED"/>
    <w:rsid w:val="48A71E8C"/>
    <w:rsid w:val="48B11034"/>
    <w:rsid w:val="48B3438D"/>
    <w:rsid w:val="48B545A9"/>
    <w:rsid w:val="48BD16AF"/>
    <w:rsid w:val="48BD345D"/>
    <w:rsid w:val="48C07DA8"/>
    <w:rsid w:val="48D569F9"/>
    <w:rsid w:val="48D97C39"/>
    <w:rsid w:val="48F0738F"/>
    <w:rsid w:val="48FA020D"/>
    <w:rsid w:val="49044BE8"/>
    <w:rsid w:val="490D6193"/>
    <w:rsid w:val="491A265E"/>
    <w:rsid w:val="491E4127"/>
    <w:rsid w:val="491F5EC6"/>
    <w:rsid w:val="49331890"/>
    <w:rsid w:val="493A685C"/>
    <w:rsid w:val="493D634C"/>
    <w:rsid w:val="493F0316"/>
    <w:rsid w:val="494B0A69"/>
    <w:rsid w:val="49543DC1"/>
    <w:rsid w:val="496164DE"/>
    <w:rsid w:val="4970227E"/>
    <w:rsid w:val="497C6E74"/>
    <w:rsid w:val="497F0713"/>
    <w:rsid w:val="49830203"/>
    <w:rsid w:val="49861AA1"/>
    <w:rsid w:val="49891591"/>
    <w:rsid w:val="498B355B"/>
    <w:rsid w:val="498E6BA8"/>
    <w:rsid w:val="499441BE"/>
    <w:rsid w:val="49957F36"/>
    <w:rsid w:val="49975A5C"/>
    <w:rsid w:val="49B02FC2"/>
    <w:rsid w:val="49B605D8"/>
    <w:rsid w:val="49C03205"/>
    <w:rsid w:val="49C425C9"/>
    <w:rsid w:val="49CD147E"/>
    <w:rsid w:val="49D40A5E"/>
    <w:rsid w:val="49D97E23"/>
    <w:rsid w:val="49DC3DB7"/>
    <w:rsid w:val="49E50EBD"/>
    <w:rsid w:val="49E862B8"/>
    <w:rsid w:val="49F44C5D"/>
    <w:rsid w:val="49FB248F"/>
    <w:rsid w:val="49FE1F7F"/>
    <w:rsid w:val="4A070E34"/>
    <w:rsid w:val="4A15042C"/>
    <w:rsid w:val="4A161077"/>
    <w:rsid w:val="4A1B043B"/>
    <w:rsid w:val="4A225C6E"/>
    <w:rsid w:val="4A34774F"/>
    <w:rsid w:val="4A3C6604"/>
    <w:rsid w:val="4A401A6E"/>
    <w:rsid w:val="4A4A0D21"/>
    <w:rsid w:val="4A54394D"/>
    <w:rsid w:val="4A5D6CA6"/>
    <w:rsid w:val="4A5E657A"/>
    <w:rsid w:val="4A62606A"/>
    <w:rsid w:val="4A657908"/>
    <w:rsid w:val="4A730277"/>
    <w:rsid w:val="4A77763C"/>
    <w:rsid w:val="4A8204BA"/>
    <w:rsid w:val="4A946440"/>
    <w:rsid w:val="4A954692"/>
    <w:rsid w:val="4A9B332A"/>
    <w:rsid w:val="4A9E65FC"/>
    <w:rsid w:val="4AB26AE1"/>
    <w:rsid w:val="4AB80380"/>
    <w:rsid w:val="4ABB577A"/>
    <w:rsid w:val="4AC46D25"/>
    <w:rsid w:val="4ACB608C"/>
    <w:rsid w:val="4ACC3E2B"/>
    <w:rsid w:val="4ACE3438"/>
    <w:rsid w:val="4ACF7478"/>
    <w:rsid w:val="4AD625B4"/>
    <w:rsid w:val="4ADD7DE7"/>
    <w:rsid w:val="4AE051E1"/>
    <w:rsid w:val="4AE50A49"/>
    <w:rsid w:val="4AE7656F"/>
    <w:rsid w:val="4AF313B8"/>
    <w:rsid w:val="4AFB026D"/>
    <w:rsid w:val="4B005883"/>
    <w:rsid w:val="4B090BDC"/>
    <w:rsid w:val="4B215F25"/>
    <w:rsid w:val="4B223A4B"/>
    <w:rsid w:val="4B242354"/>
    <w:rsid w:val="4B2F76F0"/>
    <w:rsid w:val="4B3B68BB"/>
    <w:rsid w:val="4B3F63AB"/>
    <w:rsid w:val="4B410375"/>
    <w:rsid w:val="4B447E66"/>
    <w:rsid w:val="4B5A1437"/>
    <w:rsid w:val="4B5F6A4E"/>
    <w:rsid w:val="4B693428"/>
    <w:rsid w:val="4B700C5B"/>
    <w:rsid w:val="4B7778F3"/>
    <w:rsid w:val="4B7A7712"/>
    <w:rsid w:val="4B7C0A9C"/>
    <w:rsid w:val="4B7C315C"/>
    <w:rsid w:val="4B8D7117"/>
    <w:rsid w:val="4B971D44"/>
    <w:rsid w:val="4B982DBB"/>
    <w:rsid w:val="4BA10E14"/>
    <w:rsid w:val="4BA12BC2"/>
    <w:rsid w:val="4BA97CC9"/>
    <w:rsid w:val="4BAD77B9"/>
    <w:rsid w:val="4BAF1783"/>
    <w:rsid w:val="4BB723E6"/>
    <w:rsid w:val="4BBC17AA"/>
    <w:rsid w:val="4BBE2DDD"/>
    <w:rsid w:val="4BC00C26"/>
    <w:rsid w:val="4BC13264"/>
    <w:rsid w:val="4BC93EC7"/>
    <w:rsid w:val="4BCD39B7"/>
    <w:rsid w:val="4BCE772F"/>
    <w:rsid w:val="4BD62FD4"/>
    <w:rsid w:val="4BE07B8E"/>
    <w:rsid w:val="4BE56F53"/>
    <w:rsid w:val="4BF61160"/>
    <w:rsid w:val="4BFB6776"/>
    <w:rsid w:val="4BFC429C"/>
    <w:rsid w:val="4C334CC4"/>
    <w:rsid w:val="4C35155C"/>
    <w:rsid w:val="4C371778"/>
    <w:rsid w:val="4C39729F"/>
    <w:rsid w:val="4C3E34B4"/>
    <w:rsid w:val="4C561BFF"/>
    <w:rsid w:val="4C5639AD"/>
    <w:rsid w:val="4C577725"/>
    <w:rsid w:val="4C651E42"/>
    <w:rsid w:val="4C714C8A"/>
    <w:rsid w:val="4C8A5D4C"/>
    <w:rsid w:val="4C9269AF"/>
    <w:rsid w:val="4CA02E7A"/>
    <w:rsid w:val="4CA24E44"/>
    <w:rsid w:val="4CA566E2"/>
    <w:rsid w:val="4CAA1F4A"/>
    <w:rsid w:val="4CAF7561"/>
    <w:rsid w:val="4CC76658"/>
    <w:rsid w:val="4CCC358C"/>
    <w:rsid w:val="4CCF375F"/>
    <w:rsid w:val="4CD11285"/>
    <w:rsid w:val="4CD3324F"/>
    <w:rsid w:val="4CDE39A2"/>
    <w:rsid w:val="4CEC60BF"/>
    <w:rsid w:val="4CFF4044"/>
    <w:rsid w:val="4D21045F"/>
    <w:rsid w:val="4D267823"/>
    <w:rsid w:val="4D27359B"/>
    <w:rsid w:val="4D445EFB"/>
    <w:rsid w:val="4D5679DC"/>
    <w:rsid w:val="4D61085B"/>
    <w:rsid w:val="4D761E2D"/>
    <w:rsid w:val="4D862070"/>
    <w:rsid w:val="4D866514"/>
    <w:rsid w:val="4D891B60"/>
    <w:rsid w:val="4D8E361A"/>
    <w:rsid w:val="4D92310A"/>
    <w:rsid w:val="4DA30E74"/>
    <w:rsid w:val="4DA92202"/>
    <w:rsid w:val="4DAE5A6A"/>
    <w:rsid w:val="4DAF3530"/>
    <w:rsid w:val="4DB52955"/>
    <w:rsid w:val="4DBC0187"/>
    <w:rsid w:val="4DC1579E"/>
    <w:rsid w:val="4DC4703C"/>
    <w:rsid w:val="4DC54C09"/>
    <w:rsid w:val="4DE1374A"/>
    <w:rsid w:val="4DE374C2"/>
    <w:rsid w:val="4DE730E2"/>
    <w:rsid w:val="4DF94F37"/>
    <w:rsid w:val="4DFC0584"/>
    <w:rsid w:val="4E0700DA"/>
    <w:rsid w:val="4E0833CC"/>
    <w:rsid w:val="4E1458CD"/>
    <w:rsid w:val="4E147B0D"/>
    <w:rsid w:val="4E296E9F"/>
    <w:rsid w:val="4E314D77"/>
    <w:rsid w:val="4E361621"/>
    <w:rsid w:val="4E3E294A"/>
    <w:rsid w:val="4E465CA3"/>
    <w:rsid w:val="4E571C5E"/>
    <w:rsid w:val="4E5E123E"/>
    <w:rsid w:val="4E6879C7"/>
    <w:rsid w:val="4E6D3230"/>
    <w:rsid w:val="4E6F0D56"/>
    <w:rsid w:val="4E6F6FA8"/>
    <w:rsid w:val="4E7445BE"/>
    <w:rsid w:val="4E816CDB"/>
    <w:rsid w:val="4E994025"/>
    <w:rsid w:val="4EAD187E"/>
    <w:rsid w:val="4EAF3848"/>
    <w:rsid w:val="4EBB21ED"/>
    <w:rsid w:val="4EBE3A8B"/>
    <w:rsid w:val="4ECF3EEA"/>
    <w:rsid w:val="4ED81BEE"/>
    <w:rsid w:val="4ED908C5"/>
    <w:rsid w:val="4ED90B67"/>
    <w:rsid w:val="4EE01C53"/>
    <w:rsid w:val="4EF92D15"/>
    <w:rsid w:val="4EF94AC3"/>
    <w:rsid w:val="4F104F47"/>
    <w:rsid w:val="4F147B4F"/>
    <w:rsid w:val="4F1813ED"/>
    <w:rsid w:val="4F1D6A04"/>
    <w:rsid w:val="4F245FE4"/>
    <w:rsid w:val="4F2558B8"/>
    <w:rsid w:val="4F302BDB"/>
    <w:rsid w:val="4F365D17"/>
    <w:rsid w:val="4F3A1BCC"/>
    <w:rsid w:val="4F3E5FD3"/>
    <w:rsid w:val="4F3F2E1E"/>
    <w:rsid w:val="4F457D08"/>
    <w:rsid w:val="4F471CD3"/>
    <w:rsid w:val="4F4B17C3"/>
    <w:rsid w:val="4F587A3C"/>
    <w:rsid w:val="4F5A3D3D"/>
    <w:rsid w:val="4F6C1739"/>
    <w:rsid w:val="4F710AFD"/>
    <w:rsid w:val="4F822D0B"/>
    <w:rsid w:val="4F89570A"/>
    <w:rsid w:val="4F895E47"/>
    <w:rsid w:val="4F98252E"/>
    <w:rsid w:val="4F9B5B7A"/>
    <w:rsid w:val="4FA62E9D"/>
    <w:rsid w:val="4FBA24A4"/>
    <w:rsid w:val="4FBA6948"/>
    <w:rsid w:val="4FCB3ED2"/>
    <w:rsid w:val="4FD25964"/>
    <w:rsid w:val="4FD25A40"/>
    <w:rsid w:val="4FD46C19"/>
    <w:rsid w:val="4FDF015D"/>
    <w:rsid w:val="4FE15C83"/>
    <w:rsid w:val="4FE6773D"/>
    <w:rsid w:val="4FF0236A"/>
    <w:rsid w:val="4FF84D7B"/>
    <w:rsid w:val="500100D3"/>
    <w:rsid w:val="50060B7A"/>
    <w:rsid w:val="500656EA"/>
    <w:rsid w:val="500951DA"/>
    <w:rsid w:val="501C6CBB"/>
    <w:rsid w:val="501E0C85"/>
    <w:rsid w:val="501E2A33"/>
    <w:rsid w:val="50270E47"/>
    <w:rsid w:val="50306C0B"/>
    <w:rsid w:val="50334005"/>
    <w:rsid w:val="50355FCF"/>
    <w:rsid w:val="50371D47"/>
    <w:rsid w:val="503A35E5"/>
    <w:rsid w:val="503E30D6"/>
    <w:rsid w:val="50454464"/>
    <w:rsid w:val="504601DC"/>
    <w:rsid w:val="50526B81"/>
    <w:rsid w:val="505428F9"/>
    <w:rsid w:val="50555CF6"/>
    <w:rsid w:val="50591CBD"/>
    <w:rsid w:val="50597F0F"/>
    <w:rsid w:val="506348EA"/>
    <w:rsid w:val="507746E8"/>
    <w:rsid w:val="507C59AC"/>
    <w:rsid w:val="50827466"/>
    <w:rsid w:val="50834F8C"/>
    <w:rsid w:val="5086682B"/>
    <w:rsid w:val="50874A7C"/>
    <w:rsid w:val="50991873"/>
    <w:rsid w:val="509C604E"/>
    <w:rsid w:val="509E5922"/>
    <w:rsid w:val="50C11611"/>
    <w:rsid w:val="50C17863"/>
    <w:rsid w:val="50C3182D"/>
    <w:rsid w:val="50C730CB"/>
    <w:rsid w:val="50C80BF1"/>
    <w:rsid w:val="50C8299F"/>
    <w:rsid w:val="50D21A70"/>
    <w:rsid w:val="50D6330E"/>
    <w:rsid w:val="50D70E34"/>
    <w:rsid w:val="50DB6B76"/>
    <w:rsid w:val="50DC644B"/>
    <w:rsid w:val="50DD28EE"/>
    <w:rsid w:val="50E35A2B"/>
    <w:rsid w:val="50E517A3"/>
    <w:rsid w:val="50EB068F"/>
    <w:rsid w:val="50F10148"/>
    <w:rsid w:val="5100038B"/>
    <w:rsid w:val="5100482F"/>
    <w:rsid w:val="510559A1"/>
    <w:rsid w:val="51181B78"/>
    <w:rsid w:val="5119144D"/>
    <w:rsid w:val="511A2E5D"/>
    <w:rsid w:val="51200A2D"/>
    <w:rsid w:val="5125029C"/>
    <w:rsid w:val="51254295"/>
    <w:rsid w:val="513D15DF"/>
    <w:rsid w:val="513E2C61"/>
    <w:rsid w:val="513F5357"/>
    <w:rsid w:val="513F7105"/>
    <w:rsid w:val="5144471C"/>
    <w:rsid w:val="514E10F6"/>
    <w:rsid w:val="5151441F"/>
    <w:rsid w:val="51601795"/>
    <w:rsid w:val="5176064D"/>
    <w:rsid w:val="51842D6A"/>
    <w:rsid w:val="51856AE2"/>
    <w:rsid w:val="51894824"/>
    <w:rsid w:val="5196484B"/>
    <w:rsid w:val="51A4340C"/>
    <w:rsid w:val="51A90A23"/>
    <w:rsid w:val="51B15B29"/>
    <w:rsid w:val="51BC69A8"/>
    <w:rsid w:val="51C13FBE"/>
    <w:rsid w:val="51E541F9"/>
    <w:rsid w:val="51EA63BD"/>
    <w:rsid w:val="51FA127E"/>
    <w:rsid w:val="51FD48CA"/>
    <w:rsid w:val="520143BB"/>
    <w:rsid w:val="52021EE1"/>
    <w:rsid w:val="52140592"/>
    <w:rsid w:val="52171E30"/>
    <w:rsid w:val="521D4AE6"/>
    <w:rsid w:val="522602C5"/>
    <w:rsid w:val="523A78CD"/>
    <w:rsid w:val="523D116B"/>
    <w:rsid w:val="525A6314"/>
    <w:rsid w:val="525E180D"/>
    <w:rsid w:val="525E7A5F"/>
    <w:rsid w:val="525F5585"/>
    <w:rsid w:val="52963766"/>
    <w:rsid w:val="529C2335"/>
    <w:rsid w:val="52A31916"/>
    <w:rsid w:val="52A5743C"/>
    <w:rsid w:val="52A82A88"/>
    <w:rsid w:val="52AD4542"/>
    <w:rsid w:val="52BE40AB"/>
    <w:rsid w:val="52BF7DD2"/>
    <w:rsid w:val="52C04276"/>
    <w:rsid w:val="52D4387D"/>
    <w:rsid w:val="52DE294E"/>
    <w:rsid w:val="52E00474"/>
    <w:rsid w:val="53057EDB"/>
    <w:rsid w:val="530C3017"/>
    <w:rsid w:val="530D6D8F"/>
    <w:rsid w:val="530F48B5"/>
    <w:rsid w:val="531D3476"/>
    <w:rsid w:val="531E71EE"/>
    <w:rsid w:val="53202F66"/>
    <w:rsid w:val="53206AC2"/>
    <w:rsid w:val="532365B3"/>
    <w:rsid w:val="532C36B9"/>
    <w:rsid w:val="533C051F"/>
    <w:rsid w:val="533E33EC"/>
    <w:rsid w:val="534A1D91"/>
    <w:rsid w:val="534E7AD3"/>
    <w:rsid w:val="535E583D"/>
    <w:rsid w:val="536015B5"/>
    <w:rsid w:val="536A2433"/>
    <w:rsid w:val="53784B50"/>
    <w:rsid w:val="53980D4F"/>
    <w:rsid w:val="53B11E10"/>
    <w:rsid w:val="53B37061"/>
    <w:rsid w:val="53BC2C8F"/>
    <w:rsid w:val="53D17DBD"/>
    <w:rsid w:val="53EB70D0"/>
    <w:rsid w:val="53F11931"/>
    <w:rsid w:val="541F4FCC"/>
    <w:rsid w:val="54210D44"/>
    <w:rsid w:val="54216F96"/>
    <w:rsid w:val="54240834"/>
    <w:rsid w:val="54297BF9"/>
    <w:rsid w:val="543E18F6"/>
    <w:rsid w:val="54413194"/>
    <w:rsid w:val="544D7D8B"/>
    <w:rsid w:val="54501629"/>
    <w:rsid w:val="545146F9"/>
    <w:rsid w:val="54520EFE"/>
    <w:rsid w:val="54532EC8"/>
    <w:rsid w:val="54576514"/>
    <w:rsid w:val="546155E5"/>
    <w:rsid w:val="54680721"/>
    <w:rsid w:val="54774E08"/>
    <w:rsid w:val="549E05E7"/>
    <w:rsid w:val="54AD25D8"/>
    <w:rsid w:val="54B75204"/>
    <w:rsid w:val="54BE6593"/>
    <w:rsid w:val="54BF40B9"/>
    <w:rsid w:val="54C02294"/>
    <w:rsid w:val="54C47921"/>
    <w:rsid w:val="54E0475B"/>
    <w:rsid w:val="54E42C28"/>
    <w:rsid w:val="54EF499E"/>
    <w:rsid w:val="54F40207"/>
    <w:rsid w:val="54FB77E7"/>
    <w:rsid w:val="55085A60"/>
    <w:rsid w:val="550A5C7C"/>
    <w:rsid w:val="550F6DEF"/>
    <w:rsid w:val="55160C9A"/>
    <w:rsid w:val="55222FC6"/>
    <w:rsid w:val="55306D65"/>
    <w:rsid w:val="55376345"/>
    <w:rsid w:val="553C395C"/>
    <w:rsid w:val="55482300"/>
    <w:rsid w:val="554967A4"/>
    <w:rsid w:val="557B0928"/>
    <w:rsid w:val="55801A9A"/>
    <w:rsid w:val="55833339"/>
    <w:rsid w:val="558C043F"/>
    <w:rsid w:val="55911EF9"/>
    <w:rsid w:val="559612BE"/>
    <w:rsid w:val="559A33D1"/>
    <w:rsid w:val="55A41C2D"/>
    <w:rsid w:val="55B94FAC"/>
    <w:rsid w:val="55BE25C3"/>
    <w:rsid w:val="55CC4CE0"/>
    <w:rsid w:val="55CF47D0"/>
    <w:rsid w:val="55D63DB0"/>
    <w:rsid w:val="55E02539"/>
    <w:rsid w:val="55E464CD"/>
    <w:rsid w:val="55F66200"/>
    <w:rsid w:val="56064695"/>
    <w:rsid w:val="56066443"/>
    <w:rsid w:val="560B1CAC"/>
    <w:rsid w:val="561C51DC"/>
    <w:rsid w:val="563034C0"/>
    <w:rsid w:val="56332FB1"/>
    <w:rsid w:val="56356D29"/>
    <w:rsid w:val="563A7E9B"/>
    <w:rsid w:val="565076BF"/>
    <w:rsid w:val="56530F5D"/>
    <w:rsid w:val="56591ABB"/>
    <w:rsid w:val="565E627F"/>
    <w:rsid w:val="566D0271"/>
    <w:rsid w:val="56717635"/>
    <w:rsid w:val="567710EF"/>
    <w:rsid w:val="567E247E"/>
    <w:rsid w:val="56821842"/>
    <w:rsid w:val="5689497F"/>
    <w:rsid w:val="569C2904"/>
    <w:rsid w:val="56A1616C"/>
    <w:rsid w:val="56B714EC"/>
    <w:rsid w:val="56CB4F97"/>
    <w:rsid w:val="56D007FF"/>
    <w:rsid w:val="56D71B8E"/>
    <w:rsid w:val="56DC53F6"/>
    <w:rsid w:val="56DE2F1C"/>
    <w:rsid w:val="56DE4CCA"/>
    <w:rsid w:val="56E04EE6"/>
    <w:rsid w:val="56ED315F"/>
    <w:rsid w:val="56EE0C86"/>
    <w:rsid w:val="56F50266"/>
    <w:rsid w:val="56F52014"/>
    <w:rsid w:val="56FA762A"/>
    <w:rsid w:val="57077FCE"/>
    <w:rsid w:val="570F1328"/>
    <w:rsid w:val="570F30D6"/>
    <w:rsid w:val="57101FE7"/>
    <w:rsid w:val="571B7CCD"/>
    <w:rsid w:val="571E5A0F"/>
    <w:rsid w:val="572B1EDA"/>
    <w:rsid w:val="572C35BD"/>
    <w:rsid w:val="572D5C52"/>
    <w:rsid w:val="57405985"/>
    <w:rsid w:val="57407733"/>
    <w:rsid w:val="574B60D8"/>
    <w:rsid w:val="574B7E86"/>
    <w:rsid w:val="576C60DB"/>
    <w:rsid w:val="57713D91"/>
    <w:rsid w:val="577E200A"/>
    <w:rsid w:val="57811AFA"/>
    <w:rsid w:val="57877110"/>
    <w:rsid w:val="57965FBE"/>
    <w:rsid w:val="57A001D2"/>
    <w:rsid w:val="57AA72A2"/>
    <w:rsid w:val="57AC4DC9"/>
    <w:rsid w:val="57B123DF"/>
    <w:rsid w:val="57B95737"/>
    <w:rsid w:val="57BB325E"/>
    <w:rsid w:val="57C71C02"/>
    <w:rsid w:val="57D460CD"/>
    <w:rsid w:val="57D8796C"/>
    <w:rsid w:val="57E427B4"/>
    <w:rsid w:val="57F24C6F"/>
    <w:rsid w:val="57FF75EE"/>
    <w:rsid w:val="580A7D41"/>
    <w:rsid w:val="580F6D68"/>
    <w:rsid w:val="58117322"/>
    <w:rsid w:val="58331046"/>
    <w:rsid w:val="583E09AC"/>
    <w:rsid w:val="583E1656"/>
    <w:rsid w:val="58555460"/>
    <w:rsid w:val="5866766D"/>
    <w:rsid w:val="58773629"/>
    <w:rsid w:val="587D0513"/>
    <w:rsid w:val="58845D45"/>
    <w:rsid w:val="58871392"/>
    <w:rsid w:val="5889510A"/>
    <w:rsid w:val="588E0972"/>
    <w:rsid w:val="589046EA"/>
    <w:rsid w:val="58922210"/>
    <w:rsid w:val="58931AE5"/>
    <w:rsid w:val="58A43CF2"/>
    <w:rsid w:val="58A81A34"/>
    <w:rsid w:val="58AE4B70"/>
    <w:rsid w:val="58C22DDC"/>
    <w:rsid w:val="58C72BED"/>
    <w:rsid w:val="58CA7BFC"/>
    <w:rsid w:val="58E16CF4"/>
    <w:rsid w:val="58E40592"/>
    <w:rsid w:val="58E81E30"/>
    <w:rsid w:val="58E97957"/>
    <w:rsid w:val="58F00CE5"/>
    <w:rsid w:val="59012EF2"/>
    <w:rsid w:val="590A50FA"/>
    <w:rsid w:val="59262959"/>
    <w:rsid w:val="59273114"/>
    <w:rsid w:val="59305585"/>
    <w:rsid w:val="593212FE"/>
    <w:rsid w:val="59367040"/>
    <w:rsid w:val="593A6404"/>
    <w:rsid w:val="593E4146"/>
    <w:rsid w:val="5955323E"/>
    <w:rsid w:val="59617D35"/>
    <w:rsid w:val="596A4F3B"/>
    <w:rsid w:val="596F2552"/>
    <w:rsid w:val="59701E26"/>
    <w:rsid w:val="59745DBA"/>
    <w:rsid w:val="597E4543"/>
    <w:rsid w:val="59883613"/>
    <w:rsid w:val="598D29D8"/>
    <w:rsid w:val="59945B14"/>
    <w:rsid w:val="599E4BE5"/>
    <w:rsid w:val="59A0270B"/>
    <w:rsid w:val="59B2243E"/>
    <w:rsid w:val="59B368E2"/>
    <w:rsid w:val="59B77A55"/>
    <w:rsid w:val="59BB5797"/>
    <w:rsid w:val="59CC1752"/>
    <w:rsid w:val="59CC3500"/>
    <w:rsid w:val="59D2663D"/>
    <w:rsid w:val="59D86349"/>
    <w:rsid w:val="59E720E8"/>
    <w:rsid w:val="59EC76FE"/>
    <w:rsid w:val="59F111B9"/>
    <w:rsid w:val="59F40CA9"/>
    <w:rsid w:val="59FB5B93"/>
    <w:rsid w:val="59FC02A6"/>
    <w:rsid w:val="59FD5DAF"/>
    <w:rsid w:val="5A056A12"/>
    <w:rsid w:val="5A0A04CC"/>
    <w:rsid w:val="5A1B7FE4"/>
    <w:rsid w:val="5A2055FA"/>
    <w:rsid w:val="5A236E98"/>
    <w:rsid w:val="5A274BDA"/>
    <w:rsid w:val="5A3612C1"/>
    <w:rsid w:val="5A4A08C9"/>
    <w:rsid w:val="5A4B6B1B"/>
    <w:rsid w:val="5A5D05FC"/>
    <w:rsid w:val="5A666103"/>
    <w:rsid w:val="5A763F4F"/>
    <w:rsid w:val="5A871B1D"/>
    <w:rsid w:val="5A897643"/>
    <w:rsid w:val="5A9A35FE"/>
    <w:rsid w:val="5A9D30EE"/>
    <w:rsid w:val="5AA0484E"/>
    <w:rsid w:val="5AA20705"/>
    <w:rsid w:val="5AA47FD9"/>
    <w:rsid w:val="5AAB75B9"/>
    <w:rsid w:val="5AAC50E0"/>
    <w:rsid w:val="5AAE41FC"/>
    <w:rsid w:val="5AB3646E"/>
    <w:rsid w:val="5AC32B55"/>
    <w:rsid w:val="5ACE14FA"/>
    <w:rsid w:val="5AD3266C"/>
    <w:rsid w:val="5AD563E4"/>
    <w:rsid w:val="5AD703AE"/>
    <w:rsid w:val="5ADC59C5"/>
    <w:rsid w:val="5ADF1011"/>
    <w:rsid w:val="5ADF54B5"/>
    <w:rsid w:val="5AE0768E"/>
    <w:rsid w:val="5AE20B01"/>
    <w:rsid w:val="5AE623A0"/>
    <w:rsid w:val="5AE8436A"/>
    <w:rsid w:val="5AE900E2"/>
    <w:rsid w:val="5AF01470"/>
    <w:rsid w:val="5AF0321E"/>
    <w:rsid w:val="5AF34ABD"/>
    <w:rsid w:val="5AF820D3"/>
    <w:rsid w:val="5AFD4A88"/>
    <w:rsid w:val="5AFE1DDF"/>
    <w:rsid w:val="5B0B0058"/>
    <w:rsid w:val="5B12588A"/>
    <w:rsid w:val="5B266C40"/>
    <w:rsid w:val="5B280C0A"/>
    <w:rsid w:val="5B2B06FA"/>
    <w:rsid w:val="5B2B0761"/>
    <w:rsid w:val="5B307ABF"/>
    <w:rsid w:val="5B3C2907"/>
    <w:rsid w:val="5B3D3F8A"/>
    <w:rsid w:val="5B461090"/>
    <w:rsid w:val="5B5163B3"/>
    <w:rsid w:val="5B631C42"/>
    <w:rsid w:val="5B687259"/>
    <w:rsid w:val="5B6F05E7"/>
    <w:rsid w:val="5B6F4A8B"/>
    <w:rsid w:val="5B7C2D04"/>
    <w:rsid w:val="5B995693"/>
    <w:rsid w:val="5BA30291"/>
    <w:rsid w:val="5BAD110F"/>
    <w:rsid w:val="5BAD55B3"/>
    <w:rsid w:val="5BB40BA6"/>
    <w:rsid w:val="5BBB382C"/>
    <w:rsid w:val="5BBE7366"/>
    <w:rsid w:val="5BC07095"/>
    <w:rsid w:val="5BC546AB"/>
    <w:rsid w:val="5BD70683"/>
    <w:rsid w:val="5BD92F2A"/>
    <w:rsid w:val="5BE03293"/>
    <w:rsid w:val="5BE74621"/>
    <w:rsid w:val="5C0D1BAE"/>
    <w:rsid w:val="5C14118E"/>
    <w:rsid w:val="5C1E3DBB"/>
    <w:rsid w:val="5C2515ED"/>
    <w:rsid w:val="5C25339C"/>
    <w:rsid w:val="5C2A2760"/>
    <w:rsid w:val="5C2E04A2"/>
    <w:rsid w:val="5C311D40"/>
    <w:rsid w:val="5C313AEE"/>
    <w:rsid w:val="5C381321"/>
    <w:rsid w:val="5C3E7FB9"/>
    <w:rsid w:val="5C4C6B7A"/>
    <w:rsid w:val="5C5631B2"/>
    <w:rsid w:val="5C583771"/>
    <w:rsid w:val="5C69772C"/>
    <w:rsid w:val="5C6C0FCA"/>
    <w:rsid w:val="5C6C2D78"/>
    <w:rsid w:val="5C700ABB"/>
    <w:rsid w:val="5C7B745F"/>
    <w:rsid w:val="5C7D31D8"/>
    <w:rsid w:val="5C841E70"/>
    <w:rsid w:val="5C8A1451"/>
    <w:rsid w:val="5C8C341B"/>
    <w:rsid w:val="5C9522CF"/>
    <w:rsid w:val="5CA2679A"/>
    <w:rsid w:val="5CA40764"/>
    <w:rsid w:val="5CA6628A"/>
    <w:rsid w:val="5CB52971"/>
    <w:rsid w:val="5CC76201"/>
    <w:rsid w:val="5CCC3817"/>
    <w:rsid w:val="5CD54DC2"/>
    <w:rsid w:val="5CFB5EAA"/>
    <w:rsid w:val="5D027239"/>
    <w:rsid w:val="5D105DFA"/>
    <w:rsid w:val="5D137698"/>
    <w:rsid w:val="5D1A27D4"/>
    <w:rsid w:val="5D1D4073"/>
    <w:rsid w:val="5D3D64C3"/>
    <w:rsid w:val="5D450239"/>
    <w:rsid w:val="5D494E68"/>
    <w:rsid w:val="5D535CE6"/>
    <w:rsid w:val="5D595B2D"/>
    <w:rsid w:val="5D616655"/>
    <w:rsid w:val="5D635F29"/>
    <w:rsid w:val="5D6677C8"/>
    <w:rsid w:val="5D69550A"/>
    <w:rsid w:val="5D8F4F70"/>
    <w:rsid w:val="5D924A61"/>
    <w:rsid w:val="5D9562FF"/>
    <w:rsid w:val="5DB449D7"/>
    <w:rsid w:val="5DC43BD5"/>
    <w:rsid w:val="5DC664B8"/>
    <w:rsid w:val="5DC73E77"/>
    <w:rsid w:val="5DD60DF1"/>
    <w:rsid w:val="5DE80B25"/>
    <w:rsid w:val="5DEA03F9"/>
    <w:rsid w:val="5DEA21A7"/>
    <w:rsid w:val="5DED7EE9"/>
    <w:rsid w:val="5DF03535"/>
    <w:rsid w:val="5DF23751"/>
    <w:rsid w:val="5DF41277"/>
    <w:rsid w:val="5E005E6E"/>
    <w:rsid w:val="5E0F60B1"/>
    <w:rsid w:val="5E127950"/>
    <w:rsid w:val="5E162F9C"/>
    <w:rsid w:val="5E176D14"/>
    <w:rsid w:val="5E1E62F4"/>
    <w:rsid w:val="5E2C27BF"/>
    <w:rsid w:val="5E31427A"/>
    <w:rsid w:val="5E316028"/>
    <w:rsid w:val="5E3E6996"/>
    <w:rsid w:val="5E4044BD"/>
    <w:rsid w:val="5E413D91"/>
    <w:rsid w:val="5E421FE3"/>
    <w:rsid w:val="5E47584B"/>
    <w:rsid w:val="5E48511F"/>
    <w:rsid w:val="5E4D0988"/>
    <w:rsid w:val="5E4E4E2C"/>
    <w:rsid w:val="5E543D77"/>
    <w:rsid w:val="5E5835B4"/>
    <w:rsid w:val="5E6F6B50"/>
    <w:rsid w:val="5E79177D"/>
    <w:rsid w:val="5E7B3747"/>
    <w:rsid w:val="5E7C6FCE"/>
    <w:rsid w:val="5E8E0B78"/>
    <w:rsid w:val="5E987E55"/>
    <w:rsid w:val="5E9F11E3"/>
    <w:rsid w:val="5EA507C4"/>
    <w:rsid w:val="5EAC3900"/>
    <w:rsid w:val="5EB6477F"/>
    <w:rsid w:val="5ED66BCF"/>
    <w:rsid w:val="5EDF5A84"/>
    <w:rsid w:val="5EE50BC0"/>
    <w:rsid w:val="5EF7101F"/>
    <w:rsid w:val="5EFA466C"/>
    <w:rsid w:val="5F221E14"/>
    <w:rsid w:val="5F2660BA"/>
    <w:rsid w:val="5F3376FB"/>
    <w:rsid w:val="5F3C02E0"/>
    <w:rsid w:val="5F41229A"/>
    <w:rsid w:val="5F426012"/>
    <w:rsid w:val="5F506981"/>
    <w:rsid w:val="5F6D4AA0"/>
    <w:rsid w:val="5F70492E"/>
    <w:rsid w:val="5F724B4A"/>
    <w:rsid w:val="5F814D8D"/>
    <w:rsid w:val="5F8D1984"/>
    <w:rsid w:val="5F926F9A"/>
    <w:rsid w:val="5F942D12"/>
    <w:rsid w:val="5FB011CE"/>
    <w:rsid w:val="5FB24F46"/>
    <w:rsid w:val="5FC609F2"/>
    <w:rsid w:val="5FC92290"/>
    <w:rsid w:val="5FD70E51"/>
    <w:rsid w:val="5FD9212E"/>
    <w:rsid w:val="5FE80968"/>
    <w:rsid w:val="5FEA2932"/>
    <w:rsid w:val="5FEB0458"/>
    <w:rsid w:val="5FF7504F"/>
    <w:rsid w:val="5FFA069B"/>
    <w:rsid w:val="5FFE1F39"/>
    <w:rsid w:val="60003F04"/>
    <w:rsid w:val="600339F4"/>
    <w:rsid w:val="6008725C"/>
    <w:rsid w:val="600D4872"/>
    <w:rsid w:val="600F05EB"/>
    <w:rsid w:val="60123C37"/>
    <w:rsid w:val="602045A6"/>
    <w:rsid w:val="602776E2"/>
    <w:rsid w:val="60326087"/>
    <w:rsid w:val="60400FC2"/>
    <w:rsid w:val="60477D84"/>
    <w:rsid w:val="604858AA"/>
    <w:rsid w:val="60730B79"/>
    <w:rsid w:val="607466A0"/>
    <w:rsid w:val="607B389B"/>
    <w:rsid w:val="60870181"/>
    <w:rsid w:val="608F34D9"/>
    <w:rsid w:val="60956D42"/>
    <w:rsid w:val="60966616"/>
    <w:rsid w:val="60997EB4"/>
    <w:rsid w:val="60A01243"/>
    <w:rsid w:val="60A46F85"/>
    <w:rsid w:val="60AC7BE7"/>
    <w:rsid w:val="60AE3960"/>
    <w:rsid w:val="60BA67A8"/>
    <w:rsid w:val="60BE791B"/>
    <w:rsid w:val="60C07B37"/>
    <w:rsid w:val="60D31618"/>
    <w:rsid w:val="60D96503"/>
    <w:rsid w:val="60E03D35"/>
    <w:rsid w:val="60E750C3"/>
    <w:rsid w:val="60ED16CE"/>
    <w:rsid w:val="60EE0200"/>
    <w:rsid w:val="60F4333C"/>
    <w:rsid w:val="61073070"/>
    <w:rsid w:val="61131A15"/>
    <w:rsid w:val="611A2DA3"/>
    <w:rsid w:val="611D0AE5"/>
    <w:rsid w:val="61363955"/>
    <w:rsid w:val="61377DF9"/>
    <w:rsid w:val="61454F28"/>
    <w:rsid w:val="61475B62"/>
    <w:rsid w:val="614C3178"/>
    <w:rsid w:val="615C160D"/>
    <w:rsid w:val="615D5386"/>
    <w:rsid w:val="615F4C5A"/>
    <w:rsid w:val="61630BEE"/>
    <w:rsid w:val="616D55C9"/>
    <w:rsid w:val="61783AE7"/>
    <w:rsid w:val="617D1584"/>
    <w:rsid w:val="6183303E"/>
    <w:rsid w:val="618F19E3"/>
    <w:rsid w:val="61952D71"/>
    <w:rsid w:val="61A134C4"/>
    <w:rsid w:val="61A15272"/>
    <w:rsid w:val="61A30FEA"/>
    <w:rsid w:val="61BA5756"/>
    <w:rsid w:val="61BA6334"/>
    <w:rsid w:val="61BC3AF2"/>
    <w:rsid w:val="61C3168D"/>
    <w:rsid w:val="61C947C9"/>
    <w:rsid w:val="61CA2A1B"/>
    <w:rsid w:val="61CD250B"/>
    <w:rsid w:val="61E6537B"/>
    <w:rsid w:val="61ED495B"/>
    <w:rsid w:val="61FB0E26"/>
    <w:rsid w:val="61FF01EB"/>
    <w:rsid w:val="620121B5"/>
    <w:rsid w:val="62035F2D"/>
    <w:rsid w:val="62045801"/>
    <w:rsid w:val="620677CB"/>
    <w:rsid w:val="620B6B90"/>
    <w:rsid w:val="62233ED9"/>
    <w:rsid w:val="62261C1B"/>
    <w:rsid w:val="622E333A"/>
    <w:rsid w:val="6232236E"/>
    <w:rsid w:val="624B3430"/>
    <w:rsid w:val="624F1172"/>
    <w:rsid w:val="624F4CCE"/>
    <w:rsid w:val="625B3673"/>
    <w:rsid w:val="62685D90"/>
    <w:rsid w:val="627604AD"/>
    <w:rsid w:val="627C183B"/>
    <w:rsid w:val="6280757E"/>
    <w:rsid w:val="628A3F58"/>
    <w:rsid w:val="62922E0D"/>
    <w:rsid w:val="62960B4F"/>
    <w:rsid w:val="62AC2121"/>
    <w:rsid w:val="62AE5E99"/>
    <w:rsid w:val="62B47227"/>
    <w:rsid w:val="62C3746A"/>
    <w:rsid w:val="62CC4571"/>
    <w:rsid w:val="62CC631F"/>
    <w:rsid w:val="62D56A83"/>
    <w:rsid w:val="62D653F0"/>
    <w:rsid w:val="62D84CC4"/>
    <w:rsid w:val="62DD052C"/>
    <w:rsid w:val="62FB7B80"/>
    <w:rsid w:val="63027F93"/>
    <w:rsid w:val="63065CD5"/>
    <w:rsid w:val="631877B6"/>
    <w:rsid w:val="63273E9D"/>
    <w:rsid w:val="634467FD"/>
    <w:rsid w:val="63471E49"/>
    <w:rsid w:val="634C3904"/>
    <w:rsid w:val="63514A76"/>
    <w:rsid w:val="635527B8"/>
    <w:rsid w:val="63590FCB"/>
    <w:rsid w:val="6361115D"/>
    <w:rsid w:val="637B1AF3"/>
    <w:rsid w:val="637C5F97"/>
    <w:rsid w:val="638906B4"/>
    <w:rsid w:val="63892462"/>
    <w:rsid w:val="638B61DA"/>
    <w:rsid w:val="638D1F52"/>
    <w:rsid w:val="63952BB5"/>
    <w:rsid w:val="6397692D"/>
    <w:rsid w:val="63A23524"/>
    <w:rsid w:val="63A92B04"/>
    <w:rsid w:val="63B03E93"/>
    <w:rsid w:val="63B76FCF"/>
    <w:rsid w:val="63BE035D"/>
    <w:rsid w:val="63BF40D6"/>
    <w:rsid w:val="63C419B3"/>
    <w:rsid w:val="63C70247"/>
    <w:rsid w:val="63C81D2A"/>
    <w:rsid w:val="63E678B4"/>
    <w:rsid w:val="63EA73A4"/>
    <w:rsid w:val="63F518A5"/>
    <w:rsid w:val="63F91396"/>
    <w:rsid w:val="63FC2C34"/>
    <w:rsid w:val="640306F3"/>
    <w:rsid w:val="640857C7"/>
    <w:rsid w:val="642108EC"/>
    <w:rsid w:val="64265F03"/>
    <w:rsid w:val="64283A29"/>
    <w:rsid w:val="643028DD"/>
    <w:rsid w:val="6445282D"/>
    <w:rsid w:val="64487C27"/>
    <w:rsid w:val="64542A70"/>
    <w:rsid w:val="645C7B76"/>
    <w:rsid w:val="64744EC0"/>
    <w:rsid w:val="647E189B"/>
    <w:rsid w:val="648C220A"/>
    <w:rsid w:val="64963088"/>
    <w:rsid w:val="649B244D"/>
    <w:rsid w:val="649E3CEB"/>
    <w:rsid w:val="64B11C70"/>
    <w:rsid w:val="64B21544"/>
    <w:rsid w:val="64B33C3A"/>
    <w:rsid w:val="64B4350F"/>
    <w:rsid w:val="64BC23C3"/>
    <w:rsid w:val="64C574CA"/>
    <w:rsid w:val="64D616D7"/>
    <w:rsid w:val="64E979F1"/>
    <w:rsid w:val="64EC4A56"/>
    <w:rsid w:val="64F733FB"/>
    <w:rsid w:val="64F97173"/>
    <w:rsid w:val="64FB738F"/>
    <w:rsid w:val="6502427A"/>
    <w:rsid w:val="6511270F"/>
    <w:rsid w:val="651144BD"/>
    <w:rsid w:val="65222B6E"/>
    <w:rsid w:val="652F0DE7"/>
    <w:rsid w:val="653D52B2"/>
    <w:rsid w:val="65401246"/>
    <w:rsid w:val="65420B1A"/>
    <w:rsid w:val="65436640"/>
    <w:rsid w:val="65534AD5"/>
    <w:rsid w:val="65586590"/>
    <w:rsid w:val="656C3DE9"/>
    <w:rsid w:val="65752C9E"/>
    <w:rsid w:val="6578278E"/>
    <w:rsid w:val="658B0713"/>
    <w:rsid w:val="65913850"/>
    <w:rsid w:val="6598698C"/>
    <w:rsid w:val="65A25A5D"/>
    <w:rsid w:val="65AC068A"/>
    <w:rsid w:val="65AF61D4"/>
    <w:rsid w:val="65BA2DA7"/>
    <w:rsid w:val="65C854C3"/>
    <w:rsid w:val="65CC4888"/>
    <w:rsid w:val="65DA51F7"/>
    <w:rsid w:val="65DC4ACB"/>
    <w:rsid w:val="65E10333"/>
    <w:rsid w:val="65E240AB"/>
    <w:rsid w:val="65E25E59"/>
    <w:rsid w:val="65E676F8"/>
    <w:rsid w:val="65EB2F60"/>
    <w:rsid w:val="65F242EE"/>
    <w:rsid w:val="65F53DDF"/>
    <w:rsid w:val="65FA13F5"/>
    <w:rsid w:val="660003DF"/>
    <w:rsid w:val="6606102C"/>
    <w:rsid w:val="660758C0"/>
    <w:rsid w:val="6615622F"/>
    <w:rsid w:val="661C580F"/>
    <w:rsid w:val="6623094C"/>
    <w:rsid w:val="662326FA"/>
    <w:rsid w:val="663012BB"/>
    <w:rsid w:val="66313FE8"/>
    <w:rsid w:val="663604F1"/>
    <w:rsid w:val="663C1A0D"/>
    <w:rsid w:val="663E7534"/>
    <w:rsid w:val="66415276"/>
    <w:rsid w:val="66417024"/>
    <w:rsid w:val="66432D9C"/>
    <w:rsid w:val="665136DB"/>
    <w:rsid w:val="665369B0"/>
    <w:rsid w:val="66544FA9"/>
    <w:rsid w:val="665931A6"/>
    <w:rsid w:val="665E7BD6"/>
    <w:rsid w:val="6663343E"/>
    <w:rsid w:val="66811B16"/>
    <w:rsid w:val="66855163"/>
    <w:rsid w:val="66884875"/>
    <w:rsid w:val="6692162D"/>
    <w:rsid w:val="669265A4"/>
    <w:rsid w:val="66A82BFF"/>
    <w:rsid w:val="66AA6977"/>
    <w:rsid w:val="66B7430E"/>
    <w:rsid w:val="66B912B0"/>
    <w:rsid w:val="66C51A03"/>
    <w:rsid w:val="66E005EB"/>
    <w:rsid w:val="66E225B5"/>
    <w:rsid w:val="670D6F06"/>
    <w:rsid w:val="67140294"/>
    <w:rsid w:val="67144738"/>
    <w:rsid w:val="67191D4F"/>
    <w:rsid w:val="671958AB"/>
    <w:rsid w:val="67206C39"/>
    <w:rsid w:val="672524A2"/>
    <w:rsid w:val="67267A99"/>
    <w:rsid w:val="672C55DE"/>
    <w:rsid w:val="673226C3"/>
    <w:rsid w:val="673E23F2"/>
    <w:rsid w:val="673F7A07"/>
    <w:rsid w:val="67446DCC"/>
    <w:rsid w:val="674566A0"/>
    <w:rsid w:val="674A63AC"/>
    <w:rsid w:val="67564D51"/>
    <w:rsid w:val="6759039D"/>
    <w:rsid w:val="6764121C"/>
    <w:rsid w:val="67656D42"/>
    <w:rsid w:val="67696832"/>
    <w:rsid w:val="678621C2"/>
    <w:rsid w:val="67980EC5"/>
    <w:rsid w:val="67A96C2F"/>
    <w:rsid w:val="67AC671F"/>
    <w:rsid w:val="67AE2497"/>
    <w:rsid w:val="67AE3A97"/>
    <w:rsid w:val="67B70710"/>
    <w:rsid w:val="67BD6B7E"/>
    <w:rsid w:val="67BF46A4"/>
    <w:rsid w:val="67D0240D"/>
    <w:rsid w:val="67DF08A2"/>
    <w:rsid w:val="67E660D5"/>
    <w:rsid w:val="67EE4F89"/>
    <w:rsid w:val="67F81964"/>
    <w:rsid w:val="67FA1B80"/>
    <w:rsid w:val="6804655B"/>
    <w:rsid w:val="680A3A1A"/>
    <w:rsid w:val="680E0513"/>
    <w:rsid w:val="680E1188"/>
    <w:rsid w:val="68126ECA"/>
    <w:rsid w:val="683C5CF5"/>
    <w:rsid w:val="683D381B"/>
    <w:rsid w:val="684150B9"/>
    <w:rsid w:val="68444BA9"/>
    <w:rsid w:val="684D1CB0"/>
    <w:rsid w:val="684E77D6"/>
    <w:rsid w:val="685A1A67"/>
    <w:rsid w:val="685F19E3"/>
    <w:rsid w:val="687157C8"/>
    <w:rsid w:val="688356D2"/>
    <w:rsid w:val="6885769C"/>
    <w:rsid w:val="688F22C8"/>
    <w:rsid w:val="68923B67"/>
    <w:rsid w:val="68A044D6"/>
    <w:rsid w:val="68A1024E"/>
    <w:rsid w:val="68A45648"/>
    <w:rsid w:val="68AD274F"/>
    <w:rsid w:val="68B00491"/>
    <w:rsid w:val="68B42C2B"/>
    <w:rsid w:val="68BB130F"/>
    <w:rsid w:val="68BC6E36"/>
    <w:rsid w:val="68C06926"/>
    <w:rsid w:val="68D51CA5"/>
    <w:rsid w:val="68E87C2B"/>
    <w:rsid w:val="68EA39A3"/>
    <w:rsid w:val="68EC14C9"/>
    <w:rsid w:val="68F760C0"/>
    <w:rsid w:val="68FB69BA"/>
    <w:rsid w:val="68FD36D6"/>
    <w:rsid w:val="690305C1"/>
    <w:rsid w:val="690E58E3"/>
    <w:rsid w:val="690F6F65"/>
    <w:rsid w:val="69161CEC"/>
    <w:rsid w:val="691722BE"/>
    <w:rsid w:val="69256789"/>
    <w:rsid w:val="69324B5A"/>
    <w:rsid w:val="6942733B"/>
    <w:rsid w:val="69474951"/>
    <w:rsid w:val="694A2693"/>
    <w:rsid w:val="694C01BA"/>
    <w:rsid w:val="694D7A8E"/>
    <w:rsid w:val="695E5E63"/>
    <w:rsid w:val="69735746"/>
    <w:rsid w:val="69763488"/>
    <w:rsid w:val="69855479"/>
    <w:rsid w:val="69937B96"/>
    <w:rsid w:val="69951B60"/>
    <w:rsid w:val="699A7177"/>
    <w:rsid w:val="69B144C0"/>
    <w:rsid w:val="69B30239"/>
    <w:rsid w:val="69B67D29"/>
    <w:rsid w:val="69C9180A"/>
    <w:rsid w:val="69E95B74"/>
    <w:rsid w:val="69F12B0F"/>
    <w:rsid w:val="69F66377"/>
    <w:rsid w:val="6A0C7949"/>
    <w:rsid w:val="6A1B0498"/>
    <w:rsid w:val="6A1D4CFD"/>
    <w:rsid w:val="6A1D56B2"/>
    <w:rsid w:val="6A2829D5"/>
    <w:rsid w:val="6A445335"/>
    <w:rsid w:val="6A464C09"/>
    <w:rsid w:val="6A4814BC"/>
    <w:rsid w:val="6A5135AE"/>
    <w:rsid w:val="6A5512F0"/>
    <w:rsid w:val="6A55309E"/>
    <w:rsid w:val="6A5A06B4"/>
    <w:rsid w:val="6A6D03E7"/>
    <w:rsid w:val="6A6E5F0E"/>
    <w:rsid w:val="6A953F88"/>
    <w:rsid w:val="6AA14535"/>
    <w:rsid w:val="6AB06526"/>
    <w:rsid w:val="6ABA55F7"/>
    <w:rsid w:val="6AC124E1"/>
    <w:rsid w:val="6AC67AF8"/>
    <w:rsid w:val="6AC76BBA"/>
    <w:rsid w:val="6ACD0E86"/>
    <w:rsid w:val="6AD93CCF"/>
    <w:rsid w:val="6AE00865"/>
    <w:rsid w:val="6AE03108"/>
    <w:rsid w:val="6AED777A"/>
    <w:rsid w:val="6AEF704E"/>
    <w:rsid w:val="6B0845B4"/>
    <w:rsid w:val="6B120F8F"/>
    <w:rsid w:val="6B15282D"/>
    <w:rsid w:val="6B1E5B86"/>
    <w:rsid w:val="6B2018FE"/>
    <w:rsid w:val="6B2A0087"/>
    <w:rsid w:val="6B2D7B77"/>
    <w:rsid w:val="6B317667"/>
    <w:rsid w:val="6B3C600C"/>
    <w:rsid w:val="6B3E7FD6"/>
    <w:rsid w:val="6B403D4E"/>
    <w:rsid w:val="6B405AFC"/>
    <w:rsid w:val="6B513865"/>
    <w:rsid w:val="6B5C220A"/>
    <w:rsid w:val="6B625A72"/>
    <w:rsid w:val="6B735ED1"/>
    <w:rsid w:val="6B7439F8"/>
    <w:rsid w:val="6B777044"/>
    <w:rsid w:val="6B811C71"/>
    <w:rsid w:val="6B833C3B"/>
    <w:rsid w:val="6B8E2D0B"/>
    <w:rsid w:val="6B8F438D"/>
    <w:rsid w:val="6B90226A"/>
    <w:rsid w:val="6B9B71D6"/>
    <w:rsid w:val="6BAA566B"/>
    <w:rsid w:val="6BAD2A66"/>
    <w:rsid w:val="6BAF67DE"/>
    <w:rsid w:val="6BB42046"/>
    <w:rsid w:val="6BB81B36"/>
    <w:rsid w:val="6BC26511"/>
    <w:rsid w:val="6BCE3108"/>
    <w:rsid w:val="6BD44496"/>
    <w:rsid w:val="6BD46244"/>
    <w:rsid w:val="6BD9385B"/>
    <w:rsid w:val="6BDD159D"/>
    <w:rsid w:val="6BDE269C"/>
    <w:rsid w:val="6BE566A3"/>
    <w:rsid w:val="6BE7241B"/>
    <w:rsid w:val="6BF54B38"/>
    <w:rsid w:val="6BFF59B7"/>
    <w:rsid w:val="6C054650"/>
    <w:rsid w:val="6C0905E4"/>
    <w:rsid w:val="6C0B435C"/>
    <w:rsid w:val="6C156F89"/>
    <w:rsid w:val="6C184383"/>
    <w:rsid w:val="6C197E76"/>
    <w:rsid w:val="6C1F6EE3"/>
    <w:rsid w:val="6C246208"/>
    <w:rsid w:val="6C384A25"/>
    <w:rsid w:val="6C3A254B"/>
    <w:rsid w:val="6C3A66BC"/>
    <w:rsid w:val="6C445178"/>
    <w:rsid w:val="6C4909E0"/>
    <w:rsid w:val="6C494E84"/>
    <w:rsid w:val="6C5008E1"/>
    <w:rsid w:val="6C523D39"/>
    <w:rsid w:val="6C6B6BA9"/>
    <w:rsid w:val="6C847C6A"/>
    <w:rsid w:val="6C9003BD"/>
    <w:rsid w:val="6C924135"/>
    <w:rsid w:val="6C9C1458"/>
    <w:rsid w:val="6C9F4AA4"/>
    <w:rsid w:val="6CA02C98"/>
    <w:rsid w:val="6CA34594"/>
    <w:rsid w:val="6CA8159C"/>
    <w:rsid w:val="6CA976D1"/>
    <w:rsid w:val="6CB56076"/>
    <w:rsid w:val="6CBA368C"/>
    <w:rsid w:val="6CCD1611"/>
    <w:rsid w:val="6CD56718"/>
    <w:rsid w:val="6CD60B9F"/>
    <w:rsid w:val="6CDA788A"/>
    <w:rsid w:val="6CDF1345"/>
    <w:rsid w:val="6CF21078"/>
    <w:rsid w:val="6CF272CA"/>
    <w:rsid w:val="6CF32387"/>
    <w:rsid w:val="6CF90658"/>
    <w:rsid w:val="6CFA17AD"/>
    <w:rsid w:val="6D170ADE"/>
    <w:rsid w:val="6D203E37"/>
    <w:rsid w:val="6D2154B9"/>
    <w:rsid w:val="6D222AAF"/>
    <w:rsid w:val="6D341690"/>
    <w:rsid w:val="6D3C0545"/>
    <w:rsid w:val="6D433682"/>
    <w:rsid w:val="6D45564C"/>
    <w:rsid w:val="6D4F2026"/>
    <w:rsid w:val="6D5910F7"/>
    <w:rsid w:val="6D5A0320"/>
    <w:rsid w:val="6D601A36"/>
    <w:rsid w:val="6D611D5A"/>
    <w:rsid w:val="6D635AD2"/>
    <w:rsid w:val="6D6A3304"/>
    <w:rsid w:val="6D885538"/>
    <w:rsid w:val="6D943EDD"/>
    <w:rsid w:val="6D995997"/>
    <w:rsid w:val="6DA46816"/>
    <w:rsid w:val="6DA73C10"/>
    <w:rsid w:val="6DAD4F9F"/>
    <w:rsid w:val="6DAF0D17"/>
    <w:rsid w:val="6DBD3434"/>
    <w:rsid w:val="6DE2733E"/>
    <w:rsid w:val="6DE842C9"/>
    <w:rsid w:val="6DF835FD"/>
    <w:rsid w:val="6DFB3F5C"/>
    <w:rsid w:val="6E0A419F"/>
    <w:rsid w:val="6E2214E9"/>
    <w:rsid w:val="6E292877"/>
    <w:rsid w:val="6E363B46"/>
    <w:rsid w:val="6E3B25AB"/>
    <w:rsid w:val="6E414065"/>
    <w:rsid w:val="6E4A5C33"/>
    <w:rsid w:val="6E4E6782"/>
    <w:rsid w:val="6E4F6056"/>
    <w:rsid w:val="6E5042A8"/>
    <w:rsid w:val="6E676A1F"/>
    <w:rsid w:val="6E6935BC"/>
    <w:rsid w:val="6E7361E8"/>
    <w:rsid w:val="6E761835"/>
    <w:rsid w:val="6E7F2DDF"/>
    <w:rsid w:val="6E940676"/>
    <w:rsid w:val="6E946B8C"/>
    <w:rsid w:val="6E9A19C7"/>
    <w:rsid w:val="6EA6036C"/>
    <w:rsid w:val="6EA6211A"/>
    <w:rsid w:val="6EA7112B"/>
    <w:rsid w:val="6EA77C40"/>
    <w:rsid w:val="6EAB5982"/>
    <w:rsid w:val="6ECB392F"/>
    <w:rsid w:val="6ED00F45"/>
    <w:rsid w:val="6ED0363B"/>
    <w:rsid w:val="6EE80984"/>
    <w:rsid w:val="6EEB3FD1"/>
    <w:rsid w:val="6EFA4214"/>
    <w:rsid w:val="6F0E7CBF"/>
    <w:rsid w:val="6F1057E5"/>
    <w:rsid w:val="6F11681F"/>
    <w:rsid w:val="6F1352D6"/>
    <w:rsid w:val="6F1C23DC"/>
    <w:rsid w:val="6F244C95"/>
    <w:rsid w:val="6F2F210F"/>
    <w:rsid w:val="6F3E2352"/>
    <w:rsid w:val="6F4162E7"/>
    <w:rsid w:val="6F60051B"/>
    <w:rsid w:val="6F655B31"/>
    <w:rsid w:val="6F656188"/>
    <w:rsid w:val="6F675D4D"/>
    <w:rsid w:val="6F6A3147"/>
    <w:rsid w:val="6F810491"/>
    <w:rsid w:val="6F8D6E36"/>
    <w:rsid w:val="6F993A2D"/>
    <w:rsid w:val="6F9B77A5"/>
    <w:rsid w:val="6FB22D40"/>
    <w:rsid w:val="6FC00FB9"/>
    <w:rsid w:val="6FC36CFC"/>
    <w:rsid w:val="6FC565D0"/>
    <w:rsid w:val="6FC82564"/>
    <w:rsid w:val="6FCE7B7A"/>
    <w:rsid w:val="6FD607DD"/>
    <w:rsid w:val="6FD9207B"/>
    <w:rsid w:val="6FDB5DF3"/>
    <w:rsid w:val="6FE27182"/>
    <w:rsid w:val="6FE729EA"/>
    <w:rsid w:val="6FF36E5E"/>
    <w:rsid w:val="6FF670D1"/>
    <w:rsid w:val="701B49A3"/>
    <w:rsid w:val="7036127C"/>
    <w:rsid w:val="703A6FBE"/>
    <w:rsid w:val="703D085C"/>
    <w:rsid w:val="70422316"/>
    <w:rsid w:val="704716DB"/>
    <w:rsid w:val="704A2F79"/>
    <w:rsid w:val="704C6CF1"/>
    <w:rsid w:val="7055204A"/>
    <w:rsid w:val="705B0CE2"/>
    <w:rsid w:val="70666005"/>
    <w:rsid w:val="706758D9"/>
    <w:rsid w:val="706C1141"/>
    <w:rsid w:val="708C17E3"/>
    <w:rsid w:val="70932B72"/>
    <w:rsid w:val="70950698"/>
    <w:rsid w:val="709661BE"/>
    <w:rsid w:val="70B30B1E"/>
    <w:rsid w:val="70B328CC"/>
    <w:rsid w:val="70B54896"/>
    <w:rsid w:val="70B84386"/>
    <w:rsid w:val="70B86135"/>
    <w:rsid w:val="70BA00FF"/>
    <w:rsid w:val="70BD199D"/>
    <w:rsid w:val="70C64CF5"/>
    <w:rsid w:val="70C76378"/>
    <w:rsid w:val="70CB40BA"/>
    <w:rsid w:val="70CC1BE0"/>
    <w:rsid w:val="70D32F6E"/>
    <w:rsid w:val="70DC68F1"/>
    <w:rsid w:val="70EB650A"/>
    <w:rsid w:val="70F73101"/>
    <w:rsid w:val="71245578"/>
    <w:rsid w:val="7128150C"/>
    <w:rsid w:val="71290DE0"/>
    <w:rsid w:val="713954C7"/>
    <w:rsid w:val="713C6D66"/>
    <w:rsid w:val="71436346"/>
    <w:rsid w:val="714B0D57"/>
    <w:rsid w:val="714F6A99"/>
    <w:rsid w:val="71535E5D"/>
    <w:rsid w:val="71632544"/>
    <w:rsid w:val="71687B5B"/>
    <w:rsid w:val="716A5681"/>
    <w:rsid w:val="71755DD4"/>
    <w:rsid w:val="7179774D"/>
    <w:rsid w:val="718129CA"/>
    <w:rsid w:val="718304F0"/>
    <w:rsid w:val="718524BB"/>
    <w:rsid w:val="718801FD"/>
    <w:rsid w:val="718A7AD1"/>
    <w:rsid w:val="71900E5F"/>
    <w:rsid w:val="71997D14"/>
    <w:rsid w:val="71A861A9"/>
    <w:rsid w:val="71AC3EEB"/>
    <w:rsid w:val="71B049BF"/>
    <w:rsid w:val="71B132B0"/>
    <w:rsid w:val="71B82B42"/>
    <w:rsid w:val="71C07997"/>
    <w:rsid w:val="71CA3AEA"/>
    <w:rsid w:val="71D71580"/>
    <w:rsid w:val="71D71745"/>
    <w:rsid w:val="71E03B95"/>
    <w:rsid w:val="71E511AB"/>
    <w:rsid w:val="71F118FE"/>
    <w:rsid w:val="71F17B50"/>
    <w:rsid w:val="72021D5D"/>
    <w:rsid w:val="72042799"/>
    <w:rsid w:val="720C2BDC"/>
    <w:rsid w:val="720D24B0"/>
    <w:rsid w:val="720D425E"/>
    <w:rsid w:val="72202E25"/>
    <w:rsid w:val="722241AD"/>
    <w:rsid w:val="72253C9E"/>
    <w:rsid w:val="722577FA"/>
    <w:rsid w:val="722C0B88"/>
    <w:rsid w:val="723E08BB"/>
    <w:rsid w:val="7246661D"/>
    <w:rsid w:val="724C4D86"/>
    <w:rsid w:val="726522EC"/>
    <w:rsid w:val="72691DDC"/>
    <w:rsid w:val="727442DD"/>
    <w:rsid w:val="72802C82"/>
    <w:rsid w:val="72895FDA"/>
    <w:rsid w:val="728A58AF"/>
    <w:rsid w:val="728C1627"/>
    <w:rsid w:val="72906E6A"/>
    <w:rsid w:val="72A252EE"/>
    <w:rsid w:val="72AE77EF"/>
    <w:rsid w:val="72B025A3"/>
    <w:rsid w:val="72B03567"/>
    <w:rsid w:val="72B56DCF"/>
    <w:rsid w:val="72BF7592"/>
    <w:rsid w:val="72C07522"/>
    <w:rsid w:val="72CB65F3"/>
    <w:rsid w:val="72CC5EC7"/>
    <w:rsid w:val="72D059B7"/>
    <w:rsid w:val="72D74F98"/>
    <w:rsid w:val="72DB562A"/>
    <w:rsid w:val="72DF3E4C"/>
    <w:rsid w:val="72E2393D"/>
    <w:rsid w:val="72F226BA"/>
    <w:rsid w:val="73005B71"/>
    <w:rsid w:val="730E028E"/>
    <w:rsid w:val="730E4732"/>
    <w:rsid w:val="731004AA"/>
    <w:rsid w:val="73131D48"/>
    <w:rsid w:val="73216213"/>
    <w:rsid w:val="732D5048"/>
    <w:rsid w:val="73320420"/>
    <w:rsid w:val="733221CE"/>
    <w:rsid w:val="73383726"/>
    <w:rsid w:val="733C304D"/>
    <w:rsid w:val="7349419B"/>
    <w:rsid w:val="7358775B"/>
    <w:rsid w:val="73593BFF"/>
    <w:rsid w:val="735F4F8D"/>
    <w:rsid w:val="736312B3"/>
    <w:rsid w:val="73683E42"/>
    <w:rsid w:val="73700F48"/>
    <w:rsid w:val="73734595"/>
    <w:rsid w:val="737427E7"/>
    <w:rsid w:val="737C5B3F"/>
    <w:rsid w:val="737E3983"/>
    <w:rsid w:val="738531BD"/>
    <w:rsid w:val="739F35DC"/>
    <w:rsid w:val="73A62BBC"/>
    <w:rsid w:val="73A66718"/>
    <w:rsid w:val="73AA6208"/>
    <w:rsid w:val="73F0491D"/>
    <w:rsid w:val="73F2195D"/>
    <w:rsid w:val="73F76F74"/>
    <w:rsid w:val="73FC27DC"/>
    <w:rsid w:val="74031DBD"/>
    <w:rsid w:val="740F42BD"/>
    <w:rsid w:val="74161AF0"/>
    <w:rsid w:val="7416389E"/>
    <w:rsid w:val="74277859"/>
    <w:rsid w:val="742D0BE7"/>
    <w:rsid w:val="7434641A"/>
    <w:rsid w:val="74381A66"/>
    <w:rsid w:val="74393A30"/>
    <w:rsid w:val="7443040B"/>
    <w:rsid w:val="74454183"/>
    <w:rsid w:val="744C3764"/>
    <w:rsid w:val="74534AF2"/>
    <w:rsid w:val="74566390"/>
    <w:rsid w:val="74575C64"/>
    <w:rsid w:val="745D14CD"/>
    <w:rsid w:val="74687E72"/>
    <w:rsid w:val="746D7236"/>
    <w:rsid w:val="747131CA"/>
    <w:rsid w:val="74714F78"/>
    <w:rsid w:val="748443A7"/>
    <w:rsid w:val="748C3B60"/>
    <w:rsid w:val="748C590E"/>
    <w:rsid w:val="7496678D"/>
    <w:rsid w:val="74AE1D28"/>
    <w:rsid w:val="74B65081"/>
    <w:rsid w:val="74C432FA"/>
    <w:rsid w:val="74C7103C"/>
    <w:rsid w:val="74CE5F27"/>
    <w:rsid w:val="74D01F15"/>
    <w:rsid w:val="74D06143"/>
    <w:rsid w:val="74D3353D"/>
    <w:rsid w:val="74D379E1"/>
    <w:rsid w:val="74E05C5A"/>
    <w:rsid w:val="74E818C1"/>
    <w:rsid w:val="74F00593"/>
    <w:rsid w:val="74F57957"/>
    <w:rsid w:val="74FF4332"/>
    <w:rsid w:val="750000AA"/>
    <w:rsid w:val="7507768A"/>
    <w:rsid w:val="750B0F29"/>
    <w:rsid w:val="750E0A19"/>
    <w:rsid w:val="751122B7"/>
    <w:rsid w:val="75287D2D"/>
    <w:rsid w:val="752913AF"/>
    <w:rsid w:val="75324707"/>
    <w:rsid w:val="753D30AC"/>
    <w:rsid w:val="7544268D"/>
    <w:rsid w:val="75507BBA"/>
    <w:rsid w:val="75530B22"/>
    <w:rsid w:val="755B44AE"/>
    <w:rsid w:val="755C79D6"/>
    <w:rsid w:val="75614FED"/>
    <w:rsid w:val="75616258"/>
    <w:rsid w:val="757840E4"/>
    <w:rsid w:val="75826D11"/>
    <w:rsid w:val="75846F2D"/>
    <w:rsid w:val="758E6591"/>
    <w:rsid w:val="75994786"/>
    <w:rsid w:val="759C4277"/>
    <w:rsid w:val="75A650F5"/>
    <w:rsid w:val="75A849CA"/>
    <w:rsid w:val="75AB6268"/>
    <w:rsid w:val="75B3511C"/>
    <w:rsid w:val="75B570E6"/>
    <w:rsid w:val="75B74C0D"/>
    <w:rsid w:val="75C86E1A"/>
    <w:rsid w:val="75C94940"/>
    <w:rsid w:val="75CB4B5C"/>
    <w:rsid w:val="75E83018"/>
    <w:rsid w:val="75FE283B"/>
    <w:rsid w:val="760B4F58"/>
    <w:rsid w:val="760F4A49"/>
    <w:rsid w:val="76157B85"/>
    <w:rsid w:val="761B33ED"/>
    <w:rsid w:val="762027B2"/>
    <w:rsid w:val="762F6E99"/>
    <w:rsid w:val="763149BF"/>
    <w:rsid w:val="763D7808"/>
    <w:rsid w:val="76426BCC"/>
    <w:rsid w:val="76465F91"/>
    <w:rsid w:val="765B1A3C"/>
    <w:rsid w:val="766C3C49"/>
    <w:rsid w:val="766F3739"/>
    <w:rsid w:val="76796366"/>
    <w:rsid w:val="76852F5D"/>
    <w:rsid w:val="76874EE2"/>
    <w:rsid w:val="76884F57"/>
    <w:rsid w:val="76940ACD"/>
    <w:rsid w:val="76A21419"/>
    <w:rsid w:val="76A41B15"/>
    <w:rsid w:val="76A50F09"/>
    <w:rsid w:val="76A96C4B"/>
    <w:rsid w:val="76AD0758"/>
    <w:rsid w:val="76B178AE"/>
    <w:rsid w:val="76C515AB"/>
    <w:rsid w:val="76CE3641"/>
    <w:rsid w:val="76D161A2"/>
    <w:rsid w:val="76F50030"/>
    <w:rsid w:val="76FD0D45"/>
    <w:rsid w:val="771F2A69"/>
    <w:rsid w:val="772067E2"/>
    <w:rsid w:val="77277B70"/>
    <w:rsid w:val="772B58B2"/>
    <w:rsid w:val="7730111A"/>
    <w:rsid w:val="77334767"/>
    <w:rsid w:val="77364257"/>
    <w:rsid w:val="775070C7"/>
    <w:rsid w:val="77514BED"/>
    <w:rsid w:val="7762504C"/>
    <w:rsid w:val="77644920"/>
    <w:rsid w:val="77701517"/>
    <w:rsid w:val="777803CC"/>
    <w:rsid w:val="77860258"/>
    <w:rsid w:val="779C67B0"/>
    <w:rsid w:val="77A6318B"/>
    <w:rsid w:val="77AB254F"/>
    <w:rsid w:val="77AD276B"/>
    <w:rsid w:val="77B05DB7"/>
    <w:rsid w:val="77C81353"/>
    <w:rsid w:val="77D47CF8"/>
    <w:rsid w:val="77D85BF3"/>
    <w:rsid w:val="77DE0B76"/>
    <w:rsid w:val="77E45A61"/>
    <w:rsid w:val="77E93077"/>
    <w:rsid w:val="77ED700C"/>
    <w:rsid w:val="77F24622"/>
    <w:rsid w:val="77F953AA"/>
    <w:rsid w:val="77FA5285"/>
    <w:rsid w:val="780103C1"/>
    <w:rsid w:val="78061E7B"/>
    <w:rsid w:val="78194573"/>
    <w:rsid w:val="78280044"/>
    <w:rsid w:val="782F4F2E"/>
    <w:rsid w:val="78352240"/>
    <w:rsid w:val="78412EB3"/>
    <w:rsid w:val="784A1C60"/>
    <w:rsid w:val="784F5B45"/>
    <w:rsid w:val="785726D7"/>
    <w:rsid w:val="78591FAB"/>
    <w:rsid w:val="786D5A56"/>
    <w:rsid w:val="78770683"/>
    <w:rsid w:val="78872FBC"/>
    <w:rsid w:val="7899274E"/>
    <w:rsid w:val="78994A9D"/>
    <w:rsid w:val="789C633C"/>
    <w:rsid w:val="789C76BF"/>
    <w:rsid w:val="78BE2756"/>
    <w:rsid w:val="78C23FF4"/>
    <w:rsid w:val="78C55892"/>
    <w:rsid w:val="78C733B9"/>
    <w:rsid w:val="78E33F6B"/>
    <w:rsid w:val="78E946FE"/>
    <w:rsid w:val="78EF0B61"/>
    <w:rsid w:val="7904460D"/>
    <w:rsid w:val="790939D1"/>
    <w:rsid w:val="790C34C1"/>
    <w:rsid w:val="79132AA2"/>
    <w:rsid w:val="791B1956"/>
    <w:rsid w:val="79415DFA"/>
    <w:rsid w:val="79442C5B"/>
    <w:rsid w:val="794669D3"/>
    <w:rsid w:val="794B223C"/>
    <w:rsid w:val="79515378"/>
    <w:rsid w:val="7961380D"/>
    <w:rsid w:val="79652BD2"/>
    <w:rsid w:val="79694470"/>
    <w:rsid w:val="796A6496"/>
    <w:rsid w:val="796E5F2A"/>
    <w:rsid w:val="79727AD8"/>
    <w:rsid w:val="79773031"/>
    <w:rsid w:val="79856DD0"/>
    <w:rsid w:val="798E037A"/>
    <w:rsid w:val="798E3ED6"/>
    <w:rsid w:val="7993773F"/>
    <w:rsid w:val="79984D55"/>
    <w:rsid w:val="79A436FA"/>
    <w:rsid w:val="79A8143C"/>
    <w:rsid w:val="79AB4A88"/>
    <w:rsid w:val="79AE27CB"/>
    <w:rsid w:val="79AE6327"/>
    <w:rsid w:val="79B871A5"/>
    <w:rsid w:val="79BA4CCB"/>
    <w:rsid w:val="79BE0C60"/>
    <w:rsid w:val="79BF6786"/>
    <w:rsid w:val="79C36276"/>
    <w:rsid w:val="79C913B2"/>
    <w:rsid w:val="79DF4732"/>
    <w:rsid w:val="79E87A8A"/>
    <w:rsid w:val="79EB30D7"/>
    <w:rsid w:val="79ED50A1"/>
    <w:rsid w:val="79EE2BC7"/>
    <w:rsid w:val="79FA156C"/>
    <w:rsid w:val="79FF320F"/>
    <w:rsid w:val="7A010B4C"/>
    <w:rsid w:val="7A067F11"/>
    <w:rsid w:val="7A102B3D"/>
    <w:rsid w:val="7A146AD1"/>
    <w:rsid w:val="7A150154"/>
    <w:rsid w:val="7A1563A6"/>
    <w:rsid w:val="7A1E16FE"/>
    <w:rsid w:val="7A232386"/>
    <w:rsid w:val="7A2E1215"/>
    <w:rsid w:val="7A2F56B9"/>
    <w:rsid w:val="7A305DAE"/>
    <w:rsid w:val="7A410F49"/>
    <w:rsid w:val="7A4A24F3"/>
    <w:rsid w:val="7A560E98"/>
    <w:rsid w:val="7A57076C"/>
    <w:rsid w:val="7A682979"/>
    <w:rsid w:val="7A683D40"/>
    <w:rsid w:val="7A6C214D"/>
    <w:rsid w:val="7A757A75"/>
    <w:rsid w:val="7A777060"/>
    <w:rsid w:val="7A8552D9"/>
    <w:rsid w:val="7A8C2B0C"/>
    <w:rsid w:val="7A8F7F06"/>
    <w:rsid w:val="7AA5597C"/>
    <w:rsid w:val="7AAC6D0A"/>
    <w:rsid w:val="7AAD65DE"/>
    <w:rsid w:val="7ABC4A73"/>
    <w:rsid w:val="7AC027B5"/>
    <w:rsid w:val="7AC202DC"/>
    <w:rsid w:val="7AD41DBD"/>
    <w:rsid w:val="7ADB75EF"/>
    <w:rsid w:val="7ADE0E8D"/>
    <w:rsid w:val="7AE71AF0"/>
    <w:rsid w:val="7AEA15E0"/>
    <w:rsid w:val="7AED10D1"/>
    <w:rsid w:val="7B087CB8"/>
    <w:rsid w:val="7B0F54EB"/>
    <w:rsid w:val="7B14665D"/>
    <w:rsid w:val="7B1D3764"/>
    <w:rsid w:val="7B5B0730"/>
    <w:rsid w:val="7B656EB9"/>
    <w:rsid w:val="7B6E5D6D"/>
    <w:rsid w:val="7B7610C6"/>
    <w:rsid w:val="7B7A0BB6"/>
    <w:rsid w:val="7B851309"/>
    <w:rsid w:val="7B8657AD"/>
    <w:rsid w:val="7B871525"/>
    <w:rsid w:val="7B9559F0"/>
    <w:rsid w:val="7BAB0D70"/>
    <w:rsid w:val="7BAB6FC2"/>
    <w:rsid w:val="7BB86609"/>
    <w:rsid w:val="7BBD6CF5"/>
    <w:rsid w:val="7BCB31C0"/>
    <w:rsid w:val="7BCE0F02"/>
    <w:rsid w:val="7BD007D6"/>
    <w:rsid w:val="7BDF310F"/>
    <w:rsid w:val="7BF1074D"/>
    <w:rsid w:val="7C013085"/>
    <w:rsid w:val="7C1032C9"/>
    <w:rsid w:val="7C1A4147"/>
    <w:rsid w:val="7C1E3C37"/>
    <w:rsid w:val="7C2823C0"/>
    <w:rsid w:val="7C330D65"/>
    <w:rsid w:val="7C3522B8"/>
    <w:rsid w:val="7C460A98"/>
    <w:rsid w:val="7C480CB4"/>
    <w:rsid w:val="7C4E5B9F"/>
    <w:rsid w:val="7C595D10"/>
    <w:rsid w:val="7C5C4760"/>
    <w:rsid w:val="7C5C650E"/>
    <w:rsid w:val="7C694787"/>
    <w:rsid w:val="7C6D4277"/>
    <w:rsid w:val="7C773348"/>
    <w:rsid w:val="7C7E0232"/>
    <w:rsid w:val="7C7F3FAA"/>
    <w:rsid w:val="7C835849"/>
    <w:rsid w:val="7C855A65"/>
    <w:rsid w:val="7C8A307B"/>
    <w:rsid w:val="7CA12173"/>
    <w:rsid w:val="7CA3413D"/>
    <w:rsid w:val="7CAF41D8"/>
    <w:rsid w:val="7CB77BE8"/>
    <w:rsid w:val="7CBE2D25"/>
    <w:rsid w:val="7CC3658D"/>
    <w:rsid w:val="7CC40FE0"/>
    <w:rsid w:val="7CE0713F"/>
    <w:rsid w:val="7CE7227B"/>
    <w:rsid w:val="7CE80B15"/>
    <w:rsid w:val="7D083FA0"/>
    <w:rsid w:val="7D23702C"/>
    <w:rsid w:val="7D250FF6"/>
    <w:rsid w:val="7D252DA4"/>
    <w:rsid w:val="7D31799A"/>
    <w:rsid w:val="7D342FE7"/>
    <w:rsid w:val="7D3923AB"/>
    <w:rsid w:val="7D3E3E65"/>
    <w:rsid w:val="7D4A0A5C"/>
    <w:rsid w:val="7D5064A1"/>
    <w:rsid w:val="7D60199E"/>
    <w:rsid w:val="7D605B8A"/>
    <w:rsid w:val="7D763BC4"/>
    <w:rsid w:val="7D965A4F"/>
    <w:rsid w:val="7DB008BF"/>
    <w:rsid w:val="7DC10D1E"/>
    <w:rsid w:val="7DC223A1"/>
    <w:rsid w:val="7DC425BD"/>
    <w:rsid w:val="7DC73E5B"/>
    <w:rsid w:val="7DCA74A7"/>
    <w:rsid w:val="7DCB1DED"/>
    <w:rsid w:val="7DD1161D"/>
    <w:rsid w:val="7DD87E16"/>
    <w:rsid w:val="7DDF2F52"/>
    <w:rsid w:val="7DE1316F"/>
    <w:rsid w:val="7DE70059"/>
    <w:rsid w:val="7DE844FD"/>
    <w:rsid w:val="7DEB18F7"/>
    <w:rsid w:val="7DED1B13"/>
    <w:rsid w:val="7DF369FE"/>
    <w:rsid w:val="7DF84014"/>
    <w:rsid w:val="7DFD20AA"/>
    <w:rsid w:val="7E002EC9"/>
    <w:rsid w:val="7E0155BF"/>
    <w:rsid w:val="7E0429B9"/>
    <w:rsid w:val="7E066731"/>
    <w:rsid w:val="7E0A5DEF"/>
    <w:rsid w:val="7E12157A"/>
    <w:rsid w:val="7E1D1CCD"/>
    <w:rsid w:val="7E1E7F1F"/>
    <w:rsid w:val="7E21356B"/>
    <w:rsid w:val="7E3C65F7"/>
    <w:rsid w:val="7E447259"/>
    <w:rsid w:val="7E590F57"/>
    <w:rsid w:val="7E5C27F5"/>
    <w:rsid w:val="7E635932"/>
    <w:rsid w:val="7E6B6EDC"/>
    <w:rsid w:val="7E755665"/>
    <w:rsid w:val="7E7713DD"/>
    <w:rsid w:val="7E7C2E97"/>
    <w:rsid w:val="7E843AFA"/>
    <w:rsid w:val="7EA06B86"/>
    <w:rsid w:val="7EA47CF8"/>
    <w:rsid w:val="7EB20667"/>
    <w:rsid w:val="7EC363D0"/>
    <w:rsid w:val="7EC81C39"/>
    <w:rsid w:val="7EC860DC"/>
    <w:rsid w:val="7ED00AED"/>
    <w:rsid w:val="7ED24865"/>
    <w:rsid w:val="7EDB5E10"/>
    <w:rsid w:val="7EE10F4C"/>
    <w:rsid w:val="7EEA7E01"/>
    <w:rsid w:val="7EF04CF2"/>
    <w:rsid w:val="7EF91C5C"/>
    <w:rsid w:val="7F016EF9"/>
    <w:rsid w:val="7F0215EE"/>
    <w:rsid w:val="7F114A6B"/>
    <w:rsid w:val="7F201A75"/>
    <w:rsid w:val="7F3217A8"/>
    <w:rsid w:val="7F4C286A"/>
    <w:rsid w:val="7F531E4A"/>
    <w:rsid w:val="7F5931D8"/>
    <w:rsid w:val="7F5B2AAD"/>
    <w:rsid w:val="7F601E71"/>
    <w:rsid w:val="7F631961"/>
    <w:rsid w:val="7F637BB3"/>
    <w:rsid w:val="7F7973D7"/>
    <w:rsid w:val="7F8A3392"/>
    <w:rsid w:val="7F8F09A8"/>
    <w:rsid w:val="7F9E0BEB"/>
    <w:rsid w:val="7FA06711"/>
    <w:rsid w:val="7FA44F80"/>
    <w:rsid w:val="7FA60E27"/>
    <w:rsid w:val="7FA93818"/>
    <w:rsid w:val="7FA97CBC"/>
    <w:rsid w:val="7FB36445"/>
    <w:rsid w:val="7FB56661"/>
    <w:rsid w:val="7FB64187"/>
    <w:rsid w:val="7FBA5A25"/>
    <w:rsid w:val="7FC00B62"/>
    <w:rsid w:val="7FC468A4"/>
    <w:rsid w:val="7FCE14D1"/>
    <w:rsid w:val="7FCF6FF7"/>
    <w:rsid w:val="7FD10FC1"/>
    <w:rsid w:val="7FD14B1D"/>
    <w:rsid w:val="7FD34D39"/>
    <w:rsid w:val="7FD36AE7"/>
    <w:rsid w:val="7FD665D7"/>
    <w:rsid w:val="7FDA60C7"/>
    <w:rsid w:val="7FEB2EEA"/>
    <w:rsid w:val="7FFA4074"/>
    <w:rsid w:val="7FFF78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Calibri" w:hAnsi="Calibri" w:eastAsia="宋体" w:cs="Times New Roman"/>
      <w:sz w:val="21"/>
      <w:szCs w:val="22"/>
    </w:rPr>
  </w:style>
  <w:style w:type="paragraph" w:styleId="11">
    <w:name w:val="heading 1"/>
    <w:basedOn w:val="1"/>
    <w:next w:val="1"/>
    <w:link w:val="77"/>
    <w:qFormat/>
    <w:uiPriority w:val="9"/>
    <w:pPr>
      <w:keepNext/>
      <w:keepLines/>
      <w:spacing w:before="480" w:after="200"/>
      <w:outlineLvl w:val="0"/>
    </w:pPr>
    <w:rPr>
      <w:rFonts w:ascii="Arial" w:hAnsi="Arial" w:eastAsia="Arial" w:cs="Arial"/>
      <w:sz w:val="40"/>
      <w:szCs w:val="40"/>
    </w:rPr>
  </w:style>
  <w:style w:type="paragraph" w:styleId="12">
    <w:name w:val="heading 2"/>
    <w:basedOn w:val="1"/>
    <w:next w:val="1"/>
    <w:link w:val="78"/>
    <w:unhideWhenUsed/>
    <w:qFormat/>
    <w:uiPriority w:val="9"/>
    <w:pPr>
      <w:keepNext/>
      <w:keepLines/>
      <w:spacing w:before="360" w:after="200"/>
      <w:outlineLvl w:val="1"/>
    </w:pPr>
    <w:rPr>
      <w:rFonts w:ascii="Arial" w:hAnsi="Arial" w:eastAsia="Arial" w:cs="Arial"/>
      <w:sz w:val="34"/>
    </w:rPr>
  </w:style>
  <w:style w:type="paragraph" w:styleId="13">
    <w:name w:val="heading 3"/>
    <w:basedOn w:val="1"/>
    <w:next w:val="1"/>
    <w:link w:val="79"/>
    <w:unhideWhenUsed/>
    <w:qFormat/>
    <w:uiPriority w:val="9"/>
    <w:pPr>
      <w:keepNext/>
      <w:keepLines/>
      <w:spacing w:before="320" w:after="200"/>
      <w:outlineLvl w:val="2"/>
    </w:pPr>
    <w:rPr>
      <w:rFonts w:ascii="Arial" w:hAnsi="Arial" w:eastAsia="Arial" w:cs="Arial"/>
      <w:sz w:val="30"/>
      <w:szCs w:val="30"/>
    </w:rPr>
  </w:style>
  <w:style w:type="paragraph" w:styleId="14">
    <w:name w:val="heading 4"/>
    <w:basedOn w:val="1"/>
    <w:next w:val="1"/>
    <w:link w:val="80"/>
    <w:unhideWhenUsed/>
    <w:qFormat/>
    <w:uiPriority w:val="9"/>
    <w:pPr>
      <w:keepNext/>
      <w:keepLines/>
      <w:spacing w:before="320" w:after="200"/>
      <w:outlineLvl w:val="3"/>
    </w:pPr>
    <w:rPr>
      <w:rFonts w:ascii="Arial" w:hAnsi="Arial" w:eastAsia="Arial" w:cs="Arial"/>
      <w:b/>
      <w:bCs/>
      <w:sz w:val="26"/>
      <w:szCs w:val="26"/>
    </w:rPr>
  </w:style>
  <w:style w:type="paragraph" w:styleId="15">
    <w:name w:val="heading 5"/>
    <w:basedOn w:val="1"/>
    <w:next w:val="1"/>
    <w:link w:val="81"/>
    <w:unhideWhenUsed/>
    <w:qFormat/>
    <w:uiPriority w:val="9"/>
    <w:pPr>
      <w:keepNext/>
      <w:keepLines/>
      <w:spacing w:before="320" w:after="200"/>
      <w:outlineLvl w:val="4"/>
    </w:pPr>
    <w:rPr>
      <w:rFonts w:ascii="Arial" w:hAnsi="Arial" w:eastAsia="Arial" w:cs="Arial"/>
      <w:b/>
      <w:bCs/>
      <w:sz w:val="24"/>
      <w:szCs w:val="24"/>
    </w:rPr>
  </w:style>
  <w:style w:type="paragraph" w:styleId="16">
    <w:name w:val="heading 6"/>
    <w:basedOn w:val="1"/>
    <w:next w:val="1"/>
    <w:link w:val="82"/>
    <w:unhideWhenUsed/>
    <w:qFormat/>
    <w:uiPriority w:val="9"/>
    <w:pPr>
      <w:keepNext/>
      <w:keepLines/>
      <w:spacing w:before="320" w:after="200"/>
      <w:outlineLvl w:val="5"/>
    </w:pPr>
    <w:rPr>
      <w:rFonts w:ascii="Arial" w:hAnsi="Arial" w:eastAsia="Arial" w:cs="Arial"/>
      <w:b/>
      <w:bCs/>
      <w:sz w:val="22"/>
    </w:rPr>
  </w:style>
  <w:style w:type="paragraph" w:styleId="17">
    <w:name w:val="heading 7"/>
    <w:basedOn w:val="1"/>
    <w:next w:val="1"/>
    <w:link w:val="83"/>
    <w:unhideWhenUsed/>
    <w:qFormat/>
    <w:uiPriority w:val="9"/>
    <w:pPr>
      <w:keepNext/>
      <w:keepLines/>
      <w:spacing w:before="320" w:after="200"/>
      <w:outlineLvl w:val="6"/>
    </w:pPr>
    <w:rPr>
      <w:rFonts w:ascii="Arial" w:hAnsi="Arial" w:eastAsia="Arial" w:cs="Arial"/>
      <w:b/>
      <w:bCs/>
      <w:i/>
      <w:iCs/>
      <w:sz w:val="22"/>
    </w:rPr>
  </w:style>
  <w:style w:type="paragraph" w:styleId="18">
    <w:name w:val="heading 8"/>
    <w:basedOn w:val="1"/>
    <w:next w:val="1"/>
    <w:link w:val="84"/>
    <w:unhideWhenUsed/>
    <w:qFormat/>
    <w:uiPriority w:val="9"/>
    <w:pPr>
      <w:keepNext/>
      <w:keepLines/>
      <w:spacing w:before="320" w:after="200"/>
      <w:outlineLvl w:val="7"/>
    </w:pPr>
    <w:rPr>
      <w:rFonts w:ascii="Arial" w:hAnsi="Arial" w:eastAsia="Arial" w:cs="Arial"/>
      <w:i/>
      <w:iCs/>
      <w:sz w:val="22"/>
    </w:rPr>
  </w:style>
  <w:style w:type="paragraph" w:styleId="19">
    <w:name w:val="heading 9"/>
    <w:basedOn w:val="1"/>
    <w:next w:val="1"/>
    <w:link w:val="85"/>
    <w:unhideWhenUsed/>
    <w:qFormat/>
    <w:uiPriority w:val="9"/>
    <w:pPr>
      <w:keepNext/>
      <w:keepLines/>
      <w:spacing w:before="320" w:after="200"/>
      <w:outlineLvl w:val="8"/>
    </w:pPr>
    <w:rPr>
      <w:rFonts w:ascii="Arial" w:hAnsi="Arial" w:eastAsia="Arial" w:cs="Arial"/>
      <w:i/>
      <w:iCs/>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customStyle="1" w:styleId="2">
    <w:name w:val="正文（缩进）"/>
    <w:basedOn w:val="3"/>
    <w:next w:val="4"/>
    <w:qFormat/>
    <w:uiPriority w:val="99"/>
    <w:pPr>
      <w:ind w:firstLine="480"/>
    </w:pPr>
  </w:style>
  <w:style w:type="paragraph" w:customStyle="1" w:styleId="3">
    <w:name w:val="正文_2_0"/>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
    <w:name w:val="Char Char Char Char Char Char Char Char Char"/>
    <w:basedOn w:val="1"/>
    <w:next w:val="5"/>
    <w:qFormat/>
    <w:uiPriority w:val="0"/>
    <w:pPr>
      <w:ind w:left="360" w:firstLine="5784"/>
    </w:pPr>
  </w:style>
  <w:style w:type="paragraph" w:customStyle="1" w:styleId="5">
    <w:name w:val="正文文本 21"/>
    <w:basedOn w:val="1"/>
    <w:next w:val="6"/>
    <w:link w:val="287"/>
    <w:qFormat/>
    <w:uiPriority w:val="0"/>
    <w:pPr>
      <w:widowControl/>
      <w:jc w:val="center"/>
    </w:pPr>
    <w:rPr>
      <w:rFonts w:ascii="楷体_GB2312" w:hAnsi="Times New Roman" w:eastAsia="楷体_GB2312"/>
      <w:sz w:val="28"/>
      <w:szCs w:val="28"/>
    </w:rPr>
  </w:style>
  <w:style w:type="paragraph" w:customStyle="1" w:styleId="6">
    <w:name w:val="默认段落字体 Para Char Char Char Char Char Char Char"/>
    <w:basedOn w:val="1"/>
    <w:next w:val="7"/>
    <w:qFormat/>
    <w:uiPriority w:val="0"/>
    <w:pPr>
      <w:ind w:firstLine="5632"/>
    </w:pPr>
  </w:style>
  <w:style w:type="paragraph" w:customStyle="1" w:styleId="7">
    <w:name w:val="样式 首行缩进:  2 字符"/>
    <w:basedOn w:val="1"/>
    <w:next w:val="8"/>
    <w:qFormat/>
    <w:uiPriority w:val="0"/>
    <w:pPr>
      <w:spacing w:line="360" w:lineRule="auto"/>
      <w:ind w:left="480" w:firstLine="5856"/>
    </w:pPr>
  </w:style>
  <w:style w:type="paragraph" w:customStyle="1" w:styleId="8">
    <w:name w:val="样式 段后: 0.25 行"/>
    <w:basedOn w:val="1"/>
    <w:next w:val="9"/>
    <w:qFormat/>
    <w:uiPriority w:val="0"/>
    <w:pPr>
      <w:widowControl/>
      <w:spacing w:line="300" w:lineRule="auto"/>
      <w:ind w:left="420" w:firstLine="5796"/>
    </w:pPr>
  </w:style>
  <w:style w:type="paragraph" w:customStyle="1" w:styleId="9">
    <w:name w:val="正文 New New New New New New New New New New New New New New"/>
    <w:next w:val="10"/>
    <w:qFormat/>
    <w:uiPriority w:val="0"/>
    <w:pPr>
      <w:widowControl w:val="0"/>
      <w:ind w:firstLine="2048"/>
      <w:jc w:val="both"/>
    </w:pPr>
    <w:rPr>
      <w:rFonts w:ascii="Times New Roman" w:hAnsi="Times New Roman" w:eastAsia="宋体" w:cs="Times New Roman"/>
      <w:lang w:val="en-US" w:eastAsia="zh-CN" w:bidi="ar-SA"/>
    </w:rPr>
  </w:style>
  <w:style w:type="paragraph" w:styleId="10">
    <w:name w:val="toc 9"/>
    <w:basedOn w:val="1"/>
    <w:next w:val="1"/>
    <w:unhideWhenUsed/>
    <w:qFormat/>
    <w:uiPriority w:val="39"/>
    <w:pPr>
      <w:spacing w:after="57"/>
      <w:ind w:left="2268"/>
    </w:pPr>
  </w:style>
  <w:style w:type="paragraph" w:styleId="20">
    <w:name w:val="toc 7"/>
    <w:basedOn w:val="1"/>
    <w:next w:val="1"/>
    <w:unhideWhenUsed/>
    <w:qFormat/>
    <w:uiPriority w:val="39"/>
    <w:pPr>
      <w:spacing w:after="57"/>
      <w:ind w:left="1701"/>
    </w:pPr>
  </w:style>
  <w:style w:type="paragraph" w:styleId="21">
    <w:name w:val="caption"/>
    <w:basedOn w:val="1"/>
    <w:next w:val="1"/>
    <w:semiHidden/>
    <w:unhideWhenUsed/>
    <w:qFormat/>
    <w:uiPriority w:val="35"/>
    <w:pPr>
      <w:spacing w:line="276" w:lineRule="auto"/>
    </w:pPr>
    <w:rPr>
      <w:b/>
      <w:bCs/>
      <w:color w:val="4F81BD"/>
      <w:sz w:val="18"/>
      <w:szCs w:val="18"/>
    </w:rPr>
  </w:style>
  <w:style w:type="paragraph" w:styleId="22">
    <w:name w:val="annotation text"/>
    <w:basedOn w:val="1"/>
    <w:link w:val="340"/>
    <w:semiHidden/>
    <w:unhideWhenUsed/>
    <w:qFormat/>
    <w:uiPriority w:val="99"/>
    <w:pPr>
      <w:jc w:val="left"/>
    </w:pPr>
  </w:style>
  <w:style w:type="paragraph" w:styleId="23">
    <w:name w:val="Body Text"/>
    <w:basedOn w:val="1"/>
    <w:next w:val="1"/>
    <w:qFormat/>
    <w:uiPriority w:val="1"/>
    <w:rPr>
      <w:rFonts w:hAnsi="Times New Roman" w:cs="宋体"/>
      <w:szCs w:val="21"/>
    </w:rPr>
  </w:style>
  <w:style w:type="paragraph" w:styleId="24">
    <w:name w:val="Body Text Indent"/>
    <w:basedOn w:val="1"/>
    <w:next w:val="25"/>
    <w:unhideWhenUsed/>
    <w:qFormat/>
    <w:uiPriority w:val="99"/>
    <w:pPr>
      <w:spacing w:line="400" w:lineRule="exact"/>
      <w:ind w:firstLine="540"/>
    </w:pPr>
    <w:rPr>
      <w:sz w:val="24"/>
    </w:rPr>
  </w:style>
  <w:style w:type="paragraph" w:styleId="25">
    <w:name w:val="envelope return"/>
    <w:basedOn w:val="1"/>
    <w:unhideWhenUsed/>
    <w:qFormat/>
    <w:uiPriority w:val="99"/>
    <w:rPr>
      <w:rFonts w:ascii="Arial" w:hAnsi="Arial"/>
    </w:rPr>
  </w:style>
  <w:style w:type="paragraph" w:styleId="26">
    <w:name w:val="toc 5"/>
    <w:basedOn w:val="1"/>
    <w:next w:val="1"/>
    <w:unhideWhenUsed/>
    <w:qFormat/>
    <w:uiPriority w:val="39"/>
    <w:pPr>
      <w:spacing w:after="57"/>
      <w:ind w:left="1134"/>
    </w:pPr>
  </w:style>
  <w:style w:type="paragraph" w:styleId="27">
    <w:name w:val="toc 3"/>
    <w:basedOn w:val="1"/>
    <w:next w:val="1"/>
    <w:unhideWhenUsed/>
    <w:qFormat/>
    <w:uiPriority w:val="39"/>
    <w:pPr>
      <w:spacing w:after="57"/>
      <w:ind w:left="567"/>
    </w:pPr>
  </w:style>
  <w:style w:type="paragraph" w:styleId="28">
    <w:name w:val="Plain Text"/>
    <w:basedOn w:val="1"/>
    <w:next w:val="29"/>
    <w:qFormat/>
    <w:uiPriority w:val="0"/>
    <w:rPr>
      <w:rFonts w:ascii="宋体" w:hAnsi="Courier New"/>
      <w:sz w:val="20"/>
      <w:szCs w:val="21"/>
    </w:rPr>
  </w:style>
  <w:style w:type="paragraph" w:customStyle="1" w:styleId="29">
    <w:name w:val="Char Char Char Char Char"/>
    <w:basedOn w:val="1"/>
    <w:next w:val="1"/>
    <w:qFormat/>
    <w:uiPriority w:val="0"/>
    <w:pPr>
      <w:ind w:firstLine="5632"/>
    </w:pPr>
  </w:style>
  <w:style w:type="paragraph" w:styleId="30">
    <w:name w:val="toc 8"/>
    <w:basedOn w:val="1"/>
    <w:next w:val="1"/>
    <w:unhideWhenUsed/>
    <w:qFormat/>
    <w:uiPriority w:val="39"/>
    <w:pPr>
      <w:spacing w:after="57"/>
      <w:ind w:left="1984"/>
    </w:pPr>
  </w:style>
  <w:style w:type="paragraph" w:styleId="31">
    <w:name w:val="endnote text"/>
    <w:basedOn w:val="1"/>
    <w:link w:val="223"/>
    <w:semiHidden/>
    <w:unhideWhenUsed/>
    <w:qFormat/>
    <w:uiPriority w:val="99"/>
    <w:rPr>
      <w:sz w:val="20"/>
    </w:rPr>
  </w:style>
  <w:style w:type="paragraph" w:styleId="32">
    <w:name w:val="Balloon Text"/>
    <w:basedOn w:val="1"/>
    <w:link w:val="342"/>
    <w:semiHidden/>
    <w:unhideWhenUsed/>
    <w:qFormat/>
    <w:uiPriority w:val="99"/>
    <w:rPr>
      <w:sz w:val="18"/>
      <w:szCs w:val="18"/>
    </w:rPr>
  </w:style>
  <w:style w:type="paragraph" w:styleId="33">
    <w:name w:val="footer"/>
    <w:basedOn w:val="1"/>
    <w:link w:val="96"/>
    <w:unhideWhenUsed/>
    <w:qFormat/>
    <w:uiPriority w:val="99"/>
    <w:pPr>
      <w:tabs>
        <w:tab w:val="center" w:pos="7143"/>
        <w:tab w:val="right" w:pos="14287"/>
      </w:tabs>
    </w:pPr>
  </w:style>
  <w:style w:type="paragraph" w:styleId="34">
    <w:name w:val="header"/>
    <w:basedOn w:val="1"/>
    <w:link w:val="94"/>
    <w:unhideWhenUsed/>
    <w:qFormat/>
    <w:uiPriority w:val="99"/>
    <w:pPr>
      <w:tabs>
        <w:tab w:val="center" w:pos="7143"/>
        <w:tab w:val="right" w:pos="14287"/>
      </w:tabs>
    </w:pPr>
  </w:style>
  <w:style w:type="paragraph" w:styleId="35">
    <w:name w:val="toc 1"/>
    <w:basedOn w:val="1"/>
    <w:next w:val="1"/>
    <w:unhideWhenUsed/>
    <w:qFormat/>
    <w:uiPriority w:val="39"/>
    <w:pPr>
      <w:spacing w:after="57"/>
    </w:pPr>
  </w:style>
  <w:style w:type="paragraph" w:styleId="36">
    <w:name w:val="toc 4"/>
    <w:basedOn w:val="1"/>
    <w:next w:val="1"/>
    <w:unhideWhenUsed/>
    <w:qFormat/>
    <w:uiPriority w:val="39"/>
    <w:pPr>
      <w:spacing w:after="57"/>
      <w:ind w:left="850"/>
    </w:pPr>
  </w:style>
  <w:style w:type="paragraph" w:styleId="37">
    <w:name w:val="Subtitle"/>
    <w:basedOn w:val="1"/>
    <w:next w:val="1"/>
    <w:link w:val="89"/>
    <w:qFormat/>
    <w:uiPriority w:val="11"/>
    <w:pPr>
      <w:spacing w:before="200" w:after="200"/>
    </w:pPr>
    <w:rPr>
      <w:sz w:val="24"/>
      <w:szCs w:val="24"/>
    </w:rPr>
  </w:style>
  <w:style w:type="paragraph" w:styleId="38">
    <w:name w:val="footnote text"/>
    <w:basedOn w:val="1"/>
    <w:link w:val="222"/>
    <w:semiHidden/>
    <w:unhideWhenUsed/>
    <w:qFormat/>
    <w:uiPriority w:val="99"/>
    <w:pPr>
      <w:spacing w:after="40"/>
    </w:pPr>
    <w:rPr>
      <w:sz w:val="18"/>
    </w:rPr>
  </w:style>
  <w:style w:type="paragraph" w:styleId="39">
    <w:name w:val="toc 6"/>
    <w:basedOn w:val="1"/>
    <w:next w:val="1"/>
    <w:unhideWhenUsed/>
    <w:qFormat/>
    <w:uiPriority w:val="39"/>
    <w:pPr>
      <w:spacing w:after="57"/>
      <w:ind w:left="1417"/>
    </w:pPr>
  </w:style>
  <w:style w:type="paragraph" w:styleId="40">
    <w:name w:val="table of figures"/>
    <w:basedOn w:val="1"/>
    <w:next w:val="1"/>
    <w:unhideWhenUsed/>
    <w:qFormat/>
    <w:uiPriority w:val="99"/>
  </w:style>
  <w:style w:type="paragraph" w:styleId="41">
    <w:name w:val="toc 2"/>
    <w:basedOn w:val="1"/>
    <w:next w:val="1"/>
    <w:unhideWhenUsed/>
    <w:qFormat/>
    <w:uiPriority w:val="39"/>
    <w:pPr>
      <w:spacing w:after="57"/>
      <w:ind w:left="283"/>
    </w:pPr>
  </w:style>
  <w:style w:type="paragraph" w:styleId="42">
    <w:name w:val="Normal (Web)"/>
    <w:basedOn w:val="1"/>
    <w:semiHidden/>
    <w:unhideWhenUsed/>
    <w:qFormat/>
    <w:uiPriority w:val="9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43">
    <w:name w:val="Title"/>
    <w:basedOn w:val="1"/>
    <w:next w:val="1"/>
    <w:link w:val="88"/>
    <w:qFormat/>
    <w:uiPriority w:val="10"/>
    <w:pPr>
      <w:spacing w:before="300" w:after="200"/>
      <w:contextualSpacing/>
    </w:pPr>
    <w:rPr>
      <w:sz w:val="48"/>
      <w:szCs w:val="48"/>
    </w:rPr>
  </w:style>
  <w:style w:type="paragraph" w:styleId="44">
    <w:name w:val="annotation subject"/>
    <w:basedOn w:val="22"/>
    <w:next w:val="22"/>
    <w:link w:val="341"/>
    <w:semiHidden/>
    <w:unhideWhenUsed/>
    <w:qFormat/>
    <w:uiPriority w:val="99"/>
    <w:rPr>
      <w:b/>
      <w:bCs/>
    </w:rPr>
  </w:style>
  <w:style w:type="paragraph" w:styleId="45">
    <w:name w:val="Body Text First Indent 2"/>
    <w:basedOn w:val="24"/>
    <w:unhideWhenUsed/>
    <w:qFormat/>
    <w:uiPriority w:val="99"/>
    <w:pPr>
      <w:ind w:firstLine="420"/>
    </w:pPr>
    <w:rPr>
      <w:sz w:val="20"/>
    </w:rPr>
  </w:style>
  <w:style w:type="table" w:styleId="4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9">
    <w:name w:val="endnote reference"/>
    <w:semiHidden/>
    <w:unhideWhenUsed/>
    <w:qFormat/>
    <w:uiPriority w:val="99"/>
    <w:rPr>
      <w:vertAlign w:val="superscript"/>
    </w:rPr>
  </w:style>
  <w:style w:type="character" w:styleId="50">
    <w:name w:val="FollowedHyperlink"/>
    <w:basedOn w:val="48"/>
    <w:semiHidden/>
    <w:unhideWhenUsed/>
    <w:qFormat/>
    <w:uiPriority w:val="99"/>
    <w:rPr>
      <w:color w:val="333333"/>
      <w:u w:val="none"/>
    </w:rPr>
  </w:style>
  <w:style w:type="character" w:styleId="51">
    <w:name w:val="Hyperlink"/>
    <w:unhideWhenUsed/>
    <w:qFormat/>
    <w:uiPriority w:val="99"/>
    <w:rPr>
      <w:color w:val="0000FF"/>
      <w:u w:val="single"/>
    </w:rPr>
  </w:style>
  <w:style w:type="character" w:styleId="52">
    <w:name w:val="annotation reference"/>
    <w:semiHidden/>
    <w:unhideWhenUsed/>
    <w:qFormat/>
    <w:uiPriority w:val="99"/>
    <w:rPr>
      <w:sz w:val="21"/>
      <w:szCs w:val="21"/>
    </w:rPr>
  </w:style>
  <w:style w:type="character" w:styleId="53">
    <w:name w:val="footnote reference"/>
    <w:unhideWhenUsed/>
    <w:qFormat/>
    <w:uiPriority w:val="99"/>
    <w:rPr>
      <w:vertAlign w:val="superscript"/>
    </w:rPr>
  </w:style>
  <w:style w:type="paragraph" w:customStyle="1" w:styleId="54">
    <w:name w:val="无间隔1"/>
    <w:qFormat/>
    <w:uiPriority w:val="99"/>
    <w:pPr>
      <w:widowControl w:val="0"/>
      <w:jc w:val="both"/>
    </w:pPr>
    <w:rPr>
      <w:rFonts w:hint="default" w:ascii="Times New Roman" w:hAnsi="Times New Roman" w:eastAsia="宋体" w:cs="Times New Roman"/>
      <w:sz w:val="21"/>
      <w:szCs w:val="21"/>
    </w:rPr>
  </w:style>
  <w:style w:type="paragraph" w:customStyle="1" w:styleId="55">
    <w:name w:val="BodyText1"/>
    <w:basedOn w:val="1"/>
    <w:qFormat/>
    <w:uiPriority w:val="0"/>
    <w:rPr>
      <w:rFonts w:ascii="楷体_GB2312" w:hAnsi="Arial" w:eastAsia="楷体_GB2312"/>
      <w:sz w:val="28"/>
      <w:szCs w:val="28"/>
    </w:rPr>
  </w:style>
  <w:style w:type="paragraph" w:customStyle="1" w:styleId="56">
    <w:name w:val="段"/>
    <w:next w:val="1"/>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lang w:val="en-US" w:eastAsia="zh-CN" w:bidi="ar-SA"/>
    </w:rPr>
  </w:style>
  <w:style w:type="paragraph" w:customStyle="1" w:styleId="57">
    <w:name w:val="TOC Heading"/>
    <w:unhideWhenUsed/>
    <w:qFormat/>
    <w:uiPriority w:val="39"/>
    <w:rPr>
      <w:rFonts w:hint="default" w:ascii="Times New Roman" w:hAnsi="Times New Roman" w:eastAsia="宋体" w:cs="Times New Roman"/>
    </w:rPr>
  </w:style>
  <w:style w:type="paragraph" w:customStyle="1" w:styleId="58">
    <w:name w:val="TOC 标题1"/>
    <w:unhideWhenUsed/>
    <w:qFormat/>
    <w:uiPriority w:val="39"/>
    <w:rPr>
      <w:rFonts w:hint="default" w:ascii="Times New Roman" w:hAnsi="Times New Roman" w:eastAsia="宋体" w:cs="Times New Roman"/>
    </w:rPr>
  </w:style>
  <w:style w:type="character" w:customStyle="1" w:styleId="59">
    <w:name w:val="Heading 1 Char"/>
    <w:qFormat/>
    <w:uiPriority w:val="9"/>
    <w:rPr>
      <w:rFonts w:ascii="Arial" w:hAnsi="Arial" w:eastAsia="Arial" w:cs="Arial"/>
      <w:sz w:val="40"/>
      <w:szCs w:val="40"/>
    </w:rPr>
  </w:style>
  <w:style w:type="character" w:customStyle="1" w:styleId="60">
    <w:name w:val="Heading 2 Char"/>
    <w:qFormat/>
    <w:uiPriority w:val="9"/>
    <w:rPr>
      <w:rFonts w:ascii="Arial" w:hAnsi="Arial" w:eastAsia="Arial" w:cs="Arial"/>
      <w:sz w:val="34"/>
    </w:rPr>
  </w:style>
  <w:style w:type="character" w:customStyle="1" w:styleId="61">
    <w:name w:val="Heading 3 Char"/>
    <w:qFormat/>
    <w:uiPriority w:val="9"/>
    <w:rPr>
      <w:rFonts w:ascii="Arial" w:hAnsi="Arial" w:eastAsia="Arial" w:cs="Arial"/>
      <w:sz w:val="30"/>
      <w:szCs w:val="30"/>
    </w:rPr>
  </w:style>
  <w:style w:type="character" w:customStyle="1" w:styleId="62">
    <w:name w:val="Heading 4 Char"/>
    <w:qFormat/>
    <w:uiPriority w:val="9"/>
    <w:rPr>
      <w:rFonts w:ascii="Arial" w:hAnsi="Arial" w:eastAsia="Arial" w:cs="Arial"/>
      <w:b/>
      <w:bCs/>
      <w:sz w:val="26"/>
      <w:szCs w:val="26"/>
    </w:rPr>
  </w:style>
  <w:style w:type="character" w:customStyle="1" w:styleId="63">
    <w:name w:val="Heading 5 Char"/>
    <w:qFormat/>
    <w:uiPriority w:val="9"/>
    <w:rPr>
      <w:rFonts w:ascii="Arial" w:hAnsi="Arial" w:eastAsia="Arial" w:cs="Arial"/>
      <w:b/>
      <w:bCs/>
      <w:sz w:val="24"/>
      <w:szCs w:val="24"/>
    </w:rPr>
  </w:style>
  <w:style w:type="character" w:customStyle="1" w:styleId="64">
    <w:name w:val="Heading 6 Char"/>
    <w:qFormat/>
    <w:uiPriority w:val="9"/>
    <w:rPr>
      <w:rFonts w:ascii="Arial" w:hAnsi="Arial" w:eastAsia="Arial" w:cs="Arial"/>
      <w:b/>
      <w:bCs/>
      <w:sz w:val="22"/>
      <w:szCs w:val="22"/>
    </w:rPr>
  </w:style>
  <w:style w:type="character" w:customStyle="1" w:styleId="65">
    <w:name w:val="Heading 7 Char"/>
    <w:qFormat/>
    <w:uiPriority w:val="9"/>
    <w:rPr>
      <w:rFonts w:ascii="Arial" w:hAnsi="Arial" w:eastAsia="Arial" w:cs="Arial"/>
      <w:b/>
      <w:bCs/>
      <w:i/>
      <w:iCs/>
      <w:sz w:val="22"/>
      <w:szCs w:val="22"/>
    </w:rPr>
  </w:style>
  <w:style w:type="character" w:customStyle="1" w:styleId="66">
    <w:name w:val="Heading 8 Char"/>
    <w:qFormat/>
    <w:uiPriority w:val="9"/>
    <w:rPr>
      <w:rFonts w:ascii="Arial" w:hAnsi="Arial" w:eastAsia="Arial" w:cs="Arial"/>
      <w:i/>
      <w:iCs/>
      <w:sz w:val="22"/>
      <w:szCs w:val="22"/>
    </w:rPr>
  </w:style>
  <w:style w:type="character" w:customStyle="1" w:styleId="67">
    <w:name w:val="Heading 9 Char"/>
    <w:qFormat/>
    <w:uiPriority w:val="9"/>
    <w:rPr>
      <w:rFonts w:ascii="Arial" w:hAnsi="Arial" w:eastAsia="Arial" w:cs="Arial"/>
      <w:i/>
      <w:iCs/>
      <w:sz w:val="21"/>
      <w:szCs w:val="21"/>
    </w:rPr>
  </w:style>
  <w:style w:type="character" w:customStyle="1" w:styleId="68">
    <w:name w:val="Title Char"/>
    <w:qFormat/>
    <w:uiPriority w:val="10"/>
    <w:rPr>
      <w:sz w:val="48"/>
      <w:szCs w:val="48"/>
    </w:rPr>
  </w:style>
  <w:style w:type="character" w:customStyle="1" w:styleId="69">
    <w:name w:val="Subtitle Char"/>
    <w:qFormat/>
    <w:uiPriority w:val="11"/>
    <w:rPr>
      <w:sz w:val="24"/>
      <w:szCs w:val="24"/>
    </w:rPr>
  </w:style>
  <w:style w:type="character" w:customStyle="1" w:styleId="70">
    <w:name w:val="Quote Char"/>
    <w:qFormat/>
    <w:uiPriority w:val="29"/>
    <w:rPr>
      <w:i/>
    </w:rPr>
  </w:style>
  <w:style w:type="character" w:customStyle="1" w:styleId="71">
    <w:name w:val="Intense Quote Char"/>
    <w:qFormat/>
    <w:uiPriority w:val="30"/>
    <w:rPr>
      <w:i/>
    </w:rPr>
  </w:style>
  <w:style w:type="character" w:customStyle="1" w:styleId="72">
    <w:name w:val="Header Char"/>
    <w:basedOn w:val="48"/>
    <w:qFormat/>
    <w:uiPriority w:val="99"/>
  </w:style>
  <w:style w:type="character" w:customStyle="1" w:styleId="73">
    <w:name w:val="Caption Char"/>
    <w:qFormat/>
    <w:uiPriority w:val="99"/>
  </w:style>
  <w:style w:type="character" w:customStyle="1" w:styleId="74">
    <w:name w:val="Footnote Text Char"/>
    <w:qFormat/>
    <w:uiPriority w:val="99"/>
    <w:rPr>
      <w:sz w:val="18"/>
    </w:rPr>
  </w:style>
  <w:style w:type="character" w:customStyle="1" w:styleId="75">
    <w:name w:val="Endnote Text Char"/>
    <w:qFormat/>
    <w:uiPriority w:val="99"/>
    <w:rPr>
      <w:sz w:val="20"/>
    </w:rPr>
  </w:style>
  <w:style w:type="paragraph" w:customStyle="1" w:styleId="76">
    <w:name w:val="TOC 标题111"/>
    <w:unhideWhenUsed/>
    <w:qFormat/>
    <w:uiPriority w:val="39"/>
    <w:rPr>
      <w:rFonts w:hint="default" w:ascii="Times New Roman" w:hAnsi="Times New Roman" w:eastAsia="宋体" w:cs="Times New Roman"/>
    </w:rPr>
  </w:style>
  <w:style w:type="character" w:customStyle="1" w:styleId="77">
    <w:name w:val="标题 1 Char1"/>
    <w:link w:val="11"/>
    <w:qFormat/>
    <w:uiPriority w:val="9"/>
    <w:rPr>
      <w:rFonts w:ascii="Arial" w:hAnsi="Arial" w:eastAsia="Arial" w:cs="Arial"/>
      <w:sz w:val="40"/>
      <w:szCs w:val="40"/>
    </w:rPr>
  </w:style>
  <w:style w:type="character" w:customStyle="1" w:styleId="78">
    <w:name w:val="标题 2 Char1"/>
    <w:link w:val="12"/>
    <w:qFormat/>
    <w:uiPriority w:val="9"/>
    <w:rPr>
      <w:rFonts w:ascii="Arial" w:hAnsi="Arial" w:eastAsia="Arial" w:cs="Arial"/>
      <w:sz w:val="34"/>
    </w:rPr>
  </w:style>
  <w:style w:type="character" w:customStyle="1" w:styleId="79">
    <w:name w:val="标题 3 Char1"/>
    <w:link w:val="13"/>
    <w:qFormat/>
    <w:uiPriority w:val="9"/>
    <w:rPr>
      <w:rFonts w:ascii="Arial" w:hAnsi="Arial" w:eastAsia="Arial" w:cs="Arial"/>
      <w:sz w:val="30"/>
      <w:szCs w:val="30"/>
    </w:rPr>
  </w:style>
  <w:style w:type="character" w:customStyle="1" w:styleId="80">
    <w:name w:val="标题 4 Char1"/>
    <w:link w:val="14"/>
    <w:qFormat/>
    <w:uiPriority w:val="9"/>
    <w:rPr>
      <w:rFonts w:ascii="Arial" w:hAnsi="Arial" w:eastAsia="Arial" w:cs="Arial"/>
      <w:b/>
      <w:bCs/>
      <w:sz w:val="26"/>
      <w:szCs w:val="26"/>
    </w:rPr>
  </w:style>
  <w:style w:type="character" w:customStyle="1" w:styleId="81">
    <w:name w:val="标题 5 Char1"/>
    <w:link w:val="15"/>
    <w:qFormat/>
    <w:uiPriority w:val="9"/>
    <w:rPr>
      <w:rFonts w:ascii="Arial" w:hAnsi="Arial" w:eastAsia="Arial" w:cs="Arial"/>
      <w:b/>
      <w:bCs/>
      <w:sz w:val="24"/>
      <w:szCs w:val="24"/>
    </w:rPr>
  </w:style>
  <w:style w:type="character" w:customStyle="1" w:styleId="82">
    <w:name w:val="标题 6 Char1"/>
    <w:link w:val="16"/>
    <w:qFormat/>
    <w:uiPriority w:val="9"/>
    <w:rPr>
      <w:rFonts w:ascii="Arial" w:hAnsi="Arial" w:eastAsia="Arial" w:cs="Arial"/>
      <w:b/>
      <w:bCs/>
      <w:sz w:val="22"/>
      <w:szCs w:val="22"/>
    </w:rPr>
  </w:style>
  <w:style w:type="character" w:customStyle="1" w:styleId="83">
    <w:name w:val="标题 7 Char1"/>
    <w:link w:val="17"/>
    <w:qFormat/>
    <w:uiPriority w:val="9"/>
    <w:rPr>
      <w:rFonts w:ascii="Arial" w:hAnsi="Arial" w:eastAsia="Arial" w:cs="Arial"/>
      <w:b/>
      <w:bCs/>
      <w:i/>
      <w:iCs/>
      <w:sz w:val="22"/>
      <w:szCs w:val="22"/>
    </w:rPr>
  </w:style>
  <w:style w:type="character" w:customStyle="1" w:styleId="84">
    <w:name w:val="标题 8 Char1"/>
    <w:link w:val="18"/>
    <w:qFormat/>
    <w:uiPriority w:val="9"/>
    <w:rPr>
      <w:rFonts w:ascii="Arial" w:hAnsi="Arial" w:eastAsia="Arial" w:cs="Arial"/>
      <w:i/>
      <w:iCs/>
      <w:sz w:val="22"/>
      <w:szCs w:val="22"/>
    </w:rPr>
  </w:style>
  <w:style w:type="character" w:customStyle="1" w:styleId="85">
    <w:name w:val="标题 9 Char1"/>
    <w:link w:val="19"/>
    <w:qFormat/>
    <w:uiPriority w:val="9"/>
    <w:rPr>
      <w:rFonts w:ascii="Arial" w:hAnsi="Arial" w:eastAsia="Arial" w:cs="Arial"/>
      <w:i/>
      <w:iCs/>
      <w:sz w:val="21"/>
      <w:szCs w:val="21"/>
    </w:rPr>
  </w:style>
  <w:style w:type="paragraph" w:styleId="86">
    <w:name w:val="List Paragraph"/>
    <w:basedOn w:val="1"/>
    <w:qFormat/>
    <w:uiPriority w:val="34"/>
    <w:pPr>
      <w:ind w:left="720"/>
      <w:contextualSpacing/>
    </w:pPr>
  </w:style>
  <w:style w:type="paragraph" w:styleId="87">
    <w:name w:val="No Spacing"/>
    <w:qFormat/>
    <w:uiPriority w:val="1"/>
    <w:rPr>
      <w:rFonts w:hint="default" w:ascii="Calibri" w:hAnsi="Calibri" w:eastAsia="宋体" w:cs="Times New Roman"/>
    </w:rPr>
  </w:style>
  <w:style w:type="character" w:customStyle="1" w:styleId="88">
    <w:name w:val="标题 Char"/>
    <w:link w:val="43"/>
    <w:qFormat/>
    <w:uiPriority w:val="10"/>
    <w:rPr>
      <w:sz w:val="48"/>
      <w:szCs w:val="48"/>
    </w:rPr>
  </w:style>
  <w:style w:type="character" w:customStyle="1" w:styleId="89">
    <w:name w:val="副标题 Char"/>
    <w:link w:val="37"/>
    <w:qFormat/>
    <w:uiPriority w:val="11"/>
    <w:rPr>
      <w:sz w:val="24"/>
      <w:szCs w:val="24"/>
    </w:rPr>
  </w:style>
  <w:style w:type="paragraph" w:styleId="90">
    <w:name w:val="Quote"/>
    <w:basedOn w:val="1"/>
    <w:next w:val="1"/>
    <w:link w:val="91"/>
    <w:qFormat/>
    <w:uiPriority w:val="29"/>
    <w:pPr>
      <w:ind w:left="720" w:right="720"/>
    </w:pPr>
    <w:rPr>
      <w:i/>
    </w:rPr>
  </w:style>
  <w:style w:type="character" w:customStyle="1" w:styleId="91">
    <w:name w:val="引用 Char"/>
    <w:link w:val="90"/>
    <w:qFormat/>
    <w:uiPriority w:val="29"/>
    <w:rPr>
      <w:i/>
    </w:rPr>
  </w:style>
  <w:style w:type="paragraph" w:styleId="92">
    <w:name w:val="Intense Quote"/>
    <w:basedOn w:val="1"/>
    <w:next w:val="1"/>
    <w:link w:val="9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3">
    <w:name w:val="明显引用 Char"/>
    <w:link w:val="92"/>
    <w:qFormat/>
    <w:uiPriority w:val="30"/>
    <w:rPr>
      <w:i/>
    </w:rPr>
  </w:style>
  <w:style w:type="character" w:customStyle="1" w:styleId="94">
    <w:name w:val="页眉 Char1"/>
    <w:link w:val="34"/>
    <w:qFormat/>
    <w:uiPriority w:val="99"/>
  </w:style>
  <w:style w:type="character" w:customStyle="1" w:styleId="95">
    <w:name w:val="Footer Char"/>
    <w:qFormat/>
    <w:uiPriority w:val="99"/>
  </w:style>
  <w:style w:type="character" w:customStyle="1" w:styleId="96">
    <w:name w:val="页脚 Char1"/>
    <w:link w:val="33"/>
    <w:qFormat/>
    <w:uiPriority w:val="99"/>
  </w:style>
  <w:style w:type="table" w:customStyle="1" w:styleId="97">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98">
    <w:name w:val="Plain Table 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99">
    <w:name w:val="Plain Table 2"/>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00">
    <w:name w:val="Plain Table 3"/>
    <w:qFormat/>
    <w:uiPriority w:val="99"/>
    <w:tblPr>
      <w:tblCellMar>
        <w:top w:w="0" w:type="dxa"/>
        <w:left w:w="0" w:type="dxa"/>
        <w:bottom w:w="0" w:type="dxa"/>
        <w:right w:w="0" w:type="dxa"/>
      </w:tblCellMar>
    </w:tblPr>
  </w:style>
  <w:style w:type="table" w:customStyle="1" w:styleId="101">
    <w:name w:val="Plain Table 4"/>
    <w:qFormat/>
    <w:uiPriority w:val="99"/>
    <w:tblPr>
      <w:tblCellMar>
        <w:top w:w="0" w:type="dxa"/>
        <w:left w:w="0" w:type="dxa"/>
        <w:bottom w:w="0" w:type="dxa"/>
        <w:right w:w="0" w:type="dxa"/>
      </w:tblCellMar>
    </w:tblPr>
  </w:style>
  <w:style w:type="table" w:customStyle="1" w:styleId="102">
    <w:name w:val="Plain Table 5"/>
    <w:qFormat/>
    <w:uiPriority w:val="99"/>
    <w:tblPr>
      <w:tblCellMar>
        <w:top w:w="0" w:type="dxa"/>
        <w:left w:w="0" w:type="dxa"/>
        <w:bottom w:w="0" w:type="dxa"/>
        <w:right w:w="0" w:type="dxa"/>
      </w:tblCellMar>
    </w:tblPr>
  </w:style>
  <w:style w:type="table" w:customStyle="1" w:styleId="103">
    <w:name w:val="Grid Table 1 Light"/>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04">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05">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06">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07">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08">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09">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10">
    <w:name w:val="Grid Table 2"/>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11">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12">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3">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4">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5">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6">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7">
    <w:name w:val="Grid Table 3"/>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18">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19">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0">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1">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2">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3">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4">
    <w:name w:val="Grid Table 4"/>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25">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26">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27">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28">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29">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30">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31">
    <w:name w:val="Grid Table 5 Dark"/>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2">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3">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4">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5">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6">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7">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8">
    <w:name w:val="Grid Table 6 Colorful"/>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39">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40">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1">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42">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43">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44">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45">
    <w:name w:val="Grid Table 7 Colorful"/>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46">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47">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8">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49">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0">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51">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52">
    <w:name w:val="List Table 1 Light"/>
    <w:qFormat/>
    <w:uiPriority w:val="99"/>
    <w:tblPr>
      <w:tblCellMar>
        <w:top w:w="0" w:type="dxa"/>
        <w:left w:w="0" w:type="dxa"/>
        <w:bottom w:w="0" w:type="dxa"/>
        <w:right w:w="0" w:type="dxa"/>
      </w:tblCellMar>
    </w:tblPr>
  </w:style>
  <w:style w:type="table" w:customStyle="1" w:styleId="153">
    <w:name w:val="List Table 1 Light - Accent 1"/>
    <w:qFormat/>
    <w:uiPriority w:val="99"/>
    <w:tblPr>
      <w:tblCellMar>
        <w:top w:w="0" w:type="dxa"/>
        <w:left w:w="0" w:type="dxa"/>
        <w:bottom w:w="0" w:type="dxa"/>
        <w:right w:w="0" w:type="dxa"/>
      </w:tblCellMar>
    </w:tblPr>
  </w:style>
  <w:style w:type="table" w:customStyle="1" w:styleId="154">
    <w:name w:val="List Table 1 Light - Accent 2"/>
    <w:qFormat/>
    <w:uiPriority w:val="99"/>
    <w:tblPr>
      <w:tblCellMar>
        <w:top w:w="0" w:type="dxa"/>
        <w:left w:w="0" w:type="dxa"/>
        <w:bottom w:w="0" w:type="dxa"/>
        <w:right w:w="0" w:type="dxa"/>
      </w:tblCellMar>
    </w:tblPr>
  </w:style>
  <w:style w:type="table" w:customStyle="1" w:styleId="155">
    <w:name w:val="List Table 1 Light - Accent 3"/>
    <w:qFormat/>
    <w:uiPriority w:val="99"/>
    <w:tblPr>
      <w:tblCellMar>
        <w:top w:w="0" w:type="dxa"/>
        <w:left w:w="0" w:type="dxa"/>
        <w:bottom w:w="0" w:type="dxa"/>
        <w:right w:w="0" w:type="dxa"/>
      </w:tblCellMar>
    </w:tblPr>
  </w:style>
  <w:style w:type="table" w:customStyle="1" w:styleId="156">
    <w:name w:val="List Table 1 Light - Accent 4"/>
    <w:qFormat/>
    <w:uiPriority w:val="99"/>
    <w:tblPr>
      <w:tblCellMar>
        <w:top w:w="0" w:type="dxa"/>
        <w:left w:w="0" w:type="dxa"/>
        <w:bottom w:w="0" w:type="dxa"/>
        <w:right w:w="0" w:type="dxa"/>
      </w:tblCellMar>
    </w:tblPr>
  </w:style>
  <w:style w:type="table" w:customStyle="1" w:styleId="157">
    <w:name w:val="List Table 1 Light - Accent 5"/>
    <w:qFormat/>
    <w:uiPriority w:val="99"/>
    <w:tblPr>
      <w:tblCellMar>
        <w:top w:w="0" w:type="dxa"/>
        <w:left w:w="0" w:type="dxa"/>
        <w:bottom w:w="0" w:type="dxa"/>
        <w:right w:w="0" w:type="dxa"/>
      </w:tblCellMar>
    </w:tblPr>
  </w:style>
  <w:style w:type="table" w:customStyle="1" w:styleId="158">
    <w:name w:val="List Table 1 Light - Accent 6"/>
    <w:qFormat/>
    <w:uiPriority w:val="99"/>
    <w:tblPr>
      <w:tblCellMar>
        <w:top w:w="0" w:type="dxa"/>
        <w:left w:w="0" w:type="dxa"/>
        <w:bottom w:w="0" w:type="dxa"/>
        <w:right w:w="0" w:type="dxa"/>
      </w:tblCellMar>
    </w:tblPr>
  </w:style>
  <w:style w:type="table" w:customStyle="1" w:styleId="159">
    <w:name w:val="List Table 2"/>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60">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61">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62">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63">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64">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65">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66">
    <w:name w:val="List Table 3"/>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67">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68">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69">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70">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71">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72">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73">
    <w:name w:val="List Table 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74">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75">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76">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77">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78">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79">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80">
    <w:name w:val="List Table 5 Dark"/>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81">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82">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83">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84">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85">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86">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87">
    <w:name w:val="List Table 6 Colorful"/>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88">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89">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90">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91">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92">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93">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94">
    <w:name w:val="List Table 7 Colorful"/>
    <w:qFormat/>
    <w:uiPriority w:val="99"/>
    <w:tblPr>
      <w:tblBorders>
        <w:right w:val="single" w:color="7F7F7F" w:sz="4" w:space="0"/>
      </w:tblBorders>
      <w:tblCellMar>
        <w:top w:w="0" w:type="dxa"/>
        <w:left w:w="0" w:type="dxa"/>
        <w:bottom w:w="0" w:type="dxa"/>
        <w:right w:w="0" w:type="dxa"/>
      </w:tblCellMar>
    </w:tblPr>
  </w:style>
  <w:style w:type="table" w:customStyle="1" w:styleId="195">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96">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97">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98">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99">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00">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01">
    <w:name w:val="Lined - Accent"/>
    <w:qFormat/>
    <w:uiPriority w:val="99"/>
    <w:rPr>
      <w:color w:val="404040"/>
    </w:rPr>
    <w:tblPr>
      <w:tblCellMar>
        <w:top w:w="0" w:type="dxa"/>
        <w:left w:w="0" w:type="dxa"/>
        <w:bottom w:w="0" w:type="dxa"/>
        <w:right w:w="0" w:type="dxa"/>
      </w:tblCellMar>
    </w:tblPr>
  </w:style>
  <w:style w:type="table" w:customStyle="1" w:styleId="202">
    <w:name w:val="Lined - Accent 1"/>
    <w:qFormat/>
    <w:uiPriority w:val="99"/>
    <w:rPr>
      <w:color w:val="404040"/>
    </w:rPr>
    <w:tblPr>
      <w:tblCellMar>
        <w:top w:w="0" w:type="dxa"/>
        <w:left w:w="0" w:type="dxa"/>
        <w:bottom w:w="0" w:type="dxa"/>
        <w:right w:w="0" w:type="dxa"/>
      </w:tblCellMar>
    </w:tblPr>
  </w:style>
  <w:style w:type="table" w:customStyle="1" w:styleId="203">
    <w:name w:val="Lined - Accent 2"/>
    <w:qFormat/>
    <w:uiPriority w:val="99"/>
    <w:rPr>
      <w:color w:val="404040"/>
    </w:rPr>
    <w:tblPr>
      <w:tblCellMar>
        <w:top w:w="0" w:type="dxa"/>
        <w:left w:w="0" w:type="dxa"/>
        <w:bottom w:w="0" w:type="dxa"/>
        <w:right w:w="0" w:type="dxa"/>
      </w:tblCellMar>
    </w:tblPr>
  </w:style>
  <w:style w:type="table" w:customStyle="1" w:styleId="204">
    <w:name w:val="Lined - Accent 3"/>
    <w:qFormat/>
    <w:uiPriority w:val="99"/>
    <w:rPr>
      <w:color w:val="404040"/>
    </w:rPr>
    <w:tblPr>
      <w:tblCellMar>
        <w:top w:w="0" w:type="dxa"/>
        <w:left w:w="0" w:type="dxa"/>
        <w:bottom w:w="0" w:type="dxa"/>
        <w:right w:w="0" w:type="dxa"/>
      </w:tblCellMar>
    </w:tblPr>
  </w:style>
  <w:style w:type="table" w:customStyle="1" w:styleId="205">
    <w:name w:val="Lined - Accent 4"/>
    <w:qFormat/>
    <w:uiPriority w:val="99"/>
    <w:rPr>
      <w:color w:val="404040"/>
    </w:rPr>
    <w:tblPr>
      <w:tblCellMar>
        <w:top w:w="0" w:type="dxa"/>
        <w:left w:w="0" w:type="dxa"/>
        <w:bottom w:w="0" w:type="dxa"/>
        <w:right w:w="0" w:type="dxa"/>
      </w:tblCellMar>
    </w:tblPr>
  </w:style>
  <w:style w:type="table" w:customStyle="1" w:styleId="206">
    <w:name w:val="Lined - Accent 5"/>
    <w:qFormat/>
    <w:uiPriority w:val="99"/>
    <w:rPr>
      <w:color w:val="404040"/>
    </w:rPr>
    <w:tblPr>
      <w:tblCellMar>
        <w:top w:w="0" w:type="dxa"/>
        <w:left w:w="0" w:type="dxa"/>
        <w:bottom w:w="0" w:type="dxa"/>
        <w:right w:w="0" w:type="dxa"/>
      </w:tblCellMar>
    </w:tblPr>
  </w:style>
  <w:style w:type="table" w:customStyle="1" w:styleId="207">
    <w:name w:val="Lined - Accent 6"/>
    <w:qFormat/>
    <w:uiPriority w:val="99"/>
    <w:rPr>
      <w:color w:val="404040"/>
    </w:rPr>
    <w:tblPr>
      <w:tblCellMar>
        <w:top w:w="0" w:type="dxa"/>
        <w:left w:w="0" w:type="dxa"/>
        <w:bottom w:w="0" w:type="dxa"/>
        <w:right w:w="0" w:type="dxa"/>
      </w:tblCellMar>
    </w:tblPr>
  </w:style>
  <w:style w:type="table" w:customStyle="1" w:styleId="208">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09">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10">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11">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12">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13">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14">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15">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16">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17">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18">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19">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20">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21">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22">
    <w:name w:val="脚注文本 Char"/>
    <w:link w:val="38"/>
    <w:qFormat/>
    <w:uiPriority w:val="99"/>
    <w:rPr>
      <w:sz w:val="18"/>
    </w:rPr>
  </w:style>
  <w:style w:type="character" w:customStyle="1" w:styleId="223">
    <w:name w:val="尾注文本 Char"/>
    <w:link w:val="31"/>
    <w:qFormat/>
    <w:uiPriority w:val="99"/>
    <w:rPr>
      <w:sz w:val="20"/>
    </w:rPr>
  </w:style>
  <w:style w:type="paragraph" w:customStyle="1" w:styleId="224">
    <w:name w:val="TOC 标题11"/>
    <w:unhideWhenUsed/>
    <w:qFormat/>
    <w:uiPriority w:val="39"/>
    <w:rPr>
      <w:rFonts w:hint="default" w:ascii="Calibri" w:hAnsi="Calibri" w:eastAsia="宋体" w:cs="Times New Roman"/>
    </w:rPr>
  </w:style>
  <w:style w:type="paragraph" w:customStyle="1" w:styleId="225">
    <w:name w:val="标题 111"/>
    <w:basedOn w:val="1"/>
    <w:next w:val="1"/>
    <w:link w:val="238"/>
    <w:qFormat/>
    <w:uiPriority w:val="9"/>
    <w:pPr>
      <w:keepNext/>
      <w:jc w:val="center"/>
      <w:outlineLvl w:val="0"/>
    </w:pPr>
    <w:rPr>
      <w:rFonts w:ascii="楷体_GB2312" w:hAnsi="Times New Roman" w:eastAsia="楷体_GB2312"/>
      <w:sz w:val="28"/>
      <w:szCs w:val="28"/>
    </w:rPr>
  </w:style>
  <w:style w:type="paragraph" w:customStyle="1" w:styleId="226">
    <w:name w:val="标题 21"/>
    <w:basedOn w:val="1"/>
    <w:next w:val="227"/>
    <w:link w:val="239"/>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227">
    <w:name w:val="正文缩进1"/>
    <w:basedOn w:val="1"/>
    <w:link w:val="240"/>
    <w:qFormat/>
    <w:uiPriority w:val="0"/>
    <w:pPr>
      <w:ind w:firstLine="420"/>
    </w:pPr>
    <w:rPr>
      <w:szCs w:val="21"/>
    </w:rPr>
  </w:style>
  <w:style w:type="paragraph" w:customStyle="1" w:styleId="228">
    <w:name w:val="标题 31"/>
    <w:basedOn w:val="1"/>
    <w:next w:val="1"/>
    <w:link w:val="237"/>
    <w:qFormat/>
    <w:uiPriority w:val="0"/>
    <w:pPr>
      <w:keepNext/>
      <w:keepLines/>
      <w:spacing w:before="260" w:after="260" w:line="416" w:lineRule="auto"/>
      <w:outlineLvl w:val="2"/>
    </w:pPr>
    <w:rPr>
      <w:rFonts w:ascii="Times New Roman" w:hAnsi="Times New Roman"/>
      <w:b/>
      <w:bCs/>
      <w:sz w:val="32"/>
      <w:szCs w:val="32"/>
    </w:rPr>
  </w:style>
  <w:style w:type="paragraph" w:customStyle="1" w:styleId="229">
    <w:name w:val="标题 41"/>
    <w:basedOn w:val="1"/>
    <w:next w:val="227"/>
    <w:link w:val="241"/>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30">
    <w:name w:val="标题 51"/>
    <w:basedOn w:val="1"/>
    <w:next w:val="227"/>
    <w:link w:val="242"/>
    <w:qFormat/>
    <w:uiPriority w:val="0"/>
    <w:pPr>
      <w:keepNext/>
      <w:outlineLvl w:val="4"/>
    </w:pPr>
    <w:rPr>
      <w:rFonts w:ascii="宋体" w:hAnsi="Times New Roman"/>
      <w:color w:val="000000"/>
      <w:sz w:val="28"/>
      <w:szCs w:val="28"/>
    </w:rPr>
  </w:style>
  <w:style w:type="paragraph" w:customStyle="1" w:styleId="231">
    <w:name w:val="标题 61"/>
    <w:basedOn w:val="1"/>
    <w:next w:val="1"/>
    <w:link w:val="243"/>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232">
    <w:name w:val="标题 71"/>
    <w:basedOn w:val="1"/>
    <w:next w:val="1"/>
    <w:link w:val="244"/>
    <w:qFormat/>
    <w:uiPriority w:val="0"/>
    <w:pPr>
      <w:keepNext/>
      <w:keepLines/>
      <w:numPr>
        <w:ilvl w:val="6"/>
        <w:numId w:val="1"/>
      </w:numPr>
      <w:spacing w:before="240" w:after="64" w:line="320" w:lineRule="auto"/>
      <w:outlineLvl w:val="6"/>
    </w:pPr>
    <w:rPr>
      <w:rFonts w:ascii="Times New Roman" w:hAnsi="Times New Roman"/>
      <w:b/>
      <w:bCs/>
      <w:sz w:val="24"/>
      <w:szCs w:val="24"/>
    </w:rPr>
  </w:style>
  <w:style w:type="paragraph" w:customStyle="1" w:styleId="233">
    <w:name w:val="标题 81"/>
    <w:basedOn w:val="1"/>
    <w:next w:val="1"/>
    <w:link w:val="245"/>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34">
    <w:name w:val="标题 91"/>
    <w:basedOn w:val="1"/>
    <w:next w:val="1"/>
    <w:link w:val="246"/>
    <w:qFormat/>
    <w:uiPriority w:val="0"/>
    <w:pPr>
      <w:keepNext/>
      <w:keepLines/>
      <w:numPr>
        <w:ilvl w:val="8"/>
        <w:numId w:val="1"/>
      </w:numPr>
      <w:spacing w:before="240" w:after="64" w:line="320" w:lineRule="auto"/>
      <w:outlineLvl w:val="8"/>
    </w:pPr>
    <w:rPr>
      <w:rFonts w:ascii="Arial" w:hAnsi="Arial" w:eastAsia="黑体"/>
      <w:szCs w:val="21"/>
    </w:rPr>
  </w:style>
  <w:style w:type="character" w:customStyle="1" w:styleId="235">
    <w:name w:val="默认段落字体1"/>
    <w:unhideWhenUsed/>
    <w:qFormat/>
    <w:uiPriority w:val="1"/>
  </w:style>
  <w:style w:type="table" w:customStyle="1" w:styleId="236">
    <w:name w:val="普通表格1"/>
    <w:unhideWhenUsed/>
    <w:qFormat/>
    <w:uiPriority w:val="99"/>
    <w:tblPr>
      <w:tblCellMar>
        <w:top w:w="0" w:type="dxa"/>
        <w:left w:w="0" w:type="dxa"/>
        <w:bottom w:w="0" w:type="dxa"/>
        <w:right w:w="0" w:type="dxa"/>
      </w:tblCellMar>
    </w:tblPr>
  </w:style>
  <w:style w:type="character" w:customStyle="1" w:styleId="237">
    <w:name w:val="标题 3 Char"/>
    <w:link w:val="228"/>
    <w:qFormat/>
    <w:uiPriority w:val="0"/>
    <w:rPr>
      <w:rFonts w:ascii="Times New Roman" w:hAnsi="Times New Roman" w:eastAsia="宋体" w:cs="Times New Roman"/>
      <w:b/>
      <w:bCs/>
      <w:sz w:val="32"/>
      <w:szCs w:val="32"/>
    </w:rPr>
  </w:style>
  <w:style w:type="character" w:customStyle="1" w:styleId="238">
    <w:name w:val="标题 1 Char"/>
    <w:link w:val="225"/>
    <w:qFormat/>
    <w:uiPriority w:val="0"/>
    <w:rPr>
      <w:rFonts w:ascii="楷体_GB2312" w:hAnsi="Times New Roman" w:eastAsia="楷体_GB2312" w:cs="Times New Roman"/>
      <w:sz w:val="28"/>
      <w:szCs w:val="28"/>
    </w:rPr>
  </w:style>
  <w:style w:type="character" w:customStyle="1" w:styleId="239">
    <w:name w:val="标题 2 Char"/>
    <w:link w:val="226"/>
    <w:qFormat/>
    <w:uiPriority w:val="0"/>
    <w:rPr>
      <w:rFonts w:ascii="Arial" w:hAnsi="Arial" w:eastAsia="幼圆" w:cs="Arial"/>
      <w:b/>
      <w:bCs/>
      <w:sz w:val="44"/>
      <w:szCs w:val="44"/>
    </w:rPr>
  </w:style>
  <w:style w:type="character" w:customStyle="1" w:styleId="240">
    <w:name w:val="正文缩进 Char"/>
    <w:link w:val="227"/>
    <w:qFormat/>
    <w:uiPriority w:val="0"/>
    <w:rPr>
      <w:szCs w:val="21"/>
    </w:rPr>
  </w:style>
  <w:style w:type="character" w:customStyle="1" w:styleId="241">
    <w:name w:val="标题 4 Char"/>
    <w:link w:val="229"/>
    <w:qFormat/>
    <w:uiPriority w:val="0"/>
    <w:rPr>
      <w:rFonts w:ascii="Arial" w:hAnsi="Arial" w:eastAsia="黑体" w:cs="Arial"/>
      <w:b/>
      <w:bCs/>
      <w:sz w:val="28"/>
      <w:szCs w:val="28"/>
    </w:rPr>
  </w:style>
  <w:style w:type="character" w:customStyle="1" w:styleId="242">
    <w:name w:val="标题 5 Char"/>
    <w:link w:val="230"/>
    <w:qFormat/>
    <w:uiPriority w:val="0"/>
    <w:rPr>
      <w:rFonts w:ascii="宋体" w:hAnsi="Times New Roman" w:eastAsia="宋体" w:cs="Times New Roman"/>
      <w:color w:val="000000"/>
      <w:sz w:val="28"/>
      <w:szCs w:val="28"/>
    </w:rPr>
  </w:style>
  <w:style w:type="character" w:customStyle="1" w:styleId="243">
    <w:name w:val="标题 6 Char"/>
    <w:link w:val="231"/>
    <w:qFormat/>
    <w:uiPriority w:val="0"/>
    <w:rPr>
      <w:rFonts w:ascii="Arial" w:hAnsi="Arial" w:eastAsia="黑体" w:cs="Times New Roman"/>
      <w:b/>
      <w:bCs/>
      <w:sz w:val="24"/>
      <w:szCs w:val="24"/>
    </w:rPr>
  </w:style>
  <w:style w:type="character" w:customStyle="1" w:styleId="244">
    <w:name w:val="标题 7 Char"/>
    <w:link w:val="232"/>
    <w:qFormat/>
    <w:uiPriority w:val="0"/>
    <w:rPr>
      <w:rFonts w:ascii="Times New Roman" w:hAnsi="Times New Roman" w:eastAsia="宋体" w:cs="Times New Roman"/>
      <w:b/>
      <w:bCs/>
      <w:sz w:val="24"/>
      <w:szCs w:val="24"/>
    </w:rPr>
  </w:style>
  <w:style w:type="character" w:customStyle="1" w:styleId="245">
    <w:name w:val="标题 8 Char"/>
    <w:link w:val="233"/>
    <w:qFormat/>
    <w:uiPriority w:val="0"/>
    <w:rPr>
      <w:rFonts w:ascii="Arial" w:hAnsi="Arial" w:eastAsia="黑体" w:cs="Times New Roman"/>
      <w:sz w:val="24"/>
      <w:szCs w:val="24"/>
    </w:rPr>
  </w:style>
  <w:style w:type="character" w:customStyle="1" w:styleId="246">
    <w:name w:val="标题 9 Char"/>
    <w:link w:val="234"/>
    <w:qFormat/>
    <w:uiPriority w:val="0"/>
    <w:rPr>
      <w:rFonts w:ascii="Arial" w:hAnsi="Arial" w:eastAsia="黑体" w:cs="Times New Roman"/>
      <w:szCs w:val="21"/>
    </w:rPr>
  </w:style>
  <w:style w:type="paragraph" w:customStyle="1" w:styleId="247">
    <w:name w:val="列表 31"/>
    <w:basedOn w:val="1"/>
    <w:qFormat/>
    <w:uiPriority w:val="0"/>
    <w:pPr>
      <w:ind w:left="100" w:hanging="200"/>
    </w:pPr>
    <w:rPr>
      <w:rFonts w:ascii="Times New Roman" w:hAnsi="Times New Roman"/>
      <w:szCs w:val="21"/>
    </w:rPr>
  </w:style>
  <w:style w:type="paragraph" w:customStyle="1" w:styleId="248">
    <w:name w:val="目录 71"/>
    <w:basedOn w:val="1"/>
    <w:next w:val="1"/>
    <w:semiHidden/>
    <w:qFormat/>
    <w:uiPriority w:val="0"/>
    <w:pPr>
      <w:ind w:left="1260"/>
      <w:jc w:val="left"/>
    </w:pPr>
    <w:rPr>
      <w:rFonts w:ascii="Times New Roman" w:hAnsi="Times New Roman"/>
      <w:szCs w:val="21"/>
    </w:rPr>
  </w:style>
  <w:style w:type="paragraph" w:customStyle="1" w:styleId="249">
    <w:name w:val="文档结构图1"/>
    <w:basedOn w:val="1"/>
    <w:link w:val="250"/>
    <w:semiHidden/>
    <w:qFormat/>
    <w:uiPriority w:val="0"/>
    <w:pPr>
      <w:shd w:val="clear" w:color="auto" w:fill="000080"/>
    </w:pPr>
    <w:rPr>
      <w:rFonts w:ascii="Times New Roman" w:hAnsi="Times New Roman"/>
      <w:szCs w:val="21"/>
    </w:rPr>
  </w:style>
  <w:style w:type="character" w:customStyle="1" w:styleId="250">
    <w:name w:val="文档结构图 Char"/>
    <w:link w:val="249"/>
    <w:semiHidden/>
    <w:qFormat/>
    <w:uiPriority w:val="0"/>
    <w:rPr>
      <w:rFonts w:ascii="Times New Roman" w:hAnsi="Times New Roman" w:eastAsia="宋体" w:cs="Times New Roman"/>
      <w:szCs w:val="21"/>
      <w:shd w:val="clear" w:color="auto" w:fill="000080"/>
    </w:rPr>
  </w:style>
  <w:style w:type="paragraph" w:customStyle="1" w:styleId="251">
    <w:name w:val="批注文字1"/>
    <w:basedOn w:val="1"/>
    <w:link w:val="252"/>
    <w:unhideWhenUsed/>
    <w:qFormat/>
    <w:uiPriority w:val="0"/>
    <w:pPr>
      <w:jc w:val="left"/>
    </w:pPr>
  </w:style>
  <w:style w:type="character" w:customStyle="1" w:styleId="252">
    <w:name w:val="批注文字 Char"/>
    <w:link w:val="251"/>
    <w:semiHidden/>
    <w:qFormat/>
    <w:uiPriority w:val="99"/>
  </w:style>
  <w:style w:type="paragraph" w:customStyle="1" w:styleId="253">
    <w:name w:val="正文文本 31"/>
    <w:basedOn w:val="1"/>
    <w:link w:val="254"/>
    <w:qFormat/>
    <w:uiPriority w:val="0"/>
    <w:rPr>
      <w:rFonts w:ascii="仿宋_GB2312" w:hAnsi="Arial" w:eastAsia="仿宋_GB2312"/>
      <w:sz w:val="32"/>
      <w:szCs w:val="32"/>
    </w:rPr>
  </w:style>
  <w:style w:type="character" w:customStyle="1" w:styleId="254">
    <w:name w:val="正文文本 3 Char"/>
    <w:link w:val="253"/>
    <w:qFormat/>
    <w:uiPriority w:val="0"/>
    <w:rPr>
      <w:rFonts w:ascii="仿宋_GB2312" w:hAnsi="Arial" w:eastAsia="仿宋_GB2312" w:cs="Times New Roman"/>
      <w:sz w:val="32"/>
      <w:szCs w:val="32"/>
    </w:rPr>
  </w:style>
  <w:style w:type="paragraph" w:customStyle="1" w:styleId="255">
    <w:name w:val="正文文本1"/>
    <w:basedOn w:val="1"/>
    <w:next w:val="256"/>
    <w:link w:val="258"/>
    <w:qFormat/>
    <w:uiPriority w:val="0"/>
    <w:rPr>
      <w:rFonts w:ascii="楷体_GB2312" w:hAnsi="Arial" w:eastAsia="楷体_GB2312"/>
      <w:sz w:val="28"/>
      <w:szCs w:val="28"/>
    </w:rPr>
  </w:style>
  <w:style w:type="paragraph" w:customStyle="1" w:styleId="256">
    <w:name w:val="一级条标题"/>
    <w:basedOn w:val="257"/>
    <w:next w:val="56"/>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57">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character" w:customStyle="1" w:styleId="258">
    <w:name w:val="正文文本 Char"/>
    <w:link w:val="255"/>
    <w:qFormat/>
    <w:uiPriority w:val="0"/>
    <w:rPr>
      <w:rFonts w:ascii="楷体_GB2312" w:hAnsi="Arial" w:eastAsia="楷体_GB2312" w:cs="Times New Roman"/>
      <w:sz w:val="28"/>
      <w:szCs w:val="28"/>
    </w:rPr>
  </w:style>
  <w:style w:type="paragraph" w:customStyle="1" w:styleId="259">
    <w:name w:val="正文文本缩进1"/>
    <w:basedOn w:val="1"/>
    <w:next w:val="260"/>
    <w:link w:val="261"/>
    <w:unhideWhenUsed/>
    <w:qFormat/>
    <w:uiPriority w:val="0"/>
    <w:pPr>
      <w:spacing w:after="120"/>
      <w:ind w:left="420"/>
    </w:pPr>
  </w:style>
  <w:style w:type="paragraph" w:customStyle="1" w:styleId="260">
    <w:name w:val="寄信人地址1"/>
    <w:basedOn w:val="1"/>
    <w:qFormat/>
    <w:uiPriority w:val="0"/>
    <w:rPr>
      <w:rFonts w:ascii="Arial" w:hAnsi="Arial" w:eastAsia="宋体" w:cs="Times New Roman"/>
    </w:rPr>
  </w:style>
  <w:style w:type="character" w:customStyle="1" w:styleId="261">
    <w:name w:val="正文文本缩进 Char"/>
    <w:link w:val="259"/>
    <w:semiHidden/>
    <w:qFormat/>
    <w:uiPriority w:val="99"/>
  </w:style>
  <w:style w:type="paragraph" w:customStyle="1" w:styleId="262">
    <w:name w:val="列表 21"/>
    <w:basedOn w:val="1"/>
    <w:qFormat/>
    <w:uiPriority w:val="0"/>
    <w:pPr>
      <w:ind w:left="100" w:hanging="200"/>
    </w:pPr>
    <w:rPr>
      <w:rFonts w:ascii="Times New Roman" w:hAnsi="Times New Roman"/>
      <w:szCs w:val="21"/>
    </w:rPr>
  </w:style>
  <w:style w:type="paragraph" w:customStyle="1" w:styleId="263">
    <w:name w:val="目录 51"/>
    <w:basedOn w:val="1"/>
    <w:next w:val="1"/>
    <w:semiHidden/>
    <w:qFormat/>
    <w:uiPriority w:val="0"/>
    <w:pPr>
      <w:ind w:left="840"/>
      <w:jc w:val="left"/>
    </w:pPr>
    <w:rPr>
      <w:rFonts w:ascii="Times New Roman" w:hAnsi="Times New Roman"/>
      <w:szCs w:val="21"/>
    </w:rPr>
  </w:style>
  <w:style w:type="paragraph" w:customStyle="1" w:styleId="264">
    <w:name w:val="目录 31"/>
    <w:basedOn w:val="1"/>
    <w:next w:val="1"/>
    <w:semiHidden/>
    <w:qFormat/>
    <w:uiPriority w:val="0"/>
    <w:pPr>
      <w:ind w:left="420"/>
      <w:jc w:val="left"/>
    </w:pPr>
    <w:rPr>
      <w:rFonts w:ascii="Times New Roman" w:hAnsi="Times New Roman"/>
      <w:i/>
      <w:iCs/>
      <w:szCs w:val="24"/>
    </w:rPr>
  </w:style>
  <w:style w:type="paragraph" w:customStyle="1" w:styleId="265">
    <w:name w:val="纯文本1"/>
    <w:basedOn w:val="1"/>
    <w:link w:val="266"/>
    <w:qFormat/>
    <w:uiPriority w:val="0"/>
    <w:rPr>
      <w:rFonts w:ascii="宋体" w:hAnsi="Courier New" w:cs="Courier New"/>
      <w:szCs w:val="21"/>
    </w:rPr>
  </w:style>
  <w:style w:type="character" w:customStyle="1" w:styleId="266">
    <w:name w:val="纯文本 Char"/>
    <w:link w:val="265"/>
    <w:qFormat/>
    <w:uiPriority w:val="0"/>
    <w:rPr>
      <w:rFonts w:ascii="宋体" w:hAnsi="Courier New" w:eastAsia="宋体" w:cs="Courier New"/>
      <w:szCs w:val="21"/>
    </w:rPr>
  </w:style>
  <w:style w:type="paragraph" w:customStyle="1" w:styleId="267">
    <w:name w:val="目录 81"/>
    <w:basedOn w:val="1"/>
    <w:next w:val="1"/>
    <w:semiHidden/>
    <w:qFormat/>
    <w:uiPriority w:val="0"/>
    <w:pPr>
      <w:ind w:left="1470"/>
      <w:jc w:val="left"/>
    </w:pPr>
    <w:rPr>
      <w:rFonts w:ascii="Times New Roman" w:hAnsi="Times New Roman"/>
      <w:szCs w:val="21"/>
    </w:rPr>
  </w:style>
  <w:style w:type="paragraph" w:customStyle="1" w:styleId="268">
    <w:name w:val="日期1"/>
    <w:basedOn w:val="1"/>
    <w:next w:val="1"/>
    <w:link w:val="269"/>
    <w:qFormat/>
    <w:uiPriority w:val="0"/>
    <w:rPr>
      <w:rFonts w:ascii="Times New Roman" w:hAnsi="Times New Roman"/>
      <w:sz w:val="24"/>
      <w:szCs w:val="24"/>
    </w:rPr>
  </w:style>
  <w:style w:type="character" w:customStyle="1" w:styleId="269">
    <w:name w:val="日期 Char"/>
    <w:link w:val="268"/>
    <w:qFormat/>
    <w:uiPriority w:val="0"/>
    <w:rPr>
      <w:rFonts w:ascii="Times New Roman" w:hAnsi="Times New Roman" w:eastAsia="宋体" w:cs="Times New Roman"/>
      <w:sz w:val="24"/>
      <w:szCs w:val="24"/>
    </w:rPr>
  </w:style>
  <w:style w:type="paragraph" w:customStyle="1" w:styleId="270">
    <w:name w:val="正文文本缩进 21"/>
    <w:basedOn w:val="1"/>
    <w:link w:val="271"/>
    <w:qFormat/>
    <w:uiPriority w:val="0"/>
    <w:pPr>
      <w:ind w:left="630" w:firstLine="645"/>
    </w:pPr>
    <w:rPr>
      <w:rFonts w:ascii="Arial" w:hAnsi="Arial" w:eastAsia="仿宋_GB2312" w:cs="Arial"/>
      <w:sz w:val="32"/>
      <w:szCs w:val="32"/>
    </w:rPr>
  </w:style>
  <w:style w:type="character" w:customStyle="1" w:styleId="271">
    <w:name w:val="正文文本缩进 2 Char"/>
    <w:link w:val="270"/>
    <w:qFormat/>
    <w:uiPriority w:val="0"/>
    <w:rPr>
      <w:rFonts w:ascii="Arial" w:hAnsi="Arial" w:eastAsia="仿宋_GB2312" w:cs="Arial"/>
      <w:sz w:val="32"/>
      <w:szCs w:val="32"/>
    </w:rPr>
  </w:style>
  <w:style w:type="paragraph" w:customStyle="1" w:styleId="272">
    <w:name w:val="批注框文本1"/>
    <w:basedOn w:val="1"/>
    <w:link w:val="273"/>
    <w:semiHidden/>
    <w:qFormat/>
    <w:uiPriority w:val="0"/>
    <w:rPr>
      <w:rFonts w:ascii="Times New Roman" w:hAnsi="Times New Roman"/>
      <w:sz w:val="18"/>
      <w:szCs w:val="18"/>
    </w:rPr>
  </w:style>
  <w:style w:type="character" w:customStyle="1" w:styleId="273">
    <w:name w:val="批注框文本 Char"/>
    <w:link w:val="272"/>
    <w:semiHidden/>
    <w:qFormat/>
    <w:uiPriority w:val="0"/>
    <w:rPr>
      <w:rFonts w:ascii="Times New Roman" w:hAnsi="Times New Roman" w:eastAsia="宋体" w:cs="Times New Roman"/>
      <w:sz w:val="18"/>
      <w:szCs w:val="18"/>
    </w:rPr>
  </w:style>
  <w:style w:type="paragraph" w:customStyle="1" w:styleId="274">
    <w:name w:val="页脚1"/>
    <w:basedOn w:val="1"/>
    <w:link w:val="275"/>
    <w:qFormat/>
    <w:uiPriority w:val="0"/>
    <w:pPr>
      <w:tabs>
        <w:tab w:val="center" w:pos="4153"/>
        <w:tab w:val="right" w:pos="8306"/>
      </w:tabs>
      <w:jc w:val="left"/>
    </w:pPr>
    <w:rPr>
      <w:rFonts w:ascii="Times New Roman" w:hAnsi="Times New Roman"/>
      <w:sz w:val="18"/>
      <w:szCs w:val="18"/>
    </w:rPr>
  </w:style>
  <w:style w:type="character" w:customStyle="1" w:styleId="275">
    <w:name w:val="页脚 Char"/>
    <w:link w:val="274"/>
    <w:qFormat/>
    <w:uiPriority w:val="0"/>
    <w:rPr>
      <w:rFonts w:ascii="Times New Roman" w:hAnsi="Times New Roman" w:eastAsia="宋体" w:cs="Times New Roman"/>
      <w:sz w:val="18"/>
      <w:szCs w:val="18"/>
    </w:rPr>
  </w:style>
  <w:style w:type="paragraph" w:customStyle="1" w:styleId="276">
    <w:name w:val="页眉1"/>
    <w:basedOn w:val="1"/>
    <w:link w:val="277"/>
    <w:qFormat/>
    <w:uiPriority w:val="0"/>
    <w:pPr>
      <w:pBdr>
        <w:bottom w:val="single" w:color="000000" w:sz="6" w:space="1"/>
      </w:pBdr>
      <w:tabs>
        <w:tab w:val="center" w:pos="4153"/>
        <w:tab w:val="right" w:pos="8306"/>
      </w:tabs>
      <w:jc w:val="center"/>
    </w:pPr>
    <w:rPr>
      <w:rFonts w:ascii="Times New Roman" w:hAnsi="Times New Roman"/>
      <w:sz w:val="18"/>
      <w:szCs w:val="18"/>
    </w:rPr>
  </w:style>
  <w:style w:type="character" w:customStyle="1" w:styleId="277">
    <w:name w:val="页眉 Char"/>
    <w:link w:val="276"/>
    <w:qFormat/>
    <w:uiPriority w:val="0"/>
    <w:rPr>
      <w:rFonts w:ascii="Times New Roman" w:hAnsi="Times New Roman" w:eastAsia="宋体" w:cs="Times New Roman"/>
      <w:sz w:val="18"/>
      <w:szCs w:val="18"/>
    </w:rPr>
  </w:style>
  <w:style w:type="paragraph" w:customStyle="1" w:styleId="278">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79">
    <w:name w:val="目录 41"/>
    <w:basedOn w:val="1"/>
    <w:next w:val="1"/>
    <w:semiHidden/>
    <w:qFormat/>
    <w:uiPriority w:val="0"/>
    <w:pPr>
      <w:ind w:left="630"/>
      <w:jc w:val="left"/>
    </w:pPr>
    <w:rPr>
      <w:rFonts w:ascii="Times New Roman" w:hAnsi="Times New Roman"/>
      <w:szCs w:val="21"/>
    </w:rPr>
  </w:style>
  <w:style w:type="paragraph" w:customStyle="1" w:styleId="280">
    <w:name w:val="列表1"/>
    <w:basedOn w:val="1"/>
    <w:qFormat/>
    <w:uiPriority w:val="0"/>
    <w:pPr>
      <w:ind w:left="200" w:hanging="200"/>
    </w:pPr>
    <w:rPr>
      <w:rFonts w:ascii="Times New Roman" w:hAnsi="Times New Roman"/>
      <w:szCs w:val="21"/>
    </w:rPr>
  </w:style>
  <w:style w:type="paragraph" w:customStyle="1" w:styleId="281">
    <w:name w:val="目录 61"/>
    <w:basedOn w:val="1"/>
    <w:next w:val="1"/>
    <w:semiHidden/>
    <w:qFormat/>
    <w:uiPriority w:val="0"/>
    <w:pPr>
      <w:ind w:left="1050"/>
      <w:jc w:val="left"/>
    </w:pPr>
    <w:rPr>
      <w:rFonts w:ascii="Times New Roman" w:hAnsi="Times New Roman"/>
      <w:szCs w:val="21"/>
    </w:rPr>
  </w:style>
  <w:style w:type="paragraph" w:customStyle="1" w:styleId="282">
    <w:name w:val="正文文本缩进 31"/>
    <w:basedOn w:val="1"/>
    <w:link w:val="283"/>
    <w:qFormat/>
    <w:uiPriority w:val="0"/>
    <w:pPr>
      <w:ind w:left="645" w:firstLine="645"/>
    </w:pPr>
    <w:rPr>
      <w:rFonts w:ascii="Arial" w:hAnsi="Arial" w:eastAsia="仿宋_GB2312" w:cs="Arial"/>
      <w:color w:val="FFFF00"/>
      <w:sz w:val="32"/>
      <w:szCs w:val="32"/>
    </w:rPr>
  </w:style>
  <w:style w:type="character" w:customStyle="1" w:styleId="283">
    <w:name w:val="正文文本缩进 3 Char"/>
    <w:link w:val="282"/>
    <w:qFormat/>
    <w:uiPriority w:val="0"/>
    <w:rPr>
      <w:rFonts w:ascii="Arial" w:hAnsi="Arial" w:eastAsia="仿宋_GB2312" w:cs="Arial"/>
      <w:color w:val="FFFF00"/>
      <w:sz w:val="32"/>
      <w:szCs w:val="32"/>
    </w:rPr>
  </w:style>
  <w:style w:type="paragraph" w:customStyle="1" w:styleId="284">
    <w:name w:val="图表目录1"/>
    <w:basedOn w:val="1"/>
    <w:next w:val="1"/>
    <w:semiHidden/>
    <w:qFormat/>
    <w:uiPriority w:val="0"/>
    <w:pPr>
      <w:ind w:left="840" w:hanging="420"/>
    </w:pPr>
    <w:rPr>
      <w:rFonts w:ascii="Times New Roman" w:hAnsi="Times New Roman"/>
      <w:szCs w:val="21"/>
    </w:rPr>
  </w:style>
  <w:style w:type="paragraph" w:customStyle="1" w:styleId="285">
    <w:name w:val="目录 21"/>
    <w:basedOn w:val="1"/>
    <w:next w:val="1"/>
    <w:semiHidden/>
    <w:qFormat/>
    <w:uiPriority w:val="0"/>
    <w:pPr>
      <w:ind w:left="210"/>
      <w:jc w:val="left"/>
    </w:pPr>
    <w:rPr>
      <w:rFonts w:ascii="Times New Roman" w:hAnsi="Times New Roman"/>
      <w:smallCaps/>
      <w:szCs w:val="24"/>
    </w:rPr>
  </w:style>
  <w:style w:type="paragraph" w:customStyle="1" w:styleId="286">
    <w:name w:val="目录 91"/>
    <w:basedOn w:val="1"/>
    <w:next w:val="1"/>
    <w:semiHidden/>
    <w:qFormat/>
    <w:uiPriority w:val="0"/>
    <w:pPr>
      <w:ind w:left="1680"/>
      <w:jc w:val="left"/>
    </w:pPr>
    <w:rPr>
      <w:rFonts w:ascii="Times New Roman" w:hAnsi="Times New Roman"/>
      <w:szCs w:val="21"/>
    </w:rPr>
  </w:style>
  <w:style w:type="character" w:customStyle="1" w:styleId="287">
    <w:name w:val="正文文本 2 Char"/>
    <w:link w:val="5"/>
    <w:qFormat/>
    <w:uiPriority w:val="0"/>
    <w:rPr>
      <w:rFonts w:ascii="楷体_GB2312" w:hAnsi="Times New Roman" w:eastAsia="楷体_GB2312" w:cs="Times New Roman"/>
      <w:sz w:val="28"/>
      <w:szCs w:val="28"/>
    </w:rPr>
  </w:style>
  <w:style w:type="paragraph" w:customStyle="1" w:styleId="288">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89">
    <w:name w:val="索引 11"/>
    <w:basedOn w:val="1"/>
    <w:next w:val="1"/>
    <w:semiHidden/>
    <w:qFormat/>
    <w:uiPriority w:val="0"/>
    <w:pPr>
      <w:spacing w:line="240" w:lineRule="atLeast"/>
    </w:pPr>
    <w:rPr>
      <w:rFonts w:ascii="Times New Roman" w:hAnsi="Times New Roman"/>
      <w:b/>
      <w:bCs/>
      <w:szCs w:val="21"/>
    </w:rPr>
  </w:style>
  <w:style w:type="paragraph" w:customStyle="1" w:styleId="290">
    <w:name w:val="批注主题1"/>
    <w:basedOn w:val="251"/>
    <w:next w:val="251"/>
    <w:link w:val="291"/>
    <w:semiHidden/>
    <w:qFormat/>
    <w:uiPriority w:val="0"/>
    <w:rPr>
      <w:rFonts w:ascii="Times New Roman" w:hAnsi="Times New Roman"/>
      <w:b/>
      <w:bCs/>
      <w:szCs w:val="21"/>
    </w:rPr>
  </w:style>
  <w:style w:type="character" w:customStyle="1" w:styleId="291">
    <w:name w:val="批注主题 Char"/>
    <w:link w:val="290"/>
    <w:semiHidden/>
    <w:qFormat/>
    <w:uiPriority w:val="0"/>
    <w:rPr>
      <w:rFonts w:ascii="Times New Roman" w:hAnsi="Times New Roman" w:eastAsia="宋体" w:cs="Times New Roman"/>
      <w:b/>
      <w:bCs/>
      <w:szCs w:val="21"/>
    </w:rPr>
  </w:style>
  <w:style w:type="paragraph" w:customStyle="1" w:styleId="292">
    <w:name w:val="正文首行缩进1"/>
    <w:basedOn w:val="1"/>
    <w:link w:val="293"/>
    <w:qFormat/>
    <w:uiPriority w:val="0"/>
    <w:pPr>
      <w:spacing w:line="360" w:lineRule="auto"/>
      <w:ind w:firstLine="200"/>
    </w:pPr>
    <w:rPr>
      <w:rFonts w:ascii="仿宋_GB2312" w:hAnsi="Times New Roman" w:eastAsia="仿宋_GB2312"/>
      <w:sz w:val="30"/>
      <w:szCs w:val="30"/>
    </w:rPr>
  </w:style>
  <w:style w:type="character" w:customStyle="1" w:styleId="293">
    <w:name w:val="正文首行缩进 Char"/>
    <w:link w:val="292"/>
    <w:qFormat/>
    <w:uiPriority w:val="0"/>
    <w:rPr>
      <w:rFonts w:ascii="仿宋_GB2312" w:hAnsi="Times New Roman" w:eastAsia="仿宋_GB2312" w:cs="Times New Roman"/>
      <w:sz w:val="30"/>
      <w:szCs w:val="30"/>
    </w:rPr>
  </w:style>
  <w:style w:type="paragraph" w:customStyle="1" w:styleId="294">
    <w:name w:val="正文首行缩进 21"/>
    <w:basedOn w:val="259"/>
    <w:next w:val="1"/>
    <w:link w:val="295"/>
    <w:qFormat/>
    <w:uiPriority w:val="0"/>
    <w:pPr>
      <w:spacing w:after="0" w:line="360" w:lineRule="auto"/>
      <w:ind w:left="0" w:firstLine="420"/>
    </w:pPr>
    <w:rPr>
      <w:rFonts w:ascii="宋体" w:hAnsi="宋体"/>
      <w:szCs w:val="20"/>
    </w:rPr>
  </w:style>
  <w:style w:type="character" w:customStyle="1" w:styleId="295">
    <w:name w:val="正文首行缩进 2 Char"/>
    <w:link w:val="294"/>
    <w:qFormat/>
    <w:uiPriority w:val="0"/>
    <w:rPr>
      <w:rFonts w:ascii="宋体" w:hAnsi="宋体" w:eastAsia="宋体" w:cs="Times New Roman"/>
      <w:szCs w:val="20"/>
    </w:rPr>
  </w:style>
  <w:style w:type="table" w:customStyle="1" w:styleId="296">
    <w:name w:val="网格型1"/>
    <w:basedOn w:val="236"/>
    <w:qFormat/>
    <w:uiPriority w:val="0"/>
    <w:pPr>
      <w:widowControl w:val="0"/>
      <w:jc w:val="both"/>
    </w:pPr>
    <w:tblPr>
      <w:tblCellMar>
        <w:top w:w="0" w:type="dxa"/>
        <w:left w:w="0" w:type="dxa"/>
        <w:bottom w:w="0" w:type="dxa"/>
        <w:right w:w="0" w:type="dxa"/>
      </w:tblCellMar>
    </w:tblPr>
  </w:style>
  <w:style w:type="character" w:customStyle="1" w:styleId="297">
    <w:name w:val="要点1"/>
    <w:qFormat/>
    <w:uiPriority w:val="0"/>
    <w:rPr>
      <w:b/>
      <w:bCs/>
    </w:rPr>
  </w:style>
  <w:style w:type="character" w:customStyle="1" w:styleId="298">
    <w:name w:val="页码1"/>
    <w:qFormat/>
    <w:uiPriority w:val="0"/>
  </w:style>
  <w:style w:type="character" w:customStyle="1" w:styleId="299">
    <w:name w:val="访问过的超链接1"/>
    <w:qFormat/>
    <w:uiPriority w:val="0"/>
    <w:rPr>
      <w:color w:val="800080"/>
      <w:u w:val="single"/>
    </w:rPr>
  </w:style>
  <w:style w:type="character" w:customStyle="1" w:styleId="300">
    <w:name w:val="超链接1"/>
    <w:qFormat/>
    <w:uiPriority w:val="0"/>
    <w:rPr>
      <w:color w:val="0000FF"/>
      <w:u w:val="single"/>
    </w:rPr>
  </w:style>
  <w:style w:type="character" w:customStyle="1" w:styleId="301">
    <w:name w:val="批注引用1"/>
    <w:semiHidden/>
    <w:qFormat/>
    <w:uiPriority w:val="0"/>
    <w:rPr>
      <w:sz w:val="21"/>
      <w:szCs w:val="21"/>
    </w:rPr>
  </w:style>
  <w:style w:type="character" w:customStyle="1" w:styleId="302">
    <w:name w:val="font5 Char"/>
    <w:qFormat/>
    <w:uiPriority w:val="0"/>
    <w:rPr>
      <w:rFonts w:ascii="宋体" w:hAnsi="宋体" w:eastAsia="宋体"/>
      <w:sz w:val="28"/>
      <w:szCs w:val="28"/>
      <w:lang w:val="en-US" w:eastAsia="zh-CN" w:bidi="ar-SA"/>
    </w:rPr>
  </w:style>
  <w:style w:type="character" w:customStyle="1" w:styleId="303">
    <w:name w:val="二级目录 Char"/>
    <w:link w:val="304"/>
    <w:qFormat/>
    <w:uiPriority w:val="0"/>
    <w:rPr>
      <w:rFonts w:ascii="Calibri" w:hAnsi="Calibri"/>
      <w:b/>
      <w:sz w:val="30"/>
      <w:szCs w:val="28"/>
    </w:rPr>
  </w:style>
  <w:style w:type="paragraph" w:customStyle="1" w:styleId="304">
    <w:name w:val="二级目录"/>
    <w:next w:val="1"/>
    <w:link w:val="303"/>
    <w:qFormat/>
    <w:uiPriority w:val="0"/>
    <w:pPr>
      <w:tabs>
        <w:tab w:val="left" w:pos="907"/>
        <w:tab w:val="left" w:pos="1145"/>
      </w:tabs>
      <w:ind w:left="907" w:hanging="907"/>
      <w:outlineLvl w:val="1"/>
    </w:pPr>
    <w:rPr>
      <w:rFonts w:hint="default" w:ascii="Calibri" w:hAnsi="Calibri" w:eastAsia="宋体" w:cs="Times New Roman"/>
      <w:b/>
      <w:sz w:val="30"/>
      <w:szCs w:val="28"/>
    </w:rPr>
  </w:style>
  <w:style w:type="character" w:customStyle="1" w:styleId="305">
    <w:name w:val="列出段落 Char"/>
    <w:link w:val="306"/>
    <w:qFormat/>
    <w:uiPriority w:val="0"/>
    <w:rPr>
      <w:rFonts w:ascii="Calibri" w:hAnsi="Calibri"/>
      <w:sz w:val="24"/>
      <w:szCs w:val="24"/>
      <w:lang w:eastAsia="en-US" w:bidi="en-US"/>
    </w:rPr>
  </w:style>
  <w:style w:type="paragraph" w:customStyle="1" w:styleId="306">
    <w:name w:val="列出段落1"/>
    <w:basedOn w:val="1"/>
    <w:link w:val="305"/>
    <w:qFormat/>
    <w:uiPriority w:val="0"/>
    <w:pPr>
      <w:widowControl/>
      <w:ind w:left="720"/>
      <w:contextualSpacing/>
      <w:jc w:val="left"/>
    </w:pPr>
    <w:rPr>
      <w:sz w:val="24"/>
      <w:szCs w:val="24"/>
      <w:lang w:eastAsia="en-US" w:bidi="en-US"/>
    </w:rPr>
  </w:style>
  <w:style w:type="paragraph" w:customStyle="1" w:styleId="307">
    <w:name w:val="Body Text(ch)"/>
    <w:basedOn w:val="1"/>
    <w:next w:val="255"/>
    <w:qFormat/>
    <w:uiPriority w:val="0"/>
    <w:pPr>
      <w:spacing w:after="120"/>
    </w:pPr>
    <w:rPr>
      <w:rFonts w:ascii="宋体" w:hAnsi="Arial"/>
      <w:bCs/>
      <w:iCs/>
      <w:szCs w:val="24"/>
    </w:rPr>
  </w:style>
  <w:style w:type="paragraph" w:customStyle="1" w:styleId="308">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0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310">
    <w:name w:val="Char"/>
    <w:basedOn w:val="1"/>
    <w:qFormat/>
    <w:uiPriority w:val="0"/>
    <w:pPr>
      <w:tabs>
        <w:tab w:val="left" w:pos="360"/>
      </w:tabs>
      <w:ind w:firstLine="200"/>
    </w:pPr>
    <w:rPr>
      <w:rFonts w:ascii="Times New Roman" w:hAnsi="Times New Roman"/>
      <w:sz w:val="28"/>
      <w:szCs w:val="30"/>
    </w:rPr>
  </w:style>
  <w:style w:type="paragraph" w:customStyle="1" w:styleId="311">
    <w:name w:val="Char1"/>
    <w:basedOn w:val="249"/>
    <w:qFormat/>
    <w:uiPriority w:val="0"/>
    <w:rPr>
      <w:rFonts w:ascii="Tahoma" w:hAnsi="Tahoma"/>
      <w:sz w:val="24"/>
      <w:szCs w:val="24"/>
    </w:rPr>
  </w:style>
  <w:style w:type="paragraph" w:customStyle="1" w:styleId="312">
    <w:name w:val="普通正文"/>
    <w:basedOn w:val="313"/>
    <w:qFormat/>
    <w:uiPriority w:val="0"/>
    <w:pPr>
      <w:spacing w:before="120" w:after="120" w:line="360" w:lineRule="auto"/>
      <w:ind w:firstLine="480"/>
      <w:jc w:val="left"/>
    </w:pPr>
    <w:rPr>
      <w:rFonts w:ascii="Arial" w:hAnsi="Arial"/>
      <w:sz w:val="24"/>
      <w:szCs w:val="24"/>
    </w:rPr>
  </w:style>
  <w:style w:type="paragraph" w:customStyle="1" w:styleId="313">
    <w:name w:val="正文1"/>
    <w:basedOn w:val="314"/>
    <w:next w:val="255"/>
    <w:qFormat/>
    <w:uiPriority w:val="0"/>
    <w:pPr>
      <w:spacing w:line="360" w:lineRule="atLeast"/>
      <w:jc w:val="left"/>
    </w:pPr>
    <w:rPr>
      <w:rFonts w:ascii="宋体" w:hAnsi="Calibri"/>
      <w:sz w:val="24"/>
      <w:szCs w:val="20"/>
    </w:rPr>
  </w:style>
  <w:style w:type="paragraph" w:customStyle="1" w:styleId="314">
    <w:name w:val="正文11"/>
    <w:next w:val="294"/>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15">
    <w:name w:val="table_lines"/>
    <w:basedOn w:val="1"/>
    <w:qFormat/>
    <w:uiPriority w:val="0"/>
    <w:pPr>
      <w:widowControl/>
      <w:jc w:val="left"/>
    </w:pPr>
    <w:rPr>
      <w:rFonts w:ascii="Times New Roman" w:hAnsi="Times New Roman"/>
      <w:sz w:val="20"/>
      <w:szCs w:val="20"/>
      <w:lang w:val="de-DE" w:eastAsia="de-DE"/>
    </w:rPr>
  </w:style>
  <w:style w:type="paragraph" w:customStyle="1" w:styleId="316">
    <w:name w:val="附录1"/>
    <w:qFormat/>
    <w:uiPriority w:val="0"/>
    <w:pPr>
      <w:numPr>
        <w:ilvl w:val="0"/>
        <w:numId w:val="2"/>
      </w:numPr>
      <w:spacing w:before="240" w:line="600" w:lineRule="atLeast"/>
    </w:pPr>
    <w:rPr>
      <w:rFonts w:hint="default" w:ascii="Times New Roman" w:hAnsi="Times New Roman" w:eastAsia="宋体" w:cs="Times New Roman"/>
      <w:b/>
      <w:i/>
      <w:sz w:val="28"/>
    </w:rPr>
  </w:style>
  <w:style w:type="paragraph" w:customStyle="1" w:styleId="317">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18">
    <w:name w:val="Char Char Char Char"/>
    <w:basedOn w:val="249"/>
    <w:qFormat/>
    <w:uiPriority w:val="0"/>
    <w:pPr>
      <w:spacing w:line="360" w:lineRule="auto"/>
    </w:pPr>
    <w:rPr>
      <w:rFonts w:ascii="Tahoma" w:hAnsi="Tahoma"/>
      <w:sz w:val="24"/>
      <w:szCs w:val="24"/>
    </w:rPr>
  </w:style>
  <w:style w:type="paragraph" w:customStyle="1" w:styleId="319">
    <w:name w:val="列出段落2"/>
    <w:basedOn w:val="1"/>
    <w:qFormat/>
    <w:uiPriority w:val="0"/>
    <w:pPr>
      <w:widowControl/>
      <w:ind w:left="720"/>
      <w:contextualSpacing/>
      <w:jc w:val="left"/>
    </w:pPr>
    <w:rPr>
      <w:sz w:val="24"/>
      <w:szCs w:val="24"/>
      <w:lang w:eastAsia="en-US" w:bidi="en-US"/>
    </w:rPr>
  </w:style>
  <w:style w:type="paragraph" w:customStyle="1" w:styleId="320">
    <w:name w:val="4"/>
    <w:basedOn w:val="1"/>
    <w:next w:val="282"/>
    <w:qFormat/>
    <w:uiPriority w:val="0"/>
    <w:pPr>
      <w:spacing w:line="360" w:lineRule="auto"/>
      <w:ind w:firstLine="420"/>
    </w:pPr>
    <w:rPr>
      <w:rFonts w:ascii="Times New Roman" w:hAnsi="Times New Roman"/>
      <w:color w:val="FF0000"/>
      <w:sz w:val="24"/>
      <w:szCs w:val="24"/>
    </w:rPr>
  </w:style>
  <w:style w:type="paragraph" w:customStyle="1" w:styleId="321">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22">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323">
    <w:name w:val="样式1"/>
    <w:basedOn w:val="1"/>
    <w:qFormat/>
    <w:uiPriority w:val="0"/>
    <w:pPr>
      <w:numPr>
        <w:ilvl w:val="0"/>
        <w:numId w:val="3"/>
      </w:numPr>
    </w:pPr>
    <w:rPr>
      <w:rFonts w:ascii="宋体" w:hAnsi="宋体"/>
      <w:szCs w:val="21"/>
    </w:rPr>
  </w:style>
  <w:style w:type="paragraph" w:customStyle="1" w:styleId="324">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25">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26">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327">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328">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29">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30">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31">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32">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33">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34">
    <w:name w:val="Char Char Char Char1"/>
    <w:basedOn w:val="249"/>
    <w:qFormat/>
    <w:uiPriority w:val="0"/>
    <w:pPr>
      <w:spacing w:line="360" w:lineRule="auto"/>
    </w:pPr>
    <w:rPr>
      <w:rFonts w:ascii="Tahoma" w:hAnsi="Tahoma"/>
      <w:sz w:val="24"/>
      <w:szCs w:val="24"/>
    </w:rPr>
  </w:style>
  <w:style w:type="paragraph" w:customStyle="1" w:styleId="335">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336">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37">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338">
    <w:name w:val="修订1"/>
    <w:semiHidden/>
    <w:qFormat/>
    <w:uiPriority w:val="99"/>
    <w:rPr>
      <w:rFonts w:hint="default" w:ascii="Times New Roman" w:hAnsi="Times New Roman" w:eastAsia="宋体" w:cs="Times New Roman"/>
      <w:sz w:val="21"/>
      <w:szCs w:val="21"/>
    </w:rPr>
  </w:style>
  <w:style w:type="paragraph" w:customStyle="1" w:styleId="339">
    <w:name w:val="标题 11"/>
    <w:basedOn w:val="1"/>
    <w:next w:val="1"/>
    <w:qFormat/>
    <w:uiPriority w:val="9"/>
    <w:pPr>
      <w:keepNext/>
      <w:keepLines/>
      <w:spacing w:before="340" w:after="330" w:line="578" w:lineRule="auto"/>
      <w:outlineLvl w:val="0"/>
    </w:pPr>
    <w:rPr>
      <w:b/>
      <w:bCs/>
      <w:sz w:val="44"/>
      <w:szCs w:val="44"/>
    </w:rPr>
  </w:style>
  <w:style w:type="character" w:customStyle="1" w:styleId="340">
    <w:name w:val="批注文字 Char1"/>
    <w:link w:val="22"/>
    <w:semiHidden/>
    <w:qFormat/>
    <w:uiPriority w:val="99"/>
    <w:rPr>
      <w:rFonts w:ascii="Calibri" w:hAnsi="Calibri"/>
      <w:sz w:val="21"/>
      <w:szCs w:val="22"/>
    </w:rPr>
  </w:style>
  <w:style w:type="character" w:customStyle="1" w:styleId="341">
    <w:name w:val="批注主题 Char1"/>
    <w:link w:val="44"/>
    <w:semiHidden/>
    <w:qFormat/>
    <w:uiPriority w:val="99"/>
    <w:rPr>
      <w:rFonts w:ascii="Calibri" w:hAnsi="Calibri"/>
      <w:b/>
      <w:bCs/>
      <w:sz w:val="21"/>
      <w:szCs w:val="22"/>
    </w:rPr>
  </w:style>
  <w:style w:type="character" w:customStyle="1" w:styleId="342">
    <w:name w:val="批注框文本 Char1"/>
    <w:link w:val="32"/>
    <w:semiHidden/>
    <w:qFormat/>
    <w:uiPriority w:val="99"/>
    <w:rPr>
      <w:rFonts w:ascii="Calibri" w:hAnsi="Calibri"/>
      <w:sz w:val="18"/>
      <w:szCs w:val="18"/>
    </w:rPr>
  </w:style>
  <w:style w:type="paragraph" w:customStyle="1" w:styleId="343">
    <w:name w:val="表"/>
    <w:basedOn w:val="1"/>
    <w:qFormat/>
    <w:uiPriority w:val="0"/>
    <w:pPr>
      <w:spacing w:line="320" w:lineRule="exact"/>
    </w:pPr>
  </w:style>
  <w:style w:type="paragraph" w:customStyle="1" w:styleId="344">
    <w:name w:val="UserStyle_0"/>
    <w:basedOn w:val="1"/>
    <w:qFormat/>
    <w:uiPriority w:val="0"/>
    <w:pPr>
      <w:ind w:firstLine="480"/>
    </w:pPr>
    <w:rPr>
      <w:rFonts w:ascii="Times New Roman" w:hAnsi="Times New Roman"/>
    </w:rPr>
  </w:style>
  <w:style w:type="character" w:customStyle="1" w:styleId="345">
    <w:name w:val="font11"/>
    <w:qFormat/>
    <w:uiPriority w:val="0"/>
    <w:rPr>
      <w:rFonts w:hint="default" w:ascii="Times New Roman" w:hAnsi="Times New Roman" w:eastAsia="宋体" w:cs="Times New Roman"/>
      <w:sz w:val="21"/>
      <w:szCs w:val="21"/>
      <w:lang w:val="en-US" w:eastAsia="zh-CN" w:bidi="ar-SA"/>
    </w:rPr>
  </w:style>
  <w:style w:type="character" w:customStyle="1" w:styleId="346">
    <w:name w:val="hover11"/>
    <w:basedOn w:val="48"/>
    <w:qFormat/>
    <w:uiPriority w:val="0"/>
    <w:rPr>
      <w:color w:val="427FDA"/>
    </w:rPr>
  </w:style>
  <w:style w:type="character" w:customStyle="1" w:styleId="347">
    <w:name w:val="hover12"/>
    <w:basedOn w:val="48"/>
    <w:qFormat/>
    <w:uiPriority w:val="0"/>
    <w:rPr>
      <w:color w:val="5FB878"/>
    </w:rPr>
  </w:style>
  <w:style w:type="character" w:customStyle="1" w:styleId="348">
    <w:name w:val="hover13"/>
    <w:basedOn w:val="48"/>
    <w:qFormat/>
    <w:uiPriority w:val="0"/>
    <w:rPr>
      <w:color w:val="FF0000"/>
    </w:rPr>
  </w:style>
  <w:style w:type="character" w:customStyle="1" w:styleId="349">
    <w:name w:val="hover14"/>
    <w:basedOn w:val="48"/>
    <w:qFormat/>
    <w:uiPriority w:val="0"/>
    <w:rPr>
      <w:color w:val="5FB878"/>
    </w:rPr>
  </w:style>
  <w:style w:type="character" w:customStyle="1" w:styleId="350">
    <w:name w:val="hover15"/>
    <w:basedOn w:val="48"/>
    <w:qFormat/>
    <w:uiPriority w:val="0"/>
    <w:rPr>
      <w:color w:val="FFFFFF"/>
    </w:rPr>
  </w:style>
  <w:style w:type="character" w:customStyle="1" w:styleId="351">
    <w:name w:val="first-child"/>
    <w:basedOn w:val="48"/>
    <w:qFormat/>
    <w:uiPriority w:val="0"/>
  </w:style>
  <w:style w:type="character" w:customStyle="1" w:styleId="352">
    <w:name w:val="layui-this"/>
    <w:basedOn w:val="48"/>
    <w:qFormat/>
    <w:uiPriority w:val="0"/>
    <w:rPr>
      <w:bdr w:val="single" w:color="EEEEEE" w:sz="6" w:space="0"/>
      <w:shd w:val="clear" w:fill="FFFFFF"/>
    </w:rPr>
  </w:style>
  <w:style w:type="character" w:customStyle="1" w:styleId="353">
    <w:name w:val="layui-laypage-curr"/>
    <w:basedOn w:val="48"/>
    <w:qFormat/>
    <w:uiPriority w:val="0"/>
  </w:style>
  <w:style w:type="character" w:customStyle="1" w:styleId="354">
    <w:name w:val="hover16"/>
    <w:basedOn w:val="48"/>
    <w:qFormat/>
    <w:uiPriority w:val="0"/>
    <w:rPr>
      <w:color w:val="5FB878"/>
    </w:rPr>
  </w:style>
  <w:style w:type="character" w:customStyle="1" w:styleId="355">
    <w:name w:val="layui-this4"/>
    <w:basedOn w:val="48"/>
    <w:qFormat/>
    <w:uiPriority w:val="0"/>
    <w:rPr>
      <w:bdr w:val="single" w:color="EEEEEE" w:sz="6" w:space="0"/>
      <w:shd w:val="clear" w:fill="FFFFFF"/>
    </w:rPr>
  </w:style>
  <w:style w:type="paragraph" w:customStyle="1" w:styleId="356">
    <w:name w:val="Table Paragraph"/>
    <w:basedOn w:val="1"/>
    <w:qFormat/>
    <w:uiPriority w:val="1"/>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957C398-2E5B-4F32-BAA6-26B6EDA73DB1}">
  <ds:schemaRefs/>
</ds:datastoreItem>
</file>

<file path=docProps/app.xml><?xml version="1.0" encoding="utf-8"?>
<Properties xmlns="http://schemas.openxmlformats.org/officeDocument/2006/extended-properties" xmlns:vt="http://schemas.openxmlformats.org/officeDocument/2006/docPropsVTypes">
  <Template>Normal.dotm</Template>
  <Pages>51</Pages>
  <Words>25803</Words>
  <Characters>27667</Characters>
  <TotalTime>1</TotalTime>
  <ScaleCrop>false</ScaleCrop>
  <LinksUpToDate>false</LinksUpToDate>
  <CharactersWithSpaces>30062</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2023-10-16T10:18:00Z</dcterms:created>
  <dc:creator>江苏江南</dc:creator>
  <cp:lastModifiedBy>才疏学浅</cp:lastModifiedBy>
  <cp:lastPrinted>2026-09-02T02:55:00Z</cp:lastPrinted>
  <dcterms:modified xsi:type="dcterms:W3CDTF">2026-09-10T03:08:18Z</dcterms:modified>
  <cp:revision>136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1A03E1F34E01432A992B3A83FC837C63</vt:lpwstr>
  </property>
  <property fmtid="{D5CDD505-2E9C-101B-9397-08002B2CF9AE}" pid="4" name="KSOTemplateDocerSaveRecord">
    <vt:lpwstr>eyJoZGlkIjoiZjNiZDI0ZjEzNzZiNjZmZmMxMWU3ZWNkZmMwYjUwMDYiLCJ1c2VySWQiOiIxNzk4MDAzODk5In0=</vt:lpwstr>
  </property>
</Properties>
</file>