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caps/>
          <w:color w:val="000000" w:themeColor="text1"/>
          <w:sz w:val="44"/>
          <w:szCs w:val="44"/>
          <w:highlight w:val="none"/>
          <w14:textFill>
            <w14:solidFill>
              <w14:schemeClr w14:val="tx1"/>
            </w14:solidFill>
          </w14:textFill>
        </w:rPr>
      </w:pPr>
      <w:r>
        <w:rPr>
          <w:rFonts w:hint="eastAsia" w:ascii="宋体"/>
          <w:caps/>
          <w:color w:val="000000" w:themeColor="text1"/>
          <w:sz w:val="44"/>
          <w:szCs w:val="44"/>
          <w:highlight w:val="none"/>
          <w14:textFill>
            <w14:solidFill>
              <w14:schemeClr w14:val="tx1"/>
            </w14:solidFill>
          </w14:textFill>
        </w:rPr>
        <w:t xml:space="preserve"> </w:t>
      </w:r>
      <w:r/>
    </w:p>
    <w:p>
      <w:pPr>
        <w:pStyle w:val="1139"/>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jc w:val="center"/>
        <w:spacing w:line="360" w:lineRule="auto"/>
        <w:widowControl/>
        <w:rPr>
          <w:rFonts w:ascii="宋体"/>
          <w:color w:val="000000" w:themeColor="text1"/>
          <w:sz w:val="32"/>
          <w:szCs w:val="32"/>
          <w:highlight w:val="none"/>
          <w14:textFill>
            <w14:solidFill>
              <w14:schemeClr w14:val="tx1"/>
            </w14:solidFill>
          </w14:textFill>
        </w:rPr>
      </w:pPr>
      <w:r>
        <w:rPr>
          <w:rFonts w:hint="eastAsia" w:ascii="宋体" w:hAnsi="宋体" w:cs="宋体"/>
          <w:b/>
          <w:color w:val="000000" w:themeColor="text1"/>
          <w:sz w:val="44"/>
          <w:szCs w:val="44"/>
          <w:highlight w:val="none"/>
          <w14:textFill>
            <w14:solidFill>
              <w14:schemeClr w14:val="tx1"/>
            </w14:solidFill>
          </w14:textFill>
        </w:rPr>
        <w:t xml:space="preserve">南京医科大学生物医药分中心激光粒度仪采购项目</w:t>
      </w:r>
      <w:r/>
    </w:p>
    <w:p>
      <w:pPr>
        <w:jc w:val="center"/>
        <w:spacing w:line="360" w:lineRule="auto"/>
        <w:widowControl/>
        <w:rPr>
          <w:color w:val="000000" w:themeColor="text1"/>
          <w:highlight w:val="none"/>
          <w14:textFill>
            <w14:solidFill>
              <w14:schemeClr w14:val="tx1"/>
            </w14:solidFill>
          </w14:textFill>
        </w:rPr>
      </w:pPr>
      <w:r/>
      <w:bookmarkStart w:id="47" w:name="_GoBack"/>
      <w:r/>
      <w:bookmarkEnd w:id="47"/>
      <w:r/>
      <w:r/>
    </w:p>
    <w:p>
      <w:pPr>
        <w:jc w:val="center"/>
        <w:spacing w:line="360" w:lineRule="auto"/>
        <w:widowControl/>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360" w:lineRule="auto"/>
        <w:widowControl/>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360" w:lineRule="auto"/>
        <w:widowControl/>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mc:AlternateContent>
          <mc:Choice Requires="wpg">
            <w:drawing>
              <wp:inline xmlns:wp="http://schemas.openxmlformats.org/drawingml/2006/wordprocessingDrawing" distT="0" distB="0" distL="0" distR="0">
                <wp:extent cx="1716405" cy="2131060"/>
                <wp:effectExtent l="0" t="0" r="10795" b="2540"/>
                <wp:docPr id="12" name="图片 2" descr="我的插图-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我的插图-1"/>
                        <pic:cNvPicPr>
                          <a:picLocks noChangeAspect="1"/>
                        </pic:cNvPicPr>
                        <pic:nvPr/>
                      </pic:nvPicPr>
                      <pic:blipFill>
                        <a:blip r:embed="rId19"/>
                        <a:stretch/>
                      </pic:blipFill>
                      <pic:spPr bwMode="auto">
                        <a:xfrm>
                          <a:off x="0" y="0"/>
                          <a:ext cx="1716405" cy="21310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135.2pt;height:167.8pt;mso-wrap-distance-left:0.0pt;mso-wrap-distance-top:0.0pt;mso-wrap-distance-right:0.0pt;mso-wrap-distance-bottom:0.0pt;" stroked="f">
                <v:path textboxrect="0,0,0,0"/>
                <v:imagedata r:id="rId19" o:title=""/>
              </v:shape>
            </w:pict>
          </mc:Fallback>
        </mc:AlternateContent>
      </w:r>
      <w:r/>
    </w:p>
    <w:p>
      <w:pPr>
        <w:jc w:val="center"/>
        <w:spacing w:line="360" w:lineRule="auto"/>
        <w:widowControl/>
        <w:rPr>
          <w:rFonts w:ascii="宋体"/>
          <w:b/>
          <w:color w:val="000000" w:themeColor="text1"/>
          <w:sz w:val="72"/>
          <w:szCs w:val="72"/>
          <w:highlight w:val="none"/>
          <w14:textFill>
            <w14:solidFill>
              <w14:schemeClr w14:val="tx1"/>
            </w14:solidFill>
          </w14:textFill>
        </w:rPr>
      </w:pPr>
      <w:r>
        <w:rPr>
          <w:rFonts w:hint="eastAsia" w:ascii="宋体" w:hAnsi="宋体"/>
          <w:b/>
          <w:color w:val="000000" w:themeColor="text1"/>
          <w:sz w:val="72"/>
          <w:szCs w:val="72"/>
          <w:highlight w:val="none"/>
          <w14:textFill>
            <w14:solidFill>
              <w14:schemeClr w14:val="tx1"/>
            </w14:solidFill>
          </w14:textFill>
        </w:rPr>
        <w:t xml:space="preserve">招标文件</w:t>
      </w:r>
      <w:r/>
    </w:p>
    <w:p>
      <w:pPr>
        <w:jc w:val="center"/>
        <w:spacing w:line="360" w:lineRule="auto"/>
        <w:widowControl/>
        <w:rPr>
          <w:rFonts w:hint="eastAsia" w:ascii="宋体" w:eastAsia="宋体"/>
          <w:b/>
          <w:color w:val="000000" w:themeColor="text1"/>
          <w:sz w:val="36"/>
          <w:szCs w:val="36"/>
          <w:highlight w:val="none"/>
          <w:lang w:eastAsia="zh-CN"/>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 xml:space="preserve">项目编号：</w:t>
      </w:r>
      <w:r>
        <w:rPr>
          <w:rFonts w:hint="eastAsia" w:ascii="宋体" w:hAnsi="宋体"/>
          <w:b/>
          <w:color w:val="000000" w:themeColor="text1"/>
          <w:sz w:val="32"/>
          <w:szCs w:val="32"/>
          <w:highlight w:val="none"/>
          <w:lang w:eastAsia="zh-CN"/>
          <w14:textFill>
            <w14:solidFill>
              <w14:schemeClr w14:val="tx1"/>
            </w14:solidFill>
          </w14:textFill>
        </w:rPr>
        <w:t xml:space="preserve">JSZC-320000-SNZX-G2026-0146</w:t>
      </w:r>
      <w:r/>
    </w:p>
    <w:p>
      <w:pPr>
        <w:pStyle w:val="1139"/>
        <w:rPr>
          <w:rFonts w:ascii="宋体"/>
          <w:b/>
          <w:color w:val="000000" w:themeColor="text1"/>
          <w:sz w:val="36"/>
          <w:szCs w:val="36"/>
          <w:highlight w:val="none"/>
          <w14:textFill>
            <w14:solidFill>
              <w14:schemeClr w14:val="tx1"/>
            </w14:solidFill>
          </w14:textFill>
        </w:rPr>
      </w:pPr>
      <w:r>
        <w:rPr>
          <w:rFonts w:ascii="宋体"/>
          <w:b/>
          <w:color w:val="000000" w:themeColor="text1"/>
          <w:sz w:val="36"/>
          <w:szCs w:val="36"/>
          <w:highlight w:val="none"/>
          <w14:textFill>
            <w14:solidFill>
              <w14:schemeClr w14:val="tx1"/>
            </w14:solidFill>
          </w14:textFill>
        </w:rPr>
      </w:r>
      <w:r/>
    </w:p>
    <w:p>
      <w:pPr>
        <w:pStyle w:val="1139"/>
        <w:rPr>
          <w:rFonts w:ascii="宋体"/>
          <w:b/>
          <w:color w:val="000000" w:themeColor="text1"/>
          <w:sz w:val="36"/>
          <w:szCs w:val="36"/>
          <w:highlight w:val="none"/>
          <w14:textFill>
            <w14:solidFill>
              <w14:schemeClr w14:val="tx1"/>
            </w14:solidFill>
          </w14:textFill>
        </w:rPr>
      </w:pPr>
      <w:r>
        <w:rPr>
          <w:rFonts w:ascii="宋体"/>
          <w:b/>
          <w:color w:val="000000" w:themeColor="text1"/>
          <w:sz w:val="36"/>
          <w:szCs w:val="36"/>
          <w:highlight w:val="none"/>
          <w14:textFill>
            <w14:solidFill>
              <w14:schemeClr w14:val="tx1"/>
            </w14:solidFill>
          </w14:textFill>
        </w:rPr>
      </w:r>
      <w:r/>
    </w:p>
    <w:p>
      <w:pPr>
        <w:pStyle w:val="1139"/>
        <w:rPr>
          <w:rFonts w:ascii="宋体"/>
          <w:b/>
          <w:color w:val="000000" w:themeColor="text1"/>
          <w:sz w:val="36"/>
          <w:szCs w:val="36"/>
          <w:highlight w:val="none"/>
          <w14:textFill>
            <w14:solidFill>
              <w14:schemeClr w14:val="tx1"/>
            </w14:solidFill>
          </w14:textFill>
        </w:rPr>
      </w:pPr>
      <w:r>
        <w:rPr>
          <w:rFonts w:ascii="宋体"/>
          <w:b/>
          <w:color w:val="000000" w:themeColor="text1"/>
          <w:sz w:val="36"/>
          <w:szCs w:val="36"/>
          <w:highlight w:val="none"/>
          <w14:textFill>
            <w14:solidFill>
              <w14:schemeClr w14:val="tx1"/>
            </w14:solidFill>
          </w14:textFill>
        </w:rPr>
      </w:r>
      <w:r/>
    </w:p>
    <w:p>
      <w:pPr>
        <w:pStyle w:val="1139"/>
        <w:rPr>
          <w:rFonts w:ascii="宋体"/>
          <w:b/>
          <w:color w:val="000000" w:themeColor="text1"/>
          <w:sz w:val="36"/>
          <w:szCs w:val="36"/>
          <w:highlight w:val="none"/>
          <w14:textFill>
            <w14:solidFill>
              <w14:schemeClr w14:val="tx1"/>
            </w14:solidFill>
          </w14:textFill>
        </w:rPr>
      </w:pPr>
      <w:r>
        <w:rPr>
          <w:rFonts w:ascii="宋体"/>
          <w:b/>
          <w:color w:val="000000" w:themeColor="text1"/>
          <w:sz w:val="36"/>
          <w:szCs w:val="36"/>
          <w:highlight w:val="none"/>
          <w14:textFill>
            <w14:solidFill>
              <w14:schemeClr w14:val="tx1"/>
            </w14:solidFill>
          </w14:textFill>
        </w:rPr>
      </w:r>
      <w:r/>
    </w:p>
    <w:p>
      <w:pPr>
        <w:ind w:firstLine="904"/>
        <w:spacing w:line="360" w:lineRule="auto"/>
        <w:widowControl/>
        <w:rPr>
          <w:rFonts w:ascii="宋体"/>
          <w:b/>
          <w:color w:val="000000" w:themeColor="text1"/>
          <w:sz w:val="36"/>
          <w:szCs w:val="36"/>
          <w:highlight w:val="none"/>
          <w14:textFill>
            <w14:solidFill>
              <w14:schemeClr w14:val="tx1"/>
            </w14:solidFill>
          </w14:textFill>
        </w:rPr>
      </w:pPr>
      <w:r>
        <w:rPr>
          <w:rFonts w:hint="eastAsia" w:ascii="宋体" w:hAnsi="宋体"/>
          <w:b/>
          <w:color w:val="000000" w:themeColor="text1"/>
          <w:sz w:val="36"/>
          <w:szCs w:val="36"/>
          <w:highlight w:val="none"/>
          <w14:textFill>
            <w14:solidFill>
              <w14:schemeClr w14:val="tx1"/>
            </w14:solidFill>
          </w14:textFill>
        </w:rPr>
        <w:t xml:space="preserve">采购人：南京医科大学</w:t>
      </w:r>
      <w:r/>
    </w:p>
    <w:p>
      <w:pPr>
        <w:ind w:firstLine="904"/>
        <w:spacing w:line="360" w:lineRule="auto"/>
        <w:widowControl/>
        <w:rPr>
          <w:rFonts w:ascii="宋体"/>
          <w:b/>
          <w:color w:val="000000" w:themeColor="text1"/>
          <w:sz w:val="36"/>
          <w:szCs w:val="36"/>
          <w:highlight w:val="none"/>
          <w14:textFill>
            <w14:solidFill>
              <w14:schemeClr w14:val="tx1"/>
            </w14:solidFill>
          </w14:textFill>
        </w:rPr>
      </w:pPr>
      <w:r>
        <w:rPr>
          <w:rFonts w:hint="eastAsia" w:ascii="宋体" w:hAnsi="宋体"/>
          <w:b/>
          <w:color w:val="000000" w:themeColor="text1"/>
          <w:sz w:val="36"/>
          <w:szCs w:val="36"/>
          <w:highlight w:val="none"/>
          <w14:textFill>
            <w14:solidFill>
              <w14:schemeClr w14:val="tx1"/>
            </w14:solidFill>
          </w14:textFill>
        </w:rPr>
        <w:t xml:space="preserve">招标代理机构：南京苏宁工程咨询有限公司</w:t>
      </w:r>
      <w:r/>
    </w:p>
    <w:p>
      <w:pPr>
        <w:ind w:firstLine="904"/>
        <w:spacing w:line="360" w:lineRule="auto"/>
        <w:shd w:val="clear" w:color="auto" w:fill="ffffff"/>
        <w:widowControl/>
        <w:rPr>
          <w:color w:val="000000" w:themeColor="text1"/>
          <w:highlight w:val="none"/>
          <w14:textFill>
            <w14:solidFill>
              <w14:schemeClr w14:val="tx1"/>
            </w14:solidFill>
          </w14:textFill>
        </w:rPr>
      </w:pPr>
      <w:r>
        <w:rPr>
          <w:rFonts w:hint="eastAsia" w:ascii="宋体" w:hAnsi="宋体"/>
          <w:b/>
          <w:color w:val="000000" w:themeColor="text1"/>
          <w:sz w:val="36"/>
          <w:szCs w:val="36"/>
          <w:highlight w:val="none"/>
          <w14:textFill>
            <w14:solidFill>
              <w14:schemeClr w14:val="tx1"/>
            </w14:solidFill>
          </w14:textFill>
        </w:rPr>
        <w:t xml:space="preserve">日期：二〇二六年</w:t>
      </w:r>
      <w:r>
        <w:rPr>
          <w:rFonts w:hint="eastAsia" w:ascii="宋体" w:hAnsi="宋体"/>
          <w:b/>
          <w:color w:val="000000" w:themeColor="text1"/>
          <w:sz w:val="36"/>
          <w:szCs w:val="36"/>
          <w:highlight w:val="none"/>
          <w:lang w:val="en-US" w:eastAsia="zh-CN"/>
          <w14:textFill>
            <w14:solidFill>
              <w14:schemeClr w14:val="tx1"/>
            </w14:solidFill>
          </w14:textFill>
        </w:rPr>
        <w:t xml:space="preserve">九</w:t>
      </w:r>
      <w:r>
        <w:rPr>
          <w:rFonts w:hint="eastAsia" w:ascii="宋体" w:hAnsi="宋体"/>
          <w:b/>
          <w:color w:val="000000" w:themeColor="text1"/>
          <w:sz w:val="36"/>
          <w:szCs w:val="36"/>
          <w:highlight w:val="none"/>
          <w14:textFill>
            <w14:solidFill>
              <w14:schemeClr w14:val="tx1"/>
            </w14:solidFill>
          </w14:textFill>
        </w:rPr>
        <w:t xml:space="preserve">月</w:t>
      </w:r>
      <w:r/>
    </w:p>
    <w:p>
      <w:pPr>
        <w:jc w:val="center"/>
        <w:rPr>
          <w:rFonts w:ascii="黑体" w:eastAsia="黑体"/>
          <w:color w:val="000000" w:themeColor="text1"/>
          <w:sz w:val="36"/>
          <w:szCs w:val="36"/>
          <w:highlight w:val="none"/>
          <w14:textFill>
            <w14:solidFill>
              <w14:schemeClr w14:val="tx1"/>
            </w14:solidFill>
          </w14:textFill>
        </w:rPr>
        <w:sectPr>
          <w:headerReference w:type="default" r:id="rId9"/>
          <w:headerReference w:type="even" r:id="rId10"/>
          <w:headerReference w:type="first" r:id="rId11"/>
          <w:footerReference w:type="default" r:id="rId13"/>
          <w:footerReference w:type="even" r:id="rId14"/>
          <w:footerReference w:type="first" r:id="rId15"/>
          <w:footnotePr/>
          <w:endnotePr>
            <w:numFmt w:val="decimal"/>
          </w:endnotePr>
          <w:type w:val="nextPage"/>
          <w:pgSz w:w="11906" w:h="16838" w:orient="portrait"/>
          <w:pgMar w:top="850" w:right="850" w:bottom="850" w:left="1417" w:header="340" w:footer="567" w:gutter="0"/>
          <w:cols w:num="1" w:sep="0" w:space="720" w:equalWidth="1"/>
          <w:docGrid w:linePitch="360"/>
        </w:sectPr>
      </w:pPr>
      <w:r>
        <w:rPr>
          <w:rFonts w:ascii="黑体" w:eastAsia="黑体"/>
          <w:color w:val="000000" w:themeColor="text1"/>
          <w:sz w:val="36"/>
          <w:szCs w:val="36"/>
          <w:highlight w:val="none"/>
          <w14:textFill>
            <w14:solidFill>
              <w14:schemeClr w14:val="tx1"/>
            </w14:solidFill>
          </w14:textFill>
        </w:rPr>
      </w:r>
      <w:r/>
    </w:p>
    <w:p>
      <w:pPr>
        <w:jc w:val="center"/>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36"/>
          <w:szCs w:val="36"/>
          <w:highlight w:val="none"/>
          <w:lang w:val="zh-CN"/>
          <w14:textFill>
            <w14:solidFill>
              <w14:schemeClr w14:val="tx1"/>
            </w14:solidFill>
          </w14:textFill>
        </w:rPr>
        <w:t xml:space="preserve">第一章 投标邀请</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Bdr>
          <w:top w:val="single" w:color="auto" w:sz="4" w:space="0"/>
          <w:left w:val="single" w:color="auto" w:sz="4" w:space="0"/>
          <w:bottom w:val="single" w:color="auto" w:sz="4" w:space="0"/>
          <w:right w:val="single" w:color="auto" w:sz="4" w:space="0"/>
        </w:pBdr>
      </w:pPr>
      <w:r>
        <w:rPr>
          <w:rFonts w:hint="eastAsia" w:ascii="宋体" w:hAnsi="宋体" w:cs="宋体"/>
          <w:color w:val="000000" w:themeColor="text1"/>
          <w:szCs w:val="21"/>
          <w:highlight w:val="none"/>
          <w14:textFill>
            <w14:solidFill>
              <w14:schemeClr w14:val="tx1"/>
            </w14:solidFill>
          </w14:textFill>
        </w:rPr>
        <w:t xml:space="preserve">项目概况</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Bdr>
          <w:top w:val="single" w:color="auto" w:sz="4" w:space="0"/>
          <w:left w:val="single" w:color="auto" w:sz="4" w:space="0"/>
          <w:bottom w:val="single" w:color="auto" w:sz="4" w:space="0"/>
          <w:right w:val="single" w:color="auto" w:sz="4" w:space="0"/>
        </w:pBdr>
      </w:pPr>
      <w:r>
        <w:rPr>
          <w:rFonts w:hint="eastAsia" w:ascii="宋体" w:hAnsi="宋体" w:cs="宋体"/>
          <w:color w:val="000000" w:themeColor="text1"/>
          <w:szCs w:val="21"/>
          <w:highlight w:val="none"/>
          <w:u w:val="single"/>
          <w14:textFill>
            <w14:solidFill>
              <w14:schemeClr w14:val="tx1"/>
            </w14:solidFill>
          </w14:textFill>
        </w:rPr>
        <w:t xml:space="preserve">南京医科大学生物医药分中心激光粒度仪采购项目</w:t>
      </w:r>
      <w:r>
        <w:rPr>
          <w:rFonts w:hint="eastAsia" w:ascii="宋体" w:hAnsi="宋体" w:cs="宋体"/>
          <w:color w:val="000000" w:themeColor="text1"/>
          <w:szCs w:val="21"/>
          <w:highlight w:val="none"/>
          <w14:textFill>
            <w14:solidFill>
              <w14:schemeClr w14:val="tx1"/>
            </w14:solidFill>
          </w14:textFill>
        </w:rPr>
        <w:t xml:space="preserve">招标项目的潜在投标人应在</w:t>
      </w:r>
      <w:r>
        <w:rPr>
          <w:rFonts w:hint="eastAsia" w:ascii="宋体" w:hAnsi="宋体" w:cs="宋体"/>
          <w:color w:val="000000" w:themeColor="text1"/>
          <w:szCs w:val="21"/>
          <w:highlight w:val="none"/>
          <w:u w:val="single"/>
          <w14:textFill>
            <w14:solidFill>
              <w14:schemeClr w14:val="tx1"/>
            </w14:solidFill>
          </w14:textFill>
        </w:rPr>
        <w:t xml:space="preserve">江苏政府采购网</w:t>
      </w:r>
      <w:r>
        <w:rPr>
          <w:rFonts w:hint="eastAsia" w:ascii="宋体" w:hAnsi="宋体" w:cs="宋体"/>
          <w:color w:val="000000" w:themeColor="text1"/>
          <w:szCs w:val="21"/>
          <w:highlight w:val="none"/>
          <w14:textFill>
            <w14:solidFill>
              <w14:schemeClr w14:val="tx1"/>
            </w14:solidFill>
          </w14:textFill>
        </w:rPr>
        <w:t xml:space="preserve">获取招标文件，并于</w:t>
      </w:r>
      <w:r>
        <w:rPr>
          <w:rFonts w:hint="eastAsia" w:ascii="宋体" w:hAnsi="宋体" w:cs="宋体"/>
          <w:color w:val="000000" w:themeColor="text1"/>
          <w:szCs w:val="21"/>
          <w:highlight w:val="none"/>
          <w:u w:val="single"/>
          <w14:textFill>
            <w14:solidFill>
              <w14:schemeClr w14:val="tx1"/>
            </w14:solidFill>
          </w14:textFill>
        </w:rPr>
        <w:t xml:space="preserve">2026年</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10</w:t>
      </w:r>
      <w:r>
        <w:rPr>
          <w:rFonts w:hint="eastAsia" w:ascii="宋体" w:hAnsi="宋体" w:cs="宋体"/>
          <w:color w:val="000000" w:themeColor="text1"/>
          <w:szCs w:val="21"/>
          <w:highlight w:val="none"/>
          <w:u w:val="single"/>
          <w14:textFill>
            <w14:solidFill>
              <w14:schemeClr w14:val="tx1"/>
            </w14:solidFill>
          </w14:textFill>
        </w:rPr>
        <w:t xml:space="preserve">月</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14</w:t>
      </w:r>
      <w:r>
        <w:rPr>
          <w:rFonts w:hint="eastAsia" w:ascii="宋体" w:hAnsi="宋体" w:cs="宋体"/>
          <w:color w:val="000000" w:themeColor="text1"/>
          <w:szCs w:val="21"/>
          <w:highlight w:val="none"/>
          <w:u w:val="single"/>
          <w14:textFill>
            <w14:solidFill>
              <w14:schemeClr w14:val="tx1"/>
            </w14:solidFill>
          </w14:textFill>
        </w:rPr>
        <w:t xml:space="preserve">日</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9</w:t>
      </w:r>
      <w:r>
        <w:rPr>
          <w:rFonts w:hint="eastAsia" w:ascii="宋体" w:hAnsi="宋体" w:cs="宋体"/>
          <w:color w:val="000000" w:themeColor="text1"/>
          <w:szCs w:val="21"/>
          <w:highlight w:val="none"/>
          <w:u w:val="single"/>
          <w14:textFill>
            <w14:solidFill>
              <w14:schemeClr w14:val="tx1"/>
            </w14:solidFill>
          </w14:textFill>
        </w:rPr>
        <w:t xml:space="preserve">点</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30</w:t>
      </w:r>
      <w:r>
        <w:rPr>
          <w:rFonts w:hint="eastAsia" w:ascii="宋体" w:hAnsi="宋体" w:cs="宋体"/>
          <w:color w:val="000000" w:themeColor="text1"/>
          <w:szCs w:val="21"/>
          <w:highlight w:val="none"/>
          <w:u w:val="single"/>
          <w14:textFill>
            <w14:solidFill>
              <w14:schemeClr w14:val="tx1"/>
            </w14:solidFill>
          </w14:textFill>
        </w:rPr>
        <w:t xml:space="preserve">分</w:t>
      </w:r>
      <w:r>
        <w:rPr>
          <w:rFonts w:hint="eastAsia" w:ascii="宋体" w:hAnsi="宋体" w:cs="宋体"/>
          <w:color w:val="000000" w:themeColor="text1"/>
          <w:szCs w:val="21"/>
          <w:highlight w:val="none"/>
          <w14:textFill>
            <w14:solidFill>
              <w14:schemeClr w14:val="tx1"/>
            </w14:solidFill>
          </w14:textFill>
        </w:rPr>
        <w:t xml:space="preserve">（北京时间）前递交投标文件。</w:t>
      </w:r>
      <w:r/>
    </w:p>
    <w:p>
      <w:pPr>
        <w:jc w:val="left"/>
        <w:spacing w:line="360" w:lineRule="auto"/>
        <w:rPr>
          <w:rFonts w:hint="eastAsia" w:ascii="宋体" w:hAnsi="宋体" w:cs="宋体"/>
          <w:color w:val="000000" w:themeColor="text1"/>
          <w:szCs w:val="21"/>
          <w:highlight w:val="none"/>
          <w14:textFill>
            <w14:solidFill>
              <w14:schemeClr w14:val="tx1"/>
            </w14:solidFill>
          </w14:textFill>
        </w:rPr>
      </w:pPr>
      <w:r/>
      <w:bookmarkStart w:id="0" w:name="_Toc35393621"/>
      <w:r/>
      <w:bookmarkStart w:id="1" w:name="_Toc28359079"/>
      <w:r/>
      <w:bookmarkStart w:id="2" w:name="_Toc28359002"/>
      <w:r/>
      <w:bookmarkStart w:id="3" w:name="_Toc35393790"/>
      <w:r/>
      <w:bookmarkStart w:id="4" w:name="_Hlk24379207"/>
      <w:r>
        <w:rPr>
          <w:rFonts w:hint="eastAsia" w:ascii="宋体" w:hAnsi="宋体" w:cs="宋体"/>
          <w:color w:val="000000" w:themeColor="text1"/>
          <w:szCs w:val="21"/>
          <w:highlight w:val="none"/>
          <w14:textFill>
            <w14:solidFill>
              <w14:schemeClr w14:val="tx1"/>
            </w14:solidFill>
          </w14:textFill>
        </w:rPr>
        <w:t xml:space="preserve">一、项目基本情况</w:t>
      </w:r>
      <w:bookmarkEnd w:id="0"/>
      <w:r/>
      <w:bookmarkEnd w:id="1"/>
      <w:r/>
      <w:bookmarkEnd w:id="2"/>
      <w:r/>
      <w:bookmarkEnd w:id="3"/>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项目编号：</w:t>
      </w:r>
      <w:r>
        <w:rPr>
          <w:rFonts w:hint="eastAsia" w:ascii="宋体" w:hAnsi="宋体" w:cs="宋体"/>
          <w:color w:val="000000" w:themeColor="text1"/>
          <w:szCs w:val="21"/>
          <w:highlight w:val="none"/>
          <w:lang w:eastAsia="zh-CN"/>
          <w14:textFill>
            <w14:solidFill>
              <w14:schemeClr w14:val="tx1"/>
            </w14:solidFill>
          </w14:textFill>
        </w:rPr>
        <w:t xml:space="preserve">JSZC-320000-SNZX-G2026-0146</w:t>
      </w:r>
      <w:r>
        <w:rPr>
          <w:rFonts w:hint="eastAsia" w:ascii="宋体" w:hAnsi="宋体" w:cs="宋体"/>
          <w:color w:val="000000" w:themeColor="text1"/>
          <w:szCs w:val="21"/>
          <w:highlight w:val="none"/>
          <w14:textFill>
            <w14:solidFill>
              <w14:schemeClr w14:val="tx1"/>
            </w14:solidFill>
          </w14:textFill>
        </w:rPr>
        <w:t xml:space="preserve"> </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项目名称</w:t>
      </w:r>
      <w:bookmarkEnd w:id="4"/>
      <w:r>
        <w:rPr>
          <w:rFonts w:hint="eastAsia" w:ascii="宋体" w:hAnsi="宋体" w:cs="宋体"/>
          <w:color w:val="000000" w:themeColor="text1"/>
          <w:szCs w:val="21"/>
          <w:highlight w:val="none"/>
          <w14:textFill>
            <w14:solidFill>
              <w14:schemeClr w14:val="tx1"/>
            </w14:solidFill>
          </w14:textFill>
        </w:rPr>
        <w:t xml:space="preserve">：南京医科大学生物医药分中心激光粒度仪采购项目</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预算金额：100万元</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最高限价：100万元，投标报价超过最高限价的为无效投标。</w:t>
      </w:r>
      <w:r/>
    </w:p>
    <w:p>
      <w:pPr>
        <w:ind w:firstLine="420"/>
        <w:jc w:val="left"/>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采购需求：为满足实验研究需要，拟采购激光粒度仪1台。可在纳米至毫米范围内快速、准确地测定颗粒的粒径分布，支持湿法和干法测量，适用于粉末、悬浮液及乳液等多种样品。在制剂开发与处方研究阶段，可进行原料药与辅料粒径控制；生产过程质量控制阶段，支持原料药、制剂放行检测。具体详见招</w:t>
      </w:r>
      <w:r>
        <w:rPr>
          <w:rFonts w:hint="eastAsia" w:ascii="宋体" w:hAnsi="宋体" w:cs="宋体"/>
          <w:color w:val="000000" w:themeColor="text1"/>
          <w:sz w:val="21"/>
          <w:szCs w:val="21"/>
          <w:highlight w:val="none"/>
          <w14:textFill>
            <w14:solidFill>
              <w14:schemeClr w14:val="tx1"/>
            </w14:solidFill>
          </w14:textFill>
        </w:rPr>
        <w:t xml:space="preserve">标文件。</w:t>
      </w:r>
      <w:r/>
    </w:p>
    <w:p>
      <w:pPr>
        <w:ind w:firstLine="420"/>
        <w:jc w:val="left"/>
        <w:spacing w:line="360" w:lineRule="auto"/>
        <w:rPr>
          <w:rFonts w:hint="eastAsia" w:ascii="宋体" w:hAnsi="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合同履行期限（交货期）：</w:t>
      </w:r>
      <w:bookmarkStart w:id="5" w:name="_Toc35393622"/>
      <w:r/>
      <w:bookmarkStart w:id="6" w:name="_Toc28359003"/>
      <w:r/>
      <w:bookmarkStart w:id="7" w:name="_Toc28359080"/>
      <w:r/>
      <w:bookmarkStart w:id="8" w:name="_Toc35393791"/>
      <w:r>
        <w:rPr>
          <w:rFonts w:hint="eastAsia" w:ascii="宋体" w:hAnsi="宋体"/>
          <w:color w:val="000000" w:themeColor="text1"/>
          <w:sz w:val="21"/>
          <w:szCs w:val="21"/>
          <w:highlight w:val="none"/>
          <w:lang w:val="zh-CN"/>
          <w14:textFill>
            <w14:solidFill>
              <w14:schemeClr w14:val="tx1"/>
            </w14:solidFill>
          </w14:textFill>
        </w:rPr>
        <w:t xml:space="preserve">合同签订生效后，</w:t>
      </w:r>
      <w:r>
        <w:rPr>
          <w:rFonts w:hint="eastAsia" w:ascii="宋体" w:hAnsi="宋体"/>
          <w:color w:val="000000" w:themeColor="text1"/>
          <w:sz w:val="21"/>
          <w:szCs w:val="21"/>
          <w:highlight w:val="none"/>
          <w14:textFill>
            <w14:solidFill>
              <w14:schemeClr w14:val="tx1"/>
            </w14:solidFill>
          </w14:textFill>
        </w:rPr>
        <w:t xml:space="preserve">两</w:t>
      </w:r>
      <w:r>
        <w:rPr>
          <w:rFonts w:hint="eastAsia" w:ascii="宋体" w:hAnsi="宋体"/>
          <w:color w:val="000000" w:themeColor="text1"/>
          <w:sz w:val="21"/>
          <w:szCs w:val="21"/>
          <w:highlight w:val="none"/>
          <w:lang w:val="zh-CN"/>
          <w14:textFill>
            <w14:solidFill>
              <w14:schemeClr w14:val="tx1"/>
            </w14:solidFill>
          </w14:textFill>
        </w:rPr>
        <w:t xml:space="preserve">个月内全部设备、材料运抵现场，并安装、调试结束，验收合格，交付采购方使</w:t>
      </w:r>
      <w:r>
        <w:rPr>
          <w:rFonts w:hint="eastAsia" w:ascii="宋体" w:hAnsi="宋体"/>
          <w:color w:val="000000" w:themeColor="text1"/>
          <w:sz w:val="24"/>
          <w:highlight w:val="none"/>
          <w:lang w:val="zh-CN"/>
          <w14:textFill>
            <w14:solidFill>
              <w14:schemeClr w14:val="tx1"/>
            </w14:solidFill>
          </w14:textFill>
        </w:rPr>
        <w:t xml:space="preserve">用。</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本项目不接受联合体投标。</w:t>
      </w:r>
      <w:bookmarkEnd w:id="5"/>
      <w:r/>
      <w:bookmarkEnd w:id="6"/>
      <w:r/>
      <w:bookmarkEnd w:id="7"/>
      <w:r/>
      <w:bookmarkEnd w:id="8"/>
      <w:r/>
      <w:r/>
    </w:p>
    <w:p>
      <w:pPr>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二、申请人的资格要求：</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bookmarkStart w:id="9" w:name="_Toc35393792"/>
      <w:r/>
      <w:bookmarkStart w:id="10" w:name="_Toc35393623"/>
      <w:r/>
      <w:bookmarkStart w:id="11" w:name="_Toc28359005"/>
      <w:r/>
      <w:bookmarkStart w:id="12" w:name="_Toc28359082"/>
      <w:r/>
      <w:bookmarkStart w:id="13" w:name="_Toc35393624"/>
      <w:r/>
      <w:bookmarkStart w:id="14" w:name="_Toc35393793"/>
      <w:r>
        <w:rPr>
          <w:rFonts w:hint="eastAsia" w:ascii="宋体" w:hAnsi="宋体" w:cs="宋体"/>
          <w:color w:val="000000" w:themeColor="text1"/>
          <w:szCs w:val="21"/>
          <w:highlight w:val="none"/>
          <w14:textFill>
            <w14:solidFill>
              <w14:schemeClr w14:val="tx1"/>
            </w14:solidFill>
          </w14:textFill>
        </w:rPr>
        <w:t xml:space="preserve">（一）满足《中华人民共和国政府采购法》第二十二条规定；</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1.具有独立承担民事责任的能力（提供法人或者其他组织的营业执照；供应商为自然人的提供其身份证，提供相关证明材料复印件并加盖公章）；</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具有良好的商业信誉和健全的财务会计制度（提供投标截止时间前六个月内银行出具的资信证明，或投标截止时间前六个月内任意一个月的财务状况报告（至少包括资产负债表和利润表），或上一年度的审计报告）</w:t>
      </w:r>
      <w:r>
        <w:rPr>
          <w:rFonts w:ascii="宋体" w:hAnsi="宋体" w:cs="宋体"/>
          <w:color w:val="000000" w:themeColor="text1"/>
          <w:szCs w:val="21"/>
          <w:highlight w:val="none"/>
          <w14:textFill>
            <w14:solidFill>
              <w14:schemeClr w14:val="tx1"/>
            </w14:solidFill>
          </w14:textFill>
        </w:rPr>
        <w:t xml:space="preserve">；</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rPr>
          <w:rFonts w:ascii="SimSun" w:hAnsi="SimSun" w:eastAsia="SimSun" w:cs="SimSun"/>
          <w:color w:val="000000"/>
          <w:sz w:val="22"/>
        </w:rPr>
        <w:t xml:space="preserve">具有履行合同所必需的设备和专业技术能力（投标人根据履行采购项目合同需要，提供履行合同所必需的设备和专业技术能力的证明材料或承诺书原件）</w:t>
      </w:r>
      <w:r>
        <w:rPr>
          <w:rFonts w:hint="eastAsia" w:ascii="宋体" w:hAnsi="宋体" w:cs="宋体"/>
          <w:color w:val="000000" w:themeColor="text1"/>
          <w:szCs w:val="21"/>
          <w:highlight w:val="none"/>
          <w14:textFill>
            <w14:solidFill>
              <w14:schemeClr w14:val="tx1"/>
            </w14:solidFill>
          </w14:textFill>
        </w:rPr>
        <w:t xml:space="preserve">；</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有依法缴纳税收和社会保障资金的良好记录（提供投标截止时间前六个月内任意一个月的纳税证明文件（依法免缴的应提供相应文件说明），并提供投标截止时间前六个月内任意一个月的依法为员工缴纳社会保障资金的证明材料（依法免缴的应提供相应文件说明））；</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5.参加政府采购活动前三年内，在经营活动中没有重大违法记录（提供承诺书原件）；</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6.法律、行政法规规定的其他条件，提供相关证明材料：无。</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7.注:①前款第（5）项中所称重大违法记录，是指投标人因违法经营受到刑事处罚或者责令停产停业、吊销许可证或者执照、较大数额罚款等行政处罚。</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②投标人在参加政府采购活动前3年内因违法经营被禁止在一定期限内参加政府采购活动，期限届满的，可以参加政府采购活动。</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（二）落实政府采购政策需满足的资格要求：如为中小微型企业、监狱企业、残疾人福利性单位，提供的产品为国家认定的节能产品和环保产品的须按要求提供相关材料。</w:t>
      </w:r>
      <w:r/>
    </w:p>
    <w:p>
      <w:pPr>
        <w:ind w:firstLine="420"/>
        <w:jc w:val="left"/>
        <w:spacing w:line="360" w:lineRule="auto"/>
        <w:rPr>
          <w:rFonts w:hint="eastAsia" w:ascii="宋体" w:hAnsi="宋体" w:cs="宋体"/>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（三）本项目的特定资格要求：</w:t>
      </w:r>
      <w:r>
        <w:rPr>
          <w:rFonts w:hint="eastAsia" w:ascii="宋体" w:hAnsi="宋体" w:cs="宋体"/>
          <w:color w:val="000000" w:themeColor="text1"/>
          <w:szCs w:val="21"/>
          <w:highlight w:val="none"/>
          <w14:textFill>
            <w14:solidFill>
              <w14:schemeClr w14:val="tx1"/>
            </w14:solidFill>
          </w14:textFill>
        </w:rPr>
      </w:r>
      <w:r/>
    </w:p>
    <w:p>
      <w:pPr>
        <w:ind w:firstLine="420"/>
        <w:jc w:val="left"/>
        <w:spacing w:line="360" w:lineRule="auto"/>
        <w:rPr>
          <w:rFonts w:hint="eastAsia" w:ascii="宋体" w:hAnsi="宋体" w:cs="宋体"/>
          <w:highlight w:val="none"/>
          <w14:textFill>
            <w14:solidFill>
              <w14:schemeClr w14:val="tx1"/>
            </w14:solidFill>
          </w14:textFill>
        </w:rPr>
      </w:pPr>
      <w:r>
        <w:t xml:space="preserve">若所投产品为进口产品且为非生产商投标，必须具有生产者或其驻中国办事机构（或生产者授权的中国境内最高级别代理机构）针对本项目的专项授权书。投标时需提供复印件加盖供应商公章。</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（四）本项目不接受转包、分包。</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（五）拒绝下述供应商参加本次采购活动：</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1.供应商单位负责人为同一人或者存在直接控股、管理关系的不同供应商，不得参加同一合同项下的采购活动。</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2.凡为采购项目提供整体设计、规范编制或者项目管理、监理、检测等服务的供应商，不得再参加本项目的采购活动。</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3.拒绝列入失信被执行人、重大税收违法失信主体、政府采购严重违法失信行为记录名单中的供应商参加本项目的采购活动。采购人或代理机构通过 “信用中国”网站（www.creditchina.gov.cn）、“中国政府采购网”网站（www.ccgp.gov.cn）等渠道查询供应商信用记录并保存。</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（六）本项目接受进口产品投标。（注：本文件所称进口产品是指通过中国海关报关验放进入中国境内且产自关境外的产品）</w:t>
      </w:r>
      <w:r/>
    </w:p>
    <w:p>
      <w:pPr>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三、获取招标文件</w:t>
      </w:r>
      <w:bookmarkEnd w:id="9"/>
      <w:r/>
      <w:bookmarkEnd w:id="10"/>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时间：自招标文件公告发布之日起5个工作日</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地点：江苏政府采购网</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方式：网上下载</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售价：0.00元</w:t>
      </w:r>
      <w:r/>
    </w:p>
    <w:p>
      <w:pPr>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四、提交投标文件</w:t>
      </w:r>
      <w:bookmarkEnd w:id="11"/>
      <w:r/>
      <w:bookmarkEnd w:id="12"/>
      <w:r>
        <w:rPr>
          <w:rFonts w:hint="eastAsia" w:ascii="宋体" w:hAnsi="宋体" w:cs="宋体"/>
          <w:color w:val="000000" w:themeColor="text1"/>
          <w:szCs w:val="21"/>
          <w:highlight w:val="none"/>
          <w14:textFill>
            <w14:solidFill>
              <w14:schemeClr w14:val="tx1"/>
            </w14:solidFill>
          </w14:textFill>
        </w:rPr>
        <w:t xml:space="preserve">截止时间、开标时间和地点</w:t>
      </w:r>
      <w:bookmarkEnd w:id="13"/>
      <w:r/>
      <w:bookmarkEnd w:id="14"/>
      <w:r/>
      <w:r/>
    </w:p>
    <w:p>
      <w:pPr>
        <w:ind w:firstLine="420"/>
        <w:jc w:val="left"/>
        <w:spacing w:line="360" w:lineRule="auto"/>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截止时间及开标时间：</w:t>
      </w:r>
      <w:r>
        <w:rPr>
          <w:rFonts w:hint="eastAsia" w:ascii="宋体" w:hAnsi="宋体" w:cs="宋体"/>
          <w:color w:val="000000" w:themeColor="text1"/>
          <w:szCs w:val="21"/>
          <w:highlight w:val="none"/>
          <w:u w:val="single"/>
          <w14:textFill>
            <w14:solidFill>
              <w14:schemeClr w14:val="tx1"/>
            </w14:solidFill>
          </w14:textFill>
        </w:rPr>
        <w:t xml:space="preserve">2026年</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10</w:t>
      </w:r>
      <w:r>
        <w:rPr>
          <w:rFonts w:hint="eastAsia" w:ascii="宋体" w:hAnsi="宋体" w:cs="宋体"/>
          <w:color w:val="000000" w:themeColor="text1"/>
          <w:szCs w:val="21"/>
          <w:highlight w:val="none"/>
          <w:u w:val="single"/>
          <w14:textFill>
            <w14:solidFill>
              <w14:schemeClr w14:val="tx1"/>
            </w14:solidFill>
          </w14:textFill>
        </w:rPr>
        <w:t xml:space="preserve">月</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14</w:t>
      </w:r>
      <w:r>
        <w:rPr>
          <w:rFonts w:hint="eastAsia" w:ascii="宋体" w:hAnsi="宋体" w:cs="宋体"/>
          <w:color w:val="000000" w:themeColor="text1"/>
          <w:szCs w:val="21"/>
          <w:highlight w:val="none"/>
          <w:u w:val="single"/>
          <w14:textFill>
            <w14:solidFill>
              <w14:schemeClr w14:val="tx1"/>
            </w14:solidFill>
          </w14:textFill>
        </w:rPr>
        <w:t xml:space="preserve"> 日</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9</w:t>
      </w:r>
      <w:r>
        <w:rPr>
          <w:rFonts w:hint="eastAsia" w:ascii="宋体" w:hAnsi="宋体" w:cs="宋体"/>
          <w:color w:val="000000" w:themeColor="text1"/>
          <w:szCs w:val="21"/>
          <w:highlight w:val="none"/>
          <w:u w:val="single"/>
          <w14:textFill>
            <w14:solidFill>
              <w14:schemeClr w14:val="tx1"/>
            </w14:solidFill>
          </w14:textFill>
        </w:rPr>
        <w:t xml:space="preserve">点</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30</w:t>
      </w:r>
      <w:r>
        <w:rPr>
          <w:rFonts w:hint="eastAsia" w:ascii="宋体" w:hAnsi="宋体" w:cs="宋体"/>
          <w:color w:val="000000" w:themeColor="text1"/>
          <w:szCs w:val="21"/>
          <w:highlight w:val="none"/>
          <w:u w:val="single"/>
          <w14:textFill>
            <w14:solidFill>
              <w14:schemeClr w14:val="tx1"/>
            </w14:solidFill>
          </w14:textFill>
        </w:rPr>
        <w:t xml:space="preserve"> 分（北京时间）</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地点：</w:t>
      </w:r>
      <w:r>
        <w:rPr>
          <w:rFonts w:hint="eastAsia" w:ascii="宋体" w:hAnsi="宋体" w:cs="宋体"/>
          <w:color w:val="000000" w:themeColor="text1"/>
          <w:szCs w:val="21"/>
          <w:highlight w:val="none"/>
          <w:u w:val="single"/>
          <w14:textFill>
            <w14:solidFill>
              <w14:schemeClr w14:val="tx1"/>
            </w14:solidFill>
          </w14:textFill>
        </w:rPr>
        <w:t xml:space="preserve">江苏省政府采购交易系统（以下简称“苏采云系统”）网上开标大厅。</w:t>
      </w:r>
      <w:r/>
    </w:p>
    <w:p>
      <w:pPr>
        <w:jc w:val="left"/>
        <w:spacing w:line="360" w:lineRule="auto"/>
        <w:rPr>
          <w:rFonts w:hint="eastAsia" w:ascii="宋体" w:hAnsi="宋体" w:cs="宋体"/>
          <w:color w:val="000000" w:themeColor="text1"/>
          <w:szCs w:val="21"/>
          <w:highlight w:val="none"/>
          <w14:textFill>
            <w14:solidFill>
              <w14:schemeClr w14:val="tx1"/>
            </w14:solidFill>
          </w14:textFill>
        </w:rPr>
      </w:pPr>
      <w:r/>
      <w:bookmarkStart w:id="15" w:name="_Toc35393625"/>
      <w:r/>
      <w:bookmarkStart w:id="16" w:name="_Toc35393794"/>
      <w:r/>
      <w:bookmarkStart w:id="17" w:name="_Toc28359007"/>
      <w:r/>
      <w:bookmarkStart w:id="18" w:name="_Toc28359084"/>
      <w:r>
        <w:rPr>
          <w:rFonts w:hint="eastAsia" w:ascii="宋体" w:hAnsi="宋体" w:cs="宋体"/>
          <w:color w:val="000000" w:themeColor="text1"/>
          <w:szCs w:val="21"/>
          <w:highlight w:val="none"/>
          <w14:textFill>
            <w14:solidFill>
              <w14:schemeClr w14:val="tx1"/>
            </w14:solidFill>
          </w14:textFill>
        </w:rPr>
        <w:t xml:space="preserve">五、公告期限</w:t>
      </w:r>
      <w:bookmarkEnd w:id="15"/>
      <w:r/>
      <w:bookmarkEnd w:id="16"/>
      <w:r/>
      <w:bookmarkEnd w:id="17"/>
      <w:r/>
      <w:bookmarkEnd w:id="18"/>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自本公告发布之日起5个工作日。</w:t>
      </w:r>
      <w:r/>
    </w:p>
    <w:p>
      <w:pPr>
        <w:jc w:val="left"/>
        <w:spacing w:line="360" w:lineRule="auto"/>
        <w:rPr>
          <w:rFonts w:hint="eastAsia" w:ascii="宋体" w:hAnsi="宋体" w:cs="宋体"/>
          <w:color w:val="000000" w:themeColor="text1"/>
          <w:szCs w:val="21"/>
          <w:highlight w:val="none"/>
          <w14:textFill>
            <w14:solidFill>
              <w14:schemeClr w14:val="tx1"/>
            </w14:solidFill>
          </w14:textFill>
        </w:rPr>
      </w:pPr>
      <w:r/>
      <w:bookmarkStart w:id="19" w:name="_Toc35393795"/>
      <w:r/>
      <w:bookmarkStart w:id="20" w:name="_Toc35393626"/>
      <w:r>
        <w:rPr>
          <w:rFonts w:hint="eastAsia" w:ascii="宋体" w:hAnsi="宋体" w:cs="宋体"/>
          <w:color w:val="000000" w:themeColor="text1"/>
          <w:szCs w:val="21"/>
          <w:highlight w:val="none"/>
          <w14:textFill>
            <w14:solidFill>
              <w14:schemeClr w14:val="tx1"/>
            </w14:solidFill>
          </w14:textFill>
        </w:rPr>
        <w:t xml:space="preserve">六、其他补充事宜</w:t>
      </w:r>
      <w:bookmarkEnd w:id="19"/>
      <w:r/>
      <w:bookmarkEnd w:id="20"/>
      <w:r/>
      <w:r/>
    </w:p>
    <w:p>
      <w:pPr>
        <w:ind w:firstLine="420"/>
        <w:jc w:val="left"/>
        <w:spacing w:line="360" w:lineRule="auto"/>
        <w:rPr>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1.本项目</w:t>
      </w:r>
      <w:r>
        <w:rPr>
          <w:rFonts w:hint="eastAsia" w:ascii="宋体" w:hAnsi="宋体"/>
          <w:color w:val="000000" w:themeColor="text1"/>
          <w:szCs w:val="21"/>
          <w:highlight w:val="none"/>
          <w14:textFill>
            <w14:solidFill>
              <w14:schemeClr w14:val="tx1"/>
            </w14:solidFill>
          </w14:textFill>
        </w:rPr>
        <w:t xml:space="preserve">是否专门面向中小企业：否</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2.本项目采购标的所属行业为：</w:t>
      </w:r>
      <w:r>
        <w:rPr>
          <w:rFonts w:hint="eastAsia" w:ascii="宋体" w:hAnsi="宋体" w:cs="宋体"/>
          <w:color w:val="000000" w:themeColor="text1"/>
          <w:szCs w:val="21"/>
          <w:highlight w:val="none"/>
          <w14:textFill>
            <w14:solidFill>
              <w14:schemeClr w14:val="tx1"/>
            </w14:solidFill>
          </w14:textFill>
        </w:rPr>
        <w:t xml:space="preserve">根据《关于印发中小企业划型标准规定的通知》(工信部联企业(2011)300 号)及《国家统计局关于印发(统计上大中小微型企业划分办法(2017)〉的通知》(国统字(2017〕213 号)等文件规定，本项目所属行业为“工业”。</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3.集中勘察或答疑：</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采购人不组织，供应商可自行联系采购人。未踏勘现场或踏勘工作不详细的供应商中标后，不得以不完全了解现场情况为理由而向采购人提出任何索赔或其他要求，对此采购人不承担任何责任并将不作任何答复。</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bookmarkStart w:id="21" w:name="_Toc35393796"/>
      <w:r/>
      <w:bookmarkStart w:id="22" w:name="_Toc28359085"/>
      <w:r/>
      <w:bookmarkStart w:id="23" w:name="_Toc35393627"/>
      <w:r/>
      <w:bookmarkStart w:id="24" w:name="_Toc28359008"/>
      <w:r>
        <w:rPr>
          <w:rFonts w:hint="eastAsia" w:ascii="宋体" w:hAnsi="宋体" w:cs="宋体"/>
          <w:color w:val="000000" w:themeColor="text1"/>
          <w:szCs w:val="21"/>
          <w:highlight w:val="none"/>
          <w14:textFill>
            <w14:solidFill>
              <w14:schemeClr w14:val="tx1"/>
            </w14:solidFill>
          </w14:textFill>
        </w:rPr>
        <w:t xml:space="preserve">公告媒体</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（1）本公告在江苏政府采购网（http：//www.ccgp-jiangsu.gov.cn/）公示发布，敬请各投标人关注；</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（2）若有关本次采购存在变动或修改，敬请各投标人及时关注江苏政府采购网（http：//www.ccgp-jiangsu.gov.cn/）发布的关于本项目的信息更正公告。</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5.采购项目需要落实的政府采购政策：</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（1）政府采购促进中小企业发展</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（2）政府采购支持监狱企业发展</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（3）政府采购促进残疾人就业</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（4）政府采购鼓励采购节能环保产品</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http://www.ccgp-jiangsu.gov.cn/jiangsu/zlxz/ee/ee3a4bc5a3454aa2b0d9312230633ce9.html</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领取CA和办理电子签章（请至南京市建邺区汉中门大街145号省公共资源交易中心三楼开标区受理台1号窗口办理，联系电话：025- 83668701或南京市建邺区江东中路265号南京市公共资源交易中心北门外1255室（一楼）办理，联系电话：025-68505941)</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7.潜在供应商访问电子招标响应交易平台的网络地址和方法：</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（2）潜在供应商访问“苏采云”系统的网络地址和方法：“苏采云”系统的网址：http://jszfcg.jsczt.cn/。</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（3）“CA数字证书”的获取：</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（4）采购文件（后缀名为“.kedt”）、供应商操作手册及政府采购客户端工具可通过“苏采云”系统--已报名项目--报名详情页面内相应链接进行下载。</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（5）招标代理机构（采购代理机构）将数据电文形式的采购文件加载至“苏采云”系统，供潜在供应商下载或者查阅。</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（6）请潜在投标单位提前安装相应的控件（详见《江苏省政府采购管理交易系统（苏采云）供应商操作手册》）并使用谷歌浏览器登录“苏采云”系统参与不见面开评标。</w:t>
      </w:r>
      <w:r/>
    </w:p>
    <w:p>
      <w:pPr>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七、对本次招标提出询问，请按以下方式联系。</w:t>
      </w:r>
      <w:bookmarkEnd w:id="21"/>
      <w:r/>
      <w:bookmarkEnd w:id="22"/>
      <w:r/>
      <w:bookmarkEnd w:id="23"/>
      <w:r/>
      <w:bookmarkEnd w:id="24"/>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1.采购人信息</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bookmarkStart w:id="25" w:name="_Toc28359086"/>
      <w:r/>
      <w:bookmarkStart w:id="26" w:name="_Toc28359009"/>
      <w:r>
        <w:rPr>
          <w:rFonts w:hint="eastAsia" w:ascii="宋体" w:hAnsi="宋体" w:cs="宋体"/>
          <w:color w:val="000000" w:themeColor="text1"/>
          <w:szCs w:val="21"/>
          <w:highlight w:val="none"/>
          <w14:textFill>
            <w14:solidFill>
              <w14:schemeClr w14:val="tx1"/>
            </w14:solidFill>
          </w14:textFill>
        </w:rPr>
        <w:t xml:space="preserve">单位名称：南京医科大学</w:t>
      </w:r>
      <w:r/>
    </w:p>
    <w:p>
      <w:pPr>
        <w:ind w:firstLine="452"/>
        <w:jc w:val="left"/>
        <w:spacing w:line="360" w:lineRule="auto"/>
        <w:rPr>
          <w:rFonts w:hint="eastAsia" w:ascii="宋体" w:hAnsi="宋体" w:cs="宋体"/>
          <w:color w:val="000000" w:themeColor="text1"/>
          <w:spacing w:val="8"/>
          <w:szCs w:val="21"/>
          <w:highlight w:val="none"/>
          <w14:textFill>
            <w14:solidFill>
              <w14:schemeClr w14:val="tx1"/>
            </w14:solidFill>
          </w14:textFill>
        </w:rPr>
      </w:pPr>
      <w:r>
        <w:rPr>
          <w:rFonts w:hint="eastAsia" w:ascii="宋体" w:hAnsi="宋体" w:cs="宋体"/>
          <w:color w:val="000000" w:themeColor="text1"/>
          <w:spacing w:val="8"/>
          <w:szCs w:val="21"/>
          <w:highlight w:val="none"/>
          <w14:textFill>
            <w14:solidFill>
              <w14:schemeClr w14:val="tx1"/>
            </w14:solidFill>
          </w14:textFill>
        </w:rPr>
        <w:t xml:space="preserve">单位地址：</w:t>
      </w:r>
      <w:r>
        <w:rPr>
          <w:rFonts w:hint="eastAsia" w:ascii="宋体" w:hAnsi="宋体" w:cs="宋体"/>
          <w:color w:val="000000" w:themeColor="text1"/>
          <w:spacing w:val="8"/>
          <w:szCs w:val="21"/>
          <w:highlight w:val="none"/>
          <w:shd w:val="clear" w:color="auto" w:fill="ffffff"/>
          <w14:textFill>
            <w14:solidFill>
              <w14:schemeClr w14:val="tx1"/>
            </w14:solidFill>
          </w14:textFill>
        </w:rPr>
        <w:t xml:space="preserve">南京市江宁区龙眠大道101号</w:t>
      </w:r>
      <w:r/>
    </w:p>
    <w:p>
      <w:pPr>
        <w:ind w:firstLine="420"/>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联系人：马老师</w:t>
      </w:r>
      <w:r/>
    </w:p>
    <w:p>
      <w:pPr>
        <w:ind w:firstLine="420"/>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联系电话：025-86868572</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2.采购代理机构信息</w:t>
      </w:r>
      <w:bookmarkEnd w:id="25"/>
      <w:r/>
      <w:bookmarkEnd w:id="26"/>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单位名称：</w:t>
      </w:r>
      <w:bookmarkStart w:id="27" w:name="OLE_LINK1"/>
      <w:r>
        <w:rPr>
          <w:rFonts w:hint="eastAsia" w:ascii="宋体" w:hAnsi="宋体" w:cs="宋体"/>
          <w:color w:val="000000" w:themeColor="text1"/>
          <w:szCs w:val="21"/>
          <w:highlight w:val="none"/>
          <w14:textFill>
            <w14:solidFill>
              <w14:schemeClr w14:val="tx1"/>
            </w14:solidFill>
          </w14:textFill>
        </w:rPr>
        <w:t xml:space="preserve">南京苏宁工程咨询有限公司</w:t>
      </w:r>
      <w:bookmarkEnd w:id="27"/>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单位地址：南京市鼓楼区中山路99号12楼1212室</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bookmarkStart w:id="28" w:name="_Toc28359010"/>
      <w:r/>
      <w:bookmarkStart w:id="29" w:name="_Toc28359087"/>
      <w:r>
        <w:rPr>
          <w:rFonts w:hint="eastAsia" w:ascii="宋体" w:hAnsi="宋体" w:cs="宋体"/>
          <w:color w:val="000000" w:themeColor="text1"/>
          <w:szCs w:val="21"/>
          <w:highlight w:val="none"/>
          <w14:textFill>
            <w14:solidFill>
              <w14:schemeClr w14:val="tx1"/>
            </w14:solidFill>
          </w14:textFill>
        </w:rPr>
        <w:t xml:space="preserve">联系人：李佳蓉 </w:t>
      </w:r>
      <w:r/>
    </w:p>
    <w:p>
      <w:pPr>
        <w:ind w:firstLine="420"/>
        <w:jc w:val="left"/>
        <w:spacing w:line="360" w:lineRule="auto"/>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联系电话：025-84200809</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3.项目联系方式</w:t>
      </w:r>
      <w:bookmarkEnd w:id="28"/>
      <w:r/>
      <w:bookmarkEnd w:id="29"/>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项目联系人：李佳蓉 </w:t>
      </w:r>
      <w:r/>
    </w:p>
    <w:p>
      <w:pPr>
        <w:ind w:firstLine="420"/>
        <w:jc w:val="left"/>
        <w:spacing w:line="360" w:lineRule="auto"/>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联系电话：025-84200809</w:t>
      </w:r>
      <w:r/>
    </w:p>
    <w:p>
      <w:pPr>
        <w:ind w:firstLine="422"/>
        <w:jc w:val="left"/>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p>
      <w:pPr>
        <w:ind w:firstLine="422"/>
        <w:jc w:val="left"/>
        <w:spacing w:line="360" w:lineRule="auto"/>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请贵单位领取本次采购文件后，认真阅读各项内容，进行必要的投标准备，按文件的要求详细填写和编制响应文件，并按以上确定的时间、地点准时参加投标。</w:t>
      </w:r>
      <w:r/>
    </w:p>
    <w:p>
      <w:pPr>
        <w:jc w:val="center"/>
        <w:spacing w:line="360" w:lineRule="auto"/>
        <w:rPr>
          <w:rFonts w:hint="eastAsia" w:ascii="宋体" w:hAnsi="宋体" w:cs="宋体"/>
          <w:color w:val="000000" w:themeColor="text1"/>
          <w:sz w:val="36"/>
          <w:szCs w:val="36"/>
          <w:highlight w:val="none"/>
          <w:lang w:val="zh-CN"/>
          <w14:textFill>
            <w14:solidFill>
              <w14:schemeClr w14:val="tx1"/>
            </w14:solidFill>
          </w14:textFill>
        </w:rPr>
        <w:sectPr>
          <w:footnotePr/>
          <w:endnotePr>
            <w:numFmt w:val="decimal"/>
          </w:endnotePr>
          <w:type w:val="nextPage"/>
          <w:pgSz w:w="11906" w:h="16838" w:orient="portrait"/>
          <w:pgMar w:top="850" w:right="850" w:bottom="850" w:left="1417" w:header="340" w:footer="567" w:gutter="0"/>
          <w:rtlGutter/>
          <w:cols w:num="1" w:sep="0" w:space="720" w:equalWidth="1"/>
          <w:docGrid w:linePitch="360"/>
        </w:sectPr>
      </w:pPr>
      <w:r>
        <w:rPr>
          <w:rFonts w:hint="eastAsia" w:ascii="宋体" w:hAnsi="宋体" w:cs="宋体"/>
          <w:color w:val="000000" w:themeColor="text1"/>
          <w:sz w:val="36"/>
          <w:szCs w:val="36"/>
          <w:highlight w:val="none"/>
          <w:lang w:val="zh-CN"/>
          <w14:textFill>
            <w14:solidFill>
              <w14:schemeClr w14:val="tx1"/>
            </w14:solidFill>
          </w14:textFill>
        </w:rPr>
      </w:r>
      <w:r/>
    </w:p>
    <w:p>
      <w:pPr>
        <w:jc w:val="center"/>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36"/>
          <w:szCs w:val="36"/>
          <w:highlight w:val="none"/>
          <w:lang w:val="zh-CN"/>
          <w14:textFill>
            <w14:solidFill>
              <w14:schemeClr w14:val="tx1"/>
            </w14:solidFill>
          </w14:textFill>
        </w:rPr>
        <w:t xml:space="preserve">第二章供应商须知</w:t>
      </w:r>
      <w:r/>
    </w:p>
    <w:p>
      <w:pPr>
        <w:ind w:firstLine="422"/>
        <w:jc w:val="left"/>
        <w:rPr>
          <w:rFonts w:hint="eastAsia"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一、总则</w:t>
      </w:r>
      <w:r/>
    </w:p>
    <w:p>
      <w:pPr>
        <w:ind w:firstLine="420"/>
        <w:jc w:val="left"/>
        <w:rPr>
          <w:rFonts w:hint="eastAsia" w:ascii="宋体" w:hAnsi="宋体" w:cs="宋体"/>
          <w:color w:val="000000" w:themeColor="text1"/>
          <w:szCs w:val="21"/>
          <w:highlight w:val="none"/>
          <w:lang w:val="zh-CN"/>
          <w14:textFill>
            <w14:solidFill>
              <w14:schemeClr w14:val="tx1"/>
            </w14:solidFill>
          </w14:textFill>
        </w:rPr>
        <w:outlineLvl w:val="0"/>
      </w:pPr>
      <w:r>
        <w:rPr>
          <w:rFonts w:hint="eastAsia" w:ascii="宋体" w:hAnsi="宋体" w:cs="宋体"/>
          <w:color w:val="000000" w:themeColor="text1"/>
          <w:szCs w:val="21"/>
          <w:highlight w:val="none"/>
          <w:lang w:val="zh-CN"/>
          <w14:textFill>
            <w14:solidFill>
              <w14:schemeClr w14:val="tx1"/>
            </w14:solidFill>
          </w14:textFill>
        </w:rPr>
        <w:t xml:space="preserve">1、适用法律</w:t>
      </w:r>
      <w:r/>
    </w:p>
    <w:p>
      <w:pPr>
        <w:ind w:firstLine="420"/>
        <w:jc w:val="left"/>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1.1 《中华人民共和国政府采购法》、《中华人民共和国政府采购法实施条例》、《政府采购货物和服务招标投标管理办法》等有关法律、规章和规定等。</w:t>
      </w:r>
      <w:r/>
    </w:p>
    <w:p>
      <w:pPr>
        <w:ind w:firstLine="422"/>
        <w:jc w:val="left"/>
        <w:rPr>
          <w:rFonts w:hint="eastAsia" w:ascii="宋体" w:hAnsi="宋体" w:cs="宋体"/>
          <w:b/>
          <w:color w:val="000000" w:themeColor="text1"/>
          <w:szCs w:val="21"/>
          <w:highlight w:val="none"/>
          <w:lang w:val="zh-CN"/>
          <w14:textFill>
            <w14:solidFill>
              <w14:schemeClr w14:val="tx1"/>
            </w14:solidFill>
          </w14:textFill>
        </w:rPr>
        <w:outlineLvl w:val="0"/>
      </w:pPr>
      <w:r>
        <w:rPr>
          <w:rFonts w:hint="eastAsia" w:ascii="宋体" w:hAnsi="宋体" w:cs="宋体"/>
          <w:b/>
          <w:color w:val="000000" w:themeColor="text1"/>
          <w:szCs w:val="21"/>
          <w:highlight w:val="none"/>
          <w:lang w:val="zh-CN"/>
          <w14:textFill>
            <w14:solidFill>
              <w14:schemeClr w14:val="tx1"/>
            </w14:solidFill>
          </w14:textFill>
        </w:rPr>
        <w:t xml:space="preserve">2、定义</w:t>
      </w:r>
      <w:r/>
    </w:p>
    <w:p>
      <w:pPr>
        <w:ind w:firstLine="420"/>
        <w:jc w:val="left"/>
        <w:rPr>
          <w:rFonts w:hint="eastAsia" w:ascii="宋体" w:hAnsi="宋体" w:cs="宋体"/>
          <w:bCs/>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2.1 “</w:t>
      </w:r>
      <w:r>
        <w:rPr>
          <w:rFonts w:hint="eastAsia" w:ascii="宋体" w:hAnsi="宋体" w:cs="宋体"/>
          <w:bCs/>
          <w:color w:val="000000" w:themeColor="text1"/>
          <w:szCs w:val="21"/>
          <w:highlight w:val="none"/>
          <w:lang w:val="zh-CN"/>
          <w14:textFill>
            <w14:solidFill>
              <w14:schemeClr w14:val="tx1"/>
            </w14:solidFill>
          </w14:textFill>
        </w:rPr>
        <w:t xml:space="preserve">供应商”</w:t>
      </w:r>
      <w:r>
        <w:rPr>
          <w:rFonts w:hint="eastAsia" w:ascii="宋体" w:hAnsi="宋体" w:cs="宋体"/>
          <w:bCs/>
          <w:color w:val="000000" w:themeColor="text1"/>
          <w:highlight w:val="none"/>
          <w14:textFill>
            <w14:solidFill>
              <w14:schemeClr w14:val="tx1"/>
            </w14:solidFill>
          </w14:textFill>
        </w:rPr>
        <w:t xml:space="preserve">是指参加投标竞争，并符合招标文件规定资格条件的法人、其他组织或者自然人。</w:t>
      </w:r>
      <w:r/>
    </w:p>
    <w:p>
      <w:pPr>
        <w:ind w:firstLine="420"/>
        <w:jc w:val="left"/>
        <w:rPr>
          <w:rFonts w:hint="eastAsia" w:ascii="宋体" w:hAnsi="宋体" w:cs="宋体"/>
          <w:b/>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2.2 “产品”指本招标文件中所述产品</w:t>
      </w:r>
      <w:r>
        <w:rPr>
          <w:rFonts w:hint="eastAsia" w:ascii="宋体" w:hAnsi="宋体" w:cs="宋体"/>
          <w:color w:val="000000" w:themeColor="text1"/>
          <w:szCs w:val="21"/>
          <w:highlight w:val="none"/>
          <w:lang w:val="zh-CN"/>
          <w14:textFill>
            <w14:solidFill>
              <w14:schemeClr w14:val="tx1"/>
            </w14:solidFill>
          </w14:textFill>
        </w:rPr>
        <w:t xml:space="preserve">及相关服务。</w:t>
      </w:r>
      <w:r/>
    </w:p>
    <w:p>
      <w:pPr>
        <w:ind w:firstLine="420"/>
        <w:jc w:val="left"/>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2.3 “用户或使用单位”是指使用服务的单位。</w:t>
      </w:r>
      <w:r/>
    </w:p>
    <w:p>
      <w:pPr>
        <w:ind w:firstLine="422"/>
        <w:jc w:val="left"/>
        <w:rPr>
          <w:rFonts w:hint="eastAsia"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3、政策功能</w:t>
      </w:r>
      <w:r/>
    </w:p>
    <w:p>
      <w:pPr>
        <w:ind w:firstLine="420"/>
        <w:jc w:val="left"/>
        <w:rPr>
          <w:rFonts w:hint="eastAsia"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3.1中小供应商政策</w:t>
      </w:r>
      <w:r/>
    </w:p>
    <w:p>
      <w:pPr>
        <w:ind w:firstLine="420"/>
        <w:jc w:val="left"/>
        <w:rPr>
          <w:rFonts w:hint="eastAsia"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的通知》国统字〔2017〕213号）。</w:t>
      </w:r>
      <w:r/>
    </w:p>
    <w:p>
      <w:pPr>
        <w:ind w:firstLine="420"/>
        <w:jc w:val="left"/>
        <w:rPr>
          <w:rFonts w:hint="eastAsia"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（2）政府采购支持监狱和戒毒供应商发展政策，监狱和戒毒供应商提供的产品和服务在评标时将获得优势，参加投标的监狱和戒毒供应商，应当 提供由省级以上监狱管理局、戒毒管理局（含新疆生产建设兵团）出具的属于监狱供应商的证明文件，监狱和戒毒供应商享受政府采购支持政 策的要求详见财库〔2014〕68号。</w:t>
      </w:r>
      <w:r/>
    </w:p>
    <w:p>
      <w:pPr>
        <w:ind w:firstLine="420"/>
        <w:jc w:val="left"/>
        <w:rPr>
          <w:rFonts w:hint="eastAsia"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（3）政府采购促进残疾人就业政策，残疾人福利性单位提供的产品和服务在评标时将获得优势，参加投标的残疾人福利性单位，应当提供 《残疾人福利性单位声明函》，残疾人福利性单位享受政府采购支持政策的要求详见财库〔2017〕141号。</w:t>
      </w:r>
      <w:r/>
    </w:p>
    <w:p>
      <w:pPr>
        <w:ind w:firstLine="420"/>
        <w:jc w:val="left"/>
        <w:rPr>
          <w:rFonts w:hint="eastAsia"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（4）强制采购节能产品、信息安全产品，优先采购环境标志产品。节能产品是指列入财政部、国家发展和改革委员会制定的节能产品品目 政府采购清单，且经过认定的节能产品；信息安全产品是指列入国家质检总局 国家认监委《信息安全产品强制性认证目录》，并获得强 制性产品认证证书的产品；环境标志产品是指列入财政部、国家环保总局制定的环境标志产品品目政府采购清单，且经过认证的环境标志 产品。</w:t>
      </w:r>
      <w:r/>
    </w:p>
    <w:p>
      <w:pPr>
        <w:ind w:firstLine="420"/>
        <w:jc w:val="left"/>
        <w:rPr>
          <w:rFonts w:hint="eastAsia"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（5）提供的产品属于信息安全产品的，供应商应当选择经国家认证的信息安全产品投标，并提供由中国信息安全认证中心按国家标准认证颁发的有效认证证书复印件。</w:t>
      </w:r>
      <w:r/>
    </w:p>
    <w:p>
      <w:pPr>
        <w:ind w:firstLine="420"/>
        <w:jc w:val="left"/>
        <w:rPr>
          <w:rFonts w:hint="eastAsia"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（6）提供的产品属于政府强制采购节能产品的，供应商应当选择经过认证的节能产品投标，并提供有效的节能产品认证证书复印件。</w:t>
      </w:r>
      <w:r/>
    </w:p>
    <w:p>
      <w:pPr>
        <w:ind w:firstLine="420"/>
        <w:jc w:val="left"/>
        <w:rPr>
          <w:rFonts w:hint="eastAsia"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（7）提供的产品属于环境标志产品的,供应商应当选择经过认证的环境标志产品投标,并提供有效的环境标志产品认证证书复印件。</w:t>
      </w:r>
      <w:r/>
    </w:p>
    <w:p>
      <w:pPr>
        <w:ind w:firstLine="420"/>
        <w:jc w:val="left"/>
        <w:rPr>
          <w:rFonts w:hint="eastAsia"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3.2政府采购中实施本国产品标准及相关政策</w:t>
      </w:r>
      <w:r/>
    </w:p>
    <w:p>
      <w:pPr>
        <w:ind w:firstLine="420"/>
        <w:jc w:val="left"/>
        <w:rPr>
          <w:rFonts w:hint="eastAsia"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1</w:t>
      </w:r>
      <w:r>
        <w:rPr>
          <w:rFonts w:hint="eastAsia" w:ascii="宋体" w:hAnsi="宋体" w:cs="宋体"/>
          <w:bCs/>
          <w:color w:val="000000" w:themeColor="text1"/>
          <w:szCs w:val="21"/>
          <w:highlight w:val="none"/>
          <w:lang w:val="zh-CN"/>
          <w14:textFill>
            <w14:solidFill>
              <w14:schemeClr w14:val="tx1"/>
            </w14:solidFill>
          </w14:textFill>
        </w:rPr>
        <w:t xml:space="preserve">）本项目对采购本国产品给予政策支持，具体内容见招标文件</w:t>
      </w:r>
      <w:r>
        <w:rPr>
          <w:rFonts w:hint="eastAsia" w:ascii="宋体" w:hAnsi="宋体" w:cs="宋体"/>
          <w:bCs/>
          <w:color w:val="000000" w:themeColor="text1"/>
          <w:szCs w:val="21"/>
          <w:highlight w:val="none"/>
          <w14:textFill>
            <w14:solidFill>
              <w14:schemeClr w14:val="tx1"/>
            </w14:solidFill>
          </w14:textFill>
        </w:rPr>
        <w:t xml:space="preserve">第三章</w:t>
      </w:r>
      <w:r>
        <w:rPr>
          <w:rFonts w:hint="eastAsia" w:ascii="宋体" w:hAnsi="宋体" w:cs="宋体"/>
          <w:bCs/>
          <w:color w:val="000000" w:themeColor="text1"/>
          <w:szCs w:val="21"/>
          <w:highlight w:val="none"/>
          <w:lang w:val="zh-CN"/>
          <w14:textFill>
            <w14:solidFill>
              <w14:schemeClr w14:val="tx1"/>
            </w14:solidFill>
          </w14:textFill>
        </w:rPr>
        <w:t xml:space="preserve">。</w:t>
      </w:r>
      <w:r/>
    </w:p>
    <w:p>
      <w:pPr>
        <w:ind w:firstLine="420"/>
        <w:jc w:val="left"/>
        <w:rPr>
          <w:rFonts w:hint="eastAsia"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2</w:t>
      </w:r>
      <w:r>
        <w:rPr>
          <w:rFonts w:hint="eastAsia" w:ascii="宋体" w:hAnsi="宋体" w:cs="宋体"/>
          <w:bCs/>
          <w:color w:val="000000" w:themeColor="text1"/>
          <w:szCs w:val="21"/>
          <w:highlight w:val="none"/>
          <w:lang w:val="zh-CN"/>
          <w14:textFill>
            <w14:solidFill>
              <w14:schemeClr w14:val="tx1"/>
            </w14:solidFill>
          </w14:textFill>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jc w:val="left"/>
        <w:rPr>
          <w:rFonts w:hint="eastAsia"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3</w:t>
      </w:r>
      <w:r>
        <w:rPr>
          <w:rFonts w:hint="eastAsia" w:ascii="宋体" w:hAnsi="宋体" w:cs="宋体"/>
          <w:bCs/>
          <w:color w:val="000000" w:themeColor="text1"/>
          <w:szCs w:val="21"/>
          <w:highlight w:val="none"/>
          <w:lang w:val="zh-CN"/>
          <w14:textFill>
            <w14:solidFill>
              <w14:schemeClr w14:val="tx1"/>
            </w14:solidFill>
          </w14:textFill>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jc w:val="left"/>
        <w:rPr>
          <w:rFonts w:hint="eastAsia"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3.3</w:t>
      </w:r>
      <w:r>
        <w:rPr>
          <w:rFonts w:hint="eastAsia" w:ascii="宋体" w:hAnsi="宋体" w:cs="宋体"/>
          <w:bCs/>
          <w:color w:val="000000" w:themeColor="text1"/>
          <w:szCs w:val="21"/>
          <w:highlight w:val="none"/>
          <w:lang w:val="zh-CN"/>
          <w14:textFill>
            <w14:solidFill>
              <w14:schemeClr w14:val="tx1"/>
            </w14:solidFill>
          </w14:textFill>
        </w:rPr>
        <w:t xml:space="preserve">未按要求提供相关材料的，不享受相关政策。</w:t>
      </w:r>
      <w:r/>
    </w:p>
    <w:p>
      <w:pPr>
        <w:ind w:firstLine="420"/>
        <w:jc w:val="left"/>
        <w:rPr>
          <w:rFonts w:hint="eastAsia"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3.</w:t>
      </w:r>
      <w:r>
        <w:rPr>
          <w:rFonts w:hint="eastAsia" w:ascii="宋体" w:hAnsi="宋体" w:cs="宋体"/>
          <w:bCs/>
          <w:color w:val="000000" w:themeColor="text1"/>
          <w:szCs w:val="21"/>
          <w:highlight w:val="none"/>
          <w14:textFill>
            <w14:solidFill>
              <w14:schemeClr w14:val="tx1"/>
            </w14:solidFill>
          </w14:textFill>
        </w:rPr>
        <w:t xml:space="preserve">4</w:t>
      </w:r>
      <w:r>
        <w:rPr>
          <w:rFonts w:hint="eastAsia" w:ascii="宋体" w:hAnsi="宋体" w:cs="宋体"/>
          <w:bCs/>
          <w:color w:val="000000" w:themeColor="text1"/>
          <w:szCs w:val="21"/>
          <w:highlight w:val="none"/>
          <w:lang w:val="zh-CN"/>
          <w14:textFill>
            <w14:solidFill>
              <w14:schemeClr w14:val="tx1"/>
            </w14:solidFill>
          </w14:textFill>
        </w:rPr>
        <w:t xml:space="preserve"> 进口产品政策</w:t>
      </w:r>
      <w:r/>
    </w:p>
    <w:p>
      <w:pPr>
        <w:ind w:firstLine="420"/>
        <w:jc w:val="left"/>
        <w:rPr>
          <w:rFonts w:hint="eastAsia"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（1）除招标公告载明接受进口产品参加外，不允许进口产品参加。进口产品认定依照《财政部关于政府采购进口产品管理有关问题的通知》（财办库〔2008〕248号）的规定。</w:t>
      </w:r>
      <w:r/>
    </w:p>
    <w:p>
      <w:pPr>
        <w:ind w:firstLine="420"/>
        <w:jc w:val="left"/>
        <w:rPr>
          <w:rFonts w:hint="eastAsia"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（2）允许进口产品参加的，满足需求的国内产品可以参加。</w:t>
      </w:r>
      <w:r/>
    </w:p>
    <w:p>
      <w:pPr>
        <w:ind w:firstLine="420"/>
        <w:jc w:val="left"/>
        <w:rPr>
          <w:rFonts w:hint="eastAsia"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（3）允许进口产品参加的，优先采购向我国企业转让技术、与我国企业签订消化吸收再创新方案的投标人的进口产品。</w:t>
      </w:r>
      <w:r/>
    </w:p>
    <w:p>
      <w:pPr>
        <w:ind w:firstLine="413"/>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二、招标文件</w:t>
      </w:r>
      <w:r/>
    </w:p>
    <w:p>
      <w:pPr>
        <w:ind w:firstLine="420"/>
        <w:rPr>
          <w:rFonts w:hint="eastAsia"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4、招标文件组成</w:t>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4.1 招标文件组成：投标邀请、供应商须知、供应商应当提交的资格和资信证明文件、投标报价要求、投标文件编制要求、招标项目的技术规格、要求和数量、合同主要条款及合同签订方式、交货和提供服务的时间、付款条件、评标方法、评标标准、无效投标和废标条款、附件等。</w:t>
      </w:r>
      <w:r/>
    </w:p>
    <w:p>
      <w:pPr>
        <w:ind w:firstLine="420"/>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4.2 招标的最小单位是包。招标服务数量及技术要求中未分包的，供应商对要求提供的服务不得部分投标；招标服务数量及技术要求中已经分包的，应当以包为单位投标。</w:t>
      </w:r>
      <w:r/>
    </w:p>
    <w:p>
      <w:pPr>
        <w:ind w:firstLine="420"/>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4.3 招标文件如果要求供应商提交备选投标方案的，供应商可以提交备选方案；否则，备选方案将被拒绝。</w:t>
      </w:r>
      <w:r/>
    </w:p>
    <w:p>
      <w:pPr>
        <w:ind w:firstLine="420"/>
        <w:rPr>
          <w:rFonts w:hint="eastAsia" w:ascii="宋体" w:hAnsi="宋体" w:cs="宋体"/>
          <w:b/>
          <w:bCs/>
          <w:color w:val="000000" w:themeColor="text1"/>
          <w:szCs w:val="21"/>
          <w:highlight w:val="none"/>
          <w:lang w:val="zh-CN"/>
          <w14:textFill>
            <w14:solidFill>
              <w14:schemeClr w14:val="tx1"/>
            </w14:solidFill>
          </w14:textFill>
        </w:rPr>
        <w:outlineLvl w:val="0"/>
      </w:pPr>
      <w:r>
        <w:rPr>
          <w:rFonts w:hint="eastAsia" w:ascii="宋体" w:hAnsi="宋体" w:cs="宋体"/>
          <w:b/>
          <w:bCs/>
          <w:color w:val="000000" w:themeColor="text1"/>
          <w:szCs w:val="21"/>
          <w:highlight w:val="none"/>
          <w:lang w:val="zh-CN"/>
          <w14:textFill>
            <w14:solidFill>
              <w14:schemeClr w14:val="tx1"/>
            </w14:solidFill>
          </w14:textFill>
        </w:rPr>
        <w:t xml:space="preserve">5、招标文件的澄清、修改</w:t>
      </w:r>
      <w:r/>
    </w:p>
    <w:p>
      <w:pPr>
        <w:ind w:firstLine="420"/>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5.1 招标代理对已发出的招标文件进行必要澄清或者修改的，将在招标文件要求提交投标文件截止时间</w:t>
      </w:r>
      <w:r>
        <w:rPr>
          <w:rFonts w:hint="eastAsia" w:ascii="宋体" w:hAnsi="宋体" w:cs="宋体"/>
          <w:b/>
          <w:bCs/>
          <w:iCs/>
          <w:color w:val="000000" w:themeColor="text1"/>
          <w:szCs w:val="21"/>
          <w:highlight w:val="none"/>
          <w:u w:val="single"/>
          <w:lang w:val="zh-CN"/>
          <w14:textFill>
            <w14:solidFill>
              <w14:schemeClr w14:val="tx1"/>
            </w14:solidFill>
          </w14:textFill>
        </w:rPr>
        <w:t xml:space="preserve">十五日</w:t>
      </w:r>
      <w:r>
        <w:rPr>
          <w:rFonts w:hint="eastAsia" w:ascii="宋体" w:hAnsi="宋体" w:cs="宋体"/>
          <w:color w:val="000000" w:themeColor="text1"/>
          <w:szCs w:val="21"/>
          <w:highlight w:val="none"/>
          <w:lang w:val="zh-CN"/>
          <w14:textFill>
            <w14:solidFill>
              <w14:schemeClr w14:val="tx1"/>
            </w14:solidFill>
          </w14:textFill>
        </w:rPr>
        <w:t xml:space="preserve">前，在原招标公告媒体发布更正公告，该澄清或者修改的内容为招标文件的组成部分。</w:t>
      </w:r>
      <w:r/>
    </w:p>
    <w:p>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5.2 招标代理在招标文件要求提交投标文件截止时间前，有权决定延长投标截止时间和开标时间，并</w:t>
      </w:r>
      <w:r>
        <w:rPr>
          <w:rFonts w:hint="eastAsia" w:ascii="宋体" w:hAnsi="宋体" w:cs="宋体"/>
          <w:color w:val="000000" w:themeColor="text1"/>
          <w:highlight w:val="none"/>
          <w14:textFill>
            <w14:solidFill>
              <w14:schemeClr w14:val="tx1"/>
            </w14:solidFill>
          </w14:textFill>
        </w:rPr>
        <w:t xml:space="preserve">在原采购信息发布媒体上发布变更公告。</w:t>
      </w:r>
      <w:r/>
    </w:p>
    <w:p>
      <w:pPr>
        <w:ind w:firstLine="420"/>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w:t>
      </w:r>
      <w:r>
        <w:rPr>
          <w:rFonts w:hint="eastAsia" w:ascii="宋体" w:hAnsi="宋体" w:cs="宋体"/>
          <w:color w:val="000000" w:themeColor="text1"/>
          <w:szCs w:val="21"/>
          <w:highlight w:val="none"/>
          <w:lang w:val="zh-CN"/>
          <w14:textFill>
            <w14:solidFill>
              <w14:schemeClr w14:val="tx1"/>
            </w14:solidFill>
          </w14:textFill>
        </w:rPr>
        <w:t xml:space="preserve">.3 供应商应在投标截止时间前关注</w:t>
      </w:r>
      <w:r>
        <w:rPr>
          <w:rFonts w:hint="eastAsia" w:ascii="宋体" w:hAnsi="宋体" w:cs="宋体"/>
          <w:color w:val="000000" w:themeColor="text1"/>
          <w:highlight w:val="none"/>
          <w14:textFill>
            <w14:solidFill>
              <w14:schemeClr w14:val="tx1"/>
            </w14:solidFill>
          </w14:textFill>
        </w:rPr>
        <w:t xml:space="preserve">原采购信息发布媒体上</w:t>
      </w:r>
      <w:r>
        <w:rPr>
          <w:rFonts w:hint="eastAsia" w:ascii="宋体" w:hAnsi="宋体" w:cs="宋体"/>
          <w:color w:val="000000" w:themeColor="text1"/>
          <w:szCs w:val="21"/>
          <w:highlight w:val="none"/>
          <w:lang w:val="zh-CN"/>
          <w14:textFill>
            <w14:solidFill>
              <w14:schemeClr w14:val="tx1"/>
            </w14:solidFill>
          </w14:textFill>
        </w:rPr>
        <w:t xml:space="preserve">有关本招标项目有无变更公告。</w:t>
      </w:r>
      <w:r>
        <w:rPr>
          <w:rFonts w:hint="eastAsia" w:ascii="宋体" w:hAnsi="宋体"/>
          <w:bCs/>
          <w:color w:val="000000" w:themeColor="text1"/>
          <w:szCs w:val="21"/>
          <w:highlight w:val="none"/>
          <w14:textFill>
            <w14:solidFill>
              <w14:schemeClr w14:val="tx1"/>
            </w14:solidFill>
          </w14:textFill>
        </w:rPr>
        <w:t xml:space="preserve">根据更正公告内容自行决定是否需要重新制作和提交投标文件，并承担由此产生的相应责任。</w:t>
      </w:r>
      <w:r/>
    </w:p>
    <w:p>
      <w:pPr>
        <w:ind w:firstLine="420"/>
        <w:rPr>
          <w:rFonts w:hint="eastAsia" w:ascii="宋体" w:hAnsi="宋体" w:cs="宋体"/>
          <w:b/>
          <w:bCs/>
          <w:color w:val="000000" w:themeColor="text1"/>
          <w:szCs w:val="21"/>
          <w:highlight w:val="none"/>
          <w:lang w:val="zh-CN"/>
          <w14:textFill>
            <w14:solidFill>
              <w14:schemeClr w14:val="tx1"/>
            </w14:solidFill>
          </w14:textFill>
        </w:rPr>
        <w:outlineLvl w:val="0"/>
      </w:pPr>
      <w:r>
        <w:rPr>
          <w:rFonts w:hint="eastAsia" w:ascii="宋体" w:hAnsi="宋体" w:cs="宋体"/>
          <w:b/>
          <w:bCs/>
          <w:color w:val="000000" w:themeColor="text1"/>
          <w:szCs w:val="21"/>
          <w:highlight w:val="none"/>
          <w:lang w:val="zh-CN"/>
          <w14:textFill>
            <w14:solidFill>
              <w14:schemeClr w14:val="tx1"/>
            </w14:solidFill>
          </w14:textFill>
        </w:rPr>
        <w:t xml:space="preserve">三、投标</w:t>
      </w:r>
      <w:r/>
    </w:p>
    <w:p>
      <w:pPr>
        <w:ind w:firstLine="420"/>
        <w:rPr>
          <w:rFonts w:hint="eastAsia"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6、投标文件的语言、计量单位、货币和编制</w:t>
      </w:r>
      <w:r/>
    </w:p>
    <w:p>
      <w:pPr>
        <w:ind w:firstLine="420"/>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6.1 供应商提交的投标文件、技术文件和资料，包括图纸中的说明，以及供应商与招标代理就有关投标的所有来往函电均应使用中文。投标文件中若有英文或其他语言文字的资料，应提供相应的中文翻译资料。对不同文本投标文件的解释发生异议的，以中文文本为准。</w:t>
      </w:r>
      <w:r/>
    </w:p>
    <w:p>
      <w:pPr>
        <w:ind w:firstLine="420"/>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6.2 供应商所使用的计量单位应为国家法定计量单位。</w:t>
      </w:r>
      <w:r/>
    </w:p>
    <w:p>
      <w:pPr>
        <w:ind w:firstLine="420"/>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6.3 供应商应用人民币报价。投标产品如果是进口产品的，应提供人民币与外币之间的汇率。</w:t>
      </w:r>
      <w:r/>
    </w:p>
    <w:p>
      <w:pPr>
        <w:ind w:firstLine="420"/>
        <w:spacing w:line="288"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6.4 </w:t>
      </w:r>
      <w:r>
        <w:rPr>
          <w:rFonts w:hint="eastAsia" w:ascii="宋体" w:hAnsi="宋体"/>
          <w:bCs/>
          <w:color w:val="000000" w:themeColor="text1"/>
          <w:szCs w:val="21"/>
          <w:highlight w:val="none"/>
          <w14:textFill>
            <w14:solidFill>
              <w14:schemeClr w14:val="tx1"/>
            </w14:solidFill>
          </w14:textFill>
        </w:rPr>
        <w:t xml:space="preserve">如标书制作工具中格式和内容与“江苏政府采购网”发布的招标文件不一致，以“江苏政府采购网”发布的招标文件为准。</w:t>
      </w:r>
      <w:r/>
    </w:p>
    <w:p>
      <w:pPr>
        <w:ind w:firstLine="420"/>
        <w:spacing w:line="288" w:lineRule="auto"/>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6.5 供应商应在投标文件中写清相应的项目编号、项目名称、供应商全称、地址、电话、传真等。</w:t>
      </w:r>
      <w:r/>
    </w:p>
    <w:p>
      <w:pPr>
        <w:ind w:firstLine="420"/>
        <w:spacing w:line="288"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6.6 供应商所使用的技术标准应遵循国家最新标准及规范。</w:t>
      </w:r>
      <w:r/>
    </w:p>
    <w:p>
      <w:pPr>
        <w:ind w:firstLine="420"/>
        <w:rPr>
          <w:rFonts w:hint="eastAsia" w:ascii="宋体" w:hAnsi="宋体" w:cs="宋体"/>
          <w:b/>
          <w:bCs/>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7</w:t>
      </w:r>
      <w:r>
        <w:rPr>
          <w:rFonts w:hint="eastAsia" w:ascii="宋体" w:hAnsi="宋体" w:cs="宋体"/>
          <w:b/>
          <w:bCs/>
          <w:color w:val="000000" w:themeColor="text1"/>
          <w:szCs w:val="21"/>
          <w:highlight w:val="none"/>
          <w:lang w:val="zh-CN"/>
          <w14:textFill>
            <w14:solidFill>
              <w14:schemeClr w14:val="tx1"/>
            </w14:solidFill>
          </w14:textFill>
        </w:rPr>
        <w:t xml:space="preserve">、联合投标</w:t>
      </w:r>
      <w:r/>
    </w:p>
    <w:p>
      <w:pPr>
        <w:ind w:firstLine="420"/>
        <w:rPr>
          <w:rFonts w:hint="eastAsia" w:ascii="宋体" w:hAnsi="宋体" w:cs="宋体"/>
          <w:bCs/>
          <w:color w:val="000000" w:themeColor="text1"/>
          <w:szCs w:val="21"/>
          <w:highlight w:val="none"/>
          <w14:textFill>
            <w14:solidFill>
              <w14:schemeClr w14:val="tx1"/>
            </w14:solidFill>
          </w14:textFill>
        </w:rPr>
        <w:outlineLvl w:val="0"/>
      </w:pPr>
      <w:r>
        <w:rPr>
          <w:rFonts w:hint="eastAsia" w:ascii="宋体" w:hAnsi="宋体" w:cs="宋体"/>
          <w:bCs/>
          <w:color w:val="000000" w:themeColor="text1"/>
          <w:szCs w:val="21"/>
          <w:highlight w:val="none"/>
          <w14:textFill>
            <w14:solidFill>
              <w14:schemeClr w14:val="tx1"/>
            </w14:solidFill>
          </w14:textFill>
        </w:rPr>
        <w:t xml:space="preserve">本次招标不接受联合体投标。</w:t>
      </w:r>
      <w:r/>
    </w:p>
    <w:p>
      <w:pPr>
        <w:ind w:firstLine="420"/>
        <w:rPr>
          <w:rFonts w:hint="eastAsia" w:ascii="宋体" w:hAnsi="宋体" w:cs="宋体"/>
          <w:b/>
          <w:bCs/>
          <w:color w:val="000000" w:themeColor="text1"/>
          <w:szCs w:val="21"/>
          <w:highlight w:val="none"/>
          <w:lang w:val="zh-CN"/>
          <w14:textFill>
            <w14:solidFill>
              <w14:schemeClr w14:val="tx1"/>
            </w14:solidFill>
          </w14:textFill>
        </w:rPr>
        <w:outlineLvl w:val="0"/>
      </w:pPr>
      <w:r>
        <w:rPr>
          <w:rFonts w:hint="eastAsia" w:ascii="宋体" w:hAnsi="宋体" w:cs="宋体"/>
          <w:b/>
          <w:bCs/>
          <w:color w:val="000000" w:themeColor="text1"/>
          <w:szCs w:val="21"/>
          <w:highlight w:val="none"/>
          <w:lang w:val="zh-CN"/>
          <w14:textFill>
            <w14:solidFill>
              <w14:schemeClr w14:val="tx1"/>
            </w14:solidFill>
          </w14:textFill>
        </w:rPr>
        <w:t xml:space="preserve">8、投标费用</w:t>
      </w:r>
      <w:r/>
    </w:p>
    <w:p>
      <w:pPr>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8.1 供应商应自行承担所有与准备和参加投标有关的费用。</w:t>
      </w:r>
      <w:r/>
    </w:p>
    <w:p>
      <w:pPr>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8.2</w:t>
      </w:r>
      <w:r>
        <w:rPr>
          <w:rFonts w:hint="eastAsia"/>
          <w:color w:val="000000" w:themeColor="text1"/>
          <w:highlight w:val="none"/>
          <w14:textFill>
            <w14:solidFill>
              <w14:schemeClr w14:val="tx1"/>
            </w14:solidFill>
          </w14:textFill>
        </w:rPr>
        <w:t xml:space="preserve"> 本次招标，中标人按《招标代理服务费管理暂行办法》（国家发展计划委员会计价格【2002】1980 号）代理服务招标收费标准的48%计算，超过18000元的按固定金额人民币18000元计算，在领取中标通知书前向采购代理机构支付招标服务费。该项费用请投标人综合考虑在投标报价中，后期采购人不单独列支，必须在领取中标通知书前向招标代理机构支付招标服务费。</w:t>
      </w:r>
      <w:r/>
    </w:p>
    <w:p>
      <w:pPr>
        <w:ind w:firstLine="420"/>
        <w:rPr>
          <w:rFonts w:hint="eastAsia"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9、投标文件组成</w:t>
      </w:r>
      <w:r/>
    </w:p>
    <w:p>
      <w:pPr>
        <w:ind w:firstLine="420"/>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9.1 </w:t>
      </w:r>
      <w:r>
        <w:rPr>
          <w:rFonts w:hint="eastAsia" w:ascii="宋体" w:hAnsi="宋体" w:cs="宋体"/>
          <w:color w:val="000000" w:themeColor="text1"/>
          <w:szCs w:val="21"/>
          <w:highlight w:val="none"/>
          <w14:textFill>
            <w14:solidFill>
              <w14:schemeClr w14:val="tx1"/>
            </w14:solidFill>
          </w14:textFill>
        </w:rPr>
        <w:t xml:space="preserve">供应商应当根据招标文件要求编制投标文件，投标文件应对招标文件提出的要求和条件作出实质性响应，并在</w:t>
      </w:r>
      <w:r>
        <w:rPr>
          <w:rFonts w:hint="eastAsia" w:ascii="宋体" w:hAnsi="宋体" w:cs="宋体"/>
          <w:color w:val="000000" w:themeColor="text1"/>
          <w:szCs w:val="21"/>
          <w:highlight w:val="none"/>
          <w:lang w:val="zh-CN"/>
          <w14:textFill>
            <w14:solidFill>
              <w14:schemeClr w14:val="tx1"/>
            </w14:solidFill>
          </w14:textFill>
        </w:rPr>
        <w:t xml:space="preserve">《商务条款偏离表》和《技术条款偏离表》等处</w:t>
      </w:r>
      <w:r>
        <w:rPr>
          <w:rFonts w:hint="eastAsia" w:ascii="宋体" w:hAnsi="宋体" w:cs="宋体"/>
          <w:color w:val="000000" w:themeColor="text1"/>
          <w:szCs w:val="21"/>
          <w:highlight w:val="none"/>
          <w14:textFill>
            <w14:solidFill>
              <w14:schemeClr w14:val="tx1"/>
            </w14:solidFill>
          </w14:textFill>
        </w:rPr>
        <w:t xml:space="preserve">逐条标明满足与否。</w:t>
      </w:r>
      <w:r/>
    </w:p>
    <w:p>
      <w:pPr>
        <w:ind w:firstLine="411"/>
        <w:rPr>
          <w:rFonts w:hint="eastAsia" w:ascii="宋体" w:hAnsi="宋体" w:cs="宋体"/>
          <w:b/>
          <w:color w:val="000000" w:themeColor="text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9.2 供应商根据招标文件载明的标的采购项目实际情况，拟在中标后将中标项目的非主体、非关键性工作交由他人完成的，应当在投标文件中载明。</w:t>
      </w:r>
      <w:r/>
    </w:p>
    <w:p>
      <w:pPr>
        <w:ind w:firstLine="420"/>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w:t>
      </w:r>
      <w:r>
        <w:rPr>
          <w:rFonts w:hint="eastAsia" w:ascii="宋体" w:hAnsi="宋体" w:cs="宋体"/>
          <w:color w:val="000000" w:themeColor="text1"/>
          <w:szCs w:val="21"/>
          <w:highlight w:val="none"/>
          <w:lang w:val="zh-CN"/>
          <w14:textFill>
            <w14:solidFill>
              <w14:schemeClr w14:val="tx1"/>
            </w14:solidFill>
          </w14:textFill>
        </w:rPr>
        <w:t xml:space="preserve">.3 投标文件由商务部分、技术部分、价格部分，以及其他部分组成。</w:t>
      </w:r>
      <w:r/>
    </w:p>
    <w:p>
      <w:pPr>
        <w:ind w:firstLine="422"/>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10、投标文件的商务部分</w:t>
      </w:r>
      <w:r/>
    </w:p>
    <w:p>
      <w:pPr>
        <w:ind w:firstLine="420"/>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10.1 商务部分是证明供应商有资格参加投标和中标后有能力履行合同的文件，</w:t>
      </w:r>
      <w:r>
        <w:rPr>
          <w:rFonts w:hint="eastAsia" w:ascii="宋体" w:hAnsi="宋体" w:cs="宋体"/>
          <w:color w:val="000000" w:themeColor="text1"/>
          <w:szCs w:val="21"/>
          <w:highlight w:val="none"/>
          <w14:textFill>
            <w14:solidFill>
              <w14:schemeClr w14:val="tx1"/>
            </w14:solidFill>
          </w14:textFill>
        </w:rPr>
        <w:t xml:space="preserve">这些文件应能满足招标的要求</w:t>
      </w:r>
      <w:r>
        <w:rPr>
          <w:rFonts w:hint="eastAsia" w:ascii="宋体" w:hAnsi="宋体" w:cs="宋体"/>
          <w:color w:val="000000" w:themeColor="text1"/>
          <w:szCs w:val="21"/>
          <w:highlight w:val="none"/>
          <w:lang w:val="zh-CN"/>
          <w14:textFill>
            <w14:solidFill>
              <w14:schemeClr w14:val="tx1"/>
            </w14:solidFill>
          </w14:textFill>
        </w:rPr>
        <w:t xml:space="preserve">，包括但不限于下列文件，其中加</w:t>
      </w: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项目不得有缺失或无效。</w:t>
      </w:r>
      <w:r/>
    </w:p>
    <w:p>
      <w:pPr>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rPr>
          <w:rFonts w:hint="eastAsia" w:ascii="宋体" w:hAnsi="宋体" w:cs="宋体"/>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投标函（投标申请及声明）；</w:t>
      </w:r>
      <w:r/>
    </w:p>
    <w:p>
      <w:pPr>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w:t>
      </w:r>
      <w:r>
        <w:rPr>
          <w:rFonts w:hint="eastAsia" w:ascii="宋体" w:hAnsi="宋体" w:cs="宋体"/>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法定代表人授权委托书及委托代理人的身份证复印件； </w:t>
      </w:r>
      <w:r/>
    </w:p>
    <w:p>
      <w:pPr>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（3）</w:t>
      </w: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第一章投标邀请中二、申请人的资格要求：1.《中华人民共和国政府采购法》规定的资格条件证明文件</w:t>
      </w:r>
      <w:r>
        <w:rPr>
          <w:color w:val="000000" w:themeColor="text1"/>
          <w:highlight w:val="none"/>
          <w14:textFill>
            <w14:solidFill>
              <w14:schemeClr w14:val="tx1"/>
            </w14:solidFill>
          </w14:textFill>
        </w:rPr>
        <w:t xml:space="preserve">； </w:t>
      </w:r>
      <w:r/>
    </w:p>
    <w:p>
      <w:pPr>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（4）</w:t>
      </w: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第一章投标邀请中</w:t>
      </w:r>
      <w:r>
        <w:rPr>
          <w:rFonts w:hint="eastAsia" w:ascii="宋体" w:hAnsi="宋体" w:cs="宋体"/>
          <w:color w:val="000000" w:themeColor="text1"/>
          <w:szCs w:val="21"/>
          <w:highlight w:val="none"/>
          <w14:textFill>
            <w14:solidFill>
              <w14:schemeClr w14:val="tx1"/>
            </w14:solidFill>
          </w14:textFill>
        </w:rPr>
        <w:t xml:space="preserve">二、申请人的资格要求：3.本项目的特定资格要求</w:t>
      </w:r>
      <w:r>
        <w:rPr>
          <w:rFonts w:hint="eastAsia" w:ascii="宋体" w:hAnsi="宋体" w:cs="宋体"/>
          <w:color w:val="000000" w:themeColor="text1"/>
          <w:szCs w:val="21"/>
          <w:highlight w:val="none"/>
          <w:lang w:val="zh-CN"/>
          <w14:textFill>
            <w14:solidFill>
              <w14:schemeClr w14:val="tx1"/>
            </w14:solidFill>
          </w14:textFill>
        </w:rPr>
        <w:t xml:space="preserve">证明文件</w:t>
      </w:r>
      <w:r>
        <w:rPr>
          <w:rFonts w:hint="eastAsia"/>
          <w:color w:val="000000" w:themeColor="text1"/>
          <w:highlight w:val="none"/>
          <w14:textFill>
            <w14:solidFill>
              <w14:schemeClr w14:val="tx1"/>
            </w14:solidFill>
          </w14:textFill>
        </w:rPr>
        <w:t xml:space="preserve">（若有）</w:t>
      </w:r>
      <w:r>
        <w:rPr>
          <w:color w:val="000000" w:themeColor="text1"/>
          <w:highlight w:val="none"/>
          <w14:textFill>
            <w14:solidFill>
              <w14:schemeClr w14:val="tx1"/>
            </w14:solidFill>
          </w14:textFill>
        </w:rPr>
        <w:t xml:space="preserve">；  </w:t>
      </w:r>
      <w:r/>
    </w:p>
    <w:p>
      <w:pPr>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5</w:t>
      </w:r>
      <w:r>
        <w:rPr>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开标一览表；</w:t>
      </w:r>
      <w:r/>
    </w:p>
    <w:p>
      <w:pPr>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6</w:t>
      </w:r>
      <w:r>
        <w:rPr>
          <w:color w:val="000000" w:themeColor="text1"/>
          <w:highlight w:val="none"/>
          <w14:textFill>
            <w14:solidFill>
              <w14:schemeClr w14:val="tx1"/>
            </w14:solidFill>
          </w14:textFill>
        </w:rPr>
        <w:t xml:space="preserve">）《商务条款偏离表》； </w:t>
      </w:r>
      <w:r/>
    </w:p>
    <w:p>
      <w:pPr>
        <w:ind w:firstLine="420"/>
        <w:spacing w:line="288" w:lineRule="auto"/>
        <w:rPr>
          <w:rFonts w:hint="eastAsia" w:ascii="宋体" w:hAnsi="宋体" w:cs="宋体"/>
          <w:color w:val="000000" w:themeColor="text1"/>
          <w:szCs w:val="21"/>
          <w:highlight w:val="none"/>
          <w14:textFill>
            <w14:solidFill>
              <w14:schemeClr w14:val="tx1"/>
            </w14:solidFill>
          </w14:textFill>
        </w:rPr>
      </w:pPr>
      <w:r>
        <w:rPr>
          <w:color w:val="000000" w:themeColor="text1"/>
          <w:highlight w:val="non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7</w:t>
      </w:r>
      <w:r>
        <w:rPr>
          <w:color w:val="000000" w:themeColor="text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合同条款</w:t>
      </w:r>
      <w:r/>
    </w:p>
    <w:p>
      <w:pPr>
        <w:ind w:firstLine="42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（8）</w:t>
      </w:r>
      <w:r>
        <w:rPr>
          <w:color w:val="000000" w:themeColor="text1"/>
          <w:highlight w:val="none"/>
          <w14:textFill>
            <w14:solidFill>
              <w14:schemeClr w14:val="tx1"/>
            </w14:solidFill>
          </w14:textFill>
        </w:rPr>
        <w:t xml:space="preserve">供应商认为需要提供的其他资格证明文件和商务资料。</w:t>
      </w:r>
      <w:r/>
    </w:p>
    <w:p>
      <w:pPr>
        <w:ind w:firstLine="420"/>
        <w:rPr>
          <w:rFonts w:hint="eastAsia"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11、投标文件的技术部分</w:t>
      </w:r>
      <w:r/>
    </w:p>
    <w:p>
      <w:pPr>
        <w:ind w:firstLine="420"/>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11.1 技术部分是证明</w:t>
      </w:r>
      <w:r>
        <w:rPr>
          <w:rFonts w:hint="eastAsia" w:ascii="宋体" w:hAnsi="宋体" w:cs="宋体"/>
          <w:color w:val="000000" w:themeColor="text1"/>
          <w:szCs w:val="21"/>
          <w:highlight w:val="none"/>
          <w14:textFill>
            <w14:solidFill>
              <w14:schemeClr w14:val="tx1"/>
            </w14:solidFill>
          </w14:textFill>
        </w:rPr>
        <w:t xml:space="preserve">供应商提供的产品和服务是合格的、并符合招标文件要求的证明文件，以及</w:t>
      </w:r>
      <w:r>
        <w:rPr>
          <w:rFonts w:hint="eastAsia" w:ascii="宋体" w:hAnsi="宋体" w:cs="宋体"/>
          <w:color w:val="000000" w:themeColor="text1"/>
          <w:szCs w:val="21"/>
          <w:highlight w:val="none"/>
          <w:lang w:val="zh-CN"/>
          <w14:textFill>
            <w14:solidFill>
              <w14:schemeClr w14:val="tx1"/>
            </w14:solidFill>
          </w14:textFill>
        </w:rPr>
        <w:t xml:space="preserve">对投标报价表中的服务的详细说明，这些文件可以是文字资料、图纸和数据等。</w:t>
      </w:r>
      <w:r/>
    </w:p>
    <w:p>
      <w:pPr>
        <w:ind w:firstLine="420"/>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11.2 若技术性能无特殊说明，则按国家有关部门最新颁布的标准及规范为准；</w:t>
      </w:r>
      <w:r/>
    </w:p>
    <w:p>
      <w:pPr>
        <w:ind w:firstLine="420"/>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11.3 提供的服务如与招标文件要求有不符之处，应说明其差别之所在，并在《技术条款偏离表》中逐条予以说明。</w:t>
      </w:r>
      <w:r/>
    </w:p>
    <w:p>
      <w:pPr>
        <w:ind w:firstLine="420"/>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11.4 投标文件应按照招标文件要求提供技术资料、文件和有关证明，包括但不限于其中加</w:t>
      </w: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项目不得有缺失或无效：</w:t>
      </w:r>
      <w:r/>
    </w:p>
    <w:p>
      <w:pPr>
        <w:ind w:firstLine="420"/>
        <w:rPr>
          <w:rFonts w:hint="eastAsia"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（1）技术说明或服务方案；</w:t>
      </w:r>
      <w:r/>
    </w:p>
    <w:p>
      <w:pPr>
        <w:ind w:firstLine="420"/>
        <w:rPr>
          <w:rFonts w:hint="eastAsia"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（2）《技术条款偏离表》； </w:t>
      </w:r>
      <w:r/>
    </w:p>
    <w:p>
      <w:pPr>
        <w:ind w:firstLine="420"/>
        <w:rPr>
          <w:rFonts w:hint="eastAsia"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（3）服务承诺； </w:t>
      </w:r>
      <w:r/>
    </w:p>
    <w:p>
      <w:pPr>
        <w:ind w:firstLine="420"/>
        <w:rPr>
          <w:rFonts w:hint="eastAsia"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（4）投标人拟投入本项目的设备、人员情况一览表； </w:t>
      </w:r>
      <w:r/>
    </w:p>
    <w:p>
      <w:pPr>
        <w:ind w:firstLine="420"/>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（5）供应商认为需要提供的其他技术资料。</w:t>
      </w:r>
      <w:r/>
    </w:p>
    <w:p>
      <w:pPr>
        <w:ind w:firstLine="420"/>
        <w:rPr>
          <w:rFonts w:hint="eastAsia"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12、投标文件的价格部分</w:t>
      </w:r>
      <w:r/>
    </w:p>
    <w:p>
      <w:pPr>
        <w:ind w:firstLine="420"/>
        <w:spacing w:line="288" w:lineRule="auto"/>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12.1价格部分是对投标服务价格构成的说明，</w:t>
      </w:r>
      <w:r>
        <w:rPr>
          <w:rFonts w:hint="eastAsia" w:ascii="宋体" w:hAnsi="宋体" w:cs="宋体"/>
          <w:color w:val="000000" w:themeColor="text1"/>
          <w:szCs w:val="21"/>
          <w:highlight w:val="none"/>
          <w14:textFill>
            <w14:solidFill>
              <w14:schemeClr w14:val="tx1"/>
            </w14:solidFill>
          </w14:textFill>
        </w:rPr>
        <w:t xml:space="preserve">招标文件如没有特别说明的话，</w:t>
      </w:r>
      <w:r>
        <w:rPr>
          <w:rFonts w:hint="eastAsia" w:ascii="宋体" w:hAnsi="宋体" w:cs="宋体"/>
          <w:color w:val="000000" w:themeColor="text1"/>
          <w:szCs w:val="21"/>
          <w:highlight w:val="none"/>
          <w:lang w:val="zh-CN"/>
          <w14:textFill>
            <w14:solidFill>
              <w14:schemeClr w14:val="tx1"/>
            </w14:solidFill>
          </w14:textFill>
        </w:rPr>
        <w:t xml:space="preserve">每一项服务仅接受一个价格。</w:t>
      </w:r>
      <w:r>
        <w:rPr>
          <w:rFonts w:hint="eastAsia" w:ascii="宋体" w:hAnsi="宋体" w:cs="宋体"/>
          <w:color w:val="000000" w:themeColor="text1"/>
          <w:szCs w:val="21"/>
          <w:highlight w:val="none"/>
          <w14:textFill>
            <w14:solidFill>
              <w14:schemeClr w14:val="tx1"/>
            </w14:solidFill>
          </w14:textFill>
        </w:rPr>
        <w:t xml:space="preserve">投标人应按照招标文件规定格式填报投标分项报价表。</w:t>
      </w:r>
      <w:r/>
    </w:p>
    <w:p>
      <w:pPr>
        <w:ind w:firstLine="420"/>
        <w:spacing w:line="288"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12.2</w:t>
      </w:r>
      <w:r>
        <w:rPr>
          <w:rFonts w:hint="eastAsia" w:ascii="宋体" w:hAnsi="宋体" w:cs="宋体"/>
          <w:color w:val="000000" w:themeColor="text1"/>
          <w:szCs w:val="21"/>
          <w:highlight w:val="none"/>
          <w14:textFill>
            <w14:solidFill>
              <w14:schemeClr w14:val="tx1"/>
            </w14:solidFill>
          </w14:textFill>
        </w:rPr>
        <w:t xml:space="preserve">报价应包含货物设计、制造、包装、仓储、运输装缷、保险、安装、调试及其材料及验收合格之前保管及保修期内备品备件、专用工具、伴随服务、技术图纸资料、人员培训发生的所有含税费用、支付给员工的工资和国家强制缴纳的各种社会保障资金，以及供应商认为需要的其他费用等</w:t>
      </w:r>
      <w:r>
        <w:rPr>
          <w:rFonts w:hint="eastAsia" w:ascii="宋体" w:hAnsi="宋体" w:cs="宋体"/>
          <w:b/>
          <w:color w:val="000000" w:themeColor="text1"/>
          <w:szCs w:val="21"/>
          <w:highlight w:val="none"/>
          <w14:textFill>
            <w14:solidFill>
              <w14:schemeClr w14:val="tx1"/>
            </w14:solidFill>
          </w14:textFill>
        </w:rPr>
        <w:t xml:space="preserve">。</w:t>
      </w:r>
      <w:r/>
    </w:p>
    <w:p>
      <w:pPr>
        <w:ind w:firstLine="420"/>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12.3供应商的任何错漏、优惠、竞争性报价不得作为减轻责任、减少服务、增加收费、降低质量的理由。</w:t>
      </w:r>
      <w:r/>
    </w:p>
    <w:p>
      <w:pPr>
        <w:ind w:firstLine="420"/>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12.4供应商应在《开标一览表》、《分项报价</w:t>
      </w:r>
      <w:r>
        <w:rPr>
          <w:rFonts w:hint="eastAsia" w:ascii="宋体" w:hAnsi="宋体" w:cs="宋体"/>
          <w:color w:val="000000" w:themeColor="text1"/>
          <w:szCs w:val="21"/>
          <w:highlight w:val="none"/>
          <w14:textFill>
            <w14:solidFill>
              <w14:schemeClr w14:val="tx1"/>
            </w14:solidFill>
          </w14:textFill>
        </w:rPr>
        <w:t xml:space="preserve">表</w:t>
      </w:r>
      <w:r>
        <w:rPr>
          <w:rFonts w:hint="eastAsia" w:ascii="宋体" w:hAnsi="宋体" w:cs="宋体"/>
          <w:color w:val="000000" w:themeColor="text1"/>
          <w:szCs w:val="21"/>
          <w:highlight w:val="none"/>
          <w:lang w:val="zh-CN"/>
          <w14:textFill>
            <w14:solidFill>
              <w14:schemeClr w14:val="tx1"/>
            </w14:solidFill>
          </w14:textFill>
        </w:rPr>
        <w:t xml:space="preserve">》等标明提供</w:t>
      </w:r>
      <w:r>
        <w:rPr>
          <w:rFonts w:hint="eastAsia" w:ascii="宋体" w:hAnsi="宋体" w:cs="宋体"/>
          <w:color w:val="000000" w:themeColor="text1"/>
          <w:szCs w:val="21"/>
          <w:highlight w:val="none"/>
          <w14:textFill>
            <w14:solidFill>
              <w14:schemeClr w14:val="tx1"/>
            </w14:solidFill>
          </w14:textFill>
        </w:rPr>
        <w:t xml:space="preserve">货物和</w:t>
      </w:r>
      <w:r>
        <w:rPr>
          <w:rFonts w:hint="eastAsia" w:ascii="宋体" w:hAnsi="宋体" w:cs="宋体"/>
          <w:color w:val="000000" w:themeColor="text1"/>
          <w:szCs w:val="21"/>
          <w:highlight w:val="none"/>
          <w:lang w:val="zh-CN"/>
          <w14:textFill>
            <w14:solidFill>
              <w14:schemeClr w14:val="tx1"/>
            </w14:solidFill>
          </w14:textFill>
        </w:rPr>
        <w:t xml:space="preserve">服务的单价、总价以及分项报价。供应商系小企业（含小型、微型企业），并由本企业提供服务，须在《开标一览表》、《分项报价</w:t>
      </w:r>
      <w:r>
        <w:rPr>
          <w:rFonts w:hint="eastAsia" w:ascii="宋体" w:hAnsi="宋体" w:cs="宋体"/>
          <w:color w:val="000000" w:themeColor="text1"/>
          <w:szCs w:val="21"/>
          <w:highlight w:val="none"/>
          <w14:textFill>
            <w14:solidFill>
              <w14:schemeClr w14:val="tx1"/>
            </w14:solidFill>
          </w14:textFill>
        </w:rPr>
        <w:t xml:space="preserve">表</w:t>
      </w:r>
      <w:r>
        <w:rPr>
          <w:rFonts w:hint="eastAsia" w:ascii="宋体" w:hAnsi="宋体" w:cs="宋体"/>
          <w:color w:val="000000" w:themeColor="text1"/>
          <w:szCs w:val="21"/>
          <w:highlight w:val="none"/>
          <w:lang w:val="zh-CN"/>
          <w14:textFill>
            <w14:solidFill>
              <w14:schemeClr w14:val="tx1"/>
            </w14:solidFill>
          </w14:textFill>
        </w:rPr>
        <w:t xml:space="preserve">》中注明,供应商应当如实申报,否则评标委员会有权取消其小微企业优惠政策。</w:t>
      </w:r>
      <w:r/>
    </w:p>
    <w:p>
      <w:pPr>
        <w:ind w:firstLine="420"/>
        <w:spacing w:line="288" w:lineRule="auto"/>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12.5</w:t>
      </w:r>
      <w:r>
        <w:rPr>
          <w:rFonts w:hint="eastAsia" w:ascii="宋体" w:hAnsi="宋体" w:cs="宋体"/>
          <w:color w:val="000000" w:themeColor="text1"/>
          <w:szCs w:val="21"/>
          <w:highlight w:val="none"/>
          <w:lang w:val="zh-CN"/>
          <w14:textFill>
            <w14:solidFill>
              <w14:schemeClr w14:val="tx1"/>
            </w14:solidFill>
          </w14:textFill>
        </w:rPr>
        <w:t xml:space="preserve">《开标一览表》须加盖电子公章。</w:t>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12.6评审中出现下列情形之一的，评审委员会应当启动异常低价投标（响应）审查程序：</w:t>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（3）投标（响应）报价低于采购项目最高限价45%的，即投标（响应）报价&lt;采购项目最高限价×45%；</w:t>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（4）评审委员会基于专业判断，认为供应商报价过低，有可能影响产品质量或者不能诚信履约的其他情形。</w:t>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相关法律法规对供应商报价有规定的，从其规定。</w:t>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12.7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288" w:lineRule="auto"/>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12.8启动异常低价投标（响应）审查程序后，评标委员会将通过“苏采云”系统要求供应商作出必要的说明，并规定回复时间。供应商说明应当采用通过“苏采云”系统（使用“CA数字证书”，加盖电子签章）形式。</w:t>
      </w:r>
      <w:r/>
    </w:p>
    <w:p>
      <w:pPr>
        <w:ind w:firstLine="420"/>
        <w:rPr>
          <w:rFonts w:hint="eastAsia"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13、投标文件的其他部分</w:t>
      </w:r>
      <w:r/>
    </w:p>
    <w:p>
      <w:pPr>
        <w:ind w:firstLine="420"/>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13.1其他部分由供应商根据编制投标文件需要提供的其他相关文件。</w:t>
      </w:r>
      <w:r/>
    </w:p>
    <w:p>
      <w:pPr>
        <w:ind w:firstLine="420"/>
        <w:rPr>
          <w:rFonts w:hint="eastAsia"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14、投标保证金：无</w:t>
      </w:r>
      <w:r/>
    </w:p>
    <w:p>
      <w:pPr>
        <w:ind w:firstLine="420"/>
        <w:rPr>
          <w:rFonts w:hint="eastAsia"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15、投标有效期</w:t>
      </w:r>
      <w:r/>
    </w:p>
    <w:p>
      <w:pPr>
        <w:ind w:firstLine="420"/>
        <w:rPr>
          <w:rFonts w:hint="eastAsia"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15.1 自开标之日起60天内投标有效。</w:t>
      </w:r>
      <w:r/>
    </w:p>
    <w:p>
      <w:pPr>
        <w:ind w:firstLine="420"/>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15.2 在特殊情况下，在原投标有效期截止之前，招标代理可要求供应商同意延长投标有效期，这种要求与答复均以书面形式提交。供应商可拒绝这种要求，并且不影响保证金退还。接受延长投标有效期的供应商将不会要求和允许修正其投标。</w:t>
      </w:r>
      <w:r/>
    </w:p>
    <w:p>
      <w:pPr>
        <w:ind w:firstLine="420"/>
        <w:rPr>
          <w:rFonts w:hint="eastAsia"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16、投标文件的份数、签署</w:t>
      </w:r>
      <w:r/>
    </w:p>
    <w:p>
      <w:pPr>
        <w:ind w:firstLine="420"/>
        <w:spacing w:line="288"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16.1 </w:t>
      </w:r>
      <w:r>
        <w:rPr>
          <w:rFonts w:hint="eastAsia" w:ascii="宋体" w:hAnsi="宋体" w:cs="宋体"/>
          <w:color w:val="000000" w:themeColor="text1"/>
          <w:szCs w:val="21"/>
          <w:highlight w:val="none"/>
          <w14:textFill>
            <w14:solidFill>
              <w14:schemeClr w14:val="tx1"/>
            </w14:solidFill>
          </w14:textFill>
        </w:rPr>
        <w:t xml:space="preserve">投标文件应加盖响应供应商公章，招标文件中注明须签字的地方应由供应商的法定代表人或委托代理人签字。</w:t>
      </w:r>
      <w:r/>
    </w:p>
    <w:p>
      <w:pPr>
        <w:ind w:firstLine="420"/>
        <w:rPr>
          <w:rFonts w:hint="eastAsia" w:ascii="宋体" w:hAnsi="宋体" w:cs="宋体"/>
          <w:bCs/>
          <w:color w:val="000000" w:themeColor="text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16.2 </w:t>
      </w:r>
      <w:r>
        <w:rPr>
          <w:rFonts w:hint="eastAsia" w:ascii="宋体" w:hAnsi="宋体" w:cs="宋体"/>
          <w:bCs/>
          <w:color w:val="000000" w:themeColor="text1"/>
          <w:highlight w:val="none"/>
          <w14:textFill>
            <w14:solidFill>
              <w14:schemeClr w14:val="tx1"/>
            </w14:solidFill>
          </w14:textFill>
        </w:rPr>
        <w:t xml:space="preserve">除投标人对错处做必要修改外，投标文件不得行间插字、涂改或增删。如有修改错漏处，必须由投标文件签署人签字或盖章。</w:t>
      </w:r>
      <w:r/>
    </w:p>
    <w:p>
      <w:pPr>
        <w:ind w:firstLine="420"/>
        <w:rPr>
          <w:rFonts w:hint="eastAsia"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17、投标文件的密封和递交</w:t>
      </w:r>
      <w:r/>
    </w:p>
    <w:p>
      <w:pPr>
        <w:ind w:firstLine="420"/>
        <w:spacing w:line="288"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17.1 </w:t>
      </w:r>
      <w:r>
        <w:rPr>
          <w:rFonts w:hint="eastAsia" w:ascii="宋体" w:hAnsi="宋体" w:cs="宋体"/>
          <w:color w:val="000000" w:themeColor="text1"/>
          <w:szCs w:val="21"/>
          <w:highlight w:val="none"/>
          <w14:textFill>
            <w14:solidFill>
              <w14:schemeClr w14:val="tx1"/>
            </w14:solidFill>
          </w14:textFill>
        </w:rPr>
        <w:t xml:space="preserve">投标人应当按照《操作手册》规定，在招标公告规定的投标截止时间前制作并上传电子投标文件。</w:t>
      </w:r>
      <w:r/>
    </w:p>
    <w:p>
      <w:pPr>
        <w:ind w:firstLine="420"/>
        <w:spacing w:line="288"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17.2投标人应当按照《操作手册》规定，在苏采云系统规定的时间内对投标文件进行解密。</w:t>
      </w:r>
      <w:r/>
    </w:p>
    <w:p>
      <w:pPr>
        <w:ind w:firstLine="420"/>
        <w:spacing w:line="288"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17.3 所有投标人使用 CA 证书在递交响应文件截止后，解密各自响应文件，投标人不足3家的，不得评标。</w:t>
      </w:r>
      <w:r/>
    </w:p>
    <w:p>
      <w:pPr>
        <w:ind w:firstLine="420"/>
        <w:spacing w:line="288"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17.4 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因采购人原因或网上招投标平台发生故障，导致无法按时完成投标文件解密或开、评标工作无法进行的，可根据实际情况相应延迟解密时间或调整开、评标时间。部分投标文件未解密的，其他投标文件的评标可以继续进行。</w:t>
      </w:r>
      <w:r/>
    </w:p>
    <w:p>
      <w:pPr>
        <w:ind w:firstLine="420"/>
        <w:spacing w:line="288"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17.5 代理机构有权通过修改招标文件酌情延长投标截止时间，在此情况下，投标人的所有权利和义务均以延长后新的截止时间为准。</w:t>
      </w:r>
      <w:r/>
    </w:p>
    <w:p>
      <w:pPr>
        <w:ind w:firstLine="420"/>
        <w:rPr>
          <w:rFonts w:hint="eastAsia"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18、有下列情形之一的投标文件将拒收：</w:t>
      </w:r>
      <w:r/>
    </w:p>
    <w:p>
      <w:pPr>
        <w:ind w:firstLine="420"/>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18.1 在招标文件要求提交投标文件的截止时间之后</w:t>
      </w:r>
      <w:r>
        <w:rPr>
          <w:rFonts w:hint="eastAsia" w:ascii="宋体" w:hAnsi="宋体" w:cs="宋体"/>
          <w:color w:val="000000" w:themeColor="text1"/>
          <w:szCs w:val="21"/>
          <w:highlight w:val="none"/>
          <w14:textFill>
            <w14:solidFill>
              <w14:schemeClr w14:val="tx1"/>
            </w14:solidFill>
          </w14:textFill>
        </w:rPr>
        <w:t xml:space="preserve">上传</w:t>
      </w:r>
      <w:r>
        <w:rPr>
          <w:rFonts w:hint="eastAsia" w:ascii="宋体" w:hAnsi="宋体" w:cs="宋体"/>
          <w:color w:val="000000" w:themeColor="text1"/>
          <w:szCs w:val="21"/>
          <w:highlight w:val="none"/>
          <w:lang w:val="zh-CN"/>
          <w14:textFill>
            <w14:solidFill>
              <w14:schemeClr w14:val="tx1"/>
            </w14:solidFill>
          </w14:textFill>
        </w:rPr>
        <w:t xml:space="preserve">的。</w:t>
      </w:r>
      <w:r/>
    </w:p>
    <w:p>
      <w:pPr>
        <w:ind w:firstLine="420"/>
        <w:rPr>
          <w:rFonts w:hint="eastAsia"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19、投标文件的修改和撤回</w:t>
      </w:r>
      <w:r/>
    </w:p>
    <w:p>
      <w:pPr>
        <w:ind w:firstLine="420"/>
        <w:spacing w:line="288"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19.1 </w:t>
      </w:r>
      <w:r>
        <w:rPr>
          <w:rFonts w:hint="eastAsia" w:ascii="宋体" w:hAnsi="宋体" w:cs="宋体"/>
          <w:color w:val="000000" w:themeColor="text1"/>
          <w:szCs w:val="21"/>
          <w:highlight w:val="none"/>
          <w14:textFill>
            <w14:solidFill>
              <w14:schemeClr w14:val="tx1"/>
            </w14:solidFill>
          </w14:textFill>
        </w:rPr>
        <w:t xml:space="preserve">投标文件的修改</w:t>
      </w:r>
      <w:r/>
    </w:p>
    <w:p>
      <w:pPr>
        <w:ind w:firstLine="420"/>
        <w:spacing w:line="288"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19.1.1 投标人可在投标截止时间前对其电子投标文件进行修改，具体操作方法见《操作手册》。</w:t>
      </w:r>
      <w:r/>
    </w:p>
    <w:p>
      <w:pPr>
        <w:ind w:firstLine="420"/>
        <w:spacing w:line="288"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19.1.2 投标截止时间之后，投标人不得对其电子投标文件作任何修改。</w:t>
      </w:r>
      <w:r/>
    </w:p>
    <w:p>
      <w:pPr>
        <w:ind w:firstLine="420"/>
        <w:spacing w:line="288"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19.2 投标文件的撤回</w:t>
      </w:r>
      <w:r/>
    </w:p>
    <w:p>
      <w:pPr>
        <w:ind w:firstLine="420"/>
        <w:spacing w:line="288"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19.2.1 投标人可在投标截止时间前撤回其电子投标文件，具体操作方法见《操作手册》。</w:t>
      </w:r>
      <w:r/>
    </w:p>
    <w:p>
      <w:pPr>
        <w:ind w:firstLine="420"/>
        <w:spacing w:line="288"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19.2.2 投标人撤回电子投标文件，则认为其不再参与本项目投标活动。</w:t>
      </w:r>
      <w:r/>
    </w:p>
    <w:p>
      <w:pPr>
        <w:ind w:firstLine="420"/>
        <w:spacing w:line="288" w:lineRule="auto"/>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19.2.3 在投标截止时间至招标文件中规定的投标有效期满之间的这段时间内，投标人不得撤回其投标。</w:t>
      </w:r>
      <w:r/>
    </w:p>
    <w:p>
      <w:pPr>
        <w:ind w:firstLine="420"/>
        <w:rPr>
          <w:rFonts w:hint="eastAsia" w:ascii="宋体" w:hAnsi="宋体" w:cs="宋体"/>
          <w:b/>
          <w:bCs/>
          <w:color w:val="000000" w:themeColor="text1"/>
          <w:szCs w:val="21"/>
          <w:highlight w:val="none"/>
          <w:lang w:val="zh-CN"/>
          <w14:textFill>
            <w14:solidFill>
              <w14:schemeClr w14:val="tx1"/>
            </w14:solidFill>
          </w14:textFill>
        </w:rPr>
        <w:outlineLvl w:val="0"/>
      </w:pPr>
      <w:r>
        <w:rPr>
          <w:rFonts w:hint="eastAsia" w:ascii="宋体" w:hAnsi="宋体" w:cs="宋体"/>
          <w:b/>
          <w:bCs/>
          <w:color w:val="000000" w:themeColor="text1"/>
          <w:szCs w:val="21"/>
          <w:highlight w:val="none"/>
          <w:lang w:val="zh-CN"/>
          <w14:textFill>
            <w14:solidFill>
              <w14:schemeClr w14:val="tx1"/>
            </w14:solidFill>
          </w14:textFill>
        </w:rPr>
        <w:t xml:space="preserve">四、开标、评标与</w:t>
      </w:r>
      <w:r>
        <w:rPr>
          <w:rFonts w:hint="eastAsia" w:ascii="宋体" w:hAnsi="宋体" w:cs="宋体"/>
          <w:b/>
          <w:bCs/>
          <w:color w:val="000000" w:themeColor="text1"/>
          <w:highlight w:val="none"/>
          <w:lang w:val="zh-CN"/>
          <w14:textFill>
            <w14:solidFill>
              <w14:schemeClr w14:val="tx1"/>
            </w14:solidFill>
          </w14:textFill>
        </w:rPr>
        <w:t xml:space="preserve">确定中标供应商</w:t>
      </w:r>
      <w:r/>
    </w:p>
    <w:p>
      <w:pPr>
        <w:ind w:firstLine="420"/>
        <w:rPr>
          <w:rFonts w:hint="eastAsia"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20、开标</w:t>
      </w:r>
      <w:r/>
    </w:p>
    <w:p>
      <w:pPr>
        <w:ind w:firstLine="420"/>
        <w:spacing w:line="288"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20.1 </w:t>
      </w:r>
      <w:r>
        <w:rPr>
          <w:rFonts w:hint="eastAsia" w:ascii="宋体" w:hAnsi="宋体" w:cs="宋体"/>
          <w:color w:val="000000" w:themeColor="text1"/>
          <w:szCs w:val="21"/>
          <w:highlight w:val="none"/>
          <w14:textFill>
            <w14:solidFill>
              <w14:schemeClr w14:val="tx1"/>
            </w14:solidFill>
          </w14:textFill>
        </w:rPr>
        <w:t xml:space="preserve">代理机构将在招标文件确定的时间和地点进行公开开标。投标人按照《操作手册》规定参加开标活动，并在苏采云系统规定的时间内对投标文件进行解密。苏采云系统公布各投标人名称和投标价格。</w:t>
      </w:r>
      <w:r/>
    </w:p>
    <w:p>
      <w:pPr>
        <w:ind w:firstLine="420"/>
        <w:spacing w:line="288"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20.2 </w:t>
      </w:r>
      <w:r>
        <w:rPr>
          <w:rFonts w:hint="eastAsia" w:ascii="宋体" w:hAnsi="宋体" w:cs="宋体"/>
          <w:color w:val="000000" w:themeColor="text1"/>
          <w:szCs w:val="21"/>
          <w:highlight w:val="none"/>
          <w14:textFill>
            <w14:solidFill>
              <w14:schemeClr w14:val="tx1"/>
            </w14:solidFill>
          </w14:textFill>
        </w:rPr>
        <w:t xml:space="preserve">投标人在开标过程中涉及到的投标文件解密、开标结果确认等工作，应按照《操作手册》规定执行。</w:t>
      </w:r>
      <w:r/>
    </w:p>
    <w:p>
      <w:pPr>
        <w:ind w:firstLine="420"/>
        <w:spacing w:line="288"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20</w:t>
      </w:r>
      <w:r>
        <w:rPr>
          <w:rFonts w:hint="eastAsia" w:ascii="宋体" w:hAnsi="宋体" w:cs="宋体"/>
          <w:color w:val="000000" w:themeColor="text1"/>
          <w:szCs w:val="21"/>
          <w:highlight w:val="none"/>
          <w:lang w:val="zh-CN"/>
          <w14:textFill>
            <w14:solidFill>
              <w14:schemeClr w14:val="tx1"/>
            </w14:solidFill>
          </w14:textFill>
        </w:rPr>
        <w:t xml:space="preserve">.3 </w:t>
      </w:r>
      <w:r>
        <w:rPr>
          <w:rFonts w:hint="eastAsia" w:ascii="宋体" w:hAnsi="宋体" w:cs="宋体"/>
          <w:color w:val="000000" w:themeColor="text1"/>
          <w:szCs w:val="21"/>
          <w:highlight w:val="none"/>
          <w14:textFill>
            <w14:solidFill>
              <w14:schemeClr w14:val="tx1"/>
            </w14:solidFill>
          </w14:textFill>
        </w:rPr>
        <w:t xml:space="preserve">投标人如果对开标过程和开标结果有疑义，应当根据《操作手册》规定提出，苏采云系统中《开标记录表》公布后5分钟内未提出的，视同认可开标结果。</w:t>
      </w:r>
      <w:r/>
    </w:p>
    <w:p>
      <w:pPr>
        <w:ind w:firstLine="420"/>
        <w:spacing w:line="288" w:lineRule="auto"/>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20.4 投标截止时间结束后参加投标的供应商不足三家的，除采购任务取消情形外，招标代理报经监管部门批准后，可变更为竞争性谈判、竞争性磋商或者单一来源方式采购。如果变更为竞争性谈判或竞争性磋商采购的，招标代理根据招标文件中的采购需求编制竞争性谈判文件或竞争性磋商文件，只与该两家供应商进行竞争性谈判采购或竞争性磋商。</w:t>
      </w:r>
      <w:r/>
    </w:p>
    <w:p>
      <w:pPr>
        <w:ind w:firstLine="420"/>
        <w:rPr>
          <w:rFonts w:hint="eastAsia"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21、评标</w:t>
      </w:r>
      <w:r/>
    </w:p>
    <w:p>
      <w:pPr>
        <w:ind w:firstLine="420"/>
        <w:rPr>
          <w:rFonts w:hint="eastAsia" w:ascii="宋体" w:hAnsi="宋体" w:cs="宋体"/>
          <w:b/>
          <w:bCs/>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21.1</w:t>
      </w:r>
      <w:r>
        <w:rPr>
          <w:rFonts w:hint="eastAsia" w:ascii="宋体" w:hAnsi="宋体" w:cs="宋体"/>
          <w:b/>
          <w:bCs/>
          <w:color w:val="000000" w:themeColor="text1"/>
          <w:szCs w:val="21"/>
          <w:highlight w:val="none"/>
          <w:lang w:val="zh-CN"/>
          <w14:textFill>
            <w14:solidFill>
              <w14:schemeClr w14:val="tx1"/>
            </w14:solidFill>
          </w14:textFill>
        </w:rPr>
        <w:t xml:space="preserve"> 评标组织</w:t>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21.1.1评标工作由招标代理负责组织，具体评标事务由依法组建的评标委员会负责，并独立履行</w:t>
      </w:r>
      <w:r>
        <w:rPr>
          <w:rFonts w:hint="eastAsia" w:ascii="宋体" w:hAnsi="宋体" w:cs="宋体"/>
          <w:color w:val="000000" w:themeColor="text1"/>
          <w:szCs w:val="21"/>
          <w:highlight w:val="none"/>
          <w14:textFill>
            <w14:solidFill>
              <w14:schemeClr w14:val="tx1"/>
            </w14:solidFill>
          </w14:textFill>
        </w:rPr>
        <w:t xml:space="preserve">下列职责：</w:t>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（1）审查、评价投标文件是否符合招标文件的商务、技术等实质性要求；</w:t>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（2）要求投标人对投标文件有关事项作出澄清或者说明；</w:t>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（3）对投标文件进行比较和评价；</w:t>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（4）推荐中标候选人或根据采购人委托协议直接确定中标人；</w:t>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（5）向采购人、财政部门报告评标中发现的违法行为。</w:t>
      </w:r>
      <w:r/>
    </w:p>
    <w:p>
      <w:pPr>
        <w:ind w:firstLine="420"/>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21.1.2 </w:t>
      </w:r>
      <w:r>
        <w:rPr>
          <w:rFonts w:hint="eastAsia" w:ascii="宋体" w:hAnsi="宋体" w:cs="宋体"/>
          <w:color w:val="000000" w:themeColor="text1"/>
          <w:szCs w:val="21"/>
          <w:highlight w:val="none"/>
          <w:lang w:val="zh-CN"/>
          <w14:textFill>
            <w14:solidFill>
              <w14:schemeClr w14:val="tx1"/>
            </w14:solidFill>
          </w14:textFill>
        </w:rPr>
        <w:t xml:space="preserve">评标委员会由采购人代表和有关技术、经济等方面的专家组成，独立开展评审工作。</w:t>
      </w:r>
      <w:r/>
    </w:p>
    <w:p>
      <w:pPr>
        <w:ind w:firstLine="420"/>
        <w:rPr>
          <w:rFonts w:hint="eastAsia"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21.2 评标程序</w:t>
      </w:r>
      <w:r/>
    </w:p>
    <w:p>
      <w:pPr>
        <w:ind w:firstLine="420"/>
        <w:rPr>
          <w:rFonts w:hint="eastAsia"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21.2.1 投标文件的资格审查。</w:t>
      </w:r>
      <w:r/>
    </w:p>
    <w:p>
      <w:pPr>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21.2.1.1 采购人代表将依法对投标人的资格进行审查。</w:t>
      </w:r>
      <w:r/>
    </w:p>
    <w:p>
      <w:pPr>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21.2.1.2 资格性审查：依据法律法规和招标文件的规定，对投标文件中的资格证明文件进行审查，以 确定投标供应商是否具备投标资格。 </w:t>
      </w:r>
      <w:r/>
    </w:p>
    <w:p>
      <w:pPr>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21.2.1.3 在进行资格性审查的同时，将在“信用中国”网站（www.creditchina.gov.cn）、“中国政府采购网"(www.ccgp.gov.cn)对投标人是否被列入失信被执行人、重大税收违法失信主体、政府采购严重违法失信行为记录名单的情况进行查询，以确定投标供应商是否具备投标资格。查询结果将以网页打印的形式留存并归档。</w:t>
      </w:r>
      <w:r/>
    </w:p>
    <w:p>
      <w:pPr>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21.2.1.4 投标文件有下列情况之一的，在资格性审查时按照无效投标处理： </w:t>
      </w:r>
      <w:r/>
    </w:p>
    <w:p>
      <w:pPr>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 </w:t>
      </w:r>
      <w:r>
        <w:rPr>
          <w:color w:val="000000" w:themeColor="text1"/>
          <w:highlight w:val="none"/>
          <w14:textFill>
            <w14:solidFill>
              <w14:schemeClr w14:val="tx1"/>
            </w14:solidFill>
          </w14:textFill>
        </w:rPr>
        <w:t xml:space="preserve">不具备招标文件中规定资格条件的；</w:t>
      </w:r>
      <w:r/>
    </w:p>
    <w:p>
      <w:pPr>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 供应商被“信用中国”网站（www.creditchina.gov.cn）、“中国政府采购网"(www.ccgp.gov.cn) 列入失信被执行人、重大税收违法失信主体、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 </w:t>
      </w:r>
      <w:r/>
    </w:p>
    <w:p>
      <w:pPr>
        <w:ind w:firstLine="420"/>
        <w:rPr>
          <w:rFonts w:hint="eastAsia" w:ascii="宋体" w:hAnsi="宋体" w:cs="宋体"/>
          <w:b/>
          <w:bCs/>
          <w:color w:val="000000" w:themeColor="text1"/>
          <w:szCs w:val="21"/>
          <w:highlight w:val="none"/>
          <w:lang w:val="zh-CN"/>
          <w14:textFill>
            <w14:solidFill>
              <w14:schemeClr w14:val="tx1"/>
            </w14:solidFill>
          </w14:textFill>
        </w:rPr>
      </w:pPr>
      <w:r>
        <w:rPr>
          <w:rFonts w:ascii="宋体" w:hAnsi="宋体" w:cs="宋体"/>
          <w:b/>
          <w:bCs/>
          <w:color w:val="000000" w:themeColor="text1"/>
          <w:szCs w:val="21"/>
          <w:highlight w:val="none"/>
          <w:lang w:val="zh-CN"/>
          <w14:textFill>
            <w14:solidFill>
              <w14:schemeClr w14:val="tx1"/>
            </w14:solidFill>
          </w14:textFill>
        </w:rPr>
        <w:t xml:space="preserve">21.2.2 投标文件的符合性审查。</w:t>
      </w:r>
      <w:r/>
    </w:p>
    <w:p>
      <w:pPr>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21.2.2.1 评标委员会将依据法律法规和招标文件的规定，对投标文件的有效性、完整性和对招标文件 的响应程度进行审查，以确定是否对招标文件的实质性要求作出响应。</w:t>
      </w:r>
      <w:r/>
    </w:p>
    <w:p>
      <w:pPr>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21.2.2.2 实质性要求是指本招标文件中带星号（“</w:t>
      </w:r>
      <w:r>
        <w:rPr>
          <w:rFonts w:hint="eastAsia" w:ascii="宋体" w:hAnsi="宋体" w:cs="宋体"/>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”）的商务和技术要求。 </w:t>
      </w:r>
      <w:r/>
    </w:p>
    <w:p>
      <w:pPr>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21.2.2.3 如果投标文件实质上没有响应招标文件的要求，评标委员会将予以拒绝，投标人不得通过修改或撤销不合要求的偏离或保留而使其投标成为实质性响应的投标。</w:t>
      </w:r>
      <w:r/>
    </w:p>
    <w:p>
      <w:pPr>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21.2.2.4 投标文件有下列情况之一的，在符合性审查时按照无效投标处理： </w:t>
      </w:r>
      <w:r/>
    </w:p>
    <w:p>
      <w:pPr>
        <w:ind w:firstLine="420"/>
        <w:spacing w:line="288"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（1）供应商在苏采云系统规定的时间内未成功解密电子投标文件的。</w:t>
      </w:r>
      <w:r/>
    </w:p>
    <w:p>
      <w:pPr>
        <w:ind w:firstLine="420"/>
        <w:spacing w:line="288"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（2）供应商未按照采购文件要求上传电子投标文件的。</w:t>
      </w:r>
      <w:r/>
    </w:p>
    <w:p>
      <w:pPr>
        <w:ind w:firstLine="420"/>
        <w:spacing w:line="288"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（3）供应商不具备采购文件中规定资格要求的；</w:t>
      </w:r>
      <w:r/>
    </w:p>
    <w:p>
      <w:pPr>
        <w:ind w:firstLine="420"/>
        <w:spacing w:line="288"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（4）供应商在报价时采用选择性报价；</w:t>
      </w:r>
      <w:r/>
    </w:p>
    <w:p>
      <w:pPr>
        <w:ind w:firstLine="420"/>
        <w:spacing w:line="288"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（5）报价超过采购文件中规定的预算金额或者最高限价的；</w:t>
      </w:r>
      <w:r/>
    </w:p>
    <w:p>
      <w:pPr>
        <w:ind w:firstLine="420"/>
        <w:spacing w:line="288"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（6）投标文件含有采购人不能接受的附加条件的；</w:t>
      </w:r>
      <w:r/>
    </w:p>
    <w:p>
      <w:pPr>
        <w:ind w:firstLine="420"/>
        <w:spacing w:line="288"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（7）不同供应商的投标文件由同一单位或者个人编制；</w:t>
      </w:r>
      <w:r/>
    </w:p>
    <w:p>
      <w:pPr>
        <w:ind w:firstLine="420"/>
        <w:spacing w:line="288"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（8）不同供应商委托同一单位或者个人办理投标事宜；</w:t>
      </w:r>
      <w:r/>
    </w:p>
    <w:p>
      <w:pPr>
        <w:ind w:firstLine="420"/>
        <w:spacing w:line="288"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（9）不同供应商的投标文件载明的项目管理成员或联系人员为同一人；</w:t>
      </w:r>
      <w:r/>
    </w:p>
    <w:p>
      <w:pPr>
        <w:ind w:firstLine="420"/>
        <w:spacing w:line="288"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（10）不同供应商的投标文件异常一致或者报价呈规律性差异；</w:t>
      </w:r>
      <w:r/>
    </w:p>
    <w:p>
      <w:pPr>
        <w:ind w:firstLine="420"/>
        <w:spacing w:line="288"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（11）不同供应商的投标文件相互混装；</w:t>
      </w:r>
      <w:r/>
    </w:p>
    <w:p>
      <w:pPr>
        <w:ind w:firstLine="420"/>
        <w:spacing w:line="288"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（12）不同供应商的负责人为同一人或者存在控股、管理关系的；</w:t>
      </w:r>
      <w:r/>
    </w:p>
    <w:p>
      <w:pPr>
        <w:ind w:firstLine="420"/>
        <w:spacing w:line="288"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（13）未通过符合性检查的；</w:t>
      </w:r>
      <w:r/>
    </w:p>
    <w:p>
      <w:pPr>
        <w:ind w:firstLine="420"/>
        <w:spacing w:line="288"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磋商小组认定供应商的报价明显低于其他通过符合性审查供应商的报价，有可能影响产品质量或者不能诚信履约，且供应商不能应磋商小组要求在规定的回复时间内通过“苏采云”系统作出必要的说明证明其报价合理性的；</w:t>
      </w:r>
      <w:r/>
    </w:p>
    <w:p>
      <w:pPr>
        <w:ind w:firstLine="420"/>
        <w:spacing w:line="288"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（15）未按文件要求签署、盖章的</w:t>
      </w:r>
      <w:r/>
    </w:p>
    <w:p>
      <w:pPr>
        <w:ind w:firstLine="420"/>
        <w:spacing w:line="288"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（16）不符合采购文件中规定的其它实质性要求的；</w:t>
      </w:r>
      <w:r/>
    </w:p>
    <w:p>
      <w:pPr>
        <w:ind w:firstLine="420"/>
        <w:spacing w:line="288"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17）供应商被“信用中国”网站（www.creditchina.gov.cn）、“中国政府采购网"(www.ccgp.gov.cn)列入失信被执行人、重大税收违法失信主体、政府采购严重违法失信行为记录名单的。接受联合体的项目，两个以上的自然人、法人或者其他组织组成一个联合体 ，以一个供应商的身份共同参加政府采购活动的，联合体成员存在不良信用记录的，视同联合体存在不良信用记录；</w:t>
      </w:r>
      <w:r/>
    </w:p>
    <w:p>
      <w:pPr>
        <w:ind w:firstLine="420"/>
        <w:spacing w:line="288"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（18）不符合法律、法规和磋商文件规定的其他实质性要求的。</w:t>
      </w:r>
      <w:r/>
    </w:p>
    <w:p>
      <w:pPr>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21.2.2.5 在评标期间，出现符合专业条件的供应商或者对招标文件作出实质性响应的供应商不足三 家情形的，比照 </w:t>
      </w:r>
      <w:r>
        <w:rPr>
          <w:rFonts w:hint="eastAsia"/>
          <w:color w:val="000000" w:themeColor="text1"/>
          <w:highlight w:val="none"/>
          <w14:textFill>
            <w14:solidFill>
              <w14:schemeClr w14:val="tx1"/>
            </w14:solidFill>
          </w14:textFill>
        </w:rPr>
        <w:t xml:space="preserve">20.4</w:t>
      </w:r>
      <w:r>
        <w:rPr>
          <w:color w:val="000000" w:themeColor="text1"/>
          <w:highlight w:val="none"/>
          <w14:textFill>
            <w14:solidFill>
              <w14:schemeClr w14:val="tx1"/>
            </w14:solidFill>
          </w14:textFill>
        </w:rPr>
        <w:t xml:space="preserve"> 款执行。 </w:t>
      </w:r>
      <w:r/>
    </w:p>
    <w:p>
      <w:pPr>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21.2.2.6 有下列情形之一的予以废标，同时将废标理由通知所有供应商： </w:t>
      </w:r>
      <w:r/>
    </w:p>
    <w:p>
      <w:pPr>
        <w:ind w:firstLine="420"/>
        <w:spacing w:line="288"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（1）符合专业条件的供应商或者对招标文件作实质性响应的供应商不足三家的； </w:t>
      </w:r>
      <w:r/>
    </w:p>
    <w:p>
      <w:pPr>
        <w:ind w:firstLine="420"/>
        <w:spacing w:line="288"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（2）出现影响采购公正的违法、违规行为的；</w:t>
      </w:r>
      <w:r/>
    </w:p>
    <w:p>
      <w:pPr>
        <w:ind w:firstLine="420"/>
        <w:spacing w:line="288"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（3）供应商的报价均超过了采购预算或最高限价的，采购人不能支付的； </w:t>
      </w:r>
      <w:r/>
    </w:p>
    <w:p>
      <w:pPr>
        <w:ind w:firstLine="420"/>
        <w:spacing w:line="288"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（4）因重大变故，采购任务取消的；</w:t>
      </w:r>
      <w:r/>
    </w:p>
    <w:p>
      <w:pPr>
        <w:ind w:firstLine="420"/>
        <w:spacing w:line="288" w:lineRule="auto"/>
        <w:widowControl/>
        <w:rPr>
          <w:rFonts w:hint="eastAsia" w:ascii="宋体" w:hAnsi="宋体" w:cs="宋体"/>
          <w:color w:val="000000" w:themeColor="text1"/>
          <w:szCs w:val="21"/>
          <w:highlight w:val="none"/>
          <w14:textFill>
            <w14:solidFill>
              <w14:schemeClr w14:val="tx1"/>
            </w14:solidFill>
          </w14:textFill>
        </w:rPr>
      </w:pPr>
      <w:r>
        <w:rPr>
          <w:color w:val="000000" w:themeColor="text1"/>
          <w:highlight w:val="none"/>
          <w14:textFill>
            <w14:solidFill>
              <w14:schemeClr w14:val="tx1"/>
            </w14:solidFill>
          </w14:textFill>
        </w:rPr>
        <w:t xml:space="preserve">（5）</w:t>
      </w:r>
      <w:r>
        <w:rPr>
          <w:rFonts w:hint="eastAsia" w:ascii="宋体" w:hAnsi="宋体" w:cs="宋体"/>
          <w:color w:val="000000" w:themeColor="text1"/>
          <w:szCs w:val="21"/>
          <w:highlight w:val="none"/>
          <w14:textFill>
            <w14:solidFill>
              <w14:schemeClr w14:val="tx1"/>
            </w14:solidFill>
          </w14:textFill>
        </w:rPr>
        <w:t xml:space="preserve">评委会认定招标文件存在歧义、重大缺陷导致评审工作无法进行。</w:t>
      </w:r>
      <w:r/>
    </w:p>
    <w:p>
      <w:pPr>
        <w:ind w:firstLine="420"/>
        <w:spacing w:line="288" w:lineRule="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（6）预留份额的采购项目或采购包，通过发布公告方式邀请供应商后，符合资格条件的中小企业数量不足3家的。</w:t>
      </w:r>
      <w:r/>
    </w:p>
    <w:p>
      <w:pPr>
        <w:ind w:firstLine="420"/>
        <w:spacing w:line="288" w:lineRule="auto"/>
        <w:widowControl/>
        <w:rPr>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（7）因苏采云系统故障造成开标不成功。</w:t>
      </w:r>
      <w:r/>
    </w:p>
    <w:p>
      <w:pPr>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21.2.3 投标文件的进一步评审。 </w:t>
      </w:r>
      <w:r/>
    </w:p>
    <w:p>
      <w:pPr>
        <w:ind w:firstLine="420"/>
        <w:spacing w:line="288"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21.2.3.1 评标委员会将对确定为实质性响应的投标文件进行进一步评审，看其是否有计算上或累加上 的算术错误，修正错误的原则如下：</w:t>
      </w:r>
      <w:r/>
    </w:p>
    <w:p>
      <w:pPr>
        <w:ind w:firstLine="420"/>
        <w:spacing w:line="288" w:lineRule="auto"/>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val="zh-CN"/>
          <w14:textFill>
            <w14:solidFill>
              <w14:schemeClr w14:val="tx1"/>
            </w14:solidFill>
          </w14:textFill>
        </w:rPr>
        <w:t xml:space="preserve">）《开标一览表》（报价表）内容与投标文件中相应内容不一致的，以《开标一览表》（报价表）为准。</w:t>
      </w:r>
      <w:r/>
    </w:p>
    <w:p>
      <w:pPr>
        <w:ind w:firstLine="420"/>
        <w:spacing w:line="288" w:lineRule="auto"/>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lang w:val="zh-CN"/>
          <w14:textFill>
            <w14:solidFill>
              <w14:schemeClr w14:val="tx1"/>
            </w14:solidFill>
          </w14:textFill>
        </w:rPr>
        <w:t xml:space="preserve">）投标文件、《开标一览表》（报价表）中报价的大写金额与小写金额不一致的，以大写金额为准。</w:t>
      </w:r>
      <w:r/>
    </w:p>
    <w:p>
      <w:pPr>
        <w:ind w:firstLine="420"/>
        <w:spacing w:line="288" w:lineRule="auto"/>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3</w:t>
      </w:r>
      <w:r>
        <w:rPr>
          <w:rFonts w:hint="eastAsia" w:ascii="宋体" w:hAnsi="宋体" w:cs="宋体"/>
          <w:color w:val="000000" w:themeColor="text1"/>
          <w:szCs w:val="21"/>
          <w:highlight w:val="none"/>
          <w:lang w:val="zh-CN"/>
          <w14:textFill>
            <w14:solidFill>
              <w14:schemeClr w14:val="tx1"/>
            </w14:solidFill>
          </w14:textFill>
        </w:rPr>
        <w:t xml:space="preserve">）单价金额小数点或者百分比有明显错位的，以《开标一览表》（报价表）的总价为准，并修改单价；</w:t>
      </w:r>
      <w:r/>
    </w:p>
    <w:p>
      <w:pPr>
        <w:ind w:firstLine="420"/>
        <w:spacing w:line="288" w:lineRule="auto"/>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4</w:t>
      </w:r>
      <w:r>
        <w:rPr>
          <w:rFonts w:hint="eastAsia" w:ascii="宋体" w:hAnsi="宋体" w:cs="宋体"/>
          <w:color w:val="000000" w:themeColor="text1"/>
          <w:szCs w:val="21"/>
          <w:highlight w:val="none"/>
          <w:lang w:val="zh-CN"/>
          <w14:textFill>
            <w14:solidFill>
              <w14:schemeClr w14:val="tx1"/>
            </w14:solidFill>
          </w14:textFill>
        </w:rPr>
        <w:t xml:space="preserve">）总价金额与按单价汇总金额不一致的，以单价金额计算结果为准；</w:t>
      </w:r>
      <w:r>
        <w:rPr>
          <w:color w:val="000000" w:themeColor="text1"/>
          <w:highlight w:val="none"/>
          <w14:textFill>
            <w14:solidFill>
              <w14:schemeClr w14:val="tx1"/>
            </w14:solidFill>
          </w14:textFill>
        </w:rPr>
        <w:t xml:space="preserve">只有在评委会认为单价有明显的小数点错误时，才能以标出的总价为准，并修改单价。</w:t>
      </w:r>
      <w:r/>
    </w:p>
    <w:p>
      <w:pPr>
        <w:ind w:firstLine="420"/>
        <w:spacing w:line="288" w:lineRule="auto"/>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5</w:t>
      </w:r>
      <w:r>
        <w:rPr>
          <w:rFonts w:hint="eastAsia" w:ascii="宋体" w:hAnsi="宋体" w:cs="宋体"/>
          <w:color w:val="000000" w:themeColor="text1"/>
          <w:szCs w:val="21"/>
          <w:highlight w:val="none"/>
          <w:lang w:val="zh-CN"/>
          <w14:textFill>
            <w14:solidFill>
              <w14:schemeClr w14:val="tx1"/>
            </w14:solidFill>
          </w14:textFill>
        </w:rPr>
        <w:t xml:space="preserve">）同时出现21.2.3.1中两种以上不一致的,按照（</w:t>
      </w:r>
      <w:r>
        <w:rPr>
          <w:rFonts w:hint="eastAsia"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val="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-（4）</w:t>
      </w:r>
      <w:r>
        <w:rPr>
          <w:rFonts w:hint="eastAsia" w:ascii="宋体" w:hAnsi="宋体" w:cs="宋体"/>
          <w:color w:val="000000" w:themeColor="text1"/>
          <w:szCs w:val="21"/>
          <w:highlight w:val="none"/>
          <w:lang w:val="zh-CN"/>
          <w14:textFill>
            <w14:solidFill>
              <w14:schemeClr w14:val="tx1"/>
            </w14:solidFill>
          </w14:textFill>
        </w:rPr>
        <w:t xml:space="preserve">的顺序修正。</w:t>
      </w:r>
      <w:r/>
    </w:p>
    <w:p>
      <w:pPr>
        <w:ind w:firstLine="420"/>
        <w:spacing w:line="288" w:lineRule="auto"/>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6</w:t>
      </w:r>
      <w:r>
        <w:rPr>
          <w:rFonts w:hint="eastAsia" w:ascii="宋体" w:hAnsi="宋体" w:cs="宋体"/>
          <w:color w:val="000000" w:themeColor="text1"/>
          <w:szCs w:val="21"/>
          <w:highlight w:val="none"/>
          <w:lang w:val="zh-CN"/>
          <w14:textFill>
            <w14:solidFill>
              <w14:schemeClr w14:val="tx1"/>
            </w14:solidFill>
          </w14:textFill>
        </w:rPr>
        <w:t xml:space="preserve">）对不同文字文本投标文件的解释发生异议的，以中文文本为准。</w:t>
      </w:r>
      <w:r/>
    </w:p>
    <w:p>
      <w:pPr>
        <w:ind w:firstLine="420"/>
        <w:spacing w:line="288"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21.2.3.2 评标委员会将按上述修正错误的方法</w:t>
      </w:r>
      <w:r>
        <w:rPr>
          <w:rFonts w:hint="eastAsia"/>
          <w:color w:val="000000" w:themeColor="text1"/>
          <w:highlight w:val="none"/>
          <w14:textFill>
            <w14:solidFill>
              <w14:schemeClr w14:val="tx1"/>
            </w14:solidFill>
          </w14:textFill>
        </w:rPr>
        <w:t xml:space="preserve">修正</w:t>
      </w:r>
      <w:r>
        <w:rPr>
          <w:color w:val="000000" w:themeColor="text1"/>
          <w:highlight w:val="none"/>
          <w14:textFill>
            <w14:solidFill>
              <w14:schemeClr w14:val="tx1"/>
            </w14:solidFill>
          </w14:textFill>
        </w:rPr>
        <w:t xml:space="preserve">投标文件中的投标价，</w:t>
      </w:r>
      <w:r>
        <w:rPr>
          <w:rFonts w:hint="eastAsia" w:ascii="宋体" w:hAnsi="宋体" w:cs="宋体"/>
          <w:color w:val="000000" w:themeColor="text1"/>
          <w:szCs w:val="21"/>
          <w:highlight w:val="none"/>
          <w:lang w:val="zh-CN"/>
          <w14:textFill>
            <w14:solidFill>
              <w14:schemeClr w14:val="tx1"/>
            </w14:solidFill>
          </w14:textFill>
        </w:rPr>
        <w:t xml:space="preserve">修正后的报价由法定代表人或其授权的代表通过“苏采云”系统确认后产生约束力，投标人不确认的，投标无效。</w:t>
      </w:r>
      <w:r>
        <w:rPr>
          <w:color w:val="000000" w:themeColor="text1"/>
          <w:highlight w:val="none"/>
          <w14:textFill>
            <w14:solidFill>
              <w14:schemeClr w14:val="tx1"/>
            </w14:solidFill>
          </w14:textFill>
        </w:rPr>
        <w:t xml:space="preserve"> </w:t>
      </w:r>
      <w:r/>
    </w:p>
    <w:p>
      <w:pPr>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21.2.3.3 评委会将允许修正投标文件中不构成重大偏离的、微小的、非正规的、不一致的或不规则的地方，但这些修改不能影响任何投标人相应的名次排列。 </w:t>
      </w:r>
      <w:r/>
    </w:p>
    <w:p>
      <w:pPr>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21.2.3.4 澄清有关问题。对投标文件中含义不明确、同类问题表述不一致或者明显文字错误的内容， 评标委员会可以要求供应商作出必要的澄清、说明或者补正。供应商的澄清、说明、补正应当采用书面形 式，由其授权代表签字，但不得超出投标文件的范围或者改变投标文件的实质性内容。</w:t>
      </w:r>
      <w:r/>
    </w:p>
    <w:p>
      <w:pPr>
        <w:ind w:firstLine="420"/>
        <w:spacing w:line="288" w:lineRule="auto"/>
        <w:widowControl/>
        <w:rPr>
          <w:rFonts w:hint="eastAsia" w:ascii="宋体" w:hAnsi="宋体" w:cs="宋体"/>
          <w:color w:val="000000" w:themeColor="text1"/>
          <w:szCs w:val="21"/>
          <w:highlight w:val="none"/>
          <w14:textFill>
            <w14:solidFill>
              <w14:schemeClr w14:val="tx1"/>
            </w14:solidFill>
          </w14:textFill>
        </w:rPr>
      </w:pPr>
      <w:r>
        <w:rPr>
          <w:color w:val="000000" w:themeColor="text1"/>
          <w:highlight w:val="none"/>
          <w14:textFill>
            <w14:solidFill>
              <w14:schemeClr w14:val="tx1"/>
            </w14:solidFill>
          </w14:textFill>
        </w:rPr>
        <w:t xml:space="preserve">21.2.3.5 </w:t>
      </w:r>
      <w:r>
        <w:rPr>
          <w:rFonts w:hint="eastAsia" w:ascii="宋体" w:hAnsi="宋体" w:cs="宋体"/>
          <w:color w:val="000000" w:themeColor="text1"/>
          <w:szCs w:val="21"/>
          <w:highlight w:val="none"/>
          <w14:textFill>
            <w14:solidFill>
              <w14:schemeClr w14:val="tx1"/>
            </w14:solidFill>
          </w14:textFill>
        </w:rPr>
        <w:t xml:space="preserve">需要供应商进行澄清、说明和补正的，评标委员会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ind w:firstLine="420"/>
        <w:spacing w:line="288" w:lineRule="auto"/>
        <w:widowControl/>
        <w:rPr>
          <w:rFonts w:hint="eastAsia" w:ascii="宋体" w:hAnsi="宋体" w:cs="宋体"/>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21.2.3.6</w:t>
      </w:r>
      <w:r>
        <w:rPr>
          <w:rFonts w:hint="eastAsia" w:ascii="宋体" w:hAnsi="宋体" w:cs="宋体"/>
          <w:color w:val="000000" w:themeColor="text1"/>
          <w:szCs w:val="21"/>
          <w:highlight w:val="none"/>
          <w14:textFill>
            <w14:solidFill>
              <w14:schemeClr w14:val="tx1"/>
            </w14:solidFill>
          </w14:textFill>
        </w:rPr>
        <w:t xml:space="preserve">接到评标委员会澄清、说明和补正要求的供应商如未按规定做出澄清、说明和补正，其风险由供应商自行承担。供应商拒不按照要求对响应件进行澄清、说明或者补正的，视其放弃该项权利。</w:t>
      </w:r>
      <w:r/>
    </w:p>
    <w:p>
      <w:pPr>
        <w:ind w:firstLine="420"/>
        <w:spacing w:line="288"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21.2.3.7 </w:t>
      </w:r>
      <w:r>
        <w:rPr>
          <w:color w:val="000000" w:themeColor="text1"/>
          <w:highlight w:val="none"/>
          <w14:textFill>
            <w14:solidFill>
              <w14:schemeClr w14:val="tx1"/>
            </w14:solidFill>
          </w14:textFill>
        </w:rPr>
        <w:t xml:space="preserve">比较与评价。按照招标文件中规定的评标方法和标准，对资格性检查和符合性检查合格的投 标文件进行商务和技术评估，综合比较与评价。</w:t>
      </w:r>
      <w:r/>
    </w:p>
    <w:p>
      <w:pPr>
        <w:ind w:firstLine="420"/>
        <w:spacing w:line="288" w:lineRule="auto"/>
        <w:widowControl/>
        <w:rPr>
          <w:rFonts w:hint="eastAsia" w:ascii="宋体" w:hAnsi="宋体" w:cs="宋体"/>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r>
        <w:rPr>
          <w:rFonts w:hint="eastAsia"/>
          <w:color w:val="000000" w:themeColor="text1"/>
          <w:highlight w:val="none"/>
          <w:lang w:val="en-US" w:eastAsia="zh-CN"/>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.2.3.8 </w:t>
      </w:r>
      <w:r>
        <w:rPr>
          <w:rFonts w:hint="eastAsia" w:ascii="宋体" w:hAnsi="宋体" w:cs="宋体"/>
          <w:color w:val="000000" w:themeColor="text1"/>
          <w:szCs w:val="21"/>
          <w:highlight w:val="none"/>
          <w14:textFill>
            <w14:solidFill>
              <w14:schemeClr w14:val="tx1"/>
            </w14:solidFill>
          </w14:textFill>
        </w:rPr>
        <w:t xml:space="preserve">投标人在开、评标全过程中应保持通讯畅通，及时登录苏采云系统查阅、答复相关信息，并安排专人与代理机构及评委会联系。</w:t>
      </w:r>
      <w:r/>
    </w:p>
    <w:p>
      <w:pPr>
        <w:ind w:firstLine="420"/>
        <w:spacing w:line="288" w:lineRule="auto"/>
        <w:widowControl/>
        <w:rPr>
          <w:rFonts w:hint="eastAsia" w:ascii="宋体" w:hAnsi="宋体" w:cs="宋体"/>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r>
        <w:rPr>
          <w:rFonts w:hint="eastAsia"/>
          <w:color w:val="000000" w:themeColor="text1"/>
          <w:highlight w:val="none"/>
          <w:lang w:val="en-US" w:eastAsia="zh-CN"/>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.2.3.9 </w:t>
      </w:r>
      <w:r>
        <w:rPr>
          <w:rFonts w:hint="eastAsia" w:ascii="宋体" w:hAnsi="宋体" w:cs="宋体"/>
          <w:color w:val="000000" w:themeColor="text1"/>
          <w:szCs w:val="21"/>
          <w:highlight w:val="none"/>
          <w14:textFill>
            <w14:solidFill>
              <w14:schemeClr w14:val="tx1"/>
            </w14:solidFill>
          </w14:textFill>
        </w:rPr>
        <w:t xml:space="preserve">如出现投标截止时间后参加投标的供应商或者对招标文件作出实质性响应的供应商不足三家的情况，按政府采购相关规定执行。</w:t>
      </w:r>
      <w:r/>
    </w:p>
    <w:p>
      <w:pPr>
        <w:ind w:firstLine="420"/>
        <w:spacing w:line="288"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21.3 评标方法和标准 </w:t>
      </w:r>
      <w:r/>
    </w:p>
    <w:p>
      <w:pPr>
        <w:ind w:firstLine="420"/>
        <w:spacing w:line="288"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21.3.1 采用综合评分法。即在投标文件满足招标文件全部实质性要求前提下，且按照评审因素的量化指标评审得分最高的投标人为中标人的评标方法。</w:t>
      </w:r>
      <w:r/>
    </w:p>
    <w:p>
      <w:pPr>
        <w:ind w:firstLine="420"/>
        <w:spacing w:line="288"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21.3.2 综合评分的主要因素是：价格、技术、商务等。 </w:t>
      </w:r>
      <w:r/>
    </w:p>
    <w:p>
      <w:pPr>
        <w:ind w:firstLine="420"/>
        <w:spacing w:line="288"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21.3.3</w:t>
      </w:r>
      <w:r>
        <w:rPr>
          <w:rFonts w:hint="eastAsia"/>
          <w:color w:val="000000" w:themeColor="text1"/>
          <w:highlight w:val="none"/>
          <w14:textFill>
            <w14:solidFill>
              <w14:schemeClr w14:val="tx1"/>
            </w14:solidFill>
          </w14:textFill>
        </w:rPr>
        <w:t xml:space="preserve"> </w:t>
      </w:r>
      <w:r>
        <w:rPr>
          <w:color w:val="000000" w:themeColor="text1"/>
          <w:highlight w:val="none"/>
          <w14:textFill>
            <w14:solidFill>
              <w14:schemeClr w14:val="tx1"/>
            </w14:solidFill>
          </w14:textFill>
        </w:rPr>
        <w:t xml:space="preserve">评分标准详见文件第三章。</w:t>
      </w:r>
      <w:r/>
    </w:p>
    <w:p>
      <w:pPr>
        <w:ind w:firstLine="422"/>
        <w:rPr>
          <w:rFonts w:hint="eastAsia" w:ascii="宋体" w:hAnsi="宋体" w:cs="宋体"/>
          <w:b/>
          <w:bCs/>
          <w:color w:val="000000" w:themeColor="text1"/>
          <w:highlight w:val="none"/>
          <w:lang w:val="zh-CN"/>
          <w14:textFill>
            <w14:solidFill>
              <w14:schemeClr w14:val="tx1"/>
            </w14:solidFill>
          </w14:textFill>
        </w:rPr>
      </w:pPr>
      <w:r>
        <w:rPr>
          <w:rFonts w:hint="eastAsia" w:ascii="宋体" w:hAnsi="宋体" w:cs="宋体"/>
          <w:b/>
          <w:bCs/>
          <w:color w:val="000000" w:themeColor="text1"/>
          <w:highlight w:val="none"/>
          <w:lang w:val="zh-CN"/>
          <w14:textFill>
            <w14:solidFill>
              <w14:schemeClr w14:val="tx1"/>
            </w14:solidFill>
          </w14:textFill>
        </w:rPr>
        <w:t xml:space="preserve">22、确定中标供应商</w:t>
      </w:r>
      <w:r/>
    </w:p>
    <w:p>
      <w:pPr>
        <w:ind w:firstLine="420"/>
        <w:rPr>
          <w:rFonts w:hint="eastAsia" w:ascii="宋体" w:hAnsi="宋体" w:cs="宋体"/>
          <w:color w:val="000000" w:themeColor="text1"/>
          <w:highlight w:val="none"/>
          <w:lang w:val="zh-CN"/>
          <w14:textFill>
            <w14:solidFill>
              <w14:schemeClr w14:val="tx1"/>
            </w14:solidFill>
          </w14:textFill>
        </w:rPr>
      </w:pPr>
      <w:r>
        <w:rPr>
          <w:rFonts w:hint="eastAsia" w:ascii="宋体" w:hAnsi="宋体" w:cs="宋体"/>
          <w:color w:val="000000" w:themeColor="text1"/>
          <w:highlight w:val="none"/>
          <w:lang w:val="zh-CN"/>
          <w14:textFill>
            <w14:solidFill>
              <w14:schemeClr w14:val="tx1"/>
            </w14:solidFill>
          </w14:textFill>
        </w:rPr>
        <w:t xml:space="preserve">22.1 在综合比较与评价后按照得分由高到低顺序对供应商进行排序。评标委员会按综合得分排名推荐3名中标候选人。得分相同的，按投标报价由低到高顺序排列。得分且报价相同的，按技术指标（</w:t>
      </w:r>
      <w:r>
        <w:rPr>
          <w:rFonts w:hint="eastAsia" w:ascii="宋体" w:hAnsi="宋体" w:cs="宋体"/>
          <w:color w:val="000000" w:themeColor="text1"/>
          <w:highlight w:val="none"/>
          <w14:textFill>
            <w14:solidFill>
              <w14:schemeClr w14:val="tx1"/>
            </w14:solidFill>
          </w14:textFill>
        </w:rPr>
        <w:t xml:space="preserve">技术部分</w:t>
      </w:r>
      <w:r>
        <w:rPr>
          <w:rFonts w:hint="eastAsia" w:ascii="宋体" w:hAnsi="宋体" w:cs="宋体"/>
          <w:color w:val="000000" w:themeColor="text1"/>
          <w:highlight w:val="none"/>
          <w:lang w:val="zh-CN"/>
          <w14:textFill>
            <w14:solidFill>
              <w14:schemeClr w14:val="tx1"/>
            </w14:solidFill>
          </w14:textFill>
        </w:rPr>
        <w:t xml:space="preserve">）优劣顺序排列。</w:t>
      </w:r>
      <w:r/>
    </w:p>
    <w:p>
      <w:pPr>
        <w:ind w:firstLine="420"/>
        <w:rPr>
          <w:rFonts w:hint="eastAsia" w:ascii="宋体" w:hAnsi="宋体" w:cs="宋体"/>
          <w:color w:val="000000" w:themeColor="text1"/>
          <w:highlight w:val="none"/>
          <w:lang w:val="zh-CN"/>
          <w14:textFill>
            <w14:solidFill>
              <w14:schemeClr w14:val="tx1"/>
            </w14:solidFill>
          </w14:textFill>
        </w:rPr>
      </w:pPr>
      <w:r>
        <w:rPr>
          <w:rFonts w:hint="eastAsia" w:ascii="宋体" w:hAnsi="宋体" w:cs="宋体"/>
          <w:color w:val="000000" w:themeColor="text1"/>
          <w:highlight w:val="none"/>
          <w:lang w:val="zh-CN"/>
          <w14:textFill>
            <w14:solidFill>
              <w14:schemeClr w14:val="tx1"/>
            </w14:solidFill>
          </w14:textFill>
        </w:rPr>
        <w:t xml:space="preserve">22.2 按以下第（</w:t>
      </w:r>
      <w:r>
        <w:rPr>
          <w:rFonts w:hint="eastAsia" w:ascii="宋体" w:hAnsi="宋体" w:cs="宋体"/>
          <w:color w:val="000000" w:themeColor="text1"/>
          <w:highlight w:val="none"/>
          <w14:textFill>
            <w14:solidFill>
              <w14:schemeClr w14:val="tx1"/>
            </w14:solidFill>
          </w14:textFill>
        </w:rPr>
        <w:t xml:space="preserve">2</w:t>
      </w:r>
      <w:r>
        <w:rPr>
          <w:rFonts w:hint="eastAsia" w:ascii="宋体" w:hAnsi="宋体" w:cs="宋体"/>
          <w:color w:val="000000" w:themeColor="text1"/>
          <w:highlight w:val="none"/>
          <w:lang w:val="zh-CN"/>
          <w14:textFill>
            <w14:solidFill>
              <w14:schemeClr w14:val="tx1"/>
            </w14:solidFill>
          </w14:textFill>
        </w:rPr>
        <w:t xml:space="preserve">）种方式确定中标供应商</w:t>
      </w:r>
      <w:r/>
    </w:p>
    <w:p>
      <w:pPr>
        <w:ind w:firstLine="420"/>
        <w:rPr>
          <w:rFonts w:hint="eastAsia" w:ascii="宋体" w:hAnsi="宋体" w:cs="宋体"/>
          <w:color w:val="000000" w:themeColor="text1"/>
          <w:highlight w:val="none"/>
          <w:lang w:val="zh-CN"/>
          <w14:textFill>
            <w14:solidFill>
              <w14:schemeClr w14:val="tx1"/>
            </w14:solidFill>
          </w14:textFill>
        </w:rPr>
      </w:pPr>
      <w:r>
        <w:rPr>
          <w:rFonts w:hint="eastAsia" w:ascii="宋体" w:hAnsi="宋体" w:cs="宋体"/>
          <w:color w:val="000000" w:themeColor="text1"/>
          <w:highlight w:val="none"/>
          <w:lang w:val="zh-CN"/>
          <w14:textFill>
            <w14:solidFill>
              <w14:schemeClr w14:val="tx1"/>
            </w14:solidFill>
          </w14:textFill>
        </w:rPr>
        <w:t xml:space="preserve">（1）评标委员会直接确定排名第一的中标候选人为中标供应商；</w:t>
      </w:r>
      <w:r/>
    </w:p>
    <w:p>
      <w:pPr>
        <w:ind w:firstLine="420"/>
        <w:rPr>
          <w:rFonts w:hint="eastAsia" w:ascii="宋体" w:hAnsi="宋体" w:cs="宋体"/>
          <w:color w:val="000000" w:themeColor="text1"/>
          <w:highlight w:val="none"/>
          <w:lang w:val="zh-CN"/>
          <w14:textFill>
            <w14:solidFill>
              <w14:schemeClr w14:val="tx1"/>
            </w14:solidFill>
          </w14:textFill>
        </w:rPr>
      </w:pPr>
      <w:r>
        <w:rPr>
          <w:rFonts w:hint="eastAsia" w:ascii="宋体" w:hAnsi="宋体" w:cs="宋体"/>
          <w:color w:val="000000" w:themeColor="text1"/>
          <w:highlight w:val="none"/>
          <w:lang w:val="zh-CN"/>
          <w14:textFill>
            <w14:solidFill>
              <w14:schemeClr w14:val="tx1"/>
            </w14:solidFill>
          </w14:textFill>
        </w:rPr>
        <w:t xml:space="preserve">（2）采购人在评标委员会推荐的中标候选人中按顺序确定中标供应商。</w:t>
      </w:r>
      <w:r/>
    </w:p>
    <w:p>
      <w:pPr>
        <w:ind w:firstLine="420"/>
        <w:rPr>
          <w:rFonts w:hint="eastAsia" w:ascii="宋体" w:hAnsi="宋体" w:cs="宋体"/>
          <w:color w:val="000000" w:themeColor="text1"/>
          <w:highlight w:val="none"/>
          <w:lang w:val="zh-CN"/>
          <w14:textFill>
            <w14:solidFill>
              <w14:schemeClr w14:val="tx1"/>
            </w14:solidFill>
          </w14:textFill>
        </w:rPr>
      </w:pPr>
      <w:r>
        <w:rPr>
          <w:rFonts w:hint="eastAsia" w:ascii="宋体" w:hAnsi="宋体" w:cs="宋体"/>
          <w:color w:val="000000" w:themeColor="text1"/>
          <w:highlight w:val="none"/>
          <w:lang w:val="zh-CN"/>
          <w14:textFill>
            <w14:solidFill>
              <w14:schemeClr w14:val="tx1"/>
            </w14:solidFill>
          </w14:textFill>
        </w:rPr>
        <w:t xml:space="preserve">按第二种方式确定中标供应商的，代理机构自评审结束之日起两个工作日内将评审报告送交采购人，采购人应当自收到评审报告之日起五个工作日内在评审报告推荐的中标候选人中按顺序确定中标供应商。</w:t>
      </w:r>
      <w:r/>
    </w:p>
    <w:p>
      <w:pPr>
        <w:ind w:firstLine="420"/>
        <w:rPr>
          <w:rFonts w:hint="eastAsia" w:ascii="宋体" w:hAnsi="宋体" w:cs="宋体"/>
          <w:color w:val="000000" w:themeColor="text1"/>
          <w:highlight w:val="none"/>
          <w:lang w:val="zh-CN"/>
          <w14:textFill>
            <w14:solidFill>
              <w14:schemeClr w14:val="tx1"/>
            </w14:solidFill>
          </w14:textFill>
        </w:rPr>
      </w:pPr>
      <w:r>
        <w:rPr>
          <w:rFonts w:hint="eastAsia" w:ascii="宋体" w:hAnsi="宋体" w:cs="宋体"/>
          <w:color w:val="000000" w:themeColor="text1"/>
          <w:highlight w:val="none"/>
          <w:lang w:val="zh-CN"/>
          <w14:textFill>
            <w14:solidFill>
              <w14:schemeClr w14:val="tx1"/>
            </w14:solidFill>
          </w14:textFill>
        </w:rPr>
        <w:t xml:space="preserve">22.3 中标供应商确定之日起两个工作日内，将在财政部门指定的政府采购信息发布媒体上公告。</w:t>
      </w:r>
      <w:r/>
    </w:p>
    <w:p>
      <w:pPr>
        <w:ind w:firstLine="420"/>
        <w:rPr>
          <w:rFonts w:hint="eastAsia" w:ascii="宋体" w:hAnsi="宋体" w:cs="宋体"/>
          <w:color w:val="000000" w:themeColor="text1"/>
          <w:highlight w:val="none"/>
          <w:lang w:val="zh-CN"/>
          <w14:textFill>
            <w14:solidFill>
              <w14:schemeClr w14:val="tx1"/>
            </w14:solidFill>
          </w14:textFill>
        </w:rPr>
      </w:pPr>
      <w:r>
        <w:rPr>
          <w:rFonts w:hint="eastAsia" w:ascii="宋体" w:hAnsi="宋体" w:cs="宋体"/>
          <w:color w:val="000000" w:themeColor="text1"/>
          <w:highlight w:val="none"/>
          <w:lang w:val="zh-CN"/>
          <w14:textFill>
            <w14:solidFill>
              <w14:schemeClr w14:val="tx1"/>
            </w14:solidFill>
          </w14:textFill>
        </w:rPr>
        <w:t xml:space="preserve">22.4 《中标通知书》对采购人和中标供应商具有同等法律效力。</w:t>
      </w:r>
      <w:r/>
    </w:p>
    <w:p>
      <w:pPr>
        <w:ind w:firstLine="420"/>
        <w:rPr>
          <w:rFonts w:hint="eastAsia" w:ascii="宋体" w:hAnsi="宋体" w:cs="宋体"/>
          <w:color w:val="000000" w:themeColor="text1"/>
          <w:highlight w:val="none"/>
          <w:lang w:val="zh-CN"/>
          <w14:textFill>
            <w14:solidFill>
              <w14:schemeClr w14:val="tx1"/>
            </w14:solidFill>
          </w14:textFill>
        </w:rPr>
      </w:pPr>
      <w:r>
        <w:rPr>
          <w:rFonts w:hint="eastAsia" w:ascii="宋体" w:hAnsi="宋体" w:cs="宋体"/>
          <w:color w:val="000000" w:themeColor="text1"/>
          <w:highlight w:val="none"/>
          <w:lang w:val="zh-CN"/>
          <w14:textFill>
            <w14:solidFill>
              <w14:schemeClr w14:val="tx1"/>
            </w14:solidFill>
          </w14:textFill>
        </w:rPr>
        <w:t xml:space="preserve">22.5 《中标通知书》发出后，中标供应商无正当理由不与采购人签订合同的，应当依法承担法律责任。</w:t>
      </w:r>
      <w:r/>
    </w:p>
    <w:p>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zh-CN"/>
          <w14:textFill>
            <w14:solidFill>
              <w14:schemeClr w14:val="tx1"/>
            </w14:solidFill>
          </w14:textFill>
        </w:rPr>
        <w:t xml:space="preserve">22.6代理机构和评标委员会对未中标的供应商不作未中标原因的解释。</w:t>
      </w:r>
      <w:r/>
    </w:p>
    <w:p>
      <w:pPr>
        <w:ind w:firstLine="413"/>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23</w:t>
      </w:r>
      <w:r>
        <w:rPr>
          <w:rFonts w:hint="eastAsia" w:ascii="宋体" w:hAnsi="宋体" w:cs="宋体"/>
          <w:b/>
          <w:bCs/>
          <w:color w:val="000000" w:themeColor="text1"/>
          <w:szCs w:val="21"/>
          <w:highlight w:val="none"/>
          <w:lang w:val="zh-CN"/>
          <w14:textFill>
            <w14:solidFill>
              <w14:schemeClr w14:val="tx1"/>
            </w14:solidFill>
          </w14:textFill>
        </w:rPr>
        <w:t xml:space="preserve">、</w:t>
      </w:r>
      <w:r>
        <w:rPr>
          <w:rFonts w:hint="eastAsia" w:ascii="宋体" w:hAnsi="宋体" w:cs="宋体"/>
          <w:b/>
          <w:color w:val="000000" w:themeColor="text1"/>
          <w:szCs w:val="21"/>
          <w:highlight w:val="none"/>
          <w14:textFill>
            <w14:solidFill>
              <w14:schemeClr w14:val="tx1"/>
            </w14:solidFill>
          </w14:textFill>
        </w:rPr>
        <w:t xml:space="preserve">编写评标报告</w:t>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23.1 评标委员会根据全体评标成员签字的原始评标记录和评标结果编写评标报告。</w:t>
      </w:r>
      <w:r/>
    </w:p>
    <w:p>
      <w:pPr>
        <w:ind w:firstLine="420"/>
        <w:rPr>
          <w:rFonts w:hint="eastAsia"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24、评标过程的保密性</w:t>
      </w:r>
      <w:r/>
    </w:p>
    <w:p>
      <w:pPr>
        <w:ind w:firstLine="420"/>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24.1 招标代理将采取必要措施，保证评标在严格保密的情况下进行。</w:t>
      </w:r>
      <w:r/>
    </w:p>
    <w:p>
      <w:pPr>
        <w:ind w:firstLine="420"/>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24.2 任何单位和个人不得非法干预、影响评标办法的确定，以及评标过程和结果。</w:t>
      </w:r>
      <w:r/>
    </w:p>
    <w:p>
      <w:pPr>
        <w:ind w:firstLine="420"/>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24.3 凡是与审查、澄清、评价和比较投标的有关资料等，均不向供应商及与评标无关的其他人员透露。</w:t>
      </w:r>
      <w:r/>
    </w:p>
    <w:p>
      <w:pPr>
        <w:ind w:firstLine="420"/>
        <w:rPr>
          <w:rFonts w:hint="eastAsia" w:ascii="宋体" w:hAnsi="宋体" w:cs="宋体"/>
          <w:b/>
          <w:bCs/>
          <w:color w:val="000000" w:themeColor="text1"/>
          <w:szCs w:val="21"/>
          <w:highlight w:val="none"/>
          <w:lang w:val="zh-CN"/>
          <w14:textFill>
            <w14:solidFill>
              <w14:schemeClr w14:val="tx1"/>
            </w14:solidFill>
          </w14:textFill>
        </w:rPr>
        <w:outlineLvl w:val="0"/>
      </w:pPr>
      <w:r>
        <w:rPr>
          <w:rFonts w:hint="eastAsia" w:ascii="宋体" w:hAnsi="宋体" w:cs="宋体"/>
          <w:b/>
          <w:bCs/>
          <w:color w:val="000000" w:themeColor="text1"/>
          <w:szCs w:val="21"/>
          <w:highlight w:val="none"/>
          <w:lang w:val="zh-CN"/>
          <w14:textFill>
            <w14:solidFill>
              <w14:schemeClr w14:val="tx1"/>
            </w14:solidFill>
          </w14:textFill>
        </w:rPr>
        <w:t xml:space="preserve">五、签订合同</w:t>
      </w:r>
      <w:r/>
    </w:p>
    <w:p>
      <w:pPr>
        <w:ind w:firstLine="420"/>
        <w:rPr>
          <w:rFonts w:hint="eastAsia"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25、签订合同</w:t>
      </w:r>
      <w:r/>
    </w:p>
    <w:p>
      <w:pPr>
        <w:ind w:firstLine="420"/>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25.1 采购人应当自中标通知书发出之日起30日内，按照招标文件和中标人投标文件的规定与中标人签订书面合同。所签订的合同不得对招标文件确定事项和中标人投标文件作实质性修改。</w:t>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25.2</w:t>
      </w:r>
      <w:r>
        <w:rPr>
          <w:rFonts w:hint="eastAsia" w:ascii="宋体" w:hAnsi="宋体" w:cs="宋体"/>
          <w:color w:val="000000" w:themeColor="text1"/>
          <w:szCs w:val="21"/>
          <w:highlight w:val="none"/>
          <w14:textFill>
            <w14:solidFill>
              <w14:schemeClr w14:val="tx1"/>
            </w14:solidFill>
          </w14:textFill>
        </w:rPr>
        <w:t xml:space="preserve">采购人不得向中标人提出任何不合理的要求作为签订合同的条件，不得与中标人私下订立背离合同实质性内容的协议。</w:t>
      </w:r>
      <w:r/>
    </w:p>
    <w:p>
      <w:pPr>
        <w:ind w:firstLine="420"/>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25.3中标人拒绝与采购人签订合同，或因不可抗力或者自身原因不能履行政府采购合同的，采购人可以按照评审报告中的得分高低顺序，确定下一顺序投标人为中标人，也可以重新开展政府采购活动。</w:t>
      </w:r>
      <w:r/>
    </w:p>
    <w:p>
      <w:pPr>
        <w:ind w:firstLine="420"/>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25.4 采购合同履行中，采购人需追加与合同标的相同货物的，在不改变合同其他条款的前提下，可以与供应商协商签订补充合同，但所有补充合同的采购金额不得超过原合同采购金额的百分之十。</w:t>
      </w:r>
      <w:r/>
    </w:p>
    <w:p>
      <w:pPr>
        <w:ind w:firstLine="420"/>
        <w:rPr>
          <w:rFonts w:hint="eastAsia" w:ascii="宋体" w:hAnsi="宋体" w:cs="宋体"/>
          <w:b/>
          <w:bCs/>
          <w:color w:val="000000" w:themeColor="text1"/>
          <w:szCs w:val="21"/>
          <w:highlight w:val="none"/>
          <w:lang w:val="zh-CN"/>
          <w14:textFill>
            <w14:solidFill>
              <w14:schemeClr w14:val="tx1"/>
            </w14:solidFill>
          </w14:textFill>
        </w:rPr>
        <w:outlineLvl w:val="0"/>
      </w:pPr>
      <w:r>
        <w:rPr>
          <w:rFonts w:hint="eastAsia" w:ascii="宋体" w:hAnsi="宋体" w:cs="宋体"/>
          <w:b/>
          <w:bCs/>
          <w:color w:val="000000" w:themeColor="text1"/>
          <w:szCs w:val="21"/>
          <w:highlight w:val="none"/>
          <w:lang w:val="zh-CN"/>
          <w14:textFill>
            <w14:solidFill>
              <w14:schemeClr w14:val="tx1"/>
            </w14:solidFill>
          </w14:textFill>
        </w:rPr>
        <w:t xml:space="preserve">六、询问、质疑、投诉和诚实信用</w:t>
      </w:r>
      <w:r/>
    </w:p>
    <w:p>
      <w:pPr>
        <w:ind w:firstLine="420"/>
        <w:rPr>
          <w:rFonts w:hint="eastAsia"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26、询问</w:t>
      </w:r>
      <w:r/>
    </w:p>
    <w:p>
      <w:pPr>
        <w:ind w:firstLine="420"/>
        <w:rPr>
          <w:rFonts w:hint="eastAsia" w:ascii="宋体" w:hAnsi="宋体" w:cs="宋体"/>
          <w:b/>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26.1 供应商对招标活动事项有疑问的，可以向招标代理或采购人提出询问，招标代理或采购人将在两个工作日内作出答复，但答复的内容不涉及商业秘密</w:t>
      </w:r>
      <w:r>
        <w:rPr>
          <w:rFonts w:hint="eastAsia" w:ascii="宋体" w:hAnsi="宋体" w:cs="宋体"/>
          <w:b/>
          <w:color w:val="000000" w:themeColor="text1"/>
          <w:szCs w:val="21"/>
          <w:highlight w:val="none"/>
          <w:lang w:val="zh-CN"/>
          <w14:textFill>
            <w14:solidFill>
              <w14:schemeClr w14:val="tx1"/>
            </w14:solidFill>
          </w14:textFill>
        </w:rPr>
        <w:t xml:space="preserve">。</w:t>
      </w:r>
      <w:r/>
    </w:p>
    <w:p>
      <w:pPr>
        <w:ind w:firstLine="420"/>
        <w:rPr>
          <w:rFonts w:hint="eastAsia"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27、质疑</w:t>
      </w:r>
      <w:r/>
    </w:p>
    <w:p>
      <w:pPr>
        <w:ind w:firstLine="420"/>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27.1 投标人认为招标文件、采购过程和中标结果使自己的合法权益受到损害的，可以在知道或者应当知道其权益受到损害之日起七个工作日内一次性提出针对同一采购程序环节的质疑，质疑文件原件以书面形式送达招标代理。</w:t>
      </w:r>
      <w:r/>
    </w:p>
    <w:p>
      <w:pPr>
        <w:ind w:firstLine="409"/>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27.2 </w:t>
      </w:r>
      <w:r>
        <w:rPr>
          <w:rFonts w:hint="eastAsia" w:ascii="宋体" w:hAnsi="宋体" w:cs="宋体"/>
          <w:color w:val="000000" w:themeColor="text1"/>
          <w:szCs w:val="21"/>
          <w:highlight w:val="none"/>
          <w14:textFill>
            <w14:solidFill>
              <w14:schemeClr w14:val="tx1"/>
            </w14:solidFill>
          </w14:textFill>
        </w:rPr>
        <w:t xml:space="preserve">质疑供应商的质疑行为应符合财政部94号令相关规定，</w:t>
      </w:r>
      <w:r>
        <w:rPr>
          <w:rFonts w:hint="eastAsia" w:ascii="宋体" w:hAnsi="宋体" w:cs="宋体"/>
          <w:color w:val="000000" w:themeColor="text1"/>
          <w:szCs w:val="21"/>
          <w:highlight w:val="none"/>
          <w:lang w:val="zh-CN"/>
          <w14:textFill>
            <w14:solidFill>
              <w14:schemeClr w14:val="tx1"/>
            </w14:solidFill>
          </w14:textFill>
        </w:rPr>
        <w:t xml:space="preserve">质疑供应商是指直接参加本次投标活动的供应商，未参加投标活动的供应商或在投标活动中自身权益未受到损害的供应商所提出的质疑不予受理。</w:t>
      </w:r>
      <w:r/>
    </w:p>
    <w:p>
      <w:pPr>
        <w:ind w:firstLine="420"/>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27.3 质疑必须以参加投标供应商法定代表人或授权代表（投标文件中所确定的）原件送达的方式提交，否则，招标代理有权不予受理。</w:t>
      </w:r>
      <w:r/>
    </w:p>
    <w:p>
      <w:pPr>
        <w:ind w:firstLine="420"/>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27.4上述应知其权益受到损害之日是指：</w:t>
      </w:r>
      <w:r/>
    </w:p>
    <w:p>
      <w:pPr>
        <w:ind w:firstLine="420"/>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（1）对招标文件提出质疑的，为投标文件公告期限届满之日起计算；</w:t>
      </w:r>
      <w:r/>
    </w:p>
    <w:p>
      <w:pPr>
        <w:ind w:firstLine="420"/>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（2）对采购过程提出质疑的，自采购程序环节结束之日起计算；</w:t>
      </w:r>
      <w:r/>
    </w:p>
    <w:p>
      <w:pPr>
        <w:ind w:firstLine="420"/>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（3）对中标结果提出质疑的，自中标结果公告期限届满之日起计算。  </w:t>
      </w:r>
      <w:r/>
    </w:p>
    <w:p>
      <w:pPr>
        <w:ind w:firstLine="420"/>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27.5 质疑文件应包括以下主要内容，并按照“谁主张、谁举证”的原则，附上相关证明材料。否则，招标代理或采购人不予受理：</w:t>
      </w:r>
      <w:r/>
    </w:p>
    <w:p>
      <w:pPr>
        <w:ind w:left="420"/>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（1）质疑项目名称、项目编号、包号、招标公告发布时间、开标时间；</w:t>
      </w:r>
      <w:r/>
    </w:p>
    <w:p>
      <w:pPr>
        <w:ind w:firstLine="420"/>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（2）提起质疑的日期、具体的质疑事项及事实根据（具体条款）；</w:t>
      </w:r>
      <w:r/>
    </w:p>
    <w:p>
      <w:pPr>
        <w:ind w:firstLine="420"/>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认为自己合法权益受到损害或可能受到损害的相关证据材料。质疑相关证明材料中如涉及到产品功能或技术指标的，应出具相关制造商的证明文件（友情提示：供应商全部产品线中没有满足技术需求要求的产品才可以对招标产品提出质疑，并提出修改理由和修改建议）；</w:t>
      </w:r>
      <w:r/>
    </w:p>
    <w:p>
      <w:pPr>
        <w:ind w:firstLine="420"/>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（4）质疑供应商名称、地址、邮编、联系人、联系电话（包括座机、手机、传真号码等）；</w:t>
      </w:r>
      <w:r/>
    </w:p>
    <w:p>
      <w:pPr>
        <w:ind w:firstLine="420"/>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（5）质疑文件应当署名，质疑人为自然人的，应当由本人签字并附有效身份证明；质疑人为法人或其他组织的，应当由法定代表人签字并加盖单位公章。</w:t>
      </w:r>
      <w:r/>
    </w:p>
    <w:p>
      <w:pPr>
        <w:ind w:firstLine="420"/>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（6）供应商委托代理质疑的，应当向被质疑人提交授权委托书，并载明委托代理的具体权限和事项。</w:t>
      </w:r>
      <w:r/>
    </w:p>
    <w:p>
      <w:pPr>
        <w:ind w:firstLine="420"/>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27.6 招标代理在收到供应商的书面质疑后将及时组织调查核实，在七个工作日内作出答复，并以书面或在网站公告形式通知质疑供应商和其他有关供应商，答复的内容不涉及商业秘密。招标代理遵循“谁过错谁负担”的原则，有过错的一方承担调查论证费用。</w:t>
      </w:r>
      <w:r/>
    </w:p>
    <w:p>
      <w:pPr>
        <w:ind w:firstLine="420"/>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28、投诉</w:t>
      </w:r>
      <w:r/>
    </w:p>
    <w:p>
      <w:pPr>
        <w:ind w:firstLine="420"/>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28.1 质疑供应商对招标代理的答复不满意，或招标代理未在规定的时间内作出答复的，可以在答复期满后</w:t>
      </w:r>
      <w:r>
        <w:rPr>
          <w:rFonts w:hint="eastAsia" w:ascii="宋体" w:hAnsi="宋体" w:cs="宋体"/>
          <w:b/>
          <w:bCs/>
          <w:color w:val="000000" w:themeColor="text1"/>
          <w:szCs w:val="21"/>
          <w:highlight w:val="none"/>
          <w:lang w:val="zh-CN"/>
          <w14:textFill>
            <w14:solidFill>
              <w14:schemeClr w14:val="tx1"/>
            </w14:solidFill>
          </w14:textFill>
        </w:rPr>
        <w:t xml:space="preserve">十五个工作日内</w:t>
      </w:r>
      <w:r>
        <w:rPr>
          <w:rFonts w:hint="eastAsia" w:ascii="宋体" w:hAnsi="宋体" w:cs="宋体"/>
          <w:color w:val="000000" w:themeColor="text1"/>
          <w:szCs w:val="21"/>
          <w:highlight w:val="none"/>
          <w:lang w:val="zh-CN"/>
          <w14:textFill>
            <w14:solidFill>
              <w14:schemeClr w14:val="tx1"/>
            </w14:solidFill>
          </w14:textFill>
        </w:rPr>
        <w:t xml:space="preserve">向采购项目同级财政部门投诉。</w:t>
      </w:r>
      <w:r/>
    </w:p>
    <w:p>
      <w:pPr>
        <w:ind w:firstLine="420"/>
        <w:rPr>
          <w:rFonts w:hint="eastAsia"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29、诚实信用</w:t>
      </w:r>
      <w:r/>
    </w:p>
    <w:p>
      <w:pPr>
        <w:ind w:firstLine="420"/>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29.1 供应商之间不得相互串通投标报价，不得妨碍其他供应商的公平竞争，不得损害采购人和其他供应商的合法权益。</w:t>
      </w:r>
      <w:r/>
    </w:p>
    <w:p>
      <w:pPr>
        <w:ind w:firstLine="420"/>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29.2 供应商不得以向招标代理工作人员、评标委员会成员行贿或者采取其他不正当手段谋取中标。经查实供应商有此行为的，</w:t>
      </w:r>
      <w:r>
        <w:rPr>
          <w:rFonts w:hint="eastAsia" w:ascii="宋体" w:hAnsi="宋体" w:cs="宋体"/>
          <w:color w:val="000000" w:themeColor="text1"/>
          <w:highlight w:val="none"/>
          <w14:textFill>
            <w14:solidFill>
              <w14:schemeClr w14:val="tx1"/>
            </w14:solidFill>
          </w14:textFill>
        </w:rPr>
        <w:t xml:space="preserve">政府采购管理部门将供应商列入不良行为记录名单，按照《政府采购法》有关规定处理。</w:t>
      </w:r>
      <w:r/>
    </w:p>
    <w:p>
      <w:pPr>
        <w:ind w:firstLine="420"/>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29.3 供应商提出书面质疑必须有理、有据，不得虚假质疑和恶意质疑，并对质疑内容的真实性承担责任。一经查实，招标代理有权依据政府采购的有关规定，报请政府采购监管部门对该投标人进行相应的行政处罚并在网站上予以公示。如果供应商或者其他利害关系人通过捏造事实、伪造证明材料等方式提出质疑，干扰政府采购活动正常进行的，属于严重不良行为，招标代理将提请财政部门将其列入不良行为记录名单，并依法予以处罚。</w:t>
      </w:r>
      <w:r/>
    </w:p>
    <w:p>
      <w:pPr>
        <w:ind w:firstLine="420"/>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29.4 供应商不得虚假承诺，否则，按照提供虚假材料谋取中标成交处理。</w:t>
      </w:r>
      <w:r/>
    </w:p>
    <w:p>
      <w:pPr>
        <w:ind w:firstLine="420"/>
        <w:rPr>
          <w:rFonts w:hint="eastAsia" w:ascii="宋体" w:hAnsi="宋体" w:cs="宋体"/>
          <w:b/>
          <w:color w:val="000000" w:themeColor="text1"/>
          <w:sz w:val="36"/>
          <w:szCs w:val="36"/>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29.5 供应商应自觉遵守开标、评标纪律，扰乱开标评标现场秩序的，属于失信行为，根据《江苏省政府采购供应商监督管理暂行办法》，失信行为将被记入供应商诚信档案。</w:t>
      </w:r>
      <w:r/>
    </w:p>
    <w:p>
      <w:pPr>
        <w:jc w:val="center"/>
        <w:rPr>
          <w:rFonts w:hint="eastAsia" w:ascii="宋体" w:hAnsi="宋体" w:cs="宋体"/>
          <w:b/>
          <w:color w:val="000000" w:themeColor="text1"/>
          <w:sz w:val="36"/>
          <w:szCs w:val="36"/>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br w:type="page" w:clear="all"/>
      </w:r>
      <w:r>
        <w:rPr>
          <w:rFonts w:hint="eastAsia" w:ascii="宋体" w:hAnsi="宋体" w:cs="宋体"/>
          <w:b/>
          <w:color w:val="000000" w:themeColor="text1"/>
          <w:sz w:val="36"/>
          <w:szCs w:val="36"/>
          <w:highlight w:val="none"/>
          <w14:textFill>
            <w14:solidFill>
              <w14:schemeClr w14:val="tx1"/>
            </w14:solidFill>
          </w14:textFill>
        </w:rPr>
        <w:t xml:space="preserve">第三章 评标标准</w:t>
      </w:r>
      <w:r/>
    </w:p>
    <w:p>
      <w:pPr>
        <w:ind w:firstLine="420"/>
        <w:spacing w:line="360" w:lineRule="auto"/>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在综合比较与评价后按照得分由高到低顺序对供应商进行排序。得分相同的，按投标报价由低到高顺序排列。得分且报价相同的，按技术指标（</w:t>
      </w:r>
      <w:r>
        <w:rPr>
          <w:rFonts w:hint="eastAsia" w:ascii="宋体" w:hAnsi="宋体" w:cs="宋体"/>
          <w:color w:val="000000" w:themeColor="text1"/>
          <w:szCs w:val="21"/>
          <w:highlight w:val="none"/>
          <w14:textFill>
            <w14:solidFill>
              <w14:schemeClr w14:val="tx1"/>
            </w14:solidFill>
          </w14:textFill>
        </w:rPr>
        <w:t xml:space="preserve">技术部分</w:t>
      </w:r>
      <w:r>
        <w:rPr>
          <w:rFonts w:hint="eastAsia" w:ascii="宋体" w:hAnsi="宋体" w:cs="宋体"/>
          <w:color w:val="000000" w:themeColor="text1"/>
          <w:szCs w:val="21"/>
          <w:highlight w:val="none"/>
          <w:lang w:val="zh-CN"/>
          <w14:textFill>
            <w14:solidFill>
              <w14:schemeClr w14:val="tx1"/>
            </w14:solidFill>
          </w14:textFill>
        </w:rPr>
        <w:t xml:space="preserve">）优劣顺序排列</w:t>
      </w:r>
      <w:r>
        <w:rPr>
          <w:rFonts w:ascii="宋体" w:hAnsi="宋体" w:cs="宋体"/>
          <w:color w:val="000000" w:themeColor="text1"/>
          <w:szCs w:val="21"/>
          <w:highlight w:val="none"/>
          <w:lang w:val="zh-CN"/>
          <w14:textFill>
            <w14:solidFill>
              <w14:schemeClr w14:val="tx1"/>
            </w14:solidFill>
          </w14:textFill>
        </w:rPr>
        <w:t xml:space="preserve">。</w:t>
      </w:r>
      <w:r/>
    </w:p>
    <w:tbl>
      <w:tblPr>
        <w:tblStyle w:val="112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1"/>
        <w:gridCol w:w="784"/>
        <w:gridCol w:w="7325"/>
        <w:gridCol w:w="768"/>
      </w:tblGrid>
      <w:tr>
        <w:trPr>
          <w:jc w:val="center"/>
          <w:trHeight w:val="20"/>
        </w:trPr>
        <w:tc>
          <w:tcPr>
            <w:tcBorders>
              <w:top w:val="single" w:color="auto" w:sz="4" w:space="0"/>
              <w:left w:val="single" w:color="auto" w:sz="4" w:space="0"/>
              <w:bottom w:val="single" w:color="auto" w:sz="4" w:space="0"/>
              <w:right w:val="single" w:color="auto" w:sz="4" w:space="0"/>
            </w:tcBorders>
            <w:tcW w:w="390" w:type="pct"/>
            <w:vAlign w:val="center"/>
            <w:textDirection w:val="lrTb"/>
            <w:noWrap w:val="false"/>
          </w:tcPr>
          <w:p>
            <w:pPr>
              <w:jc w:val="center"/>
              <w:spacing w:line="400" w:lineRule="exac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br w:type="page" w:clear="all"/>
            </w:r>
            <w:r>
              <w:rPr>
                <w:rFonts w:hint="eastAsia" w:ascii="宋体" w:hAnsi="宋体" w:cs="宋体"/>
                <w:color w:val="000000" w:themeColor="text1"/>
                <w:sz w:val="24"/>
                <w:highlight w:val="none"/>
                <w14:textFill>
                  <w14:solidFill>
                    <w14:schemeClr w14:val="tx1"/>
                  </w14:solidFill>
                </w14:textFill>
              </w:rPr>
              <w:br w:type="page" w:clear="all"/>
            </w:r>
            <w:r>
              <w:rPr>
                <w:rFonts w:hint="eastAsia" w:ascii="宋体" w:hAnsi="宋体" w:cs="宋体"/>
                <w:b/>
                <w:color w:val="000000" w:themeColor="text1"/>
                <w:sz w:val="24"/>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407" w:type="pct"/>
            <w:vAlign w:val="center"/>
            <w:textDirection w:val="lrTb"/>
            <w:noWrap w:val="false"/>
          </w:tcPr>
          <w:p>
            <w:pPr>
              <w:jc w:val="center"/>
              <w:spacing w:line="400" w:lineRule="exac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评分项目</w:t>
            </w:r>
            <w:r/>
          </w:p>
        </w:tc>
        <w:tc>
          <w:tcPr>
            <w:tcBorders>
              <w:top w:val="single" w:color="auto" w:sz="4" w:space="0"/>
              <w:left w:val="single" w:color="auto" w:sz="4" w:space="0"/>
              <w:bottom w:val="single" w:color="auto" w:sz="4" w:space="0"/>
              <w:right w:val="single" w:color="auto" w:sz="4" w:space="0"/>
            </w:tcBorders>
            <w:tcW w:w="3802" w:type="pct"/>
            <w:vAlign w:val="center"/>
            <w:textDirection w:val="lrTb"/>
            <w:noWrap w:val="false"/>
          </w:tcPr>
          <w:p>
            <w:pPr>
              <w:jc w:val="center"/>
              <w:spacing w:line="400" w:lineRule="exac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评分标准及细则</w:t>
            </w:r>
            <w:r/>
          </w:p>
        </w:tc>
        <w:tc>
          <w:tcPr>
            <w:tcBorders>
              <w:top w:val="single" w:color="auto" w:sz="4" w:space="0"/>
              <w:left w:val="single" w:color="auto" w:sz="4" w:space="0"/>
              <w:bottom w:val="single" w:color="auto" w:sz="4" w:space="0"/>
              <w:right w:val="single" w:color="auto" w:sz="4" w:space="0"/>
            </w:tcBorders>
            <w:tcW w:w="399" w:type="pct"/>
            <w:vAlign w:val="center"/>
            <w:textDirection w:val="lrTb"/>
            <w:noWrap w:val="false"/>
          </w:tcPr>
          <w:p>
            <w:pPr>
              <w:jc w:val="center"/>
              <w:spacing w:line="400" w:lineRule="exac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分值</w:t>
            </w:r>
            <w:r/>
          </w:p>
        </w:tc>
      </w:tr>
      <w:tr>
        <w:trPr>
          <w:jc w:val="center"/>
          <w:trHeight w:val="1765"/>
        </w:trPr>
        <w:tc>
          <w:tcPr>
            <w:tcBorders>
              <w:top w:val="single" w:color="auto" w:sz="4" w:space="0"/>
              <w:left w:val="single" w:color="auto" w:sz="4" w:space="0"/>
              <w:bottom w:val="single" w:color="auto" w:sz="4" w:space="0"/>
              <w:right w:val="single" w:color="auto" w:sz="4" w:space="0"/>
            </w:tcBorders>
            <w:tcW w:w="390" w:type="pct"/>
            <w:vAlign w:val="center"/>
            <w:textDirection w:val="lrTb"/>
            <w:noWrap w:val="false"/>
          </w:tcPr>
          <w:p>
            <w:pPr>
              <w:jc w:val="center"/>
              <w:spacing w:line="40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407" w:type="pct"/>
            <w:vAlign w:val="center"/>
            <w:textDirection w:val="lrTb"/>
            <w:noWrap w:val="false"/>
          </w:tcPr>
          <w:p>
            <w:pPr>
              <w:jc w:val="center"/>
              <w:spacing w:line="40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价格分</w:t>
            </w:r>
            <w:r/>
          </w:p>
        </w:tc>
        <w:tc>
          <w:tcPr>
            <w:tcBorders>
              <w:top w:val="single" w:color="auto" w:sz="4" w:space="0"/>
              <w:left w:val="single" w:color="auto" w:sz="4" w:space="0"/>
              <w:bottom w:val="single" w:color="auto" w:sz="4" w:space="0"/>
              <w:right w:val="single" w:color="auto" w:sz="4" w:space="0"/>
            </w:tcBorders>
            <w:tcW w:w="3802" w:type="pct"/>
            <w:vAlign w:val="center"/>
            <w:textDirection w:val="lrTb"/>
            <w:noWrap w:val="false"/>
          </w:tcPr>
          <w:p>
            <w:pPr>
              <w:spacing w:line="40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价格分采用低价优先法计算，即满足采购文件要求且投标价格最低的供应商投标报价为评标基准价，其价格分为满分30分，其它投标人的价格分统一按照以下公式计算：投标报价得分=（评标基准价/该投标人的投标报价）×30分。分值保留小数点后2位。</w:t>
            </w:r>
            <w:r/>
          </w:p>
        </w:tc>
        <w:tc>
          <w:tcPr>
            <w:tcBorders>
              <w:top w:val="single" w:color="auto" w:sz="4" w:space="0"/>
              <w:left w:val="single" w:color="auto" w:sz="4" w:space="0"/>
              <w:bottom w:val="single" w:color="auto" w:sz="4" w:space="0"/>
              <w:right w:val="single" w:color="auto" w:sz="4" w:space="0"/>
            </w:tcBorders>
            <w:tcW w:w="399" w:type="pct"/>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30</w:t>
            </w:r>
            <w:r/>
          </w:p>
        </w:tc>
      </w:tr>
      <w:tr>
        <w:trPr>
          <w:jc w:val="center"/>
          <w:trHeight w:val="90"/>
        </w:trPr>
        <w:tc>
          <w:tcPr>
            <w:tcBorders>
              <w:left w:val="single" w:color="auto" w:sz="4" w:space="0"/>
              <w:right w:val="single" w:color="auto" w:sz="4" w:space="0"/>
            </w:tcBorders>
            <w:tcW w:w="390" w:type="pct"/>
            <w:vAlign w:val="center"/>
            <w:textDirection w:val="lrTb"/>
            <w:noWrap w:val="false"/>
          </w:tcPr>
          <w:p>
            <w:pPr>
              <w:jc w:val="center"/>
              <w:spacing w:line="40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w:t>
            </w:r>
            <w:r/>
          </w:p>
        </w:tc>
        <w:tc>
          <w:tcPr>
            <w:tcBorders>
              <w:left w:val="single" w:color="auto" w:sz="4" w:space="0"/>
              <w:right w:val="single" w:color="auto" w:sz="4" w:space="0"/>
            </w:tcBorders>
            <w:tcW w:w="407" w:type="pct"/>
            <w:vAlign w:val="center"/>
            <w:textDirection w:val="lrTb"/>
            <w:noWrap w:val="false"/>
          </w:tcPr>
          <w:p>
            <w:pPr>
              <w:jc w:val="center"/>
              <w:spacing w:line="40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技术响应</w:t>
            </w:r>
            <w:r/>
          </w:p>
        </w:tc>
        <w:tc>
          <w:tcPr>
            <w:tcBorders>
              <w:top w:val="single" w:color="auto" w:sz="4" w:space="0"/>
              <w:left w:val="single" w:color="auto" w:sz="4" w:space="0"/>
              <w:bottom w:val="single" w:color="auto" w:sz="4" w:space="0"/>
              <w:right w:val="single" w:color="auto" w:sz="4" w:space="0"/>
            </w:tcBorders>
            <w:tcW w:w="3802" w:type="pct"/>
            <w:vAlign w:val="center"/>
            <w:textDirection w:val="lrTb"/>
            <w:noWrap w:val="false"/>
          </w:tcPr>
          <w:p>
            <w:pPr>
              <w:spacing w:line="30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投标产品对招标文件具体需求的响应程度能够满足招标文件“第四章 项目需求”的得32分。招标文件中标注“★”的内容为实质性要求，有一项不符合的，作无效投标处理。带“▲”条款为重要技术参数指标，如带“▲”条款存在负偏离的，负偏离1项扣3分，其他技术参数，负偏离1项扣1分，扣完为止。</w:t>
            </w:r>
            <w:r/>
          </w:p>
          <w:p>
            <w:pPr>
              <w:spacing w:line="40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和“▲”的技术参数响应需提供支撑资料（提供相关证明材料并加盖投标单位公章包括但不限于明确说明该技术内容的公开发行的产品彩页或产品说明书或第三方检测机构的检测报告等，自拟无效），如未附有效支撑材料或者所附的支撑材料由评标委员会认为不能佐证技术指标的有效性的，则视为负偏离。如文件中要求提供证明材料，建议采用箭头、标红或下划线等进行明显标注，并在偏离表中标明页码，方便评委查看。</w:t>
            </w:r>
            <w:r/>
          </w:p>
        </w:tc>
        <w:tc>
          <w:tcPr>
            <w:tcBorders>
              <w:top w:val="single" w:color="auto" w:sz="4" w:space="0"/>
              <w:left w:val="single" w:color="auto" w:sz="4" w:space="0"/>
              <w:bottom w:val="single" w:color="auto" w:sz="4" w:space="0"/>
              <w:right w:val="single" w:color="auto" w:sz="4" w:space="0"/>
            </w:tcBorders>
            <w:tcW w:w="399" w:type="pct"/>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32</w:t>
            </w:r>
            <w:r/>
          </w:p>
        </w:tc>
      </w:tr>
      <w:tr>
        <w:trPr>
          <w:jc w:val="center"/>
          <w:trHeight w:val="1865"/>
        </w:trPr>
        <w:tc>
          <w:tcPr>
            <w:tcBorders>
              <w:left w:val="single" w:color="auto" w:sz="4" w:space="0"/>
              <w:right w:val="single" w:color="auto" w:sz="4" w:space="0"/>
            </w:tcBorders>
            <w:tcW w:w="390" w:type="pct"/>
            <w:vAlign w:val="center"/>
            <w:textDirection w:val="lrTb"/>
            <w:noWrap w:val="false"/>
          </w:tcPr>
          <w:p>
            <w:pPr>
              <w:jc w:val="center"/>
              <w:spacing w:line="40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3</w:t>
            </w:r>
            <w:r/>
          </w:p>
        </w:tc>
        <w:tc>
          <w:tcPr>
            <w:tcBorders>
              <w:left w:val="single" w:color="auto" w:sz="4" w:space="0"/>
              <w:right w:val="single" w:color="auto" w:sz="4" w:space="0"/>
            </w:tcBorders>
            <w:tcW w:w="407" w:type="pct"/>
            <w:vAlign w:val="center"/>
            <w:textDirection w:val="lrTb"/>
            <w:noWrap w:val="false"/>
          </w:tcPr>
          <w:p>
            <w:pPr>
              <w:jc w:val="center"/>
              <w:spacing w:line="40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业绩</w:t>
            </w:r>
            <w:r/>
          </w:p>
        </w:tc>
        <w:tc>
          <w:tcPr>
            <w:tcBorders>
              <w:top w:val="single" w:color="auto" w:sz="4" w:space="0"/>
              <w:left w:val="single" w:color="auto" w:sz="4" w:space="0"/>
              <w:bottom w:val="single" w:color="auto" w:sz="4" w:space="0"/>
              <w:right w:val="single" w:color="auto" w:sz="4" w:space="0"/>
            </w:tcBorders>
            <w:tcW w:w="3802" w:type="pct"/>
            <w:vAlign w:val="center"/>
            <w:textDirection w:val="lrTb"/>
            <w:noWrap w:val="false"/>
          </w:tcPr>
          <w:p>
            <w:pPr>
              <w:spacing w:line="30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投标人提供自2023年1月1日（含）（时间以合同签订时间为准）至今承揽过类似项目业绩的，每提供一个得2分，最高得6分。</w:t>
            </w:r>
            <w:r/>
          </w:p>
          <w:p>
            <w:pPr>
              <w:spacing w:line="300" w:lineRule="auto"/>
              <w:rPr>
                <w:rFonts w:hint="eastAsia" w:ascii="宋体" w:hAnsi="宋体" w:cs="宋体"/>
                <w:color w:val="000000" w:themeColor="text1"/>
                <w:sz w:val="24"/>
                <w:highlight w:val="none"/>
                <w14:textFill>
                  <w14:solidFill>
                    <w14:schemeClr w14:val="tx1"/>
                  </w14:solidFill>
                </w14:textFill>
              </w:rPr>
            </w:pPr>
            <w:r>
              <w:rPr>
                <w:rFonts w:hint="eastAsia"/>
                <w:b/>
                <w:bCs/>
                <w:color w:val="000000" w:themeColor="text1"/>
                <w:sz w:val="24"/>
                <w:highlight w:val="none"/>
                <w14:textFill>
                  <w14:solidFill>
                    <w14:schemeClr w14:val="tx1"/>
                  </w14:solidFill>
                </w14:textFill>
              </w:rPr>
              <w:t xml:space="preserve">（提供合同复印件加盖投标单位公章，</w:t>
            </w:r>
            <w:r>
              <w:rPr>
                <w:rFonts w:hint="eastAsia" w:ascii="宋体" w:hAnsi="宋体" w:cs="宋体"/>
                <w:b/>
                <w:bCs/>
                <w:color w:val="000000" w:themeColor="text1"/>
                <w:sz w:val="24"/>
                <w:highlight w:val="none"/>
                <w14:textFill>
                  <w14:solidFill>
                    <w14:schemeClr w14:val="tx1"/>
                  </w14:solidFill>
                </w14:textFill>
              </w:rPr>
              <w:t xml:space="preserve">合同需体现相关内容，</w:t>
            </w:r>
            <w:r>
              <w:rPr>
                <w:rFonts w:hint="eastAsia"/>
                <w:b/>
                <w:bCs/>
                <w:color w:val="000000" w:themeColor="text1"/>
                <w:sz w:val="24"/>
                <w:highlight w:val="none"/>
                <w14:textFill>
                  <w14:solidFill>
                    <w14:schemeClr w14:val="tx1"/>
                  </w14:solidFill>
                </w14:textFill>
              </w:rPr>
              <w:t xml:space="preserve">未体现不得分，合同原件备查。）</w:t>
            </w:r>
            <w:r/>
          </w:p>
        </w:tc>
        <w:tc>
          <w:tcPr>
            <w:tcBorders>
              <w:top w:val="single" w:color="auto" w:sz="4" w:space="0"/>
              <w:left w:val="single" w:color="auto" w:sz="4" w:space="0"/>
              <w:bottom w:val="single" w:color="auto" w:sz="4" w:space="0"/>
              <w:right w:val="single" w:color="auto" w:sz="4" w:space="0"/>
            </w:tcBorders>
            <w:tcW w:w="399" w:type="pct"/>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w:t>
            </w:r>
            <w:r/>
          </w:p>
        </w:tc>
      </w:tr>
      <w:tr>
        <w:trPr>
          <w:jc w:val="center"/>
          <w:trHeight w:val="560"/>
        </w:trPr>
        <w:tc>
          <w:tcPr>
            <w:tcBorders>
              <w:left w:val="single" w:color="auto" w:sz="4" w:space="0"/>
              <w:right w:val="single" w:color="auto" w:sz="4" w:space="0"/>
            </w:tcBorders>
            <w:tcW w:w="390" w:type="pct"/>
            <w:vAlign w:val="center"/>
            <w:textDirection w:val="lrTb"/>
            <w:noWrap w:val="false"/>
          </w:tcPr>
          <w:p>
            <w:pPr>
              <w:jc w:val="center"/>
              <w:spacing w:line="40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4</w:t>
            </w:r>
            <w:r/>
          </w:p>
        </w:tc>
        <w:tc>
          <w:tcPr>
            <w:gridSpan w:val="3"/>
            <w:tcBorders>
              <w:left w:val="single" w:color="auto" w:sz="4" w:space="0"/>
              <w:right w:val="single" w:color="auto" w:sz="4" w:space="0"/>
            </w:tcBorders>
            <w:tcW w:w="4609" w:type="pct"/>
            <w:vAlign w:val="center"/>
            <w:textDirection w:val="lrTb"/>
            <w:noWrap w:val="false"/>
          </w:tcPr>
          <w:p>
            <w:pPr>
              <w:jc w:val="center"/>
              <w:spacing w:line="40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技术部分</w:t>
            </w:r>
            <w:r/>
          </w:p>
        </w:tc>
      </w:tr>
      <w:tr>
        <w:trPr>
          <w:jc w:val="center"/>
          <w:trHeight w:val="493"/>
        </w:trPr>
        <w:tc>
          <w:tcPr>
            <w:tcBorders>
              <w:left w:val="single" w:color="auto" w:sz="4" w:space="0"/>
              <w:right w:val="single" w:color="auto" w:sz="4" w:space="0"/>
            </w:tcBorders>
            <w:tcW w:w="390" w:type="pct"/>
            <w:vAlign w:val="center"/>
            <w:textDirection w:val="lrTb"/>
            <w:noWrap w:val="false"/>
          </w:tcPr>
          <w:p>
            <w:pPr>
              <w:jc w:val="center"/>
              <w:spacing w:line="40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4.1</w:t>
            </w:r>
            <w:r/>
          </w:p>
        </w:tc>
        <w:tc>
          <w:tcPr>
            <w:tcBorders>
              <w:left w:val="single" w:color="auto" w:sz="4" w:space="0"/>
              <w:right w:val="single" w:color="auto" w:sz="4" w:space="0"/>
            </w:tcBorders>
            <w:tcW w:w="407" w:type="pct"/>
            <w:vAlign w:val="center"/>
            <w:textDirection w:val="lrTb"/>
            <w:noWrap w:val="false"/>
          </w:tcPr>
          <w:p>
            <w:pPr>
              <w:jc w:val="center"/>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实施方案</w:t>
            </w:r>
            <w:r/>
          </w:p>
        </w:tc>
        <w:tc>
          <w:tcPr>
            <w:tcBorders>
              <w:top w:val="single" w:color="auto" w:sz="4" w:space="0"/>
              <w:left w:val="single" w:color="auto" w:sz="4" w:space="0"/>
              <w:right w:val="single" w:color="auto" w:sz="4" w:space="0"/>
            </w:tcBorders>
            <w:tcW w:w="3802" w:type="pct"/>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评标委员会根据供应商针对本项目的项目需求及项目要点提供的项目实施方案进行打分，包括但不限于全部产品的安装部署、联合调试方案、供货及安装各节点时间进度、人员配置安排等：</w:t>
            </w:r>
            <w:r/>
          </w:p>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1、项目实施方案全面，针对性强，能完全满足本项目需求的，得8分；</w:t>
            </w:r>
            <w:r/>
          </w:p>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2、项目实施方案较全面、针对性较强，能满足本项目需求的，得5分；</w:t>
            </w:r>
            <w:r/>
          </w:p>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3、项目实施方案一般，针对性、可行性一般，勉强能满足本项目需求的，得2分；</w:t>
            </w:r>
            <w:r/>
          </w:p>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4、其他或未提供不得分。</w:t>
            </w:r>
            <w:r/>
          </w:p>
        </w:tc>
        <w:tc>
          <w:tcPr>
            <w:tcBorders>
              <w:top w:val="single" w:color="auto" w:sz="4" w:space="0"/>
              <w:left w:val="single" w:color="auto" w:sz="4" w:space="0"/>
              <w:right w:val="single" w:color="auto" w:sz="4" w:space="0"/>
            </w:tcBorders>
            <w:tcW w:w="399" w:type="pct"/>
            <w:vAlign w:val="center"/>
            <w:textDirection w:val="lrTb"/>
            <w:noWrap w:val="false"/>
          </w:tcPr>
          <w:p>
            <w:pPr>
              <w:jc w:val="center"/>
              <w:spacing w:line="30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w:t>
            </w:r>
            <w:r/>
          </w:p>
        </w:tc>
      </w:tr>
      <w:tr>
        <w:trPr>
          <w:jc w:val="center"/>
          <w:trHeight w:val="1058"/>
        </w:trPr>
        <w:tc>
          <w:tcPr>
            <w:tcBorders>
              <w:left w:val="single" w:color="auto" w:sz="4" w:space="0"/>
              <w:right w:val="single" w:color="auto" w:sz="4" w:space="0"/>
            </w:tcBorders>
            <w:tcW w:w="390" w:type="pct"/>
            <w:vAlign w:val="center"/>
            <w:textDirection w:val="lrTb"/>
            <w:noWrap w:val="false"/>
          </w:tcPr>
          <w:p>
            <w:pPr>
              <w:jc w:val="center"/>
              <w:spacing w:line="40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4.2</w:t>
            </w:r>
            <w:r/>
          </w:p>
        </w:tc>
        <w:tc>
          <w:tcPr>
            <w:tcBorders>
              <w:left w:val="single" w:color="auto" w:sz="4" w:space="0"/>
              <w:right w:val="single" w:color="auto" w:sz="4" w:space="0"/>
            </w:tcBorders>
            <w:tcW w:w="407" w:type="pct"/>
            <w:vAlign w:val="center"/>
            <w:textDirection w:val="lrTb"/>
            <w:noWrap w:val="false"/>
          </w:tcPr>
          <w:p>
            <w:pPr>
              <w:jc w:val="center"/>
              <w:spacing w:line="40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验收方案</w:t>
            </w:r>
            <w:r/>
          </w:p>
        </w:tc>
        <w:tc>
          <w:tcPr>
            <w:tcBorders>
              <w:top w:val="single" w:color="auto" w:sz="4" w:space="0"/>
              <w:left w:val="single" w:color="auto" w:sz="4" w:space="0"/>
              <w:right w:val="single" w:color="auto" w:sz="4" w:space="0"/>
            </w:tcBorders>
            <w:tcW w:w="3802" w:type="pct"/>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评标委员会根据供应商针对本项目的项目需求及项目要点提供的项目验收方案进行打分，包括但不限于验收节点设计、验收计划设计等方面。</w:t>
            </w:r>
            <w:r/>
          </w:p>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1、验收方案全面，针对性强，能完全满足本项目需求的，得8分；</w:t>
            </w:r>
            <w:r/>
          </w:p>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2、验收方案较全面、针对性较强，能满足本项目需求的，得5分；</w:t>
            </w:r>
            <w:r/>
          </w:p>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3、验收方案一般，针对性、可行性一般，勉强能满足本项目需求的，得2分；</w:t>
            </w:r>
            <w:r/>
          </w:p>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4、其他或未提供不得分。</w:t>
            </w:r>
            <w:r/>
          </w:p>
        </w:tc>
        <w:tc>
          <w:tcPr>
            <w:tcBorders>
              <w:left w:val="single" w:color="auto" w:sz="4" w:space="0"/>
              <w:right w:val="single" w:color="auto" w:sz="4" w:space="0"/>
            </w:tcBorders>
            <w:tcW w:w="399" w:type="pct"/>
            <w:vAlign w:val="center"/>
            <w:textDirection w:val="lrTb"/>
            <w:noWrap w:val="false"/>
          </w:tcPr>
          <w:p>
            <w:pPr>
              <w:jc w:val="center"/>
              <w:spacing w:line="3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8</w:t>
            </w:r>
            <w:r/>
          </w:p>
        </w:tc>
      </w:tr>
      <w:tr>
        <w:trPr>
          <w:jc w:val="center"/>
          <w:trHeight w:val="1058"/>
        </w:trPr>
        <w:tc>
          <w:tcPr>
            <w:tcBorders>
              <w:left w:val="single" w:color="auto" w:sz="4" w:space="0"/>
              <w:right w:val="single" w:color="auto" w:sz="4" w:space="0"/>
            </w:tcBorders>
            <w:tcW w:w="390" w:type="pct"/>
            <w:vAlign w:val="center"/>
            <w:textDirection w:val="lrTb"/>
            <w:noWrap w:val="false"/>
          </w:tcPr>
          <w:p>
            <w:pPr>
              <w:jc w:val="center"/>
              <w:spacing w:line="40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4.3</w:t>
            </w:r>
            <w:r/>
          </w:p>
        </w:tc>
        <w:tc>
          <w:tcPr>
            <w:tcBorders>
              <w:left w:val="single" w:color="auto" w:sz="4" w:space="0"/>
              <w:right w:val="single" w:color="auto" w:sz="4" w:space="0"/>
            </w:tcBorders>
            <w:tcW w:w="407" w:type="pct"/>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售后服务方案</w:t>
            </w:r>
            <w:r/>
          </w:p>
          <w:p>
            <w:pPr>
              <w:jc w:val="center"/>
              <w:spacing w:line="40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r>
            <w:r/>
          </w:p>
        </w:tc>
        <w:tc>
          <w:tcPr>
            <w:tcBorders>
              <w:top w:val="single" w:color="auto" w:sz="4" w:space="0"/>
              <w:left w:val="single" w:color="auto" w:sz="4" w:space="0"/>
              <w:right w:val="single" w:color="auto" w:sz="4" w:space="0"/>
            </w:tcBorders>
            <w:tcW w:w="3802" w:type="pct"/>
            <w:vAlign w:val="center"/>
            <w:textDirection w:val="lrTb"/>
            <w:noWrap w:val="false"/>
          </w:tcPr>
          <w:p>
            <w:pPr>
              <w:spacing w:line="3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根据投标人针对本项目提供的售后服务方案（包括但不限于售后服务人员的配备、服务响应时间、质保期后服务等技术指导及该仪器的备品、配件、耗材、维修的明细、价格或折扣的承诺）进行综合评审：</w:t>
            </w:r>
            <w:r/>
          </w:p>
          <w:p>
            <w:pPr>
              <w:spacing w:line="3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1、服务方案全面，细致，有针对性，且售后服务、质保期后服务等技术指导方案周全，备品、配件、耗材、维修的明细、价格或折扣合理，得8分；</w:t>
            </w:r>
            <w:r/>
          </w:p>
          <w:p>
            <w:pPr>
              <w:spacing w:line="3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2、服务方案不够全面，无针对性，且售后服务、质保期后服务等技术指导方案内容不够周全，备品、配件、耗材、维修的明细、价格或折扣较为合理的，得5分；</w:t>
            </w:r>
            <w:r/>
          </w:p>
          <w:p>
            <w:pPr>
              <w:spacing w:line="3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3、方案无实质性内容、没有可操作性，备品、配件、耗材、维修的明细、价格或折扣不太合理得2分；</w:t>
            </w:r>
            <w:r/>
          </w:p>
          <w:p>
            <w:pPr>
              <w:spacing w:line="3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4、其他或未提供不得分。</w:t>
            </w:r>
            <w:r/>
          </w:p>
        </w:tc>
        <w:tc>
          <w:tcPr>
            <w:tcBorders>
              <w:left w:val="single" w:color="auto" w:sz="4" w:space="0"/>
              <w:right w:val="single" w:color="auto" w:sz="4" w:space="0"/>
            </w:tcBorders>
            <w:tcW w:w="399" w:type="pct"/>
            <w:vAlign w:val="center"/>
            <w:textDirection w:val="lrTb"/>
            <w:noWrap w:val="false"/>
          </w:tcPr>
          <w:p>
            <w:pPr>
              <w:jc w:val="center"/>
              <w:spacing w:line="3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w:t>
            </w:r>
            <w:r/>
          </w:p>
        </w:tc>
      </w:tr>
      <w:tr>
        <w:trPr>
          <w:jc w:val="center"/>
          <w:trHeight w:val="1058"/>
        </w:trPr>
        <w:tc>
          <w:tcPr>
            <w:tcBorders>
              <w:left w:val="single" w:color="auto" w:sz="4" w:space="0"/>
              <w:right w:val="single" w:color="auto" w:sz="4" w:space="0"/>
            </w:tcBorders>
            <w:tcW w:w="390" w:type="pct"/>
            <w:vAlign w:val="center"/>
            <w:textDirection w:val="lrTb"/>
            <w:noWrap w:val="false"/>
          </w:tcPr>
          <w:p>
            <w:pPr>
              <w:jc w:val="center"/>
              <w:spacing w:line="40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4.4</w:t>
            </w:r>
            <w:r/>
          </w:p>
        </w:tc>
        <w:tc>
          <w:tcPr>
            <w:tcBorders>
              <w:left w:val="single" w:color="auto" w:sz="4" w:space="0"/>
              <w:right w:val="single" w:color="auto" w:sz="4" w:space="0"/>
            </w:tcBorders>
            <w:tcW w:w="407" w:type="pct"/>
            <w:vAlign w:val="center"/>
            <w:textDirection w:val="lrTb"/>
            <w:noWrap w:val="false"/>
          </w:tcPr>
          <w:p>
            <w:pPr>
              <w:spacing w:line="30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培训及应急保障方案</w:t>
            </w:r>
            <w:r/>
          </w:p>
        </w:tc>
        <w:tc>
          <w:tcPr>
            <w:tcBorders>
              <w:top w:val="single" w:color="auto" w:sz="4" w:space="0"/>
              <w:left w:val="single" w:color="auto" w:sz="4" w:space="0"/>
              <w:right w:val="single" w:color="auto" w:sz="4" w:space="0"/>
            </w:tcBorders>
            <w:tcW w:w="3802" w:type="pct"/>
            <w:vAlign w:val="center"/>
            <w:textDirection w:val="lrTb"/>
            <w:noWrap w:val="false"/>
          </w:tcPr>
          <w:p>
            <w:pPr>
              <w:spacing w:line="30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根据供应商提供的</w:t>
            </w:r>
            <w:r>
              <w:rPr>
                <w:rFonts w:hint="eastAsia" w:ascii="宋体" w:hAnsi="宋体" w:cs="宋体"/>
                <w:color w:val="000000" w:themeColor="text1"/>
                <w:sz w:val="24"/>
                <w:highlight w:val="none"/>
                <w14:textFill>
                  <w14:solidFill>
                    <w14:schemeClr w14:val="tx1"/>
                  </w14:solidFill>
                </w14:textFill>
              </w:rPr>
              <w:t xml:space="preserve">培训及应急保障方案进行打分，</w:t>
            </w:r>
            <w:r>
              <w:rPr>
                <w:rFonts w:hint="eastAsia" w:ascii="宋体" w:hAnsi="宋体" w:cs="宋体"/>
                <w:color w:val="000000" w:themeColor="text1"/>
                <w:sz w:val="24"/>
                <w:highlight w:val="none"/>
                <w:lang w:val="zh-CN"/>
                <w14:textFill>
                  <w14:solidFill>
                    <w14:schemeClr w14:val="tx1"/>
                  </w14:solidFill>
                </w14:textFill>
              </w:rPr>
              <w:t xml:space="preserve">包括但不限于人员操作培训、维修保养培训、相关科研教育</w:t>
            </w:r>
            <w:r>
              <w:rPr>
                <w:rFonts w:hint="eastAsia" w:ascii="宋体" w:hAnsi="宋体" w:cs="宋体"/>
                <w:color w:val="000000" w:themeColor="text1"/>
                <w:sz w:val="24"/>
                <w:highlight w:val="none"/>
                <w14:textFill>
                  <w14:solidFill>
                    <w14:schemeClr w14:val="tx1"/>
                  </w14:solidFill>
                </w14:textFill>
              </w:rPr>
              <w:t xml:space="preserve">、应急保障预案以及项目实施风险分析</w:t>
            </w:r>
            <w:r>
              <w:rPr>
                <w:rFonts w:hint="eastAsia" w:ascii="宋体" w:hAnsi="宋体" w:cs="宋体"/>
                <w:color w:val="000000" w:themeColor="text1"/>
                <w:sz w:val="24"/>
                <w:highlight w:val="none"/>
                <w:lang w:val="zh-CN"/>
                <w14:textFill>
                  <w14:solidFill>
                    <w14:schemeClr w14:val="tx1"/>
                  </w14:solidFill>
                </w14:textFill>
              </w:rPr>
              <w:t xml:space="preserve">等</w:t>
            </w:r>
            <w:r>
              <w:rPr>
                <w:rFonts w:hint="eastAsia" w:ascii="宋体" w:hAnsi="宋体" w:cs="宋体"/>
                <w:color w:val="000000" w:themeColor="text1"/>
                <w:sz w:val="24"/>
                <w:highlight w:val="none"/>
                <w14:textFill>
                  <w14:solidFill>
                    <w14:schemeClr w14:val="tx1"/>
                  </w14:solidFill>
                </w14:textFill>
              </w:rPr>
              <w:t xml:space="preserve">方面进行打分。</w:t>
            </w:r>
            <w:r/>
          </w:p>
          <w:p>
            <w:pPr>
              <w:spacing w:line="30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1、培训内容完善、风险分析全面、保障方案周全，得8分；</w:t>
            </w:r>
            <w:r/>
          </w:p>
          <w:p>
            <w:pPr>
              <w:spacing w:line="30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2、培训内容基本完善、风险分析基本全面、保障方案基本周全，得5分；</w:t>
            </w:r>
            <w:r/>
          </w:p>
          <w:p>
            <w:pPr>
              <w:spacing w:line="30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3、培训内容和保障方案简单、风险分析有所缺漏，得2分；</w:t>
            </w:r>
            <w:r/>
          </w:p>
          <w:p>
            <w:pPr>
              <w:spacing w:line="30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4、其他或未提供不得分。</w:t>
            </w:r>
            <w:r/>
          </w:p>
        </w:tc>
        <w:tc>
          <w:tcPr>
            <w:tcBorders>
              <w:left w:val="single" w:color="auto" w:sz="4" w:space="0"/>
              <w:right w:val="single" w:color="auto" w:sz="4" w:space="0"/>
            </w:tcBorders>
            <w:tcW w:w="399" w:type="pct"/>
            <w:vAlign w:val="center"/>
            <w:textDirection w:val="lrTb"/>
            <w:noWrap w:val="false"/>
          </w:tcPr>
          <w:p>
            <w:pPr>
              <w:jc w:val="center"/>
              <w:spacing w:line="30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w:t>
            </w:r>
            <w:r/>
          </w:p>
        </w:tc>
      </w:tr>
      <w:tr>
        <w:trPr>
          <w:jc w:val="center"/>
          <w:trHeight w:val="623"/>
        </w:trPr>
        <w:tc>
          <w:tcPr>
            <w:gridSpan w:val="3"/>
            <w:tcBorders>
              <w:left w:val="single" w:color="auto" w:sz="4" w:space="0"/>
              <w:right w:val="single" w:color="auto" w:sz="4" w:space="0"/>
            </w:tcBorders>
            <w:tcW w:w="4600" w:type="pct"/>
            <w:vAlign w:val="center"/>
            <w:textDirection w:val="lrTb"/>
            <w:noWrap w:val="false"/>
          </w:tcPr>
          <w:p>
            <w:pPr>
              <w:jc w:val="center"/>
              <w:spacing w:line="40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合计</w:t>
            </w:r>
            <w:r/>
          </w:p>
        </w:tc>
        <w:tc>
          <w:tcPr>
            <w:tcBorders>
              <w:left w:val="single" w:color="auto" w:sz="4" w:space="0"/>
              <w:right w:val="single" w:color="auto" w:sz="4" w:space="0"/>
            </w:tcBorders>
            <w:tcW w:w="399" w:type="pct"/>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100</w:t>
            </w:r>
            <w:r/>
          </w:p>
        </w:tc>
      </w:tr>
    </w:tbl>
    <w:p>
      <w:pPr>
        <w:pStyle w:val="1192"/>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ind w:firstLine="420"/>
        <w:jc w:val="left"/>
        <w:spacing w:line="360" w:lineRule="auto"/>
        <w:shd w:val="clear" w:color="auto" w:fill="ffffff"/>
        <w:widowControl/>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一、小微企业的价格扣除</w:t>
      </w:r>
      <w:r/>
    </w:p>
    <w:p>
      <w:pPr>
        <w:ind w:firstLine="420"/>
        <w:jc w:val="left"/>
        <w:spacing w:line="360" w:lineRule="auto"/>
        <w:shd w:val="clear" w:color="auto" w:fill="ffffff"/>
        <w:widowControl/>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1.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10%的价格扣除。</w:t>
      </w:r>
      <w:r/>
    </w:p>
    <w:p>
      <w:pPr>
        <w:ind w:firstLine="420"/>
        <w:jc w:val="left"/>
        <w:spacing w:line="360" w:lineRule="auto"/>
        <w:shd w:val="clear" w:color="auto" w:fill="ffffff"/>
        <w:widowControl/>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2.价格扣除比例或者价格分加分比例对小型企业和微型企业同等对待，不作区分。</w:t>
      </w:r>
      <w:r/>
    </w:p>
    <w:p>
      <w:pPr>
        <w:ind w:firstLine="420"/>
        <w:jc w:val="left"/>
        <w:spacing w:line="360" w:lineRule="auto"/>
        <w:shd w:val="clear" w:color="auto" w:fill="ffffff"/>
        <w:widowControl/>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二、监狱和戒毒企业的价格扣除</w:t>
      </w:r>
      <w:r/>
    </w:p>
    <w:p>
      <w:pPr>
        <w:ind w:firstLine="420"/>
        <w:jc w:val="left"/>
        <w:spacing w:line="360" w:lineRule="auto"/>
        <w:shd w:val="clear" w:color="auto" w:fill="ffffff"/>
        <w:widowControl/>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1.本项目对监狱和戒毒企业（简称监狱企业）视同小型、微型企业，享受相同的价格扣除优惠政策。</w:t>
      </w:r>
      <w:r/>
    </w:p>
    <w:p>
      <w:pPr>
        <w:ind w:firstLine="420"/>
        <w:jc w:val="left"/>
        <w:spacing w:line="360" w:lineRule="auto"/>
        <w:shd w:val="clear" w:color="auto" w:fill="ffffff"/>
        <w:widowControl/>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2.监狱企业需提供由省级以上监狱管理局、戒毒管理局（含新疆生产建设兵团）出具的属于监狱企业的证明文件。</w:t>
      </w:r>
      <w:r/>
    </w:p>
    <w:p>
      <w:pPr>
        <w:ind w:firstLine="420"/>
        <w:jc w:val="left"/>
        <w:spacing w:line="360" w:lineRule="auto"/>
        <w:shd w:val="clear" w:color="auto" w:fill="ffffff"/>
        <w:widowControl/>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3.监狱企业标准请参照《关于政府采购支持监狱企业发展有关问题的通知》（财库〔2014〕68号）。</w:t>
      </w:r>
      <w:r/>
    </w:p>
    <w:p>
      <w:pPr>
        <w:ind w:firstLine="420"/>
        <w:jc w:val="left"/>
        <w:spacing w:line="360" w:lineRule="auto"/>
        <w:shd w:val="clear" w:color="auto" w:fill="ffffff"/>
        <w:widowControl/>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三、残疾人福利性单位的价格扣除</w:t>
      </w:r>
      <w:r/>
    </w:p>
    <w:p>
      <w:pPr>
        <w:ind w:firstLine="420"/>
        <w:jc w:val="left"/>
        <w:spacing w:line="360" w:lineRule="auto"/>
        <w:shd w:val="clear" w:color="auto" w:fill="ffffff"/>
        <w:widowControl/>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1.本项目对残疾人福利性单位视同小型、微型企业，享受相同的价格扣除优惠政策。</w:t>
      </w:r>
      <w:r/>
    </w:p>
    <w:p>
      <w:pPr>
        <w:ind w:firstLine="420"/>
        <w:jc w:val="left"/>
        <w:spacing w:line="360" w:lineRule="auto"/>
        <w:shd w:val="clear" w:color="auto" w:fill="ffffff"/>
        <w:widowControl/>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2.残疾人福利性单位需按照招标文件的要求提供《残疾人福利性单位声明函》。</w:t>
      </w:r>
      <w:r/>
    </w:p>
    <w:p>
      <w:pPr>
        <w:ind w:firstLine="420"/>
        <w:jc w:val="left"/>
        <w:spacing w:line="360" w:lineRule="auto"/>
        <w:shd w:val="clear" w:color="auto" w:fill="ffffff"/>
        <w:widowControl/>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3.残疾人福利性单位标准请参照《关于促进残疾人就业政府采购政策的通知》（财库〔2017〕141号）。</w:t>
      </w:r>
      <w:r/>
    </w:p>
    <w:p>
      <w:pPr>
        <w:ind w:firstLine="420"/>
        <w:jc w:val="left"/>
        <w:spacing w:line="360" w:lineRule="auto"/>
        <w:shd w:val="clear" w:color="auto" w:fill="ffffff"/>
        <w:widowControl/>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四、监狱企业、残疾人福利性单位属于小型、微型企业的，不重复享受政策。</w:t>
      </w:r>
      <w:r/>
    </w:p>
    <w:p>
      <w:pPr>
        <w:ind w:firstLine="420"/>
        <w:jc w:val="left"/>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五、采购本国产品的支持政策</w:t>
      </w:r>
      <w:r/>
    </w:p>
    <w:p>
      <w:pPr>
        <w:ind w:firstLine="420"/>
        <w:jc w:val="left"/>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1、 本项目政府采购活动中既有本国产品又有非本国产品参与竞争的，依法对本国产品给予价格评审优惠，对本国产品的报价给予20%的价格扣除，用扣除后的价格参与评审。</w:t>
      </w:r>
      <w:r/>
    </w:p>
    <w:p>
      <w:pPr>
        <w:ind w:firstLine="420"/>
        <w:jc w:val="left"/>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2、当采购项目或者采购包中含有多种产品，供应商为该采购项目或者采购包提供的符合本国产品标准的产品成本之和占该供应商提供的全部产品成本之和的比例达到80%以上时（供应商需在“第六章 投标文件格式及附件”中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jc w:val="left"/>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3、供应商需按照招标文件的要求提供《关于符合本国产品标准的声明函》（以下简称《声明函》），如不提供将不享受本国产品价格评审优惠。</w:t>
      </w:r>
      <w:r/>
    </w:p>
    <w:p>
      <w:pPr>
        <w:ind w:firstLine="420"/>
        <w:jc w:val="left"/>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jc w:val="left"/>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jc w:val="left"/>
        <w:spacing w:line="360" w:lineRule="auto"/>
        <w:rPr>
          <w:rFonts w:hint="eastAsia" w:ascii="宋体" w:hAnsi="宋体" w:cs="宋体"/>
          <w:bCs/>
          <w:color w:val="000000" w:themeColor="text1"/>
          <w:sz w:val="22"/>
          <w:szCs w:val="22"/>
          <w:highlight w:val="none"/>
          <w14:textFill>
            <w14:solidFill>
              <w14:schemeClr w14:val="tx1"/>
            </w14:solidFill>
          </w14:textFill>
        </w:rPr>
        <w:sectPr>
          <w:headerReference w:type="default" r:id="rId12"/>
          <w:footerReference w:type="default" r:id="rId16"/>
          <w:footnotePr/>
          <w:endnotePr/>
          <w:type w:val="nextPage"/>
          <w:pgSz w:w="11906" w:h="16838" w:orient="portrait"/>
          <w:pgMar w:top="850" w:right="850" w:bottom="850" w:left="1418" w:header="340" w:footer="567" w:gutter="0"/>
          <w:cols w:num="1" w:sep="0" w:space="720" w:equalWidth="1"/>
          <w:docGrid w:linePitch="360"/>
        </w:sectPr>
      </w:pPr>
      <w:r>
        <w:rPr>
          <w:rFonts w:hint="eastAsia" w:ascii="宋体" w:hAnsi="宋体" w:cs="宋体"/>
          <w:bCs/>
          <w:color w:val="000000" w:themeColor="text1"/>
          <w:highlight w:val="none"/>
          <w14:textFill>
            <w14:solidFill>
              <w14:schemeClr w14:val="tx1"/>
            </w14:solidFill>
          </w14:textFill>
        </w:rPr>
        <w:t xml:space="preserve">六、除评分标准中另有说明外，所有认证、证明和业绩均以有效的证明文件的复印件为依据。</w:t>
      </w:r>
      <w:r/>
    </w:p>
    <w:p>
      <w:pPr>
        <w:jc w:val="center"/>
        <w:spacing w:after="240"/>
        <w:rPr>
          <w:rFonts w:hint="eastAsia" w:ascii="宋体" w:hAnsi="宋体"/>
          <w:b/>
          <w:bCs/>
          <w:color w:val="000000" w:themeColor="text1"/>
          <w:sz w:val="44"/>
          <w:szCs w:val="44"/>
          <w:highlight w:val="none"/>
          <w:lang w:val="zh-CN"/>
          <w14:textFill>
            <w14:solidFill>
              <w14:schemeClr w14:val="tx1"/>
            </w14:solidFill>
          </w14:textFill>
        </w:rPr>
        <w:outlineLvl w:val="0"/>
      </w:pPr>
      <w:r/>
      <w:bookmarkStart w:id="30" w:name="_Toc390713967"/>
      <w:r/>
      <w:bookmarkStart w:id="31" w:name="_Toc285612594"/>
      <w:r/>
      <w:bookmarkStart w:id="32" w:name="_Toc86950124"/>
      <w:r/>
      <w:bookmarkStart w:id="33" w:name="OLE_LINK4"/>
      <w:r/>
      <w:bookmarkStart w:id="34" w:name="OLE_LINK6"/>
      <w:r/>
      <w:bookmarkStart w:id="35" w:name="OLE_LINK12"/>
      <w:r/>
      <w:bookmarkStart w:id="36" w:name="OLE_LINK13"/>
      <w:r>
        <w:rPr>
          <w:rFonts w:ascii="宋体" w:hAnsi="宋体"/>
          <w:b/>
          <w:bCs/>
          <w:color w:val="000000" w:themeColor="text1"/>
          <w:sz w:val="44"/>
          <w:szCs w:val="44"/>
          <w:highlight w:val="none"/>
          <w:lang w:val="zh-CN"/>
          <w14:textFill>
            <w14:solidFill>
              <w14:schemeClr w14:val="tx1"/>
            </w14:solidFill>
          </w14:textFill>
        </w:rPr>
        <w:t xml:space="preserve">第</w:t>
      </w:r>
      <w:r>
        <w:rPr>
          <w:rFonts w:hint="eastAsia" w:ascii="宋体" w:hAnsi="宋体"/>
          <w:b/>
          <w:bCs/>
          <w:color w:val="000000" w:themeColor="text1"/>
          <w:sz w:val="44"/>
          <w:szCs w:val="44"/>
          <w:highlight w:val="none"/>
          <w14:textFill>
            <w14:solidFill>
              <w14:schemeClr w14:val="tx1"/>
            </w14:solidFill>
          </w14:textFill>
        </w:rPr>
        <w:t xml:space="preserve">四</w:t>
      </w:r>
      <w:r>
        <w:rPr>
          <w:rFonts w:hint="eastAsia" w:ascii="宋体" w:hAnsi="宋体"/>
          <w:b/>
          <w:bCs/>
          <w:color w:val="000000" w:themeColor="text1"/>
          <w:sz w:val="44"/>
          <w:szCs w:val="44"/>
          <w:highlight w:val="none"/>
          <w:lang w:val="zh-CN"/>
          <w14:textFill>
            <w14:solidFill>
              <w14:schemeClr w14:val="tx1"/>
            </w14:solidFill>
          </w14:textFill>
        </w:rPr>
        <w:t xml:space="preserve">章</w:t>
      </w:r>
      <w:r>
        <w:rPr>
          <w:rFonts w:ascii="宋体" w:hAnsi="宋体"/>
          <w:b/>
          <w:bCs/>
          <w:color w:val="000000" w:themeColor="text1"/>
          <w:sz w:val="44"/>
          <w:szCs w:val="44"/>
          <w:highlight w:val="none"/>
          <w:lang w:val="zh-CN"/>
          <w14:textFill>
            <w14:solidFill>
              <w14:schemeClr w14:val="tx1"/>
            </w14:solidFill>
          </w14:textFill>
        </w:rPr>
        <w:t xml:space="preserve">  </w:t>
      </w:r>
      <w:r>
        <w:rPr>
          <w:rFonts w:hint="eastAsia" w:ascii="宋体" w:hAnsi="宋体"/>
          <w:b/>
          <w:bCs/>
          <w:color w:val="000000" w:themeColor="text1"/>
          <w:sz w:val="44"/>
          <w:szCs w:val="44"/>
          <w:highlight w:val="none"/>
          <w:lang w:val="zh-CN"/>
          <w14:textFill>
            <w14:solidFill>
              <w14:schemeClr w14:val="tx1"/>
            </w14:solidFill>
          </w14:textFill>
        </w:rPr>
        <w:t xml:space="preserve">项目</w:t>
      </w:r>
      <w:bookmarkEnd w:id="30"/>
      <w:r/>
      <w:bookmarkEnd w:id="31"/>
      <w:r/>
      <w:bookmarkEnd w:id="32"/>
      <w:r>
        <w:rPr>
          <w:rFonts w:hint="eastAsia" w:ascii="宋体" w:hAnsi="宋体"/>
          <w:b/>
          <w:bCs/>
          <w:color w:val="000000" w:themeColor="text1"/>
          <w:sz w:val="44"/>
          <w:szCs w:val="44"/>
          <w:highlight w:val="none"/>
          <w:lang w:val="zh-CN"/>
          <w14:textFill>
            <w14:solidFill>
              <w14:schemeClr w14:val="tx1"/>
            </w14:solidFill>
          </w14:textFill>
        </w:rPr>
        <w:t xml:space="preserve">需求</w:t>
      </w:r>
      <w:bookmarkEnd w:id="33"/>
      <w:r/>
      <w:bookmarkEnd w:id="34"/>
      <w:r/>
      <w:bookmarkEnd w:id="35"/>
      <w:r/>
      <w:bookmarkEnd w:id="36"/>
      <w:r/>
      <w:r/>
    </w:p>
    <w:p>
      <w:pPr>
        <w:spacing w:after="120" w:line="360" w:lineRule="auto"/>
        <w:rPr>
          <w:rFonts w:hint="eastAsia" w:ascii="宋体" w:hAnsi="宋体"/>
          <w:b/>
          <w:bCs/>
          <w:color w:val="000000" w:themeColor="text1"/>
          <w:sz w:val="24"/>
          <w:highlight w:val="none"/>
          <w14:textFill>
            <w14:solidFill>
              <w14:schemeClr w14:val="tx1"/>
            </w14:solidFill>
          </w14:textFill>
        </w:rPr>
        <w:outlineLvl w:val="1"/>
      </w:pPr>
      <w:r>
        <w:rPr>
          <w:rFonts w:hint="eastAsia" w:ascii="宋体" w:hAnsi="宋体" w:cs="宋体"/>
          <w:b/>
          <w:bCs/>
          <w:color w:val="000000" w:themeColor="text1"/>
          <w:sz w:val="24"/>
          <w:highlight w:val="none"/>
          <w14:textFill>
            <w14:solidFill>
              <w14:schemeClr w14:val="tx1"/>
            </w14:solidFill>
          </w14:textFill>
        </w:rPr>
        <w:t xml:space="preserve">注：本章节需在《技术条款偏离表》或《商务条款偏离表》中进行响应，其中加“★”内容为实质性要求，供应商未对实质性要求响应或有负偏离的，按无效投标处理。</w:t>
      </w:r>
      <w:r/>
    </w:p>
    <w:p>
      <w:pPr>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（第一部分：技术部分要求）</w:t>
      </w:r>
      <w:r/>
    </w:p>
    <w:p>
      <w:pPr>
        <w:pStyle w:val="1240"/>
        <w:ind w:firstLine="0"/>
        <w:rPr>
          <w:rFonts w:hint="eastAsia" w:ascii="宋体" w:hAnsi="宋体" w:cs="宋体"/>
          <w:b/>
          <w:bCs/>
          <w:color w:val="000000" w:themeColor="text1"/>
          <w:sz w:val="24"/>
          <w:szCs w:val="24"/>
          <w:highlight w:val="none"/>
          <w14:textFill>
            <w14:solidFill>
              <w14:schemeClr w14:val="tx1"/>
            </w14:solidFill>
          </w14:textFill>
        </w:rPr>
      </w:pPr>
      <w:r/>
      <w:bookmarkStart w:id="37" w:name="_Toc11610"/>
      <w:r>
        <w:rPr>
          <w:rFonts w:hint="eastAsia" w:ascii="宋体" w:hAnsi="宋体" w:cs="宋体"/>
          <w:b/>
          <w:bCs/>
          <w:color w:val="000000" w:themeColor="text1"/>
          <w:sz w:val="24"/>
          <w:szCs w:val="24"/>
          <w:highlight w:val="none"/>
          <w14:textFill>
            <w14:solidFill>
              <w14:schemeClr w14:val="tx1"/>
            </w14:solidFill>
          </w14:textFill>
        </w:rPr>
        <w:t xml:space="preserve">一、项目基本情况及采购项目清单</w:t>
      </w:r>
      <w:r/>
    </w:p>
    <w:tbl>
      <w:tblPr>
        <w:tblStyle w:val="117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81"/>
        <w:gridCol w:w="2327"/>
        <w:gridCol w:w="1704"/>
        <w:gridCol w:w="1294"/>
        <w:gridCol w:w="2116"/>
      </w:tblGrid>
      <w:tr>
        <w:trPr>
          <w:jc w:val="center"/>
          <w:trHeight w:val="466"/>
        </w:trPr>
        <w:tc>
          <w:tcPr>
            <w:tcW w:w="1081" w:type="dxa"/>
            <w:vAlign w:val="center"/>
            <w:textDirection w:val="lrTb"/>
            <w:noWrap w:val="false"/>
          </w:tcPr>
          <w:p>
            <w:pPr>
              <w:pStyle w:val="1240"/>
              <w:ind w:firstLine="0"/>
              <w:jc w:val="center"/>
              <w:spacing w:line="24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序号</w:t>
            </w:r>
            <w:r/>
          </w:p>
        </w:tc>
        <w:tc>
          <w:tcPr>
            <w:tcW w:w="2327" w:type="dxa"/>
            <w:vAlign w:val="center"/>
            <w:textDirection w:val="lrTb"/>
            <w:noWrap w:val="false"/>
          </w:tcPr>
          <w:p>
            <w:pPr>
              <w:pStyle w:val="1240"/>
              <w:ind w:firstLine="0"/>
              <w:jc w:val="center"/>
              <w:spacing w:line="24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产品名称</w:t>
            </w:r>
            <w:r/>
          </w:p>
        </w:tc>
        <w:tc>
          <w:tcPr>
            <w:tcW w:w="1704" w:type="dxa"/>
            <w:vAlign w:val="center"/>
            <w:textDirection w:val="lrTb"/>
            <w:noWrap w:val="false"/>
          </w:tcPr>
          <w:p>
            <w:pPr>
              <w:pStyle w:val="1240"/>
              <w:ind w:firstLine="0"/>
              <w:jc w:val="center"/>
              <w:spacing w:line="24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数量</w:t>
            </w:r>
            <w:r/>
          </w:p>
        </w:tc>
        <w:tc>
          <w:tcPr>
            <w:tcW w:w="1294" w:type="dxa"/>
            <w:vAlign w:val="center"/>
            <w:textDirection w:val="lrTb"/>
            <w:noWrap w:val="false"/>
          </w:tcPr>
          <w:p>
            <w:pPr>
              <w:pStyle w:val="1240"/>
              <w:ind w:firstLine="0"/>
              <w:jc w:val="center"/>
              <w:spacing w:line="24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单位</w:t>
            </w:r>
            <w:r/>
          </w:p>
        </w:tc>
        <w:tc>
          <w:tcPr>
            <w:tcW w:w="2116" w:type="dxa"/>
            <w:vAlign w:val="center"/>
            <w:textDirection w:val="lrTb"/>
            <w:noWrap w:val="false"/>
          </w:tcPr>
          <w:p>
            <w:pPr>
              <w:pStyle w:val="1240"/>
              <w:ind w:firstLine="0"/>
              <w:jc w:val="center"/>
              <w:spacing w:line="24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最高限价</w:t>
            </w:r>
            <w:r/>
          </w:p>
        </w:tc>
      </w:tr>
      <w:tr>
        <w:trPr>
          <w:jc w:val="center"/>
          <w:trHeight w:val="596"/>
        </w:trPr>
        <w:tc>
          <w:tcPr>
            <w:tcW w:w="1081" w:type="dxa"/>
            <w:vAlign w:val="center"/>
            <w:textDirection w:val="lrTb"/>
            <w:noWrap w:val="false"/>
          </w:tcPr>
          <w:p>
            <w:pPr>
              <w:pStyle w:val="1240"/>
              <w:ind w:firstLine="0"/>
              <w:jc w:val="center"/>
              <w:spacing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p>
        </w:tc>
        <w:tc>
          <w:tcPr>
            <w:tcW w:w="2327" w:type="dxa"/>
            <w:vAlign w:val="center"/>
            <w:textDirection w:val="lrTb"/>
            <w:noWrap w:val="false"/>
          </w:tcPr>
          <w:p>
            <w:pPr>
              <w:pStyle w:val="1240"/>
              <w:ind w:firstLine="0"/>
              <w:jc w:val="center"/>
              <w:spacing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激光粒度仪</w:t>
            </w:r>
            <w:r/>
          </w:p>
        </w:tc>
        <w:tc>
          <w:tcPr>
            <w:tcW w:w="1704" w:type="dxa"/>
            <w:vAlign w:val="center"/>
            <w:textDirection w:val="lrTb"/>
            <w:noWrap w:val="false"/>
          </w:tcPr>
          <w:p>
            <w:pPr>
              <w:pStyle w:val="1240"/>
              <w:ind w:firstLine="0"/>
              <w:jc w:val="center"/>
              <w:spacing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p>
        </w:tc>
        <w:tc>
          <w:tcPr>
            <w:tcW w:w="1294" w:type="dxa"/>
            <w:vAlign w:val="center"/>
            <w:textDirection w:val="lrTb"/>
            <w:noWrap w:val="false"/>
          </w:tcPr>
          <w:p>
            <w:pPr>
              <w:pStyle w:val="1240"/>
              <w:ind w:firstLine="0"/>
              <w:jc w:val="center"/>
              <w:spacing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台</w:t>
            </w:r>
            <w:r/>
          </w:p>
        </w:tc>
        <w:tc>
          <w:tcPr>
            <w:tcW w:w="2116" w:type="dxa"/>
            <w:vAlign w:val="center"/>
            <w:textDirection w:val="lrTb"/>
            <w:noWrap w:val="false"/>
          </w:tcPr>
          <w:p>
            <w:pPr>
              <w:pStyle w:val="1240"/>
              <w:ind w:firstLine="0"/>
              <w:jc w:val="center"/>
              <w:spacing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100万元</w:t>
            </w:r>
            <w:r/>
          </w:p>
        </w:tc>
      </w:tr>
    </w:tbl>
    <w:p>
      <w:pPr>
        <w:jc w:val="center"/>
        <w:spacing w:line="360" w:lineRule="auto"/>
        <w:rPr>
          <w:rFonts w:hint="eastAsia" w:ascii="宋体" w:hAnsi="宋体" w:cs="宋体"/>
          <w:b/>
          <w:bCs/>
          <w:color w:val="000000" w:themeColor="text1"/>
          <w:sz w:val="24"/>
          <w:highlight w:val="none"/>
          <w14:textFill>
            <w14:solidFill>
              <w14:schemeClr w14:val="tx1"/>
            </w14:solidFill>
          </w14:textFill>
        </w:rPr>
      </w:pPr>
      <w:r/>
      <w:bookmarkStart w:id="38" w:name="_Toc9546"/>
      <w:r/>
      <w:bookmarkStart w:id="39" w:name="_Toc13108"/>
      <w:r/>
      <w:bookmarkStart w:id="40" w:name="_Toc8837"/>
      <w:r/>
      <w:r/>
    </w:p>
    <w:p>
      <w:pPr>
        <w:pStyle w:val="1240"/>
        <w:ind w:firstLine="0"/>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二、技术要求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1、主机系统</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整机粒径测试范围：至少包含10nm-3500um；</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 光源：应标配两个光源，红光光源氦-氖气体激光器；蓝光光源应采用≥10mWLED激光器；</w:t>
      </w:r>
      <w:r>
        <w:rPr>
          <w:rFonts w:ascii="SimSun" w:hAnsi="SimSun" w:eastAsia="SimSun" w:cs="SimSun"/>
          <w:b/>
          <w:color w:val="000000"/>
          <w:sz w:val="24"/>
        </w:rPr>
        <w:t xml:space="preserve">提供相关证明材料并加盖投标单位公章（包括但不限于明确说明该技术内容的公开发行的产品彩页或产品说明书或第三方检测机构的检测报告等，自拟无效）。</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 采用反傅立叶配置光路设计，全量程范围使用单一透镜进行测量，不采用多镜头技术； </w:t>
      </w:r>
      <w:r>
        <w:rPr>
          <w:rFonts w:ascii="SimSun" w:hAnsi="SimSun" w:eastAsia="SimSun" w:cs="SimSun"/>
          <w:b/>
          <w:color w:val="000000"/>
          <w:sz w:val="24"/>
        </w:rPr>
        <w:t xml:space="preserve">提供相关证明材料并加盖投标单位公章（包括但不限于明确说明该技术内容的公开发行的产品彩页或产品说明书或第三方检测机构的检测报告等，自拟无效）。</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 采用折叠光路设计和同轴双光源技术；</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 全量程采用激光衍射法，使用米氏理论和夫琅霍夫理论进行分析；</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 测量速度：扫描速度不低于10KHz；典型测量时间≤10 秒；</w:t>
      </w:r>
      <w:r>
        <w:rPr>
          <w:rFonts w:ascii="SimSun" w:hAnsi="SimSun" w:eastAsia="SimSun" w:cs="SimSun"/>
          <w:b/>
          <w:color w:val="000000"/>
          <w:sz w:val="24"/>
        </w:rPr>
        <w:t xml:space="preserve">提供相关证明材料并加盖投标单位公章（包括但不限于明确说明该技术内容的公开发行的产品彩页或产品说明书或第三方检测机构的检测报告等，自拟无效）。</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 重复性≤±0.5%；精确度≤±0.6%；</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 检测单元：采用对数间隔排列探测器，检测角度范围0.015-144度；</w:t>
      </w:r>
      <w:r>
        <w:rPr>
          <w:rFonts w:ascii="SimSun" w:hAnsi="SimSun" w:eastAsia="SimSun" w:cs="SimSun"/>
          <w:b/>
          <w:color w:val="000000"/>
          <w:sz w:val="24"/>
        </w:rPr>
        <w:t xml:space="preserve">提供相关证明材料并加盖投标单位公章（包括但不限于明确说明该技术内容的公开发行的产品彩页或产品说明书或第三方检测机构的检测报告等，自拟无效）。</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 主机与样品分散系统应完全独立；不同样品分散系统应由主机自动识别；测量池插入主机后，应可自动锁定，并可一键解锁；</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2、湿法分散单元</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由湿法分散器和湿法测量池组成，湿法分散器体积≤120ml；</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搅拌速度和超声强度连续可调；最大搅拌速度≥3500rpm，最大在线超声功率≥40W；</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 内置离心循环泵，最大流量可达2.0L/min，可通过软件控制分散介质的装填、脱气和排空，自动进行清洁；</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 测量池易于清洁，拆装检测窗口时无需工具；</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 测量池预留有水浴接口；</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3、干法分散单元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采用全封闭设计，以避免偏流效应；</w:t>
      </w:r>
      <w:r>
        <w:rPr>
          <w:rFonts w:ascii="SimSun" w:hAnsi="SimSun" w:eastAsia="SimSun" w:cs="SimSun"/>
          <w:b/>
          <w:color w:val="000000"/>
          <w:sz w:val="24"/>
        </w:rPr>
        <w:t xml:space="preserve">提供相关证明材料并加盖投标单位公章（包括但不限于明确说明该技术内容的公开发行的产品彩页或产品说明书或第三方检测机构的检测报告等，自拟无效）。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采用振动进样、高速气流分散样品；振动进样速度和气流压力由软件控制且连续可调；最大分散气压≥4bar；</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 样品托盘和漏斗应便于拆卸；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 测量池易于清洁，拆装检测窗口时无需工具；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3.5配置空压机和工业用真空采集系统；</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4、软件系统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软件操作简便、界面简单直观，测量界面应具有测量进度条、激光遮光度计、实时散射数据显示、实时粒径分布显示、趋势显示、分散装置控制面板、数据质量指南标签等；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 软件应内置一般物质光学参数数据库，同时具有光学参数优化功能；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 软件应具有数据质量指南功能，可在测试过程中对数据质量提供实时的反馈；采用机器学习算法，能够不断筛查各种潜在的数据质量问题，并列出可能存在的潜在问题和解决方案；</w:t>
      </w:r>
      <w:r>
        <w:rPr>
          <w:rFonts w:ascii="SimSun" w:hAnsi="SimSun" w:eastAsia="SimSun" w:cs="SimSun"/>
          <w:b/>
          <w:color w:val="000000"/>
          <w:sz w:val="24"/>
        </w:rPr>
        <w:t xml:space="preserve">提供相关证明材料并加盖投标单位公章（包括但不限于明确说明该技术内容的公开发行的产品彩页或产品说明书或第三方检测机构的检测报告等，自拟无效）。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 软件应具有湿法方法开发指导功能，以交互的方式指导完成方法开发；涵盖方法开发中的样品制备、分散稳定性、搅拌速度滴定、遮光度滴定和方法可重复性等核心步骤；</w:t>
      </w:r>
      <w:r>
        <w:rPr>
          <w:rFonts w:ascii="SimSun" w:hAnsi="SimSun" w:eastAsia="SimSun" w:cs="SimSun"/>
          <w:b/>
          <w:color w:val="000000"/>
          <w:sz w:val="24"/>
        </w:rPr>
        <w:t xml:space="preserve">提供相关证明材料并加盖投标单位公章（包括但不限于明确说明该技术内容的公开发行的产品彩页或产品说明书或第三方检测机构的检测报告等，自拟无效）。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 软件应具有自适应衍射算法，能够基于适应衍射算法存储的所有子测量数据，再通过机器学习将数据分类为瞬态和稳态，其中，稳态表征大多数时间观察到的颗粒，瞬态表征偶尔能观察到的事件，如气泡等；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4.6 软件需具备SOP、用户报告设计和测试结果质量评估等功能；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4.7 审计追踪软件功能，满足制药行业法规对合规性和数据完整性的要求；审计追踪软件应具有群组管理功能，以便于管理用户。</w:t>
      </w:r>
      <w:r/>
    </w:p>
    <w:p>
      <w:pPr>
        <w:spacing w:line="360" w:lineRule="auto"/>
        <w:rPr>
          <w:rFonts w:hint="eastAsia" w:ascii="宋体" w:hAnsi="宋体" w:cs="宋体"/>
          <w:b/>
          <w:bCs/>
          <w:color w:val="000000" w:themeColor="text1"/>
          <w:sz w:val="24"/>
          <w:highlight w:val="none"/>
          <w:lang w:val="zh-CN"/>
          <w14:textFill>
            <w14:solidFill>
              <w14:schemeClr w14:val="tx1"/>
            </w14:solidFill>
          </w14:textFill>
        </w:rPr>
      </w:pPr>
      <w:r>
        <w:rPr>
          <w:rFonts w:hint="eastAsia" w:ascii="宋体" w:hAnsi="宋体" w:cs="宋体"/>
          <w:b/>
          <w:bCs/>
          <w:color w:val="000000" w:themeColor="text1"/>
          <w:sz w:val="24"/>
          <w:highlight w:val="none"/>
          <w:lang w:val="zh-CN"/>
          <w14:textFill>
            <w14:solidFill>
              <w14:schemeClr w14:val="tx1"/>
            </w14:solidFill>
          </w14:textFill>
        </w:rPr>
        <w:t xml:space="preserve">三、服务要求</w:t>
      </w:r>
      <w:bookmarkEnd w:id="38"/>
      <w:r/>
      <w:bookmarkEnd w:id="39"/>
      <w:r/>
      <w:r/>
    </w:p>
    <w:p>
      <w:pPr>
        <w:ind w:firstLine="420"/>
        <w:spacing w:line="360" w:lineRule="auto"/>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（1）技术培训：为采购方进行人员培训，提供不少于</w:t>
      </w: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lang w:val="zh-CN"/>
          <w14:textFill>
            <w14:solidFill>
              <w14:schemeClr w14:val="tx1"/>
            </w14:solidFill>
          </w14:textFill>
        </w:rPr>
        <w:t xml:space="preserve">次的设备操作培训，培训人员</w:t>
      </w:r>
      <w:r>
        <w:rPr>
          <w:rFonts w:hint="eastAsia" w:ascii="宋体" w:hAnsi="宋体" w:cs="宋体"/>
          <w:color w:val="000000" w:themeColor="text1"/>
          <w:sz w:val="24"/>
          <w:highlight w:val="none"/>
          <w14:textFill>
            <w14:solidFill>
              <w14:schemeClr w14:val="tx1"/>
            </w14:solidFill>
          </w14:textFill>
        </w:rPr>
        <w:t xml:space="preserve">数量</w:t>
      </w:r>
      <w:r>
        <w:rPr>
          <w:rFonts w:hint="eastAsia" w:ascii="宋体" w:hAnsi="宋体" w:cs="宋体"/>
          <w:color w:val="000000" w:themeColor="text1"/>
          <w:sz w:val="24"/>
          <w:highlight w:val="none"/>
          <w:lang w:val="zh-CN"/>
          <w14:textFill>
            <w14:solidFill>
              <w14:schemeClr w14:val="tx1"/>
            </w14:solidFill>
          </w14:textFill>
        </w:rPr>
        <w:t xml:space="preserve">不低于</w:t>
      </w: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lang w:val="zh-CN"/>
          <w14:textFill>
            <w14:solidFill>
              <w14:schemeClr w14:val="tx1"/>
            </w14:solidFill>
          </w14:textFill>
        </w:rPr>
        <w:t xml:space="preserve">人。</w:t>
      </w:r>
      <w:r/>
    </w:p>
    <w:p>
      <w:pPr>
        <w:ind w:firstLine="420"/>
        <w:spacing w:line="360" w:lineRule="auto"/>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（2）免费质保期：质保期</w:t>
      </w:r>
      <w:r>
        <w:rPr>
          <w:rFonts w:hint="eastAsia" w:ascii="宋体" w:hAnsi="宋体" w:cs="宋体"/>
          <w:color w:val="000000" w:themeColor="text1"/>
          <w:sz w:val="24"/>
          <w:highlight w:val="none"/>
          <w14:textFill>
            <w14:solidFill>
              <w14:schemeClr w14:val="tx1"/>
            </w14:solidFill>
          </w14:textFill>
        </w:rPr>
        <w:t xml:space="preserve">不低于壹</w:t>
      </w:r>
      <w:r>
        <w:rPr>
          <w:rFonts w:hint="eastAsia" w:ascii="宋体" w:hAnsi="宋体" w:cs="宋体"/>
          <w:color w:val="000000" w:themeColor="text1"/>
          <w:sz w:val="24"/>
          <w:highlight w:val="none"/>
          <w:lang w:val="zh-CN"/>
          <w14:textFill>
            <w14:solidFill>
              <w14:schemeClr w14:val="tx1"/>
            </w14:solidFill>
          </w14:textFill>
        </w:rPr>
        <w:t xml:space="preserve">年，自验收合格次日起算，因人为因素出现的故障不在免费保修范围内。</w:t>
      </w:r>
      <w:r/>
    </w:p>
    <w:p>
      <w:pPr>
        <w:ind w:firstLine="420"/>
        <w:spacing w:line="360" w:lineRule="auto"/>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（3）售后技术服务要求：接到故障通知后</w:t>
      </w:r>
      <w:r>
        <w:rPr>
          <w:rFonts w:hint="eastAsia" w:ascii="宋体" w:hAnsi="宋体" w:cs="宋体"/>
          <w:color w:val="000000" w:themeColor="text1"/>
          <w:sz w:val="24"/>
          <w:highlight w:val="none"/>
          <w14:textFill>
            <w14:solidFill>
              <w14:schemeClr w14:val="tx1"/>
            </w14:solidFill>
          </w14:textFill>
        </w:rPr>
        <w:t xml:space="preserve">8</w:t>
      </w:r>
      <w:r>
        <w:rPr>
          <w:rFonts w:hint="eastAsia" w:ascii="宋体" w:hAnsi="宋体" w:cs="宋体"/>
          <w:color w:val="000000" w:themeColor="text1"/>
          <w:sz w:val="24"/>
          <w:highlight w:val="none"/>
          <w:lang w:val="zh-CN"/>
          <w14:textFill>
            <w14:solidFill>
              <w14:schemeClr w14:val="tx1"/>
            </w14:solidFill>
          </w14:textFill>
        </w:rPr>
        <w:t xml:space="preserve">小时内作出答复，一般问题</w:t>
      </w:r>
      <w:r>
        <w:rPr>
          <w:rFonts w:hint="eastAsia" w:ascii="宋体" w:hAnsi="宋体" w:cs="宋体"/>
          <w:color w:val="000000" w:themeColor="text1"/>
          <w:sz w:val="24"/>
          <w:highlight w:val="none"/>
          <w14:textFill>
            <w14:solidFill>
              <w14:schemeClr w14:val="tx1"/>
            </w14:solidFill>
          </w14:textFill>
        </w:rPr>
        <w:t xml:space="preserve">48</w:t>
      </w:r>
      <w:r>
        <w:rPr>
          <w:rFonts w:hint="eastAsia" w:ascii="宋体" w:hAnsi="宋体" w:cs="宋体"/>
          <w:color w:val="000000" w:themeColor="text1"/>
          <w:sz w:val="24"/>
          <w:highlight w:val="none"/>
          <w:lang w:val="zh-CN"/>
          <w14:textFill>
            <w14:solidFill>
              <w14:schemeClr w14:val="tx1"/>
            </w14:solidFill>
          </w14:textFill>
        </w:rPr>
        <w:t xml:space="preserve">小时之内解决；若</w:t>
      </w:r>
      <w:r>
        <w:rPr>
          <w:rFonts w:hint="eastAsia" w:ascii="宋体" w:hAnsi="宋体" w:cs="宋体"/>
          <w:color w:val="000000" w:themeColor="text1"/>
          <w:sz w:val="24"/>
          <w:highlight w:val="none"/>
          <w14:textFill>
            <w14:solidFill>
              <w14:schemeClr w14:val="tx1"/>
            </w14:solidFill>
          </w14:textFill>
        </w:rPr>
        <w:t xml:space="preserve">采购人</w:t>
      </w:r>
      <w:r>
        <w:rPr>
          <w:rFonts w:hint="eastAsia" w:ascii="宋体" w:hAnsi="宋体" w:cs="宋体"/>
          <w:color w:val="000000" w:themeColor="text1"/>
          <w:sz w:val="24"/>
          <w:highlight w:val="none"/>
          <w:lang w:val="zh-CN"/>
          <w14:textFill>
            <w14:solidFill>
              <w14:schemeClr w14:val="tx1"/>
            </w14:solidFill>
          </w14:textFill>
        </w:rPr>
        <w:t xml:space="preserve">有需求，</w:t>
      </w:r>
      <w:r>
        <w:rPr>
          <w:rFonts w:hint="eastAsia" w:ascii="宋体" w:hAnsi="宋体" w:cs="宋体"/>
          <w:color w:val="000000" w:themeColor="text1"/>
          <w:sz w:val="24"/>
          <w:highlight w:val="none"/>
          <w14:textFill>
            <w14:solidFill>
              <w14:schemeClr w14:val="tx1"/>
            </w14:solidFill>
          </w14:textFill>
        </w:rPr>
        <w:t xml:space="preserve">96</w:t>
      </w:r>
      <w:r>
        <w:rPr>
          <w:rFonts w:hint="eastAsia" w:ascii="宋体" w:hAnsi="宋体" w:cs="宋体"/>
          <w:color w:val="000000" w:themeColor="text1"/>
          <w:sz w:val="24"/>
          <w:highlight w:val="none"/>
          <w:lang w:val="zh-CN"/>
          <w14:textFill>
            <w14:solidFill>
              <w14:schemeClr w14:val="tx1"/>
            </w14:solidFill>
          </w14:textFill>
        </w:rPr>
        <w:t xml:space="preserve">小时内到达现场解决；若遇重大问题在</w:t>
      </w:r>
      <w:r>
        <w:rPr>
          <w:rFonts w:hint="eastAsia" w:ascii="宋体" w:hAnsi="宋体" w:cs="宋体"/>
          <w:color w:val="000000" w:themeColor="text1"/>
          <w:sz w:val="24"/>
          <w:highlight w:val="none"/>
          <w14:textFill>
            <w14:solidFill>
              <w14:schemeClr w14:val="tx1"/>
            </w14:solidFill>
          </w14:textFill>
        </w:rPr>
        <w:t xml:space="preserve">15天内</w:t>
      </w:r>
      <w:r>
        <w:rPr>
          <w:rFonts w:hint="eastAsia" w:ascii="宋体" w:hAnsi="宋体" w:cs="宋体"/>
          <w:color w:val="000000" w:themeColor="text1"/>
          <w:sz w:val="24"/>
          <w:highlight w:val="none"/>
          <w:lang w:val="zh-CN"/>
          <w14:textFill>
            <w14:solidFill>
              <w14:schemeClr w14:val="tx1"/>
            </w14:solidFill>
          </w14:textFill>
        </w:rPr>
        <w:t xml:space="preserve">解决。</w:t>
      </w:r>
      <w:r/>
    </w:p>
    <w:p>
      <w:pPr>
        <w:spacing w:line="360" w:lineRule="auto"/>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b/>
          <w:bCs/>
          <w:color w:val="000000" w:themeColor="text1"/>
          <w:sz w:val="24"/>
          <w:highlight w:val="none"/>
          <w:lang w:val="zh-CN"/>
          <w14:textFill>
            <w14:solidFill>
              <w14:schemeClr w14:val="tx1"/>
            </w14:solidFill>
          </w14:textFill>
        </w:rPr>
        <w:t xml:space="preserve">四、安装要求</w:t>
      </w:r>
      <w:bookmarkEnd w:id="40"/>
      <w:r/>
      <w:r/>
    </w:p>
    <w:p>
      <w:pPr>
        <w:ind w:firstLine="420"/>
        <w:spacing w:line="360" w:lineRule="auto"/>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按照国家现行行业规范标准进行安装，符合国家或行业质量检验评定标准，没有行业标准的产品，</w:t>
      </w:r>
      <w:r>
        <w:rPr>
          <w:rFonts w:hint="eastAsia" w:ascii="宋体" w:hAnsi="宋体" w:cs="宋体"/>
          <w:color w:val="000000" w:themeColor="text1"/>
          <w:sz w:val="24"/>
          <w:highlight w:val="none"/>
          <w14:textFill>
            <w14:solidFill>
              <w14:schemeClr w14:val="tx1"/>
            </w14:solidFill>
          </w14:textFill>
        </w:rPr>
        <w:t xml:space="preserve">供应商</w:t>
      </w:r>
      <w:r>
        <w:rPr>
          <w:rFonts w:hint="eastAsia" w:ascii="宋体" w:hAnsi="宋体" w:cs="宋体"/>
          <w:color w:val="000000" w:themeColor="text1"/>
          <w:sz w:val="24"/>
          <w:highlight w:val="none"/>
          <w:lang w:val="zh-CN"/>
          <w14:textFill>
            <w14:solidFill>
              <w14:schemeClr w14:val="tx1"/>
            </w14:solidFill>
          </w14:textFill>
        </w:rPr>
        <w:t xml:space="preserve">应提供相关制造商标准。</w:t>
      </w:r>
      <w:r/>
    </w:p>
    <w:p>
      <w:pPr>
        <w:ind w:firstLine="420"/>
        <w:spacing w:line="360" w:lineRule="auto"/>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设备安装调试：设备到货后，</w:t>
      </w:r>
      <w:r>
        <w:rPr>
          <w:rFonts w:hint="eastAsia" w:ascii="宋体" w:hAnsi="宋体" w:cs="宋体"/>
          <w:color w:val="000000" w:themeColor="text1"/>
          <w:sz w:val="24"/>
          <w:highlight w:val="none"/>
          <w14:textFill>
            <w14:solidFill>
              <w14:schemeClr w14:val="tx1"/>
            </w14:solidFill>
          </w14:textFill>
        </w:rPr>
        <w:t xml:space="preserve">供应商</w:t>
      </w:r>
      <w:r>
        <w:rPr>
          <w:rFonts w:hint="eastAsia" w:ascii="宋体" w:hAnsi="宋体" w:cs="宋体"/>
          <w:color w:val="000000" w:themeColor="text1"/>
          <w:sz w:val="24"/>
          <w:highlight w:val="none"/>
          <w:lang w:val="zh-CN"/>
          <w14:textFill>
            <w14:solidFill>
              <w14:schemeClr w14:val="tx1"/>
            </w14:solidFill>
          </w14:textFill>
        </w:rPr>
        <w:t xml:space="preserve">在接到通知的7个工作日内派人前往负责该设备的安装、调试和操作培训，直至达到各项验收指标合格。</w:t>
      </w:r>
      <w:r/>
    </w:p>
    <w:p>
      <w:pPr>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（第二部分：商务部分要求）</w:t>
      </w:r>
      <w:r/>
    </w:p>
    <w:p>
      <w:pPr>
        <w:spacing w:line="360" w:lineRule="auto"/>
        <w:rPr>
          <w:rFonts w:hint="eastAsia" w:ascii="宋体" w:hAnsi="宋体" w:cs="宋体"/>
          <w:b/>
          <w:bCs/>
          <w:color w:val="000000" w:themeColor="text1"/>
          <w:sz w:val="24"/>
          <w:highlight w:val="none"/>
          <w:lang w:val="zh-CN"/>
          <w14:textFill>
            <w14:solidFill>
              <w14:schemeClr w14:val="tx1"/>
            </w14:solidFill>
          </w14:textFill>
        </w:rPr>
      </w:pPr>
      <w:r>
        <w:rPr>
          <w:rFonts w:hint="eastAsia" w:ascii="宋体" w:hAnsi="宋体" w:cs="宋体"/>
          <w:b/>
          <w:bCs/>
          <w:color w:val="000000" w:themeColor="text1"/>
          <w:sz w:val="24"/>
          <w:highlight w:val="none"/>
          <w:lang w:val="zh-CN"/>
          <w14:textFill>
            <w14:solidFill>
              <w14:schemeClr w14:val="tx1"/>
            </w14:solidFill>
          </w14:textFill>
        </w:rPr>
        <w:t xml:space="preserve">五、交货期、交货方式及交货地点</w:t>
      </w:r>
      <w:r/>
    </w:p>
    <w:p>
      <w:pPr>
        <w:ind w:firstLine="420"/>
        <w:spacing w:line="360" w:lineRule="auto"/>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1. 交货期：</w:t>
      </w:r>
      <w:r>
        <w:rPr>
          <w:rFonts w:hint="eastAsia" w:ascii="宋体" w:hAnsi="宋体"/>
          <w:color w:val="000000" w:themeColor="text1"/>
          <w:sz w:val="24"/>
          <w:highlight w:val="none"/>
          <w:lang w:val="zh-CN"/>
          <w14:textFill>
            <w14:solidFill>
              <w14:schemeClr w14:val="tx1"/>
            </w14:solidFill>
          </w14:textFill>
        </w:rPr>
        <w:t xml:space="preserve">合同签订生效后，</w:t>
      </w:r>
      <w:r>
        <w:rPr>
          <w:rFonts w:hint="eastAsia" w:ascii="宋体" w:hAnsi="宋体"/>
          <w:color w:val="000000" w:themeColor="text1"/>
          <w:sz w:val="24"/>
          <w:highlight w:val="none"/>
          <w14:textFill>
            <w14:solidFill>
              <w14:schemeClr w14:val="tx1"/>
            </w14:solidFill>
          </w14:textFill>
        </w:rPr>
        <w:t xml:space="preserve">两</w:t>
      </w:r>
      <w:r>
        <w:rPr>
          <w:rFonts w:hint="eastAsia" w:ascii="宋体" w:hAnsi="宋体"/>
          <w:color w:val="000000" w:themeColor="text1"/>
          <w:sz w:val="24"/>
          <w:highlight w:val="none"/>
          <w:lang w:val="zh-CN"/>
          <w14:textFill>
            <w14:solidFill>
              <w14:schemeClr w14:val="tx1"/>
            </w14:solidFill>
          </w14:textFill>
        </w:rPr>
        <w:t xml:space="preserve">个月内全部设备、材料运抵现场，并安装、调试结束，验收合格，交付采购方使用。</w:t>
      </w:r>
      <w:r/>
    </w:p>
    <w:p>
      <w:pPr>
        <w:ind w:firstLine="420"/>
        <w:spacing w:line="360" w:lineRule="auto"/>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2. 交货方式：中标人在</w:t>
      </w:r>
      <w:r>
        <w:rPr>
          <w:rFonts w:hint="eastAsia" w:ascii="宋体" w:hAnsi="宋体" w:cs="宋体"/>
          <w:color w:val="000000" w:themeColor="text1"/>
          <w:sz w:val="24"/>
          <w:highlight w:val="none"/>
          <w14:textFill>
            <w14:solidFill>
              <w14:schemeClr w14:val="tx1"/>
            </w14:solidFill>
          </w14:textFill>
        </w:rPr>
        <w:t xml:space="preserve">采购人</w:t>
      </w:r>
      <w:r>
        <w:rPr>
          <w:rFonts w:hint="eastAsia" w:ascii="宋体" w:hAnsi="宋体" w:cs="宋体"/>
          <w:color w:val="000000" w:themeColor="text1"/>
          <w:sz w:val="24"/>
          <w:highlight w:val="none"/>
          <w:lang w:val="zh-CN"/>
          <w14:textFill>
            <w14:solidFill>
              <w14:schemeClr w14:val="tx1"/>
            </w14:solidFill>
          </w14:textFill>
        </w:rPr>
        <w:t xml:space="preserve">指定地点交货，并完成安装、调试。</w:t>
      </w:r>
      <w:r/>
    </w:p>
    <w:p>
      <w:pPr>
        <w:ind w:firstLine="420"/>
        <w:spacing w:line="360" w:lineRule="auto"/>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3. 交货地点：南京医科大学</w:t>
      </w:r>
      <w:r>
        <w:rPr>
          <w:rFonts w:hint="eastAsia" w:ascii="宋体" w:hAnsi="宋体" w:cs="宋体"/>
          <w:color w:val="000000" w:themeColor="text1"/>
          <w:sz w:val="24"/>
          <w:highlight w:val="none"/>
          <w14:textFill>
            <w14:solidFill>
              <w14:schemeClr w14:val="tx1"/>
            </w14:solidFill>
          </w14:textFill>
        </w:rPr>
        <w:t xml:space="preserve">指定地点</w:t>
      </w:r>
      <w:r>
        <w:rPr>
          <w:rFonts w:hint="eastAsia" w:ascii="宋体" w:hAnsi="宋体" w:cs="宋体"/>
          <w:color w:val="000000" w:themeColor="text1"/>
          <w:sz w:val="24"/>
          <w:highlight w:val="none"/>
          <w:lang w:val="zh-CN"/>
          <w14:textFill>
            <w14:solidFill>
              <w14:schemeClr w14:val="tx1"/>
            </w14:solidFill>
          </w14:textFill>
        </w:rPr>
        <w:t xml:space="preserve">。</w:t>
      </w:r>
      <w:r/>
    </w:p>
    <w:p>
      <w:pPr>
        <w:spacing w:line="360" w:lineRule="auto"/>
        <w:rPr>
          <w:rFonts w:hint="eastAsia" w:ascii="宋体" w:hAnsi="宋体" w:cs="宋体"/>
          <w:b/>
          <w:bCs/>
          <w:color w:val="000000" w:themeColor="text1"/>
          <w:sz w:val="24"/>
          <w:highlight w:val="none"/>
          <w:lang w:val="zh-CN"/>
          <w14:textFill>
            <w14:solidFill>
              <w14:schemeClr w14:val="tx1"/>
            </w14:solidFill>
          </w14:textFill>
        </w:rPr>
      </w:pPr>
      <w:r/>
      <w:bookmarkStart w:id="41" w:name="_Toc18026"/>
      <w:r>
        <w:rPr>
          <w:rFonts w:hint="eastAsia" w:ascii="宋体" w:hAnsi="宋体" w:cs="宋体"/>
          <w:b/>
          <w:bCs/>
          <w:color w:val="000000" w:themeColor="text1"/>
          <w:sz w:val="24"/>
          <w:highlight w:val="none"/>
          <w14:textFill>
            <w14:solidFill>
              <w14:schemeClr w14:val="tx1"/>
            </w14:solidFill>
          </w14:textFill>
        </w:rPr>
        <w:t xml:space="preserve">六、</w:t>
      </w:r>
      <w:r>
        <w:rPr>
          <w:rFonts w:hint="eastAsia" w:ascii="宋体" w:hAnsi="宋体" w:cs="宋体"/>
          <w:b/>
          <w:bCs/>
          <w:color w:val="000000" w:themeColor="text1"/>
          <w:sz w:val="24"/>
          <w:highlight w:val="none"/>
          <w:lang w:val="zh-CN"/>
          <w14:textFill>
            <w14:solidFill>
              <w14:schemeClr w14:val="tx1"/>
            </w14:solidFill>
          </w14:textFill>
        </w:rPr>
        <w:t xml:space="preserve">其他技术服务需求</w:t>
      </w:r>
      <w:bookmarkEnd w:id="41"/>
      <w:r/>
      <w:r/>
    </w:p>
    <w:p>
      <w:pPr>
        <w:ind w:firstLine="420"/>
        <w:spacing w:line="360" w:lineRule="auto"/>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1、投标人须保证本次投标产品系优质材料和先进工艺制成新出厂的产品，且完全与投标文件所述相符。</w:t>
      </w:r>
      <w:r/>
    </w:p>
    <w:p>
      <w:pPr>
        <w:ind w:firstLine="420"/>
        <w:spacing w:line="360" w:lineRule="auto"/>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2、交付使用前发生的产品硬件损坏和不合格，一律退换新品。在质保期开始的前三个月内，若发生产品损坏和性能不合格（非使用不当原因造成），除采购人同意修理之外，亦应退换新品。</w:t>
      </w:r>
      <w:r/>
    </w:p>
    <w:p>
      <w:pPr>
        <w:spacing w:line="360" w:lineRule="auto"/>
        <w:rPr>
          <w:rFonts w:hint="eastAsia" w:ascii="宋体" w:hAnsi="宋体" w:cs="宋体"/>
          <w:b/>
          <w:bCs/>
          <w:color w:val="000000" w:themeColor="text1"/>
          <w:sz w:val="24"/>
          <w:highlight w:val="none"/>
          <w:lang w:val="zh-CN"/>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七</w:t>
      </w:r>
      <w:r>
        <w:rPr>
          <w:rFonts w:hint="eastAsia" w:ascii="宋体" w:hAnsi="宋体" w:cs="宋体"/>
          <w:b/>
          <w:bCs/>
          <w:color w:val="000000" w:themeColor="text1"/>
          <w:sz w:val="24"/>
          <w:highlight w:val="none"/>
          <w:lang w:val="zh-CN"/>
          <w14:textFill>
            <w14:solidFill>
              <w14:schemeClr w14:val="tx1"/>
            </w14:solidFill>
          </w14:textFill>
        </w:rPr>
        <w:t xml:space="preserve">、货款支付</w:t>
      </w:r>
      <w:r/>
    </w:p>
    <w:p>
      <w:pPr>
        <w:ind w:firstLine="420"/>
        <w:spacing w:line="360" w:lineRule="auto"/>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1、国产设备：货物交付、安装、调试且通过验收后一周内（遇寒暑假和法定节假日顺延），学校支付合同总金额的100%，付款之前需收到中标供应商开具的合法有效的相应全额发票。</w:t>
      </w:r>
      <w:r/>
    </w:p>
    <w:p>
      <w:pPr>
        <w:ind w:firstLine="420"/>
        <w:spacing w:line="360" w:lineRule="auto"/>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2、进口设备：</w:t>
      </w:r>
      <w:r/>
    </w:p>
    <w:p>
      <w:pPr>
        <w:ind w:firstLine="420"/>
        <w:spacing w:line="360" w:lineRule="auto"/>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（1）合同签订后，外贸代理公司提供受益人为南京医科大学的100%合同金额的预付款银行保函，保函有效期为</w:t>
      </w:r>
      <w:r>
        <w:rPr>
          <w:rFonts w:hint="eastAsia" w:ascii="宋体" w:hAnsi="宋体" w:cs="宋体"/>
          <w:color w:val="000000" w:themeColor="text1"/>
          <w:sz w:val="24"/>
          <w:highlight w:val="none"/>
          <w:u w:val="single"/>
          <w:lang w:val="zh-CN"/>
          <w14:textFill>
            <w14:solidFill>
              <w14:schemeClr w14:val="tx1"/>
            </w14:solidFill>
          </w14:textFill>
        </w:rPr>
        <w:t xml:space="preserve">     </w:t>
      </w:r>
      <w:r>
        <w:rPr>
          <w:rFonts w:hint="eastAsia" w:ascii="宋体" w:hAnsi="宋体" w:cs="宋体"/>
          <w:color w:val="000000" w:themeColor="text1"/>
          <w:sz w:val="24"/>
          <w:highlight w:val="none"/>
          <w:lang w:val="zh-CN"/>
          <w14:textFill>
            <w14:solidFill>
              <w14:schemeClr w14:val="tx1"/>
            </w14:solidFill>
          </w14:textFill>
        </w:rPr>
        <w:t xml:space="preserve">天（供货期＋2个月），银行保函服务费由中标单位承担。</w:t>
      </w:r>
      <w:r/>
    </w:p>
    <w:p>
      <w:pPr>
        <w:ind w:firstLine="420"/>
        <w:spacing w:line="360" w:lineRule="auto"/>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（2）外贸代理公司收到100%货款后按照合同办理相关进口手续，货到验收合格后由学校通知外贸代理公司一周内开具合法有效的全额发票，并支付100%货款至境外厂家。</w:t>
      </w:r>
      <w:r/>
    </w:p>
    <w:p>
      <w:pPr>
        <w:pStyle w:val="1146"/>
        <w:spacing w:line="360" w:lineRule="auto"/>
        <w:rPr>
          <w:rFonts w:hint="eastAsia" w:hAnsi="宋体" w:cs="宋体"/>
          <w:b/>
          <w:bCs/>
          <w:color w:val="000000" w:themeColor="text1"/>
          <w:spacing w:val="8"/>
          <w:sz w:val="24"/>
          <w:szCs w:val="24"/>
          <w:highlight w:val="none"/>
          <w14:textFill>
            <w14:solidFill>
              <w14:schemeClr w14:val="tx1"/>
            </w14:solidFill>
          </w14:textFill>
        </w:rPr>
      </w:pPr>
      <w:r>
        <w:rPr>
          <w:rFonts w:hint="eastAsia" w:hAnsi="宋体" w:cs="宋体"/>
          <w:b/>
          <w:bCs/>
          <w:color w:val="000000" w:themeColor="text1"/>
          <w:spacing w:val="8"/>
          <w:sz w:val="24"/>
          <w:szCs w:val="24"/>
          <w:highlight w:val="none"/>
          <w14:textFill>
            <w14:solidFill>
              <w14:schemeClr w14:val="tx1"/>
            </w14:solidFill>
          </w14:textFill>
        </w:rPr>
        <w:t xml:space="preserve">八、履约保证金</w:t>
      </w:r>
      <w:r/>
    </w:p>
    <w:p>
      <w:pPr>
        <w:pStyle w:val="1146"/>
        <w:ind w:firstLine="512"/>
        <w:spacing w:line="360" w:lineRule="auto"/>
        <w:rPr>
          <w:rFonts w:hint="eastAsia" w:hAnsi="宋体" w:cs="宋体"/>
          <w:color w:val="000000" w:themeColor="text1"/>
          <w:spacing w:val="8"/>
          <w:sz w:val="24"/>
          <w:szCs w:val="24"/>
          <w:highlight w:val="none"/>
          <w14:textFill>
            <w14:solidFill>
              <w14:schemeClr w14:val="tx1"/>
            </w14:solidFill>
          </w14:textFill>
        </w:rPr>
      </w:pPr>
      <w:r>
        <w:rPr>
          <w:rFonts w:hint="eastAsia" w:hAnsi="宋体" w:cs="宋体"/>
          <w:color w:val="000000" w:themeColor="text1"/>
          <w:spacing w:val="8"/>
          <w:sz w:val="24"/>
          <w:szCs w:val="24"/>
          <w:highlight w:val="none"/>
          <w14:textFill>
            <w14:solidFill>
              <w14:schemeClr w14:val="tx1"/>
            </w14:solidFill>
          </w14:textFill>
        </w:rPr>
        <w:t xml:space="preserve">1、缴纳履约保证金</w:t>
      </w:r>
      <w:r/>
    </w:p>
    <w:p>
      <w:pPr>
        <w:pStyle w:val="1146"/>
        <w:ind w:firstLine="512"/>
        <w:spacing w:line="360" w:lineRule="auto"/>
        <w:rPr>
          <w:rFonts w:hint="eastAsia" w:hAnsi="宋体" w:cs="宋体"/>
          <w:color w:val="000000" w:themeColor="text1"/>
          <w:spacing w:val="8"/>
          <w:sz w:val="24"/>
          <w:szCs w:val="24"/>
          <w:highlight w:val="none"/>
          <w14:textFill>
            <w14:solidFill>
              <w14:schemeClr w14:val="tx1"/>
            </w14:solidFill>
          </w14:textFill>
        </w:rPr>
      </w:pPr>
      <w:r>
        <w:rPr>
          <w:rFonts w:hint="eastAsia" w:hAnsi="宋体" w:cs="宋体"/>
          <w:color w:val="000000" w:themeColor="text1"/>
          <w:spacing w:val="8"/>
          <w:sz w:val="24"/>
          <w:szCs w:val="24"/>
          <w:highlight w:val="none"/>
          <w14:textFill>
            <w14:solidFill>
              <w14:schemeClr w14:val="tx1"/>
            </w14:solidFill>
          </w14:textFill>
        </w:rPr>
        <w:t xml:space="preserve">供应商中标后7个工作日内，将中标合同金额10%的履约保证金以银行对公转账形式支付至学校指定账户，并将加盖单位公章的银行回执单或网银截图递交至学校，学校凭付款凭证及财务处到款情况办理合同签订相关手续。</w:t>
      </w:r>
      <w:r/>
    </w:p>
    <w:p>
      <w:pPr>
        <w:pStyle w:val="1146"/>
        <w:ind w:firstLine="512"/>
        <w:spacing w:line="360" w:lineRule="auto"/>
        <w:rPr>
          <w:rFonts w:hint="eastAsia" w:hAnsi="宋体" w:cs="宋体"/>
          <w:color w:val="000000" w:themeColor="text1"/>
          <w:spacing w:val="8"/>
          <w:sz w:val="24"/>
          <w:szCs w:val="24"/>
          <w:highlight w:val="none"/>
          <w14:textFill>
            <w14:solidFill>
              <w14:schemeClr w14:val="tx1"/>
            </w14:solidFill>
          </w14:textFill>
        </w:rPr>
      </w:pPr>
      <w:r>
        <w:rPr>
          <w:rFonts w:hint="eastAsia" w:hAnsi="宋体" w:cs="宋体"/>
          <w:color w:val="000000" w:themeColor="text1"/>
          <w:spacing w:val="8"/>
          <w:sz w:val="24"/>
          <w:szCs w:val="24"/>
          <w:highlight w:val="none"/>
          <w14:textFill>
            <w14:solidFill>
              <w14:schemeClr w14:val="tx1"/>
            </w14:solidFill>
          </w14:textFill>
        </w:rPr>
        <w:t xml:space="preserve">南京医科大学指定账户信息具体如下：</w:t>
      </w:r>
      <w:r/>
    </w:p>
    <w:p>
      <w:pPr>
        <w:pStyle w:val="1146"/>
        <w:ind w:firstLine="512"/>
        <w:spacing w:line="360" w:lineRule="auto"/>
        <w:rPr>
          <w:rFonts w:hint="eastAsia" w:hAnsi="宋体" w:cs="宋体"/>
          <w:color w:val="000000" w:themeColor="text1"/>
          <w:spacing w:val="8"/>
          <w:sz w:val="24"/>
          <w:szCs w:val="24"/>
          <w:highlight w:val="none"/>
          <w14:textFill>
            <w14:solidFill>
              <w14:schemeClr w14:val="tx1"/>
            </w14:solidFill>
          </w14:textFill>
        </w:rPr>
      </w:pPr>
      <w:r>
        <w:rPr>
          <w:rFonts w:hint="eastAsia" w:hAnsi="宋体" w:cs="宋体"/>
          <w:color w:val="000000" w:themeColor="text1"/>
          <w:spacing w:val="8"/>
          <w:sz w:val="24"/>
          <w:szCs w:val="24"/>
          <w:highlight w:val="none"/>
          <w14:textFill>
            <w14:solidFill>
              <w14:schemeClr w14:val="tx1"/>
            </w14:solidFill>
          </w14:textFill>
        </w:rPr>
        <w:t xml:space="preserve">单位名称：南京医科大学</w:t>
      </w:r>
      <w:r/>
    </w:p>
    <w:p>
      <w:pPr>
        <w:pStyle w:val="1146"/>
        <w:ind w:firstLine="512"/>
        <w:spacing w:line="360" w:lineRule="auto"/>
        <w:rPr>
          <w:rFonts w:hint="eastAsia" w:hAnsi="宋体" w:cs="宋体"/>
          <w:color w:val="000000" w:themeColor="text1"/>
          <w:spacing w:val="8"/>
          <w:sz w:val="24"/>
          <w:szCs w:val="24"/>
          <w:highlight w:val="none"/>
          <w14:textFill>
            <w14:solidFill>
              <w14:schemeClr w14:val="tx1"/>
            </w14:solidFill>
          </w14:textFill>
        </w:rPr>
      </w:pPr>
      <w:r>
        <w:rPr>
          <w:rFonts w:hint="eastAsia" w:hAnsi="宋体" w:cs="宋体"/>
          <w:color w:val="000000" w:themeColor="text1"/>
          <w:spacing w:val="8"/>
          <w:sz w:val="24"/>
          <w:szCs w:val="24"/>
          <w:highlight w:val="none"/>
          <w14:textFill>
            <w14:solidFill>
              <w14:schemeClr w14:val="tx1"/>
            </w14:solidFill>
          </w14:textFill>
        </w:rPr>
        <w:t xml:space="preserve">开 户 行：南京市工行汉中门支行</w:t>
      </w:r>
      <w:r/>
    </w:p>
    <w:p>
      <w:pPr>
        <w:pStyle w:val="1146"/>
        <w:ind w:firstLine="512"/>
        <w:spacing w:line="360" w:lineRule="auto"/>
        <w:rPr>
          <w:rFonts w:hint="eastAsia" w:hAnsi="宋体" w:cs="宋体"/>
          <w:color w:val="000000" w:themeColor="text1"/>
          <w:spacing w:val="8"/>
          <w:sz w:val="24"/>
          <w:szCs w:val="24"/>
          <w:highlight w:val="none"/>
          <w14:textFill>
            <w14:solidFill>
              <w14:schemeClr w14:val="tx1"/>
            </w14:solidFill>
          </w14:textFill>
        </w:rPr>
      </w:pPr>
      <w:r>
        <w:rPr>
          <w:rFonts w:hint="eastAsia" w:hAnsi="宋体" w:cs="宋体"/>
          <w:color w:val="000000" w:themeColor="text1"/>
          <w:spacing w:val="8"/>
          <w:sz w:val="24"/>
          <w:szCs w:val="24"/>
          <w:highlight w:val="none"/>
          <w14:textFill>
            <w14:solidFill>
              <w14:schemeClr w14:val="tx1"/>
            </w14:solidFill>
          </w14:textFill>
        </w:rPr>
        <w:t xml:space="preserve">账    号：4301010109001038622</w:t>
      </w:r>
      <w:r/>
    </w:p>
    <w:p>
      <w:pPr>
        <w:pStyle w:val="1146"/>
        <w:ind w:firstLine="512"/>
        <w:spacing w:line="360" w:lineRule="auto"/>
        <w:rPr>
          <w:rFonts w:hint="eastAsia" w:hAnsi="宋体" w:cs="宋体"/>
          <w:color w:val="000000" w:themeColor="text1"/>
          <w:spacing w:val="8"/>
          <w:sz w:val="24"/>
          <w:szCs w:val="24"/>
          <w:highlight w:val="none"/>
          <w14:textFill>
            <w14:solidFill>
              <w14:schemeClr w14:val="tx1"/>
            </w14:solidFill>
          </w14:textFill>
        </w:rPr>
      </w:pPr>
      <w:r>
        <w:rPr>
          <w:rFonts w:hint="eastAsia" w:hAnsi="宋体" w:cs="宋体"/>
          <w:color w:val="000000" w:themeColor="text1"/>
          <w:spacing w:val="8"/>
          <w:sz w:val="24"/>
          <w:szCs w:val="24"/>
          <w:highlight w:val="none"/>
          <w14:textFill>
            <w14:solidFill>
              <w14:schemeClr w14:val="tx1"/>
            </w14:solidFill>
          </w14:textFill>
        </w:rPr>
        <w:t xml:space="preserve">注：请在转账时备注“项目名称+履约保证金”字样。</w:t>
      </w:r>
      <w:r/>
    </w:p>
    <w:p>
      <w:pPr>
        <w:pStyle w:val="1146"/>
        <w:ind w:firstLine="512"/>
        <w:spacing w:line="360" w:lineRule="auto"/>
        <w:rPr>
          <w:rFonts w:hint="eastAsia" w:hAnsi="宋体" w:cs="宋体"/>
          <w:color w:val="000000" w:themeColor="text1"/>
          <w:spacing w:val="8"/>
          <w:sz w:val="24"/>
          <w:szCs w:val="24"/>
          <w:highlight w:val="none"/>
          <w14:textFill>
            <w14:solidFill>
              <w14:schemeClr w14:val="tx1"/>
            </w14:solidFill>
          </w14:textFill>
        </w:rPr>
      </w:pPr>
      <w:r>
        <w:rPr>
          <w:rFonts w:hint="eastAsia" w:hAnsi="宋体" w:cs="宋体"/>
          <w:color w:val="000000" w:themeColor="text1"/>
          <w:spacing w:val="8"/>
          <w:sz w:val="24"/>
          <w:szCs w:val="24"/>
          <w:highlight w:val="none"/>
          <w14:textFill>
            <w14:solidFill>
              <w14:schemeClr w14:val="tx1"/>
            </w14:solidFill>
          </w14:textFill>
        </w:rPr>
        <w:t xml:space="preserve">2、若供应商中标后无故拖延、拒绝缴纳或逾期缴纳履约保证金，则视为中标供应商放弃中标资格，学校有权取消其中标结果，按照评审报告推荐的中标或者成交候选人名单排序，确定下一候选人为中标或者成交供应商，或者重新组织招标。</w:t>
      </w:r>
      <w:r/>
    </w:p>
    <w:p>
      <w:pPr>
        <w:pStyle w:val="1146"/>
        <w:ind w:firstLine="512"/>
        <w:spacing w:line="360" w:lineRule="auto"/>
        <w:rPr>
          <w:rFonts w:hint="eastAsia" w:hAnsi="宋体" w:cs="宋体"/>
          <w:color w:val="000000" w:themeColor="text1"/>
          <w:spacing w:val="8"/>
          <w:sz w:val="24"/>
          <w:szCs w:val="24"/>
          <w:highlight w:val="none"/>
          <w14:textFill>
            <w14:solidFill>
              <w14:schemeClr w14:val="tx1"/>
            </w14:solidFill>
          </w14:textFill>
        </w:rPr>
      </w:pPr>
      <w:r>
        <w:rPr>
          <w:rFonts w:hint="eastAsia" w:hAnsi="宋体" w:cs="宋体"/>
          <w:color w:val="000000" w:themeColor="text1"/>
          <w:spacing w:val="8"/>
          <w:sz w:val="24"/>
          <w:szCs w:val="24"/>
          <w:highlight w:val="none"/>
          <w14:textFill>
            <w14:solidFill>
              <w14:schemeClr w14:val="tx1"/>
            </w14:solidFill>
          </w14:textFill>
        </w:rPr>
        <w:t xml:space="preserve">3、合同履行过程中，若经学校核实存在货物质量问题或中标供应商违约情形，学校有权在通知中标供应商后，从履约保证金中抵扣相应的补偿或赔偿款项。</w:t>
      </w:r>
      <w:r/>
    </w:p>
    <w:p>
      <w:pPr>
        <w:pStyle w:val="1146"/>
        <w:ind w:firstLine="512"/>
        <w:spacing w:line="360" w:lineRule="auto"/>
        <w:rPr>
          <w:rFonts w:hint="eastAsia" w:hAnsi="宋体" w:cs="宋体"/>
          <w:color w:val="000000" w:themeColor="text1"/>
          <w:spacing w:val="8"/>
          <w:sz w:val="24"/>
          <w:szCs w:val="24"/>
          <w:highlight w:val="none"/>
          <w14:textFill>
            <w14:solidFill>
              <w14:schemeClr w14:val="tx1"/>
            </w14:solidFill>
          </w14:textFill>
        </w:rPr>
      </w:pPr>
      <w:r>
        <w:rPr>
          <w:rFonts w:hint="eastAsia" w:hAnsi="宋体" w:cs="宋体"/>
          <w:color w:val="000000" w:themeColor="text1"/>
          <w:spacing w:val="8"/>
          <w:sz w:val="24"/>
          <w:szCs w:val="24"/>
          <w:highlight w:val="none"/>
          <w14:textFill>
            <w14:solidFill>
              <w14:schemeClr w14:val="tx1"/>
            </w14:solidFill>
          </w14:textFill>
        </w:rPr>
        <w:t xml:space="preserve">4、履约保证金退还流程</w:t>
      </w:r>
      <w:r/>
    </w:p>
    <w:p>
      <w:pPr>
        <w:pStyle w:val="1146"/>
        <w:ind w:firstLine="512"/>
        <w:spacing w:line="360" w:lineRule="auto"/>
        <w:rPr>
          <w:rFonts w:hint="eastAsia" w:hAnsi="宋体" w:cs="宋体"/>
          <w:color w:val="000000" w:themeColor="text1"/>
          <w:spacing w:val="8"/>
          <w:sz w:val="24"/>
          <w:szCs w:val="24"/>
          <w:highlight w:val="none"/>
          <w14:textFill>
            <w14:solidFill>
              <w14:schemeClr w14:val="tx1"/>
            </w14:solidFill>
          </w14:textFill>
        </w:rPr>
      </w:pPr>
      <w:r>
        <w:rPr>
          <w:rFonts w:hint="eastAsia" w:hAnsi="宋体" w:cs="宋体"/>
          <w:color w:val="000000" w:themeColor="text1"/>
          <w:spacing w:val="8"/>
          <w:sz w:val="24"/>
          <w:szCs w:val="24"/>
          <w:highlight w:val="none"/>
          <w14:textFill>
            <w14:solidFill>
              <w14:schemeClr w14:val="tx1"/>
            </w14:solidFill>
          </w14:textFill>
        </w:rPr>
        <w:t xml:space="preserve">（1）自货物验收合格之日起12个月后，中标供应商可向学校出具货物最终验收单，并同步提交填写完整的《履约保证金退还申请单》。</w:t>
      </w:r>
      <w:r/>
    </w:p>
    <w:p>
      <w:pPr>
        <w:pStyle w:val="1146"/>
        <w:ind w:firstLine="512"/>
        <w:spacing w:line="360" w:lineRule="auto"/>
        <w:rPr>
          <w:rFonts w:hint="eastAsia" w:hAnsi="宋体" w:cs="宋体"/>
          <w:color w:val="000000" w:themeColor="text1"/>
          <w:spacing w:val="8"/>
          <w:sz w:val="24"/>
          <w:szCs w:val="24"/>
          <w:highlight w:val="none"/>
          <w14:textFill>
            <w14:solidFill>
              <w14:schemeClr w14:val="tx1"/>
            </w14:solidFill>
          </w14:textFill>
        </w:rPr>
      </w:pPr>
      <w:r>
        <w:rPr>
          <w:rFonts w:hint="eastAsia" w:hAnsi="宋体" w:cs="宋体"/>
          <w:color w:val="000000" w:themeColor="text1"/>
          <w:spacing w:val="8"/>
          <w:sz w:val="24"/>
          <w:szCs w:val="24"/>
          <w:highlight w:val="none"/>
          <w14:textFill>
            <w14:solidFill>
              <w14:schemeClr w14:val="tx1"/>
            </w14:solidFill>
          </w14:textFill>
        </w:rPr>
        <w:t xml:space="preserve">（2）经最终用户签字确认，核实无质量问题且供应商无违约情形后，学校于确认完成后一个月内，将履约保证金一次性无息退还中标供应商。</w:t>
      </w:r>
      <w:r/>
    </w:p>
    <w:p>
      <w:pPr>
        <w:pStyle w:val="1146"/>
        <w:spacing w:line="360" w:lineRule="auto"/>
        <w:rPr>
          <w:rFonts w:hint="eastAsia" w:hAnsi="宋体" w:cs="宋体"/>
          <w:b/>
          <w:bCs/>
          <w:color w:val="000000" w:themeColor="text1"/>
          <w:sz w:val="28"/>
          <w:szCs w:val="28"/>
          <w:highlight w:val="none"/>
          <w14:textFill>
            <w14:solidFill>
              <w14:schemeClr w14:val="tx1"/>
            </w14:solidFill>
          </w14:textFill>
        </w:rPr>
      </w:pPr>
      <w:r>
        <w:rPr>
          <w:rFonts w:hint="eastAsia" w:hAnsi="宋体" w:cs="宋体"/>
          <w:b/>
          <w:bCs/>
          <w:color w:val="000000" w:themeColor="text1"/>
          <w:spacing w:val="8"/>
          <w:sz w:val="24"/>
          <w:szCs w:val="24"/>
          <w:highlight w:val="none"/>
          <w14:textFill>
            <w14:solidFill>
              <w14:schemeClr w14:val="tx1"/>
            </w14:solidFill>
          </w14:textFill>
        </w:rPr>
        <w:t xml:space="preserve">十、投标报价要求</w:t>
      </w:r>
      <w:bookmarkEnd w:id="37"/>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所有投标响应均以人民币报价。供应商的投标响应报价应遵守“中华人民共和国价格法”。该报价为到采购人指定地点现场的全部费用，含相关税费，运输费，保险费，安装费及相关服务费等一切可能发生的费用。如投标产品为进口产品，投标响应报价必须报进口含税价。进口含税价须包含在采购人指定地点交货的,包含进口关税、进口增值税、进口代理服务费、安装、调试、培训和检测等的全部费用。</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如进口货物在国务院税委会公告的加征关税商品清单中，加征的关税应包含在投标总价中，即采购人在按照政府采购合同规定的付款方式和金额支付完货款后，不承担任何其他的或后续的费用。</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2、报价时应充分考虑所有可能影响到报价的因素，一旦评审结束最终成交，如发生漏、缺、少项都将被认为是成交供应商的报价让利行为，损失自负。</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采购人已通过招标方式确定了为其办理进口手续的外贸代理服务供应商。若该项目下的进口设备需要办理相关进口手续，则须由采购人指定的外贸代理服务供应商办理，否则由此产生的一切责任及后果均由中标供应商自行承担。外贸代理进口包干费用包含：银行费用、报关费用等进口相关费用，但是货款、税除外。</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各档代理费率为：</w:t>
      </w:r>
      <w:r/>
    </w:p>
    <w:tbl>
      <w:tblPr>
        <w:tblStyle w:val="112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60"/>
        <w:gridCol w:w="4291"/>
        <w:gridCol w:w="2109"/>
      </w:tblGrid>
      <w:tr>
        <w:trPr>
          <w:jc w:val="center"/>
          <w:trHeight w:val="454"/>
        </w:trPr>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pStyle w:val="1143"/>
              <w:ind w:left="0"/>
              <w:jc w:val="center"/>
              <w:spacing w:line="3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档列</w:t>
            </w:r>
            <w:r/>
          </w:p>
        </w:tc>
        <w:tc>
          <w:tcPr>
            <w:tcBorders>
              <w:top w:val="single" w:color="auto" w:sz="4" w:space="0"/>
              <w:left w:val="single" w:color="auto" w:sz="4" w:space="0"/>
              <w:bottom w:val="single" w:color="auto" w:sz="4" w:space="0"/>
              <w:right w:val="single" w:color="auto" w:sz="4" w:space="0"/>
            </w:tcBorders>
            <w:tcW w:w="4291" w:type="dxa"/>
            <w:vAlign w:val="center"/>
            <w:textDirection w:val="lrTb"/>
            <w:noWrap w:val="false"/>
          </w:tcPr>
          <w:p>
            <w:pPr>
              <w:pStyle w:val="1143"/>
              <w:ind w:left="0"/>
              <w:jc w:val="center"/>
              <w:spacing w:line="3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合同价（单位：美元）</w:t>
            </w:r>
            <w:r/>
          </w:p>
        </w:tc>
        <w:tc>
          <w:tcPr>
            <w:tcBorders>
              <w:top w:val="single" w:color="auto" w:sz="4" w:space="0"/>
              <w:left w:val="single" w:color="auto" w:sz="4" w:space="0"/>
              <w:bottom w:val="single" w:color="auto" w:sz="4" w:space="0"/>
              <w:right w:val="single" w:color="auto" w:sz="4" w:space="0"/>
            </w:tcBorders>
            <w:tcW w:w="2109" w:type="dxa"/>
            <w:vAlign w:val="center"/>
            <w:textDirection w:val="lrTb"/>
            <w:noWrap w:val="false"/>
          </w:tcPr>
          <w:p>
            <w:pPr>
              <w:pStyle w:val="1143"/>
              <w:ind w:left="0"/>
              <w:jc w:val="center"/>
              <w:spacing w:line="3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每段代理费率</w:t>
            </w:r>
            <w:r/>
          </w:p>
        </w:tc>
      </w:tr>
      <w:tr>
        <w:trPr>
          <w:jc w:val="center"/>
          <w:trHeight w:val="460"/>
        </w:trPr>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pStyle w:val="1143"/>
              <w:ind w:left="0"/>
              <w:jc w:val="center"/>
              <w:spacing w:line="3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4291" w:type="dxa"/>
            <w:vAlign w:val="center"/>
            <w:textDirection w:val="lrTb"/>
            <w:noWrap w:val="false"/>
          </w:tcPr>
          <w:p>
            <w:pPr>
              <w:pStyle w:val="1143"/>
              <w:ind w:left="0"/>
              <w:jc w:val="center"/>
              <w:spacing w:line="3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合同价＜10000</w:t>
            </w:r>
            <w:r/>
          </w:p>
        </w:tc>
        <w:tc>
          <w:tcPr>
            <w:tcBorders>
              <w:top w:val="single" w:color="auto" w:sz="4" w:space="0"/>
              <w:left w:val="single" w:color="auto" w:sz="4" w:space="0"/>
              <w:bottom w:val="single" w:color="auto" w:sz="4" w:space="0"/>
              <w:right w:val="single" w:color="auto" w:sz="4" w:space="0"/>
            </w:tcBorders>
            <w:tcW w:w="2109" w:type="dxa"/>
            <w:vAlign w:val="center"/>
            <w:textDirection w:val="lrTb"/>
            <w:noWrap w:val="false"/>
          </w:tcPr>
          <w:p>
            <w:pPr>
              <w:pStyle w:val="1143"/>
              <w:ind w:left="0"/>
              <w:jc w:val="center"/>
              <w:spacing w:line="3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0.13</w:t>
            </w:r>
            <w:r/>
          </w:p>
        </w:tc>
      </w:tr>
      <w:tr>
        <w:trPr>
          <w:jc w:val="center"/>
          <w:trHeight w:val="454"/>
        </w:trPr>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pStyle w:val="1143"/>
              <w:ind w:left="0"/>
              <w:jc w:val="center"/>
              <w:spacing w:line="3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4291" w:type="dxa"/>
            <w:vAlign w:val="center"/>
            <w:textDirection w:val="lrTb"/>
            <w:noWrap w:val="false"/>
          </w:tcPr>
          <w:p>
            <w:pPr>
              <w:pStyle w:val="1143"/>
              <w:ind w:left="0"/>
              <w:jc w:val="center"/>
              <w:spacing w:line="3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10，000≤合同价＜30，000</w:t>
            </w:r>
            <w:r/>
          </w:p>
        </w:tc>
        <w:tc>
          <w:tcPr>
            <w:tcBorders>
              <w:top w:val="single" w:color="auto" w:sz="4" w:space="0"/>
              <w:left w:val="single" w:color="auto" w:sz="4" w:space="0"/>
              <w:bottom w:val="single" w:color="auto" w:sz="4" w:space="0"/>
              <w:right w:val="single" w:color="auto" w:sz="4" w:space="0"/>
            </w:tcBorders>
            <w:tcW w:w="2109" w:type="dxa"/>
            <w:vAlign w:val="center"/>
            <w:textDirection w:val="lrTb"/>
            <w:noWrap w:val="false"/>
          </w:tcPr>
          <w:p>
            <w:pPr>
              <w:pStyle w:val="1143"/>
              <w:ind w:left="0"/>
              <w:jc w:val="center"/>
              <w:spacing w:line="3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0.11</w:t>
            </w:r>
            <w:r/>
          </w:p>
        </w:tc>
      </w:tr>
      <w:tr>
        <w:trPr>
          <w:jc w:val="center"/>
          <w:trHeight w:val="454"/>
        </w:trPr>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pStyle w:val="1143"/>
              <w:ind w:left="0"/>
              <w:jc w:val="center"/>
              <w:spacing w:line="3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4291" w:type="dxa"/>
            <w:vAlign w:val="center"/>
            <w:textDirection w:val="lrTb"/>
            <w:noWrap w:val="false"/>
          </w:tcPr>
          <w:p>
            <w:pPr>
              <w:pStyle w:val="1143"/>
              <w:ind w:left="0"/>
              <w:jc w:val="center"/>
              <w:spacing w:line="3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30，000≤合同价＜50，000</w:t>
            </w:r>
            <w:r/>
          </w:p>
        </w:tc>
        <w:tc>
          <w:tcPr>
            <w:tcBorders>
              <w:top w:val="single" w:color="auto" w:sz="4" w:space="0"/>
              <w:left w:val="single" w:color="auto" w:sz="4" w:space="0"/>
              <w:bottom w:val="single" w:color="auto" w:sz="4" w:space="0"/>
              <w:right w:val="single" w:color="auto" w:sz="4" w:space="0"/>
            </w:tcBorders>
            <w:tcW w:w="2109" w:type="dxa"/>
            <w:vAlign w:val="center"/>
            <w:textDirection w:val="lrTb"/>
            <w:noWrap w:val="false"/>
          </w:tcPr>
          <w:p>
            <w:pPr>
              <w:pStyle w:val="1143"/>
              <w:ind w:left="0"/>
              <w:jc w:val="center"/>
              <w:spacing w:line="3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0.07</w:t>
            </w:r>
            <w:r/>
          </w:p>
        </w:tc>
      </w:tr>
      <w:tr>
        <w:trPr>
          <w:jc w:val="center"/>
          <w:trHeight w:val="454"/>
        </w:trPr>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pStyle w:val="1143"/>
              <w:ind w:left="0"/>
              <w:jc w:val="center"/>
              <w:spacing w:line="3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4291" w:type="dxa"/>
            <w:vAlign w:val="center"/>
            <w:textDirection w:val="lrTb"/>
            <w:noWrap w:val="false"/>
          </w:tcPr>
          <w:p>
            <w:pPr>
              <w:pStyle w:val="1143"/>
              <w:ind w:left="0"/>
              <w:jc w:val="center"/>
              <w:spacing w:line="3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50，000≤合同价＜100，000</w:t>
            </w:r>
            <w:r/>
          </w:p>
        </w:tc>
        <w:tc>
          <w:tcPr>
            <w:tcBorders>
              <w:top w:val="single" w:color="auto" w:sz="4" w:space="0"/>
              <w:left w:val="single" w:color="auto" w:sz="4" w:space="0"/>
              <w:bottom w:val="single" w:color="auto" w:sz="4" w:space="0"/>
              <w:right w:val="single" w:color="auto" w:sz="4" w:space="0"/>
            </w:tcBorders>
            <w:tcW w:w="2109" w:type="dxa"/>
            <w:vAlign w:val="center"/>
            <w:textDirection w:val="lrTb"/>
            <w:noWrap w:val="false"/>
          </w:tcPr>
          <w:p>
            <w:pPr>
              <w:pStyle w:val="1143"/>
              <w:ind w:left="0"/>
              <w:jc w:val="center"/>
              <w:spacing w:line="3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0.05</w:t>
            </w:r>
            <w:r/>
          </w:p>
        </w:tc>
      </w:tr>
      <w:tr>
        <w:trPr>
          <w:jc w:val="center"/>
          <w:trHeight w:val="454"/>
        </w:trPr>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pStyle w:val="1143"/>
              <w:ind w:left="0"/>
              <w:jc w:val="center"/>
              <w:spacing w:line="3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4291" w:type="dxa"/>
            <w:vAlign w:val="center"/>
            <w:textDirection w:val="lrTb"/>
            <w:noWrap w:val="false"/>
          </w:tcPr>
          <w:p>
            <w:pPr>
              <w:pStyle w:val="1143"/>
              <w:ind w:left="0"/>
              <w:jc w:val="center"/>
              <w:spacing w:line="3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100，000≤合同价＜200，000</w:t>
            </w:r>
            <w:r/>
          </w:p>
        </w:tc>
        <w:tc>
          <w:tcPr>
            <w:tcBorders>
              <w:top w:val="single" w:color="auto" w:sz="4" w:space="0"/>
              <w:left w:val="single" w:color="auto" w:sz="4" w:space="0"/>
              <w:bottom w:val="single" w:color="auto" w:sz="4" w:space="0"/>
              <w:right w:val="single" w:color="auto" w:sz="4" w:space="0"/>
            </w:tcBorders>
            <w:tcW w:w="2109" w:type="dxa"/>
            <w:vAlign w:val="center"/>
            <w:textDirection w:val="lrTb"/>
            <w:noWrap w:val="false"/>
          </w:tcPr>
          <w:p>
            <w:pPr>
              <w:pStyle w:val="1143"/>
              <w:ind w:left="0"/>
              <w:jc w:val="center"/>
              <w:spacing w:line="3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0.04</w:t>
            </w:r>
            <w:r/>
          </w:p>
        </w:tc>
      </w:tr>
      <w:tr>
        <w:trPr>
          <w:jc w:val="center"/>
          <w:trHeight w:val="454"/>
        </w:trPr>
        <w:tc>
          <w:tcPr>
            <w:gridSpan w:val="3"/>
            <w:tcBorders>
              <w:top w:val="single" w:color="auto" w:sz="4" w:space="0"/>
              <w:left w:val="single" w:color="auto" w:sz="4" w:space="0"/>
              <w:bottom w:val="single" w:color="auto" w:sz="4" w:space="0"/>
              <w:right w:val="single" w:color="auto" w:sz="4" w:space="0"/>
            </w:tcBorders>
            <w:tcW w:w="7660" w:type="dxa"/>
            <w:vAlign w:val="center"/>
            <w:textDirection w:val="lrTb"/>
            <w:noWrap w:val="false"/>
          </w:tcPr>
          <w:p>
            <w:pPr>
              <w:pStyle w:val="1143"/>
              <w:ind w:left="0"/>
              <w:jc w:val="center"/>
              <w:spacing w:line="3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合同价为20万美元及以上的，代理费率不高于上述代理费中最低一档。</w:t>
            </w:r>
            <w:r/>
          </w:p>
        </w:tc>
      </w:tr>
    </w:tbl>
    <w:p>
      <w:pPr>
        <w:ind w:firstLine="72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如潜在供应商所投产品为进口产品，请自行综合考虑外贸代理费等报价事宜。</w:t>
      </w:r>
      <w:r/>
    </w:p>
    <w:p>
      <w:pPr>
        <w:spacing w:line="360" w:lineRule="auto"/>
        <w:rPr>
          <w:rFonts w:hint="eastAsia" w:ascii="宋体" w:hAnsi="宋体" w:cs="宋体"/>
          <w:b/>
          <w:bCs/>
          <w:color w:val="000000" w:themeColor="text1"/>
          <w:spacing w:val="8"/>
          <w:sz w:val="24"/>
          <w:highlight w:val="none"/>
          <w14:textFill>
            <w14:solidFill>
              <w14:schemeClr w14:val="tx1"/>
            </w14:solidFill>
          </w14:textFill>
        </w:rPr>
      </w:pPr>
      <w:r>
        <w:rPr>
          <w:rFonts w:hint="eastAsia" w:ascii="宋体" w:hAnsi="宋体" w:cs="宋体"/>
          <w:b/>
          <w:bCs/>
          <w:color w:val="000000" w:themeColor="text1"/>
          <w:spacing w:val="8"/>
          <w:sz w:val="24"/>
          <w:highlight w:val="none"/>
          <w14:textFill>
            <w14:solidFill>
              <w14:schemeClr w14:val="tx1"/>
            </w14:solidFill>
          </w14:textFill>
        </w:rPr>
        <w:t xml:space="preserve">十一、联系方式</w:t>
      </w:r>
      <w:r/>
    </w:p>
    <w:p>
      <w:pPr>
        <w:ind w:firstLine="480"/>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需求联系人：沈润清</w:t>
      </w:r>
      <w:r/>
    </w:p>
    <w:p>
      <w:pPr>
        <w:ind w:firstLine="480"/>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联系电话：18018070121</w:t>
      </w:r>
      <w:r/>
    </w:p>
    <w:p>
      <w:pPr>
        <w:ind w:firstLine="720"/>
        <w:spacing w:line="360" w:lineRule="auto"/>
        <w:rPr>
          <w:rFonts w:hint="eastAsia" w:ascii="宋体" w:hAnsi="宋体" w:cs="宋体"/>
          <w:color w:val="000000" w:themeColor="text1"/>
          <w:sz w:val="36"/>
          <w:szCs w:val="36"/>
          <w:highlight w:val="none"/>
          <w:lang w:val="zh-CN"/>
          <w14:textFill>
            <w14:solidFill>
              <w14:schemeClr w14:val="tx1"/>
            </w14:solidFill>
          </w14:textFill>
        </w:rPr>
      </w:pPr>
      <w:r>
        <w:rPr>
          <w:rFonts w:hint="eastAsia" w:ascii="宋体" w:hAnsi="宋体" w:cs="宋体"/>
          <w:color w:val="000000" w:themeColor="text1"/>
          <w:sz w:val="36"/>
          <w:szCs w:val="36"/>
          <w:highlight w:val="none"/>
          <w:lang w:val="zh-CN"/>
          <w14:textFill>
            <w14:solidFill>
              <w14:schemeClr w14:val="tx1"/>
            </w14:solidFill>
          </w14:textFill>
        </w:rPr>
        <w:br w:type="page" w:clear="all"/>
      </w:r>
      <w:r/>
    </w:p>
    <w:p>
      <w:pPr>
        <w:pStyle w:val="1119"/>
        <w:jc w:val="center"/>
        <w:spacing w:line="360" w:lineRule="auto"/>
        <w:rPr>
          <w:rFonts w:hint="eastAsia" w:ascii="宋体" w:hAnsi="宋体" w:cs="宋体"/>
          <w:color w:val="000000" w:themeColor="text1"/>
          <w:sz w:val="32"/>
          <w:szCs w:val="32"/>
          <w:highlight w:val="none"/>
          <w14:textFill>
            <w14:solidFill>
              <w14:schemeClr w14:val="tx1"/>
            </w14:solidFill>
          </w14:textFill>
        </w:rPr>
      </w:pPr>
      <w:r>
        <w:rPr>
          <w:rFonts w:hint="eastAsia" w:ascii="宋体" w:hAnsi="宋体" w:cs="宋体"/>
          <w:color w:val="000000" w:themeColor="text1"/>
          <w:sz w:val="36"/>
          <w:szCs w:val="36"/>
          <w:highlight w:val="none"/>
          <w:lang w:val="zh-CN"/>
          <w14:textFill>
            <w14:solidFill>
              <w14:schemeClr w14:val="tx1"/>
            </w14:solidFill>
          </w14:textFill>
        </w:rPr>
        <w:t xml:space="preserve">第五章  </w:t>
      </w:r>
      <w:bookmarkStart w:id="42" w:name="_Toc13969"/>
      <w:r>
        <w:rPr>
          <w:rFonts w:hint="eastAsia" w:ascii="宋体" w:hAnsi="宋体" w:cs="宋体"/>
          <w:color w:val="000000" w:themeColor="text1"/>
          <w:sz w:val="32"/>
          <w:szCs w:val="32"/>
          <w:highlight w:val="none"/>
          <w14:textFill>
            <w14:solidFill>
              <w14:schemeClr w14:val="tx1"/>
            </w14:solidFill>
          </w14:textFill>
        </w:rPr>
        <w:t xml:space="preserve"> </w:t>
      </w:r>
      <w:bookmarkEnd w:id="42"/>
      <w:r>
        <w:rPr>
          <w:rFonts w:hint="eastAsia" w:ascii="宋体" w:hAnsi="宋体" w:cs="宋体"/>
          <w:color w:val="000000" w:themeColor="text1"/>
          <w:sz w:val="36"/>
          <w:szCs w:val="36"/>
          <w:highlight w:val="none"/>
          <w:lang w:val="zh-CN"/>
          <w14:textFill>
            <w14:solidFill>
              <w14:schemeClr w14:val="tx1"/>
            </w14:solidFill>
          </w14:textFill>
        </w:rPr>
        <w:t xml:space="preserve">合同主要条款及格式</w:t>
      </w:r>
      <w:r/>
    </w:p>
    <w:p>
      <w:pPr>
        <w:pStyle w:val="1146"/>
        <w:jc w:val="center"/>
        <w:spacing w:before="120" w:after="120" w:line="360" w:lineRule="auto"/>
        <w:rPr>
          <w:rFonts w:hint="eastAsia" w:hAnsi="宋体" w:cs="宋体"/>
          <w:b/>
          <w:bCs/>
          <w:color w:val="000000" w:themeColor="text1"/>
          <w:sz w:val="24"/>
          <w:highlight w:val="none"/>
          <w:u w:val="single"/>
          <w14:textFill>
            <w14:solidFill>
              <w14:schemeClr w14:val="tx1"/>
            </w14:solidFill>
          </w14:textFill>
        </w:rPr>
      </w:pPr>
      <w:r>
        <w:rPr>
          <w:rFonts w:hint="eastAsia" w:hAnsi="宋体" w:cs="宋体"/>
          <w:b/>
          <w:bCs/>
          <w:color w:val="000000" w:themeColor="text1"/>
          <w:sz w:val="24"/>
          <w:highlight w:val="none"/>
          <w:u w:val="single"/>
          <w14:textFill>
            <w14:solidFill>
              <w14:schemeClr w14:val="tx1"/>
            </w14:solidFill>
          </w14:textFill>
        </w:rPr>
        <w:t xml:space="preserve">南京医科大学生物医药分中心激光粒度仪采购项目合同</w:t>
      </w:r>
      <w:r/>
    </w:p>
    <w:p>
      <w:pPr>
        <w:pStyle w:val="1146"/>
        <w:ind w:firstLine="420"/>
        <w:spacing w:before="120" w:after="120"/>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 xml:space="preserve">甲方：（买方）_________         乙方：（卖方）_________ </w:t>
      </w:r>
      <w:r/>
    </w:p>
    <w:p>
      <w:pPr>
        <w:pStyle w:val="1146"/>
        <w:ind w:firstLine="420"/>
        <w:spacing w:before="120" w:after="120"/>
        <w:rPr>
          <w:rFonts w:hint="eastAsia" w:hAnsi="宋体" w:cs="宋体"/>
          <w:color w:val="000000" w:themeColor="text1"/>
          <w:highlight w:val="none"/>
          <w:u w:val="single"/>
          <w14:textFill>
            <w14:solidFill>
              <w14:schemeClr w14:val="tx1"/>
            </w14:solidFill>
          </w14:textFill>
        </w:rPr>
      </w:pPr>
      <w:r>
        <w:rPr>
          <w:rFonts w:hint="eastAsia" w:hAnsi="宋体" w:cs="宋体"/>
          <w:color w:val="000000" w:themeColor="text1"/>
          <w:highlight w:val="none"/>
          <w14:textFill>
            <w14:solidFill>
              <w14:schemeClr w14:val="tx1"/>
            </w14:solidFill>
          </w14:textFill>
        </w:rPr>
        <w:t xml:space="preserve">法定代表人：</w:t>
      </w:r>
      <w:r>
        <w:rPr>
          <w:rFonts w:hint="eastAsia" w:hAnsi="宋体" w:cs="宋体"/>
          <w:color w:val="000000" w:themeColor="text1"/>
          <w:highlight w:val="none"/>
          <w:u w:val="single"/>
          <w14:textFill>
            <w14:solidFill>
              <w14:schemeClr w14:val="tx1"/>
            </w14:solidFill>
          </w14:textFill>
        </w:rPr>
        <w:t xml:space="preserve">          </w:t>
      </w:r>
      <w:r>
        <w:rPr>
          <w:rFonts w:hint="eastAsia" w:hAnsi="宋体" w:cs="宋体"/>
          <w:color w:val="000000" w:themeColor="text1"/>
          <w:highlight w:val="none"/>
          <w14:textFill>
            <w14:solidFill>
              <w14:schemeClr w14:val="tx1"/>
            </w14:solidFill>
          </w14:textFill>
        </w:rPr>
        <w:t xml:space="preserve">         法定代表人：</w:t>
      </w:r>
      <w:r>
        <w:rPr>
          <w:rFonts w:hint="eastAsia" w:hAnsi="宋体" w:cs="宋体"/>
          <w:color w:val="000000" w:themeColor="text1"/>
          <w:highlight w:val="none"/>
          <w:u w:val="single"/>
          <w14:textFill>
            <w14:solidFill>
              <w14:schemeClr w14:val="tx1"/>
            </w14:solidFill>
          </w14:textFill>
        </w:rPr>
        <w:t xml:space="preserve">           </w:t>
      </w:r>
      <w:r/>
    </w:p>
    <w:p>
      <w:pPr>
        <w:pStyle w:val="1146"/>
        <w:ind w:firstLine="420"/>
        <w:spacing w:before="120" w:after="120"/>
        <w:rPr>
          <w:rFonts w:hint="eastAsia" w:hAnsi="宋体" w:cs="宋体"/>
          <w:color w:val="000000" w:themeColor="text1"/>
          <w:highlight w:val="none"/>
          <w:u w:val="single"/>
          <w14:textFill>
            <w14:solidFill>
              <w14:schemeClr w14:val="tx1"/>
            </w14:solidFill>
          </w14:textFill>
        </w:rPr>
      </w:pPr>
      <w:r>
        <w:rPr>
          <w:rFonts w:hint="eastAsia" w:hAnsi="宋体" w:cs="宋体"/>
          <w:color w:val="000000" w:themeColor="text1"/>
          <w:highlight w:val="none"/>
          <w14:textFill>
            <w14:solidFill>
              <w14:schemeClr w14:val="tx1"/>
            </w14:solidFill>
          </w14:textFill>
        </w:rPr>
        <w:t xml:space="preserve">地址：</w:t>
      </w:r>
      <w:r>
        <w:rPr>
          <w:rFonts w:hint="eastAsia" w:hAnsi="宋体" w:cs="宋体"/>
          <w:color w:val="000000" w:themeColor="text1"/>
          <w:highlight w:val="none"/>
          <w:u w:val="single"/>
          <w14:textFill>
            <w14:solidFill>
              <w14:schemeClr w14:val="tx1"/>
            </w14:solidFill>
          </w14:textFill>
        </w:rPr>
        <w:t xml:space="preserve">                </w:t>
      </w:r>
      <w:r>
        <w:rPr>
          <w:rFonts w:hint="eastAsia" w:hAnsi="宋体" w:cs="宋体"/>
          <w:color w:val="000000" w:themeColor="text1"/>
          <w:highlight w:val="none"/>
          <w14:textFill>
            <w14:solidFill>
              <w14:schemeClr w14:val="tx1"/>
            </w14:solidFill>
          </w14:textFill>
        </w:rPr>
        <w:t xml:space="preserve">         地址：</w:t>
      </w:r>
      <w:r>
        <w:rPr>
          <w:rFonts w:hint="eastAsia" w:hAnsi="宋体" w:cs="宋体"/>
          <w:color w:val="000000" w:themeColor="text1"/>
          <w:highlight w:val="none"/>
          <w:u w:val="single"/>
          <w14:textFill>
            <w14:solidFill>
              <w14:schemeClr w14:val="tx1"/>
            </w14:solidFill>
          </w14:textFill>
        </w:rPr>
        <w:t xml:space="preserve">                 </w:t>
      </w:r>
      <w:r/>
    </w:p>
    <w:p>
      <w:pPr>
        <w:pStyle w:val="1146"/>
        <w:ind w:firstLine="420"/>
        <w:spacing w:before="120" w:after="120"/>
        <w:rPr>
          <w:rFonts w:hint="eastAsia" w:hAnsi="宋体" w:cs="宋体"/>
          <w:color w:val="000000" w:themeColor="text1"/>
          <w:highlight w:val="none"/>
          <w:u w:val="single"/>
          <w14:textFill>
            <w14:solidFill>
              <w14:schemeClr w14:val="tx1"/>
            </w14:solidFill>
          </w14:textFill>
        </w:rPr>
      </w:pPr>
      <w:r>
        <w:rPr>
          <w:rFonts w:hint="eastAsia" w:hAnsi="宋体" w:cs="宋体"/>
          <w:color w:val="000000" w:themeColor="text1"/>
          <w:highlight w:val="none"/>
          <w14:textFill>
            <w14:solidFill>
              <w14:schemeClr w14:val="tx1"/>
            </w14:solidFill>
          </w14:textFill>
        </w:rPr>
        <w:t xml:space="preserve">联系人：</w:t>
      </w:r>
      <w:r>
        <w:rPr>
          <w:rFonts w:hint="eastAsia" w:hAnsi="宋体" w:cs="宋体"/>
          <w:color w:val="000000" w:themeColor="text1"/>
          <w:highlight w:val="none"/>
          <w:u w:val="single"/>
          <w14:textFill>
            <w14:solidFill>
              <w14:schemeClr w14:val="tx1"/>
            </w14:solidFill>
          </w14:textFill>
        </w:rPr>
        <w:t xml:space="preserve">              </w:t>
      </w:r>
      <w:r>
        <w:rPr>
          <w:rFonts w:hint="eastAsia" w:hAnsi="宋体" w:cs="宋体"/>
          <w:color w:val="000000" w:themeColor="text1"/>
          <w:highlight w:val="none"/>
          <w14:textFill>
            <w14:solidFill>
              <w14:schemeClr w14:val="tx1"/>
            </w14:solidFill>
          </w14:textFill>
        </w:rPr>
        <w:t xml:space="preserve">         联系人：</w:t>
      </w:r>
      <w:r>
        <w:rPr>
          <w:rFonts w:hint="eastAsia" w:hAnsi="宋体" w:cs="宋体"/>
          <w:color w:val="000000" w:themeColor="text1"/>
          <w:highlight w:val="none"/>
          <w:u w:val="single"/>
          <w14:textFill>
            <w14:solidFill>
              <w14:schemeClr w14:val="tx1"/>
            </w14:solidFill>
          </w14:textFill>
        </w:rPr>
        <w:t xml:space="preserve">                </w:t>
      </w:r>
      <w:r/>
    </w:p>
    <w:p>
      <w:pPr>
        <w:pStyle w:val="1146"/>
        <w:ind w:firstLine="420"/>
        <w:spacing w:before="120" w:after="120"/>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 xml:space="preserve">联系方式：</w:t>
      </w:r>
      <w:r>
        <w:rPr>
          <w:rFonts w:hint="eastAsia" w:hAnsi="宋体" w:cs="宋体"/>
          <w:color w:val="000000" w:themeColor="text1"/>
          <w:highlight w:val="none"/>
          <w:u w:val="single"/>
          <w14:textFill>
            <w14:solidFill>
              <w14:schemeClr w14:val="tx1"/>
            </w14:solidFill>
          </w14:textFill>
        </w:rPr>
        <w:t xml:space="preserve">            </w:t>
      </w:r>
      <w:r>
        <w:rPr>
          <w:rFonts w:hint="eastAsia" w:hAnsi="宋体" w:cs="宋体"/>
          <w:color w:val="000000" w:themeColor="text1"/>
          <w:highlight w:val="none"/>
          <w14:textFill>
            <w14:solidFill>
              <w14:schemeClr w14:val="tx1"/>
            </w14:solidFill>
          </w14:textFill>
        </w:rPr>
        <w:t xml:space="preserve">         联系方式：</w:t>
      </w:r>
      <w:r>
        <w:rPr>
          <w:rFonts w:hint="eastAsia" w:hAnsi="宋体" w:cs="宋体"/>
          <w:color w:val="000000" w:themeColor="text1"/>
          <w:highlight w:val="none"/>
          <w:u w:val="single"/>
          <w14:textFill>
            <w14:solidFill>
              <w14:schemeClr w14:val="tx1"/>
            </w14:solidFill>
          </w14:textFill>
        </w:rPr>
        <w:t xml:space="preserve">             </w:t>
      </w:r>
      <w:r>
        <w:rPr>
          <w:rFonts w:hint="eastAsia" w:hAnsi="宋体" w:cs="宋体"/>
          <w:color w:val="000000" w:themeColor="text1"/>
          <w:highlight w:val="none"/>
          <w14:textFill>
            <w14:solidFill>
              <w14:schemeClr w14:val="tx1"/>
            </w14:solidFill>
          </w14:textFill>
        </w:rPr>
        <w:t xml:space="preserve">  </w:t>
      </w:r>
      <w:r/>
    </w:p>
    <w:p>
      <w:pPr>
        <w:pStyle w:val="1146"/>
        <w:ind w:firstLine="420"/>
        <w:spacing w:before="120" w:after="120"/>
        <w:rPr>
          <w:rFonts w:hint="eastAsia" w:hAnsi="宋体"/>
          <w:color w:val="000000" w:themeColor="text1"/>
          <w:sz w:val="24"/>
          <w:szCs w:val="28"/>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 xml:space="preserve">甲、乙双方根据南京医科大学 </w:t>
      </w:r>
      <w:r>
        <w:rPr>
          <w:rFonts w:hint="eastAsia" w:hAnsi="宋体" w:cs="宋体"/>
          <w:color w:val="000000" w:themeColor="text1"/>
          <w:highlight w:val="none"/>
          <w:u w:val="single"/>
          <w14:textFill>
            <w14:solidFill>
              <w14:schemeClr w14:val="tx1"/>
            </w14:solidFill>
          </w14:textFill>
        </w:rPr>
        <w:t xml:space="preserve">                    项目 </w:t>
      </w:r>
      <w:r>
        <w:rPr>
          <w:rFonts w:hint="eastAsia" w:hAnsi="宋体" w:cs="宋体"/>
          <w:color w:val="000000" w:themeColor="text1"/>
          <w:highlight w:val="none"/>
          <w14:textFill>
            <w14:solidFill>
              <w14:schemeClr w14:val="tx1"/>
            </w14:solidFill>
          </w14:textFill>
        </w:rPr>
        <w:t xml:space="preserve">公开招标的结果，本着自愿及平等互利的原则，就甲方向乙方购买本合同约定的货物事宜，签署本合同。</w:t>
      </w:r>
      <w:r/>
    </w:p>
    <w:p>
      <w:pPr>
        <w:pStyle w:val="1146"/>
        <w:ind w:firstLine="482"/>
        <w:spacing w:before="120" w:after="120" w:line="330" w:lineRule="atLeast"/>
        <w:rPr>
          <w:rFonts w:hint="eastAsia" w:hAnsi="宋体"/>
          <w:b/>
          <w:color w:val="000000" w:themeColor="text1"/>
          <w:sz w:val="24"/>
          <w:szCs w:val="24"/>
          <w:highlight w:val="none"/>
          <w14:textFill>
            <w14:solidFill>
              <w14:schemeClr w14:val="tx1"/>
            </w14:solidFill>
          </w14:textFill>
        </w:rPr>
      </w:pPr>
      <w:r>
        <w:rPr>
          <w:rFonts w:hAnsi="宋体"/>
          <w:b/>
          <w:color w:val="000000" w:themeColor="text1"/>
          <w:sz w:val="24"/>
          <w:szCs w:val="24"/>
          <w:highlight w:val="none"/>
          <w14:textFill>
            <w14:solidFill>
              <w14:schemeClr w14:val="tx1"/>
            </w14:solidFill>
          </w14:textFill>
        </w:rPr>
        <w:t xml:space="preserve">一、货物内容</w:t>
      </w:r>
      <w:r>
        <w:rPr>
          <w:rFonts w:hint="eastAsia" w:hAnsi="宋体"/>
          <w:b/>
          <w:color w:val="000000" w:themeColor="text1"/>
          <w:sz w:val="24"/>
          <w:szCs w:val="24"/>
          <w:highlight w:val="none"/>
          <w14:textFill>
            <w14:solidFill>
              <w14:schemeClr w14:val="tx1"/>
            </w14:solidFill>
          </w14:textFill>
        </w:rPr>
        <w:t xml:space="preserve">、数量及金额</w:t>
      </w:r>
      <w:r/>
    </w:p>
    <w:tbl>
      <w:tblPr>
        <w:tblStyle w:val="1129"/>
        <w:tblW w:w="5000" w:type="pct"/>
        <w:jc w:val="center"/>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3"/>
        <w:gridCol w:w="1421"/>
        <w:gridCol w:w="1002"/>
        <w:gridCol w:w="1002"/>
        <w:gridCol w:w="1002"/>
        <w:gridCol w:w="1010"/>
        <w:gridCol w:w="1580"/>
        <w:gridCol w:w="1585"/>
      </w:tblGrid>
      <w:tr>
        <w:trPr>
          <w:jc w:val="center"/>
        </w:trPr>
        <w:tc>
          <w:tcPr>
            <w:shd w:val="pct10" w:color="auto" w:fill="ffffff"/>
            <w:tcBorders>
              <w:top w:val="single" w:color="auto" w:sz="12" w:space="0"/>
              <w:left w:val="single" w:color="auto" w:sz="12" w:space="0"/>
              <w:bottom w:val="single" w:color="auto" w:sz="4" w:space="0"/>
              <w:right w:val="single" w:color="auto" w:sz="4" w:space="0"/>
            </w:tcBorders>
            <w:tcW w:w="882" w:type="dxa"/>
            <w:vAlign w:val="center"/>
            <w:textDirection w:val="lrTb"/>
            <w:noWrap w:val="false"/>
          </w:tcPr>
          <w:p>
            <w:pPr>
              <w:jc w:val="center"/>
              <w:spacing w:line="240" w:lineRule="atLeast"/>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编号</w:t>
            </w:r>
            <w:r/>
          </w:p>
        </w:tc>
        <w:tc>
          <w:tcPr>
            <w:shd w:val="pct10" w:color="auto" w:fill="ffffff"/>
            <w:tcBorders>
              <w:top w:val="single" w:color="auto" w:sz="12" w:space="0"/>
              <w:left w:val="single" w:color="auto" w:sz="4" w:space="0"/>
              <w:bottom w:val="single" w:color="auto" w:sz="4" w:space="0"/>
              <w:right w:val="single" w:color="auto" w:sz="4" w:space="0"/>
            </w:tcBorders>
            <w:tcW w:w="1262" w:type="dxa"/>
            <w:vAlign w:val="center"/>
            <w:textDirection w:val="lrTb"/>
            <w:noWrap w:val="false"/>
          </w:tcPr>
          <w:p>
            <w:pPr>
              <w:jc w:val="center"/>
              <w:spacing w:line="240" w:lineRule="atLeast"/>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货物名称</w:t>
            </w:r>
            <w:r/>
          </w:p>
        </w:tc>
        <w:tc>
          <w:tcPr>
            <w:shd w:val="pct10" w:color="auto" w:fill="ffffff"/>
            <w:tcBorders>
              <w:top w:val="single" w:color="auto" w:sz="12" w:space="0"/>
              <w:left w:val="single" w:color="auto" w:sz="4" w:space="0"/>
              <w:bottom w:val="single" w:color="auto" w:sz="4" w:space="0"/>
              <w:right w:val="single" w:color="auto" w:sz="4" w:space="0"/>
            </w:tcBorders>
            <w:tcW w:w="890" w:type="dxa"/>
            <w:vAlign w:val="center"/>
            <w:textDirection w:val="lrTb"/>
            <w:noWrap w:val="false"/>
          </w:tcPr>
          <w:p>
            <w:pPr>
              <w:jc w:val="center"/>
              <w:spacing w:line="240" w:lineRule="atLeast"/>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品牌</w:t>
            </w:r>
            <w:r/>
          </w:p>
        </w:tc>
        <w:tc>
          <w:tcPr>
            <w:shd w:val="pct10" w:color="auto" w:fill="ffffff"/>
            <w:tcBorders>
              <w:top w:val="single" w:color="auto" w:sz="12" w:space="0"/>
              <w:left w:val="single" w:color="auto" w:sz="4" w:space="0"/>
              <w:bottom w:val="single" w:color="auto" w:sz="4" w:space="0"/>
              <w:right w:val="single" w:color="auto" w:sz="4" w:space="0"/>
            </w:tcBorders>
            <w:tcW w:w="890" w:type="dxa"/>
            <w:vAlign w:val="center"/>
            <w:textDirection w:val="lrTb"/>
            <w:noWrap w:val="false"/>
          </w:tcPr>
          <w:p>
            <w:pPr>
              <w:jc w:val="center"/>
              <w:spacing w:line="240" w:lineRule="atLeast"/>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型号</w:t>
            </w:r>
            <w:r/>
          </w:p>
        </w:tc>
        <w:tc>
          <w:tcPr>
            <w:shd w:val="pct10" w:color="auto" w:fill="ffffff"/>
            <w:tcBorders>
              <w:top w:val="single" w:color="auto" w:sz="12" w:space="0"/>
              <w:left w:val="single" w:color="auto" w:sz="4" w:space="0"/>
              <w:bottom w:val="single" w:color="auto" w:sz="4" w:space="0"/>
              <w:right w:val="single" w:color="auto" w:sz="4" w:space="0"/>
            </w:tcBorders>
            <w:tcW w:w="890" w:type="dxa"/>
            <w:vAlign w:val="center"/>
            <w:textDirection w:val="lrTb"/>
            <w:noWrap w:val="false"/>
          </w:tcPr>
          <w:p>
            <w:pPr>
              <w:jc w:val="center"/>
              <w:spacing w:line="240" w:lineRule="atLeast"/>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制造商和国别</w:t>
            </w:r>
            <w:r/>
          </w:p>
        </w:tc>
        <w:tc>
          <w:tcPr>
            <w:shd w:val="pct10" w:color="auto" w:fill="ffffff"/>
            <w:tcBorders>
              <w:top w:val="single" w:color="auto" w:sz="12" w:space="0"/>
              <w:left w:val="single" w:color="auto" w:sz="4" w:space="0"/>
              <w:bottom w:val="single" w:color="auto" w:sz="4" w:space="0"/>
              <w:right w:val="single" w:color="auto" w:sz="4" w:space="0"/>
            </w:tcBorders>
            <w:tcW w:w="897" w:type="dxa"/>
            <w:vAlign w:val="center"/>
            <w:textDirection w:val="lrTb"/>
            <w:noWrap w:val="false"/>
          </w:tcPr>
          <w:p>
            <w:pPr>
              <w:jc w:val="center"/>
              <w:spacing w:line="240" w:lineRule="atLeast"/>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数量</w:t>
            </w:r>
            <w:r/>
          </w:p>
        </w:tc>
        <w:tc>
          <w:tcPr>
            <w:shd w:val="pct10" w:color="auto" w:fill="ffffff"/>
            <w:tcBorders>
              <w:top w:val="single" w:color="auto" w:sz="12" w:space="0"/>
              <w:left w:val="single" w:color="auto" w:sz="4" w:space="0"/>
              <w:bottom w:val="single" w:color="auto" w:sz="4" w:space="0"/>
              <w:right w:val="single" w:color="auto" w:sz="4" w:space="0"/>
            </w:tcBorders>
            <w:tcW w:w="1403" w:type="dxa"/>
            <w:vAlign w:val="center"/>
            <w:textDirection w:val="lrTb"/>
            <w:noWrap w:val="false"/>
          </w:tcPr>
          <w:p>
            <w:pPr>
              <w:jc w:val="center"/>
              <w:spacing w:line="240" w:lineRule="atLeast"/>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单价（元）</w:t>
            </w:r>
            <w:r/>
          </w:p>
        </w:tc>
        <w:tc>
          <w:tcPr>
            <w:shd w:val="pct10" w:color="auto" w:fill="ffffff"/>
            <w:tcBorders>
              <w:top w:val="single" w:color="auto" w:sz="12" w:space="0"/>
              <w:left w:val="single" w:color="auto" w:sz="4" w:space="0"/>
              <w:bottom w:val="single" w:color="auto" w:sz="4" w:space="0"/>
              <w:right w:val="single" w:color="auto" w:sz="12" w:space="0"/>
            </w:tcBorders>
            <w:tcW w:w="1408" w:type="dxa"/>
            <w:vAlign w:val="center"/>
            <w:textDirection w:val="lrTb"/>
            <w:noWrap w:val="false"/>
          </w:tcPr>
          <w:p>
            <w:pP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总价（元）</w:t>
            </w:r>
            <w:r/>
          </w:p>
        </w:tc>
      </w:tr>
      <w:tr>
        <w:trPr>
          <w:jc w:val="center"/>
        </w:trPr>
        <w:tc>
          <w:tcPr>
            <w:tcBorders>
              <w:top w:val="single" w:color="auto" w:sz="4" w:space="0"/>
              <w:left w:val="single" w:color="auto" w:sz="12" w:space="0"/>
              <w:bottom w:val="single" w:color="auto" w:sz="4" w:space="0"/>
              <w:right w:val="single" w:color="auto" w:sz="4" w:space="0"/>
            </w:tcBorders>
            <w:tcW w:w="882" w:type="dxa"/>
            <w:vAlign w:val="center"/>
            <w:textDirection w:val="lrTb"/>
            <w:noWrap w:val="false"/>
          </w:tcPr>
          <w:p>
            <w:pPr>
              <w:jc w:val="center"/>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ind w:firstLine="103"/>
              <w:jc w:val="center"/>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jc w:val="center"/>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03" w:type="dxa"/>
            <w:vAlign w:val="center"/>
            <w:textDirection w:val="lrTb"/>
            <w:noWrap w:val="false"/>
          </w:tcPr>
          <w:p>
            <w:pPr>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12" w:space="0"/>
            </w:tcBorders>
            <w:tcW w:w="1408" w:type="dxa"/>
            <w:vAlign w:val="center"/>
            <w:textDirection w:val="lrTb"/>
            <w:noWrap w:val="false"/>
          </w:tcPr>
          <w:p>
            <w:pPr>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jc w:val="center"/>
        </w:trPr>
        <w:tc>
          <w:tcPr>
            <w:tcBorders>
              <w:top w:val="single" w:color="auto" w:sz="4" w:space="0"/>
              <w:left w:val="single" w:color="auto" w:sz="12" w:space="0"/>
              <w:bottom w:val="single" w:color="auto" w:sz="4" w:space="0"/>
              <w:right w:val="single" w:color="auto" w:sz="4" w:space="0"/>
            </w:tcBorders>
            <w:tcW w:w="882" w:type="dxa"/>
            <w:vAlign w:val="center"/>
            <w:textDirection w:val="lrTb"/>
            <w:noWrap w:val="false"/>
          </w:tcPr>
          <w:p>
            <w:pPr>
              <w:jc w:val="center"/>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ind w:firstLine="103"/>
              <w:jc w:val="center"/>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jc w:val="center"/>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03" w:type="dxa"/>
            <w:vAlign w:val="center"/>
            <w:textDirection w:val="lrTb"/>
            <w:noWrap w:val="false"/>
          </w:tcPr>
          <w:p>
            <w:pPr>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12" w:space="0"/>
            </w:tcBorders>
            <w:tcW w:w="1408" w:type="dxa"/>
            <w:vAlign w:val="center"/>
            <w:textDirection w:val="lrTb"/>
            <w:noWrap w:val="false"/>
          </w:tcPr>
          <w:p>
            <w:pPr>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jc w:val="center"/>
          <w:trHeight w:val="90"/>
        </w:trPr>
        <w:tc>
          <w:tcPr>
            <w:gridSpan w:val="8"/>
            <w:tcBorders>
              <w:top w:val="single" w:color="auto" w:sz="4" w:space="0"/>
              <w:left w:val="single" w:color="auto" w:sz="12" w:space="0"/>
              <w:bottom w:val="single" w:color="auto" w:sz="4" w:space="0"/>
              <w:right w:val="single" w:color="auto" w:sz="12" w:space="0"/>
            </w:tcBorders>
            <w:tcW w:w="8522" w:type="dxa"/>
            <w:vAlign w:val="center"/>
            <w:textDirection w:val="lrTb"/>
            <w:noWrap w:val="false"/>
          </w:tcPr>
          <w:p>
            <w:pPr>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总价（人民币大写）：                         </w:t>
            </w:r>
            <w:r>
              <w:rPr>
                <w:rFonts w:hint="eastAsia" w:ascii="宋体" w:hAnsi="宋体" w:cs="宋体"/>
                <w:color w:val="000000" w:themeColor="text1"/>
                <w:szCs w:val="21"/>
                <w:highlight w:val="none"/>
                <w14:textFill>
                  <w14:solidFill>
                    <w14:schemeClr w14:val="tx1"/>
                  </w14:solidFill>
                </w14:textFill>
              </w:rPr>
              <w:t xml:space="preserve">合计（小写）：</w:t>
            </w:r>
            <w:r/>
          </w:p>
          <w:p>
            <w:pPr>
              <w:jc w:val="center"/>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jc w:val="center"/>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jc w:val="center"/>
        </w:trPr>
        <w:tc>
          <w:tcPr>
            <w:gridSpan w:val="8"/>
            <w:tcBorders>
              <w:top w:val="single" w:color="auto" w:sz="4" w:space="0"/>
              <w:left w:val="single" w:color="auto" w:sz="12" w:space="0"/>
              <w:bottom w:val="single" w:color="auto" w:sz="12" w:space="0"/>
              <w:right w:val="single" w:color="auto" w:sz="12" w:space="0"/>
            </w:tcBorders>
            <w:tcW w:w="8522" w:type="dxa"/>
            <w:vAlign w:val="center"/>
            <w:textDirection w:val="lrTb"/>
            <w:noWrap w:val="false"/>
          </w:tcPr>
          <w:p>
            <w:pPr>
              <w:spacing w:line="300" w:lineRule="exact"/>
              <w:rPr>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说</w:t>
            </w:r>
            <w:r>
              <w:rPr>
                <w:color w:val="000000" w:themeColor="text1"/>
                <w:szCs w:val="21"/>
                <w:highlight w:val="none"/>
                <w14:textFill>
                  <w14:solidFill>
                    <w14:schemeClr w14:val="tx1"/>
                  </w14:solidFill>
                </w14:textFill>
              </w:rPr>
              <w:t xml:space="preserve">说明：</w:t>
            </w:r>
            <w:r/>
          </w:p>
          <w:p>
            <w:pPr>
              <w:spacing w:line="3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1、本合同总价款涵盖货物从设计、制造、包装、仓储、运输、安装直至验收合格之前的全部含税费用，以及保修期内备品备件相关的所有含税费用。乙方依约应提供的伴随服务及售后服务所涉费用，亦包含在本合同总价款内 。</w:t>
            </w:r>
            <w:r/>
          </w:p>
          <w:p>
            <w:pPr>
              <w:spacing w:line="3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此外，</w:t>
            </w:r>
            <w:r/>
          </w:p>
          <w:p>
            <w:pPr>
              <w:spacing w:line="3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（1）若合同在履行过程中因国家政策调整，不在进口货物免税清单内，加征的关税亦包含在本合同总价款中。</w:t>
            </w:r>
            <w:r/>
          </w:p>
          <w:p>
            <w:pPr>
              <w:spacing w:line="3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2）若货物且在国务院关税税则委员会公告的加征关税商品清单范围内，加征的关税亦包含在本合同总价款中。因乙方自身原因导致本合同项下进口货物被加征、补征的一切关税、滞纳金、罚款等，均由乙方承担，甲方有权从履约保证金中直接抵扣。</w:t>
            </w:r>
            <w:r/>
          </w:p>
          <w:p>
            <w:pPr>
              <w:spacing w:line="3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以上两种情况，甲方按照采购合同约定的付款方式支付给委托的外贸公司后，甲方即完成向乙方付款义务，乙方不得再向甲方追索本项目款项。</w:t>
            </w:r>
            <w:r/>
          </w:p>
          <w:p>
            <w:pPr>
              <w:spacing w:line="3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2、采购人已通过招标方式确定了为其办理进口手续的外贸代理服务供应商。若该项目下的进口设备需要办理相关进口手续，则须由采购人指定的外贸代理服务供应商办理，否则由此产生的一切责任及后果均由中标供应商自行承担。</w:t>
            </w:r>
            <w:r/>
          </w:p>
          <w:p>
            <w:pPr>
              <w:spacing w:line="300" w:lineRule="exact"/>
              <w:rPr>
                <w:rFonts w:hint="eastAsia" w:ascii="宋体" w:hAnsi="宋体" w:cs="宋体"/>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该外贸代理进口包干费用包含：银行费用、报关费用等进口相关费用，但是货款、税款除外。具体收费标准根据采购人与指定的外贸代理服务供应商签署的《南京医科大学进口产品委托代理服务协议》中约定的外贸代理费率执行。</w:t>
            </w:r>
            <w:r/>
          </w:p>
        </w:tc>
      </w:tr>
    </w:tbl>
    <w:p>
      <w:pPr>
        <w:pStyle w:val="1146"/>
        <w:ind w:firstLine="482"/>
        <w:spacing w:before="120" w:after="120" w:line="360" w:lineRule="auto"/>
        <w:rPr>
          <w:rFonts w:hint="eastAsia" w:hAnsi="宋体"/>
          <w:b/>
          <w:color w:val="000000" w:themeColor="text1"/>
          <w:sz w:val="24"/>
          <w:szCs w:val="24"/>
          <w:highlight w:val="none"/>
          <w14:textFill>
            <w14:solidFill>
              <w14:schemeClr w14:val="tx1"/>
            </w14:solidFill>
          </w14:textFill>
        </w:rPr>
      </w:pPr>
      <w:r>
        <w:rPr>
          <w:rFonts w:hAnsi="宋体"/>
          <w:b/>
          <w:color w:val="000000" w:themeColor="text1"/>
          <w:sz w:val="24"/>
          <w:szCs w:val="24"/>
          <w:highlight w:val="none"/>
          <w14:textFill>
            <w14:solidFill>
              <w14:schemeClr w14:val="tx1"/>
            </w14:solidFill>
          </w14:textFill>
        </w:rPr>
        <w:t xml:space="preserve">二、</w:t>
      </w:r>
      <w:r>
        <w:rPr>
          <w:rFonts w:hint="eastAsia" w:hAnsi="宋体"/>
          <w:b/>
          <w:color w:val="000000" w:themeColor="text1"/>
          <w:sz w:val="24"/>
          <w:szCs w:val="24"/>
          <w:highlight w:val="none"/>
          <w14:textFill>
            <w14:solidFill>
              <w14:schemeClr w14:val="tx1"/>
            </w14:solidFill>
          </w14:textFill>
        </w:rPr>
        <w:t xml:space="preserve">结算方式</w:t>
      </w:r>
      <w:r/>
    </w:p>
    <w:p>
      <w:pPr>
        <w:pStyle w:val="1146"/>
        <w:ind w:firstLine="480"/>
        <w:spacing w:before="120" w:after="120" w:line="360" w:lineRule="auto"/>
        <w:rPr>
          <w:rFonts w:hint="eastAsia" w:hAnsi="宋体"/>
          <w:color w:val="000000" w:themeColor="text1"/>
          <w:sz w:val="24"/>
          <w:szCs w:val="28"/>
          <w:highlight w:val="none"/>
          <w14:textFill>
            <w14:solidFill>
              <w14:schemeClr w14:val="tx1"/>
            </w14:solidFill>
          </w14:textFill>
        </w:rPr>
      </w:pPr>
      <w:r>
        <w:rPr>
          <w:rFonts w:hAnsi="宋体"/>
          <w:color w:val="000000" w:themeColor="text1"/>
          <w:sz w:val="24"/>
          <w:szCs w:val="28"/>
          <w:highlight w:val="none"/>
          <w14:textFill>
            <w14:solidFill>
              <w14:schemeClr w14:val="tx1"/>
            </w14:solidFill>
          </w14:textFill>
        </w:rPr>
        <w:t xml:space="preserve">2.1结算方式：</w:t>
      </w:r>
      <w:r/>
    </w:p>
    <w:p>
      <w:pPr>
        <w:ind w:firstLine="420"/>
        <w:spacing w:line="360" w:lineRule="auto"/>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1、国产设备：货物交付、安装、调试且通过验收后一周内（遇寒暑假和法定节假日顺延），学校支付合同总金额的100%，付款之前需收到中标供应商开具的合法有效的相应全额发票。</w:t>
      </w:r>
      <w:r/>
    </w:p>
    <w:p>
      <w:pPr>
        <w:ind w:firstLine="420"/>
        <w:spacing w:line="360" w:lineRule="auto"/>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2、进口设备：</w:t>
      </w:r>
      <w:r/>
    </w:p>
    <w:p>
      <w:pPr>
        <w:ind w:firstLine="420"/>
        <w:spacing w:line="360" w:lineRule="auto"/>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（1）合同签订后，外贸代理公司提供受益人为南京医科大学的100%合同金额的预付款银行保函，保函有效期为</w:t>
      </w:r>
      <w:r>
        <w:rPr>
          <w:rFonts w:hint="eastAsia" w:ascii="宋体" w:hAnsi="宋体" w:cs="宋体"/>
          <w:color w:val="000000" w:themeColor="text1"/>
          <w:sz w:val="24"/>
          <w:highlight w:val="none"/>
          <w:u w:val="single"/>
          <w:lang w:val="zh-CN"/>
          <w14:textFill>
            <w14:solidFill>
              <w14:schemeClr w14:val="tx1"/>
            </w14:solidFill>
          </w14:textFill>
        </w:rPr>
        <w:t xml:space="preserve">     </w:t>
      </w:r>
      <w:r>
        <w:rPr>
          <w:rFonts w:hint="eastAsia" w:ascii="宋体" w:hAnsi="宋体" w:cs="宋体"/>
          <w:color w:val="000000" w:themeColor="text1"/>
          <w:sz w:val="24"/>
          <w:highlight w:val="none"/>
          <w:lang w:val="zh-CN"/>
          <w14:textFill>
            <w14:solidFill>
              <w14:schemeClr w14:val="tx1"/>
            </w14:solidFill>
          </w14:textFill>
        </w:rPr>
        <w:t xml:space="preserve">天（供货期＋2个月），银行保函服务费由中标单位承担。</w:t>
      </w:r>
      <w:r/>
    </w:p>
    <w:p>
      <w:pPr>
        <w:ind w:firstLine="420"/>
        <w:spacing w:line="360" w:lineRule="auto"/>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（2）外贸代理公司收到100%货款后按照合同办理相关进口手续，货到验收合格后由学校通知外贸代理公司一周内开具合法有效的全额发票，并支付100%货款至境外厂家。</w:t>
      </w:r>
      <w:r/>
    </w:p>
    <w:p>
      <w:pPr>
        <w:pStyle w:val="1146"/>
        <w:ind w:firstLine="480"/>
        <w:spacing w:line="360" w:lineRule="auto"/>
        <w:rPr>
          <w:rFonts w:hint="eastAsia" w:hAnsi="宋体"/>
          <w:color w:val="000000" w:themeColor="text1"/>
          <w:sz w:val="24"/>
          <w:szCs w:val="28"/>
          <w:highlight w:val="none"/>
          <w14:textFill>
            <w14:solidFill>
              <w14:schemeClr w14:val="tx1"/>
            </w14:solidFill>
          </w14:textFill>
        </w:rPr>
      </w:pPr>
      <w:r>
        <w:rPr>
          <w:rFonts w:hint="eastAsia" w:hAnsi="宋体"/>
          <w:color w:val="000000" w:themeColor="text1"/>
          <w:sz w:val="24"/>
          <w:szCs w:val="28"/>
          <w:highlight w:val="none"/>
          <w14:textFill>
            <w14:solidFill>
              <w14:schemeClr w14:val="tx1"/>
            </w14:solidFill>
          </w14:textFill>
        </w:rPr>
        <w:t xml:space="preserve">2.2履约保证金（根据招标文件要求选用）</w:t>
      </w:r>
      <w:r/>
    </w:p>
    <w:p>
      <w:pPr>
        <w:pStyle w:val="1146"/>
        <w:ind w:firstLine="480"/>
        <w:spacing w:line="360" w:lineRule="auto"/>
        <w:rPr>
          <w:rFonts w:hint="eastAsia" w:hAnsi="宋体"/>
          <w:i/>
          <w:iCs/>
          <w:color w:val="000000" w:themeColor="text1"/>
          <w:sz w:val="24"/>
          <w:szCs w:val="28"/>
          <w:highlight w:val="none"/>
          <w14:textFill>
            <w14:solidFill>
              <w14:schemeClr w14:val="tx1"/>
            </w14:solidFill>
          </w14:textFill>
        </w:rPr>
      </w:pPr>
      <w:r>
        <w:rPr>
          <w:rFonts w:ascii="Wingdings 2" w:hAnsi="Wingdings 2" w:eastAsia="Wingdings 2" w:cs="Wingdings 2"/>
          <w:i/>
          <w:iCs/>
          <w:color w:val="000000" w:themeColor="text1"/>
          <w:sz w:val="24"/>
          <w:szCs w:val="28"/>
          <w:highlight w:val="none"/>
          <w14:textFill>
            <w14:solidFill>
              <w14:schemeClr w14:val="tx1"/>
            </w14:solidFill>
          </w14:textFill>
        </w:rPr>
        <w:t xml:space="preserve">£</w:t>
      </w:r>
      <w:r>
        <w:rPr>
          <w:rFonts w:hint="eastAsia" w:hAnsi="宋体"/>
          <w:i/>
          <w:iCs/>
          <w:color w:val="000000" w:themeColor="text1"/>
          <w:sz w:val="24"/>
          <w:szCs w:val="28"/>
          <w:highlight w:val="none"/>
          <w14:textFill>
            <w14:solidFill>
              <w14:schemeClr w14:val="tx1"/>
            </w14:solidFill>
          </w14:textFill>
        </w:rPr>
        <w:t xml:space="preserve">本项目不需要缴纳履约保证金。</w:t>
      </w:r>
      <w:r/>
    </w:p>
    <w:p>
      <w:pPr>
        <w:pStyle w:val="1146"/>
        <w:ind w:firstLine="480"/>
        <w:spacing w:line="360" w:lineRule="auto"/>
        <w:rPr>
          <w:rFonts w:hint="eastAsia" w:hAnsi="宋体"/>
          <w:i/>
          <w:iCs/>
          <w:color w:val="000000" w:themeColor="text1"/>
          <w:sz w:val="24"/>
          <w:szCs w:val="28"/>
          <w:highlight w:val="none"/>
          <w14:textFill>
            <w14:solidFill>
              <w14:schemeClr w14:val="tx1"/>
            </w14:solidFill>
          </w14:textFill>
        </w:rPr>
      </w:pPr>
      <w:r>
        <w:rPr>
          <w:rFonts w:ascii="Wingdings 2" w:hAnsi="Wingdings 2" w:eastAsia="Wingdings 2" w:cs="Wingdings 2"/>
          <w:i/>
          <w:iCs/>
          <w:color w:val="000000" w:themeColor="text1"/>
          <w:sz w:val="24"/>
          <w:szCs w:val="28"/>
          <w:highlight w:val="none"/>
          <w14:textFill>
            <w14:solidFill>
              <w14:schemeClr w14:val="tx1"/>
            </w14:solidFill>
          </w14:textFill>
        </w:rPr>
        <w:t xml:space="preserve">£</w:t>
      </w:r>
      <w:r>
        <w:rPr>
          <w:rFonts w:hint="eastAsia" w:hAnsi="宋体"/>
          <w:i/>
          <w:iCs/>
          <w:color w:val="000000" w:themeColor="text1"/>
          <w:sz w:val="24"/>
          <w:szCs w:val="28"/>
          <w:highlight w:val="none"/>
          <w14:textFill>
            <w14:solidFill>
              <w14:schemeClr w14:val="tx1"/>
            </w14:solidFill>
          </w14:textFill>
        </w:rPr>
        <w:t xml:space="preserve">本项目需要缴纳履约保证金，具体要求如下：</w:t>
      </w:r>
      <w:r/>
    </w:p>
    <w:p>
      <w:pPr>
        <w:pStyle w:val="1146"/>
        <w:ind w:firstLine="480"/>
        <w:spacing w:line="360" w:lineRule="auto"/>
        <w:rPr>
          <w:rFonts w:hint="eastAsia" w:hAnsi="宋体"/>
          <w:color w:val="000000" w:themeColor="text1"/>
          <w:sz w:val="24"/>
          <w:szCs w:val="28"/>
          <w:highlight w:val="none"/>
          <w14:textFill>
            <w14:solidFill>
              <w14:schemeClr w14:val="tx1"/>
            </w14:solidFill>
          </w14:textFill>
        </w:rPr>
      </w:pPr>
      <w:r>
        <w:rPr>
          <w:rFonts w:hint="eastAsia" w:hAnsi="宋体"/>
          <w:color w:val="000000" w:themeColor="text1"/>
          <w:sz w:val="24"/>
          <w:szCs w:val="28"/>
          <w:highlight w:val="none"/>
          <w14:textFill>
            <w14:solidFill>
              <w14:schemeClr w14:val="tx1"/>
            </w14:solidFill>
          </w14:textFill>
        </w:rPr>
        <w:t xml:space="preserve">（1）供应商中标后7个工作日内，将中标合同金额10%的履约保证金以银行对公转账形式支付至甲方指定账户，并将加盖单位公章的银行回执单或网银截图递交至甲方，甲方凭付款凭证及到款情况办理合同签订相关手续。</w:t>
      </w:r>
      <w:r/>
    </w:p>
    <w:p>
      <w:pPr>
        <w:pStyle w:val="1146"/>
        <w:ind w:firstLine="480"/>
        <w:spacing w:line="360" w:lineRule="auto"/>
        <w:rPr>
          <w:rFonts w:hint="eastAsia" w:hAnsi="宋体"/>
          <w:color w:val="000000" w:themeColor="text1"/>
          <w:sz w:val="24"/>
          <w:szCs w:val="28"/>
          <w:highlight w:val="none"/>
          <w14:textFill>
            <w14:solidFill>
              <w14:schemeClr w14:val="tx1"/>
            </w14:solidFill>
          </w14:textFill>
        </w:rPr>
      </w:pPr>
      <w:r>
        <w:rPr>
          <w:rFonts w:hint="eastAsia" w:hAnsi="宋体"/>
          <w:color w:val="000000" w:themeColor="text1"/>
          <w:sz w:val="24"/>
          <w:szCs w:val="28"/>
          <w:highlight w:val="none"/>
          <w14:textFill>
            <w14:solidFill>
              <w14:schemeClr w14:val="tx1"/>
            </w14:solidFill>
          </w14:textFill>
        </w:rPr>
        <w:t xml:space="preserve">南京医科大学指定账户信息具体如下：</w:t>
      </w:r>
      <w:r/>
    </w:p>
    <w:p>
      <w:pPr>
        <w:pStyle w:val="1146"/>
        <w:ind w:firstLine="480"/>
        <w:spacing w:line="360" w:lineRule="auto"/>
        <w:rPr>
          <w:rFonts w:hint="eastAsia" w:hAnsi="宋体"/>
          <w:color w:val="000000" w:themeColor="text1"/>
          <w:sz w:val="24"/>
          <w:szCs w:val="28"/>
          <w:highlight w:val="none"/>
          <w14:textFill>
            <w14:solidFill>
              <w14:schemeClr w14:val="tx1"/>
            </w14:solidFill>
          </w14:textFill>
        </w:rPr>
      </w:pPr>
      <w:r>
        <w:rPr>
          <w:rFonts w:hint="eastAsia" w:hAnsi="宋体"/>
          <w:color w:val="000000" w:themeColor="text1"/>
          <w:sz w:val="24"/>
          <w:szCs w:val="28"/>
          <w:highlight w:val="none"/>
          <w14:textFill>
            <w14:solidFill>
              <w14:schemeClr w14:val="tx1"/>
            </w14:solidFill>
          </w14:textFill>
        </w:rPr>
        <w:t xml:space="preserve">单位名称：南京医科大学</w:t>
      </w:r>
      <w:r/>
    </w:p>
    <w:p>
      <w:pPr>
        <w:pStyle w:val="1146"/>
        <w:ind w:firstLine="480"/>
        <w:spacing w:line="360" w:lineRule="auto"/>
        <w:rPr>
          <w:rFonts w:hint="eastAsia" w:hAnsi="宋体"/>
          <w:color w:val="000000" w:themeColor="text1"/>
          <w:sz w:val="24"/>
          <w:szCs w:val="28"/>
          <w:highlight w:val="none"/>
          <w14:textFill>
            <w14:solidFill>
              <w14:schemeClr w14:val="tx1"/>
            </w14:solidFill>
          </w14:textFill>
        </w:rPr>
      </w:pPr>
      <w:r>
        <w:rPr>
          <w:rFonts w:hint="eastAsia" w:hAnsi="宋体"/>
          <w:color w:val="000000" w:themeColor="text1"/>
          <w:sz w:val="24"/>
          <w:szCs w:val="28"/>
          <w:highlight w:val="none"/>
          <w14:textFill>
            <w14:solidFill>
              <w14:schemeClr w14:val="tx1"/>
            </w14:solidFill>
          </w14:textFill>
        </w:rPr>
        <w:t xml:space="preserve">开 户 行：南京市工行汉中门支行                          </w:t>
      </w:r>
      <w:r/>
    </w:p>
    <w:p>
      <w:pPr>
        <w:pStyle w:val="1146"/>
        <w:ind w:firstLine="480"/>
        <w:spacing w:line="360" w:lineRule="auto"/>
        <w:rPr>
          <w:rFonts w:hint="eastAsia" w:hAnsi="宋体"/>
          <w:color w:val="000000" w:themeColor="text1"/>
          <w:sz w:val="24"/>
          <w:szCs w:val="28"/>
          <w:highlight w:val="none"/>
          <w14:textFill>
            <w14:solidFill>
              <w14:schemeClr w14:val="tx1"/>
            </w14:solidFill>
          </w14:textFill>
        </w:rPr>
      </w:pPr>
      <w:r>
        <w:rPr>
          <w:rFonts w:hint="eastAsia" w:hAnsi="宋体"/>
          <w:color w:val="000000" w:themeColor="text1"/>
          <w:sz w:val="24"/>
          <w:szCs w:val="28"/>
          <w:highlight w:val="none"/>
          <w14:textFill>
            <w14:solidFill>
              <w14:schemeClr w14:val="tx1"/>
            </w14:solidFill>
          </w14:textFill>
        </w:rPr>
        <w:t xml:space="preserve">账    号：4301010109001038622</w:t>
      </w:r>
      <w:r/>
    </w:p>
    <w:p>
      <w:pPr>
        <w:pStyle w:val="1146"/>
        <w:ind w:firstLine="480"/>
        <w:spacing w:line="360" w:lineRule="auto"/>
        <w:rPr>
          <w:rFonts w:hint="eastAsia" w:hAnsi="宋体"/>
          <w:color w:val="000000" w:themeColor="text1"/>
          <w:sz w:val="24"/>
          <w:szCs w:val="28"/>
          <w:highlight w:val="none"/>
          <w14:textFill>
            <w14:solidFill>
              <w14:schemeClr w14:val="tx1"/>
            </w14:solidFill>
          </w14:textFill>
        </w:rPr>
      </w:pPr>
      <w:r>
        <w:rPr>
          <w:rFonts w:hint="eastAsia" w:hAnsi="宋体"/>
          <w:color w:val="000000" w:themeColor="text1"/>
          <w:sz w:val="24"/>
          <w:szCs w:val="28"/>
          <w:highlight w:val="none"/>
          <w14:textFill>
            <w14:solidFill>
              <w14:schemeClr w14:val="tx1"/>
            </w14:solidFill>
          </w14:textFill>
        </w:rPr>
        <w:t xml:space="preserve">注：请在转账时备注“项目名称+履约保证保金”字样。</w:t>
      </w:r>
      <w:r/>
    </w:p>
    <w:p>
      <w:pPr>
        <w:pStyle w:val="1146"/>
        <w:ind w:firstLine="480"/>
        <w:spacing w:line="360" w:lineRule="auto"/>
        <w:rPr>
          <w:rFonts w:hint="eastAsia" w:hAnsi="宋体"/>
          <w:color w:val="000000" w:themeColor="text1"/>
          <w:sz w:val="24"/>
          <w:szCs w:val="28"/>
          <w:highlight w:val="none"/>
          <w14:textFill>
            <w14:solidFill>
              <w14:schemeClr w14:val="tx1"/>
            </w14:solidFill>
          </w14:textFill>
        </w:rPr>
      </w:pPr>
      <w:r>
        <w:rPr>
          <w:rFonts w:hint="eastAsia" w:hAnsi="宋体"/>
          <w:color w:val="000000" w:themeColor="text1"/>
          <w:sz w:val="24"/>
          <w:szCs w:val="28"/>
          <w:highlight w:val="none"/>
          <w14:textFill>
            <w14:solidFill>
              <w14:schemeClr w14:val="tx1"/>
            </w14:solidFill>
          </w14:textFill>
        </w:rPr>
        <w:t xml:space="preserve">（2）合同履行过程中，若经甲方核实存在货物质量问题或乙方违约情形，甲方有权在通知乙方后，从履约保证金中抵扣相应的补偿或赔偿款项。</w:t>
      </w:r>
      <w:r/>
    </w:p>
    <w:p>
      <w:pPr>
        <w:pStyle w:val="1146"/>
        <w:ind w:firstLine="480"/>
        <w:spacing w:line="360" w:lineRule="auto"/>
        <w:rPr>
          <w:rFonts w:hint="eastAsia" w:hAnsi="宋体"/>
          <w:color w:val="000000" w:themeColor="text1"/>
          <w:sz w:val="24"/>
          <w:szCs w:val="28"/>
          <w:highlight w:val="none"/>
          <w14:textFill>
            <w14:solidFill>
              <w14:schemeClr w14:val="tx1"/>
            </w14:solidFill>
          </w14:textFill>
        </w:rPr>
      </w:pPr>
      <w:r>
        <w:rPr>
          <w:rFonts w:hint="eastAsia" w:hAnsi="宋体"/>
          <w:color w:val="000000" w:themeColor="text1"/>
          <w:sz w:val="24"/>
          <w:szCs w:val="28"/>
          <w:highlight w:val="none"/>
          <w14:textFill>
            <w14:solidFill>
              <w14:schemeClr w14:val="tx1"/>
            </w14:solidFill>
          </w14:textFill>
        </w:rPr>
        <w:t xml:space="preserve">（3）履约保证金退还流程：自货物验收合格之日起12个月后，乙方可向甲方出具货物最终验收单，并同步提交填写完整的《履约保证金退还申请单》。经最终用户签字确认，核实无质量问题且乙方无违约情形后，甲方于确认完成后一个月内，将履约保证金一次性无息退还乙方。</w:t>
      </w:r>
      <w:r/>
    </w:p>
    <w:p>
      <w:pPr>
        <w:pStyle w:val="1146"/>
        <w:ind w:firstLine="480"/>
        <w:spacing w:line="360" w:lineRule="auto"/>
        <w:rPr>
          <w:rFonts w:hint="eastAsia" w:hAnsi="宋体"/>
          <w:color w:val="000000" w:themeColor="text1"/>
          <w:sz w:val="24"/>
          <w:szCs w:val="28"/>
          <w:highlight w:val="none"/>
          <w14:textFill>
            <w14:solidFill>
              <w14:schemeClr w14:val="tx1"/>
            </w14:solidFill>
          </w14:textFill>
        </w:rPr>
      </w:pPr>
      <w:r>
        <w:rPr>
          <w:rFonts w:hint="eastAsia" w:hAnsi="宋体"/>
          <w:color w:val="000000" w:themeColor="text1"/>
          <w:sz w:val="24"/>
          <w:szCs w:val="28"/>
          <w:highlight w:val="none"/>
          <w14:textFill>
            <w14:solidFill>
              <w14:schemeClr w14:val="tx1"/>
            </w14:solidFill>
          </w14:textFill>
        </w:rPr>
        <w:t xml:space="preserve">2.3当采购数量与实际使用数量不一致时，乙方应根据实际使用量供货，合同的最终结算金额按实际使用量乘以本合同约定的成交单价进行计算。</w:t>
      </w:r>
      <w:r/>
    </w:p>
    <w:p>
      <w:pPr>
        <w:pStyle w:val="1146"/>
        <w:ind w:firstLine="480"/>
        <w:spacing w:line="360" w:lineRule="auto"/>
        <w:rPr>
          <w:rFonts w:hint="eastAsia" w:hAnsi="宋体"/>
          <w:color w:val="000000" w:themeColor="text1"/>
          <w:sz w:val="24"/>
          <w:szCs w:val="28"/>
          <w:highlight w:val="none"/>
          <w14:textFill>
            <w14:solidFill>
              <w14:schemeClr w14:val="tx1"/>
            </w14:solidFill>
          </w14:textFill>
        </w:rPr>
      </w:pPr>
      <w:r>
        <w:rPr>
          <w:rFonts w:hint="eastAsia" w:hAnsi="宋体"/>
          <w:color w:val="000000" w:themeColor="text1"/>
          <w:sz w:val="24"/>
          <w:szCs w:val="28"/>
          <w:highlight w:val="none"/>
          <w14:textFill>
            <w14:solidFill>
              <w14:schemeClr w14:val="tx1"/>
            </w14:solidFill>
          </w14:textFill>
        </w:rPr>
        <w:t xml:space="preserve">2.4乙方指定账户信息：</w:t>
      </w:r>
      <w:r/>
    </w:p>
    <w:p>
      <w:pPr>
        <w:pStyle w:val="1146"/>
        <w:ind w:firstLine="480"/>
        <w:spacing w:line="360" w:lineRule="auto"/>
        <w:rPr>
          <w:rFonts w:hint="eastAsia" w:hAnsi="宋体"/>
          <w:color w:val="000000" w:themeColor="text1"/>
          <w:sz w:val="24"/>
          <w:szCs w:val="28"/>
          <w:highlight w:val="none"/>
          <w14:textFill>
            <w14:solidFill>
              <w14:schemeClr w14:val="tx1"/>
            </w14:solidFill>
          </w14:textFill>
        </w:rPr>
      </w:pPr>
      <w:r>
        <w:rPr>
          <w:rFonts w:hint="eastAsia" w:hAnsi="宋体"/>
          <w:color w:val="000000" w:themeColor="text1"/>
          <w:sz w:val="24"/>
          <w:szCs w:val="28"/>
          <w:highlight w:val="none"/>
          <w14:textFill>
            <w14:solidFill>
              <w14:schemeClr w14:val="tx1"/>
            </w14:solidFill>
          </w14:textFill>
        </w:rPr>
        <w:t xml:space="preserve">开户行：</w:t>
      </w:r>
      <w:r/>
    </w:p>
    <w:p>
      <w:pPr>
        <w:pStyle w:val="1146"/>
        <w:ind w:firstLine="480"/>
        <w:spacing w:line="360" w:lineRule="auto"/>
        <w:rPr>
          <w:rFonts w:hint="eastAsia" w:hAnsi="宋体"/>
          <w:color w:val="000000" w:themeColor="text1"/>
          <w:sz w:val="24"/>
          <w:szCs w:val="28"/>
          <w:highlight w:val="none"/>
          <w14:textFill>
            <w14:solidFill>
              <w14:schemeClr w14:val="tx1"/>
            </w14:solidFill>
          </w14:textFill>
        </w:rPr>
      </w:pPr>
      <w:r>
        <w:rPr>
          <w:rFonts w:hint="eastAsia" w:hAnsi="宋体"/>
          <w:color w:val="000000" w:themeColor="text1"/>
          <w:sz w:val="24"/>
          <w:szCs w:val="28"/>
          <w:highlight w:val="none"/>
          <w14:textFill>
            <w14:solidFill>
              <w14:schemeClr w14:val="tx1"/>
            </w14:solidFill>
          </w14:textFill>
        </w:rPr>
        <w:t xml:space="preserve">户名：</w:t>
      </w:r>
      <w:r/>
    </w:p>
    <w:p>
      <w:pPr>
        <w:pStyle w:val="1146"/>
        <w:ind w:firstLine="480"/>
        <w:spacing w:line="360" w:lineRule="auto"/>
        <w:rPr>
          <w:rFonts w:hint="eastAsia" w:hAnsi="宋体"/>
          <w:color w:val="000000" w:themeColor="text1"/>
          <w:sz w:val="24"/>
          <w:szCs w:val="28"/>
          <w:highlight w:val="none"/>
          <w14:textFill>
            <w14:solidFill>
              <w14:schemeClr w14:val="tx1"/>
            </w14:solidFill>
          </w14:textFill>
        </w:rPr>
      </w:pPr>
      <w:r>
        <w:rPr>
          <w:rFonts w:hint="eastAsia" w:hAnsi="宋体"/>
          <w:color w:val="000000" w:themeColor="text1"/>
          <w:sz w:val="24"/>
          <w:szCs w:val="28"/>
          <w:highlight w:val="none"/>
          <w14:textFill>
            <w14:solidFill>
              <w14:schemeClr w14:val="tx1"/>
            </w14:solidFill>
          </w14:textFill>
        </w:rPr>
        <w:t xml:space="preserve">账号：</w:t>
      </w:r>
      <w:r/>
    </w:p>
    <w:p>
      <w:pPr>
        <w:pStyle w:val="1146"/>
        <w:ind w:firstLine="480"/>
        <w:spacing w:line="360" w:lineRule="auto"/>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8"/>
          <w:highlight w:val="none"/>
          <w14:textFill>
            <w14:solidFill>
              <w14:schemeClr w14:val="tx1"/>
            </w14:solidFill>
          </w14:textFill>
        </w:rPr>
        <w:t xml:space="preserve">上述账户信息，如有变更，乙方应在变更前3日内书面通知甲方。否则，由此产生的后果由乙方承担。</w:t>
      </w:r>
      <w:r/>
    </w:p>
    <w:p>
      <w:pPr>
        <w:pStyle w:val="1146"/>
        <w:ind w:firstLine="482"/>
        <w:spacing w:before="120" w:after="120" w:line="360" w:lineRule="auto"/>
        <w:rPr>
          <w:rFonts w:hint="eastAsia" w:hAnsi="宋体"/>
          <w:b/>
          <w:color w:val="000000" w:themeColor="text1"/>
          <w:sz w:val="24"/>
          <w:szCs w:val="24"/>
          <w:highlight w:val="none"/>
          <w14:textFill>
            <w14:solidFill>
              <w14:schemeClr w14:val="tx1"/>
            </w14:solidFill>
          </w14:textFill>
        </w:rPr>
      </w:pPr>
      <w:r>
        <w:rPr>
          <w:rFonts w:hint="eastAsia" w:hAnsi="宋体"/>
          <w:b/>
          <w:color w:val="000000" w:themeColor="text1"/>
          <w:sz w:val="24"/>
          <w:szCs w:val="24"/>
          <w:highlight w:val="none"/>
          <w14:textFill>
            <w14:solidFill>
              <w14:schemeClr w14:val="tx1"/>
            </w14:solidFill>
          </w14:textFill>
        </w:rPr>
        <w:t xml:space="preserve">三、交付方式、时间及地点</w:t>
      </w:r>
      <w:r/>
    </w:p>
    <w:p>
      <w:pPr>
        <w:ind w:firstLine="480"/>
        <w:spacing w:line="360" w:lineRule="auto"/>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1</w:t>
      </w:r>
      <w:r>
        <w:rPr>
          <w:rFonts w:hint="eastAsia" w:ascii="宋体" w:hAnsi="宋体"/>
          <w:color w:val="000000" w:themeColor="text1"/>
          <w:sz w:val="24"/>
          <w:highlight w:val="none"/>
          <w:lang w:val="zh-CN"/>
          <w14:textFill>
            <w14:solidFill>
              <w14:schemeClr w14:val="tx1"/>
            </w14:solidFill>
          </w14:textFill>
        </w:rPr>
        <w:t xml:space="preserve">）交货期：</w:t>
      </w:r>
      <w:r>
        <w:rPr>
          <w:rFonts w:hint="eastAsia" w:ascii="宋体" w:hAnsi="宋体" w:cs="宋体"/>
          <w:color w:val="000000" w:themeColor="text1"/>
          <w:sz w:val="24"/>
          <w:highlight w:val="none"/>
          <w:lang w:val="zh-CN"/>
          <w14:textFill>
            <w14:solidFill>
              <w14:schemeClr w14:val="tx1"/>
            </w14:solidFill>
          </w14:textFill>
        </w:rPr>
        <w:t xml:space="preserve">合同签订生效后，</w:t>
      </w:r>
      <w:r>
        <w:rPr>
          <w:rFonts w:hint="eastAsia" w:ascii="宋体" w:hAnsi="宋体" w:cs="宋体"/>
          <w:color w:val="000000" w:themeColor="text1"/>
          <w:sz w:val="24"/>
          <w:highlight w:val="none"/>
          <w14:textFill>
            <w14:solidFill>
              <w14:schemeClr w14:val="tx1"/>
            </w14:solidFill>
          </w14:textFill>
        </w:rPr>
        <w:t xml:space="preserve">两</w:t>
      </w:r>
      <w:r>
        <w:rPr>
          <w:rFonts w:hint="eastAsia" w:ascii="宋体" w:hAnsi="宋体" w:cs="宋体"/>
          <w:color w:val="000000" w:themeColor="text1"/>
          <w:sz w:val="24"/>
          <w:highlight w:val="none"/>
          <w:lang w:val="zh-CN"/>
          <w14:textFill>
            <w14:solidFill>
              <w14:schemeClr w14:val="tx1"/>
            </w14:solidFill>
          </w14:textFill>
        </w:rPr>
        <w:t xml:space="preserve">个月内全部设备、材料运抵现场，并安装、调试结束，验收合格，交付</w:t>
      </w:r>
      <w:r>
        <w:rPr>
          <w:rFonts w:hint="eastAsia" w:ascii="宋体" w:hAnsi="宋体" w:cs="宋体"/>
          <w:color w:val="000000" w:themeColor="text1"/>
          <w:sz w:val="24"/>
          <w:highlight w:val="none"/>
          <w14:textFill>
            <w14:solidFill>
              <w14:schemeClr w14:val="tx1"/>
            </w14:solidFill>
          </w14:textFill>
        </w:rPr>
        <w:t xml:space="preserve">甲</w:t>
      </w:r>
      <w:r>
        <w:rPr>
          <w:rFonts w:hint="eastAsia" w:ascii="宋体" w:hAnsi="宋体" w:cs="宋体"/>
          <w:color w:val="000000" w:themeColor="text1"/>
          <w:sz w:val="24"/>
          <w:highlight w:val="none"/>
          <w:lang w:val="zh-CN"/>
          <w14:textFill>
            <w14:solidFill>
              <w14:schemeClr w14:val="tx1"/>
            </w14:solidFill>
          </w14:textFill>
        </w:rPr>
        <w:t xml:space="preserve">方使用。</w:t>
      </w:r>
      <w:r/>
    </w:p>
    <w:p>
      <w:pPr>
        <w:ind w:firstLine="480"/>
        <w:spacing w:line="360" w:lineRule="auto"/>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2</w:t>
      </w:r>
      <w:r>
        <w:rPr>
          <w:rFonts w:hint="eastAsia" w:ascii="宋体" w:hAnsi="宋体"/>
          <w:color w:val="000000" w:themeColor="text1"/>
          <w:sz w:val="24"/>
          <w:highlight w:val="none"/>
          <w:lang w:val="zh-CN"/>
          <w14:textFill>
            <w14:solidFill>
              <w14:schemeClr w14:val="tx1"/>
            </w14:solidFill>
          </w14:textFill>
        </w:rPr>
        <w:t xml:space="preserve">）交货方式：中标人在采购方指定地点交货，并完成安装、调试。</w:t>
      </w:r>
      <w:r/>
    </w:p>
    <w:p>
      <w:pPr>
        <w:pStyle w:val="1146"/>
        <w:ind w:firstLine="480"/>
        <w:spacing w:before="120" w:after="120" w:line="360" w:lineRule="auto"/>
        <w:rPr>
          <w:rFonts w:hint="eastAsia" w:hAnsi="宋体"/>
          <w:b/>
          <w:bCs/>
          <w:color w:val="000000" w:themeColor="text1"/>
          <w:sz w:val="24"/>
          <w:highlight w:val="none"/>
          <w:lang w:val="zh-CN"/>
          <w14:textFill>
            <w14:solidFill>
              <w14:schemeClr w14:val="tx1"/>
            </w14:solidFill>
          </w14:textFill>
        </w:rPr>
      </w:pPr>
      <w:r>
        <w:rPr>
          <w:rFonts w:hint="eastAsia" w:hAnsi="宋体"/>
          <w:color w:val="000000" w:themeColor="text1"/>
          <w:sz w:val="24"/>
          <w:highlight w:val="none"/>
          <w:lang w:val="zh-CN"/>
          <w14:textFill>
            <w14:solidFill>
              <w14:schemeClr w14:val="tx1"/>
            </w14:solidFill>
          </w14:textFill>
        </w:rPr>
        <w:t xml:space="preserve">（</w:t>
      </w:r>
      <w:r>
        <w:rPr>
          <w:rFonts w:hint="eastAsia" w:hAnsi="宋体"/>
          <w:color w:val="000000" w:themeColor="text1"/>
          <w:sz w:val="24"/>
          <w:highlight w:val="none"/>
          <w14:textFill>
            <w14:solidFill>
              <w14:schemeClr w14:val="tx1"/>
            </w14:solidFill>
          </w14:textFill>
        </w:rPr>
        <w:t xml:space="preserve">3</w:t>
      </w:r>
      <w:r>
        <w:rPr>
          <w:rFonts w:hint="eastAsia" w:hAnsi="宋体"/>
          <w:color w:val="000000" w:themeColor="text1"/>
          <w:sz w:val="24"/>
          <w:highlight w:val="none"/>
          <w:lang w:val="zh-CN"/>
          <w14:textFill>
            <w14:solidFill>
              <w14:schemeClr w14:val="tx1"/>
            </w14:solidFill>
          </w14:textFill>
        </w:rPr>
        <w:t xml:space="preserve">）交货地点：南京医科大学指定地点。</w:t>
      </w:r>
      <w:r/>
    </w:p>
    <w:p>
      <w:pPr>
        <w:pStyle w:val="1146"/>
        <w:ind w:firstLine="482"/>
        <w:spacing w:before="120" w:after="120" w:line="360" w:lineRule="auto"/>
        <w:rPr>
          <w:rFonts w:hint="eastAsia" w:hAnsi="宋体"/>
          <w:b/>
          <w:color w:val="000000" w:themeColor="text1"/>
          <w:sz w:val="24"/>
          <w:szCs w:val="24"/>
          <w:highlight w:val="none"/>
          <w14:textFill>
            <w14:solidFill>
              <w14:schemeClr w14:val="tx1"/>
            </w14:solidFill>
          </w14:textFill>
        </w:rPr>
      </w:pPr>
      <w:r>
        <w:rPr>
          <w:rFonts w:hAnsi="宋体"/>
          <w:b/>
          <w:color w:val="000000" w:themeColor="text1"/>
          <w:sz w:val="24"/>
          <w:szCs w:val="24"/>
          <w:highlight w:val="none"/>
          <w14:textFill>
            <w14:solidFill>
              <w14:schemeClr w14:val="tx1"/>
            </w14:solidFill>
          </w14:textFill>
        </w:rPr>
        <w:t xml:space="preserve">四、货物包装、发运及运输</w:t>
      </w:r>
      <w:r/>
    </w:p>
    <w:p>
      <w:pPr>
        <w:pStyle w:val="1146"/>
        <w:ind w:firstLine="480"/>
        <w:spacing w:before="120" w:after="120" w:line="360" w:lineRule="auto"/>
        <w:rPr>
          <w:rFonts w:hint="eastAsia"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4.1 乙方应在货物发运前</w:t>
      </w:r>
      <w:r>
        <w:rPr>
          <w:rFonts w:hint="eastAsia" w:hAnsi="宋体"/>
          <w:color w:val="000000" w:themeColor="text1"/>
          <w:sz w:val="24"/>
          <w:szCs w:val="24"/>
          <w:highlight w:val="none"/>
          <w14:textFill>
            <w14:solidFill>
              <w14:schemeClr w14:val="tx1"/>
            </w14:solidFill>
          </w14:textFill>
        </w:rPr>
        <w:t xml:space="preserve">根据</w:t>
      </w:r>
      <w:r>
        <w:rPr>
          <w:rFonts w:hAnsi="宋体"/>
          <w:color w:val="000000" w:themeColor="text1"/>
          <w:sz w:val="24"/>
          <w:szCs w:val="24"/>
          <w:highlight w:val="none"/>
          <w14:textFill>
            <w14:solidFill>
              <w14:schemeClr w14:val="tx1"/>
            </w14:solidFill>
          </w14:textFill>
        </w:rPr>
        <w:t xml:space="preserve">运输距离、防潮、防震、防锈和防破损装卸等要求</w:t>
      </w:r>
      <w:r>
        <w:rPr>
          <w:rFonts w:hint="eastAsia" w:hAnsi="宋体"/>
          <w:color w:val="000000" w:themeColor="text1"/>
          <w:sz w:val="24"/>
          <w:szCs w:val="24"/>
          <w:highlight w:val="none"/>
          <w14:textFill>
            <w14:solidFill>
              <w14:schemeClr w14:val="tx1"/>
            </w14:solidFill>
          </w14:textFill>
        </w:rPr>
        <w:t xml:space="preserve">进行相应的</w:t>
      </w:r>
      <w:r>
        <w:rPr>
          <w:rFonts w:hAnsi="宋体"/>
          <w:color w:val="000000" w:themeColor="text1"/>
          <w:sz w:val="24"/>
          <w:szCs w:val="24"/>
          <w:highlight w:val="none"/>
          <w14:textFill>
            <w14:solidFill>
              <w14:schemeClr w14:val="tx1"/>
            </w14:solidFill>
          </w14:textFill>
        </w:rPr>
        <w:t xml:space="preserve">包装，以保证货物安全运达甲方指定地点。</w:t>
      </w:r>
      <w:r/>
    </w:p>
    <w:p>
      <w:pPr>
        <w:pStyle w:val="1146"/>
        <w:ind w:firstLine="480"/>
        <w:spacing w:before="120" w:after="120" w:line="360" w:lineRule="auto"/>
        <w:rPr>
          <w:rFonts w:hint="eastAsia"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4.2 使用说明书、质量检验证明书、随配附件和工具以及清单一并附于货物内。</w:t>
      </w:r>
      <w:r/>
    </w:p>
    <w:p>
      <w:pPr>
        <w:pStyle w:val="1146"/>
        <w:ind w:firstLine="480"/>
        <w:spacing w:before="120" w:after="120" w:line="360" w:lineRule="auto"/>
        <w:rPr>
          <w:rFonts w:hint="eastAsia"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4.3 乙方在货物发运手续办理完毕后24小时内或货到甲方48小时前通知甲方，以准备接货。</w:t>
      </w:r>
      <w:r/>
    </w:p>
    <w:p>
      <w:pPr>
        <w:pStyle w:val="1146"/>
        <w:ind w:firstLine="480"/>
        <w:spacing w:before="120" w:after="120" w:line="360" w:lineRule="auto"/>
        <w:rPr>
          <w:rFonts w:hint="eastAsia"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4.4 货物在交付甲方前发生的风险均由乙方负责。</w:t>
      </w:r>
      <w:r/>
    </w:p>
    <w:p>
      <w:pPr>
        <w:pStyle w:val="1146"/>
        <w:ind w:firstLine="482"/>
        <w:spacing w:before="120" w:after="120" w:line="360" w:lineRule="auto"/>
        <w:rPr>
          <w:rFonts w:hint="eastAsia" w:hAnsi="宋体"/>
          <w:color w:val="000000" w:themeColor="text1"/>
          <w:sz w:val="24"/>
          <w:szCs w:val="24"/>
          <w:highlight w:val="none"/>
          <w14:textFill>
            <w14:solidFill>
              <w14:schemeClr w14:val="tx1"/>
            </w14:solidFill>
          </w14:textFill>
        </w:rPr>
      </w:pPr>
      <w:r>
        <w:rPr>
          <w:rFonts w:hint="eastAsia" w:hAnsi="宋体"/>
          <w:b/>
          <w:color w:val="000000" w:themeColor="text1"/>
          <w:sz w:val="24"/>
          <w:szCs w:val="24"/>
          <w:highlight w:val="none"/>
          <w14:textFill>
            <w14:solidFill>
              <w14:schemeClr w14:val="tx1"/>
            </w14:solidFill>
          </w14:textFill>
        </w:rPr>
        <w:t xml:space="preserve">五、</w:t>
      </w:r>
      <w:r>
        <w:rPr>
          <w:rFonts w:hAnsi="宋体"/>
          <w:b/>
          <w:color w:val="000000" w:themeColor="text1"/>
          <w:sz w:val="24"/>
          <w:szCs w:val="24"/>
          <w:highlight w:val="none"/>
          <w14:textFill>
            <w14:solidFill>
              <w14:schemeClr w14:val="tx1"/>
            </w14:solidFill>
          </w14:textFill>
        </w:rPr>
        <w:t xml:space="preserve">质量保证及售后服务</w:t>
      </w:r>
      <w:r/>
    </w:p>
    <w:p>
      <w:pPr>
        <w:pStyle w:val="1146"/>
        <w:ind w:firstLine="480"/>
        <w:spacing w:before="120" w:after="120" w:line="360" w:lineRule="auto"/>
        <w:rPr>
          <w:rFonts w:hint="eastAsia"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5.1 乙方应按招标文件规定的货物性能、技术要求、质量标准向甲方提供全新</w:t>
      </w:r>
      <w:r>
        <w:rPr>
          <w:rFonts w:hint="eastAsia" w:hAnsi="宋体"/>
          <w:color w:val="000000" w:themeColor="text1"/>
          <w:sz w:val="24"/>
          <w:szCs w:val="24"/>
          <w:highlight w:val="none"/>
          <w14:textFill>
            <w14:solidFill>
              <w14:schemeClr w14:val="tx1"/>
            </w14:solidFill>
          </w14:textFill>
        </w:rPr>
        <w:t xml:space="preserve">货物，乙方所供货物应符合国家相关的法律规定、技术规格和质量标准；如是进口商品，则需是获得国家相关部门颁布安全许可证的出厂原装合格产品。</w:t>
      </w:r>
      <w:r/>
    </w:p>
    <w:p>
      <w:pPr>
        <w:pStyle w:val="1146"/>
        <w:ind w:firstLine="480"/>
        <w:spacing w:before="120" w:after="120" w:line="360" w:lineRule="auto"/>
        <w:rPr>
          <w:rFonts w:hint="eastAsia"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5.2 乙方提供的货物在</w:t>
      </w:r>
      <w:r>
        <w:rPr>
          <w:rFonts w:hint="eastAsia" w:hAnsi="宋体"/>
          <w:color w:val="000000" w:themeColor="text1"/>
          <w:sz w:val="24"/>
          <w:szCs w:val="24"/>
          <w:highlight w:val="none"/>
          <w14:textFill>
            <w14:solidFill>
              <w14:schemeClr w14:val="tx1"/>
            </w14:solidFill>
          </w14:textFill>
        </w:rPr>
        <w:t xml:space="preserve">质保期</w:t>
      </w:r>
      <w:r>
        <w:rPr>
          <w:rFonts w:hAnsi="宋体"/>
          <w:color w:val="000000" w:themeColor="text1"/>
          <w:sz w:val="24"/>
          <w:szCs w:val="24"/>
          <w:highlight w:val="none"/>
          <w14:textFill>
            <w14:solidFill>
              <w14:schemeClr w14:val="tx1"/>
            </w14:solidFill>
          </w14:textFill>
        </w:rPr>
        <w:t xml:space="preserve">内因货物本身的质量问题发生故障，乙方应负责免费更换</w:t>
      </w:r>
      <w:r>
        <w:rPr>
          <w:rFonts w:hint="eastAsia" w:hAnsi="宋体"/>
          <w:color w:val="000000" w:themeColor="text1"/>
          <w:sz w:val="24"/>
          <w:szCs w:val="24"/>
          <w:highlight w:val="none"/>
          <w14:textFill>
            <w14:solidFill>
              <w14:schemeClr w14:val="tx1"/>
            </w14:solidFill>
          </w14:textFill>
        </w:rPr>
        <w:t xml:space="preserve">，并承担所发生的全部费用</w:t>
      </w:r>
      <w:r>
        <w:rPr>
          <w:rFonts w:hAnsi="宋体"/>
          <w:color w:val="000000" w:themeColor="text1"/>
          <w:sz w:val="24"/>
          <w:szCs w:val="24"/>
          <w:highlight w:val="none"/>
          <w14:textFill>
            <w14:solidFill>
              <w14:schemeClr w14:val="tx1"/>
            </w14:solidFill>
          </w14:textFill>
        </w:rPr>
        <w:t xml:space="preserve">。</w:t>
      </w:r>
      <w:r>
        <w:rPr>
          <w:rFonts w:hint="eastAsia" w:hAnsi="宋体"/>
          <w:color w:val="000000" w:themeColor="text1"/>
          <w:sz w:val="24"/>
          <w:szCs w:val="24"/>
          <w:highlight w:val="none"/>
          <w14:textFill>
            <w14:solidFill>
              <w14:schemeClr w14:val="tx1"/>
            </w14:solidFill>
          </w14:textFill>
        </w:rPr>
        <w:t xml:space="preserve">更换后仍</w:t>
      </w:r>
      <w:r>
        <w:rPr>
          <w:rFonts w:hAnsi="宋体"/>
          <w:color w:val="000000" w:themeColor="text1"/>
          <w:sz w:val="24"/>
          <w:szCs w:val="24"/>
          <w:highlight w:val="none"/>
          <w14:textFill>
            <w14:solidFill>
              <w14:schemeClr w14:val="tx1"/>
            </w14:solidFill>
          </w14:textFill>
        </w:rPr>
        <w:t xml:space="preserve">达不到技术要求</w:t>
      </w:r>
      <w:r>
        <w:rPr>
          <w:rFonts w:hint="eastAsia" w:hAnsi="宋体"/>
          <w:color w:val="000000" w:themeColor="text1"/>
          <w:sz w:val="24"/>
          <w:szCs w:val="24"/>
          <w:highlight w:val="none"/>
          <w14:textFill>
            <w14:solidFill>
              <w14:schemeClr w14:val="tx1"/>
            </w14:solidFill>
          </w14:textFill>
        </w:rPr>
        <w:t xml:space="preserve">的，</w:t>
      </w:r>
      <w:r>
        <w:rPr>
          <w:rFonts w:hAnsi="宋体"/>
          <w:color w:val="000000" w:themeColor="text1"/>
          <w:sz w:val="24"/>
          <w:szCs w:val="24"/>
          <w:highlight w:val="none"/>
          <w14:textFill>
            <w14:solidFill>
              <w14:schemeClr w14:val="tx1"/>
            </w14:solidFill>
          </w14:textFill>
        </w:rPr>
        <w:t xml:space="preserve">乙方应退还甲方支付的合同款，同时应承担该货物的直接费用（运输、保险、检验、货款利息及银行手续费等）。</w:t>
      </w:r>
      <w:r/>
    </w:p>
    <w:p>
      <w:pPr>
        <w:pStyle w:val="1146"/>
        <w:ind w:firstLine="480"/>
        <w:spacing w:before="120" w:after="120" w:line="360" w:lineRule="auto"/>
        <w:rPr>
          <w:rFonts w:hint="eastAsia"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5.3</w:t>
      </w:r>
      <w:r>
        <w:rPr>
          <w:rFonts w:hint="eastAsia" w:hAnsi="宋体"/>
          <w:color w:val="000000" w:themeColor="text1"/>
          <w:sz w:val="24"/>
          <w:szCs w:val="24"/>
          <w:highlight w:val="none"/>
          <w14:textFill>
            <w14:solidFill>
              <w14:schemeClr w14:val="tx1"/>
            </w14:solidFill>
          </w14:textFill>
        </w:rPr>
        <w:t xml:space="preserve">上述货物的</w:t>
      </w:r>
      <w:r>
        <w:rPr>
          <w:rFonts w:hAnsi="宋体"/>
          <w:color w:val="000000" w:themeColor="text1"/>
          <w:sz w:val="24"/>
          <w:szCs w:val="24"/>
          <w:highlight w:val="none"/>
          <w14:textFill>
            <w14:solidFill>
              <w14:schemeClr w14:val="tx1"/>
            </w14:solidFill>
          </w14:textFill>
        </w:rPr>
        <w:t xml:space="preserve">质保期</w:t>
      </w:r>
      <w:r>
        <w:rPr>
          <w:rFonts w:hint="eastAsia" w:hAnsi="宋体"/>
          <w:color w:val="000000" w:themeColor="text1"/>
          <w:sz w:val="24"/>
          <w:szCs w:val="24"/>
          <w:highlight w:val="none"/>
          <w:u w:val="single"/>
          <w14:textFill>
            <w14:solidFill>
              <w14:schemeClr w14:val="tx1"/>
            </w14:solidFill>
          </w14:textFill>
        </w:rPr>
        <w:t xml:space="preserve">     </w:t>
      </w:r>
      <w:r>
        <w:rPr>
          <w:rFonts w:hAnsi="宋体"/>
          <w:color w:val="000000" w:themeColor="text1"/>
          <w:sz w:val="24"/>
          <w:szCs w:val="24"/>
          <w:highlight w:val="none"/>
          <w14:textFill>
            <w14:solidFill>
              <w14:schemeClr w14:val="tx1"/>
            </w14:solidFill>
          </w14:textFill>
        </w:rPr>
        <w:t xml:space="preserve">年</w:t>
      </w:r>
      <w:r>
        <w:rPr>
          <w:rFonts w:hint="eastAsia" w:hAnsi="宋体"/>
          <w:color w:val="000000" w:themeColor="text1"/>
          <w:sz w:val="24"/>
          <w:szCs w:val="24"/>
          <w:highlight w:val="none"/>
          <w14:textFill>
            <w14:solidFill>
              <w14:schemeClr w14:val="tx1"/>
            </w14:solidFill>
          </w14:textFill>
        </w:rPr>
        <w:t xml:space="preserve">。</w:t>
      </w:r>
      <w:r>
        <w:rPr>
          <w:rFonts w:hAnsi="宋体"/>
          <w:color w:val="000000" w:themeColor="text1"/>
          <w:sz w:val="24"/>
          <w:szCs w:val="24"/>
          <w:highlight w:val="none"/>
          <w14:textFill>
            <w14:solidFill>
              <w14:schemeClr w14:val="tx1"/>
            </w14:solidFill>
          </w14:textFill>
        </w:rPr>
        <w:t xml:space="preserve">（自交货验收合格</w:t>
      </w:r>
      <w:r>
        <w:rPr>
          <w:rFonts w:hint="eastAsia" w:hAnsi="宋体"/>
          <w:color w:val="000000" w:themeColor="text1"/>
          <w:sz w:val="24"/>
          <w:szCs w:val="24"/>
          <w:highlight w:val="none"/>
          <w14:textFill>
            <w14:solidFill>
              <w14:schemeClr w14:val="tx1"/>
            </w14:solidFill>
          </w14:textFill>
        </w:rPr>
        <w:t xml:space="preserve">次日</w:t>
      </w:r>
      <w:r>
        <w:rPr>
          <w:rFonts w:hAnsi="宋体"/>
          <w:color w:val="000000" w:themeColor="text1"/>
          <w:sz w:val="24"/>
          <w:szCs w:val="24"/>
          <w:highlight w:val="none"/>
          <w14:textFill>
            <w14:solidFill>
              <w14:schemeClr w14:val="tx1"/>
            </w14:solidFill>
          </w14:textFill>
        </w:rPr>
        <w:t xml:space="preserve">起</w:t>
      </w:r>
      <w:r>
        <w:rPr>
          <w:rFonts w:hint="eastAsia" w:hAnsi="宋体"/>
          <w:color w:val="000000" w:themeColor="text1"/>
          <w:sz w:val="24"/>
          <w:szCs w:val="24"/>
          <w:highlight w:val="none"/>
          <w14:textFill>
            <w14:solidFill>
              <w14:schemeClr w14:val="tx1"/>
            </w14:solidFill>
          </w14:textFill>
        </w:rPr>
        <w:t xml:space="preserve">计算</w:t>
      </w:r>
      <w:r>
        <w:rPr>
          <w:rFonts w:hAnsi="宋体"/>
          <w:color w:val="000000" w:themeColor="text1"/>
          <w:sz w:val="24"/>
          <w:szCs w:val="24"/>
          <w:highlight w:val="none"/>
          <w14:textFill>
            <w14:solidFill>
              <w14:schemeClr w14:val="tx1"/>
            </w14:solidFill>
          </w14:textFill>
        </w:rPr>
        <w:t xml:space="preserve">），因人为因素出现的故障不在免费保修范围内。</w:t>
      </w:r>
      <w:r/>
    </w:p>
    <w:p>
      <w:pPr>
        <w:pStyle w:val="1146"/>
        <w:ind w:firstLine="480"/>
        <w:spacing w:before="120" w:after="120" w:line="360" w:lineRule="auto"/>
        <w:rPr>
          <w:rFonts w:hint="eastAsia"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5.4</w:t>
      </w:r>
      <w:r>
        <w:rPr>
          <w:rFonts w:hint="eastAsia" w:hAnsi="宋体"/>
          <w:color w:val="000000" w:themeColor="text1"/>
          <w:sz w:val="24"/>
          <w:szCs w:val="24"/>
          <w:highlight w:val="none"/>
          <w14:textFill>
            <w14:solidFill>
              <w14:schemeClr w14:val="tx1"/>
            </w14:solidFill>
          </w14:textFill>
        </w:rPr>
        <w:t xml:space="preserve">在质保期内，如在使用过程中发生质量问题，乙方在接到甲方通知后在_________小时内响应，并在_________小时内赶到甲方现场，免费予以排除故障、修复或者更换零部件。如未及时维修的，甲方委托他人维修，维修费优先从履约保证金中直接扣除，履约保证金不足的，甲方有权向乙方追偿；甲方无需经乙方同意即可单方委托第三方维修，维修费用按实际发生额计算。</w:t>
      </w:r>
      <w:r/>
    </w:p>
    <w:p>
      <w:pPr>
        <w:pStyle w:val="1146"/>
        <w:ind w:firstLine="480"/>
        <w:spacing w:before="120" w:after="120" w:line="360" w:lineRule="auto"/>
        <w:rPr>
          <w:rFonts w:hint="eastAsia"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5.5 在质保期内，乙方应对货物出现的质量及安全问题负责处理解决并承担一切费用。</w:t>
      </w:r>
      <w:r/>
    </w:p>
    <w:p>
      <w:pPr>
        <w:pStyle w:val="1146"/>
        <w:ind w:firstLine="480"/>
        <w:spacing w:before="120" w:after="120" w:line="360" w:lineRule="auto"/>
        <w:rPr>
          <w:rFonts w:hint="eastAsia"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5.6 </w:t>
      </w:r>
      <w:r>
        <w:rPr>
          <w:rFonts w:hint="eastAsia" w:hAnsi="宋体"/>
          <w:color w:val="000000" w:themeColor="text1"/>
          <w:sz w:val="24"/>
          <w:szCs w:val="24"/>
          <w:highlight w:val="none"/>
          <w14:textFill>
            <w14:solidFill>
              <w14:schemeClr w14:val="tx1"/>
            </w14:solidFill>
          </w14:textFill>
        </w:rPr>
        <w:t xml:space="preserve">质保期满后，如设备出现故障，乙方在接到甲方通知后，仍应在上述时间内响应，派人赶到甲方现场，免费帮助甲方排除故障、修复或者更换零部件；若需购买零部件，乙方可酌情收取成本费，但需免收上门费、人工费等费用</w:t>
      </w:r>
      <w:r>
        <w:rPr>
          <w:rFonts w:hAnsi="宋体"/>
          <w:color w:val="000000" w:themeColor="text1"/>
          <w:sz w:val="24"/>
          <w:szCs w:val="24"/>
          <w:highlight w:val="none"/>
          <w14:textFill>
            <w14:solidFill>
              <w14:schemeClr w14:val="tx1"/>
            </w14:solidFill>
          </w14:textFill>
        </w:rPr>
        <w:t xml:space="preserve">。</w:t>
      </w:r>
      <w:r/>
    </w:p>
    <w:p>
      <w:pPr>
        <w:pStyle w:val="1146"/>
        <w:ind w:firstLine="482"/>
        <w:spacing w:before="120" w:after="120" w:line="360" w:lineRule="auto"/>
        <w:rPr>
          <w:rFonts w:hint="eastAsia" w:hAnsi="宋体"/>
          <w:b/>
          <w:color w:val="000000" w:themeColor="text1"/>
          <w:sz w:val="24"/>
          <w:szCs w:val="24"/>
          <w:highlight w:val="none"/>
          <w14:textFill>
            <w14:solidFill>
              <w14:schemeClr w14:val="tx1"/>
            </w14:solidFill>
          </w14:textFill>
        </w:rPr>
      </w:pPr>
      <w:r>
        <w:rPr>
          <w:rFonts w:hint="eastAsia" w:hAnsi="宋体"/>
          <w:b/>
          <w:color w:val="000000" w:themeColor="text1"/>
          <w:sz w:val="24"/>
          <w:szCs w:val="24"/>
          <w:highlight w:val="none"/>
          <w14:textFill>
            <w14:solidFill>
              <w14:schemeClr w14:val="tx1"/>
            </w14:solidFill>
          </w14:textFill>
        </w:rPr>
        <w:t xml:space="preserve">六</w:t>
      </w:r>
      <w:r>
        <w:rPr>
          <w:rFonts w:hAnsi="宋体"/>
          <w:b/>
          <w:color w:val="000000" w:themeColor="text1"/>
          <w:sz w:val="24"/>
          <w:szCs w:val="24"/>
          <w:highlight w:val="none"/>
          <w14:textFill>
            <w14:solidFill>
              <w14:schemeClr w14:val="tx1"/>
            </w14:solidFill>
          </w14:textFill>
        </w:rPr>
        <w:t xml:space="preserve">、调试和验收</w:t>
      </w:r>
      <w:r/>
    </w:p>
    <w:p>
      <w:pPr>
        <w:pStyle w:val="1146"/>
        <w:ind w:firstLine="480"/>
        <w:spacing w:before="120" w:after="120" w:line="360" w:lineRule="auto"/>
        <w:rPr>
          <w:rFonts w:hint="eastAsia"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6.1 乙方交货前应对</w:t>
      </w:r>
      <w:r>
        <w:rPr>
          <w:rFonts w:hint="eastAsia" w:hAnsi="宋体"/>
          <w:color w:val="000000" w:themeColor="text1"/>
          <w:sz w:val="24"/>
          <w:szCs w:val="24"/>
          <w:highlight w:val="none"/>
          <w14:textFill>
            <w14:solidFill>
              <w14:schemeClr w14:val="tx1"/>
            </w14:solidFill>
          </w14:textFill>
        </w:rPr>
        <w:t xml:space="preserve">货物</w:t>
      </w:r>
      <w:r>
        <w:rPr>
          <w:rFonts w:hAnsi="宋体"/>
          <w:color w:val="000000" w:themeColor="text1"/>
          <w:sz w:val="24"/>
          <w:szCs w:val="24"/>
          <w:highlight w:val="none"/>
          <w14:textFill>
            <w14:solidFill>
              <w14:schemeClr w14:val="tx1"/>
            </w14:solidFill>
          </w14:textFill>
        </w:rPr>
        <w:t xml:space="preserve">全面检查</w:t>
      </w:r>
      <w:r>
        <w:rPr>
          <w:rFonts w:hint="eastAsia" w:hAnsi="宋体"/>
          <w:color w:val="000000" w:themeColor="text1"/>
          <w:sz w:val="24"/>
          <w:szCs w:val="24"/>
          <w:highlight w:val="none"/>
          <w14:textFill>
            <w14:solidFill>
              <w14:schemeClr w14:val="tx1"/>
            </w14:solidFill>
          </w14:textFill>
        </w:rPr>
        <w:t xml:space="preserve">并</w:t>
      </w:r>
      <w:r>
        <w:rPr>
          <w:rFonts w:hAnsi="宋体"/>
          <w:color w:val="000000" w:themeColor="text1"/>
          <w:sz w:val="24"/>
          <w:szCs w:val="24"/>
          <w:highlight w:val="none"/>
          <w14:textFill>
            <w14:solidFill>
              <w14:schemeClr w14:val="tx1"/>
            </w14:solidFill>
          </w14:textFill>
        </w:rPr>
        <w:t xml:space="preserve">对验收文件进行整理，列出清单</w:t>
      </w:r>
      <w:r>
        <w:rPr>
          <w:rFonts w:hint="eastAsia" w:hAnsi="宋体"/>
          <w:color w:val="000000" w:themeColor="text1"/>
          <w:sz w:val="24"/>
          <w:szCs w:val="24"/>
          <w:highlight w:val="none"/>
          <w14:textFill>
            <w14:solidFill>
              <w14:schemeClr w14:val="tx1"/>
            </w14:solidFill>
          </w14:textFill>
        </w:rPr>
        <w:t xml:space="preserve">提交甲方</w:t>
      </w:r>
      <w:r>
        <w:rPr>
          <w:rFonts w:hAnsi="宋体"/>
          <w:color w:val="000000" w:themeColor="text1"/>
          <w:sz w:val="24"/>
          <w:szCs w:val="24"/>
          <w:highlight w:val="none"/>
          <w14:textFill>
            <w14:solidFill>
              <w14:schemeClr w14:val="tx1"/>
            </w14:solidFill>
          </w14:textFill>
        </w:rPr>
        <w:t xml:space="preserve">，检验的结果</w:t>
      </w:r>
      <w:r>
        <w:rPr>
          <w:rFonts w:hint="eastAsia" w:hAnsi="宋体"/>
          <w:color w:val="000000" w:themeColor="text1"/>
          <w:sz w:val="24"/>
          <w:szCs w:val="24"/>
          <w:highlight w:val="none"/>
          <w14:textFill>
            <w14:solidFill>
              <w14:schemeClr w14:val="tx1"/>
            </w14:solidFill>
          </w14:textFill>
        </w:rPr>
        <w:t xml:space="preserve">亦</w:t>
      </w:r>
      <w:r>
        <w:rPr>
          <w:rFonts w:hAnsi="宋体"/>
          <w:color w:val="000000" w:themeColor="text1"/>
          <w:sz w:val="24"/>
          <w:szCs w:val="24"/>
          <w:highlight w:val="none"/>
          <w14:textFill>
            <w14:solidFill>
              <w14:schemeClr w14:val="tx1"/>
            </w14:solidFill>
          </w14:textFill>
        </w:rPr>
        <w:t xml:space="preserve">应随货物交甲方。</w:t>
      </w:r>
      <w:r/>
    </w:p>
    <w:p>
      <w:pPr>
        <w:pStyle w:val="1146"/>
        <w:ind w:firstLine="480"/>
        <w:spacing w:before="120" w:after="120" w:line="360" w:lineRule="auto"/>
        <w:rPr>
          <w:rFonts w:hint="eastAsia" w:hAnsi="宋体"/>
          <w:color w:val="000000" w:themeColor="text1"/>
          <w:sz w:val="24"/>
          <w:szCs w:val="24"/>
          <w:highlight w:val="none"/>
          <w:u w:val="singl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6.2 甲方对乙方提供的货物在使用前进行调试时，乙方需负责安装并培训甲方的使用操作人员，并协助甲方一起调试，直到符合技术要求。</w:t>
      </w:r>
      <w:r/>
    </w:p>
    <w:p>
      <w:pPr>
        <w:pStyle w:val="1146"/>
        <w:ind w:firstLine="480"/>
        <w:spacing w:before="120" w:after="120" w:line="360" w:lineRule="auto"/>
        <w:rPr>
          <w:rFonts w:hint="eastAsia"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6.3 </w:t>
      </w:r>
      <w:r>
        <w:rPr>
          <w:rFonts w:hint="eastAsia" w:hAnsi="宋体"/>
          <w:color w:val="000000" w:themeColor="text1"/>
          <w:sz w:val="24"/>
          <w:szCs w:val="24"/>
          <w:highlight w:val="none"/>
          <w14:textFill>
            <w14:solidFill>
              <w14:schemeClr w14:val="tx1"/>
            </w14:solidFill>
          </w14:textFill>
        </w:rPr>
        <w:t xml:space="preserve">在安装、调试和验收过程中，如发现有漏件、缺件，乙方应无条件、无偿补齐，所发生的一切费用，视为已包含在投标时的投标报价中，且并不因此而影响交付甲方使用的时间。</w:t>
      </w:r>
      <w:r/>
    </w:p>
    <w:p>
      <w:pPr>
        <w:pStyle w:val="1146"/>
        <w:ind w:firstLine="480"/>
        <w:spacing w:before="120" w:after="120" w:line="360" w:lineRule="auto"/>
        <w:rPr>
          <w:rFonts w:hint="eastAsia"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6.4 甲方对乙方提交的货物依据招标文件上的技术规格要求和国家有关质量标准进行现场初步验收</w:t>
      </w:r>
      <w:r>
        <w:rPr>
          <w:rFonts w:hint="eastAsia" w:hAnsi="宋体"/>
          <w:color w:val="000000" w:themeColor="text1"/>
          <w:sz w:val="24"/>
          <w:szCs w:val="24"/>
          <w:highlight w:val="none"/>
          <w14:textFill>
            <w14:solidFill>
              <w14:schemeClr w14:val="tx1"/>
            </w14:solidFill>
          </w14:textFill>
        </w:rPr>
        <w:t xml:space="preserve">。</w:t>
      </w:r>
      <w:r>
        <w:rPr>
          <w:rFonts w:hAnsi="宋体"/>
          <w:color w:val="000000" w:themeColor="text1"/>
          <w:sz w:val="24"/>
          <w:szCs w:val="24"/>
          <w:highlight w:val="none"/>
          <w14:textFill>
            <w14:solidFill>
              <w14:schemeClr w14:val="tx1"/>
            </w14:solidFill>
          </w14:textFill>
        </w:rPr>
        <w:t xml:space="preserve">外观、说明书符合招标文件技术要求的，给予签收，初步验收不合格的不予签收。货到后，甲方需在10个工作日内</w:t>
      </w:r>
      <w:r>
        <w:rPr>
          <w:rFonts w:hint="eastAsia" w:hAnsi="宋体"/>
          <w:color w:val="000000" w:themeColor="text1"/>
          <w:sz w:val="24"/>
          <w:szCs w:val="24"/>
          <w:highlight w:val="none"/>
          <w14:textFill>
            <w14:solidFill>
              <w14:schemeClr w14:val="tx1"/>
            </w14:solidFill>
          </w14:textFill>
        </w:rPr>
        <w:t xml:space="preserve">完成初步</w:t>
      </w:r>
      <w:r>
        <w:rPr>
          <w:rFonts w:hAnsi="宋体"/>
          <w:color w:val="000000" w:themeColor="text1"/>
          <w:sz w:val="24"/>
          <w:szCs w:val="24"/>
          <w:highlight w:val="none"/>
          <w14:textFill>
            <w14:solidFill>
              <w14:schemeClr w14:val="tx1"/>
            </w14:solidFill>
          </w14:textFill>
        </w:rPr>
        <w:t xml:space="preserve">验收。</w:t>
      </w:r>
      <w:r>
        <w:rPr>
          <w:rFonts w:hint="eastAsia" w:hAnsi="宋体"/>
          <w:color w:val="000000" w:themeColor="text1"/>
          <w:sz w:val="24"/>
          <w:szCs w:val="24"/>
          <w:highlight w:val="none"/>
          <w14:textFill>
            <w14:solidFill>
              <w14:schemeClr w14:val="tx1"/>
            </w14:solidFill>
          </w14:textFill>
        </w:rPr>
        <w:t xml:space="preserve">验收不合格的，乙方应在收到甲方书面整改通知后完成整改并重新申请验收，整改后仍不合格的，甲方有权单方解除合同，乙方按9.3条承担违约责任。</w:t>
      </w:r>
      <w:r/>
    </w:p>
    <w:p>
      <w:pPr>
        <w:pStyle w:val="1146"/>
        <w:ind w:firstLine="480"/>
        <w:spacing w:before="120" w:after="120" w:line="360" w:lineRule="auto"/>
        <w:rPr>
          <w:rFonts w:hint="eastAsia"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6.5 </w:t>
      </w:r>
      <w:r>
        <w:rPr>
          <w:rFonts w:hint="eastAsia" w:hAnsi="宋体"/>
          <w:color w:val="000000" w:themeColor="text1"/>
          <w:sz w:val="24"/>
          <w:szCs w:val="24"/>
          <w:highlight w:val="none"/>
          <w14:textFill>
            <w14:solidFill>
              <w14:schemeClr w14:val="tx1"/>
            </w14:solidFill>
          </w14:textFill>
        </w:rPr>
        <w:t xml:space="preserve">设备、材料安装、调试结束，甲、</w:t>
      </w:r>
      <w:r>
        <w:rPr>
          <w:rFonts w:hAnsi="宋体"/>
          <w:color w:val="000000" w:themeColor="text1"/>
          <w:sz w:val="24"/>
          <w:szCs w:val="24"/>
          <w:highlight w:val="none"/>
          <w14:textFill>
            <w14:solidFill>
              <w14:schemeClr w14:val="tx1"/>
            </w14:solidFill>
          </w14:textFill>
        </w:rPr>
        <w:t xml:space="preserve">乙</w:t>
      </w:r>
      <w:r>
        <w:rPr>
          <w:rFonts w:hint="eastAsia" w:hAnsi="宋体"/>
          <w:color w:val="000000" w:themeColor="text1"/>
          <w:sz w:val="24"/>
          <w:szCs w:val="24"/>
          <w:highlight w:val="none"/>
          <w14:textFill>
            <w14:solidFill>
              <w14:schemeClr w14:val="tx1"/>
            </w14:solidFill>
          </w14:textFill>
        </w:rPr>
        <w:t xml:space="preserve">双</w:t>
      </w:r>
      <w:r>
        <w:rPr>
          <w:rFonts w:hAnsi="宋体"/>
          <w:color w:val="000000" w:themeColor="text1"/>
          <w:sz w:val="24"/>
          <w:szCs w:val="24"/>
          <w:highlight w:val="none"/>
          <w14:textFill>
            <w14:solidFill>
              <w14:schemeClr w14:val="tx1"/>
            </w14:solidFill>
          </w14:textFill>
        </w:rPr>
        <w:t xml:space="preserve">方</w:t>
      </w:r>
      <w:r>
        <w:rPr>
          <w:rFonts w:hint="eastAsia" w:hAnsi="宋体"/>
          <w:color w:val="000000" w:themeColor="text1"/>
          <w:sz w:val="24"/>
          <w:szCs w:val="24"/>
          <w:highlight w:val="none"/>
          <w14:textFill>
            <w14:solidFill>
              <w14:schemeClr w14:val="tx1"/>
            </w14:solidFill>
          </w14:textFill>
        </w:rPr>
        <w:t xml:space="preserve">派员共同验收</w:t>
      </w:r>
      <w:r>
        <w:rPr>
          <w:rFonts w:hAnsi="宋体"/>
          <w:color w:val="000000" w:themeColor="text1"/>
          <w:sz w:val="24"/>
          <w:szCs w:val="24"/>
          <w:highlight w:val="none"/>
          <w14:textFill>
            <w14:solidFill>
              <w14:schemeClr w14:val="tx1"/>
            </w14:solidFill>
          </w14:textFill>
        </w:rPr>
        <w:t xml:space="preserve">，</w:t>
      </w:r>
      <w:r>
        <w:rPr>
          <w:rFonts w:hint="eastAsia" w:hAnsi="宋体"/>
          <w:color w:val="000000" w:themeColor="text1"/>
          <w:sz w:val="24"/>
          <w:szCs w:val="24"/>
          <w:highlight w:val="none"/>
          <w14:textFill>
            <w14:solidFill>
              <w14:schemeClr w14:val="tx1"/>
            </w14:solidFill>
          </w14:textFill>
        </w:rPr>
        <w:t xml:space="preserve">达到验收标准则验收合格。</w:t>
      </w:r>
      <w:r>
        <w:rPr>
          <w:rFonts w:hAnsi="宋体"/>
          <w:color w:val="000000" w:themeColor="text1"/>
          <w:sz w:val="24"/>
          <w:szCs w:val="24"/>
          <w:highlight w:val="none"/>
          <w14:textFill>
            <w14:solidFill>
              <w14:schemeClr w14:val="tx1"/>
            </w14:solidFill>
          </w14:textFill>
        </w:rPr>
        <w:t xml:space="preserve">验收完毕后</w:t>
      </w:r>
      <w:r>
        <w:rPr>
          <w:rFonts w:hint="eastAsia" w:hAnsi="宋体"/>
          <w:color w:val="000000" w:themeColor="text1"/>
          <w:sz w:val="24"/>
          <w:szCs w:val="24"/>
          <w:highlight w:val="none"/>
          <w14:textFill>
            <w14:solidFill>
              <w14:schemeClr w14:val="tx1"/>
            </w14:solidFill>
          </w14:textFill>
        </w:rPr>
        <w:t xml:space="preserve">出具</w:t>
      </w:r>
      <w:r>
        <w:rPr>
          <w:rFonts w:hAnsi="宋体"/>
          <w:color w:val="000000" w:themeColor="text1"/>
          <w:sz w:val="24"/>
          <w:szCs w:val="24"/>
          <w:highlight w:val="none"/>
          <w14:textFill>
            <w14:solidFill>
              <w14:schemeClr w14:val="tx1"/>
            </w14:solidFill>
          </w14:textFill>
        </w:rPr>
        <w:t xml:space="preserve">验收结果报告</w:t>
      </w:r>
      <w:r>
        <w:rPr>
          <w:rFonts w:hint="eastAsia" w:hAnsi="宋体"/>
          <w:color w:val="000000" w:themeColor="text1"/>
          <w:sz w:val="24"/>
          <w:szCs w:val="24"/>
          <w:highlight w:val="none"/>
          <w14:textFill>
            <w14:solidFill>
              <w14:schemeClr w14:val="tx1"/>
            </w14:solidFill>
          </w14:textFill>
        </w:rPr>
        <w:t xml:space="preserve">并经双方签字确认</w:t>
      </w:r>
      <w:r>
        <w:rPr>
          <w:rFonts w:hAnsi="宋体"/>
          <w:color w:val="000000" w:themeColor="text1"/>
          <w:sz w:val="24"/>
          <w:szCs w:val="24"/>
          <w:highlight w:val="none"/>
          <w14:textFill>
            <w14:solidFill>
              <w14:schemeClr w14:val="tx1"/>
            </w14:solidFill>
          </w14:textFill>
        </w:rPr>
        <w:t xml:space="preserve">；验收</w:t>
      </w:r>
      <w:r>
        <w:rPr>
          <w:rFonts w:hint="eastAsia" w:hAnsi="宋体"/>
          <w:color w:val="000000" w:themeColor="text1"/>
          <w:sz w:val="24"/>
          <w:szCs w:val="24"/>
          <w:highlight w:val="none"/>
          <w14:textFill>
            <w14:solidFill>
              <w14:schemeClr w14:val="tx1"/>
            </w14:solidFill>
          </w14:textFill>
        </w:rPr>
        <w:t xml:space="preserve">相关</w:t>
      </w:r>
      <w:r>
        <w:rPr>
          <w:rFonts w:hAnsi="宋体"/>
          <w:color w:val="000000" w:themeColor="text1"/>
          <w:sz w:val="24"/>
          <w:szCs w:val="24"/>
          <w:highlight w:val="none"/>
          <w14:textFill>
            <w14:solidFill>
              <w14:schemeClr w14:val="tx1"/>
            </w14:solidFill>
          </w14:textFill>
        </w:rPr>
        <w:t xml:space="preserve">费用由</w:t>
      </w:r>
      <w:r>
        <w:rPr>
          <w:rFonts w:hint="eastAsia" w:hAnsi="宋体"/>
          <w:color w:val="000000" w:themeColor="text1"/>
          <w:sz w:val="24"/>
          <w:szCs w:val="24"/>
          <w:highlight w:val="none"/>
          <w14:textFill>
            <w14:solidFill>
              <w14:schemeClr w14:val="tx1"/>
            </w14:solidFill>
          </w14:textFill>
        </w:rPr>
        <w:t xml:space="preserve">乙方承担。</w:t>
      </w:r>
      <w:r/>
    </w:p>
    <w:p>
      <w:pPr>
        <w:pStyle w:val="1146"/>
        <w:ind w:firstLine="480"/>
        <w:spacing w:before="120" w:after="120" w:line="360" w:lineRule="auto"/>
        <w:rPr>
          <w:rFonts w:hint="eastAsia"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6.6 对技术复杂的货物，甲方</w:t>
      </w:r>
      <w:r>
        <w:rPr>
          <w:rFonts w:hint="eastAsia" w:hAnsi="宋体"/>
          <w:color w:val="000000" w:themeColor="text1"/>
          <w:sz w:val="24"/>
          <w:szCs w:val="24"/>
          <w:highlight w:val="none"/>
          <w14:textFill>
            <w14:solidFill>
              <w14:schemeClr w14:val="tx1"/>
            </w14:solidFill>
          </w14:textFill>
        </w:rPr>
        <w:t xml:space="preserve">可聘</w:t>
      </w:r>
      <w:r>
        <w:rPr>
          <w:rFonts w:hAnsi="宋体"/>
          <w:color w:val="000000" w:themeColor="text1"/>
          <w:sz w:val="24"/>
          <w:szCs w:val="24"/>
          <w:highlight w:val="none"/>
          <w14:textFill>
            <w14:solidFill>
              <w14:schemeClr w14:val="tx1"/>
            </w14:solidFill>
          </w14:textFill>
        </w:rPr>
        <w:t xml:space="preserve">请国家认可的专业检测机构参与初步验收及最终验收，</w:t>
      </w:r>
      <w:r>
        <w:rPr>
          <w:rFonts w:hint="eastAsia" w:hAnsi="宋体"/>
          <w:color w:val="000000" w:themeColor="text1"/>
          <w:sz w:val="24"/>
          <w:szCs w:val="24"/>
          <w:highlight w:val="none"/>
          <w14:textFill>
            <w14:solidFill>
              <w14:schemeClr w14:val="tx1"/>
            </w14:solidFill>
          </w14:textFill>
        </w:rPr>
        <w:t xml:space="preserve">专业检测机构</w:t>
      </w:r>
      <w:r>
        <w:rPr>
          <w:rFonts w:hAnsi="宋体"/>
          <w:color w:val="000000" w:themeColor="text1"/>
          <w:sz w:val="24"/>
          <w:szCs w:val="24"/>
          <w:highlight w:val="none"/>
          <w14:textFill>
            <w14:solidFill>
              <w14:schemeClr w14:val="tx1"/>
            </w14:solidFill>
          </w14:textFill>
        </w:rPr>
        <w:t xml:space="preserve">出具</w:t>
      </w:r>
      <w:r>
        <w:rPr>
          <w:rFonts w:hint="eastAsia" w:hAnsi="宋体"/>
          <w:color w:val="000000" w:themeColor="text1"/>
          <w:sz w:val="24"/>
          <w:szCs w:val="24"/>
          <w:highlight w:val="none"/>
          <w14:textFill>
            <w14:solidFill>
              <w14:schemeClr w14:val="tx1"/>
            </w14:solidFill>
          </w14:textFill>
        </w:rPr>
        <w:t xml:space="preserve">的</w:t>
      </w:r>
      <w:r>
        <w:rPr>
          <w:rFonts w:hAnsi="宋体"/>
          <w:color w:val="000000" w:themeColor="text1"/>
          <w:sz w:val="24"/>
          <w:szCs w:val="24"/>
          <w:highlight w:val="none"/>
          <w14:textFill>
            <w14:solidFill>
              <w14:schemeClr w14:val="tx1"/>
            </w14:solidFill>
          </w14:textFill>
        </w:rPr>
        <w:t xml:space="preserve">质量检测报告</w:t>
      </w:r>
      <w:r>
        <w:rPr>
          <w:rFonts w:hint="eastAsia" w:hAnsi="宋体"/>
          <w:color w:val="000000" w:themeColor="text1"/>
          <w:sz w:val="24"/>
          <w:szCs w:val="24"/>
          <w:highlight w:val="none"/>
          <w14:textFill>
            <w14:solidFill>
              <w14:schemeClr w14:val="tx1"/>
            </w14:solidFill>
          </w14:textFill>
        </w:rPr>
        <w:t xml:space="preserve">作为甲方判断乙方的货物能否通过验收的条件之一，无论是否通过验收，相关检测费用均由乙方承担。</w:t>
      </w:r>
      <w:r/>
    </w:p>
    <w:p>
      <w:pPr>
        <w:pStyle w:val="1146"/>
        <w:ind w:firstLine="482"/>
        <w:spacing w:before="120" w:after="120" w:line="360" w:lineRule="auto"/>
        <w:rPr>
          <w:rFonts w:hint="eastAsia" w:hAnsi="宋体"/>
          <w:b/>
          <w:color w:val="000000" w:themeColor="text1"/>
          <w:sz w:val="24"/>
          <w:szCs w:val="24"/>
          <w:highlight w:val="none"/>
          <w14:textFill>
            <w14:solidFill>
              <w14:schemeClr w14:val="tx1"/>
            </w14:solidFill>
          </w14:textFill>
        </w:rPr>
      </w:pPr>
      <w:r>
        <w:rPr>
          <w:rFonts w:hint="eastAsia" w:hAnsi="宋体"/>
          <w:b/>
          <w:color w:val="000000" w:themeColor="text1"/>
          <w:sz w:val="24"/>
          <w:szCs w:val="24"/>
          <w:highlight w:val="none"/>
          <w14:textFill>
            <w14:solidFill>
              <w14:schemeClr w14:val="tx1"/>
            </w14:solidFill>
          </w14:textFill>
        </w:rPr>
        <w:t xml:space="preserve">七</w:t>
      </w:r>
      <w:r>
        <w:rPr>
          <w:rFonts w:hAnsi="宋体"/>
          <w:b/>
          <w:color w:val="000000" w:themeColor="text1"/>
          <w:sz w:val="24"/>
          <w:szCs w:val="24"/>
          <w:highlight w:val="none"/>
          <w14:textFill>
            <w14:solidFill>
              <w14:schemeClr w14:val="tx1"/>
            </w14:solidFill>
          </w14:textFill>
        </w:rPr>
        <w:t xml:space="preserve">、技术资料</w:t>
      </w:r>
      <w:r/>
    </w:p>
    <w:p>
      <w:pPr>
        <w:pStyle w:val="1146"/>
        <w:ind w:firstLine="480"/>
        <w:spacing w:before="120" w:after="120" w:line="360" w:lineRule="auto"/>
        <w:rPr>
          <w:rFonts w:hint="eastAsia" w:hAnsi="宋体"/>
          <w:b/>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7.1乙方应按招标文件规定的时间向甲方提供使用货物的有关技术资料。</w:t>
      </w:r>
      <w:r/>
    </w:p>
    <w:p>
      <w:pPr>
        <w:pStyle w:val="1146"/>
        <w:ind w:firstLine="480"/>
        <w:spacing w:before="120" w:after="120" w:line="360" w:lineRule="auto"/>
        <w:rPr>
          <w:rFonts w:hint="eastAsia"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7.2 </w:t>
      </w:r>
      <w:r>
        <w:rPr>
          <w:rFonts w:hint="eastAsia" w:hAnsi="宋体"/>
          <w:color w:val="000000" w:themeColor="text1"/>
          <w:sz w:val="24"/>
          <w:szCs w:val="24"/>
          <w:highlight w:val="none"/>
          <w14:textFill>
            <w14:solidFill>
              <w14:schemeClr w14:val="tx1"/>
            </w14:solidFill>
          </w14:textFill>
        </w:rPr>
        <w:t xml:space="preserve">未经</w:t>
      </w:r>
      <w:r>
        <w:rPr>
          <w:rFonts w:hAnsi="宋体"/>
          <w:color w:val="000000" w:themeColor="text1"/>
          <w:sz w:val="24"/>
          <w:szCs w:val="24"/>
          <w:highlight w:val="none"/>
          <w14:textFill>
            <w14:solidFill>
              <w14:schemeClr w14:val="tx1"/>
            </w14:solidFill>
          </w14:textFill>
        </w:rPr>
        <w:t xml:space="preserve">甲方书面同意，乙方不得将由甲方提供的有关合同或任何合同条文、规格、计划、图纸、样品或资料提供给与履行本合同无关的任何人。即使向履行本合同有关的人员提供，也应注意保密并限于履行合同的必需范围。</w:t>
      </w:r>
      <w:r/>
    </w:p>
    <w:p>
      <w:pPr>
        <w:pStyle w:val="1146"/>
        <w:ind w:firstLine="482"/>
        <w:spacing w:before="120" w:after="120" w:line="360" w:lineRule="auto"/>
        <w:rPr>
          <w:rFonts w:hint="eastAsia" w:hAnsi="宋体"/>
          <w:b/>
          <w:color w:val="000000" w:themeColor="text1"/>
          <w:sz w:val="24"/>
          <w:szCs w:val="24"/>
          <w:highlight w:val="none"/>
          <w14:textFill>
            <w14:solidFill>
              <w14:schemeClr w14:val="tx1"/>
            </w14:solidFill>
          </w14:textFill>
        </w:rPr>
      </w:pPr>
      <w:r>
        <w:rPr>
          <w:rFonts w:hint="eastAsia" w:hAnsi="宋体"/>
          <w:b/>
          <w:color w:val="000000" w:themeColor="text1"/>
          <w:sz w:val="24"/>
          <w:szCs w:val="24"/>
          <w:highlight w:val="none"/>
          <w14:textFill>
            <w14:solidFill>
              <w14:schemeClr w14:val="tx1"/>
            </w14:solidFill>
          </w14:textFill>
        </w:rPr>
        <w:t xml:space="preserve">八</w:t>
      </w:r>
      <w:r>
        <w:rPr>
          <w:rFonts w:hAnsi="宋体"/>
          <w:b/>
          <w:color w:val="000000" w:themeColor="text1"/>
          <w:sz w:val="24"/>
          <w:szCs w:val="24"/>
          <w:highlight w:val="none"/>
          <w14:textFill>
            <w14:solidFill>
              <w14:schemeClr w14:val="tx1"/>
            </w14:solidFill>
          </w14:textFill>
        </w:rPr>
        <w:t xml:space="preserve">、知识产权</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乙</w:t>
      </w:r>
      <w:r>
        <w:rPr>
          <w:rFonts w:hint="eastAsia" w:ascii="宋体" w:hAnsi="宋体"/>
          <w:color w:val="000000" w:themeColor="text1"/>
          <w:sz w:val="24"/>
          <w:highlight w:val="none"/>
          <w14:textFill>
            <w14:solidFill>
              <w14:schemeClr w14:val="tx1"/>
            </w14:solidFill>
          </w14:textFill>
        </w:rPr>
        <w:t xml:space="preserve">方应保证甲方在使用、处置本合同项下的货物时不会侵犯任何第三方的知识产权包括但不限于专利权、著作权、商标权。若涉嫌侵权，甲方因此而产生的全部损失均由乙方承担，甲方的损失包括但不限于甲方支付的赔偿费用，为提起或应付诉讼或仲裁而支出的诉讼费/仲裁费、律师费、调查费、差旅费。</w:t>
      </w:r>
      <w:r/>
    </w:p>
    <w:p>
      <w:pPr>
        <w:pStyle w:val="1146"/>
        <w:ind w:firstLine="482"/>
        <w:spacing w:before="120" w:after="120" w:line="360" w:lineRule="auto"/>
        <w:rPr>
          <w:rFonts w:hint="eastAsia" w:hAnsi="宋体"/>
          <w:b/>
          <w:color w:val="000000" w:themeColor="text1"/>
          <w:sz w:val="24"/>
          <w:szCs w:val="24"/>
          <w:highlight w:val="none"/>
          <w14:textFill>
            <w14:solidFill>
              <w14:schemeClr w14:val="tx1"/>
            </w14:solidFill>
          </w14:textFill>
        </w:rPr>
      </w:pPr>
      <w:r>
        <w:rPr>
          <w:rFonts w:hint="eastAsia" w:hAnsi="宋体"/>
          <w:b/>
          <w:color w:val="000000" w:themeColor="text1"/>
          <w:sz w:val="24"/>
          <w:szCs w:val="24"/>
          <w:highlight w:val="none"/>
          <w14:textFill>
            <w14:solidFill>
              <w14:schemeClr w14:val="tx1"/>
            </w14:solidFill>
          </w14:textFill>
        </w:rPr>
        <w:t xml:space="preserve">九</w:t>
      </w:r>
      <w:r>
        <w:rPr>
          <w:rFonts w:hAnsi="宋体"/>
          <w:b/>
          <w:color w:val="000000" w:themeColor="text1"/>
          <w:sz w:val="24"/>
          <w:szCs w:val="24"/>
          <w:highlight w:val="none"/>
          <w14:textFill>
            <w14:solidFill>
              <w14:schemeClr w14:val="tx1"/>
            </w14:solidFill>
          </w14:textFill>
        </w:rPr>
        <w:t xml:space="preserve">、违约责任</w:t>
      </w:r>
      <w:r/>
    </w:p>
    <w:p>
      <w:pPr>
        <w:pStyle w:val="1146"/>
        <w:ind w:firstLine="480"/>
        <w:spacing w:before="120" w:after="120" w:line="360" w:lineRule="auto"/>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9.1 乙方履约的前提下，甲方无正当理由拒收货物的，甲方向乙方偿付拒收货款总值的万分之五违约金。甲方未按合同规定的时间和要求向乙方提供相关安装条件，乙方交付时间顺延。</w:t>
      </w:r>
      <w:r/>
    </w:p>
    <w:p>
      <w:pPr>
        <w:pStyle w:val="1146"/>
        <w:ind w:firstLine="480"/>
        <w:spacing w:before="120" w:after="120" w:line="360" w:lineRule="auto"/>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9.2 乙方履约的前提下，甲方无故迟延支付货款的,甲方应按逾期付款总额每日万分之五向乙方支付违约金。</w:t>
      </w:r>
      <w:r/>
    </w:p>
    <w:p>
      <w:pPr>
        <w:pStyle w:val="1146"/>
        <w:ind w:firstLine="480"/>
        <w:spacing w:before="120" w:after="120" w:line="360" w:lineRule="auto"/>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9.3 乙方逾期交付货物的，乙方应按逾期交货总额每日万分之五向甲方支付违约金。逾期超过约定日期10个工作日不能交货的，甲方可单方解除本合同，解除通知自送达时生效。乙方因逾期交货或因其他违约行为导致甲方解除合同的，乙方应向甲方支付合同总值5%的违约金，如造成甲方损失超过违约金的，超出部分由乙方继续承担赔偿责任。 </w:t>
      </w:r>
      <w:r/>
    </w:p>
    <w:p>
      <w:pPr>
        <w:pStyle w:val="1146"/>
        <w:ind w:firstLine="480"/>
        <w:spacing w:before="120" w:after="120" w:line="360" w:lineRule="auto"/>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9.4 乙方供给甲方的设备、材料及乙方自己的施工用具，进入甲方工地现场后的保管，由乙方负责，乙方在甲方工地现场安装、调试、验收人员的安全、保险、食宿和交通由乙方全权负责。因乙方原因给甲方造成损失的，甲方有权向乙方追偿。</w:t>
      </w:r>
      <w:r/>
    </w:p>
    <w:p>
      <w:pPr>
        <w:pStyle w:val="1146"/>
        <w:ind w:firstLine="480"/>
        <w:spacing w:before="120" w:after="120" w:line="360" w:lineRule="auto"/>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9.5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pStyle w:val="1146"/>
        <w:ind w:firstLine="480"/>
        <w:spacing w:before="120" w:after="120" w:line="360" w:lineRule="auto"/>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9.6 如未能通过验收，乙方所供货物应在验收后一周内运离安装地点，所需费用由乙方承担，如乙方未在验收后一个月内运离，视为乙方放弃该货物，甲方有权自行处置（包括废物处理），同时，乙方还需支付甲方总货款的10%作为违约金。</w:t>
      </w:r>
      <w:r/>
    </w:p>
    <w:p>
      <w:pPr>
        <w:pStyle w:val="1146"/>
        <w:ind w:firstLine="480"/>
        <w:spacing w:before="120" w:after="120" w:line="360" w:lineRule="auto"/>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9.7 本合同所有货物的制造及安装，都必须由乙方自己或投标文件中明确的单位承担，不得分包或者转包给其他单位，否则，甲方有权单方解除本合同，解除通知自送达时生效。合同解除后，乙方还应向甲方支付合同总值5%的违约金。 </w:t>
      </w:r>
      <w:r/>
    </w:p>
    <w:p>
      <w:pPr>
        <w:pStyle w:val="1146"/>
        <w:ind w:firstLine="480"/>
        <w:spacing w:before="120" w:after="120" w:line="360" w:lineRule="auto"/>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9.8 乙方履行义务不符合合同约定时，甲方有权扣减总货款的10%作为违约金。</w:t>
      </w:r>
      <w:r/>
    </w:p>
    <w:p>
      <w:pPr>
        <w:pStyle w:val="1146"/>
        <w:ind w:firstLine="480"/>
        <w:spacing w:before="120" w:after="120" w:line="360" w:lineRule="auto"/>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9.9 本合同前述条款约定的乙方应支付的违约金、赔偿金等全部款项，甲方均有权直接从履约保证金中扣除；履约保证金不足抵扣的，乙方应在收到甲方书面通知后3个工作日内补足差额，逾期未补足的，甲方有权按逾期金额的每日万分之五向乙方加收违约金。</w:t>
      </w:r>
      <w:r/>
    </w:p>
    <w:p>
      <w:pPr>
        <w:pStyle w:val="1146"/>
        <w:ind w:firstLine="482"/>
        <w:spacing w:before="120" w:after="120" w:line="360" w:lineRule="auto"/>
        <w:rPr>
          <w:rFonts w:hint="eastAsia" w:hAnsi="宋体"/>
          <w:b/>
          <w:color w:val="000000" w:themeColor="text1"/>
          <w:sz w:val="24"/>
          <w:szCs w:val="24"/>
          <w:highlight w:val="none"/>
          <w14:textFill>
            <w14:solidFill>
              <w14:schemeClr w14:val="tx1"/>
            </w14:solidFill>
          </w14:textFill>
        </w:rPr>
      </w:pPr>
      <w:r>
        <w:rPr>
          <w:rFonts w:hint="eastAsia" w:hAnsi="宋体"/>
          <w:b/>
          <w:color w:val="000000" w:themeColor="text1"/>
          <w:sz w:val="24"/>
          <w:szCs w:val="24"/>
          <w:highlight w:val="none"/>
          <w14:textFill>
            <w14:solidFill>
              <w14:schemeClr w14:val="tx1"/>
            </w14:solidFill>
          </w14:textFill>
        </w:rPr>
        <w:t xml:space="preserve">十</w:t>
      </w:r>
      <w:r>
        <w:rPr>
          <w:rFonts w:hAnsi="宋体"/>
          <w:b/>
          <w:color w:val="000000" w:themeColor="text1"/>
          <w:sz w:val="24"/>
          <w:szCs w:val="24"/>
          <w:highlight w:val="none"/>
          <w14:textFill>
            <w14:solidFill>
              <w14:schemeClr w14:val="tx1"/>
            </w14:solidFill>
          </w14:textFill>
        </w:rPr>
        <w:t xml:space="preserve">、不可抗力事件处理</w:t>
      </w:r>
      <w:r/>
    </w:p>
    <w:p>
      <w:pPr>
        <w:pStyle w:val="1146"/>
        <w:ind w:firstLine="480"/>
        <w:spacing w:before="120" w:after="120" w:line="360" w:lineRule="auto"/>
        <w:rPr>
          <w:rFonts w:hint="eastAsia"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10.1 在合同有效期内，任何一方因不可抗力事件导致不能履行合同，则合同履行期可延长，其延长期与不可抗力影响期相同。</w:t>
      </w:r>
      <w:r/>
    </w:p>
    <w:p>
      <w:pPr>
        <w:pStyle w:val="1146"/>
        <w:ind w:firstLine="480"/>
        <w:spacing w:before="120" w:after="120" w:line="360" w:lineRule="auto"/>
        <w:rPr>
          <w:rFonts w:hint="eastAsia"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10.2 不可抗力事件发生后</w:t>
      </w:r>
      <w:r>
        <w:rPr>
          <w:rFonts w:hint="eastAsia" w:hAnsi="宋体"/>
          <w:color w:val="000000" w:themeColor="text1"/>
          <w:sz w:val="24"/>
          <w:szCs w:val="24"/>
          <w:highlight w:val="none"/>
          <w14:textFill>
            <w14:solidFill>
              <w14:schemeClr w14:val="tx1"/>
            </w14:solidFill>
          </w14:textFill>
        </w:rPr>
        <w:t xml:space="preserve">，</w:t>
      </w:r>
      <w:r>
        <w:rPr>
          <w:rFonts w:hAnsi="宋体"/>
          <w:color w:val="000000" w:themeColor="text1"/>
          <w:sz w:val="24"/>
          <w:szCs w:val="24"/>
          <w:highlight w:val="none"/>
          <w14:textFill>
            <w14:solidFill>
              <w14:schemeClr w14:val="tx1"/>
            </w14:solidFill>
          </w14:textFill>
        </w:rPr>
        <w:t xml:space="preserve">应立即通知对方，并寄送有关权威机构出具的证明。</w:t>
      </w:r>
      <w:r/>
    </w:p>
    <w:p>
      <w:pPr>
        <w:pStyle w:val="1146"/>
        <w:ind w:firstLine="480"/>
        <w:spacing w:before="120" w:after="120" w:line="360" w:lineRule="auto"/>
        <w:rPr>
          <w:rFonts w:hint="eastAsia"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10.3 不可抗力事件延续30天以上，双方应通过友好协商，确定是否继续履行合同。</w:t>
      </w:r>
      <w:r/>
    </w:p>
    <w:p>
      <w:pPr>
        <w:pStyle w:val="1146"/>
        <w:ind w:firstLine="482"/>
        <w:spacing w:before="120" w:after="120" w:line="360" w:lineRule="auto"/>
        <w:rPr>
          <w:rFonts w:hint="eastAsia" w:hAnsi="宋体"/>
          <w:b/>
          <w:color w:val="000000" w:themeColor="text1"/>
          <w:sz w:val="24"/>
          <w:szCs w:val="24"/>
          <w:highlight w:val="none"/>
          <w14:textFill>
            <w14:solidFill>
              <w14:schemeClr w14:val="tx1"/>
            </w14:solidFill>
          </w14:textFill>
        </w:rPr>
      </w:pPr>
      <w:r>
        <w:rPr>
          <w:rFonts w:hAnsi="宋体"/>
          <w:b/>
          <w:color w:val="000000" w:themeColor="text1"/>
          <w:sz w:val="24"/>
          <w:szCs w:val="24"/>
          <w:highlight w:val="none"/>
          <w14:textFill>
            <w14:solidFill>
              <w14:schemeClr w14:val="tx1"/>
            </w14:solidFill>
          </w14:textFill>
        </w:rPr>
        <w:t xml:space="preserve">十</w:t>
      </w:r>
      <w:r>
        <w:rPr>
          <w:rFonts w:hint="eastAsia" w:hAnsi="宋体"/>
          <w:b/>
          <w:color w:val="000000" w:themeColor="text1"/>
          <w:sz w:val="24"/>
          <w:szCs w:val="24"/>
          <w:highlight w:val="none"/>
          <w14:textFill>
            <w14:solidFill>
              <w14:schemeClr w14:val="tx1"/>
            </w14:solidFill>
          </w14:textFill>
        </w:rPr>
        <w:t xml:space="preserve">一</w:t>
      </w:r>
      <w:r>
        <w:rPr>
          <w:rFonts w:hAnsi="宋体"/>
          <w:b/>
          <w:color w:val="000000" w:themeColor="text1"/>
          <w:sz w:val="24"/>
          <w:szCs w:val="24"/>
          <w:highlight w:val="none"/>
          <w14:textFill>
            <w14:solidFill>
              <w14:schemeClr w14:val="tx1"/>
            </w14:solidFill>
          </w14:textFill>
        </w:rPr>
        <w:t xml:space="preserve">、诉讼</w:t>
      </w:r>
      <w:r/>
    </w:p>
    <w:p>
      <w:pPr>
        <w:pStyle w:val="1146"/>
        <w:ind w:firstLine="480"/>
        <w:spacing w:before="120" w:after="120" w:line="360" w:lineRule="auto"/>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双方在执行合同中所发生的一切争议，应通过协商解决。如协商不成，双方均应向甲方所在地人民法院提起诉讼。因诉讼产生的相关费用及开支（包括但不限于公证费、诉讼费、保全费、保全担保费、鉴定费、律师费、交通费用）均由败诉方承担。</w:t>
      </w:r>
      <w:r/>
    </w:p>
    <w:p>
      <w:pPr>
        <w:pStyle w:val="1146"/>
        <w:ind w:firstLine="482"/>
        <w:spacing w:before="120" w:after="120" w:line="360" w:lineRule="auto"/>
        <w:rPr>
          <w:rFonts w:hint="eastAsia" w:hAnsi="宋体"/>
          <w:b/>
          <w:color w:val="000000" w:themeColor="text1"/>
          <w:sz w:val="24"/>
          <w:szCs w:val="24"/>
          <w:highlight w:val="none"/>
          <w14:textFill>
            <w14:solidFill>
              <w14:schemeClr w14:val="tx1"/>
            </w14:solidFill>
          </w14:textFill>
        </w:rPr>
      </w:pPr>
      <w:r>
        <w:rPr>
          <w:rFonts w:hAnsi="宋体"/>
          <w:b/>
          <w:color w:val="000000" w:themeColor="text1"/>
          <w:sz w:val="24"/>
          <w:szCs w:val="24"/>
          <w:highlight w:val="none"/>
          <w14:textFill>
            <w14:solidFill>
              <w14:schemeClr w14:val="tx1"/>
            </w14:solidFill>
          </w14:textFill>
        </w:rPr>
        <w:t xml:space="preserve">十</w:t>
      </w:r>
      <w:r>
        <w:rPr>
          <w:rFonts w:hint="eastAsia" w:hAnsi="宋体"/>
          <w:b/>
          <w:color w:val="000000" w:themeColor="text1"/>
          <w:sz w:val="24"/>
          <w:szCs w:val="24"/>
          <w:highlight w:val="none"/>
          <w14:textFill>
            <w14:solidFill>
              <w14:schemeClr w14:val="tx1"/>
            </w14:solidFill>
          </w14:textFill>
        </w:rPr>
        <w:t xml:space="preserve">二</w:t>
      </w:r>
      <w:r>
        <w:rPr>
          <w:rFonts w:hAnsi="宋体"/>
          <w:b/>
          <w:color w:val="000000" w:themeColor="text1"/>
          <w:sz w:val="24"/>
          <w:szCs w:val="24"/>
          <w:highlight w:val="none"/>
          <w14:textFill>
            <w14:solidFill>
              <w14:schemeClr w14:val="tx1"/>
            </w14:solidFill>
          </w14:textFill>
        </w:rPr>
        <w:t xml:space="preserve">、合同生效及其它</w:t>
      </w:r>
      <w:r/>
    </w:p>
    <w:p>
      <w:pPr>
        <w:pStyle w:val="1146"/>
        <w:ind w:firstLine="480"/>
        <w:spacing w:before="120" w:after="120" w:line="360" w:lineRule="auto"/>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12.1招投标文件、中标通知书作为合同的附件，与本合同具有同等法律效力。合同经双方法定代表人或授权委托代表人签字、盖章后生效。</w:t>
      </w:r>
      <w:r/>
    </w:p>
    <w:p>
      <w:pPr>
        <w:pStyle w:val="1146"/>
        <w:ind w:firstLine="480"/>
        <w:spacing w:before="120" w:after="120" w:line="360" w:lineRule="auto"/>
        <w:rPr>
          <w:rFonts w:hint="eastAsia"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12.2本合同未尽事宜，遵照《中华人民共和国民法典》有关条文执行。</w:t>
      </w:r>
      <w:r/>
    </w:p>
    <w:p>
      <w:pPr>
        <w:pStyle w:val="1146"/>
        <w:ind w:firstLine="480"/>
        <w:spacing w:before="120" w:after="120" w:line="360" w:lineRule="auto"/>
        <w:rPr>
          <w:rFonts w:hint="eastAsia"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12.3 本合同正本一式</w:t>
      </w:r>
      <w:r>
        <w:rPr>
          <w:rFonts w:hint="eastAsia" w:hAnsi="宋体" w:cs="宋体"/>
          <w:color w:val="000000" w:themeColor="text1"/>
          <w:sz w:val="24"/>
          <w:szCs w:val="24"/>
          <w:highlight w:val="none"/>
          <w:u w:val="single"/>
          <w14:textFill>
            <w14:solidFill>
              <w14:schemeClr w14:val="tx1"/>
            </w14:solidFill>
          </w14:textFill>
        </w:rPr>
        <w:t xml:space="preserve">     </w:t>
      </w:r>
      <w:r>
        <w:rPr>
          <w:rFonts w:hint="eastAsia" w:hAnsi="宋体" w:cs="宋体"/>
          <w:color w:val="000000" w:themeColor="text1"/>
          <w:sz w:val="24"/>
          <w:szCs w:val="24"/>
          <w:highlight w:val="none"/>
          <w14:textFill>
            <w14:solidFill>
              <w14:schemeClr w14:val="tx1"/>
            </w14:solidFill>
          </w14:textFill>
        </w:rPr>
        <w:t xml:space="preserve">份，甲方</w:t>
      </w:r>
      <w:r>
        <w:rPr>
          <w:rFonts w:hint="eastAsia" w:hAnsi="宋体" w:cs="宋体"/>
          <w:color w:val="000000" w:themeColor="text1"/>
          <w:sz w:val="24"/>
          <w:szCs w:val="24"/>
          <w:highlight w:val="none"/>
          <w:u w:val="single"/>
          <w14:textFill>
            <w14:solidFill>
              <w14:schemeClr w14:val="tx1"/>
            </w14:solidFill>
          </w14:textFill>
        </w:rPr>
        <w:t xml:space="preserve">     </w:t>
      </w:r>
      <w:r>
        <w:rPr>
          <w:rFonts w:hint="eastAsia" w:hAnsi="宋体" w:cs="宋体"/>
          <w:color w:val="000000" w:themeColor="text1"/>
          <w:sz w:val="24"/>
          <w:szCs w:val="24"/>
          <w:highlight w:val="none"/>
          <w14:textFill>
            <w14:solidFill>
              <w14:schemeClr w14:val="tx1"/>
            </w14:solidFill>
          </w14:textFill>
        </w:rPr>
        <w:t xml:space="preserve">份，乙方</w:t>
      </w:r>
      <w:r>
        <w:rPr>
          <w:rFonts w:hint="eastAsia" w:hAnsi="宋体" w:cs="宋体"/>
          <w:color w:val="000000" w:themeColor="text1"/>
          <w:sz w:val="24"/>
          <w:szCs w:val="24"/>
          <w:highlight w:val="none"/>
          <w:u w:val="single"/>
          <w14:textFill>
            <w14:solidFill>
              <w14:schemeClr w14:val="tx1"/>
            </w14:solidFill>
          </w14:textFill>
        </w:rPr>
        <w:t xml:space="preserve">    </w:t>
      </w:r>
      <w:r>
        <w:rPr>
          <w:rFonts w:hint="eastAsia" w:hAnsi="宋体" w:cs="宋体"/>
          <w:color w:val="000000" w:themeColor="text1"/>
          <w:sz w:val="24"/>
          <w:szCs w:val="24"/>
          <w:highlight w:val="none"/>
          <w14:textFill>
            <w14:solidFill>
              <w14:schemeClr w14:val="tx1"/>
            </w14:solidFill>
          </w14:textFill>
        </w:rPr>
        <w:t xml:space="preserve">份，具有同等法律效力。</w:t>
      </w:r>
      <w:r/>
    </w:p>
    <w:p>
      <w:pPr>
        <w:pStyle w:val="1146"/>
        <w:ind w:firstLine="480"/>
        <w:spacing w:before="120" w:after="120" w:line="360" w:lineRule="auto"/>
        <w:rPr>
          <w:rFonts w:hint="eastAsia"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12.4 其他：</w:t>
      </w:r>
      <w:r>
        <w:rPr>
          <w:rFonts w:hint="eastAsia" w:hAnsi="宋体" w:cs="宋体"/>
          <w:color w:val="000000" w:themeColor="text1"/>
          <w:sz w:val="24"/>
          <w:szCs w:val="24"/>
          <w:highlight w:val="none"/>
          <w:u w:val="single"/>
          <w14:textFill>
            <w14:solidFill>
              <w14:schemeClr w14:val="tx1"/>
            </w14:solidFill>
          </w14:textFill>
        </w:rPr>
        <w:t xml:space="preserve">                                              </w:t>
      </w:r>
      <w:r>
        <w:rPr>
          <w:rFonts w:hint="eastAsia" w:hAnsi="宋体" w:cs="宋体"/>
          <w:color w:val="000000" w:themeColor="text1"/>
          <w:sz w:val="24"/>
          <w:szCs w:val="24"/>
          <w:highlight w:val="none"/>
          <w14:textFill>
            <w14:solidFill>
              <w14:schemeClr w14:val="tx1"/>
            </w14:solidFill>
          </w14:textFill>
        </w:rPr>
        <w:t xml:space="preserve">。 </w:t>
      </w:r>
      <w:r/>
    </w:p>
    <w:p>
      <w:pPr>
        <w:pStyle w:val="1146"/>
        <w:ind w:firstLine="420"/>
        <w:spacing w:before="120" w:after="120" w:line="360" w:lineRule="auto"/>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r>
      <w:r/>
    </w:p>
    <w:p>
      <w:pPr>
        <w:pStyle w:val="1146"/>
        <w:ind w:firstLine="480"/>
        <w:spacing w:before="120" w:after="120" w:line="360" w:lineRule="auto"/>
        <w:rPr>
          <w:rFonts w:hint="eastAsia"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（以下无正文，为签字盖章处）</w:t>
      </w:r>
      <w:r/>
    </w:p>
    <w:p>
      <w:pPr>
        <w:pStyle w:val="1146"/>
        <w:ind w:firstLine="480"/>
        <w:spacing w:before="120" w:after="120"/>
        <w:rPr>
          <w:rFonts w:hint="eastAsia"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   </w:t>
      </w:r>
      <w:r/>
    </w:p>
    <w:p>
      <w:pPr>
        <w:pStyle w:val="1146"/>
        <w:spacing w:before="120" w:after="120" w:line="240" w:lineRule="atLeast"/>
        <w:rPr>
          <w:rFonts w:hint="eastAsia"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r>
      <w:r/>
    </w:p>
    <w:p>
      <w:pPr>
        <w:pStyle w:val="1146"/>
        <w:spacing w:before="120" w:after="120" w:line="300" w:lineRule="auto"/>
        <w:rPr>
          <w:rFonts w:hint="eastAsia"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甲方： 南京医科大学（盖章）                 乙方： （盖章）</w:t>
      </w:r>
      <w:r/>
    </w:p>
    <w:p>
      <w:pPr>
        <w:pStyle w:val="1146"/>
        <w:spacing w:before="120" w:after="120" w:line="300" w:lineRule="auto"/>
        <w:rPr>
          <w:rFonts w:hint="eastAsia"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地址：南京市江宁区龙眠大道101号            地址： </w:t>
      </w:r>
      <w:r/>
    </w:p>
    <w:p>
      <w:pPr>
        <w:pStyle w:val="1146"/>
        <w:spacing w:before="120" w:after="120" w:line="300" w:lineRule="auto"/>
        <w:rPr>
          <w:rFonts w:hint="eastAsia"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法定代表人/授权代表：（签字）               法定代表人/授权代表：（签字）</w:t>
      </w:r>
      <w:r/>
    </w:p>
    <w:p>
      <w:pPr>
        <w:pStyle w:val="1146"/>
        <w:spacing w:before="120" w:after="120" w:line="300" w:lineRule="auto"/>
        <w:rPr>
          <w:rFonts w:hint="eastAsia" w:asciiTheme="minorEastAsia" w:hAnsiTheme="minorEastAsia" w:eastAsiaTheme="minorEastAsia"/>
          <w:color w:val="000000" w:themeColor="text1"/>
          <w:sz w:val="28"/>
          <w:szCs w:val="28"/>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签订日期：   年    月    日                 签订日期：   年    月    日</w:t>
      </w:r>
      <w:r/>
    </w:p>
    <w:p>
      <w:pPr>
        <w:jc w:val="left"/>
        <w:spacing w:line="560" w:lineRule="exact"/>
        <w:rPr>
          <w:rFonts w:eastAsia="仿宋"/>
          <w:color w:val="000000" w:themeColor="text1"/>
          <w:sz w:val="28"/>
          <w:szCs w:val="28"/>
          <w:highlight w:val="none"/>
          <w14:textFill>
            <w14:solidFill>
              <w14:schemeClr w14:val="tx1"/>
            </w14:solidFill>
          </w14:textFill>
        </w:rPr>
      </w:pPr>
      <w:r>
        <w:rPr>
          <w:rFonts w:eastAsia="仿宋"/>
          <w:color w:val="000000" w:themeColor="text1"/>
          <w:sz w:val="28"/>
          <w:szCs w:val="28"/>
          <w:highlight w:val="none"/>
          <w14:textFill>
            <w14:solidFill>
              <w14:schemeClr w14:val="tx1"/>
            </w14:solidFill>
          </w14:textFill>
        </w:rPr>
      </w:r>
      <w:r/>
    </w:p>
    <w:p>
      <w:pPr>
        <w:jc w:val="left"/>
        <w:spacing w:line="560" w:lineRule="exact"/>
        <w:rPr>
          <w:rFonts w:eastAsia="仿宋"/>
          <w:color w:val="000000" w:themeColor="text1"/>
          <w:sz w:val="28"/>
          <w:szCs w:val="28"/>
          <w:highlight w:val="none"/>
          <w:lang w:val="zh-CN"/>
          <w14:textFill>
            <w14:solidFill>
              <w14:schemeClr w14:val="tx1"/>
            </w14:solidFill>
          </w14:textFill>
        </w:rPr>
      </w:pPr>
      <w:r>
        <w:rPr>
          <w:rFonts w:hint="eastAsia" w:eastAsia="仿宋"/>
          <w:color w:val="000000" w:themeColor="text1"/>
          <w:sz w:val="28"/>
          <w:szCs w:val="28"/>
          <w:highlight w:val="none"/>
          <w14:textFill>
            <w14:solidFill>
              <w14:schemeClr w14:val="tx1"/>
            </w14:solidFill>
          </w14:textFill>
        </w:rPr>
        <w:t xml:space="preserve">附件1：分项报价表</w:t>
      </w:r>
      <w:r/>
    </w:p>
    <w:tbl>
      <w:tblPr>
        <w:tblStyle w:val="112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6"/>
        <w:gridCol w:w="1096"/>
        <w:gridCol w:w="656"/>
        <w:gridCol w:w="656"/>
        <w:gridCol w:w="656"/>
        <w:gridCol w:w="1096"/>
        <w:gridCol w:w="1096"/>
        <w:gridCol w:w="1096"/>
      </w:tblGrid>
      <w:tr>
        <w:trPr>
          <w:trHeight w:val="677"/>
        </w:trPr>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标的名称</w:t>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数量</w:t>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单位</w:t>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品牌</w:t>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规格型号</w:t>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单价</w:t>
            </w:r>
            <w:r/>
          </w:p>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（万元）</w:t>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总价</w:t>
            </w:r>
            <w:r/>
          </w:p>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（万元）</w:t>
            </w:r>
            <w:r/>
          </w:p>
        </w:tc>
      </w:tr>
      <w:tr>
        <w:trPr>
          <w:trHeight w:val="547"/>
        </w:trPr>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547"/>
        </w:trPr>
        <w:tc>
          <w:tcPr>
            <w:gridSpan w:val="4"/>
            <w:tcBorders>
              <w:top w:val="single" w:color="auto" w:sz="4" w:space="0"/>
              <w:left w:val="single" w:color="auto" w:sz="4" w:space="0"/>
              <w:bottom w:val="single" w:color="auto" w:sz="4" w:space="0"/>
              <w:right w:val="single" w:color="auto" w:sz="4" w:space="0"/>
            </w:tcBorders>
            <w:tcW w:w="3064" w:type="dxa"/>
            <w:vAlign w:val="center"/>
            <w:textDirection w:val="lrTb"/>
            <w:noWrap w:val="false"/>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合计</w:t>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bl>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spacing w:line="560" w:lineRule="exact"/>
        <w:rPr>
          <w:rFonts w:eastAsia="仿宋"/>
          <w:color w:val="000000" w:themeColor="text1"/>
          <w:sz w:val="28"/>
          <w:szCs w:val="28"/>
          <w:highlight w:val="none"/>
          <w14:textFill>
            <w14:solidFill>
              <w14:schemeClr w14:val="tx1"/>
            </w14:solidFill>
          </w14:textFill>
        </w:rPr>
      </w:pPr>
      <w:r>
        <w:rPr>
          <w:rFonts w:eastAsia="仿宋"/>
          <w:color w:val="000000" w:themeColor="text1"/>
          <w:sz w:val="28"/>
          <w:szCs w:val="28"/>
          <w:highlight w:val="none"/>
          <w14:textFill>
            <w14:solidFill>
              <w14:schemeClr w14:val="tx1"/>
            </w14:solidFill>
          </w14:textFill>
        </w:rPr>
      </w:r>
      <w:r/>
    </w:p>
    <w:p>
      <w:pPr>
        <w:jc w:val="left"/>
        <w:spacing w:line="560" w:lineRule="exact"/>
        <w:rPr>
          <w:rFonts w:eastAsia="仿宋"/>
          <w:color w:val="000000" w:themeColor="text1"/>
          <w:sz w:val="28"/>
          <w:szCs w:val="28"/>
          <w:highlight w:val="none"/>
          <w14:textFill>
            <w14:solidFill>
              <w14:schemeClr w14:val="tx1"/>
            </w14:solidFill>
          </w14:textFill>
        </w:rPr>
      </w:pPr>
      <w:r>
        <w:rPr>
          <w:rFonts w:hint="eastAsia" w:eastAsia="仿宋"/>
          <w:color w:val="000000" w:themeColor="text1"/>
          <w:sz w:val="28"/>
          <w:szCs w:val="28"/>
          <w:highlight w:val="none"/>
          <w14:textFill>
            <w14:solidFill>
              <w14:schemeClr w14:val="tx1"/>
            </w14:solidFill>
          </w14:textFill>
        </w:rPr>
        <w:t xml:space="preserve">附件2：货物配置清单</w:t>
      </w:r>
      <w:r/>
    </w:p>
    <w:p>
      <w:pPr>
        <w:pStyle w:val="1143"/>
        <w:ind w:left="0"/>
        <w:rPr>
          <w:rFonts w:ascii="Times New Roman" w:hAnsi="Times New Roman" w:eastAsia="仿宋"/>
          <w:color w:val="000000" w:themeColor="text1"/>
          <w:sz w:val="28"/>
          <w:szCs w:val="28"/>
          <w:highlight w:val="none"/>
          <w14:textFill>
            <w14:solidFill>
              <w14:schemeClr w14:val="tx1"/>
            </w14:solidFill>
          </w14:textFill>
        </w:rPr>
      </w:pPr>
      <w:r>
        <w:rPr>
          <w:rFonts w:ascii="Times New Roman" w:hAnsi="Times New Roman" w:eastAsia="仿宋"/>
          <w:color w:val="000000" w:themeColor="text1"/>
          <w:sz w:val="28"/>
          <w:szCs w:val="28"/>
          <w:highlight w:val="none"/>
          <w14:textFill>
            <w14:solidFill>
              <w14:schemeClr w14:val="tx1"/>
            </w14:solidFill>
          </w14:textFill>
        </w:rPr>
      </w:r>
      <w:r/>
    </w:p>
    <w:p>
      <w:pPr>
        <w:pStyle w:val="1143"/>
        <w:ind w:left="0"/>
        <w:rPr>
          <w:rFonts w:ascii="Times New Roman" w:hAnsi="Times New Roman" w:eastAsia="仿宋"/>
          <w:color w:val="000000" w:themeColor="text1"/>
          <w:sz w:val="28"/>
          <w:szCs w:val="28"/>
          <w:highlight w:val="none"/>
          <w14:textFill>
            <w14:solidFill>
              <w14:schemeClr w14:val="tx1"/>
            </w14:solidFill>
          </w14:textFill>
        </w:rPr>
      </w:pPr>
      <w:r>
        <w:rPr>
          <w:rFonts w:ascii="Times New Roman" w:hAnsi="Times New Roman" w:eastAsia="仿宋"/>
          <w:color w:val="000000" w:themeColor="text1"/>
          <w:sz w:val="28"/>
          <w:szCs w:val="28"/>
          <w:highlight w:val="none"/>
          <w14:textFill>
            <w14:solidFill>
              <w14:schemeClr w14:val="tx1"/>
            </w14:solidFill>
          </w14:textFill>
        </w:rPr>
      </w:r>
      <w:r/>
    </w:p>
    <w:p>
      <w:pPr>
        <w:pStyle w:val="1143"/>
        <w:ind w:left="0"/>
        <w:rPr>
          <w:rFonts w:ascii="Times New Roman" w:hAnsi="Times New Roman" w:eastAsia="仿宋"/>
          <w:color w:val="000000" w:themeColor="text1"/>
          <w:sz w:val="28"/>
          <w:szCs w:val="28"/>
          <w:highlight w:val="none"/>
          <w14:textFill>
            <w14:solidFill>
              <w14:schemeClr w14:val="tx1"/>
            </w14:solidFill>
          </w14:textFill>
        </w:rPr>
      </w:pPr>
      <w:r>
        <w:rPr>
          <w:rFonts w:ascii="Times New Roman" w:hAnsi="Times New Roman" w:eastAsia="仿宋"/>
          <w:color w:val="000000" w:themeColor="text1"/>
          <w:sz w:val="28"/>
          <w:szCs w:val="28"/>
          <w:highlight w:val="none"/>
          <w14:textFill>
            <w14:solidFill>
              <w14:schemeClr w14:val="tx1"/>
            </w14:solidFill>
          </w14:textFill>
        </w:rPr>
      </w:r>
      <w:r/>
    </w:p>
    <w:p>
      <w:pPr>
        <w:pStyle w:val="1143"/>
        <w:ind w:left="0"/>
        <w:rPr>
          <w:rFonts w:ascii="Times New Roman" w:hAnsi="Times New Roman" w:eastAsia="仿宋"/>
          <w:color w:val="000000" w:themeColor="text1"/>
          <w:sz w:val="28"/>
          <w:szCs w:val="28"/>
          <w:highlight w:val="none"/>
          <w14:textFill>
            <w14:solidFill>
              <w14:schemeClr w14:val="tx1"/>
            </w14:solidFill>
          </w14:textFill>
        </w:rPr>
      </w:pPr>
      <w:r>
        <w:rPr>
          <w:rFonts w:hint="eastAsia" w:ascii="Times New Roman" w:hAnsi="Times New Roman" w:eastAsia="仿宋"/>
          <w:color w:val="000000" w:themeColor="text1"/>
          <w:sz w:val="28"/>
          <w:szCs w:val="28"/>
          <w:highlight w:val="none"/>
          <w14:textFill>
            <w14:solidFill>
              <w14:schemeClr w14:val="tx1"/>
            </w14:solidFill>
          </w14:textFill>
        </w:rPr>
        <w:t xml:space="preserve">附件3：履约保证金退还申请单</w:t>
      </w:r>
      <w:r/>
    </w:p>
    <w:p>
      <w:pPr>
        <w:spacing w:line="48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制表单位：</w:t>
      </w:r>
      <w:r>
        <w:rPr>
          <w:color w:val="000000" w:themeColor="text1"/>
          <w:sz w:val="24"/>
          <w:highlight w:val="none"/>
          <w14:textFill>
            <w14:solidFill>
              <w14:schemeClr w14:val="tx1"/>
            </w14:solidFill>
          </w14:textFill>
        </w:rPr>
        <w:t xml:space="preserve"> </w:t>
      </w:r>
      <w:r/>
    </w:p>
    <w:tbl>
      <w:tblPr>
        <w:tblStyle w:val="1129"/>
        <w:tblW w:w="8583" w:type="dxa"/>
        <w:tblInd w:w="0" w:type="dxa"/>
        <w:tblLayout w:type="autofit"/>
        <w:tblCellMar>
          <w:left w:w="108" w:type="dxa"/>
          <w:top w:w="0" w:type="dxa"/>
          <w:right w:w="108" w:type="dxa"/>
          <w:bottom w:w="0" w:type="dxa"/>
        </w:tblCellMar>
        <w:tblLook w:val="04A0" w:firstRow="1" w:lastRow="0" w:firstColumn="1" w:lastColumn="0" w:noHBand="0" w:noVBand="1"/>
      </w:tblPr>
      <w:tblGrid>
        <w:gridCol w:w="2647"/>
        <w:gridCol w:w="5936"/>
      </w:tblGrid>
      <w:tr>
        <w:trPr>
          <w:trHeight w:val="759"/>
        </w:trPr>
        <w:tc>
          <w:tcPr>
            <w:gridSpan w:val="2"/>
            <w:tcBorders>
              <w:top w:val="single" w:color="000000" w:sz="4" w:space="0"/>
              <w:left w:val="single" w:color="000000" w:sz="4" w:space="0"/>
              <w:bottom w:val="single" w:color="000000" w:sz="4" w:space="0"/>
              <w:right w:val="single" w:color="000000" w:sz="4" w:space="0"/>
            </w:tcBorders>
            <w:tcW w:w="8583" w:type="dxa"/>
            <w:vAlign w:val="center"/>
            <w:textDirection w:val="lrTb"/>
            <w:noWrap w:val="false"/>
          </w:tcPr>
          <w:p>
            <w:pPr>
              <w:jc w:val="center"/>
              <w:rPr>
                <w:color w:val="000000" w:themeColor="text1"/>
                <w:sz w:val="24"/>
                <w:highlight w:val="none"/>
                <w14:textFill>
                  <w14:solidFill>
                    <w14:schemeClr w14:val="tx1"/>
                  </w14:solidFill>
                </w14:textFill>
              </w:rPr>
            </w:pPr>
            <w:r>
              <w:rPr>
                <w:rFonts w:hint="eastAsia"/>
                <w:color w:val="000000" w:themeColor="text1"/>
                <w:sz w:val="32"/>
                <w:szCs w:val="32"/>
                <w:highlight w:val="none"/>
                <w14:textFill>
                  <w14:solidFill>
                    <w14:schemeClr w14:val="tx1"/>
                  </w14:solidFill>
                </w14:textFill>
              </w:rPr>
              <w:t xml:space="preserve">南京医科大学履约保证金退还申请单</w:t>
            </w:r>
            <w:r/>
          </w:p>
        </w:tc>
      </w:tr>
      <w:tr>
        <w:trPr>
          <w:trHeight w:val="549"/>
        </w:trPr>
        <w:tc>
          <w:tcPr>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采购项目</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r>
        <w:trPr>
          <w:trHeight w:val="630"/>
        </w:trPr>
        <w:tc>
          <w:tcPr>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合同编号</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r>
        <w:trPr>
          <w:trHeight w:val="928"/>
        </w:trPr>
        <w:tc>
          <w:tcPr>
            <w:tcBorders>
              <w:top w:val="single" w:color="000000" w:sz="4" w:space="0"/>
              <w:left w:val="single" w:color="000000" w:sz="4" w:space="0"/>
              <w:bottom w:val="single" w:color="000000" w:sz="4" w:space="0"/>
              <w:right w:val="single" w:color="000000" w:sz="4" w:space="0"/>
            </w:tcBorders>
            <w:tcW w:w="2647" w:type="dxa"/>
            <w:vAlign w:val="center"/>
            <w:vMerge w:val="restart"/>
            <w:textDirection w:val="lrTb"/>
            <w:noWrap w:val="false"/>
          </w:tcPr>
          <w:p>
            <w:pPr>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合同总货款</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人民币：             元</w:t>
            </w:r>
            <w:r/>
          </w:p>
        </w:tc>
      </w:tr>
      <w:tr>
        <w:trPr>
          <w:trHeight w:val="869"/>
        </w:trPr>
        <w:tc>
          <w:tcPr>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履约保证金金额</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人民币：             元</w:t>
            </w:r>
            <w:r/>
          </w:p>
        </w:tc>
      </w:tr>
      <w:tr>
        <w:trPr>
          <w:trHeight w:val="551"/>
        </w:trPr>
        <w:tc>
          <w:tcPr>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收款单位</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r>
        <w:trPr>
          <w:trHeight w:val="586"/>
        </w:trPr>
        <w:tc>
          <w:tcPr>
            <w:tcBorders>
              <w:top w:val="single" w:color="000000" w:sz="4" w:space="0"/>
              <w:left w:val="single" w:color="000000" w:sz="4" w:space="0"/>
              <w:bottom w:val="single" w:color="000000" w:sz="4" w:space="0"/>
              <w:right w:val="single" w:color="000000" w:sz="4" w:space="0"/>
            </w:tcBorders>
            <w:tcW w:w="2647" w:type="dxa"/>
            <w:vAlign w:val="center"/>
            <w:vMerge w:val="restart"/>
            <w:textDirection w:val="lrTb"/>
            <w:noWrap w:val="false"/>
          </w:tcPr>
          <w:p>
            <w:pPr>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开户行账号</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开户行： </w:t>
            </w:r>
            <w:r/>
          </w:p>
        </w:tc>
      </w:tr>
      <w:tr>
        <w:trPr>
          <w:trHeight w:val="594"/>
        </w:trPr>
        <w:tc>
          <w:tcPr>
            <w:tcBorders>
              <w:top w:val="single" w:color="000000" w:sz="4" w:space="0"/>
              <w:left w:val="single" w:color="000000" w:sz="4" w:space="0"/>
              <w:bottom w:val="single" w:color="000000" w:sz="4" w:space="0"/>
              <w:right w:val="single" w:color="000000" w:sz="4" w:space="0"/>
            </w:tcBorders>
            <w:tcW w:w="2647" w:type="dxa"/>
            <w:vAlign w:val="center"/>
            <w:vMerge w:val="continue"/>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账  号</w:t>
            </w:r>
            <w:r>
              <w:rPr>
                <w:color w:val="000000" w:themeColor="text1"/>
                <w:sz w:val="24"/>
                <w:highlight w:val="none"/>
                <w14:textFill>
                  <w14:solidFill>
                    <w14:schemeClr w14:val="tx1"/>
                  </w14:solidFill>
                </w14:textFill>
              </w:rPr>
              <w:t xml:space="preserve">：</w:t>
            </w:r>
            <w:r/>
          </w:p>
        </w:tc>
      </w:tr>
      <w:tr>
        <w:trPr>
          <w:trHeight w:val="1488"/>
        </w:trPr>
        <w:tc>
          <w:tcPr>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实验室（系）意见</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ind w:firstLine="48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自验收合格之日起，已正常使用满一年且无违约情况发生。</w:t>
            </w:r>
            <w:r/>
          </w:p>
          <w:p>
            <w:pP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ind w:right="960" w:firstLine="360"/>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                           签名：</w:t>
            </w:r>
            <w:r/>
          </w:p>
        </w:tc>
      </w:tr>
      <w:tr>
        <w:trPr>
          <w:trHeight w:val="1279"/>
        </w:trPr>
        <w:tc>
          <w:tcPr>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物资保障科意见</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r>
        <w:trPr>
          <w:trHeight w:val="1525"/>
        </w:trPr>
        <w:tc>
          <w:tcPr>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资产与产业管理处意见</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ind w:firstLine="396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bl>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rFonts w:hint="eastAsia" w:ascii="宋体" w:hAnsi="宋体" w:cs="宋体"/>
          <w:color w:val="000000" w:themeColor="text1"/>
          <w:sz w:val="36"/>
          <w:szCs w:val="36"/>
          <w:highlight w:val="none"/>
          <w:lang w:val="zh-CN"/>
          <w14:textFill>
            <w14:solidFill>
              <w14:schemeClr w14:val="tx1"/>
            </w14:solidFill>
          </w14:textFill>
        </w:rPr>
        <w:sectPr>
          <w:footnotePr/>
          <w:endnotePr>
            <w:numFmt w:val="decimal"/>
          </w:endnotePr>
          <w:type w:val="nextPage"/>
          <w:pgSz w:w="11906" w:h="16838" w:orient="portrait"/>
          <w:pgMar w:top="850" w:right="850" w:bottom="850" w:left="1418" w:header="340" w:footer="567" w:gutter="0"/>
          <w:cols w:num="1" w:sep="0" w:space="720" w:equalWidth="1"/>
          <w:docGrid w:linePitch="360"/>
        </w:sectPr>
      </w:pPr>
      <w:r>
        <w:rPr>
          <w:rFonts w:hint="eastAsia" w:ascii="宋体" w:hAnsi="宋体" w:cs="宋体"/>
          <w:color w:val="000000" w:themeColor="text1"/>
          <w:sz w:val="36"/>
          <w:szCs w:val="36"/>
          <w:highlight w:val="none"/>
          <w:lang w:val="zh-CN"/>
          <w14:textFill>
            <w14:solidFill>
              <w14:schemeClr w14:val="tx1"/>
            </w14:solidFill>
          </w14:textFill>
        </w:rPr>
      </w:r>
      <w:r/>
    </w:p>
    <w:p>
      <w:pPr>
        <w:jc w:val="center"/>
        <w:rPr>
          <w:rFonts w:hint="eastAsia" w:ascii="宋体" w:hAnsi="宋体" w:cs="宋体"/>
          <w:color w:val="000000" w:themeColor="text1"/>
          <w:sz w:val="36"/>
          <w:szCs w:val="36"/>
          <w:highlight w:val="none"/>
          <w:lang w:val="zh-CN"/>
          <w14:textFill>
            <w14:solidFill>
              <w14:schemeClr w14:val="tx1"/>
            </w14:solidFill>
          </w14:textFill>
        </w:rPr>
      </w:pPr>
      <w:r>
        <w:rPr>
          <w:rFonts w:hint="eastAsia" w:ascii="宋体" w:hAnsi="宋体" w:cs="宋体"/>
          <w:color w:val="000000" w:themeColor="text1"/>
          <w:sz w:val="36"/>
          <w:szCs w:val="36"/>
          <w:highlight w:val="none"/>
          <w:lang w:val="zh-CN"/>
          <w14:textFill>
            <w14:solidFill>
              <w14:schemeClr w14:val="tx1"/>
            </w14:solidFill>
          </w14:textFill>
        </w:rPr>
        <w:t xml:space="preserve">第六章 投标文件格式及附件</w:t>
      </w:r>
      <w:r/>
    </w:p>
    <w:p>
      <w:pPr>
        <w:ind w:left="560"/>
        <w:jc w:val="center"/>
        <w:spacing w:line="240" w:lineRule="atLeast"/>
        <w:rPr>
          <w:rFonts w:hint="eastAsia" w:ascii="宋体" w:hAnsi="宋体" w:cs="宋体"/>
          <w:b/>
          <w:bCs/>
          <w:color w:val="000000" w:themeColor="text1"/>
          <w:sz w:val="36"/>
          <w:szCs w:val="36"/>
          <w:highlight w:val="none"/>
          <w:lang w:val="zh-CN"/>
          <w14:textFill>
            <w14:solidFill>
              <w14:schemeClr w14:val="tx1"/>
            </w14:solidFill>
          </w14:textFill>
        </w:rPr>
        <w:outlineLvl w:val="0"/>
      </w:pPr>
      <w:r>
        <w:rPr>
          <w:rFonts w:hint="eastAsia" w:ascii="宋体" w:hAnsi="宋体" w:cs="宋体"/>
          <w:b/>
          <w:bCs/>
          <w:color w:val="000000" w:themeColor="text1"/>
          <w:sz w:val="36"/>
          <w:szCs w:val="36"/>
          <w:highlight w:val="none"/>
          <w:lang w:val="zh-CN"/>
          <w14:textFill>
            <w14:solidFill>
              <w14:schemeClr w14:val="tx1"/>
            </w14:solidFill>
          </w14:textFill>
        </w:rPr>
      </w:r>
      <w:r/>
    </w:p>
    <w:p>
      <w:pPr>
        <w:jc w:val="center"/>
        <w:rPr>
          <w:rFonts w:hint="eastAsia" w:ascii="宋体" w:hAnsi="宋体" w:cs="宋体"/>
          <w:b/>
          <w:color w:val="000000" w:themeColor="text1"/>
          <w:sz w:val="72"/>
          <w:highlight w:val="none"/>
          <w14:textFill>
            <w14:solidFill>
              <w14:schemeClr w14:val="tx1"/>
            </w14:solidFill>
          </w14:textFill>
        </w:rPr>
      </w:pPr>
      <w:r>
        <w:rPr>
          <w:rFonts w:hint="eastAsia" w:ascii="宋体" w:hAnsi="宋体" w:cs="宋体"/>
          <w:b/>
          <w:color w:val="000000" w:themeColor="text1"/>
          <w:sz w:val="72"/>
          <w:highlight w:val="none"/>
          <w14:textFill>
            <w14:solidFill>
              <w14:schemeClr w14:val="tx1"/>
            </w14:solidFill>
          </w14:textFill>
        </w:rPr>
        <w:t xml:space="preserve">投  标  文  件</w:t>
      </w:r>
      <w:r/>
    </w:p>
    <w:p>
      <w:pPr>
        <w:ind w:firstLine="3708"/>
        <w:rPr>
          <w:rFonts w:hint="eastAsia" w:ascii="宋体" w:hAnsi="宋体" w:cs="宋体"/>
          <w:b/>
          <w:color w:val="000000" w:themeColor="text1"/>
          <w:sz w:val="36"/>
          <w:highlight w:val="non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r>
      <w:r/>
    </w:p>
    <w:p>
      <w:pPr>
        <w:jc w:val="center"/>
        <w:rPr>
          <w:rFonts w:hint="eastAsia" w:ascii="宋体" w:hAnsi="宋体" w:cs="宋体"/>
          <w:b/>
          <w:color w:val="000000" w:themeColor="text1"/>
          <w:sz w:val="72"/>
          <w:highlight w:val="none"/>
          <w14:textFill>
            <w14:solidFill>
              <w14:schemeClr w14:val="tx1"/>
            </w14:solidFill>
          </w14:textFill>
        </w:rPr>
      </w:pPr>
      <w:r>
        <w:rPr>
          <w:rFonts w:hint="eastAsia" w:ascii="宋体" w:hAnsi="宋体" w:cs="宋体"/>
          <w:b/>
          <w:color w:val="000000" w:themeColor="text1"/>
          <w:sz w:val="72"/>
          <w:highlight w:val="none"/>
          <w14:textFill>
            <w14:solidFill>
              <w14:schemeClr w14:val="tx1"/>
            </w14:solidFill>
          </w14:textFill>
        </w:rPr>
      </w:r>
      <w:r/>
    </w:p>
    <w:p>
      <w:pPr>
        <w:jc w:val="center"/>
        <w:rPr>
          <w:rFonts w:hint="eastAsia" w:ascii="宋体" w:hAnsi="宋体" w:cs="宋体"/>
          <w:b/>
          <w:color w:val="000000" w:themeColor="text1"/>
          <w:sz w:val="36"/>
          <w:highlight w:val="non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r>
      <w:r/>
    </w:p>
    <w:p>
      <w:pPr>
        <w:jc w:val="center"/>
        <w:rPr>
          <w:rFonts w:hint="eastAsia" w:ascii="宋体" w:hAnsi="宋体" w:cs="宋体"/>
          <w:b/>
          <w:color w:val="000000" w:themeColor="text1"/>
          <w:sz w:val="36"/>
          <w:highlight w:val="non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r>
      <w:r/>
    </w:p>
    <w:p>
      <w:pPr>
        <w:jc w:val="center"/>
        <w:rPr>
          <w:rFonts w:hint="eastAsia" w:ascii="宋体" w:hAnsi="宋体" w:cs="宋体"/>
          <w:b/>
          <w:color w:val="000000" w:themeColor="text1"/>
          <w:sz w:val="36"/>
          <w:highlight w:val="non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r>
      <w:r/>
    </w:p>
    <w:p>
      <w:pPr>
        <w:ind w:firstLine="1084"/>
        <w:rPr>
          <w:rFonts w:hint="eastAsia" w:ascii="宋体" w:hAnsi="宋体" w:cs="宋体"/>
          <w:b/>
          <w:color w:val="000000" w:themeColor="text1"/>
          <w:sz w:val="36"/>
          <w:highlight w:val="non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t xml:space="preserve">项 目 编号： </w:t>
      </w:r>
      <w:r/>
    </w:p>
    <w:p>
      <w:pPr>
        <w:ind w:firstLine="1084"/>
        <w:rPr>
          <w:rFonts w:hint="eastAsia" w:ascii="宋体" w:hAnsi="宋体" w:cs="宋体"/>
          <w:b/>
          <w:color w:val="000000" w:themeColor="text1"/>
          <w:sz w:val="36"/>
          <w:highlight w:val="none"/>
          <w:u w:val="singl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t xml:space="preserve">项 目 名称： </w:t>
      </w:r>
      <w:r/>
    </w:p>
    <w:p>
      <w:pPr>
        <w:rPr>
          <w:rFonts w:hint="eastAsia" w:ascii="宋体" w:hAnsi="宋体" w:cs="宋体"/>
          <w:b/>
          <w:color w:val="000000" w:themeColor="text1"/>
          <w:sz w:val="36"/>
          <w:highlight w:val="non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r>
      <w:r/>
    </w:p>
    <w:p>
      <w:pPr>
        <w:rPr>
          <w:rFonts w:hint="eastAsia" w:ascii="宋体" w:hAnsi="宋体" w:cs="宋体"/>
          <w:b/>
          <w:color w:val="000000" w:themeColor="text1"/>
          <w:sz w:val="36"/>
          <w:highlight w:val="non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r>
      <w:r/>
    </w:p>
    <w:p>
      <w:pPr>
        <w:rPr>
          <w:rFonts w:hint="eastAsia" w:ascii="宋体" w:hAnsi="宋体" w:cs="宋体"/>
          <w:b/>
          <w:color w:val="000000" w:themeColor="text1"/>
          <w:sz w:val="36"/>
          <w:highlight w:val="non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r>
      <w:r/>
    </w:p>
    <w:p>
      <w:pPr>
        <w:rPr>
          <w:rFonts w:hint="eastAsia" w:ascii="宋体" w:hAnsi="宋体" w:cs="宋体"/>
          <w:b/>
          <w:color w:val="000000" w:themeColor="text1"/>
          <w:sz w:val="36"/>
          <w:highlight w:val="non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r>
      <w:r/>
    </w:p>
    <w:p>
      <w:pPr>
        <w:rPr>
          <w:rFonts w:hint="eastAsia" w:ascii="宋体" w:hAnsi="宋体" w:cs="宋体"/>
          <w:b/>
          <w:color w:val="000000" w:themeColor="text1"/>
          <w:sz w:val="36"/>
          <w:highlight w:val="non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r>
      <w:r/>
    </w:p>
    <w:p>
      <w:pPr>
        <w:spacing w:line="360" w:lineRule="auto"/>
        <w:rPr>
          <w:rFonts w:hint="eastAsia" w:ascii="宋体" w:hAnsi="宋体" w:cs="宋体"/>
          <w:b/>
          <w:color w:val="000000" w:themeColor="text1"/>
          <w:sz w:val="36"/>
          <w:highlight w:val="none"/>
          <w:u w:val="singl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t xml:space="preserve">       投标人名称 ：（加盖CA电子公章）</w:t>
      </w:r>
      <w:r/>
    </w:p>
    <w:p>
      <w:pPr>
        <w:rPr>
          <w:rFonts w:hint="eastAsia" w:ascii="宋体" w:hAnsi="宋体" w:cs="宋体"/>
          <w:b/>
          <w:color w:val="000000" w:themeColor="text1"/>
          <w:sz w:val="36"/>
          <w:highlight w:val="non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t xml:space="preserve">       日      期 ：</w:t>
      </w:r>
      <w:r/>
    </w:p>
    <w:p>
      <w:pPr>
        <w:jc w:val="center"/>
        <w:rPr>
          <w:rFonts w:hint="eastAsia" w:ascii="宋体" w:hAnsi="宋体" w:cs="宋体"/>
          <w:b/>
          <w:bCs/>
          <w:color w:val="000000" w:themeColor="text1"/>
          <w:sz w:val="44"/>
          <w:highlight w:val="none"/>
          <w14:textFill>
            <w14:solidFill>
              <w14:schemeClr w14:val="tx1"/>
            </w14:solidFill>
          </w14:textFill>
        </w:rPr>
        <w:outlineLvl w:val="0"/>
      </w:pPr>
      <w:r>
        <w:rPr>
          <w:rFonts w:hint="eastAsia" w:ascii="宋体" w:hAnsi="宋体" w:cs="宋体"/>
          <w:b/>
          <w:bCs/>
          <w:color w:val="000000" w:themeColor="text1"/>
          <w:sz w:val="44"/>
          <w:highlight w:val="none"/>
          <w14:textFill>
            <w14:solidFill>
              <w14:schemeClr w14:val="tx1"/>
            </w14:solidFill>
          </w14:textFill>
        </w:rPr>
      </w:r>
      <w:r/>
    </w:p>
    <w:p>
      <w:pPr>
        <w:jc w:val="center"/>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6"/>
          <w:highlight w:val="none"/>
          <w14:textFill>
            <w14:solidFill>
              <w14:schemeClr w14:val="tx1"/>
            </w14:solidFill>
          </w14:textFill>
        </w:rPr>
        <w:br w:type="page" w:clear="all"/>
      </w:r>
      <w:bookmarkStart w:id="43" w:name="_Toc489655320"/>
      <w:r/>
      <w:bookmarkStart w:id="44" w:name="_Toc405408732"/>
      <w:r>
        <w:rPr>
          <w:rFonts w:hint="eastAsia" w:ascii="宋体" w:hAnsi="宋体" w:cs="宋体"/>
          <w:b/>
          <w:bCs/>
          <w:color w:val="000000" w:themeColor="text1"/>
          <w:sz w:val="32"/>
          <w:szCs w:val="32"/>
          <w:highlight w:val="none"/>
          <w14:textFill>
            <w14:solidFill>
              <w14:schemeClr w14:val="tx1"/>
            </w14:solidFill>
          </w14:textFill>
        </w:rPr>
        <w:t xml:space="preserve">投标文件主要目录</w:t>
      </w:r>
      <w:bookmarkEnd w:id="43"/>
      <w:r/>
      <w:bookmarkEnd w:id="44"/>
      <w:r>
        <w:rPr>
          <w:rFonts w:hint="eastAsia" w:ascii="宋体" w:hAnsi="宋体" w:cs="宋体"/>
          <w:b/>
          <w:bCs/>
          <w:color w:val="000000" w:themeColor="text1"/>
          <w:sz w:val="32"/>
          <w:szCs w:val="32"/>
          <w:highlight w:val="none"/>
          <w14:textFill>
            <w14:solidFill>
              <w14:schemeClr w14:val="tx1"/>
            </w14:solidFill>
          </w14:textFill>
        </w:rPr>
        <w:t xml:space="preserve">及相关证明材料格式、附件</w:t>
      </w:r>
      <w:r/>
    </w:p>
    <w:p>
      <w:pPr>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r>
      <w:r/>
    </w:p>
    <w:p>
      <w:pPr>
        <w:numPr>
          <w:ilvl w:val="0"/>
          <w:numId w:val="2"/>
        </w:numPr>
        <w:spacing w:line="360" w:lineRule="auto"/>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投标申请及声明</w:t>
      </w:r>
      <w:r/>
    </w:p>
    <w:p>
      <w:pPr>
        <w:numPr>
          <w:ilvl w:val="0"/>
          <w:numId w:val="2"/>
        </w:numPr>
        <w:spacing w:line="360" w:lineRule="auto"/>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法定代表人授权书</w:t>
      </w:r>
      <w:r/>
    </w:p>
    <w:p>
      <w:pPr>
        <w:numPr>
          <w:ilvl w:val="0"/>
          <w:numId w:val="2"/>
        </w:numPr>
        <w:spacing w:line="360" w:lineRule="auto"/>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开标一览表</w:t>
      </w:r>
      <w:r/>
    </w:p>
    <w:p>
      <w:pPr>
        <w:numPr>
          <w:ilvl w:val="0"/>
          <w:numId w:val="2"/>
        </w:numPr>
        <w:spacing w:line="360" w:lineRule="auto"/>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分项报价表</w:t>
      </w:r>
      <w:r/>
    </w:p>
    <w:p>
      <w:pPr>
        <w:numPr>
          <w:ilvl w:val="0"/>
          <w:numId w:val="2"/>
        </w:numPr>
        <w:spacing w:line="360" w:lineRule="auto"/>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技术条款偏离表</w:t>
      </w:r>
      <w:r/>
    </w:p>
    <w:p>
      <w:pPr>
        <w:numPr>
          <w:ilvl w:val="0"/>
          <w:numId w:val="2"/>
        </w:numPr>
        <w:spacing w:line="360" w:lineRule="auto"/>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商务条款偏离表</w:t>
      </w:r>
      <w:r/>
    </w:p>
    <w:p>
      <w:pPr>
        <w:numPr>
          <w:ilvl w:val="0"/>
          <w:numId w:val="2"/>
        </w:numPr>
        <w:spacing w:line="360" w:lineRule="auto"/>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服务与承诺</w:t>
      </w:r>
      <w:r/>
    </w:p>
    <w:p>
      <w:pPr>
        <w:numPr>
          <w:ilvl w:val="0"/>
          <w:numId w:val="2"/>
        </w:numPr>
        <w:spacing w:line="360" w:lineRule="auto"/>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投标人类似业绩情况表</w:t>
      </w:r>
      <w:r/>
    </w:p>
    <w:p>
      <w:pPr>
        <w:numPr>
          <w:ilvl w:val="0"/>
          <w:numId w:val="2"/>
        </w:numPr>
        <w:spacing w:line="360" w:lineRule="auto"/>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投标需要的其他证明文件及材料（若有)</w:t>
      </w:r>
      <w:r/>
    </w:p>
    <w:p>
      <w:pPr>
        <w:spacing w:line="360" w:lineRule="auto"/>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r>
      <w:r/>
    </w:p>
    <w:p>
      <w:pPr>
        <w:spacing w:line="360" w:lineRule="auto"/>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            附件一、中小企业声明函格式</w:t>
      </w:r>
      <w:r/>
    </w:p>
    <w:p>
      <w:pPr>
        <w:spacing w:line="360" w:lineRule="auto"/>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            附件二、关于符合本国产品标准的声明函格式</w:t>
      </w:r>
      <w:r/>
    </w:p>
    <w:p>
      <w:pPr>
        <w:spacing w:line="360" w:lineRule="auto"/>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            附件三、无重大违法记录声明格式</w:t>
      </w:r>
      <w:r/>
    </w:p>
    <w:p>
      <w:pPr>
        <w:ind w:left="2796" w:hanging="1120"/>
        <w:spacing w:line="360" w:lineRule="auto"/>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附件四、具备履行合同所必需的设备和专业技术能力的声明格式及证明材料</w:t>
      </w:r>
      <w:r/>
    </w:p>
    <w:p>
      <w:pPr>
        <w:pStyle w:val="1139"/>
        <w:ind w:firstLine="1680"/>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附件五、残疾人福利性单位声明函格式</w:t>
      </w:r>
      <w:r/>
    </w:p>
    <w:p>
      <w:pPr>
        <w:pStyle w:val="1139"/>
        <w:ind w:firstLine="1680"/>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附件六、属于监狱企业的证明文件</w:t>
      </w:r>
      <w:r/>
    </w:p>
    <w:p>
      <w:pPr>
        <w:jc w:val="left"/>
        <w:spacing w:line="360" w:lineRule="auto"/>
        <w:rPr>
          <w:rFonts w:hint="eastAsia" w:ascii="宋体" w:hAnsi="宋体" w:cs="宋体"/>
          <w:b/>
          <w:color w:val="000000" w:themeColor="text1"/>
          <w:szCs w:val="21"/>
          <w:highlight w:val="none"/>
          <w:lang w:val="zh-CN"/>
          <w14:textFill>
            <w14:solidFill>
              <w14:schemeClr w14:val="tx1"/>
            </w14:solidFill>
          </w14:textFill>
        </w:rPr>
        <w:sectPr>
          <w:footnotePr/>
          <w:endnotePr>
            <w:numFmt w:val="decimal"/>
          </w:endnotePr>
          <w:type w:val="nextPage"/>
          <w:pgSz w:w="11906" w:h="16838" w:orient="portrait"/>
          <w:pgMar w:top="850" w:right="850" w:bottom="850" w:left="1418" w:header="340" w:footer="567" w:gutter="0"/>
          <w:cols w:num="1" w:sep="0" w:space="720" w:equalWidth="1"/>
          <w:docGrid w:linePitch="360"/>
        </w:sectPr>
      </w:pPr>
      <w:r>
        <w:rPr>
          <w:rFonts w:hint="eastAsia" w:ascii="宋体" w:hAnsi="宋体" w:cs="宋体"/>
          <w:b/>
          <w:color w:val="000000" w:themeColor="text1"/>
          <w:szCs w:val="21"/>
          <w:highlight w:val="none"/>
          <w:lang w:val="zh-CN"/>
          <w14:textFill>
            <w14:solidFill>
              <w14:schemeClr w14:val="tx1"/>
            </w14:solidFill>
          </w14:textFill>
        </w:rPr>
      </w:r>
      <w:r/>
    </w:p>
    <w:p>
      <w:pPr>
        <w:jc w:val="left"/>
        <w:spacing w:line="360" w:lineRule="auto"/>
        <w:rPr>
          <w:rFonts w:hint="eastAsia"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目录一、投标申请及声明格式</w:t>
      </w:r>
      <w:r/>
    </w:p>
    <w:p>
      <w:pPr>
        <w:jc w:val="center"/>
        <w:spacing w:line="360" w:lineRule="auto"/>
        <w:rPr>
          <w:rFonts w:hint="eastAsia" w:ascii="宋体" w:hAnsi="宋体" w:cs="宋体"/>
          <w:color w:val="000000" w:themeColor="text1"/>
          <w:sz w:val="36"/>
          <w:szCs w:val="36"/>
          <w:highlight w:val="none"/>
          <w:lang w:val="zh-CN"/>
          <w14:textFill>
            <w14:solidFill>
              <w14:schemeClr w14:val="tx1"/>
            </w14:solidFill>
          </w14:textFill>
        </w:rPr>
        <w:outlineLvl w:val="0"/>
      </w:pPr>
      <w:r>
        <w:rPr>
          <w:rFonts w:hint="eastAsia" w:ascii="宋体" w:hAnsi="宋体" w:cs="宋体"/>
          <w:color w:val="000000" w:themeColor="text1"/>
          <w:sz w:val="36"/>
          <w:szCs w:val="36"/>
          <w:highlight w:val="none"/>
          <w:lang w:val="zh-CN"/>
          <w14:textFill>
            <w14:solidFill>
              <w14:schemeClr w14:val="tx1"/>
            </w14:solidFill>
          </w14:textFill>
        </w:rPr>
        <w:t xml:space="preserve">投标申请及声明</w:t>
      </w:r>
      <w:r/>
    </w:p>
    <w:p>
      <w:pPr>
        <w:spacing w:line="360" w:lineRule="auto"/>
        <w:rPr>
          <w:rFonts w:hint="eastAsia" w:ascii="宋体" w:hAnsi="宋体" w:cs="宋体"/>
          <w:color w:val="000000" w:themeColor="text1"/>
          <w:szCs w:val="21"/>
          <w:highlight w:val="none"/>
          <w:lang w:val="zh-CN"/>
          <w14:textFill>
            <w14:solidFill>
              <w14:schemeClr w14:val="tx1"/>
            </w14:solidFill>
          </w14:textFill>
        </w:rPr>
        <w:outlineLvl w:val="0"/>
      </w:pPr>
      <w:r>
        <w:rPr>
          <w:rFonts w:hint="eastAsia" w:ascii="宋体" w:hAnsi="宋体" w:cs="宋体"/>
          <w:color w:val="000000" w:themeColor="text1"/>
          <w:szCs w:val="21"/>
          <w:highlight w:val="none"/>
          <w:lang w:val="zh-CN"/>
          <w14:textFill>
            <w14:solidFill>
              <w14:schemeClr w14:val="tx1"/>
            </w14:solidFill>
          </w14:textFill>
        </w:rPr>
        <w:t xml:space="preserve">致：南京医科大学</w:t>
      </w:r>
      <w:r/>
    </w:p>
    <w:p>
      <w:pPr>
        <w:ind w:firstLine="420"/>
        <w:spacing w:line="360" w:lineRule="auto"/>
        <w:rPr>
          <w:rFonts w:hint="eastAsia" w:ascii="宋体" w:hAnsi="宋体" w:cs="宋体"/>
          <w:color w:val="000000" w:themeColor="text1"/>
          <w:szCs w:val="21"/>
          <w:highlight w:val="none"/>
          <w:lang w:val="zh-CN"/>
          <w14:textFill>
            <w14:solidFill>
              <w14:schemeClr w14:val="tx1"/>
            </w14:solidFill>
          </w14:textFill>
        </w:rPr>
        <w:outlineLvl w:val="0"/>
      </w:pPr>
      <w:r>
        <w:rPr>
          <w:rFonts w:hint="eastAsia" w:ascii="宋体" w:hAnsi="宋体" w:cs="宋体"/>
          <w:color w:val="000000" w:themeColor="text1"/>
          <w:szCs w:val="21"/>
          <w:highlight w:val="none"/>
          <w:lang w:val="zh-CN"/>
          <w14:textFill>
            <w14:solidFill>
              <w14:schemeClr w14:val="tx1"/>
            </w14:solidFill>
          </w14:textFill>
        </w:rPr>
        <w:t xml:space="preserve">根据贵方（项目名称）（项目编号）投标邀请，正式授权下述签字人(姓名和职务)代表投标人（投标人名称），提交投标文件。</w:t>
      </w:r>
      <w:r/>
    </w:p>
    <w:p>
      <w:pPr>
        <w:ind w:firstLine="420"/>
        <w:spacing w:line="360" w:lineRule="auto"/>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据此函，签字人兹宣布声明和承诺如下：</w:t>
      </w:r>
      <w:r/>
    </w:p>
    <w:p>
      <w:pPr>
        <w:ind w:firstLine="4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w:t>
      </w:r>
      <w:r>
        <w:rPr>
          <w:rFonts w:hint="eastAsia" w:ascii="宋体" w:hAnsi="宋体" w:cs="宋体"/>
          <w:b/>
          <w:color w:val="000000" w:themeColor="text1"/>
          <w:szCs w:val="21"/>
          <w:highlight w:val="none"/>
          <w:lang w:val="zh-CN"/>
          <w14:textFill>
            <w14:solidFill>
              <w14:schemeClr w14:val="tx1"/>
            </w14:solidFill>
          </w14:textFill>
        </w:rPr>
        <w:t xml:space="preserve">我们的资格条件完全符合政府采购法和本次招标要求</w:t>
      </w:r>
      <w:r>
        <w:rPr>
          <w:rFonts w:hint="eastAsia" w:ascii="宋体" w:hAnsi="宋体" w:cs="宋体"/>
          <w:color w:val="000000" w:themeColor="text1"/>
          <w:szCs w:val="21"/>
          <w:highlight w:val="none"/>
          <w:lang w:val="zh-CN"/>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我们</w:t>
      </w:r>
      <w:r>
        <w:rPr>
          <w:rFonts w:hint="eastAsia" w:ascii="宋体" w:hAnsi="宋体" w:cs="宋体"/>
          <w:color w:val="000000" w:themeColor="text1"/>
          <w:szCs w:val="21"/>
          <w:highlight w:val="none"/>
          <w:lang w:val="zh-CN"/>
          <w14:textFill>
            <w14:solidFill>
              <w14:schemeClr w14:val="tx1"/>
            </w14:solidFill>
          </w14:textFill>
        </w:rPr>
        <w:t xml:space="preserve">同意并向贵方提供了与投标有关的所有证据和资料。</w:t>
      </w:r>
      <w:r/>
    </w:p>
    <w:p>
      <w:pPr>
        <w:ind w:firstLine="420"/>
        <w:spacing w:line="360" w:lineRule="auto"/>
        <w:rPr>
          <w:rFonts w:hint="eastAsia" w:ascii="宋体" w:hAnsi="宋体" w:cs="宋体"/>
          <w:color w:val="000000" w:themeColor="text1"/>
          <w:szCs w:val="21"/>
          <w:highlight w:val="none"/>
          <w:u w:val="singl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2、按招标要求，我们的投标总报价为（小写）元（大写）元人民币。其中，小</w:t>
      </w:r>
      <w:r>
        <w:rPr>
          <w:rFonts w:hint="eastAsia" w:ascii="宋体" w:hAnsi="宋体" w:cs="宋体"/>
          <w:color w:val="000000" w:themeColor="text1"/>
          <w:szCs w:val="21"/>
          <w:highlight w:val="none"/>
          <w14:textFill>
            <w14:solidFill>
              <w14:schemeClr w14:val="tx1"/>
            </w14:solidFill>
          </w14:textFill>
        </w:rPr>
        <w:t xml:space="preserve">微</w:t>
      </w:r>
      <w:r>
        <w:rPr>
          <w:rFonts w:hint="eastAsia" w:ascii="宋体" w:hAnsi="宋体" w:cs="宋体"/>
          <w:color w:val="000000" w:themeColor="text1"/>
          <w:szCs w:val="21"/>
          <w:highlight w:val="none"/>
          <w:lang w:val="zh-CN"/>
          <w14:textFill>
            <w14:solidFill>
              <w14:schemeClr w14:val="tx1"/>
            </w14:solidFill>
          </w14:textFill>
        </w:rPr>
        <w:t xml:space="preserve">型企业的产品为（大写）元人民币</w:t>
      </w:r>
      <w:r>
        <w:rPr>
          <w:rFonts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交货期：</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3、我们已详细审核全部招标文件及其有效补充文件，我们放弃对招标文件任何误解的权利，提交投标文件后，</w:t>
      </w:r>
      <w:r>
        <w:rPr>
          <w:rFonts w:hint="eastAsia" w:ascii="宋体" w:hAnsi="宋体" w:cs="宋体"/>
          <w:b/>
          <w:color w:val="000000" w:themeColor="text1"/>
          <w:szCs w:val="21"/>
          <w:highlight w:val="none"/>
          <w:lang w:val="zh-CN"/>
          <w14:textFill>
            <w14:solidFill>
              <w14:schemeClr w14:val="tx1"/>
            </w14:solidFill>
          </w14:textFill>
        </w:rPr>
        <w:t xml:space="preserve">不对招标文件本身提出质疑</w:t>
      </w:r>
      <w:r>
        <w:rPr>
          <w:rFonts w:hint="eastAsia" w:ascii="宋体" w:hAnsi="宋体" w:cs="宋体"/>
          <w:color w:val="000000" w:themeColor="text1"/>
          <w:szCs w:val="21"/>
          <w:highlight w:val="none"/>
          <w:lang w:val="zh-CN"/>
          <w14:textFill>
            <w14:solidFill>
              <w14:schemeClr w14:val="tx1"/>
            </w14:solidFill>
          </w14:textFill>
        </w:rPr>
        <w:t xml:space="preserve">。否则，属于不诚信和故意扰乱政府采购活动行为，我们将无条件接受处罚。</w:t>
      </w:r>
      <w:r/>
    </w:p>
    <w:p>
      <w:pPr>
        <w:ind w:firstLine="420"/>
        <w:spacing w:line="360" w:lineRule="auto"/>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4、我们同意从规定的开标日期起遵循本投标文件，并在规定的投标有效期期满之前均具有约束力。</w:t>
      </w:r>
      <w:r/>
    </w:p>
    <w:p>
      <w:pPr>
        <w:ind w:firstLine="420"/>
        <w:spacing w:line="360" w:lineRule="auto"/>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5、一旦我方中标，我方将根据招标文件的规定严格履行合同，并保证于承诺的时间完成服务的启动/集成、调试等服务，交付采购人验收、使用。</w:t>
      </w:r>
      <w:r/>
    </w:p>
    <w:p>
      <w:pPr>
        <w:ind w:firstLine="420"/>
        <w:spacing w:line="360" w:lineRule="auto"/>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6、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w:t>
      </w:r>
      <w:r>
        <w:rPr>
          <w:rFonts w:hint="eastAsia" w:ascii="宋体" w:hAnsi="宋体" w:cs="宋体"/>
          <w:color w:val="000000" w:themeColor="text1"/>
          <w:szCs w:val="21"/>
          <w:highlight w:val="none"/>
          <w:lang w:val="zh-CN"/>
          <w14:textFill>
            <w14:solidFill>
              <w14:schemeClr w14:val="tx1"/>
            </w14:solidFill>
          </w14:textFill>
        </w:rPr>
        <w:t xml:space="preserve">、与本投标有关的正式联系方式为：</w:t>
      </w:r>
      <w:r/>
    </w:p>
    <w:p>
      <w:pPr>
        <w:ind w:firstLine="420"/>
        <w:spacing w:line="360" w:lineRule="auto"/>
        <w:rPr>
          <w:rFonts w:hint="eastAsia" w:ascii="宋体" w:hAnsi="宋体" w:cs="宋体"/>
          <w:color w:val="000000" w:themeColor="text1"/>
          <w:szCs w:val="21"/>
          <w:highlight w:val="none"/>
          <w:u w:val="singl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地址：</w:t>
      </w:r>
      <w:r/>
    </w:p>
    <w:p>
      <w:pPr>
        <w:ind w:firstLine="420"/>
        <w:spacing w:line="360" w:lineRule="auto"/>
        <w:rPr>
          <w:rFonts w:hint="eastAsia" w:ascii="宋体" w:hAnsi="宋体" w:cs="宋体"/>
          <w:color w:val="000000" w:themeColor="text1"/>
          <w:szCs w:val="21"/>
          <w:highlight w:val="none"/>
          <w:u w:val="singl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电话：</w:t>
      </w:r>
      <w:r/>
    </w:p>
    <w:p>
      <w:pPr>
        <w:ind w:firstLine="420"/>
        <w:spacing w:line="360" w:lineRule="auto"/>
        <w:rPr>
          <w:rFonts w:hint="eastAsia" w:ascii="宋体" w:hAnsi="宋体" w:cs="宋体"/>
          <w:color w:val="000000" w:themeColor="text1"/>
          <w:szCs w:val="21"/>
          <w:highlight w:val="none"/>
          <w:u w:val="singl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传真：</w:t>
      </w:r>
      <w:r/>
    </w:p>
    <w:p>
      <w:pPr>
        <w:ind w:firstLine="420"/>
        <w:spacing w:line="360" w:lineRule="auto"/>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开户银行：</w:t>
      </w:r>
      <w:r/>
    </w:p>
    <w:p>
      <w:pPr>
        <w:ind w:firstLine="420"/>
        <w:spacing w:line="360" w:lineRule="auto"/>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银行账号：</w:t>
      </w:r>
      <w:r/>
    </w:p>
    <w:p>
      <w:pPr>
        <w:ind w:firstLine="420"/>
        <w:spacing w:line="360" w:lineRule="auto"/>
        <w:rPr>
          <w:rFonts w:hint="eastAsia" w:ascii="宋体" w:hAnsi="宋体" w:cs="宋体"/>
          <w:color w:val="000000" w:themeColor="text1"/>
          <w:szCs w:val="21"/>
          <w:highlight w:val="none"/>
          <w:u w:val="singl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供应商授权代表姓名（签字）：</w:t>
      </w:r>
      <w:r/>
    </w:p>
    <w:p>
      <w:pPr>
        <w:ind w:firstLine="420"/>
        <w:spacing w:line="360" w:lineRule="auto"/>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供应商名称（</w:t>
      </w:r>
      <w:r>
        <w:rPr>
          <w:rFonts w:hint="eastAsia" w:ascii="宋体" w:hAnsi="宋体" w:cs="宋体"/>
          <w:color w:val="000000" w:themeColor="text1"/>
          <w:szCs w:val="21"/>
          <w:highlight w:val="none"/>
          <w14:textFill>
            <w14:solidFill>
              <w14:schemeClr w14:val="tx1"/>
            </w14:solidFill>
          </w14:textFill>
        </w:rPr>
        <w:t xml:space="preserve">加盖CA电子公章</w:t>
      </w:r>
      <w:r>
        <w:rPr>
          <w:rFonts w:hint="eastAsia" w:ascii="宋体" w:hAnsi="宋体" w:cs="宋体"/>
          <w:color w:val="000000" w:themeColor="text1"/>
          <w:szCs w:val="21"/>
          <w:highlight w:val="none"/>
          <w:lang w:val="zh-CN"/>
          <w14:textFill>
            <w14:solidFill>
              <w14:schemeClr w14:val="tx1"/>
            </w14:solidFill>
          </w14:textFill>
        </w:rPr>
        <w:t xml:space="preserve">）：</w:t>
      </w:r>
      <w:r/>
    </w:p>
    <w:p>
      <w:pPr>
        <w:ind w:firstLine="420"/>
        <w:spacing w:line="360" w:lineRule="auto"/>
        <w:rPr>
          <w:rFonts w:hint="eastAsia" w:ascii="宋体" w:hAnsi="宋体" w:cs="宋体"/>
          <w:b/>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日期：年月日</w:t>
      </w:r>
      <w:r/>
    </w:p>
    <w:p>
      <w:pPr>
        <w:jc w:val="left"/>
        <w:spacing w:line="360" w:lineRule="auto"/>
        <w:widowControl/>
        <w:rPr>
          <w:rFonts w:hint="eastAsia" w:ascii="宋体" w:hAnsi="宋体" w:cs="宋体"/>
          <w:b/>
          <w:color w:val="000000" w:themeColor="text1"/>
          <w:szCs w:val="21"/>
          <w:highlight w:val="none"/>
          <w:lang w:val="zh-CN"/>
          <w14:textFill>
            <w14:solidFill>
              <w14:schemeClr w14:val="tx1"/>
            </w14:solidFill>
          </w14:textFill>
        </w:rPr>
        <w:sectPr>
          <w:footnotePr/>
          <w:endnotePr>
            <w:numFmt w:val="decimal"/>
          </w:endnotePr>
          <w:type w:val="nextPage"/>
          <w:pgSz w:w="11906" w:h="16838" w:orient="portrait"/>
          <w:pgMar w:top="850" w:right="850" w:bottom="850" w:left="1418" w:header="340" w:footer="567" w:gutter="0"/>
          <w:cols w:num="1" w:sep="0" w:space="720" w:equalWidth="1"/>
          <w:docGrid w:linePitch="360"/>
        </w:sectPr>
      </w:pPr>
      <w:r>
        <w:rPr>
          <w:rFonts w:hint="eastAsia" w:ascii="宋体" w:hAnsi="宋体" w:cs="宋体"/>
          <w:b/>
          <w:color w:val="000000" w:themeColor="text1"/>
          <w:szCs w:val="21"/>
          <w:highlight w:val="none"/>
          <w:lang w:val="zh-CN"/>
          <w14:textFill>
            <w14:solidFill>
              <w14:schemeClr w14:val="tx1"/>
            </w14:solidFill>
          </w14:textFill>
        </w:rPr>
      </w:r>
      <w:r/>
    </w:p>
    <w:p>
      <w:pPr>
        <w:jc w:val="left"/>
        <w:spacing w:line="360" w:lineRule="auto"/>
        <w:widowControl/>
        <w:rPr>
          <w:rFonts w:hint="eastAsia"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目录二、法定代表人授权书格式</w:t>
      </w:r>
      <w:r/>
    </w:p>
    <w:p>
      <w:pPr>
        <w:ind w:firstLine="720"/>
        <w:jc w:val="center"/>
        <w:spacing w:line="360" w:lineRule="auto"/>
        <w:widowControl/>
        <w:rPr>
          <w:rFonts w:hint="eastAsia" w:ascii="宋体" w:hAnsi="宋体" w:cs="宋体"/>
          <w:color w:val="000000" w:themeColor="text1"/>
          <w:sz w:val="36"/>
          <w:szCs w:val="36"/>
          <w:highlight w:val="none"/>
          <w:lang w:val="zh-CN"/>
          <w14:textFill>
            <w14:solidFill>
              <w14:schemeClr w14:val="tx1"/>
            </w14:solidFill>
          </w14:textFill>
        </w:rPr>
        <w:outlineLvl w:val="0"/>
      </w:pPr>
      <w:r>
        <w:rPr>
          <w:rFonts w:hint="eastAsia" w:ascii="宋体" w:hAnsi="宋体" w:cs="宋体"/>
          <w:color w:val="000000" w:themeColor="text1"/>
          <w:sz w:val="36"/>
          <w:szCs w:val="36"/>
          <w:highlight w:val="none"/>
          <w:lang w:val="zh-CN"/>
          <w14:textFill>
            <w14:solidFill>
              <w14:schemeClr w14:val="tx1"/>
            </w14:solidFill>
          </w14:textFill>
        </w:rPr>
        <w:t xml:space="preserve">法定代表人授权委托书</w:t>
      </w:r>
      <w:r/>
    </w:p>
    <w:p>
      <w:pPr>
        <w:jc w:val="left"/>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南京医科大学</w:t>
      </w:r>
      <w:r>
        <w:rPr>
          <w:rFonts w:hint="eastAsia" w:ascii="宋体" w:hAnsi="宋体" w:cs="宋体"/>
          <w:color w:val="000000" w:themeColor="text1"/>
          <w:szCs w:val="21"/>
          <w:highlight w:val="none"/>
          <w:lang w:val="zh-CN"/>
          <w14:textFill>
            <w14:solidFill>
              <w14:schemeClr w14:val="tx1"/>
            </w14:solidFill>
          </w14:textFill>
        </w:rPr>
        <w:t xml:space="preserve">：</w:t>
      </w:r>
      <w:r/>
    </w:p>
    <w:p>
      <w:pPr>
        <w:ind w:firstLine="420"/>
        <w:jc w:val="left"/>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本授权书声明：注册于（投标人住址）的（投标人名称）法定代表人（法定代表人姓名、职务）代表本公司授权在下面签字的（投标人代表姓名、职务）为本公司的合法代理人，就贵方组织的（项目名称），（项目编号）投标，以本公司名义处理一切与之有关的事务。</w:t>
      </w:r>
      <w:r/>
    </w:p>
    <w:p>
      <w:pPr>
        <w:ind w:firstLine="408"/>
        <w:jc w:val="left"/>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本授权书于年月日签字生效，特此声明。</w:t>
      </w:r>
      <w:r/>
    </w:p>
    <w:p>
      <w:pPr>
        <w:ind w:firstLine="408"/>
        <w:jc w:val="left"/>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p>
      <w:pPr>
        <w:ind w:firstLine="420"/>
        <w:jc w:val="left"/>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法定代表人（签字或盖章）：</w:t>
      </w:r>
      <w:r/>
    </w:p>
    <w:p>
      <w:pPr>
        <w:ind w:firstLine="420"/>
        <w:jc w:val="left"/>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授权委托人（签字）：</w:t>
      </w:r>
      <w:r/>
    </w:p>
    <w:p>
      <w:pPr>
        <w:ind w:firstLine="420"/>
        <w:spacing w:line="360" w:lineRule="auto"/>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供应商名称（</w:t>
      </w:r>
      <w:r>
        <w:rPr>
          <w:rFonts w:hint="eastAsia" w:ascii="宋体" w:hAnsi="宋体" w:cs="宋体"/>
          <w:color w:val="000000" w:themeColor="text1"/>
          <w:szCs w:val="21"/>
          <w:highlight w:val="none"/>
          <w14:textFill>
            <w14:solidFill>
              <w14:schemeClr w14:val="tx1"/>
            </w14:solidFill>
          </w14:textFill>
        </w:rPr>
        <w:t xml:space="preserve">加盖CA电子公章</w:t>
      </w:r>
      <w:r>
        <w:rPr>
          <w:rFonts w:hint="eastAsia" w:ascii="宋体" w:hAnsi="宋体" w:cs="宋体"/>
          <w:color w:val="000000" w:themeColor="text1"/>
          <w:szCs w:val="21"/>
          <w:highlight w:val="none"/>
          <w:lang w:val="zh-CN"/>
          <w14:textFill>
            <w14:solidFill>
              <w14:schemeClr w14:val="tx1"/>
            </w14:solidFill>
          </w14:textFill>
        </w:rPr>
        <w:t xml:space="preserve">）：</w:t>
      </w:r>
      <w:r/>
    </w:p>
    <w:p>
      <w:pPr>
        <w:ind w:firstLine="420"/>
        <w:jc w:val="left"/>
        <w:spacing w:line="360" w:lineRule="auto"/>
        <w:widowControl/>
        <w:tabs>
          <w:tab w:val="left" w:pos="1440" w:leader="none"/>
        </w:tabs>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日期：年月日</w:t>
      </w:r>
      <w:r/>
    </w:p>
    <w:p>
      <w:pPr>
        <w:ind w:firstLine="420"/>
        <w:jc w:val="left"/>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p>
      <w:pPr>
        <w:ind w:firstLine="420"/>
        <w:jc w:val="left"/>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法定代表人身份证复印件：</w:t>
      </w:r>
      <w:r/>
    </w:p>
    <w:p>
      <w:pPr>
        <w:ind w:firstLine="420"/>
        <w:jc w:val="left"/>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授权委托人身份证复印件：</w:t>
      </w:r>
      <w:r/>
    </w:p>
    <w:p>
      <w:pPr>
        <w:jc w:val="left"/>
        <w:spacing w:line="360" w:lineRule="auto"/>
        <w:widowControl/>
        <w:rPr>
          <w:rFonts w:hint="eastAsia" w:ascii="宋体" w:hAnsi="宋体" w:cs="宋体"/>
          <w:b/>
          <w:color w:val="000000" w:themeColor="text1"/>
          <w:szCs w:val="21"/>
          <w:highlight w:val="none"/>
          <w:lang w:val="zh-CN"/>
          <w14:textFill>
            <w14:solidFill>
              <w14:schemeClr w14:val="tx1"/>
            </w14:solidFill>
          </w14:textFill>
        </w:rPr>
        <w:sectPr>
          <w:footnotePr/>
          <w:endnotePr>
            <w:numFmt w:val="decimal"/>
          </w:endnotePr>
          <w:type w:val="nextPage"/>
          <w:pgSz w:w="11906" w:h="16838" w:orient="portrait"/>
          <w:pgMar w:top="850" w:right="850" w:bottom="850" w:left="1418" w:header="340" w:footer="567" w:gutter="0"/>
          <w:cols w:num="1" w:sep="0" w:space="720" w:equalWidth="1"/>
          <w:docGrid w:linePitch="360"/>
        </w:sectPr>
      </w:pPr>
      <w:r>
        <w:rPr>
          <w:rFonts w:hint="eastAsia" w:ascii="宋体" w:hAnsi="宋体" w:cs="宋体"/>
          <w:b/>
          <w:color w:val="000000" w:themeColor="text1"/>
          <w:szCs w:val="21"/>
          <w:highlight w:val="none"/>
          <w:lang w:val="zh-CN"/>
          <w14:textFill>
            <w14:solidFill>
              <w14:schemeClr w14:val="tx1"/>
            </w14:solidFill>
          </w14:textFill>
        </w:rPr>
      </w:r>
      <w:r/>
    </w:p>
    <w:p>
      <w:pPr>
        <w:jc w:val="left"/>
        <w:spacing w:line="360" w:lineRule="auto"/>
        <w:widowControl/>
        <w:rPr>
          <w:rFonts w:hint="eastAsia"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目录三、开标一览表格式</w:t>
      </w:r>
      <w:r/>
    </w:p>
    <w:p>
      <w:pPr>
        <w:pStyle w:val="1119"/>
        <w:jc w:val="center"/>
        <w:keepLines w:val="0"/>
        <w:keepNext w:val="0"/>
        <w:widowControl/>
        <w:rPr>
          <w:color w:val="000000" w:themeColor="text1"/>
          <w:highlight w:val="none"/>
          <w14:textFill>
            <w14:solidFill>
              <w14:schemeClr w14:val="tx1"/>
            </w14:solidFill>
          </w14:textFill>
        </w:rPr>
      </w:pPr>
      <w:r>
        <w:rPr>
          <w:rStyle w:val="1177"/>
          <w:b/>
          <w:color w:val="000000" w:themeColor="text1"/>
          <w:highlight w:val="none"/>
          <w14:textFill>
            <w14:solidFill>
              <w14:schemeClr w14:val="tx1"/>
            </w14:solidFill>
          </w14:textFill>
        </w:rPr>
        <w:t xml:space="preserve">开标一览表 </w:t>
      </w:r>
      <w:r/>
    </w:p>
    <w:p>
      <w:pPr>
        <w:pStyle w:val="1170"/>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投标人全称（CA公章）：供应商名称 </w:t>
      </w:r>
      <w:r/>
    </w:p>
    <w:p>
      <w:pPr>
        <w:pStyle w:val="1170"/>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项目名称： 项目名称 </w:t>
      </w:r>
      <w:r/>
    </w:p>
    <w:p>
      <w:pPr>
        <w:pStyle w:val="1170"/>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项目编号：项目编号 </w:t>
      </w:r>
      <w:r/>
    </w:p>
    <w:p>
      <w:pPr>
        <w:pStyle w:val="1170"/>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分包号 ：分包号 </w:t>
      </w:r>
      <w:r/>
    </w:p>
    <w:tbl>
      <w:tblPr>
        <w:tblStyle w:val="1129"/>
        <w:tblW w:w="4515" w:type="pct"/>
        <w:tblCellSpacing w:w="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5" w:type="dxa"/>
          <w:top w:w="15" w:type="dxa"/>
          <w:right w:w="15" w:type="dxa"/>
          <w:bottom w:w="15" w:type="dxa"/>
        </w:tblCellMar>
        <w:tblLook w:val="04A0" w:firstRow="1" w:lastRow="0" w:firstColumn="1" w:lastColumn="0" w:noHBand="0" w:noVBand="1"/>
      </w:tblPr>
      <w:tblGrid>
        <w:gridCol w:w="708"/>
        <w:gridCol w:w="7986"/>
      </w:tblGrid>
      <w:tr>
        <w:trPr>
          <w:tblCellSpacing w:w="15" w:type="dxa"/>
          <w:trHeight w:val="810"/>
        </w:trPr>
        <w:tc>
          <w:tcPr>
            <w:tcW w:w="385" w:type="pct"/>
            <w:vAlign w:val="center"/>
            <w:textDirection w:val="lrTb"/>
            <w:noWrap w:val="false"/>
          </w:tcPr>
          <w:p>
            <w:pPr>
              <w:jc w:val="left"/>
              <w:widowControl/>
              <w:rPr>
                <w:color w:val="000000" w:themeColor="text1"/>
                <w:highlight w:val="none"/>
                <w14:textFill>
                  <w14:solidFill>
                    <w14:schemeClr w14:val="tx1"/>
                  </w14:solidFill>
                </w14:textFill>
              </w:rPr>
            </w:pPr>
            <w:r>
              <w:rPr>
                <w:rFonts w:ascii="宋体" w:hAnsi="宋体" w:cs="宋体"/>
                <w:color w:val="000000" w:themeColor="text1"/>
                <w:sz w:val="24"/>
                <w:highlight w:val="none"/>
                <w:lang w:bidi="ar"/>
                <w14:textFill>
                  <w14:solidFill>
                    <w14:schemeClr w14:val="tx1"/>
                  </w14:solidFill>
                </w14:textFill>
              </w:rPr>
              <w:t xml:space="preserve"> </w:t>
            </w:r>
            <w:r/>
          </w:p>
        </w:tc>
        <w:tc>
          <w:tcPr>
            <w:tcW w:w="4612" w:type="pct"/>
            <w:vAlign w:val="center"/>
            <w:textDirection w:val="lrTb"/>
            <w:noWrap w:val="false"/>
          </w:tcPr>
          <w:p>
            <w:pPr>
              <w:pStyle w:val="1170"/>
              <w:jc w:val="center"/>
              <w:rPr>
                <w:rFonts w:hint="eastAsia"/>
                <w:color w:val="000000" w:themeColor="text1"/>
                <w:highlight w:val="none"/>
                <w14:textFill>
                  <w14:solidFill>
                    <w14:schemeClr w14:val="tx1"/>
                  </w14:solidFill>
                </w14:textFill>
              </w:rPr>
            </w:pPr>
            <w:r>
              <w:rPr>
                <w:rFonts w:hint="eastAsia" w:cs="Times New Roman"/>
                <w:color w:val="000000" w:themeColor="text1"/>
                <w:highlight w:val="none"/>
                <w:lang w:bidi="ar"/>
                <w14:textFill>
                  <w14:solidFill>
                    <w14:schemeClr w14:val="tx1"/>
                  </w14:solidFill>
                </w14:textFill>
              </w:rPr>
              <w:t xml:space="preserve">总报价</w:t>
            </w:r>
            <w:r/>
          </w:p>
        </w:tc>
      </w:tr>
      <w:tr>
        <w:trPr>
          <w:tblCellSpacing w:w="15" w:type="dxa"/>
          <w:trHeight w:val="825"/>
        </w:trPr>
        <w:tc>
          <w:tcPr>
            <w:tcW w:w="385" w:type="pct"/>
            <w:vAlign w:val="center"/>
            <w:textDirection w:val="lrTb"/>
            <w:noWrap w:val="false"/>
          </w:tcPr>
          <w:p>
            <w:pPr>
              <w:pStyle w:val="1170"/>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tcW w:w="4612" w:type="pct"/>
            <w:vAlign w:val="center"/>
            <w:textDirection w:val="lrTb"/>
            <w:noWrap w:val="false"/>
          </w:tcPr>
          <w:p>
            <w:pPr>
              <w:pStyle w:val="1170"/>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小写：</w:t>
            </w:r>
            <w:r>
              <w:rPr>
                <w:rFonts w:hint="eastAsia"/>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 xml:space="preserve">元</w:t>
            </w:r>
            <w:r/>
          </w:p>
        </w:tc>
      </w:tr>
    </w:tbl>
    <w:p>
      <w:pPr>
        <w:pStyle w:val="1170"/>
        <w:jc w:val="right"/>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rPr>
          <w:rFonts w:hint="eastAsia"/>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 xml:space="preserve"> 年</w:t>
      </w:r>
      <w:r>
        <w:rPr>
          <w:rFonts w:hint="eastAsia"/>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 xml:space="preserve">月</w:t>
      </w:r>
      <w:r>
        <w:rPr>
          <w:rFonts w:hint="eastAsia"/>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 xml:space="preserve">日</w:t>
      </w:r>
      <w:r/>
    </w:p>
    <w:p>
      <w:pPr>
        <w:ind w:firstLine="420"/>
        <w:jc w:val="left"/>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p>
      <w:pPr>
        <w:jc w:val="left"/>
        <w:spacing w:line="360" w:lineRule="auto"/>
        <w:widowControl/>
        <w:rPr>
          <w:rFonts w:hint="eastAsia" w:ascii="宋体" w:hAnsi="宋体" w:cs="宋体"/>
          <w:b/>
          <w:color w:val="000000" w:themeColor="text1"/>
          <w:szCs w:val="21"/>
          <w:highlight w:val="none"/>
          <w:lang w:val="zh-CN"/>
          <w14:textFill>
            <w14:solidFill>
              <w14:schemeClr w14:val="tx1"/>
            </w14:solidFill>
          </w14:textFill>
        </w:rPr>
        <w:sectPr>
          <w:footnotePr/>
          <w:endnotePr>
            <w:numFmt w:val="decimal"/>
          </w:endnotePr>
          <w:type w:val="nextPage"/>
          <w:pgSz w:w="11906" w:h="16838" w:orient="portrait"/>
          <w:pgMar w:top="850" w:right="850" w:bottom="850" w:left="1418" w:header="340" w:footer="567" w:gutter="0"/>
          <w:cols w:num="1" w:sep="0" w:space="0" w:equalWidth="1"/>
          <w:docGrid w:linePitch="360"/>
        </w:sectPr>
      </w:pPr>
      <w:r>
        <w:rPr>
          <w:rFonts w:hint="eastAsia" w:ascii="宋体" w:hAnsi="宋体" w:cs="宋体"/>
          <w:b/>
          <w:color w:val="000000" w:themeColor="text1"/>
          <w:szCs w:val="21"/>
          <w:highlight w:val="none"/>
          <w:lang w:val="zh-CN"/>
          <w14:textFill>
            <w14:solidFill>
              <w14:schemeClr w14:val="tx1"/>
            </w14:solidFill>
          </w14:textFill>
        </w:rPr>
      </w:r>
      <w:r/>
    </w:p>
    <w:p>
      <w:pPr>
        <w:jc w:val="left"/>
        <w:spacing w:line="240" w:lineRule="atLeast"/>
        <w:widowControl/>
        <w:rPr>
          <w:rFonts w:hint="eastAsia" w:ascii="宋体" w:hAnsi="宋体" w:cs="宋体"/>
          <w:b/>
          <w:color w:val="000000" w:themeColor="text1"/>
          <w:szCs w:val="21"/>
          <w:highlight w:val="none"/>
          <w:lang w:val="zh-CN"/>
          <w14:textFill>
            <w14:solidFill>
              <w14:schemeClr w14:val="tx1"/>
            </w14:solidFill>
          </w14:textFill>
        </w:rPr>
      </w:pPr>
      <w:r>
        <w:rPr>
          <w:rFonts w:hint="eastAsia"/>
          <w:b/>
          <w:bCs/>
          <w:color w:val="000000" w:themeColor="text1"/>
          <w:szCs w:val="21"/>
          <w:highlight w:val="none"/>
          <w14:textFill>
            <w14:solidFill>
              <w14:schemeClr w14:val="tx1"/>
            </w14:solidFill>
          </w14:textFill>
        </w:rPr>
        <w:t xml:space="preserve">目录四、</w:t>
      </w:r>
      <w:r>
        <w:rPr>
          <w:rFonts w:hint="eastAsia" w:ascii="宋体" w:hAnsi="宋体" w:cs="宋体"/>
          <w:b/>
          <w:color w:val="000000" w:themeColor="text1"/>
          <w:szCs w:val="21"/>
          <w:highlight w:val="none"/>
          <w:lang w:val="zh-CN"/>
          <w14:textFill>
            <w14:solidFill>
              <w14:schemeClr w14:val="tx1"/>
            </w14:solidFill>
          </w14:textFill>
        </w:rPr>
        <w:t xml:space="preserve">分项报价表格式</w:t>
      </w:r>
      <w:r/>
    </w:p>
    <w:p>
      <w:pPr>
        <w:pStyle w:val="1122"/>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ind w:left="420"/>
        <w:jc w:val="center"/>
        <w:spacing w:line="360" w:lineRule="auto"/>
        <w:widowControl/>
        <w:rPr>
          <w:rFonts w:hint="eastAsia" w:ascii="宋体" w:hAnsi="宋体" w:cs="宋体"/>
          <w:color w:val="000000" w:themeColor="text1"/>
          <w:sz w:val="36"/>
          <w:szCs w:val="36"/>
          <w:highlight w:val="none"/>
          <w:lang w:val="zh-CN"/>
          <w14:textFill>
            <w14:solidFill>
              <w14:schemeClr w14:val="tx1"/>
            </w14:solidFill>
          </w14:textFill>
        </w:rPr>
        <w:outlineLvl w:val="0"/>
      </w:pPr>
      <w:r>
        <w:rPr>
          <w:rFonts w:hint="eastAsia" w:ascii="宋体" w:hAnsi="宋体" w:cs="宋体"/>
          <w:color w:val="000000" w:themeColor="text1"/>
          <w:sz w:val="36"/>
          <w:szCs w:val="36"/>
          <w:highlight w:val="none"/>
          <w:lang w:val="zh-CN"/>
          <w14:textFill>
            <w14:solidFill>
              <w14:schemeClr w14:val="tx1"/>
            </w14:solidFill>
          </w14:textFill>
        </w:rPr>
        <w:t xml:space="preserve">分项报价表</w:t>
      </w:r>
      <w:r/>
    </w:p>
    <w:tbl>
      <w:tblPr>
        <w:tblStyle w:val="117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61"/>
        <w:gridCol w:w="980"/>
        <w:gridCol w:w="757"/>
        <w:gridCol w:w="1064"/>
        <w:gridCol w:w="844"/>
        <w:gridCol w:w="903"/>
        <w:gridCol w:w="1356"/>
        <w:gridCol w:w="1090"/>
        <w:gridCol w:w="984"/>
        <w:gridCol w:w="989"/>
      </w:tblGrid>
      <w:tr>
        <w:trPr>
          <w:trHeight w:val="626"/>
        </w:trPr>
        <w:tc>
          <w:tcPr>
            <w:gridSpan w:val="6"/>
            <w:tcW w:w="5277" w:type="dxa"/>
            <w:vAlign w:val="center"/>
            <w:textDirection w:val="lrTb"/>
            <w:noWrap w:val="false"/>
          </w:tcPr>
          <w:p>
            <w:pP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项目名称：</w:t>
            </w:r>
            <w:r/>
          </w:p>
        </w:tc>
        <w:tc>
          <w:tcPr>
            <w:gridSpan w:val="4"/>
            <w:tcW w:w="4472" w:type="dxa"/>
            <w:vAlign w:val="center"/>
            <w:textDirection w:val="lrTb"/>
            <w:noWrap w:val="false"/>
          </w:tcPr>
          <w:p>
            <w:pP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项目编号：</w:t>
            </w:r>
            <w:r/>
          </w:p>
        </w:tc>
      </w:tr>
      <w:tr>
        <w:trPr>
          <w:trHeight w:val="827"/>
        </w:trPr>
        <w:tc>
          <w:tcPr>
            <w:tcW w:w="668" w:type="dxa"/>
            <w:vAlign w:val="center"/>
            <w:textDirection w:val="lrTb"/>
            <w:noWrap w:val="false"/>
          </w:tcPr>
          <w:p>
            <w:pPr>
              <w:jc w:val="center"/>
              <w:rPr>
                <w:rFonts w:hint="eastAsia" w:ascii="宋体" w:hAnsi="宋体" w:cs="宋体"/>
                <w:color w:val="000000" w:themeColor="text1"/>
                <w:szCs w:val="21"/>
                <w:highlight w:val="none"/>
                <w:lang w:val="zh-CN"/>
                <w14:textFill>
                  <w14:solidFill>
                    <w14:schemeClr w14:val="tx1"/>
                  </w14:solidFill>
                </w14:textFill>
              </w:rPr>
            </w:pPr>
            <w:r>
              <w:rPr>
                <w:rFonts w:hint="eastAsia"/>
                <w:color w:val="000000" w:themeColor="text1"/>
                <w:highlight w:val="none"/>
                <w14:textFill>
                  <w14:solidFill>
                    <w14:schemeClr w14:val="tx1"/>
                  </w14:solidFill>
                </w14:textFill>
              </w:rPr>
              <w:t xml:space="preserve">序号</w:t>
            </w:r>
            <w:r/>
          </w:p>
        </w:tc>
        <w:tc>
          <w:tcPr>
            <w:tcW w:w="994" w:type="dxa"/>
            <w:vAlign w:val="center"/>
            <w:textDirection w:val="lrTb"/>
            <w:noWrap w:val="false"/>
          </w:tcPr>
          <w:p>
            <w:pPr>
              <w:jc w:val="center"/>
              <w:rPr>
                <w:rFonts w:hint="eastAsia" w:ascii="宋体" w:hAnsi="宋体" w:cs="宋体"/>
                <w:color w:val="000000" w:themeColor="text1"/>
                <w:szCs w:val="21"/>
                <w:highlight w:val="none"/>
                <w:lang w:val="zh-CN"/>
                <w14:textFill>
                  <w14:solidFill>
                    <w14:schemeClr w14:val="tx1"/>
                  </w14:solidFill>
                </w14:textFill>
              </w:rPr>
            </w:pPr>
            <w:r>
              <w:rPr>
                <w:rFonts w:hint="eastAsia"/>
                <w:color w:val="000000" w:themeColor="text1"/>
                <w:highlight w:val="none"/>
                <w14:textFill>
                  <w14:solidFill>
                    <w14:schemeClr w14:val="tx1"/>
                  </w14:solidFill>
                </w14:textFill>
              </w:rPr>
              <w:t xml:space="preserve">标的名称</w:t>
            </w:r>
            <w:r/>
          </w:p>
        </w:tc>
        <w:tc>
          <w:tcPr>
            <w:tcW w:w="765" w:type="dxa"/>
            <w:vAlign w:val="center"/>
            <w:textDirection w:val="lrTb"/>
            <w:noWrap w:val="false"/>
          </w:tcPr>
          <w:p>
            <w:pPr>
              <w:jc w:val="center"/>
              <w:rPr>
                <w:rFonts w:hint="eastAsia" w:ascii="宋体" w:hAnsi="宋体" w:cs="宋体"/>
                <w:color w:val="000000" w:themeColor="text1"/>
                <w:szCs w:val="21"/>
                <w:highlight w:val="none"/>
                <w:lang w:val="zh-CN"/>
                <w14:textFill>
                  <w14:solidFill>
                    <w14:schemeClr w14:val="tx1"/>
                  </w14:solidFill>
                </w14:textFill>
              </w:rPr>
            </w:pPr>
            <w:r>
              <w:rPr>
                <w:rFonts w:hint="eastAsia"/>
                <w:color w:val="000000" w:themeColor="text1"/>
                <w:highlight w:val="none"/>
                <w14:textFill>
                  <w14:solidFill>
                    <w14:schemeClr w14:val="tx1"/>
                  </w14:solidFill>
                </w14:textFill>
              </w:rPr>
              <w:t xml:space="preserve">数量</w:t>
            </w:r>
            <w:r/>
          </w:p>
        </w:tc>
        <w:tc>
          <w:tcPr>
            <w:tcW w:w="1080" w:type="dxa"/>
            <w:vAlign w:val="center"/>
            <w:textDirection w:val="lrTb"/>
            <w:noWrap w:val="false"/>
          </w:tcPr>
          <w:p>
            <w:pPr>
              <w:jc w:val="center"/>
              <w:rPr>
                <w:rFonts w:hint="eastAsia" w:ascii="宋体" w:hAnsi="宋体" w:cs="宋体"/>
                <w:color w:val="000000" w:themeColor="text1"/>
                <w:szCs w:val="21"/>
                <w:highlight w:val="none"/>
                <w:lang w:val="zh-CN"/>
                <w14:textFill>
                  <w14:solidFill>
                    <w14:schemeClr w14:val="tx1"/>
                  </w14:solidFill>
                </w14:textFill>
              </w:rPr>
            </w:pPr>
            <w:r>
              <w:rPr>
                <w:rFonts w:hint="eastAsia"/>
                <w:color w:val="000000" w:themeColor="text1"/>
                <w:highlight w:val="none"/>
                <w14:textFill>
                  <w14:solidFill>
                    <w14:schemeClr w14:val="tx1"/>
                  </w14:solidFill>
                </w14:textFill>
              </w:rPr>
              <w:t xml:space="preserve">单位</w:t>
            </w:r>
            <w:r/>
          </w:p>
        </w:tc>
        <w:tc>
          <w:tcPr>
            <w:tcW w:w="855" w:type="dxa"/>
            <w:vAlign w:val="center"/>
            <w:textDirection w:val="lrTb"/>
            <w:noWrap w:val="false"/>
          </w:tcPr>
          <w:p>
            <w:pPr>
              <w:jc w:val="center"/>
              <w:rPr>
                <w:rFonts w:hint="eastAsia" w:ascii="宋体" w:hAnsi="宋体" w:cs="宋体"/>
                <w:color w:val="000000" w:themeColor="text1"/>
                <w:szCs w:val="21"/>
                <w:highlight w:val="none"/>
                <w:lang w:val="zh-CN"/>
                <w14:textFill>
                  <w14:solidFill>
                    <w14:schemeClr w14:val="tx1"/>
                  </w14:solidFill>
                </w14:textFill>
              </w:rPr>
            </w:pPr>
            <w:r>
              <w:rPr>
                <w:rFonts w:hint="eastAsia"/>
                <w:color w:val="000000" w:themeColor="text1"/>
                <w:highlight w:val="none"/>
                <w14:textFill>
                  <w14:solidFill>
                    <w14:schemeClr w14:val="tx1"/>
                  </w14:solidFill>
                </w14:textFill>
              </w:rPr>
              <w:t xml:space="preserve">品牌</w:t>
            </w:r>
            <w:r/>
          </w:p>
        </w:tc>
        <w:tc>
          <w:tcPr>
            <w:tcW w:w="915" w:type="dxa"/>
            <w:vAlign w:val="center"/>
            <w:textDirection w:val="lrTb"/>
            <w:noWrap w:val="false"/>
          </w:tcPr>
          <w:p>
            <w:pPr>
              <w:jc w:val="center"/>
              <w:rPr>
                <w:rFonts w:hint="eastAsia" w:ascii="宋体" w:hAnsi="宋体" w:cs="宋体"/>
                <w:color w:val="000000" w:themeColor="text1"/>
                <w:szCs w:val="21"/>
                <w:highlight w:val="none"/>
                <w:lang w:val="zh-CN"/>
                <w14:textFill>
                  <w14:solidFill>
                    <w14:schemeClr w14:val="tx1"/>
                  </w14:solidFill>
                </w14:textFill>
              </w:rPr>
            </w:pPr>
            <w:r>
              <w:rPr>
                <w:rFonts w:hint="eastAsia"/>
                <w:color w:val="000000" w:themeColor="text1"/>
                <w:highlight w:val="none"/>
                <w14:textFill>
                  <w14:solidFill>
                    <w14:schemeClr w14:val="tx1"/>
                  </w14:solidFill>
                </w14:textFill>
              </w:rPr>
              <w:t xml:space="preserve">规格型号</w:t>
            </w:r>
            <w:r/>
          </w:p>
        </w:tc>
        <w:tc>
          <w:tcPr>
            <w:tcW w:w="1374" w:type="dxa"/>
            <w:vAlign w:val="center"/>
            <w:textDirection w:val="lrTb"/>
            <w:noWrap w:val="false"/>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单价</w:t>
            </w:r>
            <w:r/>
          </w:p>
          <w:p>
            <w:pPr>
              <w:jc w:val="center"/>
              <w:rPr>
                <w:rFonts w:hint="eastAsia" w:ascii="宋体" w:hAnsi="宋体" w:cs="宋体"/>
                <w:color w:val="000000" w:themeColor="text1"/>
                <w:szCs w:val="21"/>
                <w:highlight w:val="none"/>
                <w:lang w:val="zh-CN"/>
                <w14:textFill>
                  <w14:solidFill>
                    <w14:schemeClr w14:val="tx1"/>
                  </w14:solidFill>
                </w14:textFill>
              </w:rPr>
            </w:pPr>
            <w:r>
              <w:rPr>
                <w:rFonts w:hint="eastAsia"/>
                <w:color w:val="000000" w:themeColor="text1"/>
                <w:highlight w:val="none"/>
                <w14:textFill>
                  <w14:solidFill>
                    <w14:schemeClr w14:val="tx1"/>
                  </w14:solidFill>
                </w14:textFill>
              </w:rPr>
              <w:t xml:space="preserve">（万元）</w:t>
            </w:r>
            <w:r/>
          </w:p>
        </w:tc>
        <w:tc>
          <w:tcPr>
            <w:tcW w:w="1102" w:type="dxa"/>
            <w:vAlign w:val="center"/>
            <w:textDirection w:val="lrTb"/>
            <w:noWrap w:val="false"/>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总价</w:t>
            </w:r>
            <w:r/>
          </w:p>
          <w:p>
            <w:pPr>
              <w:jc w:val="center"/>
              <w:rPr>
                <w:rFonts w:hint="eastAsia" w:ascii="宋体" w:hAnsi="宋体" w:cs="宋体"/>
                <w:color w:val="000000" w:themeColor="text1"/>
                <w:szCs w:val="21"/>
                <w:highlight w:val="none"/>
                <w:lang w:val="zh-CN"/>
                <w14:textFill>
                  <w14:solidFill>
                    <w14:schemeClr w14:val="tx1"/>
                  </w14:solidFill>
                </w14:textFill>
              </w:rPr>
            </w:pPr>
            <w:r>
              <w:rPr>
                <w:rFonts w:hint="eastAsia"/>
                <w:color w:val="000000" w:themeColor="text1"/>
                <w:highlight w:val="none"/>
                <w14:textFill>
                  <w14:solidFill>
                    <w14:schemeClr w14:val="tx1"/>
                  </w14:solidFill>
                </w14:textFill>
              </w:rPr>
              <w:t xml:space="preserve">（万元）</w:t>
            </w:r>
            <w:r/>
          </w:p>
        </w:tc>
        <w:tc>
          <w:tcPr>
            <w:tcW w:w="998"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产地</w:t>
            </w:r>
            <w:r/>
          </w:p>
        </w:tc>
        <w:tc>
          <w:tcPr>
            <w:tcW w:w="998" w:type="dxa"/>
            <w:vAlign w:val="center"/>
            <w:textDirection w:val="lrTb"/>
            <w:noWrap w:val="false"/>
          </w:tcPr>
          <w:p>
            <w:pPr>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是否属于小、微型企业的产品</w:t>
            </w:r>
            <w:r/>
          </w:p>
        </w:tc>
      </w:tr>
      <w:tr>
        <w:trPr>
          <w:trHeight w:val="626"/>
        </w:trPr>
        <w:tc>
          <w:tcPr>
            <w:tcW w:w="668" w:type="dxa"/>
            <w:vAlign w:val="center"/>
            <w:textDirection w:val="lrTb"/>
            <w:noWrap w:val="false"/>
          </w:tcPr>
          <w:p>
            <w:pP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994" w:type="dxa"/>
            <w:vAlign w:val="center"/>
            <w:textDirection w:val="lrTb"/>
            <w:noWrap w:val="false"/>
          </w:tcPr>
          <w:p>
            <w:pP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765" w:type="dxa"/>
            <w:vAlign w:val="center"/>
            <w:textDirection w:val="lrTb"/>
            <w:noWrap w:val="false"/>
          </w:tcPr>
          <w:p>
            <w:pP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1080" w:type="dxa"/>
            <w:vAlign w:val="center"/>
            <w:textDirection w:val="lrTb"/>
            <w:noWrap w:val="false"/>
          </w:tcPr>
          <w:p>
            <w:pP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855" w:type="dxa"/>
            <w:vAlign w:val="center"/>
            <w:textDirection w:val="lrTb"/>
            <w:noWrap w:val="false"/>
          </w:tcPr>
          <w:p>
            <w:pP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915" w:type="dxa"/>
            <w:vAlign w:val="center"/>
            <w:textDirection w:val="lrTb"/>
            <w:noWrap w:val="false"/>
          </w:tcPr>
          <w:p>
            <w:pPr>
              <w:spacing w:line="360" w:lineRule="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1374" w:type="dxa"/>
            <w:vAlign w:val="center"/>
            <w:textDirection w:val="lrTb"/>
            <w:noWrap w:val="false"/>
          </w:tcPr>
          <w:p>
            <w:pP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1102" w:type="dxa"/>
            <w:vAlign w:val="center"/>
            <w:textDirection w:val="lrTb"/>
            <w:noWrap w:val="false"/>
          </w:tcPr>
          <w:p>
            <w:pP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998" w:type="dxa"/>
            <w:vAlign w:val="center"/>
            <w:textDirection w:val="lrTb"/>
            <w:noWrap w:val="false"/>
          </w:tcPr>
          <w:p>
            <w:pP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998" w:type="dxa"/>
            <w:vAlign w:val="center"/>
            <w:textDirection w:val="lrTb"/>
            <w:noWrap w:val="false"/>
          </w:tcPr>
          <w:p>
            <w:pP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r>
      <w:tr>
        <w:trPr>
          <w:trHeight w:val="626"/>
        </w:trPr>
        <w:tc>
          <w:tcPr>
            <w:tcW w:w="668" w:type="dxa"/>
            <w:vAlign w:val="center"/>
            <w:textDirection w:val="lrTb"/>
            <w:noWrap w:val="false"/>
          </w:tcPr>
          <w:p>
            <w:pP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994" w:type="dxa"/>
            <w:vAlign w:val="center"/>
            <w:textDirection w:val="lrTb"/>
            <w:noWrap w:val="false"/>
          </w:tcPr>
          <w:p>
            <w:pP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765" w:type="dxa"/>
            <w:vAlign w:val="center"/>
            <w:textDirection w:val="lrTb"/>
            <w:noWrap w:val="false"/>
          </w:tcPr>
          <w:p>
            <w:pP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1080" w:type="dxa"/>
            <w:vAlign w:val="center"/>
            <w:textDirection w:val="lrTb"/>
            <w:noWrap w:val="false"/>
          </w:tcPr>
          <w:p>
            <w:pP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855" w:type="dxa"/>
            <w:vAlign w:val="center"/>
            <w:textDirection w:val="lrTb"/>
            <w:noWrap w:val="false"/>
          </w:tcPr>
          <w:p>
            <w:pP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915" w:type="dxa"/>
            <w:vAlign w:val="center"/>
            <w:textDirection w:val="lrTb"/>
            <w:noWrap w:val="false"/>
          </w:tcPr>
          <w:p>
            <w:pP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1374" w:type="dxa"/>
            <w:vAlign w:val="center"/>
            <w:textDirection w:val="lrTb"/>
            <w:noWrap w:val="false"/>
          </w:tcPr>
          <w:p>
            <w:pP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1102" w:type="dxa"/>
            <w:vAlign w:val="center"/>
            <w:textDirection w:val="lrTb"/>
            <w:noWrap w:val="false"/>
          </w:tcPr>
          <w:p>
            <w:pP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998" w:type="dxa"/>
            <w:vAlign w:val="center"/>
            <w:textDirection w:val="lrTb"/>
            <w:noWrap w:val="false"/>
          </w:tcPr>
          <w:p>
            <w:pP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998" w:type="dxa"/>
            <w:vAlign w:val="center"/>
            <w:textDirection w:val="lrTb"/>
            <w:noWrap w:val="false"/>
          </w:tcPr>
          <w:p>
            <w:pP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r>
      <w:tr>
        <w:trPr>
          <w:trHeight w:val="626"/>
        </w:trPr>
        <w:tc>
          <w:tcPr>
            <w:tcW w:w="668" w:type="dxa"/>
            <w:vAlign w:val="center"/>
            <w:textDirection w:val="lrTb"/>
            <w:noWrap w:val="false"/>
          </w:tcPr>
          <w:p>
            <w:pP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994" w:type="dxa"/>
            <w:vAlign w:val="center"/>
            <w:textDirection w:val="lrTb"/>
            <w:noWrap w:val="false"/>
          </w:tcPr>
          <w:p>
            <w:pP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765" w:type="dxa"/>
            <w:vAlign w:val="center"/>
            <w:textDirection w:val="lrTb"/>
            <w:noWrap w:val="false"/>
          </w:tcPr>
          <w:p>
            <w:pP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1080" w:type="dxa"/>
            <w:vAlign w:val="center"/>
            <w:textDirection w:val="lrTb"/>
            <w:noWrap w:val="false"/>
          </w:tcPr>
          <w:p>
            <w:pP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855" w:type="dxa"/>
            <w:vAlign w:val="center"/>
            <w:textDirection w:val="lrTb"/>
            <w:noWrap w:val="false"/>
          </w:tcPr>
          <w:p>
            <w:pP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915" w:type="dxa"/>
            <w:vAlign w:val="center"/>
            <w:textDirection w:val="lrTb"/>
            <w:noWrap w:val="false"/>
          </w:tcPr>
          <w:p>
            <w:pP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1374" w:type="dxa"/>
            <w:vAlign w:val="center"/>
            <w:textDirection w:val="lrTb"/>
            <w:noWrap w:val="false"/>
          </w:tcPr>
          <w:p>
            <w:pP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1102" w:type="dxa"/>
            <w:vAlign w:val="center"/>
            <w:textDirection w:val="lrTb"/>
            <w:noWrap w:val="false"/>
          </w:tcPr>
          <w:p>
            <w:pP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998" w:type="dxa"/>
            <w:vAlign w:val="center"/>
            <w:textDirection w:val="lrTb"/>
            <w:noWrap w:val="false"/>
          </w:tcPr>
          <w:p>
            <w:pP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998" w:type="dxa"/>
            <w:vAlign w:val="center"/>
            <w:textDirection w:val="lrTb"/>
            <w:noWrap w:val="false"/>
          </w:tcPr>
          <w:p>
            <w:pP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r>
      <w:tr>
        <w:trPr>
          <w:trHeight w:val="626"/>
        </w:trPr>
        <w:tc>
          <w:tcPr>
            <w:tcW w:w="668" w:type="dxa"/>
            <w:vAlign w:val="center"/>
            <w:textDirection w:val="lrTb"/>
            <w:noWrap w:val="false"/>
          </w:tcPr>
          <w:p>
            <w:pP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994" w:type="dxa"/>
            <w:vAlign w:val="center"/>
            <w:textDirection w:val="lrTb"/>
            <w:noWrap w:val="false"/>
          </w:tcPr>
          <w:p>
            <w:pP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765" w:type="dxa"/>
            <w:vAlign w:val="center"/>
            <w:textDirection w:val="lrTb"/>
            <w:noWrap w:val="false"/>
          </w:tcPr>
          <w:p>
            <w:pP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1080" w:type="dxa"/>
            <w:vAlign w:val="center"/>
            <w:textDirection w:val="lrTb"/>
            <w:noWrap w:val="false"/>
          </w:tcPr>
          <w:p>
            <w:pP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855" w:type="dxa"/>
            <w:vAlign w:val="center"/>
            <w:textDirection w:val="lrTb"/>
            <w:noWrap w:val="false"/>
          </w:tcPr>
          <w:p>
            <w:pP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915" w:type="dxa"/>
            <w:vAlign w:val="center"/>
            <w:textDirection w:val="lrTb"/>
            <w:noWrap w:val="false"/>
          </w:tcPr>
          <w:p>
            <w:pP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1374" w:type="dxa"/>
            <w:vAlign w:val="center"/>
            <w:textDirection w:val="lrTb"/>
            <w:noWrap w:val="false"/>
          </w:tcPr>
          <w:p>
            <w:pP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1102" w:type="dxa"/>
            <w:vAlign w:val="center"/>
            <w:textDirection w:val="lrTb"/>
            <w:noWrap w:val="false"/>
          </w:tcPr>
          <w:p>
            <w:pP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998" w:type="dxa"/>
            <w:vAlign w:val="center"/>
            <w:textDirection w:val="lrTb"/>
            <w:noWrap w:val="false"/>
          </w:tcPr>
          <w:p>
            <w:pP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998" w:type="dxa"/>
            <w:vAlign w:val="center"/>
            <w:textDirection w:val="lrTb"/>
            <w:noWrap w:val="false"/>
          </w:tcPr>
          <w:p>
            <w:pP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r>
      <w:tr>
        <w:trPr>
          <w:trHeight w:val="626"/>
        </w:trPr>
        <w:tc>
          <w:tcPr>
            <w:tcW w:w="668" w:type="dxa"/>
            <w:vAlign w:val="center"/>
            <w:textDirection w:val="lrTb"/>
            <w:noWrap w:val="false"/>
          </w:tcPr>
          <w:p>
            <w:pP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994" w:type="dxa"/>
            <w:vAlign w:val="center"/>
            <w:textDirection w:val="lrTb"/>
            <w:noWrap w:val="false"/>
          </w:tcPr>
          <w:p>
            <w:pP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765" w:type="dxa"/>
            <w:vAlign w:val="center"/>
            <w:textDirection w:val="lrTb"/>
            <w:noWrap w:val="false"/>
          </w:tcPr>
          <w:p>
            <w:pP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1080" w:type="dxa"/>
            <w:vAlign w:val="center"/>
            <w:textDirection w:val="lrTb"/>
            <w:noWrap w:val="false"/>
          </w:tcPr>
          <w:p>
            <w:pP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855" w:type="dxa"/>
            <w:vAlign w:val="center"/>
            <w:textDirection w:val="lrTb"/>
            <w:noWrap w:val="false"/>
          </w:tcPr>
          <w:p>
            <w:pP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915" w:type="dxa"/>
            <w:vAlign w:val="center"/>
            <w:textDirection w:val="lrTb"/>
            <w:noWrap w:val="false"/>
          </w:tcPr>
          <w:p>
            <w:pP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1374" w:type="dxa"/>
            <w:vAlign w:val="center"/>
            <w:textDirection w:val="lrTb"/>
            <w:noWrap w:val="false"/>
          </w:tcPr>
          <w:p>
            <w:pP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1102" w:type="dxa"/>
            <w:vAlign w:val="center"/>
            <w:textDirection w:val="lrTb"/>
            <w:noWrap w:val="false"/>
          </w:tcPr>
          <w:p>
            <w:pP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998" w:type="dxa"/>
            <w:vAlign w:val="center"/>
            <w:textDirection w:val="lrTb"/>
            <w:noWrap w:val="false"/>
          </w:tcPr>
          <w:p>
            <w:pP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998" w:type="dxa"/>
            <w:vAlign w:val="center"/>
            <w:textDirection w:val="lrTb"/>
            <w:noWrap w:val="false"/>
          </w:tcPr>
          <w:p>
            <w:pP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r>
      <w:tr>
        <w:trPr>
          <w:trHeight w:val="626"/>
        </w:trPr>
        <w:tc>
          <w:tcPr>
            <w:tcW w:w="668" w:type="dxa"/>
            <w:vAlign w:val="center"/>
            <w:textDirection w:val="lrTb"/>
            <w:noWrap w:val="false"/>
          </w:tcPr>
          <w:p>
            <w:pP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994" w:type="dxa"/>
            <w:vAlign w:val="center"/>
            <w:textDirection w:val="lrTb"/>
            <w:noWrap w:val="false"/>
          </w:tcPr>
          <w:p>
            <w:pP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765" w:type="dxa"/>
            <w:vAlign w:val="center"/>
            <w:textDirection w:val="lrTb"/>
            <w:noWrap w:val="false"/>
          </w:tcPr>
          <w:p>
            <w:pP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1080" w:type="dxa"/>
            <w:vAlign w:val="center"/>
            <w:textDirection w:val="lrTb"/>
            <w:noWrap w:val="false"/>
          </w:tcPr>
          <w:p>
            <w:pP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855" w:type="dxa"/>
            <w:vAlign w:val="center"/>
            <w:textDirection w:val="lrTb"/>
            <w:noWrap w:val="false"/>
          </w:tcPr>
          <w:p>
            <w:pP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915" w:type="dxa"/>
            <w:vAlign w:val="center"/>
            <w:textDirection w:val="lrTb"/>
            <w:noWrap w:val="false"/>
          </w:tcPr>
          <w:p>
            <w:pP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1374" w:type="dxa"/>
            <w:vAlign w:val="center"/>
            <w:textDirection w:val="lrTb"/>
            <w:noWrap w:val="false"/>
          </w:tcPr>
          <w:p>
            <w:pP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1102" w:type="dxa"/>
            <w:vAlign w:val="center"/>
            <w:textDirection w:val="lrTb"/>
            <w:noWrap w:val="false"/>
          </w:tcPr>
          <w:p>
            <w:pP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998" w:type="dxa"/>
            <w:vAlign w:val="center"/>
            <w:textDirection w:val="lrTb"/>
            <w:noWrap w:val="false"/>
          </w:tcPr>
          <w:p>
            <w:pP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998" w:type="dxa"/>
            <w:vAlign w:val="center"/>
            <w:textDirection w:val="lrTb"/>
            <w:noWrap w:val="false"/>
          </w:tcPr>
          <w:p>
            <w:pP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r>
      <w:tr>
        <w:trPr>
          <w:trHeight w:val="650"/>
        </w:trPr>
        <w:tc>
          <w:tcPr>
            <w:gridSpan w:val="10"/>
            <w:tcW w:w="9749" w:type="dxa"/>
            <w:vAlign w:val="center"/>
            <w:textDirection w:val="lrTb"/>
            <w:noWrap w:val="false"/>
          </w:tcPr>
          <w:p>
            <w:pP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总价</w:t>
            </w:r>
            <w:r>
              <w:rPr>
                <w:rFonts w:hint="eastAsia" w:ascii="宋体" w:hAnsi="宋体" w:cs="宋体"/>
                <w:color w:val="000000" w:themeColor="text1"/>
                <w:szCs w:val="21"/>
                <w:highlight w:val="none"/>
                <w14:textFill>
                  <w14:solidFill>
                    <w14:schemeClr w14:val="tx1"/>
                  </w14:solidFill>
                </w14:textFill>
              </w:rPr>
              <w:t xml:space="preserve">合计</w:t>
            </w:r>
            <w:r>
              <w:rPr>
                <w:rFonts w:hint="eastAsia" w:ascii="宋体" w:hAnsi="宋体" w:cs="宋体"/>
                <w:color w:val="000000" w:themeColor="text1"/>
                <w:szCs w:val="21"/>
                <w:highlight w:val="none"/>
                <w:lang w:val="zh-CN"/>
                <w14:textFill>
                  <w14:solidFill>
                    <w14:schemeClr w14:val="tx1"/>
                  </w14:solidFill>
                </w14:textFill>
              </w:rPr>
              <w:t xml:space="preserve">：</w:t>
            </w:r>
            <w:r/>
          </w:p>
        </w:tc>
      </w:tr>
      <w:tr>
        <w:trPr>
          <w:trHeight w:val="650"/>
        </w:trPr>
        <w:tc>
          <w:tcPr>
            <w:gridSpan w:val="10"/>
            <w:tcW w:w="9749" w:type="dxa"/>
            <w:vAlign w:val="center"/>
            <w:textDirection w:val="lrTb"/>
            <w:noWrap w:val="false"/>
          </w:tcPr>
          <w:p>
            <w:pP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本采购</w:t>
            </w:r>
            <w:r>
              <w:rPr>
                <w:rFonts w:hint="eastAsia" w:ascii="宋体" w:hAnsi="宋体" w:cs="宋体"/>
                <w:color w:val="000000" w:themeColor="text1"/>
                <w:szCs w:val="21"/>
                <w:highlight w:val="none"/>
                <w14:textFill>
                  <w14:solidFill>
                    <w14:schemeClr w14:val="tx1"/>
                  </w14:solidFill>
                </w14:textFill>
              </w:rPr>
              <w:t xml:space="preserve">包</w:t>
            </w:r>
            <w:r>
              <w:rPr>
                <w:rFonts w:hint="eastAsia" w:ascii="宋体" w:hAnsi="宋体" w:cs="宋体"/>
                <w:color w:val="000000" w:themeColor="text1"/>
                <w:szCs w:val="21"/>
                <w:highlight w:val="none"/>
                <w:lang w:val="zh-CN"/>
                <w14:textFill>
                  <w14:solidFill>
                    <w14:schemeClr w14:val="tx1"/>
                  </w14:solidFill>
                </w14:textFill>
              </w:rPr>
              <w:t xml:space="preserve">中提供的符合本国产品标准的产品成本之和占该采购包提供的全部产品成本之和的比例为</w:t>
            </w:r>
            <w:r>
              <w:rPr>
                <w:rFonts w:hint="eastAsia" w:ascii="宋体" w:hAnsi="宋体" w:cs="宋体"/>
                <w:color w:val="000000" w:themeColor="text1"/>
                <w:szCs w:val="21"/>
                <w:highlight w:val="none"/>
                <w14:textFill>
                  <w14:solidFill>
                    <w14:schemeClr w14:val="tx1"/>
                  </w14:solidFill>
                </w14:textFill>
              </w:rPr>
              <w:t xml:space="preserve">______</w:t>
            </w:r>
            <w:r>
              <w:rPr>
                <w:rFonts w:hint="eastAsia" w:ascii="宋体" w:hAnsi="宋体" w:cs="宋体"/>
                <w:color w:val="000000" w:themeColor="text1"/>
                <w:szCs w:val="21"/>
                <w:highlight w:val="none"/>
                <w:lang w:val="zh-CN"/>
                <w14:textFill>
                  <w14:solidFill>
                    <w14:schemeClr w14:val="tx1"/>
                  </w14:solidFill>
                </w14:textFill>
              </w:rPr>
              <w:t xml:space="preserve">%。</w:t>
            </w:r>
            <w:r/>
          </w:p>
        </w:tc>
      </w:tr>
    </w:tbl>
    <w:p>
      <w:pPr>
        <w:jc w:val="left"/>
        <w:spacing w:line="360" w:lineRule="auto"/>
        <w:widowControl/>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投标人名称：（加盖CA电子公章）</w:t>
      </w:r>
      <w:r/>
    </w:p>
    <w:p>
      <w:pPr>
        <w:jc w:val="left"/>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p>
      <w:pPr>
        <w:jc w:val="left"/>
        <w:spacing w:line="360" w:lineRule="auto"/>
        <w:widowControl/>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说明：1、如果行数不够，请自行增加。</w:t>
      </w:r>
      <w:r/>
    </w:p>
    <w:p>
      <w:pPr>
        <w:jc w:val="left"/>
        <w:spacing w:line="360" w:lineRule="auto"/>
        <w:widowControl/>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     </w:t>
      </w:r>
      <w:r>
        <w:rPr>
          <w:color w:val="000000" w:themeColor="text1"/>
          <w:highlight w:val="none"/>
          <w14:textFill>
            <w14:solidFill>
              <w14:schemeClr w14:val="tx1"/>
            </w14:solidFill>
          </w14:textFill>
        </w:rPr>
        <w:t xml:space="preserve">2、在“是否属于小、微型企业的产品”栏内，填写“是”或“否”，如果小微型企业的产品报价无法划分计算的，评标时将不予认可。小型和微型企业产品是指供应商为小企业，且符合中小企业划分标准，提供本企业制造的货物，或者提供其他小企业制造的货物。如果提供的货物为大中型企业注册商标的货物，或者供应商为小型或微型企业，但提供的货物为大中型企业注册商标的货物，视同大中型企业。</w:t>
      </w:r>
      <w:r/>
    </w:p>
    <w:p>
      <w:pPr>
        <w:ind w:firstLine="630"/>
        <w:jc w:val="left"/>
        <w:spacing w:line="360" w:lineRule="auto"/>
        <w:widowControl/>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jc w:val="left"/>
        <w:widowControl/>
        <w:rPr>
          <w:rFonts w:hint="eastAsia"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r>
      <w:r/>
    </w:p>
    <w:p>
      <w:pPr>
        <w:rPr>
          <w:rFonts w:hint="eastAsia"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br w:type="page" w:clear="all"/>
      </w:r>
      <w:r/>
    </w:p>
    <w:p>
      <w:pPr>
        <w:jc w:val="left"/>
        <w:spacing w:line="360" w:lineRule="auto"/>
        <w:widowControl/>
        <w:rPr>
          <w:rFonts w:hint="eastAsia"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目录</w:t>
      </w:r>
      <w:r>
        <w:rPr>
          <w:rFonts w:hint="eastAsia" w:ascii="宋体" w:hAnsi="宋体" w:cs="宋体"/>
          <w:b/>
          <w:color w:val="000000" w:themeColor="text1"/>
          <w:szCs w:val="21"/>
          <w:highlight w:val="none"/>
          <w14:textFill>
            <w14:solidFill>
              <w14:schemeClr w14:val="tx1"/>
            </w14:solidFill>
          </w14:textFill>
        </w:rPr>
        <w:t xml:space="preserve">五</w:t>
      </w:r>
      <w:r>
        <w:rPr>
          <w:rFonts w:hint="eastAsia" w:ascii="宋体" w:hAnsi="宋体" w:cs="宋体"/>
          <w:b/>
          <w:color w:val="000000" w:themeColor="text1"/>
          <w:szCs w:val="21"/>
          <w:highlight w:val="none"/>
          <w:lang w:val="zh-CN"/>
          <w14:textFill>
            <w14:solidFill>
              <w14:schemeClr w14:val="tx1"/>
            </w14:solidFill>
          </w14:textFill>
        </w:rPr>
        <w:t xml:space="preserve">、技术条款偏离表格式</w:t>
      </w:r>
      <w:r/>
    </w:p>
    <w:p>
      <w:pPr>
        <w:ind w:left="420"/>
        <w:jc w:val="center"/>
        <w:spacing w:line="360" w:lineRule="auto"/>
        <w:widowControl/>
        <w:rPr>
          <w:rFonts w:hint="eastAsia" w:ascii="宋体" w:hAnsi="宋体" w:cs="宋体"/>
          <w:color w:val="000000" w:themeColor="text1"/>
          <w:sz w:val="36"/>
          <w:szCs w:val="36"/>
          <w:highlight w:val="none"/>
          <w:lang w:val="zh-CN"/>
          <w14:textFill>
            <w14:solidFill>
              <w14:schemeClr w14:val="tx1"/>
            </w14:solidFill>
          </w14:textFill>
        </w:rPr>
        <w:outlineLvl w:val="0"/>
      </w:pPr>
      <w:r>
        <w:rPr>
          <w:rFonts w:hint="eastAsia" w:ascii="宋体" w:hAnsi="宋体" w:cs="宋体"/>
          <w:color w:val="000000" w:themeColor="text1"/>
          <w:sz w:val="36"/>
          <w:szCs w:val="36"/>
          <w:highlight w:val="none"/>
          <w:lang w:val="zh-CN"/>
          <w14:textFill>
            <w14:solidFill>
              <w14:schemeClr w14:val="tx1"/>
            </w14:solidFill>
          </w14:textFill>
        </w:rPr>
        <w:t xml:space="preserve">技术条款偏离表</w:t>
      </w:r>
      <w:r/>
    </w:p>
    <w:tbl>
      <w:tblPr>
        <w:tblStyle w:val="1129"/>
        <w:tblW w:w="9435" w:type="dxa"/>
        <w:jc w:val="center"/>
        <w:tblLayout w:type="fixed"/>
        <w:tblCellMar>
          <w:left w:w="0" w:type="dxa"/>
          <w:top w:w="0" w:type="dxa"/>
          <w:right w:w="0" w:type="dxa"/>
          <w:bottom w:w="0" w:type="dxa"/>
        </w:tblCellMar>
        <w:tblLook w:val="04A0" w:firstRow="1" w:lastRow="0" w:firstColumn="1" w:lastColumn="0" w:noHBand="0" w:noVBand="1"/>
      </w:tblPr>
      <w:tblGrid>
        <w:gridCol w:w="765"/>
        <w:gridCol w:w="1620"/>
        <w:gridCol w:w="2700"/>
        <w:gridCol w:w="2563"/>
        <w:gridCol w:w="1787"/>
      </w:tblGrid>
      <w:tr>
        <w:trPr>
          <w:jc w:val="center"/>
          <w:trHeight w:val="284"/>
        </w:trPr>
        <w:tc>
          <w:tcPr>
            <w:gridSpan w:val="3"/>
            <w:tcBorders>
              <w:top w:val="none" w:color="000000" w:sz="4" w:space="0"/>
              <w:left w:val="none" w:color="000000" w:sz="4" w:space="0"/>
              <w:bottom w:val="single" w:color="auto" w:sz="6" w:space="0"/>
              <w:right w:val="none" w:color="000000" w:sz="4" w:space="0"/>
            </w:tcBorders>
            <w:tcW w:w="5085" w:type="dxa"/>
            <w:vAlign w:val="center"/>
            <w:textDirection w:val="lrTb"/>
            <w:noWrap w:val="false"/>
          </w:tcPr>
          <w:p>
            <w:pPr>
              <w:jc w:val="left"/>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项目名称：</w:t>
            </w:r>
            <w:r/>
          </w:p>
        </w:tc>
        <w:tc>
          <w:tcPr>
            <w:gridSpan w:val="2"/>
            <w:tcBorders>
              <w:top w:val="none" w:color="000000" w:sz="4" w:space="0"/>
              <w:left w:val="none" w:color="000000" w:sz="4" w:space="0"/>
              <w:bottom w:val="single" w:color="auto" w:sz="6" w:space="0"/>
              <w:right w:val="none" w:color="000000" w:sz="4" w:space="0"/>
            </w:tcBorders>
            <w:tcW w:w="4350" w:type="dxa"/>
            <w:vAlign w:val="center"/>
            <w:textDirection w:val="lrTb"/>
            <w:noWrap w:val="false"/>
          </w:tcPr>
          <w:p>
            <w:pPr>
              <w:jc w:val="left"/>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项目编号：</w:t>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序号</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招标文件条目号</w:t>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招标文件要求的</w:t>
            </w:r>
            <w:r>
              <w:rPr>
                <w:rFonts w:hint="eastAsia" w:ascii="宋体" w:hAnsi="宋体" w:cs="宋体"/>
                <w:color w:val="000000" w:themeColor="text1"/>
                <w:szCs w:val="21"/>
                <w:highlight w:val="none"/>
                <w14:textFill>
                  <w14:solidFill>
                    <w14:schemeClr w14:val="tx1"/>
                  </w14:solidFill>
                </w14:textFill>
              </w:rPr>
              <w:t xml:space="preserve">技术</w:t>
            </w:r>
            <w:r>
              <w:rPr>
                <w:rFonts w:hint="eastAsia" w:ascii="宋体" w:hAnsi="宋体" w:cs="宋体"/>
                <w:color w:val="000000" w:themeColor="text1"/>
                <w:szCs w:val="21"/>
                <w:highlight w:val="none"/>
                <w:lang w:val="zh-CN"/>
                <w14:textFill>
                  <w14:solidFill>
                    <w14:schemeClr w14:val="tx1"/>
                  </w14:solidFill>
                </w14:textFill>
              </w:rPr>
              <w:t xml:space="preserve">条款</w:t>
            </w:r>
            <w:r/>
          </w:p>
        </w:tc>
        <w:tc>
          <w:tcPr>
            <w:tcBorders>
              <w:top w:val="single" w:color="auto" w:sz="6" w:space="0"/>
              <w:left w:val="single" w:color="auto" w:sz="6" w:space="0"/>
              <w:bottom w:val="single" w:color="auto" w:sz="6" w:space="0"/>
              <w:right w:val="single" w:color="auto" w:sz="6" w:space="0"/>
            </w:tcBorders>
            <w:tcW w:w="2563"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投标响应</w:t>
            </w:r>
            <w:r/>
          </w:p>
        </w:tc>
        <w:tc>
          <w:tcPr>
            <w:tcBorders>
              <w:top w:val="single" w:color="auto" w:sz="6" w:space="0"/>
              <w:left w:val="single" w:color="auto" w:sz="6" w:space="0"/>
              <w:bottom w:val="single" w:color="auto" w:sz="6" w:space="0"/>
              <w:right w:val="single" w:color="auto" w:sz="6" w:space="0"/>
            </w:tcBorders>
            <w:tcW w:w="1787" w:type="dxa"/>
            <w:vAlign w:val="center"/>
            <w:textDirection w:val="lrTb"/>
            <w:noWrap w:val="false"/>
          </w:tcPr>
          <w:p>
            <w:pPr>
              <w:jc w:val="center"/>
              <w:spacing w:line="360" w:lineRule="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偏离</w:t>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563"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87"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563"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87"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563"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87"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563"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87"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563"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87"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563"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87"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r>
    </w:tbl>
    <w:p>
      <w:pPr>
        <w:jc w:val="left"/>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p>
      <w:pPr>
        <w:jc w:val="left"/>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供应商名称：（加盖CA电子公章）</w:t>
      </w:r>
      <w:r/>
    </w:p>
    <w:p>
      <w:pPr>
        <w:jc w:val="left"/>
        <w:spacing w:line="440" w:lineRule="exact"/>
        <w:widowControl/>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1、如果行数不够，请自行增加。</w:t>
      </w:r>
      <w:r/>
    </w:p>
    <w:p>
      <w:pPr>
        <w:jc w:val="left"/>
        <w:spacing w:line="440" w:lineRule="exact"/>
        <w:widowControl/>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2、供应商需在上表中对采购文件第四章“（第一部分：技术部分要求）”相关要求进行响应。</w:t>
      </w:r>
      <w:r/>
    </w:p>
    <w:p>
      <w:pPr>
        <w:jc w:val="left"/>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p>
      <w:pPr>
        <w:jc w:val="left"/>
        <w:spacing w:line="360" w:lineRule="auto"/>
        <w:widowControl/>
        <w:rPr>
          <w:rFonts w:hint="eastAsia"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目录</w:t>
      </w:r>
      <w:r>
        <w:rPr>
          <w:rFonts w:hint="eastAsia" w:ascii="宋体" w:hAnsi="宋体" w:cs="宋体"/>
          <w:b/>
          <w:color w:val="000000" w:themeColor="text1"/>
          <w:szCs w:val="21"/>
          <w:highlight w:val="none"/>
          <w14:textFill>
            <w14:solidFill>
              <w14:schemeClr w14:val="tx1"/>
            </w14:solidFill>
          </w14:textFill>
        </w:rPr>
        <w:t xml:space="preserve">六</w:t>
      </w:r>
      <w:r>
        <w:rPr>
          <w:rFonts w:hint="eastAsia" w:ascii="宋体" w:hAnsi="宋体" w:cs="宋体"/>
          <w:b/>
          <w:color w:val="000000" w:themeColor="text1"/>
          <w:szCs w:val="21"/>
          <w:highlight w:val="none"/>
          <w:lang w:val="zh-CN"/>
          <w14:textFill>
            <w14:solidFill>
              <w14:schemeClr w14:val="tx1"/>
            </w14:solidFill>
          </w14:textFill>
        </w:rPr>
        <w:t xml:space="preserve">、商务条款偏离表格式</w:t>
      </w:r>
      <w:r/>
    </w:p>
    <w:p>
      <w:pPr>
        <w:ind w:left="420"/>
        <w:jc w:val="center"/>
        <w:spacing w:line="360" w:lineRule="auto"/>
        <w:widowControl/>
        <w:rPr>
          <w:rFonts w:hint="eastAsia" w:ascii="宋体" w:hAnsi="宋体" w:cs="宋体"/>
          <w:color w:val="000000" w:themeColor="text1"/>
          <w:sz w:val="36"/>
          <w:szCs w:val="36"/>
          <w:highlight w:val="none"/>
          <w:lang w:val="zh-CN"/>
          <w14:textFill>
            <w14:solidFill>
              <w14:schemeClr w14:val="tx1"/>
            </w14:solidFill>
          </w14:textFill>
        </w:rPr>
        <w:outlineLvl w:val="0"/>
      </w:pPr>
      <w:r>
        <w:rPr>
          <w:rFonts w:hint="eastAsia" w:ascii="宋体" w:hAnsi="宋体" w:cs="宋体"/>
          <w:color w:val="000000" w:themeColor="text1"/>
          <w:sz w:val="36"/>
          <w:szCs w:val="36"/>
          <w:highlight w:val="none"/>
          <w:lang w:val="zh-CN"/>
          <w14:textFill>
            <w14:solidFill>
              <w14:schemeClr w14:val="tx1"/>
            </w14:solidFill>
          </w14:textFill>
        </w:rPr>
        <w:t xml:space="preserve">商务条款偏离表</w:t>
      </w:r>
      <w:r/>
    </w:p>
    <w:tbl>
      <w:tblPr>
        <w:tblStyle w:val="1129"/>
        <w:tblW w:w="92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51"/>
        <w:gridCol w:w="1620"/>
        <w:gridCol w:w="2700"/>
        <w:gridCol w:w="2568"/>
        <w:gridCol w:w="1677"/>
      </w:tblGrid>
      <w:tr>
        <w:trPr>
          <w:jc w:val="center"/>
          <w:trHeight w:val="284"/>
          <w:tblHeader/>
        </w:trPr>
        <w:tc>
          <w:tcPr>
            <w:gridSpan w:val="3"/>
            <w:tcBorders>
              <w:top w:val="none" w:color="000000" w:sz="4" w:space="0"/>
              <w:left w:val="none" w:color="000000" w:sz="4" w:space="0"/>
              <w:right w:val="none" w:color="000000" w:sz="4" w:space="0"/>
            </w:tcBorders>
            <w:tcW w:w="4971" w:type="dxa"/>
            <w:vAlign w:val="center"/>
            <w:textDirection w:val="lrTb"/>
            <w:noWrap w:val="false"/>
          </w:tcPr>
          <w:p>
            <w:pPr>
              <w:jc w:val="left"/>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项目名称：</w:t>
            </w:r>
            <w:r/>
          </w:p>
        </w:tc>
        <w:tc>
          <w:tcPr>
            <w:gridSpan w:val="2"/>
            <w:tcBorders>
              <w:top w:val="none" w:color="000000" w:sz="4" w:space="0"/>
              <w:left w:val="none" w:color="000000" w:sz="4" w:space="0"/>
              <w:right w:val="none" w:color="000000" w:sz="4" w:space="0"/>
            </w:tcBorders>
            <w:tcW w:w="4245" w:type="dxa"/>
            <w:vAlign w:val="center"/>
            <w:textDirection w:val="lrTb"/>
            <w:noWrap w:val="false"/>
          </w:tcPr>
          <w:p>
            <w:pPr>
              <w:jc w:val="left"/>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项目编号：</w:t>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序号</w:t>
            </w:r>
            <w:r/>
          </w:p>
        </w:tc>
        <w:tc>
          <w:tcPr>
            <w:tcW w:w="1620"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招标文件条目号</w:t>
            </w:r>
            <w:r/>
          </w:p>
        </w:tc>
        <w:tc>
          <w:tcPr>
            <w:tcW w:w="2700"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招标文件要求的商务条款</w:t>
            </w:r>
            <w:r/>
          </w:p>
        </w:tc>
        <w:tc>
          <w:tcPr>
            <w:tcW w:w="2568"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投标响应</w:t>
            </w:r>
            <w:r/>
          </w:p>
        </w:tc>
        <w:tc>
          <w:tcPr>
            <w:tcW w:w="1677" w:type="dxa"/>
            <w:vAlign w:val="center"/>
            <w:textDirection w:val="lrTb"/>
            <w:noWrap w:val="false"/>
          </w:tcPr>
          <w:p>
            <w:pPr>
              <w:jc w:val="center"/>
              <w:spacing w:line="360" w:lineRule="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偏离</w:t>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1620"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2700"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2568"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1677"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1620"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2700"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2568"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1677"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1620"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2700"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2568"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1677"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1620"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2700"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2568"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1677"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1620"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2700"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2568"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1677"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1620"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2700"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2568"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1677"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r>
      <w:tr>
        <w:trPr>
          <w:jc w:val="center"/>
        </w:trPr>
        <w:tc>
          <w:tcPr>
            <w:tcW w:w="651" w:type="dxa"/>
            <w:vAlign w:val="center"/>
            <w:textDirection w:val="lrTb"/>
            <w:noWrap w:val="false"/>
          </w:tcPr>
          <w:p>
            <w:pPr>
              <w:jc w:val="left"/>
              <w:spacing w:line="360" w:lineRule="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1620" w:type="dxa"/>
            <w:vAlign w:val="center"/>
            <w:textDirection w:val="lrTb"/>
            <w:noWrap w:val="false"/>
          </w:tcPr>
          <w:p>
            <w:pPr>
              <w:jc w:val="left"/>
              <w:spacing w:line="360" w:lineRule="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2700" w:type="dxa"/>
            <w:vAlign w:val="center"/>
            <w:textDirection w:val="lrTb"/>
            <w:noWrap w:val="false"/>
          </w:tcPr>
          <w:p>
            <w:pPr>
              <w:jc w:val="left"/>
              <w:spacing w:line="360" w:lineRule="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2568" w:type="dxa"/>
            <w:vAlign w:val="center"/>
            <w:textDirection w:val="lrTb"/>
            <w:noWrap w:val="false"/>
          </w:tcPr>
          <w:p>
            <w:pPr>
              <w:jc w:val="left"/>
              <w:spacing w:line="360" w:lineRule="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1677" w:type="dxa"/>
            <w:vAlign w:val="center"/>
            <w:textDirection w:val="lrTb"/>
            <w:noWrap w:val="false"/>
          </w:tcPr>
          <w:p>
            <w:pPr>
              <w:jc w:val="left"/>
              <w:spacing w:line="360" w:lineRule="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bl>
    <w:p>
      <w:pPr>
        <w:jc w:val="left"/>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p>
      <w:pPr>
        <w:jc w:val="left"/>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供应商名称：（加盖CA电子公章）</w:t>
      </w:r>
      <w:r/>
    </w:p>
    <w:p>
      <w:pPr>
        <w:jc w:val="left"/>
        <w:spacing w:line="440" w:lineRule="exact"/>
        <w:widowControl/>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1、如果行数不够，请自行增加。</w:t>
      </w:r>
      <w:r/>
    </w:p>
    <w:p>
      <w:pPr>
        <w:jc w:val="left"/>
        <w:spacing w:line="440" w:lineRule="exact"/>
        <w:widowControl/>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2、供应商需在上表中对采购文件第四章“（第二部分：商务部分要求）”相关要求进行响应。</w:t>
      </w:r>
      <w:r/>
    </w:p>
    <w:p>
      <w:pPr>
        <w:jc w:val="left"/>
        <w:spacing w:line="240" w:lineRule="atLeast"/>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p>
      <w:pPr>
        <w:spacing w:line="240" w:lineRule="atLeast"/>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r>
      <w:r/>
    </w:p>
    <w:p>
      <w:pPr>
        <w:spacing w:line="240" w:lineRule="atLeast"/>
        <w:rPr>
          <w:rFonts w:hint="eastAsia" w:ascii="宋体" w:hAnsi="宋体" w:cs="宋体"/>
          <w:b/>
          <w:color w:val="000000" w:themeColor="text1"/>
          <w:highlight w:val="none"/>
          <w14:textFill>
            <w14:solidFill>
              <w14:schemeClr w14:val="tx1"/>
            </w14:solidFill>
          </w14:textFill>
        </w:rPr>
        <w:sectPr>
          <w:footnotePr/>
          <w:endnotePr>
            <w:numFmt w:val="decimal"/>
          </w:endnotePr>
          <w:type w:val="nextPage"/>
          <w:pgSz w:w="11906" w:h="16838" w:orient="portrait"/>
          <w:pgMar w:top="850" w:right="850" w:bottom="850" w:left="1418" w:header="340" w:footer="567" w:gutter="0"/>
          <w:cols w:num="1" w:sep="0" w:space="0" w:equalWidth="1"/>
          <w:docGrid w:linePitch="360"/>
        </w:sectPr>
      </w:pPr>
      <w:r>
        <w:rPr>
          <w:rFonts w:hint="eastAsia" w:ascii="宋体" w:hAnsi="宋体" w:cs="宋体"/>
          <w:b/>
          <w:color w:val="000000" w:themeColor="text1"/>
          <w:highlight w:val="none"/>
          <w14:textFill>
            <w14:solidFill>
              <w14:schemeClr w14:val="tx1"/>
            </w14:solidFill>
          </w14:textFill>
        </w:rPr>
      </w:r>
      <w:r/>
    </w:p>
    <w:p>
      <w:pPr>
        <w:spacing w:line="360" w:lineRule="auto"/>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目录七、服务与承诺</w:t>
      </w:r>
      <w:r/>
    </w:p>
    <w:p>
      <w:pPr>
        <w:spacing w:line="360" w:lineRule="auto"/>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r>
      <w:r/>
    </w:p>
    <w:p>
      <w:pPr>
        <w:jc w:val="center"/>
        <w:spacing w:line="360" w:lineRule="auto"/>
        <w:rPr>
          <w:rFonts w:hint="eastAsia" w:ascii="宋体" w:hAnsi="宋体" w:cs="宋体"/>
          <w:color w:val="000000" w:themeColor="text1"/>
          <w:sz w:val="36"/>
          <w:szCs w:val="36"/>
          <w:highlight w:val="none"/>
          <w:lang w:val="zh-CN"/>
          <w14:textFill>
            <w14:solidFill>
              <w14:schemeClr w14:val="tx1"/>
            </w14:solidFill>
          </w14:textFill>
        </w:rPr>
      </w:pPr>
      <w:r>
        <w:rPr>
          <w:rFonts w:hint="eastAsia" w:ascii="宋体" w:hAnsi="宋体" w:cs="宋体"/>
          <w:color w:val="000000" w:themeColor="text1"/>
          <w:sz w:val="36"/>
          <w:szCs w:val="36"/>
          <w:highlight w:val="none"/>
          <w:lang w:val="zh-CN"/>
          <w14:textFill>
            <w14:solidFill>
              <w14:schemeClr w14:val="tx1"/>
            </w14:solidFill>
          </w14:textFill>
        </w:rPr>
        <w:t xml:space="preserve">服务与承诺</w:t>
      </w:r>
      <w:r/>
    </w:p>
    <w:p>
      <w:pPr>
        <w:spacing w:line="360" w:lineRule="auto"/>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r>
      <w:r/>
    </w:p>
    <w:p>
      <w:pPr>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r>
      <w:r/>
    </w:p>
    <w:p>
      <w:pPr>
        <w:spacing w:line="360" w:lineRule="auto"/>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目录八、</w:t>
      </w:r>
      <w:r>
        <w:rPr>
          <w:rFonts w:ascii="宋体" w:hAnsi="宋体" w:cs="宋体"/>
          <w:b/>
          <w:color w:val="000000" w:themeColor="text1"/>
          <w:highlight w:val="none"/>
          <w14:textFill>
            <w14:solidFill>
              <w14:schemeClr w14:val="tx1"/>
            </w14:solidFill>
          </w14:textFill>
        </w:rPr>
        <w:t xml:space="preserve">投标人类似业绩情况表</w:t>
      </w:r>
      <w:r/>
    </w:p>
    <w:p>
      <w:pPr>
        <w:jc w:val="center"/>
        <w:spacing w:line="360" w:lineRule="auto"/>
        <w:rPr>
          <w:rFonts w:hint="eastAsia" w:ascii="宋体" w:hAnsi="宋体" w:cs="宋体"/>
          <w:color w:val="000000" w:themeColor="text1"/>
          <w:sz w:val="36"/>
          <w:szCs w:val="36"/>
          <w:highlight w:val="none"/>
          <w:lang w:val="zh-CN"/>
          <w14:textFill>
            <w14:solidFill>
              <w14:schemeClr w14:val="tx1"/>
            </w14:solidFill>
          </w14:textFill>
        </w:rPr>
      </w:pPr>
      <w:r>
        <w:rPr>
          <w:rFonts w:hint="eastAsia" w:ascii="宋体" w:hAnsi="宋体" w:cs="宋体"/>
          <w:color w:val="000000" w:themeColor="text1"/>
          <w:sz w:val="36"/>
          <w:szCs w:val="36"/>
          <w:highlight w:val="none"/>
          <w:lang w:val="zh-CN"/>
          <w14:textFill>
            <w14:solidFill>
              <w14:schemeClr w14:val="tx1"/>
            </w14:solidFill>
          </w14:textFill>
        </w:rPr>
        <w:t xml:space="preserve">投标人类似业绩情况表</w:t>
      </w:r>
      <w:r/>
    </w:p>
    <w:p>
      <w:pPr>
        <w:pStyle w:val="1122"/>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bl>
      <w:tblPr>
        <w:tblStyle w:val="112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82"/>
        <w:gridCol w:w="1445"/>
        <w:gridCol w:w="1844"/>
        <w:gridCol w:w="1449"/>
        <w:gridCol w:w="1644"/>
        <w:gridCol w:w="2091"/>
        <w:gridCol w:w="571"/>
      </w:tblGrid>
      <w:tr>
        <w:trPr>
          <w:jc w:val="center"/>
          <w:trHeight w:val="339"/>
          <w:tblHeader/>
        </w:trPr>
        <w:tc>
          <w:tcPr>
            <w:gridSpan w:val="4"/>
            <w:tcBorders>
              <w:top w:val="none" w:color="000000" w:sz="4" w:space="0"/>
              <w:left w:val="none" w:color="000000" w:sz="4" w:space="0"/>
              <w:right w:val="none" w:color="000000" w:sz="4" w:space="0"/>
            </w:tcBorders>
            <w:tcW w:w="5328" w:type="dxa"/>
            <w:vAlign w:val="center"/>
            <w:textDirection w:val="lrTb"/>
            <w:noWrap w:val="false"/>
          </w:tcPr>
          <w:p>
            <w:pPr>
              <w:jc w:val="left"/>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项目名称：</w:t>
            </w:r>
            <w:r/>
          </w:p>
        </w:tc>
        <w:tc>
          <w:tcPr>
            <w:gridSpan w:val="3"/>
            <w:tcBorders>
              <w:top w:val="none" w:color="000000" w:sz="4" w:space="0"/>
              <w:left w:val="none" w:color="000000" w:sz="4" w:space="0"/>
              <w:right w:val="none" w:color="000000" w:sz="4" w:space="0"/>
            </w:tcBorders>
            <w:tcW w:w="4311" w:type="dxa"/>
            <w:vAlign w:val="center"/>
            <w:textDirection w:val="lrTb"/>
            <w:noWrap w:val="false"/>
          </w:tcPr>
          <w:p>
            <w:pPr>
              <w:jc w:val="left"/>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项目编号：</w:t>
            </w:r>
            <w:r/>
          </w:p>
        </w:tc>
      </w:tr>
      <w:tr>
        <w:trPr>
          <w:jc w:val="center"/>
          <w:trHeight w:val="339"/>
        </w:trPr>
        <w:tc>
          <w:tcPr>
            <w:tcW w:w="584"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序号</w:t>
            </w:r>
            <w:r/>
          </w:p>
        </w:tc>
        <w:tc>
          <w:tcPr>
            <w:tcW w:w="1447"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项目名称</w:t>
            </w:r>
            <w:r/>
          </w:p>
        </w:tc>
        <w:tc>
          <w:tcPr>
            <w:tcW w:w="1846"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业主方</w:t>
            </w:r>
            <w:r/>
          </w:p>
        </w:tc>
        <w:tc>
          <w:tcPr>
            <w:tcW w:w="1451"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项目规模</w:t>
            </w:r>
            <w:r/>
          </w:p>
        </w:tc>
        <w:tc>
          <w:tcPr>
            <w:tcW w:w="1646"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签约及服务时间</w:t>
            </w:r>
            <w:r/>
          </w:p>
        </w:tc>
        <w:tc>
          <w:tcPr>
            <w:tcW w:w="2093" w:type="dxa"/>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联系人及电话</w:t>
            </w:r>
            <w:r/>
          </w:p>
        </w:tc>
        <w:tc>
          <w:tcPr>
            <w:tcW w:w="572" w:type="dxa"/>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备注</w:t>
            </w:r>
            <w:r/>
          </w:p>
        </w:tc>
      </w:tr>
      <w:tr>
        <w:trPr>
          <w:jc w:val="center"/>
          <w:trHeight w:val="340"/>
        </w:trPr>
        <w:tc>
          <w:tcPr>
            <w:tcW w:w="584"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1447"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1846"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1451"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1646"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2093" w:type="dxa"/>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572" w:type="dxa"/>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r>
      <w:tr>
        <w:trPr>
          <w:jc w:val="center"/>
          <w:trHeight w:val="339"/>
        </w:trPr>
        <w:tc>
          <w:tcPr>
            <w:tcW w:w="584"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1447"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1846"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1451"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1646"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2093" w:type="dxa"/>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572" w:type="dxa"/>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r>
      <w:tr>
        <w:trPr>
          <w:jc w:val="center"/>
          <w:trHeight w:val="339"/>
        </w:trPr>
        <w:tc>
          <w:tcPr>
            <w:tcW w:w="584"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1447"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1846"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1451"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1646"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2093" w:type="dxa"/>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572" w:type="dxa"/>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r>
      <w:tr>
        <w:trPr>
          <w:jc w:val="center"/>
          <w:trHeight w:val="339"/>
        </w:trPr>
        <w:tc>
          <w:tcPr>
            <w:tcW w:w="584"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1447"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1846"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1451"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1646"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2093" w:type="dxa"/>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572" w:type="dxa"/>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r>
      <w:tr>
        <w:trPr>
          <w:jc w:val="center"/>
          <w:trHeight w:val="339"/>
        </w:trPr>
        <w:tc>
          <w:tcPr>
            <w:tcW w:w="584"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1447"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1846"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1451"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1646"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2093" w:type="dxa"/>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572" w:type="dxa"/>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r>
      <w:tr>
        <w:trPr>
          <w:jc w:val="center"/>
          <w:trHeight w:val="339"/>
        </w:trPr>
        <w:tc>
          <w:tcPr>
            <w:tcW w:w="584"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1447"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1846"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1451"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1646"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2093" w:type="dxa"/>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572" w:type="dxa"/>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r>
      <w:tr>
        <w:trPr>
          <w:jc w:val="center"/>
          <w:trHeight w:val="483"/>
        </w:trPr>
        <w:tc>
          <w:tcPr>
            <w:tcW w:w="584" w:type="dxa"/>
            <w:vAlign w:val="center"/>
            <w:textDirection w:val="lrTb"/>
            <w:noWrap w:val="false"/>
          </w:tcPr>
          <w:p>
            <w:pPr>
              <w:jc w:val="left"/>
              <w:spacing w:line="360" w:lineRule="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1447" w:type="dxa"/>
            <w:vAlign w:val="center"/>
            <w:textDirection w:val="lrTb"/>
            <w:noWrap w:val="false"/>
          </w:tcPr>
          <w:p>
            <w:pPr>
              <w:jc w:val="left"/>
              <w:spacing w:line="360" w:lineRule="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1846" w:type="dxa"/>
            <w:vAlign w:val="center"/>
            <w:textDirection w:val="lrTb"/>
            <w:noWrap w:val="false"/>
          </w:tcPr>
          <w:p>
            <w:pPr>
              <w:jc w:val="left"/>
              <w:spacing w:line="360" w:lineRule="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1451" w:type="dxa"/>
            <w:vAlign w:val="center"/>
            <w:textDirection w:val="lrTb"/>
            <w:noWrap w:val="false"/>
          </w:tcPr>
          <w:p>
            <w:pPr>
              <w:jc w:val="left"/>
              <w:spacing w:line="360" w:lineRule="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1646" w:type="dxa"/>
            <w:vAlign w:val="center"/>
            <w:textDirection w:val="lrTb"/>
            <w:noWrap w:val="false"/>
          </w:tcPr>
          <w:p>
            <w:pPr>
              <w:jc w:val="left"/>
              <w:spacing w:line="360" w:lineRule="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2093" w:type="dxa"/>
            <w:textDirection w:val="lrTb"/>
            <w:noWrap w:val="false"/>
          </w:tcPr>
          <w:p>
            <w:pPr>
              <w:jc w:val="left"/>
              <w:spacing w:line="360" w:lineRule="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572" w:type="dxa"/>
            <w:textDirection w:val="lrTb"/>
            <w:noWrap w:val="false"/>
          </w:tcPr>
          <w:p>
            <w:pPr>
              <w:jc w:val="left"/>
              <w:spacing w:line="360" w:lineRule="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bl>
    <w:p>
      <w:pP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投标人名称： （</w:t>
      </w:r>
      <w:r>
        <w:rPr>
          <w:rFonts w:hint="eastAsia" w:ascii="宋体" w:hAnsi="宋体" w:cs="宋体"/>
          <w:color w:val="000000" w:themeColor="text1"/>
          <w:szCs w:val="21"/>
          <w:highlight w:val="none"/>
          <w:lang w:val="zh-CN"/>
          <w14:textFill>
            <w14:solidFill>
              <w14:schemeClr w14:val="tx1"/>
            </w14:solidFill>
          </w14:textFill>
        </w:rPr>
        <w:t xml:space="preserve">加盖CA电子公章</w:t>
      </w:r>
      <w:r>
        <w:rPr>
          <w:color w:val="000000" w:themeColor="text1"/>
          <w:highlight w:val="none"/>
          <w14:textFill>
            <w14:solidFill>
              <w14:schemeClr w14:val="tx1"/>
            </w14:solidFill>
          </w14:textFill>
        </w:rPr>
        <w:t xml:space="preserve">）</w:t>
      </w:r>
      <w:r/>
    </w:p>
    <w:p>
      <w:pP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日 期： 年 月 日 </w:t>
      </w:r>
      <w:r/>
    </w:p>
    <w:p>
      <w:pP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说明： 1、如果行、列数不够，请自行增加。</w:t>
      </w:r>
      <w:r/>
    </w:p>
    <w:p>
      <w:pPr>
        <w:ind w:firstLine="630"/>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2、请投标人根据本格式要求如实填写业绩情况表，并附业绩合同复印件</w:t>
      </w:r>
      <w:r/>
    </w:p>
    <w:p>
      <w:pPr>
        <w:spacing w:line="360" w:lineRule="auto"/>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r>
      <w:r/>
    </w:p>
    <w:p>
      <w:pPr>
        <w:spacing w:line="360" w:lineRule="auto"/>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r>
      <w:r/>
    </w:p>
    <w:p>
      <w:pPr>
        <w:spacing w:line="360" w:lineRule="auto"/>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目录九、投标需要的其他证明文件及材料</w:t>
      </w:r>
      <w:r/>
    </w:p>
    <w:p>
      <w:pPr>
        <w:jc w:val="center"/>
        <w:spacing w:line="240" w:lineRule="atLeast"/>
        <w:rPr>
          <w:rFonts w:hint="eastAsia" w:ascii="宋体" w:hAnsi="宋体" w:cs="宋体"/>
          <w:color w:val="000000" w:themeColor="text1"/>
          <w:sz w:val="36"/>
          <w:szCs w:val="36"/>
          <w:highlight w:val="none"/>
          <w:lang w:val="zh-CN"/>
          <w14:textFill>
            <w14:solidFill>
              <w14:schemeClr w14:val="tx1"/>
            </w14:solidFill>
          </w14:textFill>
        </w:rPr>
      </w:pPr>
      <w:r>
        <w:rPr>
          <w:rFonts w:hint="eastAsia" w:ascii="宋体" w:hAnsi="宋体" w:cs="宋体"/>
          <w:color w:val="000000" w:themeColor="text1"/>
          <w:sz w:val="36"/>
          <w:szCs w:val="36"/>
          <w:highlight w:val="none"/>
          <w:lang w:val="zh-CN"/>
          <w14:textFill>
            <w14:solidFill>
              <w14:schemeClr w14:val="tx1"/>
            </w14:solidFill>
          </w14:textFill>
        </w:rPr>
        <w:t xml:space="preserve">投标需要的其他证明文件及材料（若有)</w:t>
      </w:r>
      <w:r/>
    </w:p>
    <w:p>
      <w:pPr>
        <w:spacing w:before="50" w:after="50" w:line="360" w:lineRule="auto"/>
        <w:rPr>
          <w:rFonts w:hint="eastAsia" w:ascii="宋体" w:hAnsi="宋体" w:cs="宋体"/>
          <w:b/>
          <w:color w:val="000000" w:themeColor="text1"/>
          <w:highlight w:val="none"/>
          <w14:textFill>
            <w14:solidFill>
              <w14:schemeClr w14:val="tx1"/>
            </w14:solidFill>
          </w14:textFill>
        </w:rPr>
        <w:sectPr>
          <w:footnotePr/>
          <w:endnotePr>
            <w:numFmt w:val="decimal"/>
          </w:endnotePr>
          <w:type w:val="nextPage"/>
          <w:pgSz w:w="11906" w:h="16838" w:orient="portrait"/>
          <w:pgMar w:top="850" w:right="850" w:bottom="850" w:left="1418" w:header="340" w:footer="567" w:gutter="0"/>
          <w:cols w:num="1" w:sep="0" w:space="0" w:equalWidth="1"/>
          <w:docGrid w:linePitch="360"/>
        </w:sectPr>
      </w:pPr>
      <w:r>
        <w:rPr>
          <w:rFonts w:hint="eastAsia" w:ascii="宋体" w:hAnsi="宋体" w:cs="宋体"/>
          <w:b/>
          <w:color w:val="000000" w:themeColor="text1"/>
          <w:highlight w:val="none"/>
          <w14:textFill>
            <w14:solidFill>
              <w14:schemeClr w14:val="tx1"/>
            </w14:solidFill>
          </w14:textFill>
        </w:rPr>
      </w:r>
      <w:r/>
    </w:p>
    <w:p>
      <w:pPr>
        <w:spacing w:line="360" w:lineRule="auto"/>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附件一、中小企业声明函格式</w:t>
      </w:r>
      <w:r/>
    </w:p>
    <w:p>
      <w:pPr>
        <w:jc w:val="center"/>
        <w:rPr>
          <w:rFonts w:hint="eastAsia" w:ascii="宋体" w:hAnsi="宋体" w:cs="宋体"/>
          <w:color w:val="000000" w:themeColor="text1"/>
          <w:highlight w:val="none"/>
          <w14:textFill>
            <w14:solidFill>
              <w14:schemeClr w14:val="tx1"/>
            </w14:solidFill>
          </w14:textFill>
        </w:rPr>
      </w:pPr>
      <w:r/>
      <w:bookmarkStart w:id="45" w:name="_bookmark0"/>
      <w:r/>
      <w:bookmarkEnd w:id="45"/>
      <w:r>
        <w:rPr>
          <w:rFonts w:hint="eastAsia" w:ascii="宋体" w:hAnsi="宋体" w:cs="宋体"/>
          <w:color w:val="000000" w:themeColor="text1"/>
          <w:sz w:val="36"/>
          <w:szCs w:val="36"/>
          <w:highlight w:val="none"/>
          <w14:textFill>
            <w14:solidFill>
              <w14:schemeClr w14:val="tx1"/>
            </w14:solidFill>
          </w14:textFill>
        </w:rPr>
        <w:t xml:space="preserve">中小企业声明函（货物）</w:t>
      </w:r>
      <w:r/>
    </w:p>
    <w:p>
      <w:p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firstLine="4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本公司（联合体）郑重声明，根据《政府采购促进中小企业发展管理办法》（财库﹝2020﹞46 号）的规定，本公司（联合体）参加</w:t>
      </w:r>
      <w:r>
        <w:rPr>
          <w:rFonts w:hint="eastAsia" w:ascii="宋体" w:hAnsi="宋体" w:cs="宋体"/>
          <w:color w:val="000000" w:themeColor="text1"/>
          <w:highlight w:val="none"/>
          <w:u w:val="single"/>
          <w14:textFill>
            <w14:solidFill>
              <w14:schemeClr w14:val="tx1"/>
            </w14:solidFill>
          </w14:textFill>
        </w:rPr>
        <w:t xml:space="preserve">（单位名称）</w:t>
      </w:r>
      <w:r>
        <w:rPr>
          <w:rFonts w:hint="eastAsia" w:ascii="宋体" w:hAnsi="宋体" w:cs="宋体"/>
          <w:color w:val="000000" w:themeColor="text1"/>
          <w:highlight w:val="none"/>
          <w14:textFill>
            <w14:solidFill>
              <w14:schemeClr w14:val="tx1"/>
            </w14:solidFill>
          </w14:textFill>
        </w:rPr>
        <w:t xml:space="preserve">的</w:t>
      </w:r>
      <w:r>
        <w:rPr>
          <w:rFonts w:hint="eastAsia" w:ascii="宋体" w:hAnsi="宋体" w:cs="宋体"/>
          <w:color w:val="000000" w:themeColor="text1"/>
          <w:highlight w:val="none"/>
          <w:u w:val="single"/>
          <w14:textFill>
            <w14:solidFill>
              <w14:schemeClr w14:val="tx1"/>
            </w14:solidFill>
          </w14:textFill>
        </w:rPr>
        <w:t xml:space="preserve">（项目名称）</w:t>
      </w:r>
      <w:r>
        <w:rPr>
          <w:rFonts w:hint="eastAsia" w:ascii="宋体" w:hAnsi="宋体" w:cs="宋体"/>
          <w:color w:val="000000" w:themeColor="text1"/>
          <w:highlight w:val="none"/>
          <w14:textFill>
            <w14:solidFill>
              <w14:schemeClr w14:val="tx1"/>
            </w14:solidFill>
          </w14:textFill>
        </w:rPr>
        <w:t xml:space="preserve">采购活动，提供的货物全部由符合政策要求的中小企业制造。相关企业（含联合体中的中小企业、签订分包意向协议的中小企业） 的具体情况如下：</w:t>
      </w:r>
      <w:r/>
    </w:p>
    <w:p>
      <w:pPr>
        <w:ind w:firstLine="4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w:t>
      </w:r>
      <w:r>
        <w:rPr>
          <w:rFonts w:hint="eastAsia" w:ascii="宋体" w:hAnsi="宋体" w:cs="宋体"/>
          <w:color w:val="000000" w:themeColor="text1"/>
          <w:highlight w:val="none"/>
          <w:u w:val="single"/>
          <w14:textFill>
            <w14:solidFill>
              <w14:schemeClr w14:val="tx1"/>
            </w14:solidFill>
          </w14:textFill>
        </w:rPr>
        <w:t xml:space="preserve">（标的名称）</w:t>
      </w:r>
      <w:r>
        <w:rPr>
          <w:rFonts w:hint="eastAsia" w:ascii="宋体" w:hAnsi="宋体" w:cs="宋体"/>
          <w:color w:val="000000" w:themeColor="text1"/>
          <w:highlight w:val="none"/>
          <w14:textFill>
            <w14:solidFill>
              <w14:schemeClr w14:val="tx1"/>
            </w14:solidFill>
          </w14:textFill>
        </w:rPr>
        <w:t xml:space="preserve">，属于</w:t>
      </w:r>
      <w:r>
        <w:rPr>
          <w:rFonts w:hint="eastAsia" w:ascii="宋体" w:hAnsi="宋体" w:cs="宋体"/>
          <w:color w:val="000000" w:themeColor="text1"/>
          <w:highlight w:val="none"/>
          <w:u w:val="single"/>
          <w14:textFill>
            <w14:solidFill>
              <w14:schemeClr w14:val="tx1"/>
            </w14:solidFill>
          </w14:textFill>
        </w:rPr>
        <w:t xml:space="preserve">  工业 </w:t>
      </w:r>
      <w:r>
        <w:rPr>
          <w:rFonts w:hint="eastAsia" w:ascii="宋体" w:hAnsi="宋体" w:cs="宋体"/>
          <w:color w:val="000000" w:themeColor="text1"/>
          <w:highlight w:val="none"/>
          <w14:textFill>
            <w14:solidFill>
              <w14:schemeClr w14:val="tx1"/>
            </w14:solidFill>
          </w14:textFill>
        </w:rPr>
        <w:t xml:space="preserve">行业；制造商为</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（企业名称），从业人员</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t xml:space="preserve">人，营业收入为</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t xml:space="preserve">万元，资产总额为</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t xml:space="preserve">万元，属于</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（中型企业、小型企业、微型企业）；</w:t>
      </w:r>
      <w:r/>
    </w:p>
    <w:p>
      <w:pPr>
        <w:ind w:firstLine="4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w:t>
      </w:r>
      <w:r>
        <w:rPr>
          <w:rFonts w:hint="eastAsia" w:ascii="宋体" w:hAnsi="宋体" w:cs="宋体"/>
          <w:color w:val="000000" w:themeColor="text1"/>
          <w:highlight w:val="none"/>
          <w:u w:val="single"/>
          <w14:textFill>
            <w14:solidFill>
              <w14:schemeClr w14:val="tx1"/>
            </w14:solidFill>
          </w14:textFill>
        </w:rPr>
        <w:t xml:space="preserve">（标的名称）</w:t>
      </w:r>
      <w:r>
        <w:rPr>
          <w:rFonts w:hint="eastAsia" w:ascii="宋体" w:hAnsi="宋体" w:cs="宋体"/>
          <w:color w:val="000000" w:themeColor="text1"/>
          <w:highlight w:val="none"/>
          <w14:textFill>
            <w14:solidFill>
              <w14:schemeClr w14:val="tx1"/>
            </w14:solidFill>
          </w14:textFill>
        </w:rPr>
        <w:t xml:space="preserve">，属于</w:t>
      </w:r>
      <w:r>
        <w:rPr>
          <w:rFonts w:hint="eastAsia" w:ascii="宋体" w:hAnsi="宋体" w:cs="宋体"/>
          <w:color w:val="000000" w:themeColor="text1"/>
          <w:highlight w:val="none"/>
          <w:u w:val="single"/>
          <w14:textFill>
            <w14:solidFill>
              <w14:schemeClr w14:val="tx1"/>
            </w14:solidFill>
          </w14:textFill>
        </w:rPr>
        <w:t xml:space="preserve">  工业 </w:t>
      </w:r>
      <w:r>
        <w:rPr>
          <w:rFonts w:hint="eastAsia" w:ascii="宋体" w:hAnsi="宋体" w:cs="宋体"/>
          <w:color w:val="000000" w:themeColor="text1"/>
          <w:highlight w:val="none"/>
          <w14:textFill>
            <w14:solidFill>
              <w14:schemeClr w14:val="tx1"/>
            </w14:solidFill>
          </w14:textFill>
        </w:rPr>
        <w:t xml:space="preserve">行业；制造商为</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（企业名称），从业人员</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t xml:space="preserve">人，营业收入为</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t xml:space="preserve">万元，资产总额为</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t xml:space="preserve">万元，属于</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（中型企业、小型企业、微型企业）；</w:t>
      </w:r>
      <w:r/>
    </w:p>
    <w:p>
      <w:pPr>
        <w:ind w:firstLine="4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本企业对上述声明内容的真实性负责。如有虚假，将依法承担相应责任。</w:t>
      </w:r>
      <w:r/>
    </w:p>
    <w:p>
      <w:p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jc w:val="center"/>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企业名称（</w:t>
      </w:r>
      <w:r>
        <w:rPr>
          <w:rFonts w:hint="eastAsia" w:ascii="宋体" w:hAnsi="宋体" w:cs="宋体"/>
          <w:color w:val="000000" w:themeColor="text1"/>
          <w:szCs w:val="21"/>
          <w:highlight w:val="none"/>
          <w14:textFill>
            <w14:solidFill>
              <w14:schemeClr w14:val="tx1"/>
            </w14:solidFill>
          </w14:textFill>
        </w:rPr>
        <w:t xml:space="preserve">加盖CA电子公章</w:t>
      </w:r>
      <w:r>
        <w:rPr>
          <w:rFonts w:hint="eastAsia" w:ascii="宋体" w:hAnsi="宋体" w:cs="宋体"/>
          <w:color w:val="000000" w:themeColor="text1"/>
          <w:highlight w:val="none"/>
          <w14:textFill>
            <w14:solidFill>
              <w14:schemeClr w14:val="tx1"/>
            </w14:solidFill>
          </w14:textFill>
        </w:rPr>
        <w:t xml:space="preserve">）：</w:t>
      </w:r>
      <w:r/>
    </w:p>
    <w:p>
      <w:pPr>
        <w:jc w:val="center"/>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日期：</w:t>
      </w:r>
      <w:r/>
    </w:p>
    <w:p>
      <w:pPr>
        <w:spacing w:line="240" w:lineRule="atLeast"/>
        <w:widowControl/>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r>
      <w:r/>
    </w:p>
    <w:p>
      <w:pPr>
        <w:jc w:val="left"/>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注1：为方便投标人识别企业规模类型，工业和信息化部组织开发了中小企业规模类型自测小程序，在国务院客户端和工业和信息化部网站上均有链接，投标人可填写企业所属的行业和指标数据自动生成企业规模类型测试结果。</w:t>
      </w:r>
      <w:r/>
    </w:p>
    <w:p>
      <w:pPr>
        <w:jc w:val="left"/>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注2：从业人员、营业收入、资产总额填报上一年度数据，无上一年度数据的新成立企业可不填报。</w:t>
      </w:r>
      <w:r/>
    </w:p>
    <w:p>
      <w:pPr>
        <w:spacing w:line="240" w:lineRule="atLeast"/>
        <w:widowControl/>
        <w:rPr>
          <w:rFonts w:hint="eastAsia" w:ascii="宋体" w:hAnsi="宋体" w:cs="宋体"/>
          <w:b/>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注3：投标人如不提供此声明函，价格将不做相应扣除。</w:t>
      </w:r>
      <w:r/>
    </w:p>
    <w:p>
      <w:pPr>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注4：依据《关于印发中小企业划型标准规定的通知》（工信部联企业〔2011〕300号）：</w:t>
      </w:r>
      <w:r/>
    </w:p>
    <w:p>
      <w:pPr>
        <w:spacing w:line="240" w:lineRule="atLeast"/>
        <w:widowControl/>
        <w:rPr>
          <w:rFonts w:hint="eastAsia" w:ascii="宋体" w:hAnsi="宋体" w:cs="宋体"/>
          <w:b/>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 </w:t>
      </w:r>
      <w:r/>
    </w:p>
    <w:p>
      <w:pPr>
        <w:spacing w:line="240" w:lineRule="atLeast"/>
        <w:widowControl/>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r>
      <w:r/>
    </w:p>
    <w:p>
      <w:pPr>
        <w:spacing w:line="240" w:lineRule="atLeast"/>
        <w:widowControl/>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r>
      <w:r/>
    </w:p>
    <w:p>
      <w:pPr>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br w:type="page" w:clear="all"/>
      </w:r>
      <w:r/>
    </w:p>
    <w:p>
      <w:pPr>
        <w:spacing w:line="240" w:lineRule="atLeast"/>
        <w:widowControl/>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附件二、关于符合本国产品标准的声明函格式</w:t>
      </w:r>
      <w:r/>
    </w:p>
    <w:p>
      <w:pPr>
        <w:spacing w:line="240" w:lineRule="atLeast"/>
        <w:widowControl/>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r>
      <w:r/>
    </w:p>
    <w:p>
      <w:pPr>
        <w:jc w:val="center"/>
        <w:rPr>
          <w:rFonts w:hint="eastAsia" w:ascii="宋体" w:hAnsi="宋体" w:cs="宋体"/>
          <w:color w:val="000000" w:themeColor="text1"/>
          <w:sz w:val="36"/>
          <w:szCs w:val="36"/>
          <w:highlight w:val="none"/>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 xml:space="preserve">关于符合本国产品标准的声明函</w:t>
      </w:r>
      <w:r/>
    </w:p>
    <w:p>
      <w:pPr>
        <w:jc w:val="center"/>
        <w:rPr>
          <w:rFonts w:hint="eastAsia" w:ascii="宋体" w:hAnsi="宋体" w:cs="宋体"/>
          <w:color w:val="000000" w:themeColor="text1"/>
          <w:sz w:val="36"/>
          <w:szCs w:val="36"/>
          <w:highlight w:val="none"/>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r>
      <w:r/>
    </w:p>
    <w:p>
      <w:pPr>
        <w:ind w:firstLine="4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（产品名称1），生产厂为</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（厂名），厂址为</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（生产厂址）。</w:t>
      </w:r>
      <w:r>
        <w:rPr>
          <w:rFonts w:hint="eastAsia" w:ascii="宋体" w:hAnsi="宋体" w:cs="宋体"/>
          <w:color w:val="000000" w:themeColor="text1"/>
          <w:highlight w:val="none"/>
          <w:u w:val="single"/>
          <w14:textFill>
            <w14:solidFill>
              <w14:schemeClr w14:val="tx1"/>
            </w14:solidFill>
          </w14:textFill>
        </w:rPr>
        <w:t xml:space="preserve"> / </w:t>
      </w:r>
      <w:r>
        <w:rPr>
          <w:rFonts w:hint="eastAsia" w:ascii="宋体" w:hAnsi="宋体" w:cs="宋体"/>
          <w:color w:val="000000" w:themeColor="text1"/>
          <w:highlight w:val="none"/>
          <w14:textFill>
            <w14:solidFill>
              <w14:schemeClr w14:val="tx1"/>
            </w14:solidFill>
          </w14:textFill>
        </w:rPr>
        <w:t xml:space="preserve">（产品名称1）的中国境内生产的组件成本占比≥</w:t>
      </w:r>
      <w:r>
        <w:rPr>
          <w:rFonts w:hint="eastAsia" w:ascii="宋体" w:hAnsi="宋体" w:cs="宋体"/>
          <w:color w:val="000000" w:themeColor="text1"/>
          <w:highlight w:val="none"/>
          <w:u w:val="single"/>
          <w14:textFill>
            <w14:solidFill>
              <w14:schemeClr w14:val="tx1"/>
            </w14:solidFill>
          </w14:textFill>
        </w:rPr>
        <w:t xml:space="preserve"> / </w:t>
      </w:r>
      <w:r>
        <w:rPr>
          <w:rFonts w:hint="eastAsia" w:ascii="宋体" w:hAnsi="宋体" w:cs="宋体"/>
          <w:color w:val="000000" w:themeColor="text1"/>
          <w:highlight w:val="none"/>
          <w14:textFill>
            <w14:solidFill>
              <w14:schemeClr w14:val="tx1"/>
            </w14:solidFill>
          </w14:textFill>
        </w:rPr>
        <w:t xml:space="preserve">（规定比例）。</w:t>
      </w:r>
      <w:r>
        <w:rPr>
          <w:rFonts w:hint="eastAsia" w:ascii="宋体" w:hAnsi="宋体" w:cs="宋体"/>
          <w:color w:val="000000" w:themeColor="text1"/>
          <w:highlight w:val="none"/>
          <w:u w:val="single"/>
          <w14:textFill>
            <w14:solidFill>
              <w14:schemeClr w14:val="tx1"/>
            </w14:solidFill>
          </w14:textFill>
        </w:rPr>
        <w:t xml:space="preserve"> / </w:t>
      </w:r>
      <w:r>
        <w:rPr>
          <w:rFonts w:hint="eastAsia" w:ascii="宋体" w:hAnsi="宋体" w:cs="宋体"/>
          <w:color w:val="000000" w:themeColor="text1"/>
          <w:highlight w:val="none"/>
          <w14:textFill>
            <w14:solidFill>
              <w14:schemeClr w14:val="tx1"/>
            </w14:solidFill>
          </w14:textFill>
        </w:rPr>
        <w:t xml:space="preserve">（产品名称1）的</w:t>
      </w:r>
      <w:r>
        <w:rPr>
          <w:rFonts w:hint="eastAsia" w:ascii="宋体" w:hAnsi="宋体" w:cs="宋体"/>
          <w:color w:val="000000" w:themeColor="text1"/>
          <w:highlight w:val="none"/>
          <w:u w:val="single"/>
          <w14:textFill>
            <w14:solidFill>
              <w14:schemeClr w14:val="tx1"/>
            </w14:solidFill>
          </w14:textFill>
        </w:rPr>
        <w:t xml:space="preserve"> / </w:t>
      </w:r>
      <w:r>
        <w:rPr>
          <w:rFonts w:hint="eastAsia" w:ascii="宋体" w:hAnsi="宋体" w:cs="宋体"/>
          <w:color w:val="000000" w:themeColor="text1"/>
          <w:highlight w:val="none"/>
          <w14:textFill>
            <w14:solidFill>
              <w14:schemeClr w14:val="tx1"/>
            </w14:solidFill>
          </w14:textFill>
        </w:rPr>
        <w:t xml:space="preserve">（关键组件）在中国境内生产。</w:t>
      </w:r>
      <w:r>
        <w:rPr>
          <w:rFonts w:hint="eastAsia" w:ascii="宋体" w:hAnsi="宋体" w:cs="宋体"/>
          <w:color w:val="000000" w:themeColor="text1"/>
          <w:highlight w:val="none"/>
          <w:u w:val="single"/>
          <w14:textFill>
            <w14:solidFill>
              <w14:schemeClr w14:val="tx1"/>
            </w14:solidFill>
          </w14:textFill>
        </w:rPr>
        <w:t xml:space="preserve"> / </w:t>
      </w:r>
      <w:r>
        <w:rPr>
          <w:rFonts w:hint="eastAsia" w:ascii="宋体" w:hAnsi="宋体" w:cs="宋体"/>
          <w:color w:val="000000" w:themeColor="text1"/>
          <w:highlight w:val="none"/>
          <w14:textFill>
            <w14:solidFill>
              <w14:schemeClr w14:val="tx1"/>
            </w14:solidFill>
          </w14:textFill>
        </w:rPr>
        <w:t xml:space="preserve">（产品名称1）的</w:t>
      </w:r>
      <w:r>
        <w:rPr>
          <w:rFonts w:hint="eastAsia" w:ascii="宋体" w:hAnsi="宋体" w:cs="宋体"/>
          <w:color w:val="000000" w:themeColor="text1"/>
          <w:highlight w:val="none"/>
          <w:u w:val="single"/>
          <w14:textFill>
            <w14:solidFill>
              <w14:schemeClr w14:val="tx1"/>
            </w14:solidFill>
          </w14:textFill>
        </w:rPr>
        <w:t xml:space="preserve"> / </w:t>
      </w:r>
      <w:r>
        <w:rPr>
          <w:rFonts w:hint="eastAsia" w:ascii="宋体" w:hAnsi="宋体" w:cs="宋体"/>
          <w:color w:val="000000" w:themeColor="text1"/>
          <w:highlight w:val="none"/>
          <w14:textFill>
            <w14:solidFill>
              <w14:schemeClr w14:val="tx1"/>
            </w14:solidFill>
          </w14:textFill>
        </w:rPr>
        <w:t xml:space="preserve">（关键工序）在中国境内完成。</w:t>
      </w:r>
      <w:r/>
    </w:p>
    <w:p>
      <w:pPr>
        <w:ind w:firstLine="4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（产品名称2），生产厂为</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（厂名），厂址为</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（生产厂址）。</w:t>
      </w:r>
      <w:r>
        <w:rPr>
          <w:rFonts w:hint="eastAsia" w:ascii="宋体" w:hAnsi="宋体" w:cs="宋体"/>
          <w:color w:val="000000" w:themeColor="text1"/>
          <w:highlight w:val="none"/>
          <w:u w:val="single"/>
          <w14:textFill>
            <w14:solidFill>
              <w14:schemeClr w14:val="tx1"/>
            </w14:solidFill>
          </w14:textFill>
        </w:rPr>
        <w:t xml:space="preserve"> / </w:t>
      </w:r>
      <w:r>
        <w:rPr>
          <w:rFonts w:hint="eastAsia" w:ascii="宋体" w:hAnsi="宋体" w:cs="宋体"/>
          <w:color w:val="000000" w:themeColor="text1"/>
          <w:highlight w:val="none"/>
          <w14:textFill>
            <w14:solidFill>
              <w14:schemeClr w14:val="tx1"/>
            </w14:solidFill>
          </w14:textFill>
        </w:rPr>
        <w:t xml:space="preserve">（产品名称2）的中国境内生产的组件成本占比≥</w:t>
      </w:r>
      <w:r>
        <w:rPr>
          <w:rFonts w:hint="eastAsia" w:ascii="宋体" w:hAnsi="宋体" w:cs="宋体"/>
          <w:color w:val="000000" w:themeColor="text1"/>
          <w:highlight w:val="none"/>
          <w:u w:val="single"/>
          <w14:textFill>
            <w14:solidFill>
              <w14:schemeClr w14:val="tx1"/>
            </w14:solidFill>
          </w14:textFill>
        </w:rPr>
        <w:t xml:space="preserve"> / </w:t>
      </w:r>
      <w:r>
        <w:rPr>
          <w:rFonts w:hint="eastAsia" w:ascii="宋体" w:hAnsi="宋体" w:cs="宋体"/>
          <w:color w:val="000000" w:themeColor="text1"/>
          <w:highlight w:val="none"/>
          <w14:textFill>
            <w14:solidFill>
              <w14:schemeClr w14:val="tx1"/>
            </w14:solidFill>
          </w14:textFill>
        </w:rPr>
        <w:t xml:space="preserve">（规定比例）。</w:t>
      </w:r>
      <w:r>
        <w:rPr>
          <w:rFonts w:hint="eastAsia" w:ascii="宋体" w:hAnsi="宋体" w:cs="宋体"/>
          <w:color w:val="000000" w:themeColor="text1"/>
          <w:highlight w:val="none"/>
          <w:u w:val="single"/>
          <w14:textFill>
            <w14:solidFill>
              <w14:schemeClr w14:val="tx1"/>
            </w14:solidFill>
          </w14:textFill>
        </w:rPr>
        <w:t xml:space="preserve"> / </w:t>
      </w:r>
      <w:r>
        <w:rPr>
          <w:rFonts w:hint="eastAsia" w:ascii="宋体" w:hAnsi="宋体" w:cs="宋体"/>
          <w:color w:val="000000" w:themeColor="text1"/>
          <w:highlight w:val="none"/>
          <w14:textFill>
            <w14:solidFill>
              <w14:schemeClr w14:val="tx1"/>
            </w14:solidFill>
          </w14:textFill>
        </w:rPr>
        <w:t xml:space="preserve">（产品名称2）的</w:t>
      </w:r>
      <w:r>
        <w:rPr>
          <w:rFonts w:hint="eastAsia" w:ascii="宋体" w:hAnsi="宋体" w:cs="宋体"/>
          <w:color w:val="000000" w:themeColor="text1"/>
          <w:highlight w:val="none"/>
          <w:u w:val="single"/>
          <w14:textFill>
            <w14:solidFill>
              <w14:schemeClr w14:val="tx1"/>
            </w14:solidFill>
          </w14:textFill>
        </w:rPr>
        <w:t xml:space="preserve"> / </w:t>
      </w:r>
      <w:r>
        <w:rPr>
          <w:rFonts w:hint="eastAsia" w:ascii="宋体" w:hAnsi="宋体" w:cs="宋体"/>
          <w:color w:val="000000" w:themeColor="text1"/>
          <w:highlight w:val="none"/>
          <w14:textFill>
            <w14:solidFill>
              <w14:schemeClr w14:val="tx1"/>
            </w14:solidFill>
          </w14:textFill>
        </w:rPr>
        <w:t xml:space="preserve">（关键组件）在中国境内生产。</w:t>
      </w:r>
      <w:r>
        <w:rPr>
          <w:rFonts w:hint="eastAsia" w:ascii="宋体" w:hAnsi="宋体" w:cs="宋体"/>
          <w:color w:val="000000" w:themeColor="text1"/>
          <w:highlight w:val="none"/>
          <w:u w:val="single"/>
          <w14:textFill>
            <w14:solidFill>
              <w14:schemeClr w14:val="tx1"/>
            </w14:solidFill>
          </w14:textFill>
        </w:rPr>
        <w:t xml:space="preserve"> / </w:t>
      </w:r>
      <w:r>
        <w:rPr>
          <w:rFonts w:hint="eastAsia" w:ascii="宋体" w:hAnsi="宋体" w:cs="宋体"/>
          <w:color w:val="000000" w:themeColor="text1"/>
          <w:highlight w:val="none"/>
          <w14:textFill>
            <w14:solidFill>
              <w14:schemeClr w14:val="tx1"/>
            </w14:solidFill>
          </w14:textFill>
        </w:rPr>
        <w:t xml:space="preserve">（产品名称2）的</w:t>
      </w:r>
      <w:r>
        <w:rPr>
          <w:rFonts w:hint="eastAsia" w:ascii="宋体" w:hAnsi="宋体" w:cs="宋体"/>
          <w:color w:val="000000" w:themeColor="text1"/>
          <w:highlight w:val="none"/>
          <w:u w:val="single"/>
          <w14:textFill>
            <w14:solidFill>
              <w14:schemeClr w14:val="tx1"/>
            </w14:solidFill>
          </w14:textFill>
        </w:rPr>
        <w:t xml:space="preserve"> / </w:t>
      </w:r>
      <w:r>
        <w:rPr>
          <w:rFonts w:hint="eastAsia" w:ascii="宋体" w:hAnsi="宋体" w:cs="宋体"/>
          <w:color w:val="000000" w:themeColor="text1"/>
          <w:highlight w:val="none"/>
          <w14:textFill>
            <w14:solidFill>
              <w14:schemeClr w14:val="tx1"/>
            </w14:solidFill>
          </w14:textFill>
        </w:rPr>
        <w:t xml:space="preserve">（关键工序）在中国境内完成。</w:t>
      </w:r>
      <w:r/>
    </w:p>
    <w:p>
      <w:pPr>
        <w:ind w:firstLine="4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本公司（单位）对上述声明内容的真实性负责。如有虚假，愿承担相应法律责任。</w:t>
      </w:r>
      <w:r/>
    </w:p>
    <w:p>
      <w:pPr>
        <w:ind w:firstLine="4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jc w:val="right"/>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公司（单位）名称（</w:t>
      </w:r>
      <w:r>
        <w:rPr>
          <w:rFonts w:hint="eastAsia" w:ascii="宋体" w:hAnsi="宋体" w:cs="宋体"/>
          <w:color w:val="000000" w:themeColor="text1"/>
          <w:szCs w:val="21"/>
          <w:highlight w:val="none"/>
          <w14:textFill>
            <w14:solidFill>
              <w14:schemeClr w14:val="tx1"/>
            </w14:solidFill>
          </w14:textFill>
        </w:rPr>
        <w:t xml:space="preserve">加盖CA电子公章</w:t>
      </w:r>
      <w:r>
        <w:rPr>
          <w:rFonts w:hint="eastAsia" w:ascii="宋体" w:hAnsi="宋体" w:cs="宋体"/>
          <w:color w:val="000000" w:themeColor="text1"/>
          <w:highlight w:val="none"/>
          <w14:textFill>
            <w14:solidFill>
              <w14:schemeClr w14:val="tx1"/>
            </w14:solidFill>
          </w14:textFill>
        </w:rPr>
        <w:t xml:space="preserve">）：                    </w:t>
      </w:r>
      <w:r/>
    </w:p>
    <w:p>
      <w:pPr>
        <w:ind w:firstLine="420"/>
        <w:jc w:val="right"/>
        <w:spacing w:line="360" w:lineRule="auto"/>
        <w:rPr>
          <w:rFonts w:hint="eastAsia" w:ascii="宋体" w:hAnsi="宋体" w:cs="宋体"/>
          <w:b/>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日期：　   年　  月　  日                               </w:t>
      </w:r>
      <w:r/>
    </w:p>
    <w:p>
      <w:pPr>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注：</w:t>
      </w:r>
      <w:r/>
    </w:p>
    <w:p>
      <w:pPr>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1.产品如有型号，请在“产品名称”栏一并填写。</w:t>
      </w:r>
      <w:r/>
    </w:p>
    <w:p>
      <w:pPr>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2.生产厂名与厂址应与生产厂营业执照载明的相关信息保持一致。</w:t>
      </w:r>
      <w:r/>
    </w:p>
    <w:p>
      <w:pPr>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3.该产品的中国境内生产的组件成本占比相关要求实施前，“规定比例”栏可不填，下同。</w:t>
      </w:r>
      <w:r/>
    </w:p>
    <w:p>
      <w:pPr>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4.该产品的关键组件要求实施前，“关键组件”栏可不填，下同。</w:t>
      </w:r>
      <w:r/>
    </w:p>
    <w:p>
      <w:pPr>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5.该产品的关键工序要求实施前，“关键工序”栏可不填，下同。</w:t>
      </w:r>
      <w:r/>
    </w:p>
    <w:p>
      <w:pPr>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6.用斜线划除的地方无需填写。</w:t>
      </w:r>
      <w:r>
        <w:rPr>
          <w:rFonts w:hint="eastAsia" w:ascii="宋体" w:hAnsi="宋体" w:cs="宋体"/>
          <w:bCs/>
          <w:color w:val="000000" w:themeColor="text1"/>
          <w:highlight w:val="none"/>
          <w14:textFill>
            <w14:solidFill>
              <w14:schemeClr w14:val="tx1"/>
            </w14:solidFill>
          </w14:textFill>
        </w:rPr>
        <w:br w:type="page" w:clear="all"/>
      </w:r>
      <w:r/>
    </w:p>
    <w:p>
      <w:pPr>
        <w:spacing w:line="240" w:lineRule="atLeast"/>
        <w:widowControl/>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附件三、无重大违法记录声明格式</w:t>
      </w:r>
      <w:r/>
    </w:p>
    <w:p>
      <w:pPr>
        <w:spacing w:line="240" w:lineRule="atLeast"/>
        <w:widowControl/>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r>
      <w:r/>
    </w:p>
    <w:p>
      <w:pPr>
        <w:jc w:val="center"/>
        <w:rPr>
          <w:rFonts w:hint="eastAsia" w:ascii="宋体" w:hAnsi="宋体" w:cs="宋体"/>
          <w:color w:val="000000" w:themeColor="text1"/>
          <w:sz w:val="36"/>
          <w:szCs w:val="36"/>
          <w:highlight w:val="none"/>
          <w14:textFill>
            <w14:solidFill>
              <w14:schemeClr w14:val="tx1"/>
            </w14:solidFill>
          </w14:textFill>
        </w:rPr>
      </w:pPr>
      <w:r/>
      <w:bookmarkStart w:id="46" w:name="_Hlk179355627"/>
      <w:r>
        <w:rPr>
          <w:rFonts w:hint="eastAsia" w:ascii="宋体" w:hAnsi="宋体" w:cs="宋体"/>
          <w:color w:val="000000" w:themeColor="text1"/>
          <w:sz w:val="36"/>
          <w:szCs w:val="36"/>
          <w:highlight w:val="none"/>
          <w14:textFill>
            <w14:solidFill>
              <w14:schemeClr w14:val="tx1"/>
            </w14:solidFill>
          </w14:textFill>
        </w:rPr>
        <w:t xml:space="preserve">无重大违法记录声明</w:t>
      </w:r>
      <w:r/>
    </w:p>
    <w:p>
      <w:pPr>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南京医科大学：</w:t>
      </w:r>
      <w:r/>
    </w:p>
    <w:p>
      <w:pPr>
        <w:ind w:firstLine="4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我单位（供应商名称）郑重声明：</w:t>
      </w:r>
      <w:r/>
    </w:p>
    <w:p>
      <w:pPr>
        <w:ind w:firstLine="4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参加政府采购活动前3年内在经营活动中______（在下划线上如实填写：有或没有）重大违法记录。</w:t>
      </w:r>
      <w:r/>
    </w:p>
    <w:p>
      <w:pPr>
        <w:ind w:firstLine="4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firstLine="46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声明人（</w:t>
      </w:r>
      <w:r>
        <w:rPr>
          <w:rFonts w:hint="eastAsia" w:ascii="宋体" w:hAnsi="宋体" w:cs="宋体"/>
          <w:color w:val="000000" w:themeColor="text1"/>
          <w:szCs w:val="21"/>
          <w:highlight w:val="none"/>
          <w14:textFill>
            <w14:solidFill>
              <w14:schemeClr w14:val="tx1"/>
            </w14:solidFill>
          </w14:textFill>
        </w:rPr>
        <w:t xml:space="preserve">加盖CA电子公章</w:t>
      </w:r>
      <w:r>
        <w:rPr>
          <w:rFonts w:hint="eastAsia" w:ascii="宋体" w:hAnsi="宋体" w:cs="宋体"/>
          <w:color w:val="000000" w:themeColor="text1"/>
          <w:highlight w:val="none"/>
          <w14:textFill>
            <w14:solidFill>
              <w14:schemeClr w14:val="tx1"/>
            </w14:solidFill>
          </w14:textFill>
        </w:rPr>
        <w:t xml:space="preserve">）：</w:t>
      </w:r>
      <w:r/>
    </w:p>
    <w:p>
      <w:pPr>
        <w:ind w:firstLine="46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日　　　　期：          年     月    日</w:t>
      </w:r>
      <w:bookmarkEnd w:id="46"/>
      <w:r/>
      <w:r/>
    </w:p>
    <w:p>
      <w:pPr>
        <w:jc w:val="left"/>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p>
      <w:pPr>
        <w:jc w:val="left"/>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p>
      <w:pPr>
        <w:jc w:val="left"/>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p>
      <w:pPr>
        <w:jc w:val="left"/>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p>
      <w:pPr>
        <w:jc w:val="left"/>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p>
      <w:pPr>
        <w:jc w:val="left"/>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附件四、具备履行合同所必需的设备和专业技术能力的声明格式及证明材料</w:t>
      </w:r>
      <w:r/>
    </w:p>
    <w:p>
      <w:pPr>
        <w:jc w:val="center"/>
        <w:spacing w:line="360" w:lineRule="auto"/>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具备履行合同所必需的设备和专业技术能力的声明</w:t>
      </w:r>
      <w:r/>
    </w:p>
    <w:p>
      <w:pP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南京医科大学：</w:t>
      </w:r>
      <w:r/>
    </w:p>
    <w:p>
      <w:pPr>
        <w:ind w:firstLine="492"/>
        <w:spacing w:line="4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我单位</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（供应商名称）郑重声明：我公司具备履行本项采购合同所必需的设备和专业技术能力，为履行本项采购合同我单位具备如下主要设备和主要专业技术能力：</w:t>
      </w:r>
      <w:r/>
    </w:p>
    <w:p>
      <w:pPr>
        <w:ind w:firstLine="492"/>
        <w:spacing w:line="4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主要设备有：</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w:t>
      </w:r>
      <w:r/>
    </w:p>
    <w:p>
      <w:pPr>
        <w:ind w:firstLine="492"/>
        <w:spacing w:line="4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主要专业技术能力有：</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p>
    <w:p>
      <w:pP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声明人：（加盖CA电子公章）</w:t>
      </w:r>
      <w:r/>
    </w:p>
    <w:p>
      <w:pPr>
        <w:ind w:firstLine="4410"/>
        <w:jc w:val="left"/>
        <w:spacing w:line="4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日期：______年    月    日</w:t>
      </w:r>
      <w:r/>
    </w:p>
    <w:p>
      <w:pP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ind w:firstLine="492"/>
        <w:spacing w:line="460" w:lineRule="exact"/>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其他证明材料及文件：（如果投标人认为需要提供的话）</w:t>
      </w:r>
      <w:r/>
    </w:p>
    <w:p>
      <w:pP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br w:type="page" w:clear="all"/>
      </w:r>
      <w:r/>
    </w:p>
    <w:p>
      <w:pPr>
        <w:pStyle w:val="1559"/>
        <w:ind w:left="0"/>
        <w:spacing w:before="20"/>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附件</w:t>
      </w:r>
      <w:r>
        <w:rPr>
          <w:rFonts w:hint="eastAsia"/>
          <w:color w:val="000000" w:themeColor="text1"/>
          <w:sz w:val="21"/>
          <w:szCs w:val="21"/>
          <w:highlight w:val="none"/>
          <w:lang w:val="en-US"/>
          <w14:textFill>
            <w14:solidFill>
              <w14:schemeClr w14:val="tx1"/>
            </w14:solidFill>
          </w14:textFill>
        </w:rPr>
        <w:t xml:space="preserve">五</w:t>
      </w:r>
      <w:r>
        <w:rPr>
          <w:rFonts w:hint="eastAsia"/>
          <w:color w:val="000000" w:themeColor="text1"/>
          <w:sz w:val="21"/>
          <w:szCs w:val="21"/>
          <w:highlight w:val="none"/>
          <w14:textFill>
            <w14:solidFill>
              <w14:schemeClr w14:val="tx1"/>
            </w14:solidFill>
          </w14:textFill>
        </w:rPr>
        <w:t xml:space="preserve">、残疾人福利性单位声明函格式</w:t>
      </w:r>
      <w:r/>
    </w:p>
    <w:p>
      <w:pPr>
        <w:pStyle w:val="1139"/>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r>
      <w:r/>
    </w:p>
    <w:p>
      <w:pPr>
        <w:pStyle w:val="1559"/>
        <w:ind w:left="0"/>
        <w:jc w:val="center"/>
        <w:spacing w:before="167"/>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残疾人福利性单位声明函</w:t>
      </w:r>
      <w:r/>
    </w:p>
    <w:p>
      <w:pPr>
        <w:pStyle w:val="1139"/>
        <w:spacing w:before="7"/>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r>
      <w:r/>
    </w:p>
    <w:p>
      <w:pPr>
        <w:pStyle w:val="1139"/>
        <w:ind w:right="617" w:firstLine="480"/>
        <w:spacing w:line="424" w:lineRule="auto"/>
        <w:tabs>
          <w:tab w:val="left" w:pos="3711" w:leader="none"/>
          <w:tab w:val="left" w:pos="5151" w:leader="none"/>
        </w:tabs>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本单位郑重声明</w:t>
      </w:r>
      <w:r>
        <w:rPr>
          <w:rFonts w:hint="eastAsia" w:ascii="宋体" w:hAnsi="宋体" w:cs="宋体"/>
          <w:color w:val="000000" w:themeColor="text1"/>
          <w:spacing w:val="-27"/>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14:textFill>
            <w14:solidFill>
              <w14:schemeClr w14:val="tx1"/>
            </w14:solidFill>
          </w14:textFill>
        </w:rPr>
        <w:t xml:space="preserve">根</w:t>
      </w:r>
      <w:r>
        <w:rPr>
          <w:rFonts w:hint="eastAsia" w:ascii="宋体" w:hAnsi="宋体" w:cs="宋体"/>
          <w:color w:val="000000" w:themeColor="text1"/>
          <w:spacing w:val="-24"/>
          <w:sz w:val="21"/>
          <w:szCs w:val="21"/>
          <w:highlight w:val="none"/>
          <w14:textFill>
            <w14:solidFill>
              <w14:schemeClr w14:val="tx1"/>
            </w14:solidFill>
          </w14:textFill>
        </w:rPr>
        <w:t xml:space="preserve">据</w:t>
      </w:r>
      <w:r>
        <w:rPr>
          <w:rFonts w:hint="eastAsia" w:ascii="宋体" w:hAnsi="宋体" w:cs="宋体"/>
          <w:color w:val="000000" w:themeColor="text1"/>
          <w:sz w:val="21"/>
          <w:szCs w:val="21"/>
          <w:highlight w:val="none"/>
          <w14:textFill>
            <w14:solidFill>
              <w14:schemeClr w14:val="tx1"/>
            </w14:solidFill>
          </w14:textFill>
        </w:rPr>
        <w:t xml:space="preserve">《财政部 民政部 中国残疾人联合会关于促进残疾人就业</w:t>
      </w:r>
      <w:r>
        <w:rPr>
          <w:rFonts w:hint="eastAsia" w:ascii="宋体" w:hAnsi="宋体" w:cs="宋体"/>
          <w:color w:val="000000" w:themeColor="text1"/>
          <w:spacing w:val="-18"/>
          <w:sz w:val="21"/>
          <w:szCs w:val="21"/>
          <w:highlight w:val="none"/>
          <w14:textFill>
            <w14:solidFill>
              <w14:schemeClr w14:val="tx1"/>
            </w14:solidFill>
          </w14:textFill>
        </w:rPr>
        <w:t xml:space="preserve">政</w:t>
      </w:r>
      <w:r>
        <w:rPr>
          <w:rFonts w:hint="eastAsia" w:ascii="宋体" w:hAnsi="宋体" w:cs="宋体"/>
          <w:color w:val="000000" w:themeColor="text1"/>
          <w:sz w:val="21"/>
          <w:szCs w:val="21"/>
          <w:highlight w:val="none"/>
          <w14:textFill>
            <w14:solidFill>
              <w14:schemeClr w14:val="tx1"/>
            </w14:solidFill>
          </w14:textFill>
        </w:rPr>
        <w:t xml:space="preserve">府采购政策的通知</w:t>
      </w:r>
      <w:r>
        <w:rPr>
          <w:rFonts w:hint="eastAsia" w:ascii="宋体" w:hAnsi="宋体" w:cs="宋体"/>
          <w:color w:val="000000" w:themeColor="text1"/>
          <w:spacing w:val="-39"/>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14:textFill>
            <w14:solidFill>
              <w14:schemeClr w14:val="tx1"/>
            </w14:solidFill>
          </w14:textFill>
        </w:rPr>
        <w:t xml:space="preserve">（财</w:t>
      </w:r>
      <w:r>
        <w:rPr>
          <w:rFonts w:hint="eastAsia" w:ascii="宋体" w:hAnsi="宋体" w:cs="宋体"/>
          <w:color w:val="000000" w:themeColor="text1"/>
          <w:spacing w:val="-17"/>
          <w:sz w:val="21"/>
          <w:szCs w:val="21"/>
          <w:highlight w:val="none"/>
          <w14:textFill>
            <w14:solidFill>
              <w14:schemeClr w14:val="tx1"/>
            </w14:solidFill>
          </w14:textFill>
        </w:rPr>
        <w:t xml:space="preserve">库</w:t>
      </w:r>
      <w:r>
        <w:rPr>
          <w:rFonts w:hint="eastAsia" w:ascii="宋体" w:hAnsi="宋体" w:cs="宋体"/>
          <w:color w:val="000000" w:themeColor="text1"/>
          <w:sz w:val="21"/>
          <w:szCs w:val="21"/>
          <w:highlight w:val="none"/>
          <w14:textFill>
            <w14:solidFill>
              <w14:schemeClr w14:val="tx1"/>
            </w14:solidFill>
          </w14:textFill>
        </w:rPr>
        <w:t xml:space="preserve">〔2017〕141号</w:t>
      </w:r>
      <w:r>
        <w:rPr>
          <w:rFonts w:hint="eastAsia" w:ascii="宋体" w:hAnsi="宋体" w:cs="宋体"/>
          <w:color w:val="000000" w:themeColor="text1"/>
          <w:spacing w:val="-20"/>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14:textFill>
            <w14:solidFill>
              <w14:schemeClr w14:val="tx1"/>
            </w14:solidFill>
          </w14:textFill>
        </w:rPr>
        <w:t xml:space="preserve">的规定</w:t>
      </w:r>
      <w:r>
        <w:rPr>
          <w:rFonts w:hint="eastAsia" w:ascii="宋体" w:hAnsi="宋体" w:cs="宋体"/>
          <w:color w:val="000000" w:themeColor="text1"/>
          <w:spacing w:val="-17"/>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14:textFill>
            <w14:solidFill>
              <w14:schemeClr w14:val="tx1"/>
            </w14:solidFill>
          </w14:textFill>
        </w:rPr>
        <w:t xml:space="preserve">本单位为符合条件的残疾人福</w:t>
      </w:r>
      <w:r>
        <w:rPr>
          <w:rFonts w:hint="eastAsia" w:ascii="宋体" w:hAnsi="宋体" w:cs="宋体"/>
          <w:color w:val="000000" w:themeColor="text1"/>
          <w:spacing w:val="-16"/>
          <w:sz w:val="21"/>
          <w:szCs w:val="21"/>
          <w:highlight w:val="none"/>
          <w14:textFill>
            <w14:solidFill>
              <w14:schemeClr w14:val="tx1"/>
            </w14:solidFill>
          </w14:textFill>
        </w:rPr>
        <w:t xml:space="preserve">利</w:t>
      </w:r>
      <w:r>
        <w:rPr>
          <w:rFonts w:hint="eastAsia" w:ascii="宋体" w:hAnsi="宋体" w:cs="宋体"/>
          <w:color w:val="000000" w:themeColor="text1"/>
          <w:sz w:val="21"/>
          <w:szCs w:val="21"/>
          <w:highlight w:val="none"/>
          <w14:textFill>
            <w14:solidFill>
              <w14:schemeClr w14:val="tx1"/>
            </w14:solidFill>
          </w14:textFill>
        </w:rPr>
        <w:t xml:space="preserve">性单位</w:t>
      </w:r>
      <w:r>
        <w:rPr>
          <w:rFonts w:hint="eastAsia" w:ascii="宋体" w:hAnsi="宋体" w:cs="宋体"/>
          <w:color w:val="000000" w:themeColor="text1"/>
          <w:spacing w:val="-27"/>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14:textFill>
            <w14:solidFill>
              <w14:schemeClr w14:val="tx1"/>
            </w14:solidFill>
          </w14:textFill>
        </w:rPr>
        <w:t xml:space="preserve">且本单位参加</w:t>
      </w:r>
      <w:r>
        <w:rPr>
          <w:rFonts w:hint="eastAsia" w:ascii="宋体" w:hAnsi="宋体" w:cs="宋体"/>
          <w:color w:val="000000" w:themeColor="text1"/>
          <w:sz w:val="21"/>
          <w:szCs w:val="21"/>
          <w:highlight w:val="none"/>
          <w:u w:val="single"/>
          <w14:textFill>
            <w14:solidFill>
              <w14:schemeClr w14:val="tx1"/>
            </w14:solidFill>
          </w14:textFill>
        </w:rPr>
        <w:tab/>
      </w:r>
      <w:r>
        <w:rPr>
          <w:rFonts w:hint="eastAsia" w:ascii="宋体" w:hAnsi="宋体" w:cs="宋体"/>
          <w:color w:val="000000" w:themeColor="text1"/>
          <w:sz w:val="21"/>
          <w:szCs w:val="21"/>
          <w:highlight w:val="none"/>
          <w14:textFill>
            <w14:solidFill>
              <w14:schemeClr w14:val="tx1"/>
            </w14:solidFill>
          </w14:textFill>
        </w:rPr>
        <w:t xml:space="preserve">单位的</w:t>
      </w:r>
      <w:r>
        <w:rPr>
          <w:rFonts w:hint="eastAsia" w:ascii="宋体" w:hAnsi="宋体" w:cs="宋体"/>
          <w:color w:val="000000" w:themeColor="text1"/>
          <w:sz w:val="21"/>
          <w:szCs w:val="21"/>
          <w:highlight w:val="none"/>
          <w:u w:val="single"/>
          <w14:textFill>
            <w14:solidFill>
              <w14:schemeClr w14:val="tx1"/>
            </w14:solidFill>
          </w14:textFill>
        </w:rPr>
        <w:tab/>
      </w:r>
      <w:r>
        <w:rPr>
          <w:rFonts w:hint="eastAsia" w:ascii="宋体" w:hAnsi="宋体" w:cs="宋体"/>
          <w:color w:val="000000" w:themeColor="text1"/>
          <w:sz w:val="21"/>
          <w:szCs w:val="21"/>
          <w:highlight w:val="none"/>
          <w14:textFill>
            <w14:solidFill>
              <w14:schemeClr w14:val="tx1"/>
            </w14:solidFill>
          </w14:textFill>
        </w:rPr>
        <w:t xml:space="preserve">项目采购活动提供本单位制造的货</w:t>
      </w:r>
      <w:r>
        <w:rPr>
          <w:rFonts w:hint="eastAsia" w:ascii="宋体" w:hAnsi="宋体" w:cs="宋体"/>
          <w:color w:val="000000" w:themeColor="text1"/>
          <w:spacing w:val="-24"/>
          <w:sz w:val="21"/>
          <w:szCs w:val="21"/>
          <w:highlight w:val="none"/>
          <w14:textFill>
            <w14:solidFill>
              <w14:schemeClr w14:val="tx1"/>
            </w14:solidFill>
          </w14:textFill>
        </w:rPr>
        <w:t xml:space="preserve">物</w:t>
      </w:r>
      <w:r>
        <w:rPr>
          <w:rFonts w:hint="eastAsia" w:ascii="宋体" w:hAnsi="宋体" w:cs="宋体"/>
          <w:color w:val="000000" w:themeColor="text1"/>
          <w:sz w:val="21"/>
          <w:szCs w:val="21"/>
          <w:highlight w:val="none"/>
          <w14:textFill>
            <w14:solidFill>
              <w14:schemeClr w14:val="tx1"/>
            </w14:solidFill>
          </w14:textFill>
        </w:rPr>
        <w:t xml:space="preserve">（由</w:t>
      </w:r>
      <w:r>
        <w:rPr>
          <w:rFonts w:hint="eastAsia" w:ascii="宋体" w:hAnsi="宋体" w:cs="宋体"/>
          <w:color w:val="000000" w:themeColor="text1"/>
          <w:spacing w:val="-18"/>
          <w:sz w:val="21"/>
          <w:szCs w:val="21"/>
          <w:highlight w:val="none"/>
          <w14:textFill>
            <w14:solidFill>
              <w14:schemeClr w14:val="tx1"/>
            </w14:solidFill>
          </w14:textFill>
        </w:rPr>
        <w:t xml:space="preserve">本</w:t>
      </w:r>
      <w:r>
        <w:rPr>
          <w:rFonts w:hint="eastAsia" w:ascii="宋体" w:hAnsi="宋体" w:cs="宋体"/>
          <w:color w:val="000000" w:themeColor="text1"/>
          <w:sz w:val="21"/>
          <w:szCs w:val="21"/>
          <w:highlight w:val="none"/>
          <w14:textFill>
            <w14:solidFill>
              <w14:schemeClr w14:val="tx1"/>
            </w14:solidFill>
          </w14:textFill>
        </w:rPr>
        <w:t xml:space="preserve">单位承担工程/提供服务），或者提供其他残疾人福利性单位制造的货物（不包括使用非残疾人福利性单位注册商标的货物）。</w:t>
      </w:r>
      <w:r/>
    </w:p>
    <w:p>
      <w:pPr>
        <w:pStyle w:val="1139"/>
        <w:ind w:left="1098"/>
        <w:spacing w:before="3"/>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本单位对上述声明的真实性负责。如有虚假，将依法承担相应责任。</w:t>
      </w:r>
      <w:r/>
    </w:p>
    <w:p>
      <w:pPr>
        <w:pStyle w:val="1139"/>
        <w:ind w:right="2725"/>
        <w:spacing w:line="422" w:lineRule="auto"/>
        <w:tabs>
          <w:tab w:val="left" w:pos="7098" w:leader="none"/>
        </w:tabs>
        <w:rPr>
          <w:rFonts w:hint="eastAsia" w:ascii="宋体" w:hAnsi="宋体" w:cs="宋体"/>
          <w:color w:val="000000" w:themeColor="text1"/>
          <w:spacing w:val="-9"/>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单位名称（</w:t>
      </w:r>
      <w:r>
        <w:rPr>
          <w:rFonts w:hint="eastAsia" w:ascii="宋体" w:hAnsi="宋体" w:cs="宋体"/>
          <w:color w:val="000000" w:themeColor="text1"/>
          <w:sz w:val="21"/>
          <w:szCs w:val="18"/>
          <w:highlight w:val="none"/>
          <w14:textFill>
            <w14:solidFill>
              <w14:schemeClr w14:val="tx1"/>
            </w14:solidFill>
          </w14:textFill>
        </w:rPr>
        <w:t xml:space="preserve">加盖CA电子公章</w:t>
      </w:r>
      <w:r>
        <w:rPr>
          <w:rFonts w:hint="eastAsia" w:ascii="宋体" w:hAnsi="宋体" w:cs="宋体"/>
          <w:color w:val="000000" w:themeColor="text1"/>
          <w:spacing w:val="-9"/>
          <w:sz w:val="21"/>
          <w:szCs w:val="21"/>
          <w:highlight w:val="none"/>
          <w14:textFill>
            <w14:solidFill>
              <w14:schemeClr w14:val="tx1"/>
            </w14:solidFill>
          </w14:textFill>
        </w:rPr>
        <w:t xml:space="preserve">）：</w:t>
      </w:r>
      <w:r/>
    </w:p>
    <w:p>
      <w:pPr>
        <w:pStyle w:val="1139"/>
        <w:ind w:right="2725"/>
        <w:spacing w:line="422" w:lineRule="auto"/>
        <w:tabs>
          <w:tab w:val="left" w:pos="7098" w:leader="none"/>
        </w:tabs>
        <w:rPr>
          <w:rFonts w:hint="eastAsia" w:ascii="宋体" w:hAnsi="宋体" w:cs="宋体"/>
          <w:color w:val="000000" w:themeColor="text1"/>
          <w:spacing w:val="-17"/>
          <w:sz w:val="21"/>
          <w:szCs w:val="21"/>
          <w:highlight w:val="none"/>
          <w14:textFill>
            <w14:solidFill>
              <w14:schemeClr w14:val="tx1"/>
            </w14:solidFill>
          </w14:textFill>
        </w:rPr>
      </w:pPr>
      <w:r>
        <w:rPr>
          <w:rFonts w:hint="eastAsia" w:ascii="宋体" w:hAnsi="宋体" w:cs="宋体"/>
          <w:color w:val="000000" w:themeColor="text1"/>
          <w:spacing w:val="-9"/>
          <w:sz w:val="21"/>
          <w:szCs w:val="21"/>
          <w:highlight w:val="none"/>
          <w14:textFill>
            <w14:solidFill>
              <w14:schemeClr w14:val="tx1"/>
            </w14:solidFill>
          </w14:textFill>
        </w:rPr>
        <w:t xml:space="preserve">日</w:t>
      </w:r>
      <w:r>
        <w:rPr>
          <w:rFonts w:hint="eastAsia" w:ascii="宋体" w:hAnsi="宋体" w:cs="宋体"/>
          <w:color w:val="000000" w:themeColor="text1"/>
          <w:sz w:val="21"/>
          <w:szCs w:val="21"/>
          <w:highlight w:val="none"/>
          <w14:textFill>
            <w14:solidFill>
              <w14:schemeClr w14:val="tx1"/>
            </w14:solidFill>
          </w14:textFill>
        </w:rPr>
        <w:t xml:space="preserve">期</w:t>
      </w:r>
      <w:r>
        <w:rPr>
          <w:rFonts w:hint="eastAsia" w:ascii="宋体" w:hAnsi="宋体" w:cs="宋体"/>
          <w:color w:val="000000" w:themeColor="text1"/>
          <w:spacing w:val="-17"/>
          <w:sz w:val="21"/>
          <w:szCs w:val="21"/>
          <w:highlight w:val="none"/>
          <w14:textFill>
            <w14:solidFill>
              <w14:schemeClr w14:val="tx1"/>
            </w14:solidFill>
          </w14:textFill>
        </w:rPr>
        <w:t xml:space="preserve">：</w:t>
      </w:r>
      <w:r/>
    </w:p>
    <w:p>
      <w:pPr>
        <w:pStyle w:val="1139"/>
        <w:ind w:right="2725"/>
        <w:spacing w:line="422" w:lineRule="auto"/>
        <w:tabs>
          <w:tab w:val="left" w:pos="7098" w:leader="none"/>
        </w:tabs>
        <w:rPr>
          <w:rFonts w:hint="eastAsia" w:ascii="宋体" w:hAnsi="宋体" w:cs="宋体"/>
          <w:color w:val="000000" w:themeColor="text1"/>
          <w:spacing w:val="-17"/>
          <w:sz w:val="21"/>
          <w:szCs w:val="21"/>
          <w:highlight w:val="none"/>
          <w14:textFill>
            <w14:solidFill>
              <w14:schemeClr w14:val="tx1"/>
            </w14:solidFill>
          </w14:textFill>
        </w:rPr>
      </w:pPr>
      <w:r>
        <w:rPr>
          <w:rFonts w:hint="eastAsia" w:ascii="宋体" w:hAnsi="宋体" w:cs="宋体"/>
          <w:color w:val="000000" w:themeColor="text1"/>
          <w:spacing w:val="-17"/>
          <w:sz w:val="21"/>
          <w:szCs w:val="21"/>
          <w:highlight w:val="none"/>
          <w14:textFill>
            <w14:solidFill>
              <w14:schemeClr w14:val="tx1"/>
            </w14:solidFill>
          </w14:textFill>
        </w:rPr>
      </w:r>
      <w:r/>
    </w:p>
    <w:p>
      <w:pPr>
        <w:pStyle w:val="1559"/>
        <w:ind w:left="0"/>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附件</w:t>
      </w:r>
      <w:r>
        <w:rPr>
          <w:rFonts w:hint="eastAsia"/>
          <w:color w:val="000000" w:themeColor="text1"/>
          <w:sz w:val="21"/>
          <w:szCs w:val="21"/>
          <w:highlight w:val="none"/>
          <w:lang w:val="en-US"/>
          <w14:textFill>
            <w14:solidFill>
              <w14:schemeClr w14:val="tx1"/>
            </w14:solidFill>
          </w14:textFill>
        </w:rPr>
        <w:t xml:space="preserve">六</w:t>
      </w:r>
      <w:r>
        <w:rPr>
          <w:rFonts w:hint="eastAsia"/>
          <w:color w:val="000000" w:themeColor="text1"/>
          <w:sz w:val="21"/>
          <w:szCs w:val="21"/>
          <w:highlight w:val="none"/>
          <w14:textFill>
            <w14:solidFill>
              <w14:schemeClr w14:val="tx1"/>
            </w14:solidFill>
          </w14:textFill>
        </w:rPr>
        <w:t xml:space="preserve">、属于监狱企业的证明文件</w:t>
      </w:r>
      <w:r/>
    </w:p>
    <w:p>
      <w:pPr>
        <w:pStyle w:val="1139"/>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r>
      <w:r/>
    </w:p>
    <w:p>
      <w:pPr>
        <w:jc w:val="left"/>
        <w:widowControl/>
        <w:rPr>
          <w:rFonts w:hint="eastAsia" w:ascii="宋体" w:hAnsi="宋体" w:cs="宋体"/>
          <w:b/>
          <w:bCs/>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提供由省级以上监狱管理局、戒毒管理局(含新疆生产建设兵团)出具的属于监狱企业的证明文件。</w:t>
      </w:r>
      <w:r/>
    </w:p>
    <w:sectPr>
      <w:footerReference w:type="default" r:id="rId17"/>
      <w:footnotePr/>
      <w:endnotePr/>
      <w:type w:val="nextPage"/>
      <w:pgSz w:w="11906" w:h="16838" w:orient="portrait"/>
      <w:pgMar w:top="850" w:right="850" w:bottom="850" w:left="1417" w:header="340" w:footer="56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KNLe">
    <w:panose1 w:val="020B0503020202020204"/>
  </w:font>
  <w:font w:name="仿宋">
    <w:panose1 w:val="02010609060101010101"/>
  </w:font>
  <w:font w:name="Arial Unicode MS">
    <w:panose1 w:val="020B0604020202020204"/>
  </w:font>
  <w:font w:name="Wingdings 2">
    <w:panose1 w:val="05020102010507070707"/>
  </w:font>
  <w:font w:name="方正小标宋_GBK">
    <w:panose1 w:val="020B0503020202020204"/>
  </w:font>
  <w:font w:name="华文楷体">
    <w:panose1 w:val="02010600040101010101"/>
  </w:font>
  <w:font w:name="华文细黑">
    <w:panose1 w:val="02010600040101010101"/>
  </w:font>
  <w:font w:name="汉仪大黑简">
    <w:panose1 w:val="020B0503020202020204"/>
  </w:font>
  <w:font w:name="楷体_GB2312">
    <w:panose1 w:val="02010609060101010101"/>
  </w:font>
  <w:font w:name="Tahoma">
    <w:panose1 w:val="020B0604030504040204"/>
  </w:font>
  <w:font w:name="Cambria">
    <w:panose1 w:val="02040503050406030204"/>
  </w:font>
  <w:font w:name="Courier New">
    <w:panose1 w:val="02070309020205020404"/>
  </w:font>
  <w:font w:name="Aptos">
    <w:panose1 w:val="020B0503020202020204"/>
  </w:font>
  <w:font w:name="Calibri">
    <w:panose1 w:val="020F0502020204030204"/>
  </w:font>
  <w:font w:name="微软雅黑">
    <w:panose1 w:val="020B0503020204020204"/>
  </w:font>
  <w:font w:name="方正大黑简体">
    <w:panose1 w:val="020B0503020202020204"/>
  </w:font>
  <w:font w:name="仿宋_GB2312">
    <w:panose1 w:val="02010609060101010101"/>
  </w:font>
  <w:font w:name="Verdana">
    <w:panose1 w:val="020B0604030504040204"/>
  </w:font>
  <w:font w:name="黑体">
    <w:panose1 w:val="02010609060101010101"/>
  </w:font>
  <w:font w:name="Arial">
    <w:panose1 w:val="020B0604020202020204"/>
  </w:font>
  <w:font w:name="SimSun">
    <w:panose1 w:val="02010600030101010101"/>
  </w:font>
  <w:font w:name="Ari">
    <w:panose1 w:val="020B0606020202030204"/>
  </w:font>
  <w:font w:name="Georgia">
    <w:panose1 w:val="02040502050405020303"/>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3"/>
      <w:jc w:val="center"/>
    </w:pPr>
    <w:r>
      <mc:AlternateContent>
        <mc:Choice Requires="wpg">
          <w:drawing>
            <wp:anchor xmlns:wp="http://schemas.openxmlformats.org/drawingml/2006/wordprocessingDrawing" xmlns:wp14="http://schemas.microsoft.com/office/word/2010/wordprocessingDrawing" distT="0" distB="0" distL="0" distR="0" simplePos="0" relativeHeight="251667456" behindDoc="0" locked="0" layoutInCell="1" allowOverlap="1">
              <wp:simplePos x="0" y="0"/>
              <wp:positionH relativeFrom="page">
                <wp:align>left</wp:align>
              </wp:positionH>
              <wp:positionV relativeFrom="page">
                <wp:align>bottom</wp:align>
              </wp:positionV>
              <wp:extent cx="1544320" cy="345440"/>
              <wp:effectExtent l="0" t="0" r="17780" b="0"/>
              <wp:wrapNone/>
              <wp:docPr id="6" name="文本框 10" descr="Unrestricted Document"/>
              <wp:cNvGraphicFramePr/>
              <a:graphic xmlns:a="http://schemas.openxmlformats.org/drawingml/2006/main">
                <a:graphicData uri="http://schemas.microsoft.com/office/word/2010/wordprocessingShape">
                  <wps:wsp>
                    <wps:cNvPr id="0" name=""/>
                    <wps:cNvSpPr txBox="1"/>
                    <wps:spPr bwMode="auto">
                      <a:xfrm>
                        <a:off x="0" y="0"/>
                        <a:ext cx="1544320" cy="345440"/>
                      </a:xfrm>
                      <a:prstGeom prst="rect">
                        <a:avLst/>
                      </a:prstGeom>
                      <a:noFill/>
                      <a:ln>
                        <a:noFill/>
                      </a:ln>
                    </wps:spPr>
                    <wps:txbx>
                      <w:txbxContent>
                        <w:p>
                          <w:r/>
                          <w:r/>
                        </w:p>
                      </w:txbxContent>
                    </wps:txbx>
                    <wps:bodyPr rot="0" spcFirstLastPara="0" vertOverflow="overflow" horzOverflow="overflow" vert="horz" wrap="none" lIns="254000" tIns="0" rIns="0" bIns="190500" numCol="1" spcCol="0" rtlCol="0" fromWordArt="0" anchor="b" anchorCtr="0" forceAA="0" compatLnSpc="1">
                      <a:spAutoFit/>
                    </wps:bodyPr>
                  </wps:wsp>
                </a:graphicData>
              </a:graphic>
            </wp:anchor>
          </w:drawing>
        </mc:Choice>
        <mc:Fallback>
          <w:pict>
            <v:shape id="shape 5" o:spid="_x0000_s5" o:spt="202" type="#_x0000_t202" style="position:absolute;z-index:251667456;o:allowoverlap:true;o:allowincell:true;mso-position-horizontal-relative:page;mso-position-horizontal:left;mso-position-vertical-relative:page;mso-position-vertical:bottom;width:121.6pt;height:27.2pt;mso-wrap-distance-left:0.0pt;mso-wrap-distance-top:0.0pt;mso-wrap-distance-right:0.0pt;mso-wrap-distance-bottom:0.0pt;v-text-anchor:bottom;visibility:visible;" filled="f" stroked="f">
              <v:textbox inset="0,0,0,0">
                <w:txbxContent>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915035" cy="147955"/>
              <wp:effectExtent l="0" t="0" r="0" b="0"/>
              <wp:wrapNone/>
              <wp:docPr id="7" name="文本框 7"/>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915035" cy="147955"/>
                      </a:xfrm>
                      <a:prstGeom prst="rect">
                        <a:avLst/>
                      </a:prstGeom>
                      <a:noFill/>
                      <a:ln>
                        <a:noFill/>
                      </a:ln>
                      <a:effectLst/>
                    </wps:spPr>
                    <wps:txbx>
                      <w:txbxContent>
                        <w:p>
                          <w:pPr>
                            <w:pStyle w:val="1153"/>
                          </w:pPr>
                          <w:r>
                            <w:t xml:space="preserve">第 </w:t>
                          </w:r>
                          <w:r>
                            <w:fldChar w:fldCharType="begin"/>
                          </w:r>
                          <w:r>
                            <w:instrText xml:space="preserve"> PAGE  \* MERGEFORMAT </w:instrText>
                          </w:r>
                          <w:r>
                            <w:fldChar w:fldCharType="separate"/>
                          </w:r>
                          <w:r>
                            <w:t xml:space="preserve">4</w:t>
                          </w:r>
                          <w:r>
                            <w:fldChar w:fldCharType="end"/>
                          </w:r>
                          <w:r>
                            <w:t xml:space="preserve"> 页 共 </w:t>
                          </w:r>
                          <w:r>
                            <w:fldChar w:fldCharType="begin"/>
                          </w:r>
                          <w:r>
                            <w:instrText xml:space="preserve"> NUMPAGES  \* MERGEFORMAT </w:instrText>
                          </w:r>
                          <w:r>
                            <w:fldChar w:fldCharType="separate"/>
                          </w:r>
                          <w:r>
                            <w:t xml:space="preserve">35</w:t>
                          </w:r>
                          <w:r>
                            <w:fldChar w:fldCharType="end"/>
                          </w:r>
                          <w:r>
                            <w:t xml:space="preserve"> 页</w:t>
                          </w:r>
                          <w:r/>
                        </w:p>
                      </w:txbxContent>
                    </wps:txbx>
                    <wps:bodyPr rot="0" vert="horz" wrap="none" lIns="0" tIns="0" rIns="0" bIns="0" anchor="t" anchorCtr="0" upright="1">
                      <a:spAutoFit/>
                    </wps:bodyPr>
                  </wps:wsp>
                </a:graphicData>
              </a:graphic>
            </wp:anchor>
          </w:drawing>
        </mc:Choice>
        <mc:Fallback>
          <w:pict>
            <v:shape id="shape 6" o:spid="_x0000_s6" o:spt="202" type="#_x0000_t202" style="position:absolute;z-index:251659264;o:allowoverlap:true;o:allowincell:true;mso-position-horizontal-relative:margin;mso-position-horizontal:center;mso-position-vertical-relative:text;margin-top:0.0pt;mso-position-vertical:absolute;width:72.0pt;height:11.6pt;mso-wrap-distance-left:9.0pt;mso-wrap-distance-top:0.0pt;mso-wrap-distance-right:9.0pt;mso-wrap-distance-bottom:0.0pt;v-text-anchor:top;visibility:visible;" filled="f" stroked="f">
              <v:textbox inset="0,0,0,0">
                <w:txbxContent>
                  <w:p>
                    <w:pPr>
                      <w:pStyle w:val="1153"/>
                    </w:pPr>
                    <w:r>
                      <w:t xml:space="preserve">第 </w:t>
                    </w:r>
                    <w:r>
                      <w:fldChar w:fldCharType="begin"/>
                    </w:r>
                    <w:r>
                      <w:instrText xml:space="preserve"> PAGE  \* MERGEFORMAT </w:instrText>
                    </w:r>
                    <w:r>
                      <w:fldChar w:fldCharType="separate"/>
                    </w:r>
                    <w:r>
                      <w:t xml:space="preserve">4</w:t>
                    </w:r>
                    <w:r>
                      <w:fldChar w:fldCharType="end"/>
                    </w:r>
                    <w:r>
                      <w:t xml:space="preserve"> 页 共 </w:t>
                    </w:r>
                    <w:r>
                      <w:fldChar w:fldCharType="begin"/>
                    </w:r>
                    <w:r>
                      <w:instrText xml:space="preserve"> NUMPAGES  \* MERGEFORMAT </w:instrText>
                    </w:r>
                    <w:r>
                      <w:fldChar w:fldCharType="separate"/>
                    </w:r>
                    <w:r>
                      <w:t xml:space="preserve">35</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3"/>
    </w:pPr>
    <w:r>
      <mc:AlternateContent>
        <mc:Choice Requires="wpg">
          <w:drawing>
            <wp:anchor xmlns:wp="http://schemas.openxmlformats.org/drawingml/2006/wordprocessingDrawing" xmlns:wp14="http://schemas.microsoft.com/office/word/2010/wordprocessingDrawing" distT="0" distB="0" distL="0" distR="0" simplePos="0" relativeHeight="251666432" behindDoc="0" locked="0" layoutInCell="1" allowOverlap="1">
              <wp:simplePos x="0" y="0"/>
              <wp:positionH relativeFrom="page">
                <wp:align>left</wp:align>
              </wp:positionH>
              <wp:positionV relativeFrom="page">
                <wp:align>bottom</wp:align>
              </wp:positionV>
              <wp:extent cx="1544320" cy="345440"/>
              <wp:effectExtent l="0" t="0" r="17780" b="0"/>
              <wp:wrapNone/>
              <wp:docPr id="8" name="文本框 9" descr="Unrestricted Document"/>
              <wp:cNvGraphicFramePr/>
              <a:graphic xmlns:a="http://schemas.openxmlformats.org/drawingml/2006/main">
                <a:graphicData uri="http://schemas.microsoft.com/office/word/2010/wordprocessingShape">
                  <wps:wsp>
                    <wps:cNvPr id="0" name=""/>
                    <wps:cNvSpPr txBox="1"/>
                    <wps:spPr bwMode="auto">
                      <a:xfrm>
                        <a:off x="0" y="0"/>
                        <a:ext cx="1544320" cy="345440"/>
                      </a:xfrm>
                      <a:prstGeom prst="rect">
                        <a:avLst/>
                      </a:prstGeom>
                      <a:noFill/>
                      <a:ln>
                        <a:noFill/>
                      </a:ln>
                    </wps:spPr>
                    <wps:txbx>
                      <w:txbxContent>
                        <w:p>
                          <w:pPr>
                            <w:rPr>
                              <w:rFonts w:ascii="Aptos" w:hAnsi="Aptos" w:eastAsia="Aptos" w:cs="Aptos"/>
                              <w:color w:val="000000"/>
                              <w:sz w:val="20"/>
                              <w:szCs w:val="20"/>
                            </w:rPr>
                          </w:pPr>
                          <w:r>
                            <w:rPr>
                              <w:rFonts w:ascii="Aptos" w:hAnsi="Aptos" w:eastAsia="Aptos" w:cs="Aptos"/>
                              <w:color w:val="000000"/>
                              <w:sz w:val="20"/>
                              <w:szCs w:val="20"/>
                            </w:rPr>
                            <w:t xml:space="preserve">Unrestricted Document</w:t>
                          </w:r>
                          <w:r/>
                        </w:p>
                      </w:txbxContent>
                    </wps:txbx>
                    <wps:bodyPr rot="0" spcFirstLastPara="0" vertOverflow="overflow" horzOverflow="overflow" vert="horz" wrap="none" lIns="254000" tIns="0" rIns="0" bIns="190500" numCol="1" spcCol="0" rtlCol="0" fromWordArt="0" anchor="b" anchorCtr="0" forceAA="0" compatLnSpc="1">
                      <a:spAutoFit/>
                    </wps:bodyPr>
                  </wps:wsp>
                </a:graphicData>
              </a:graphic>
            </wp:anchor>
          </w:drawing>
        </mc:Choice>
        <mc:Fallback>
          <w:pict>
            <v:shape id="shape 7" o:spid="_x0000_s7" o:spt="202" type="#_x0000_t202" style="position:absolute;z-index:251666432;o:allowoverlap:true;o:allowincell:true;mso-position-horizontal-relative:page;mso-position-horizontal:left;mso-position-vertical-relative:page;mso-position-vertical:bottom;width:121.6pt;height:27.2pt;mso-wrap-distance-left:0.0pt;mso-wrap-distance-top:0.0pt;mso-wrap-distance-right:0.0pt;mso-wrap-distance-bottom:0.0pt;v-text-anchor:bottom;visibility:visible;" filled="f" stroked="f">
              <v:textbox inset="0,0,0,0">
                <w:txbxContent>
                  <w:p>
                    <w:pPr>
                      <w:rPr>
                        <w:rFonts w:ascii="Aptos" w:hAnsi="Aptos" w:eastAsia="Aptos" w:cs="Aptos"/>
                        <w:color w:val="000000"/>
                        <w:sz w:val="20"/>
                        <w:szCs w:val="20"/>
                      </w:rPr>
                    </w:pPr>
                    <w:r>
                      <w:rPr>
                        <w:rFonts w:ascii="Aptos" w:hAnsi="Aptos" w:eastAsia="Aptos" w:cs="Aptos"/>
                        <w:color w:val="000000"/>
                        <w:sz w:val="20"/>
                        <w:szCs w:val="20"/>
                      </w:rPr>
                      <w:t xml:space="preserve">Unrestricted Document</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3"/>
    </w:pPr>
    <w:r>
      <mc:AlternateContent>
        <mc:Choice Requires="wpg">
          <w:drawing>
            <wp:anchor xmlns:wp="http://schemas.openxmlformats.org/drawingml/2006/wordprocessingDrawing" xmlns:wp14="http://schemas.microsoft.com/office/word/2010/wordprocessingDrawing" distT="0" distB="0" distL="0" distR="0" simplePos="0" relativeHeight="251665408" behindDoc="0" locked="0" layoutInCell="1" allowOverlap="1">
              <wp:simplePos x="0" y="0"/>
              <wp:positionH relativeFrom="page">
                <wp:align>left</wp:align>
              </wp:positionH>
              <wp:positionV relativeFrom="page">
                <wp:align>bottom</wp:align>
              </wp:positionV>
              <wp:extent cx="1544320" cy="345440"/>
              <wp:effectExtent l="0" t="0" r="17780" b="0"/>
              <wp:wrapNone/>
              <wp:docPr id="9" name="文本框 8" descr="Unrestricted Document"/>
              <wp:cNvGraphicFramePr/>
              <a:graphic xmlns:a="http://schemas.openxmlformats.org/drawingml/2006/main">
                <a:graphicData uri="http://schemas.microsoft.com/office/word/2010/wordprocessingShape">
                  <wps:wsp>
                    <wps:cNvPr id="0" name=""/>
                    <wps:cNvSpPr txBox="1"/>
                    <wps:spPr bwMode="auto">
                      <a:xfrm>
                        <a:off x="0" y="0"/>
                        <a:ext cx="1544320" cy="345440"/>
                      </a:xfrm>
                      <a:prstGeom prst="rect">
                        <a:avLst/>
                      </a:prstGeom>
                      <a:noFill/>
                      <a:ln>
                        <a:noFill/>
                      </a:ln>
                    </wps:spPr>
                    <wps:txbx>
                      <w:txbxContent>
                        <w:p>
                          <w:pPr>
                            <w:rPr>
                              <w:rFonts w:ascii="Aptos" w:hAnsi="Aptos" w:eastAsia="Aptos" w:cs="Aptos"/>
                              <w:color w:val="000000"/>
                              <w:sz w:val="20"/>
                              <w:szCs w:val="20"/>
                            </w:rPr>
                          </w:pPr>
                          <w:r>
                            <w:rPr>
                              <w:rFonts w:ascii="Aptos" w:hAnsi="Aptos" w:eastAsia="Aptos" w:cs="Aptos"/>
                              <w:color w:val="000000"/>
                              <w:sz w:val="20"/>
                              <w:szCs w:val="20"/>
                            </w:rPr>
                            <w:t xml:space="preserve">Unrestricted Document</w:t>
                          </w:r>
                          <w:r/>
                        </w:p>
                      </w:txbxContent>
                    </wps:txbx>
                    <wps:bodyPr rot="0" spcFirstLastPara="0" vertOverflow="overflow" horzOverflow="overflow" vert="horz" wrap="none" lIns="254000" tIns="0" rIns="0" bIns="190500" numCol="1" spcCol="0" rtlCol="0" fromWordArt="0" anchor="b" anchorCtr="0" forceAA="0" compatLnSpc="1">
                      <a:spAutoFit/>
                    </wps:bodyPr>
                  </wps:wsp>
                </a:graphicData>
              </a:graphic>
            </wp:anchor>
          </w:drawing>
        </mc:Choice>
        <mc:Fallback>
          <w:pict>
            <v:shape id="shape 8" o:spid="_x0000_s8" o:spt="202" type="#_x0000_t202" style="position:absolute;z-index:251665408;o:allowoverlap:true;o:allowincell:true;mso-position-horizontal-relative:page;mso-position-horizontal:left;mso-position-vertical-relative:page;mso-position-vertical:bottom;width:121.6pt;height:27.2pt;mso-wrap-distance-left:0.0pt;mso-wrap-distance-top:0.0pt;mso-wrap-distance-right:0.0pt;mso-wrap-distance-bottom:0.0pt;v-text-anchor:bottom;visibility:visible;" filled="f" stroked="f">
              <v:textbox inset="0,0,0,0">
                <w:txbxContent>
                  <w:p>
                    <w:pPr>
                      <w:rPr>
                        <w:rFonts w:ascii="Aptos" w:hAnsi="Aptos" w:eastAsia="Aptos" w:cs="Aptos"/>
                        <w:color w:val="000000"/>
                        <w:sz w:val="20"/>
                        <w:szCs w:val="20"/>
                      </w:rPr>
                    </w:pPr>
                    <w:r>
                      <w:rPr>
                        <w:rFonts w:ascii="Aptos" w:hAnsi="Aptos" w:eastAsia="Aptos" w:cs="Aptos"/>
                        <w:color w:val="000000"/>
                        <w:sz w:val="20"/>
                        <w:szCs w:val="20"/>
                      </w:rPr>
                      <w:t xml:space="preserve">Unrestricted Document</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3"/>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972185" cy="147955"/>
              <wp:effectExtent l="0" t="0" r="0" b="0"/>
              <wp:wrapNone/>
              <wp:docPr id="10" name="文本框 1028"/>
              <wp:cNvGraphicFramePr/>
              <a:graphic xmlns:a="http://schemas.openxmlformats.org/drawingml/2006/main">
                <a:graphicData uri="http://schemas.microsoft.com/office/word/2010/wordprocessingShape">
                  <wps:wsp>
                    <wps:cNvPr id="0" name=""/>
                    <wps:cNvSpPr>
                      <a:spLocks noChangeArrowheads="1"/>
                    </wps:cNvSpPr>
                    <wps:spPr bwMode="auto">
                      <a:xfrm>
                        <a:off x="0" y="0"/>
                        <a:ext cx="972185" cy="147955"/>
                      </a:xfrm>
                      <a:prstGeom prst="rect">
                        <a:avLst/>
                      </a:prstGeom>
                      <a:noFill/>
                      <a:ln>
                        <a:noFill/>
                      </a:ln>
                      <a:effectLst/>
                    </wps:spPr>
                    <wps:txbx>
                      <w:txbxContent>
                        <w:p>
                          <w:pPr>
                            <w:pStyle w:val="1153"/>
                          </w:pPr>
                          <w:r>
                            <w:t xml:space="preserve">第 </w:t>
                          </w:r>
                          <w:r>
                            <w:fldChar w:fldCharType="begin"/>
                          </w:r>
                          <w:r>
                            <w:instrText xml:space="preserve"> PAGE  \* MERGEFORMAT </w:instrText>
                          </w:r>
                          <w:r>
                            <w:fldChar w:fldCharType="separate"/>
                          </w:r>
                          <w:r>
                            <w:t xml:space="preserve">5</w:t>
                          </w:r>
                          <w:r>
                            <w:fldChar w:fldCharType="end"/>
                          </w:r>
                          <w:r>
                            <w:t xml:space="preserve"> 页 共 </w:t>
                          </w:r>
                          <w:r>
                            <w:fldChar w:fldCharType="begin"/>
                          </w:r>
                          <w:r>
                            <w:instrText xml:space="preserve"> NUMPAGES  \* MERGEFORMAT </w:instrText>
                          </w:r>
                          <w:r>
                            <w:fldChar w:fldCharType="separate"/>
                          </w:r>
                          <w:r>
                            <w:t xml:space="preserve">35</w:t>
                          </w:r>
                          <w:r>
                            <w:fldChar w:fldCharType="end"/>
                          </w:r>
                          <w:r>
                            <w:t xml:space="preserve"> 页</w:t>
                          </w:r>
                          <w:r/>
                        </w:p>
                      </w:txbxContent>
                    </wps:txbx>
                    <wps:bodyPr wrap="none" lIns="0" tIns="0" rIns="0" bIns="0">
                      <a:spAutoFit/>
                    </wps:bodyPr>
                  </wps:wsp>
                </a:graphicData>
              </a:graphic>
            </wp:anchor>
          </w:drawing>
        </mc:Choice>
        <mc:Fallback>
          <w:pict>
            <v:shape id="shape 9" o:spid="_x0000_s9" o:spt="1" type="#_x0000_t1" style="position:absolute;z-index:251661312;o:allowoverlap:true;o:allowincell:true;mso-position-horizontal-relative:margin;mso-position-horizontal:center;mso-position-vertical-relative:text;margin-top:0.0pt;mso-position-vertical:absolute;width:76.5pt;height:11.6pt;mso-wrap-distance-left:9.0pt;mso-wrap-distance-top:0.0pt;mso-wrap-distance-right:9.0pt;mso-wrap-distance-bottom:0.0pt;visibility:visible;" filled="f" stroked="f">
              <v:textbox inset="0,0,0,0">
                <w:txbxContent>
                  <w:p>
                    <w:pPr>
                      <w:pStyle w:val="1153"/>
                    </w:pPr>
                    <w:r>
                      <w:t xml:space="preserve">第 </w:t>
                    </w:r>
                    <w:r>
                      <w:fldChar w:fldCharType="begin"/>
                    </w:r>
                    <w:r>
                      <w:instrText xml:space="preserve"> PAGE  \* MERGEFORMAT </w:instrText>
                    </w:r>
                    <w:r>
                      <w:fldChar w:fldCharType="separate"/>
                    </w:r>
                    <w:r>
                      <w:t xml:space="preserve">5</w:t>
                    </w:r>
                    <w:r>
                      <w:fldChar w:fldCharType="end"/>
                    </w:r>
                    <w:r>
                      <w:t xml:space="preserve"> 页 共 </w:t>
                    </w:r>
                    <w:r>
                      <w:fldChar w:fldCharType="begin"/>
                    </w:r>
                    <w:r>
                      <w:instrText xml:space="preserve"> NUMPAGES  \* MERGEFORMAT </w:instrText>
                    </w:r>
                    <w:r>
                      <w:fldChar w:fldCharType="separate"/>
                    </w:r>
                    <w:r>
                      <w:t xml:space="preserve">35</w:t>
                    </w:r>
                    <w:r>
                      <w:fldChar w:fldCharType="end"/>
                    </w:r>
                    <w:r>
                      <w:t xml:space="preserve"> 页</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972185" cy="147955"/>
              <wp:effectExtent l="0" t="0" r="0" b="0"/>
              <wp:wrapNone/>
              <wp:docPr id="11" name="文本框 11"/>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972185" cy="147955"/>
                      </a:xfrm>
                      <a:prstGeom prst="rect">
                        <a:avLst/>
                      </a:prstGeom>
                      <a:noFill/>
                      <a:ln>
                        <a:noFill/>
                      </a:ln>
                      <a:effectLst/>
                    </wps:spPr>
                    <wps:txbx>
                      <w:txbxContent>
                        <w:p>
                          <w:pPr>
                            <w:pStyle w:val="1153"/>
                          </w:pPr>
                          <w:r>
                            <w:t xml:space="preserve">第 </w:t>
                          </w:r>
                          <w:r>
                            <w:fldChar w:fldCharType="begin"/>
                          </w:r>
                          <w:r>
                            <w:instrText xml:space="preserve"> PAGE  \* MERGEFORMAT </w:instrText>
                          </w:r>
                          <w:r>
                            <w:fldChar w:fldCharType="separate"/>
                          </w:r>
                          <w:r>
                            <w:t xml:space="preserve">35</w:t>
                          </w:r>
                          <w:r>
                            <w:fldChar w:fldCharType="end"/>
                          </w:r>
                          <w:r>
                            <w:t xml:space="preserve"> 页 共 </w:t>
                          </w:r>
                          <w:r>
                            <w:fldChar w:fldCharType="begin"/>
                          </w:r>
                          <w:r>
                            <w:instrText xml:space="preserve"> NUMPAGES  \* MERGEFORMAT </w:instrText>
                          </w:r>
                          <w:r>
                            <w:fldChar w:fldCharType="separate"/>
                          </w:r>
                          <w:r>
                            <w:t xml:space="preserve">35</w:t>
                          </w:r>
                          <w:r>
                            <w:fldChar w:fldCharType="end"/>
                          </w:r>
                          <w:r>
                            <w:t xml:space="preserve"> 页</w:t>
                          </w:r>
                          <w:r/>
                        </w:p>
                      </w:txbxContent>
                    </wps:txbx>
                    <wps:bodyPr rot="0" vert="horz" wrap="none" lIns="0" tIns="0" rIns="0" bIns="0" anchor="t" anchorCtr="0" upright="1">
                      <a:spAutoFit/>
                    </wps:bodyPr>
                  </wps:wsp>
                </a:graphicData>
              </a:graphic>
            </wp:anchor>
          </w:drawing>
        </mc:Choice>
        <mc:Fallback>
          <w:pict>
            <v:shape id="shape 10" o:spid="_x0000_s10" o:spt="202" type="#_x0000_t202" style="position:absolute;z-index:251660288;o:allowoverlap:true;o:allowincell:true;mso-position-horizontal-relative:margin;mso-position-horizontal:center;mso-position-vertical-relative:text;margin-top:0.0pt;mso-position-vertical:absolute;width:76.5pt;height:11.6pt;mso-wrap-distance-left:9.0pt;mso-wrap-distance-top:0.0pt;mso-wrap-distance-right:9.0pt;mso-wrap-distance-bottom:0.0pt;v-text-anchor:top;visibility:visible;" filled="f" stroked="f">
              <v:textbox inset="0,0,0,0">
                <w:txbxContent>
                  <w:p>
                    <w:pPr>
                      <w:pStyle w:val="1153"/>
                    </w:pPr>
                    <w:r>
                      <w:t xml:space="preserve">第 </w:t>
                    </w:r>
                    <w:r>
                      <w:fldChar w:fldCharType="begin"/>
                    </w:r>
                    <w:r>
                      <w:instrText xml:space="preserve"> PAGE  \* MERGEFORMAT </w:instrText>
                    </w:r>
                    <w:r>
                      <w:fldChar w:fldCharType="separate"/>
                    </w:r>
                    <w:r>
                      <w:t xml:space="preserve">35</w:t>
                    </w:r>
                    <w:r>
                      <w:fldChar w:fldCharType="end"/>
                    </w:r>
                    <w:r>
                      <w:t xml:space="preserve"> 页 共 </w:t>
                    </w:r>
                    <w:r>
                      <w:fldChar w:fldCharType="begin"/>
                    </w:r>
                    <w:r>
                      <w:instrText xml:space="preserve"> NUMPAGES  \* MERGEFORMAT </w:instrText>
                    </w:r>
                    <w:r>
                      <w:fldChar w:fldCharType="separate"/>
                    </w:r>
                    <w:r>
                      <w:t xml:space="preserve">35</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4"/>
      <w:jc w:val="both"/>
      <w:pBdr>
        <w:bottom w:val="none" w:color="auto" w:sz="0" w:space="1"/>
      </w:pBdr>
    </w:pPr>
    <w:r>
      <mc:AlternateContent>
        <mc:Choice Requires="wpg">
          <w:drawing>
            <wp:anchor xmlns:wp="http://schemas.openxmlformats.org/drawingml/2006/wordprocessingDrawing" xmlns:wp14="http://schemas.microsoft.com/office/word/2010/wordprocessingDrawing" distT="0" distB="0" distL="0" distR="0" simplePos="0" relativeHeight="251664384" behindDoc="0" locked="0" layoutInCell="1" allowOverlap="1">
              <wp:simplePos x="0" y="0"/>
              <wp:positionH relativeFrom="page">
                <wp:align>left</wp:align>
              </wp:positionH>
              <wp:positionV relativeFrom="page">
                <wp:align>top</wp:align>
              </wp:positionV>
              <wp:extent cx="1544320" cy="345440"/>
              <wp:effectExtent l="0" t="0" r="17780" b="16510"/>
              <wp:wrapNone/>
              <wp:docPr id="1" name="文本框 6" descr="Unrestricted Document"/>
              <wp:cNvGraphicFramePr/>
              <a:graphic xmlns:a="http://schemas.openxmlformats.org/drawingml/2006/main">
                <a:graphicData uri="http://schemas.microsoft.com/office/word/2010/wordprocessingShape">
                  <wps:wsp>
                    <wps:cNvPr id="0" name=""/>
                    <wps:cNvSpPr txBox="1"/>
                    <wps:spPr bwMode="auto">
                      <a:xfrm>
                        <a:off x="0" y="0"/>
                        <a:ext cx="1544320" cy="345440"/>
                      </a:xfrm>
                      <a:prstGeom prst="rect">
                        <a:avLst/>
                      </a:prstGeom>
                      <a:noFill/>
                      <a:ln>
                        <a:noFill/>
                      </a:ln>
                    </wps:spPr>
                    <wps:txbx>
                      <w:txbxContent>
                        <w:p>
                          <w:r/>
                          <w:r/>
                        </w:p>
                      </w:txbxContent>
                    </wps:txbx>
                    <wps:bodyPr rot="0" spcFirstLastPara="0" vertOverflow="overflow" horzOverflow="overflow" vert="horz" wrap="none" lIns="254000" tIns="190500" rIns="0" bIns="0" numCol="1" spcCol="0" rtlCol="0" fromWordArt="0" anchor="t" anchorCtr="0" forceAA="0" compatLnSpc="1">
                      <a:spAutoFit/>
                    </wps:bodyPr>
                  </wps:wsp>
                </a:graphicData>
              </a:graphic>
            </wp:anchor>
          </w:drawing>
        </mc:Choice>
        <mc:Fallback>
          <w:pict>
            <v:shape id="shape 0" o:spid="_x0000_s0" o:spt="202" type="#_x0000_t202" style="position:absolute;z-index:251664384;o:allowoverlap:true;o:allowincell:true;mso-position-horizontal-relative:page;mso-position-horizontal:left;mso-position-vertical-relative:page;mso-position-vertical:top;width:121.6pt;height:27.2pt;mso-wrap-distance-left:0.0pt;mso-wrap-distance-top:0.0pt;mso-wrap-distance-right:0.0pt;mso-wrap-distance-bottom:0.0pt;v-text-anchor:top;visibility:visible;" filled="f" stroked="f">
              <v:textbox inset="0,0,0,0">
                <w:txbxContent>
                  <w:p>
                    <w:r/>
                    <w:r/>
                  </w:p>
                </w:txbxContent>
              </v:textbox>
            </v:shape>
          </w:pict>
        </mc:Fallback>
      </mc:AlternateContent>
    </w:r>
    <w:r>
      <mc:AlternateContent>
        <mc:Choice Requires="wpg">
          <w:drawing>
            <wp:inline xmlns:wp="http://schemas.openxmlformats.org/drawingml/2006/wordprocessingDrawing" distT="0" distB="0" distL="0" distR="0">
              <wp:extent cx="1378585" cy="239395"/>
              <wp:effectExtent l="0" t="0" r="5715" b="1905"/>
              <wp:docPr id="2" name="图片 1" descr="c826bae80687e3a7b3b8bc243736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c826bae80687e3a7b3b8bc243736336"/>
                      <pic:cNvPicPr>
                        <a:picLocks noChangeAspect="1"/>
                      </pic:cNvPicPr>
                      <pic:nvPr/>
                    </pic:nvPicPr>
                    <pic:blipFill>
                      <a:blip r:embed="rId1"/>
                      <a:stretch/>
                    </pic:blipFill>
                    <pic:spPr bwMode="auto">
                      <a:xfrm>
                        <a:off x="0" y="0"/>
                        <a:ext cx="1378585" cy="2393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08.5pt;height:18.8pt;mso-wrap-distance-left:0.0pt;mso-wrap-distance-top:0.0pt;mso-wrap-distance-right:0.0pt;mso-wrap-distance-bottom:0.0pt;" stroked="f">
              <v:path textboxrect="0,0,0,0"/>
              <v:imagedata r:id="rId1" o:title=""/>
            </v:shape>
          </w:pict>
        </mc:Fallback>
      </mc:AlternateContent>
    </w:r>
    <w:r>
      <w:rPr>
        <w:rFonts w:hint="eastAsia"/>
      </w:rPr>
      <w:t xml:space="preserve">                                                             </w:t>
    </w:r>
    <w:r>
      <w:rPr>
        <w:rFonts w:hint="eastAsia" w:ascii="微软雅黑" w:hAnsi="微软雅黑" w:eastAsia="微软雅黑"/>
        <w:b/>
        <w:bCs/>
        <w:sz w:val="21"/>
        <w:szCs w:val="21"/>
      </w:rPr>
      <w:t xml:space="preserve">认真 高效 廉洁</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4"/>
    </w:pPr>
    <w:r>
      <mc:AlternateContent>
        <mc:Choice Requires="wpg">
          <w:drawing>
            <wp:anchor xmlns:wp="http://schemas.openxmlformats.org/drawingml/2006/wordprocessingDrawing" xmlns:wp14="http://schemas.microsoft.com/office/word/2010/wordprocessingDrawing" distT="0" distB="0" distL="0" distR="0" simplePos="0" relativeHeight="251663360" behindDoc="0" locked="0" layoutInCell="1" allowOverlap="1">
              <wp:simplePos x="0" y="0"/>
              <wp:positionH relativeFrom="page">
                <wp:align>left</wp:align>
              </wp:positionH>
              <wp:positionV relativeFrom="page">
                <wp:align>top</wp:align>
              </wp:positionV>
              <wp:extent cx="1544320" cy="345440"/>
              <wp:effectExtent l="0" t="0" r="17780" b="16510"/>
              <wp:wrapNone/>
              <wp:docPr id="3" name="文本框 5" descr="Unrestricted Document"/>
              <wp:cNvGraphicFramePr/>
              <a:graphic xmlns:a="http://schemas.openxmlformats.org/drawingml/2006/main">
                <a:graphicData uri="http://schemas.microsoft.com/office/word/2010/wordprocessingShape">
                  <wps:wsp>
                    <wps:cNvPr id="0" name=""/>
                    <wps:cNvSpPr txBox="1"/>
                    <wps:spPr bwMode="auto">
                      <a:xfrm>
                        <a:off x="0" y="0"/>
                        <a:ext cx="1544320" cy="345440"/>
                      </a:xfrm>
                      <a:prstGeom prst="rect">
                        <a:avLst/>
                      </a:prstGeom>
                      <a:noFill/>
                      <a:ln>
                        <a:noFill/>
                      </a:ln>
                    </wps:spPr>
                    <wps:txbx>
                      <w:txbxContent>
                        <w:p>
                          <w:pPr>
                            <w:rPr>
                              <w:rFonts w:ascii="Aptos" w:hAnsi="Aptos" w:eastAsia="Aptos" w:cs="Aptos"/>
                              <w:color w:val="000000"/>
                              <w:sz w:val="20"/>
                              <w:szCs w:val="20"/>
                            </w:rPr>
                          </w:pPr>
                          <w:r>
                            <w:rPr>
                              <w:rFonts w:ascii="Aptos" w:hAnsi="Aptos" w:eastAsia="Aptos" w:cs="Aptos"/>
                              <w:color w:val="000000"/>
                              <w:sz w:val="20"/>
                              <w:szCs w:val="20"/>
                            </w:rPr>
                            <w:t xml:space="preserve">Unrestricted Document</w:t>
                          </w:r>
                          <w:r/>
                        </w:p>
                      </w:txbxContent>
                    </wps:txbx>
                    <wps:bodyPr rot="0" spcFirstLastPara="0" vertOverflow="overflow" horzOverflow="overflow" vert="horz" wrap="none" lIns="254000" tIns="190500" rIns="0" bIns="0" numCol="1" spcCol="0" rtlCol="0" fromWordArt="0" anchor="t" anchorCtr="0" forceAA="0" compatLnSpc="1">
                      <a:spAutoFit/>
                    </wps:bodyPr>
                  </wps:wsp>
                </a:graphicData>
              </a:graphic>
            </wp:anchor>
          </w:drawing>
        </mc:Choice>
        <mc:Fallback>
          <w:pict>
            <v:shape id="shape 2" o:spid="_x0000_s2" o:spt="202" type="#_x0000_t202" style="position:absolute;z-index:251663360;o:allowoverlap:true;o:allowincell:true;mso-position-horizontal-relative:page;mso-position-horizontal:left;mso-position-vertical-relative:page;mso-position-vertical:top;width:121.6pt;height:27.2pt;mso-wrap-distance-left:0.0pt;mso-wrap-distance-top:0.0pt;mso-wrap-distance-right:0.0pt;mso-wrap-distance-bottom:0.0pt;v-text-anchor:top;visibility:visible;" filled="f" stroked="f">
              <v:textbox inset="0,0,0,0">
                <w:txbxContent>
                  <w:p>
                    <w:pPr>
                      <w:rPr>
                        <w:rFonts w:ascii="Aptos" w:hAnsi="Aptos" w:eastAsia="Aptos" w:cs="Aptos"/>
                        <w:color w:val="000000"/>
                        <w:sz w:val="20"/>
                        <w:szCs w:val="20"/>
                      </w:rPr>
                    </w:pPr>
                    <w:r>
                      <w:rPr>
                        <w:rFonts w:ascii="Aptos" w:hAnsi="Aptos" w:eastAsia="Aptos" w:cs="Aptos"/>
                        <w:color w:val="000000"/>
                        <w:sz w:val="20"/>
                        <w:szCs w:val="20"/>
                      </w:rPr>
                      <w:t xml:space="preserve">Unrestricted Document</w:t>
                    </w:r>
                    <w:r/>
                  </w:p>
                </w:txbxContent>
              </v:textbox>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4"/>
    </w:pPr>
    <w:r>
      <mc:AlternateContent>
        <mc:Choice Requires="wpg">
          <w:drawing>
            <wp:anchor xmlns:wp="http://schemas.openxmlformats.org/drawingml/2006/wordprocessingDrawing" xmlns:wp14="http://schemas.microsoft.com/office/word/2010/wordprocessingDrawing" distT="0" distB="0" distL="0" distR="0" simplePos="0" relativeHeight="251662336" behindDoc="0" locked="0" layoutInCell="1" allowOverlap="1">
              <wp:simplePos x="0" y="0"/>
              <wp:positionH relativeFrom="page">
                <wp:align>left</wp:align>
              </wp:positionH>
              <wp:positionV relativeFrom="page">
                <wp:align>top</wp:align>
              </wp:positionV>
              <wp:extent cx="1544320" cy="345440"/>
              <wp:effectExtent l="0" t="0" r="17780" b="16510"/>
              <wp:wrapNone/>
              <wp:docPr id="4" name="文本框 4" descr="Unrestricted Document"/>
              <wp:cNvGraphicFramePr/>
              <a:graphic xmlns:a="http://schemas.openxmlformats.org/drawingml/2006/main">
                <a:graphicData uri="http://schemas.microsoft.com/office/word/2010/wordprocessingShape">
                  <wps:wsp>
                    <wps:cNvPr id="0" name=""/>
                    <wps:cNvSpPr txBox="1"/>
                    <wps:spPr bwMode="auto">
                      <a:xfrm>
                        <a:off x="0" y="0"/>
                        <a:ext cx="1544320" cy="345440"/>
                      </a:xfrm>
                      <a:prstGeom prst="rect">
                        <a:avLst/>
                      </a:prstGeom>
                      <a:noFill/>
                      <a:ln>
                        <a:noFill/>
                      </a:ln>
                    </wps:spPr>
                    <wps:txbx>
                      <w:txbxContent>
                        <w:p>
                          <w:pPr>
                            <w:rPr>
                              <w:rFonts w:ascii="Aptos" w:hAnsi="Aptos" w:eastAsia="Aptos" w:cs="Aptos"/>
                              <w:color w:val="000000"/>
                              <w:sz w:val="20"/>
                              <w:szCs w:val="20"/>
                            </w:rPr>
                          </w:pPr>
                          <w:r>
                            <w:rPr>
                              <w:rFonts w:ascii="Aptos" w:hAnsi="Aptos" w:eastAsia="Aptos" w:cs="Aptos"/>
                              <w:color w:val="000000"/>
                              <w:sz w:val="20"/>
                              <w:szCs w:val="20"/>
                            </w:rPr>
                            <w:t xml:space="preserve">Unrestricted Document</w:t>
                          </w:r>
                          <w:r/>
                        </w:p>
                      </w:txbxContent>
                    </wps:txbx>
                    <wps:bodyPr rot="0" spcFirstLastPara="0" vertOverflow="overflow" horzOverflow="overflow" vert="horz" wrap="none" lIns="254000" tIns="19050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page;mso-position-horizontal:left;mso-position-vertical-relative:page;mso-position-vertical:top;width:121.6pt;height:27.2pt;mso-wrap-distance-left:0.0pt;mso-wrap-distance-top:0.0pt;mso-wrap-distance-right:0.0pt;mso-wrap-distance-bottom:0.0pt;v-text-anchor:top;visibility:visible;" filled="f" stroked="f">
              <v:textbox inset="0,0,0,0">
                <w:txbxContent>
                  <w:p>
                    <w:pPr>
                      <w:rPr>
                        <w:rFonts w:ascii="Aptos" w:hAnsi="Aptos" w:eastAsia="Aptos" w:cs="Aptos"/>
                        <w:color w:val="000000"/>
                        <w:sz w:val="20"/>
                        <w:szCs w:val="20"/>
                      </w:rPr>
                    </w:pPr>
                    <w:r>
                      <w:rPr>
                        <w:rFonts w:ascii="Aptos" w:hAnsi="Aptos" w:eastAsia="Aptos" w:cs="Aptos"/>
                        <w:color w:val="000000"/>
                        <w:sz w:val="20"/>
                        <w:szCs w:val="20"/>
                      </w:rPr>
                      <w:t xml:space="preserve">Unrestricted Document</w:t>
                    </w:r>
                    <w:r/>
                  </w:p>
                </w:txbxContent>
              </v:textbox>
            </v:shape>
          </w:pict>
        </mc:Fallback>
      </mc:AlternateConten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4"/>
      <w:jc w:val="left"/>
      <w:pBdr>
        <w:bottom w:val="none" w:color="auto" w:sz="0" w:space="1"/>
      </w:pBdr>
    </w:pPr>
    <w:r>
      <mc:AlternateContent>
        <mc:Choice Requires="wpg">
          <w:drawing>
            <wp:inline xmlns:wp="http://schemas.openxmlformats.org/drawingml/2006/wordprocessingDrawing" distT="0" distB="0" distL="0" distR="0">
              <wp:extent cx="1371600" cy="239395"/>
              <wp:effectExtent l="0" t="0" r="0" b="0"/>
              <wp:docPr id="5" name="图片 5" descr="c826bae80687e3a7b3b8bc243736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5" descr="c826bae80687e3a7b3b8bc243736336"/>
                      <pic:cNvPicPr>
                        <a:picLocks noChangeAspect="1"/>
                      </pic:cNvPicPr>
                      <pic:nvPr/>
                    </pic:nvPicPr>
                    <pic:blipFill>
                      <a:blip r:embed="rId1"/>
                      <a:stretch/>
                    </pic:blipFill>
                    <pic:spPr bwMode="auto">
                      <a:xfrm>
                        <a:off x="0" y="0"/>
                        <a:ext cx="1371600" cy="2393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08.0pt;height:18.8pt;mso-wrap-distance-left:0.0pt;mso-wrap-distance-top:0.0pt;mso-wrap-distance-right:0.0pt;mso-wrap-distance-bottom:0.0pt;" stroked="f">
              <v:path textboxrect="0,0,0,0"/>
              <v:imagedata r:id="rId1" o:title=""/>
            </v:shape>
          </w:pict>
        </mc:Fallback>
      </mc:AlternateContent>
    </w:r>
    <w:r>
      <w:rPr>
        <w:rFonts w:hint="eastAsia"/>
      </w:rPr>
      <w:t xml:space="preserve">                                                              </w:t>
    </w:r>
    <w:r>
      <w:rPr>
        <w:rFonts w:hint="eastAsia" w:ascii="微软雅黑" w:hAnsi="微软雅黑" w:eastAsia="微软雅黑"/>
        <w:b/>
        <w:bCs/>
        <w:sz w:val="21"/>
        <w:szCs w:val="21"/>
      </w:rPr>
      <w:t xml:space="preserve">认真 高效 廉洁</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pStyle w:val="1575"/>
      <w:isLgl w:val="false"/>
      <w:suff w:val="tab"/>
      <w:lvlText w:val="%1、"/>
      <w:lvlJc w:val="left"/>
      <w:pPr>
        <w:ind w:left="720" w:hanging="720"/>
        <w:tabs>
          <w:tab w:val="left" w:pos="720" w:leader="none"/>
        </w:tabs>
      </w:pPr>
      <w:rPr>
        <w:rFonts w:hint="eastAsia"/>
      </w:rPr>
    </w:lvl>
    <w:lvl w:ilvl="1">
      <w:start w:val="1"/>
      <w:numFmt w:val="chineseCountingThousand"/>
      <w:isLgl w:val="false"/>
      <w:suff w:val="tab"/>
      <w:lvlText w:val="（%2）"/>
      <w:lvlJc w:val="left"/>
      <w:pPr>
        <w:ind w:left="780" w:hanging="78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rPr>
        <w:rFonts w:hint="eastAsia"/>
      </w:rPr>
    </w:lvl>
    <w:lvl w:ilvl="3">
      <w:start w:val="1"/>
      <w:numFmt w:val="decimal"/>
      <w:isLgl w:val="false"/>
      <w:suff w:val="tab"/>
      <w:lvlText w:val="%4."/>
      <w:lvlJc w:val="left"/>
      <w:pPr>
        <w:ind w:left="1680" w:hanging="420"/>
        <w:tabs>
          <w:tab w:val="left" w:pos="1680" w:leader="none"/>
        </w:tabs>
      </w:pPr>
      <w:rPr>
        <w:rFonts w:hint="eastAsia"/>
      </w:rPr>
    </w:lvl>
    <w:lvl w:ilvl="4">
      <w:start w:val="1"/>
      <w:numFmt w:val="lowerLetter"/>
      <w:isLgl w:val="false"/>
      <w:suff w:val="tab"/>
      <w:lvlText w:val="%5)"/>
      <w:lvlJc w:val="left"/>
      <w:pPr>
        <w:ind w:left="2100" w:hanging="420"/>
        <w:tabs>
          <w:tab w:val="left" w:pos="2100" w:leader="none"/>
        </w:tabs>
      </w:pPr>
      <w:rPr>
        <w:rFonts w:hint="eastAsia"/>
      </w:rPr>
    </w:lvl>
    <w:lvl w:ilvl="5">
      <w:start w:val="1"/>
      <w:numFmt w:val="lowerRoman"/>
      <w:isLgl w:val="false"/>
      <w:suff w:val="tab"/>
      <w:lvlText w:val="%6."/>
      <w:lvlJc w:val="right"/>
      <w:pPr>
        <w:ind w:left="2520" w:hanging="420"/>
        <w:tabs>
          <w:tab w:val="left" w:pos="25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1">
    <w:multiLevelType w:val="hybridMultilevel"/>
    <w:lvl w:ilvl="0">
      <w:start w:val="1"/>
      <w:numFmt w:val="japaneseCounting"/>
      <w:isLgl w:val="false"/>
      <w:suff w:val="tab"/>
      <w:lvlText w:val="%1、"/>
      <w:lvlJc w:val="left"/>
      <w:pPr>
        <w:ind w:left="2138" w:hanging="720"/>
        <w:tabs>
          <w:tab w:val="left" w:pos="2138" w:leader="none"/>
        </w:tabs>
      </w:pPr>
      <w:rPr>
        <w:rFonts w:hint="eastAsia"/>
      </w:rPr>
    </w:lvl>
    <w:lvl w:ilvl="1">
      <w:start w:val="1"/>
      <w:numFmt w:val="lowerLetter"/>
      <w:isLgl w:val="false"/>
      <w:suff w:val="tab"/>
      <w:lvlText w:val="%2)"/>
      <w:lvlJc w:val="left"/>
      <w:pPr>
        <w:ind w:left="2400" w:hanging="420"/>
        <w:tabs>
          <w:tab w:val="left" w:pos="2400" w:leader="none"/>
        </w:tabs>
      </w:pPr>
    </w:lvl>
    <w:lvl w:ilvl="2">
      <w:start w:val="1"/>
      <w:numFmt w:val="lowerRoman"/>
      <w:isLgl w:val="false"/>
      <w:suff w:val="tab"/>
      <w:lvlText w:val="%3."/>
      <w:lvlJc w:val="right"/>
      <w:pPr>
        <w:ind w:left="2820" w:hanging="420"/>
        <w:tabs>
          <w:tab w:val="left" w:pos="2820" w:leader="none"/>
        </w:tabs>
      </w:pPr>
    </w:lvl>
    <w:lvl w:ilvl="3">
      <w:start w:val="1"/>
      <w:numFmt w:val="decimal"/>
      <w:isLgl w:val="false"/>
      <w:suff w:val="tab"/>
      <w:lvlText w:val="%4."/>
      <w:lvlJc w:val="left"/>
      <w:pPr>
        <w:ind w:left="3240" w:hanging="420"/>
        <w:tabs>
          <w:tab w:val="left" w:pos="3240" w:leader="none"/>
        </w:tabs>
      </w:pPr>
    </w:lvl>
    <w:lvl w:ilvl="4">
      <w:start w:val="1"/>
      <w:numFmt w:val="lowerLetter"/>
      <w:isLgl w:val="false"/>
      <w:suff w:val="tab"/>
      <w:lvlText w:val="%5)"/>
      <w:lvlJc w:val="left"/>
      <w:pPr>
        <w:ind w:left="3660" w:hanging="420"/>
        <w:tabs>
          <w:tab w:val="left" w:pos="3660" w:leader="none"/>
        </w:tabs>
      </w:pPr>
    </w:lvl>
    <w:lvl w:ilvl="5">
      <w:start w:val="1"/>
      <w:numFmt w:val="lowerRoman"/>
      <w:isLgl w:val="false"/>
      <w:suff w:val="tab"/>
      <w:lvlText w:val="%6."/>
      <w:lvlJc w:val="right"/>
      <w:pPr>
        <w:ind w:left="4080" w:hanging="420"/>
        <w:tabs>
          <w:tab w:val="left" w:pos="4080" w:leader="none"/>
        </w:tabs>
      </w:pPr>
    </w:lvl>
    <w:lvl w:ilvl="6">
      <w:start w:val="1"/>
      <w:numFmt w:val="decimal"/>
      <w:isLgl w:val="false"/>
      <w:suff w:val="tab"/>
      <w:lvlText w:val="%7."/>
      <w:lvlJc w:val="left"/>
      <w:pPr>
        <w:ind w:left="4500" w:hanging="420"/>
        <w:tabs>
          <w:tab w:val="left" w:pos="4500" w:leader="none"/>
        </w:tabs>
      </w:pPr>
    </w:lvl>
    <w:lvl w:ilvl="7">
      <w:start w:val="1"/>
      <w:numFmt w:val="lowerLetter"/>
      <w:isLgl w:val="false"/>
      <w:suff w:val="tab"/>
      <w:lvlText w:val="%8)"/>
      <w:lvlJc w:val="left"/>
      <w:pPr>
        <w:ind w:left="4920" w:hanging="420"/>
        <w:tabs>
          <w:tab w:val="left" w:pos="4920" w:leader="none"/>
        </w:tabs>
      </w:pPr>
    </w:lvl>
    <w:lvl w:ilvl="8">
      <w:start w:val="1"/>
      <w:numFmt w:val="lowerRoman"/>
      <w:isLgl w:val="false"/>
      <w:suff w:val="tab"/>
      <w:lvlText w:val="%9."/>
      <w:lvlJc w:val="right"/>
      <w:pPr>
        <w:ind w:left="5340" w:hanging="420"/>
        <w:tabs>
          <w:tab w:val="left" w:pos="5340" w:leader="none"/>
        </w:tabs>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decimal"/>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72">
    <w:name w:val="Heading 1 Char"/>
    <w:basedOn w:val="1128"/>
    <w:link w:val="1119"/>
    <w:uiPriority w:val="9"/>
    <w:rPr>
      <w:rFonts w:ascii="Arial" w:hAnsi="Arial" w:eastAsia="Arial" w:cs="Arial"/>
      <w:sz w:val="40"/>
      <w:szCs w:val="40"/>
    </w:rPr>
  </w:style>
  <w:style w:type="character" w:styleId="973">
    <w:name w:val="Heading 2 Char"/>
    <w:basedOn w:val="1128"/>
    <w:link w:val="1120"/>
    <w:uiPriority w:val="9"/>
    <w:rPr>
      <w:rFonts w:ascii="Arial" w:hAnsi="Arial" w:eastAsia="Arial" w:cs="Arial"/>
      <w:sz w:val="34"/>
    </w:rPr>
  </w:style>
  <w:style w:type="character" w:styleId="974">
    <w:name w:val="Heading 3 Char"/>
    <w:basedOn w:val="1128"/>
    <w:link w:val="1121"/>
    <w:uiPriority w:val="9"/>
    <w:rPr>
      <w:rFonts w:ascii="Arial" w:hAnsi="Arial" w:eastAsia="Arial" w:cs="Arial"/>
      <w:sz w:val="30"/>
      <w:szCs w:val="30"/>
    </w:rPr>
  </w:style>
  <w:style w:type="character" w:styleId="975">
    <w:name w:val="Heading 4 Char"/>
    <w:basedOn w:val="1128"/>
    <w:link w:val="1122"/>
    <w:uiPriority w:val="9"/>
    <w:rPr>
      <w:rFonts w:ascii="Arial" w:hAnsi="Arial" w:eastAsia="Arial" w:cs="Arial"/>
      <w:b/>
      <w:bCs/>
      <w:sz w:val="26"/>
      <w:szCs w:val="26"/>
    </w:rPr>
  </w:style>
  <w:style w:type="character" w:styleId="976">
    <w:name w:val="Heading 5 Char"/>
    <w:basedOn w:val="1128"/>
    <w:link w:val="1123"/>
    <w:uiPriority w:val="9"/>
    <w:rPr>
      <w:rFonts w:ascii="Arial" w:hAnsi="Arial" w:eastAsia="Arial" w:cs="Arial"/>
      <w:b/>
      <w:bCs/>
      <w:sz w:val="24"/>
      <w:szCs w:val="24"/>
    </w:rPr>
  </w:style>
  <w:style w:type="character" w:styleId="977">
    <w:name w:val="Heading 6 Char"/>
    <w:basedOn w:val="1128"/>
    <w:link w:val="1124"/>
    <w:uiPriority w:val="9"/>
    <w:rPr>
      <w:rFonts w:ascii="Arial" w:hAnsi="Arial" w:eastAsia="Arial" w:cs="Arial"/>
      <w:b/>
      <w:bCs/>
      <w:sz w:val="22"/>
      <w:szCs w:val="22"/>
    </w:rPr>
  </w:style>
  <w:style w:type="character" w:styleId="978">
    <w:name w:val="Heading 7 Char"/>
    <w:basedOn w:val="1128"/>
    <w:link w:val="1125"/>
    <w:uiPriority w:val="9"/>
    <w:rPr>
      <w:rFonts w:ascii="Arial" w:hAnsi="Arial" w:eastAsia="Arial" w:cs="Arial"/>
      <w:b/>
      <w:bCs/>
      <w:i/>
      <w:iCs/>
      <w:sz w:val="22"/>
      <w:szCs w:val="22"/>
    </w:rPr>
  </w:style>
  <w:style w:type="character" w:styleId="979">
    <w:name w:val="Heading 8 Char"/>
    <w:basedOn w:val="1128"/>
    <w:link w:val="1126"/>
    <w:uiPriority w:val="9"/>
    <w:rPr>
      <w:rFonts w:ascii="Arial" w:hAnsi="Arial" w:eastAsia="Arial" w:cs="Arial"/>
      <w:i/>
      <w:iCs/>
      <w:sz w:val="22"/>
      <w:szCs w:val="22"/>
    </w:rPr>
  </w:style>
  <w:style w:type="character" w:styleId="980">
    <w:name w:val="Heading 9 Char"/>
    <w:basedOn w:val="1128"/>
    <w:link w:val="1127"/>
    <w:uiPriority w:val="9"/>
    <w:rPr>
      <w:rFonts w:ascii="Arial" w:hAnsi="Arial" w:eastAsia="Arial" w:cs="Arial"/>
      <w:i/>
      <w:iCs/>
      <w:sz w:val="21"/>
      <w:szCs w:val="21"/>
    </w:rPr>
  </w:style>
  <w:style w:type="paragraph" w:styleId="981">
    <w:name w:val="No Spacing"/>
    <w:uiPriority w:val="1"/>
    <w:qFormat/>
    <w:pPr>
      <w:spacing w:before="0" w:after="0" w:line="240" w:lineRule="auto"/>
    </w:pPr>
  </w:style>
  <w:style w:type="character" w:styleId="982">
    <w:name w:val="Title Char"/>
    <w:basedOn w:val="1128"/>
    <w:link w:val="1172"/>
    <w:uiPriority w:val="10"/>
    <w:rPr>
      <w:sz w:val="48"/>
      <w:szCs w:val="48"/>
    </w:rPr>
  </w:style>
  <w:style w:type="character" w:styleId="983">
    <w:name w:val="Subtitle Char"/>
    <w:basedOn w:val="1128"/>
    <w:link w:val="1160"/>
    <w:uiPriority w:val="11"/>
    <w:rPr>
      <w:sz w:val="24"/>
      <w:szCs w:val="24"/>
    </w:rPr>
  </w:style>
  <w:style w:type="paragraph" w:styleId="984">
    <w:name w:val="Quote"/>
    <w:basedOn w:val="1118"/>
    <w:next w:val="1118"/>
    <w:link w:val="1280"/>
    <w:uiPriority w:val="29"/>
    <w:qFormat/>
    <w:pPr>
      <w:ind w:left="720" w:right="720"/>
    </w:pPr>
    <w:rPr>
      <w:i/>
    </w:rPr>
  </w:style>
  <w:style w:type="paragraph" w:styleId="985">
    <w:name w:val="Intense Quote"/>
    <w:basedOn w:val="1118"/>
    <w:next w:val="1118"/>
    <w:link w:val="125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86">
    <w:name w:val="Header Char"/>
    <w:basedOn w:val="1128"/>
    <w:link w:val="1154"/>
    <w:uiPriority w:val="99"/>
  </w:style>
  <w:style w:type="character" w:styleId="987">
    <w:name w:val="Footer Char"/>
    <w:basedOn w:val="1128"/>
    <w:link w:val="1153"/>
    <w:uiPriority w:val="99"/>
  </w:style>
  <w:style w:type="paragraph" w:styleId="988">
    <w:name w:val="Caption"/>
    <w:basedOn w:val="1118"/>
    <w:next w:val="1118"/>
    <w:uiPriority w:val="35"/>
    <w:semiHidden/>
    <w:unhideWhenUsed/>
    <w:qFormat/>
    <w:pPr>
      <w:spacing w:line="276" w:lineRule="auto"/>
    </w:pPr>
    <w:rPr>
      <w:b/>
      <w:bCs/>
      <w:color w:val="4f81bd" w:themeColor="accent1"/>
      <w:sz w:val="18"/>
      <w:szCs w:val="18"/>
    </w:rPr>
  </w:style>
  <w:style w:type="character" w:styleId="989">
    <w:name w:val="Caption Char"/>
    <w:basedOn w:val="988"/>
    <w:link w:val="1153"/>
    <w:uiPriority w:val="99"/>
  </w:style>
  <w:style w:type="table" w:styleId="990">
    <w:name w:val="Table Grid Light"/>
    <w:basedOn w:val="112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91">
    <w:name w:val="Plain Table 1"/>
    <w:basedOn w:val="112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92">
    <w:name w:val="Plain Table 2"/>
    <w:basedOn w:val="112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93">
    <w:name w:val="Plain Table 3"/>
    <w:basedOn w:val="11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94">
    <w:name w:val="Plain Table 4"/>
    <w:basedOn w:val="11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95">
    <w:name w:val="Plain Table 5"/>
    <w:basedOn w:val="11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96">
    <w:name w:val="Grid Table 1 Light"/>
    <w:basedOn w:val="112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97">
    <w:name w:val="Grid Table 1 Light - Accent 1"/>
    <w:basedOn w:val="112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98">
    <w:name w:val="Grid Table 1 Light - Accent 2"/>
    <w:basedOn w:val="112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99">
    <w:name w:val="Grid Table 1 Light - Accent 3"/>
    <w:basedOn w:val="112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000">
    <w:name w:val="Grid Table 1 Light - Accent 4"/>
    <w:basedOn w:val="112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001">
    <w:name w:val="Grid Table 1 Light - Accent 5"/>
    <w:basedOn w:val="112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002">
    <w:name w:val="Grid Table 1 Light - Accent 6"/>
    <w:basedOn w:val="112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003">
    <w:name w:val="Grid Table 2"/>
    <w:basedOn w:val="112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04">
    <w:name w:val="Grid Table 2 - Accent 1"/>
    <w:basedOn w:val="112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005">
    <w:name w:val="Grid Table 2 - Accent 2"/>
    <w:basedOn w:val="112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006">
    <w:name w:val="Grid Table 2 - Accent 3"/>
    <w:basedOn w:val="112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07">
    <w:name w:val="Grid Table 2 - Accent 4"/>
    <w:basedOn w:val="112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08">
    <w:name w:val="Grid Table 2 - Accent 5"/>
    <w:basedOn w:val="112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09">
    <w:name w:val="Grid Table 2 - Accent 6"/>
    <w:basedOn w:val="112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10">
    <w:name w:val="Grid Table 3"/>
    <w:basedOn w:val="112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1">
    <w:name w:val="Grid Table 3 - Accent 1"/>
    <w:basedOn w:val="112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2">
    <w:name w:val="Grid Table 3 - Accent 2"/>
    <w:basedOn w:val="112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3">
    <w:name w:val="Grid Table 3 - Accent 3"/>
    <w:basedOn w:val="112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4">
    <w:name w:val="Grid Table 3 - Accent 4"/>
    <w:basedOn w:val="112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5">
    <w:name w:val="Grid Table 3 - Accent 5"/>
    <w:basedOn w:val="112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6">
    <w:name w:val="Grid Table 3 - Accent 6"/>
    <w:basedOn w:val="112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7">
    <w:name w:val="Grid Table 4"/>
    <w:basedOn w:val="112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18">
    <w:name w:val="Grid Table 4 - Accent 1"/>
    <w:basedOn w:val="112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19">
    <w:name w:val="Grid Table 4 - Accent 2"/>
    <w:basedOn w:val="112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20">
    <w:name w:val="Grid Table 4 - Accent 3"/>
    <w:basedOn w:val="112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21">
    <w:name w:val="Grid Table 4 - Accent 4"/>
    <w:basedOn w:val="112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22">
    <w:name w:val="Grid Table 4 - Accent 5"/>
    <w:basedOn w:val="112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23">
    <w:name w:val="Grid Table 4 - Accent 6"/>
    <w:basedOn w:val="112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24">
    <w:name w:val="Grid Table 5 Dark"/>
    <w:basedOn w:val="11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25">
    <w:name w:val="Grid Table 5 Dark- Accent 1"/>
    <w:basedOn w:val="11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26">
    <w:name w:val="Grid Table 5 Dark - Accent 2"/>
    <w:basedOn w:val="11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27">
    <w:name w:val="Grid Table 5 Dark - Accent 3"/>
    <w:basedOn w:val="11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28">
    <w:name w:val="Grid Table 5 Dark- Accent 4"/>
    <w:basedOn w:val="11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29">
    <w:name w:val="Grid Table 5 Dark - Accent 5"/>
    <w:basedOn w:val="11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30">
    <w:name w:val="Grid Table 5 Dark - Accent 6"/>
    <w:basedOn w:val="11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31">
    <w:name w:val="Grid Table 6 Colorful"/>
    <w:basedOn w:val="112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32">
    <w:name w:val="Grid Table 6 Colorful - Accent 1"/>
    <w:basedOn w:val="112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33">
    <w:name w:val="Grid Table 6 Colorful - Accent 2"/>
    <w:basedOn w:val="112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34">
    <w:name w:val="Grid Table 6 Colorful - Accent 3"/>
    <w:basedOn w:val="112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35">
    <w:name w:val="Grid Table 6 Colorful - Accent 4"/>
    <w:basedOn w:val="112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36">
    <w:name w:val="Grid Table 6 Colorful - Accent 5"/>
    <w:basedOn w:val="112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37">
    <w:name w:val="Grid Table 6 Colorful - Accent 6"/>
    <w:basedOn w:val="112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38">
    <w:name w:val="Grid Table 7 Colorful"/>
    <w:basedOn w:val="112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39">
    <w:name w:val="Grid Table 7 Colorful - Accent 1"/>
    <w:basedOn w:val="112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40">
    <w:name w:val="Grid Table 7 Colorful - Accent 2"/>
    <w:basedOn w:val="112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41">
    <w:name w:val="Grid Table 7 Colorful - Accent 3"/>
    <w:basedOn w:val="112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42">
    <w:name w:val="Grid Table 7 Colorful - Accent 4"/>
    <w:basedOn w:val="112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43">
    <w:name w:val="Grid Table 7 Colorful - Accent 5"/>
    <w:basedOn w:val="112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44">
    <w:name w:val="Grid Table 7 Colorful - Accent 6"/>
    <w:basedOn w:val="112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45">
    <w:name w:val="List Table 1 Light"/>
    <w:basedOn w:val="112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6">
    <w:name w:val="List Table 1 Light - Accent 1"/>
    <w:basedOn w:val="112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47">
    <w:name w:val="List Table 1 Light - Accent 2"/>
    <w:basedOn w:val="112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48">
    <w:name w:val="List Table 1 Light - Accent 3"/>
    <w:basedOn w:val="112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49">
    <w:name w:val="List Table 1 Light - Accent 4"/>
    <w:basedOn w:val="112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50">
    <w:name w:val="List Table 1 Light - Accent 5"/>
    <w:basedOn w:val="112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51">
    <w:name w:val="List Table 1 Light - Accent 6"/>
    <w:basedOn w:val="112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52">
    <w:name w:val="List Table 2"/>
    <w:basedOn w:val="112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53">
    <w:name w:val="List Table 2 - Accent 1"/>
    <w:basedOn w:val="112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54">
    <w:name w:val="List Table 2 - Accent 2"/>
    <w:basedOn w:val="112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55">
    <w:name w:val="List Table 2 - Accent 3"/>
    <w:basedOn w:val="112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56">
    <w:name w:val="List Table 2 - Accent 4"/>
    <w:basedOn w:val="112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57">
    <w:name w:val="List Table 2 - Accent 5"/>
    <w:basedOn w:val="112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58">
    <w:name w:val="List Table 2 - Accent 6"/>
    <w:basedOn w:val="112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59">
    <w:name w:val="List Table 3"/>
    <w:basedOn w:val="112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60">
    <w:name w:val="List Table 3 - Accent 1"/>
    <w:basedOn w:val="112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61">
    <w:name w:val="List Table 3 - Accent 2"/>
    <w:basedOn w:val="112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62">
    <w:name w:val="List Table 3 - Accent 3"/>
    <w:basedOn w:val="112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63">
    <w:name w:val="List Table 3 - Accent 4"/>
    <w:basedOn w:val="112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64">
    <w:name w:val="List Table 3 - Accent 5"/>
    <w:basedOn w:val="112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65">
    <w:name w:val="List Table 3 - Accent 6"/>
    <w:basedOn w:val="112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66">
    <w:name w:val="List Table 4"/>
    <w:basedOn w:val="112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67">
    <w:name w:val="List Table 4 - Accent 1"/>
    <w:basedOn w:val="112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68">
    <w:name w:val="List Table 4 - Accent 2"/>
    <w:basedOn w:val="112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69">
    <w:name w:val="List Table 4 - Accent 3"/>
    <w:basedOn w:val="112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70">
    <w:name w:val="List Table 4 - Accent 4"/>
    <w:basedOn w:val="112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71">
    <w:name w:val="List Table 4 - Accent 5"/>
    <w:basedOn w:val="112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72">
    <w:name w:val="List Table 4 - Accent 6"/>
    <w:basedOn w:val="112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73">
    <w:name w:val="List Table 5 Dark"/>
    <w:basedOn w:val="112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4">
    <w:name w:val="List Table 5 Dark - Accent 1"/>
    <w:basedOn w:val="112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5">
    <w:name w:val="List Table 5 Dark - Accent 2"/>
    <w:basedOn w:val="112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6">
    <w:name w:val="List Table 5 Dark - Accent 3"/>
    <w:basedOn w:val="112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7">
    <w:name w:val="List Table 5 Dark - Accent 4"/>
    <w:basedOn w:val="112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8">
    <w:name w:val="List Table 5 Dark - Accent 5"/>
    <w:basedOn w:val="112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9">
    <w:name w:val="List Table 5 Dark - Accent 6"/>
    <w:basedOn w:val="112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0">
    <w:name w:val="List Table 6 Colorful"/>
    <w:basedOn w:val="112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81">
    <w:name w:val="List Table 6 Colorful - Accent 1"/>
    <w:basedOn w:val="112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82">
    <w:name w:val="List Table 6 Colorful - Accent 2"/>
    <w:basedOn w:val="112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83">
    <w:name w:val="List Table 6 Colorful - Accent 3"/>
    <w:basedOn w:val="112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84">
    <w:name w:val="List Table 6 Colorful - Accent 4"/>
    <w:basedOn w:val="112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85">
    <w:name w:val="List Table 6 Colorful - Accent 5"/>
    <w:basedOn w:val="112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86">
    <w:name w:val="List Table 6 Colorful - Accent 6"/>
    <w:basedOn w:val="112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87">
    <w:name w:val="List Table 7 Colorful"/>
    <w:basedOn w:val="112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88">
    <w:name w:val="List Table 7 Colorful - Accent 1"/>
    <w:basedOn w:val="112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89">
    <w:name w:val="List Table 7 Colorful - Accent 2"/>
    <w:basedOn w:val="112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90">
    <w:name w:val="List Table 7 Colorful - Accent 3"/>
    <w:basedOn w:val="112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91">
    <w:name w:val="List Table 7 Colorful - Accent 4"/>
    <w:basedOn w:val="112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92">
    <w:name w:val="List Table 7 Colorful - Accent 5"/>
    <w:basedOn w:val="112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93">
    <w:name w:val="List Table 7 Colorful - Accent 6"/>
    <w:basedOn w:val="112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94">
    <w:name w:val="Lined - Accent"/>
    <w:basedOn w:val="11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95">
    <w:name w:val="Lined - Accent 1"/>
    <w:basedOn w:val="11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96">
    <w:name w:val="Lined - Accent 2"/>
    <w:basedOn w:val="11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97">
    <w:name w:val="Lined - Accent 3"/>
    <w:basedOn w:val="11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98">
    <w:name w:val="Lined - Accent 4"/>
    <w:basedOn w:val="11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99">
    <w:name w:val="Lined - Accent 5"/>
    <w:basedOn w:val="11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00">
    <w:name w:val="Lined - Accent 6"/>
    <w:basedOn w:val="11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01">
    <w:name w:val="Bordered &amp; Lined - Accent"/>
    <w:basedOn w:val="112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02">
    <w:name w:val="Bordered &amp; Lined - Accent 1"/>
    <w:basedOn w:val="112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03">
    <w:name w:val="Bordered &amp; Lined - Accent 2"/>
    <w:basedOn w:val="112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04">
    <w:name w:val="Bordered &amp; Lined - Accent 3"/>
    <w:basedOn w:val="112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05">
    <w:name w:val="Bordered &amp; Lined - Accent 4"/>
    <w:basedOn w:val="112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06">
    <w:name w:val="Bordered &amp; Lined - Accent 5"/>
    <w:basedOn w:val="112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07">
    <w:name w:val="Bordered &amp; Lined - Accent 6"/>
    <w:basedOn w:val="112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08">
    <w:name w:val="Bordered"/>
    <w:basedOn w:val="112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09">
    <w:name w:val="Bordered - Accent 1"/>
    <w:basedOn w:val="112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10">
    <w:name w:val="Bordered - Accent 2"/>
    <w:basedOn w:val="112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11">
    <w:name w:val="Bordered - Accent 3"/>
    <w:basedOn w:val="112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12">
    <w:name w:val="Bordered - Accent 4"/>
    <w:basedOn w:val="112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13">
    <w:name w:val="Bordered - Accent 5"/>
    <w:basedOn w:val="112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14">
    <w:name w:val="Bordered - Accent 6"/>
    <w:basedOn w:val="112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115">
    <w:name w:val="Footnote Text Char"/>
    <w:link w:val="1162"/>
    <w:uiPriority w:val="99"/>
    <w:rPr>
      <w:sz w:val="18"/>
    </w:rPr>
  </w:style>
  <w:style w:type="character" w:styleId="1116">
    <w:name w:val="Endnote Text Char"/>
    <w:link w:val="1151"/>
    <w:uiPriority w:val="99"/>
    <w:rPr>
      <w:sz w:val="20"/>
    </w:rPr>
  </w:style>
  <w:style w:type="paragraph" w:styleId="1117">
    <w:name w:val="TOC Heading"/>
    <w:uiPriority w:val="39"/>
    <w:unhideWhenUsed/>
  </w:style>
  <w:style w:type="paragraph" w:styleId="1118"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1119">
    <w:name w:val="Heading 1"/>
    <w:basedOn w:val="1118"/>
    <w:next w:val="1118"/>
    <w:link w:val="1188"/>
    <w:uiPriority w:val="99"/>
    <w:qFormat/>
    <w:pPr>
      <w:keepLines/>
      <w:keepNext/>
      <w:spacing w:before="340" w:after="330" w:line="576" w:lineRule="auto"/>
      <w:outlineLvl w:val="0"/>
    </w:pPr>
    <w:rPr>
      <w:b/>
      <w:bCs/>
      <w:sz w:val="44"/>
      <w:szCs w:val="44"/>
    </w:rPr>
  </w:style>
  <w:style w:type="paragraph" w:styleId="1120">
    <w:name w:val="Heading 2"/>
    <w:basedOn w:val="1118"/>
    <w:next w:val="1118"/>
    <w:link w:val="1189"/>
    <w:uiPriority w:val="99"/>
    <w:qFormat/>
    <w:pPr>
      <w:keepLines/>
      <w:keepNext/>
      <w:spacing w:before="260" w:after="260" w:line="413" w:lineRule="auto"/>
      <w:outlineLvl w:val="1"/>
    </w:pPr>
    <w:rPr>
      <w:rFonts w:ascii="Arial" w:hAnsi="Arial" w:eastAsia="黑体"/>
      <w:b/>
      <w:bCs/>
      <w:sz w:val="32"/>
      <w:szCs w:val="32"/>
    </w:rPr>
  </w:style>
  <w:style w:type="paragraph" w:styleId="1121">
    <w:name w:val="Heading 3"/>
    <w:basedOn w:val="1118"/>
    <w:next w:val="1118"/>
    <w:link w:val="1194"/>
    <w:uiPriority w:val="99"/>
    <w:qFormat/>
    <w:pPr>
      <w:keepLines/>
      <w:keepNext/>
      <w:spacing w:before="260" w:after="260" w:line="413" w:lineRule="auto"/>
      <w:outlineLvl w:val="2"/>
    </w:pPr>
    <w:rPr>
      <w:b/>
      <w:bCs/>
      <w:sz w:val="32"/>
      <w:szCs w:val="32"/>
    </w:rPr>
  </w:style>
  <w:style w:type="paragraph" w:styleId="1122">
    <w:name w:val="Heading 4"/>
    <w:basedOn w:val="1118"/>
    <w:next w:val="1118"/>
    <w:link w:val="1195"/>
    <w:uiPriority w:val="99"/>
    <w:qFormat/>
    <w:pPr>
      <w:keepLines/>
      <w:keepNext/>
      <w:spacing w:before="120" w:after="120"/>
      <w:outlineLvl w:val="3"/>
    </w:pPr>
    <w:rPr>
      <w:rFonts w:ascii="Arial" w:hAnsi="Arial" w:eastAsia="黑体"/>
      <w:b/>
      <w:sz w:val="20"/>
      <w:szCs w:val="20"/>
    </w:rPr>
  </w:style>
  <w:style w:type="paragraph" w:styleId="1123">
    <w:name w:val="Heading 5"/>
    <w:basedOn w:val="1118"/>
    <w:next w:val="1118"/>
    <w:link w:val="1196"/>
    <w:uiPriority w:val="99"/>
    <w:qFormat/>
    <w:pPr>
      <w:ind w:left="1008" w:hanging="1008"/>
      <w:keepLines/>
      <w:keepNext/>
      <w:spacing w:before="280" w:after="290" w:line="372" w:lineRule="auto"/>
      <w:tabs>
        <w:tab w:val="left" w:pos="1008" w:leader="none"/>
      </w:tabs>
      <w:outlineLvl w:val="4"/>
    </w:pPr>
    <w:rPr>
      <w:b/>
      <w:bCs/>
      <w:sz w:val="28"/>
      <w:szCs w:val="28"/>
    </w:rPr>
  </w:style>
  <w:style w:type="paragraph" w:styleId="1124">
    <w:name w:val="Heading 6"/>
    <w:basedOn w:val="1118"/>
    <w:next w:val="1118"/>
    <w:link w:val="1197"/>
    <w:uiPriority w:val="99"/>
    <w:qFormat/>
    <w:pPr>
      <w:ind w:left="1152" w:hanging="1152"/>
      <w:keepLines/>
      <w:keepNext/>
      <w:spacing w:before="240" w:after="64" w:line="317" w:lineRule="auto"/>
      <w:tabs>
        <w:tab w:val="left" w:pos="1152" w:leader="none"/>
      </w:tabs>
      <w:outlineLvl w:val="5"/>
    </w:pPr>
    <w:rPr>
      <w:rFonts w:ascii="Arial" w:hAnsi="Arial" w:eastAsia="黑体"/>
      <w:b/>
      <w:bCs/>
      <w:sz w:val="24"/>
    </w:rPr>
  </w:style>
  <w:style w:type="paragraph" w:styleId="1125">
    <w:name w:val="Heading 7"/>
    <w:basedOn w:val="1118"/>
    <w:next w:val="1118"/>
    <w:link w:val="1198"/>
    <w:uiPriority w:val="99"/>
    <w:qFormat/>
    <w:pPr>
      <w:ind w:left="1296" w:hanging="1296"/>
      <w:keepLines/>
      <w:keepNext/>
      <w:spacing w:before="240" w:after="64" w:line="317" w:lineRule="auto"/>
      <w:tabs>
        <w:tab w:val="left" w:pos="1296" w:leader="none"/>
      </w:tabs>
      <w:outlineLvl w:val="6"/>
    </w:pPr>
    <w:rPr>
      <w:b/>
      <w:bCs/>
      <w:sz w:val="24"/>
    </w:rPr>
  </w:style>
  <w:style w:type="paragraph" w:styleId="1126">
    <w:name w:val="Heading 8"/>
    <w:basedOn w:val="1118"/>
    <w:next w:val="1118"/>
    <w:link w:val="1199"/>
    <w:uiPriority w:val="99"/>
    <w:qFormat/>
    <w:pPr>
      <w:ind w:left="1440" w:hanging="1440"/>
      <w:keepLines/>
      <w:keepNext/>
      <w:spacing w:before="240" w:after="64" w:line="317" w:lineRule="auto"/>
      <w:tabs>
        <w:tab w:val="left" w:pos="1440" w:leader="none"/>
      </w:tabs>
      <w:outlineLvl w:val="7"/>
    </w:pPr>
    <w:rPr>
      <w:rFonts w:ascii="Arial" w:hAnsi="Arial" w:eastAsia="黑体"/>
      <w:sz w:val="24"/>
    </w:rPr>
  </w:style>
  <w:style w:type="paragraph" w:styleId="1127">
    <w:name w:val="Heading 9"/>
    <w:basedOn w:val="1118"/>
    <w:next w:val="1118"/>
    <w:link w:val="1200"/>
    <w:uiPriority w:val="99"/>
    <w:qFormat/>
    <w:pPr>
      <w:ind w:left="1584" w:hanging="1584"/>
      <w:keepLines/>
      <w:keepNext/>
      <w:spacing w:before="240" w:after="64" w:line="317" w:lineRule="auto"/>
      <w:tabs>
        <w:tab w:val="left" w:pos="1584" w:leader="none"/>
      </w:tabs>
      <w:outlineLvl w:val="8"/>
    </w:pPr>
    <w:rPr>
      <w:rFonts w:ascii="Arial" w:hAnsi="Arial" w:eastAsia="黑体"/>
      <w:szCs w:val="21"/>
    </w:rPr>
  </w:style>
  <w:style w:type="character" w:styleId="1128" w:default="1">
    <w:name w:val="Default Paragraph Font"/>
    <w:uiPriority w:val="1"/>
    <w:semiHidden/>
    <w:unhideWhenUsed/>
    <w:qFormat/>
  </w:style>
  <w:style w:type="table" w:styleId="1129" w:default="1">
    <w:name w:val="Normal Table"/>
    <w:uiPriority w:val="99"/>
    <w:semiHidden/>
    <w:unhideWhenUsed/>
    <w:qFormat/>
    <w:tblPr>
      <w:tblCellMar>
        <w:left w:w="108" w:type="dxa"/>
        <w:top w:w="0" w:type="dxa"/>
        <w:right w:w="108" w:type="dxa"/>
        <w:bottom w:w="0" w:type="dxa"/>
      </w:tblCellMar>
    </w:tblPr>
  </w:style>
  <w:style w:type="paragraph" w:styleId="1130">
    <w:name w:val="List 3"/>
    <w:basedOn w:val="1118"/>
    <w:uiPriority w:val="99"/>
    <w:qFormat/>
    <w:pPr>
      <w:ind w:left="1260" w:hanging="420"/>
    </w:pPr>
    <w:rPr>
      <w:szCs w:val="20"/>
    </w:rPr>
  </w:style>
  <w:style w:type="paragraph" w:styleId="1131">
    <w:name w:val="toc 7"/>
    <w:basedOn w:val="1118"/>
    <w:next w:val="1118"/>
    <w:uiPriority w:val="99"/>
    <w:semiHidden/>
    <w:qFormat/>
    <w:pPr>
      <w:ind w:left="1260"/>
      <w:jc w:val="left"/>
    </w:pPr>
    <w:rPr>
      <w:szCs w:val="21"/>
    </w:rPr>
  </w:style>
  <w:style w:type="paragraph" w:styleId="1132">
    <w:name w:val="List Number 2"/>
    <w:basedOn w:val="1118"/>
    <w:uiPriority w:val="99"/>
    <w:qFormat/>
    <w:pPr>
      <w:ind w:left="1440" w:hanging="1440"/>
      <w:spacing w:line="360" w:lineRule="auto"/>
      <w:tabs>
        <w:tab w:val="left" w:pos="1440" w:leader="none"/>
      </w:tabs>
    </w:pPr>
    <w:rPr>
      <w:sz w:val="24"/>
    </w:rPr>
  </w:style>
  <w:style w:type="paragraph" w:styleId="1133">
    <w:name w:val="List Number"/>
    <w:basedOn w:val="1118"/>
    <w:uiPriority w:val="99"/>
    <w:qFormat/>
    <w:pPr>
      <w:ind w:left="2952" w:hanging="432"/>
      <w:tabs>
        <w:tab w:val="left" w:pos="2952" w:leader="none"/>
      </w:tabs>
    </w:pPr>
  </w:style>
  <w:style w:type="paragraph" w:styleId="1134">
    <w:name w:val="Normal Indent"/>
    <w:basedOn w:val="1118"/>
    <w:uiPriority w:val="99"/>
    <w:qFormat/>
    <w:pPr>
      <w:ind w:firstLine="420"/>
    </w:pPr>
    <w:rPr>
      <w:szCs w:val="20"/>
    </w:rPr>
  </w:style>
  <w:style w:type="paragraph" w:styleId="1135">
    <w:name w:val="Document Map"/>
    <w:basedOn w:val="1118"/>
    <w:link w:val="1201"/>
    <w:uiPriority w:val="99"/>
    <w:semiHidden/>
    <w:qFormat/>
    <w:pPr>
      <w:shd w:val="clear" w:color="auto" w:fill="000080"/>
    </w:pPr>
    <w:rPr>
      <w:sz w:val="24"/>
    </w:rPr>
  </w:style>
  <w:style w:type="paragraph" w:styleId="1136">
    <w:name w:val="annotation text"/>
    <w:basedOn w:val="1118"/>
    <w:link w:val="1202"/>
    <w:uiPriority w:val="0"/>
    <w:qFormat/>
    <w:pPr>
      <w:jc w:val="left"/>
    </w:pPr>
    <w:rPr>
      <w:sz w:val="20"/>
      <w:szCs w:val="20"/>
    </w:rPr>
  </w:style>
  <w:style w:type="paragraph" w:styleId="1137">
    <w:name w:val="Salutation"/>
    <w:basedOn w:val="1118"/>
    <w:next w:val="1118"/>
    <w:link w:val="1203"/>
    <w:uiPriority w:val="99"/>
    <w:qFormat/>
    <w:rPr>
      <w:rFonts w:ascii="仿宋_GB2312" w:eastAsia="仿宋_GB2312"/>
      <w:sz w:val="20"/>
      <w:szCs w:val="20"/>
    </w:rPr>
  </w:style>
  <w:style w:type="paragraph" w:styleId="1138">
    <w:name w:val="Body Text 3"/>
    <w:basedOn w:val="1118"/>
    <w:link w:val="1204"/>
    <w:uiPriority w:val="99"/>
    <w:qFormat/>
    <w:pPr>
      <w:spacing w:after="120"/>
    </w:pPr>
    <w:rPr>
      <w:sz w:val="16"/>
      <w:szCs w:val="16"/>
    </w:rPr>
  </w:style>
  <w:style w:type="paragraph" w:styleId="1139">
    <w:name w:val="Body Text"/>
    <w:basedOn w:val="1118"/>
    <w:link w:val="1193"/>
    <w:uiPriority w:val="99"/>
    <w:qFormat/>
    <w:pPr>
      <w:spacing w:after="120"/>
    </w:pPr>
    <w:rPr>
      <w:sz w:val="24"/>
    </w:rPr>
  </w:style>
  <w:style w:type="paragraph" w:styleId="1140">
    <w:name w:val="Body Text Indent"/>
    <w:basedOn w:val="1118"/>
    <w:next w:val="1141"/>
    <w:link w:val="1205"/>
    <w:uiPriority w:val="99"/>
    <w:qFormat/>
    <w:pPr>
      <w:ind w:left="420"/>
      <w:spacing w:after="120"/>
    </w:pPr>
    <w:rPr>
      <w:sz w:val="24"/>
    </w:rPr>
  </w:style>
  <w:style w:type="paragraph" w:styleId="1141">
    <w:name w:val="envelope return"/>
    <w:basedOn w:val="1118"/>
    <w:uiPriority w:val="99"/>
    <w:unhideWhenUsed/>
    <w:qFormat/>
    <w:rPr>
      <w:rFonts w:ascii="Arial" w:hAnsi="Arial"/>
    </w:rPr>
  </w:style>
  <w:style w:type="paragraph" w:styleId="1142">
    <w:name w:val="List 2"/>
    <w:basedOn w:val="1118"/>
    <w:uiPriority w:val="99"/>
    <w:qFormat/>
    <w:pPr>
      <w:ind w:left="100" w:hanging="200"/>
    </w:pPr>
    <w:rPr>
      <w:szCs w:val="21"/>
    </w:rPr>
  </w:style>
  <w:style w:type="paragraph" w:styleId="1143">
    <w:name w:val="index 4"/>
    <w:basedOn w:val="1118"/>
    <w:next w:val="1118"/>
    <w:uiPriority w:val="99"/>
    <w:qFormat/>
    <w:pPr>
      <w:ind w:left="600"/>
    </w:pPr>
    <w:rPr>
      <w:rFonts w:ascii="Calibri" w:hAnsi="Calibri"/>
    </w:rPr>
  </w:style>
  <w:style w:type="paragraph" w:styleId="1144">
    <w:name w:val="toc 5"/>
    <w:basedOn w:val="1118"/>
    <w:next w:val="1118"/>
    <w:uiPriority w:val="99"/>
    <w:semiHidden/>
    <w:qFormat/>
    <w:pPr>
      <w:ind w:left="840"/>
      <w:jc w:val="left"/>
    </w:pPr>
    <w:rPr>
      <w:szCs w:val="21"/>
    </w:rPr>
  </w:style>
  <w:style w:type="paragraph" w:styleId="1145">
    <w:name w:val="toc 3"/>
    <w:basedOn w:val="1118"/>
    <w:next w:val="1118"/>
    <w:uiPriority w:val="99"/>
    <w:semiHidden/>
    <w:qFormat/>
    <w:pPr>
      <w:ind w:left="840"/>
    </w:pPr>
  </w:style>
  <w:style w:type="paragraph" w:styleId="1146">
    <w:name w:val="Plain Text"/>
    <w:basedOn w:val="1118"/>
    <w:link w:val="1206"/>
    <w:uiPriority w:val="0"/>
    <w:qFormat/>
    <w:rPr>
      <w:rFonts w:ascii="宋体" w:hAnsi="Courier New"/>
      <w:szCs w:val="21"/>
    </w:rPr>
  </w:style>
  <w:style w:type="paragraph" w:styleId="1147">
    <w:name w:val="toc 8"/>
    <w:basedOn w:val="1118"/>
    <w:next w:val="1118"/>
    <w:uiPriority w:val="99"/>
    <w:semiHidden/>
    <w:qFormat/>
    <w:pPr>
      <w:ind w:left="1470"/>
      <w:jc w:val="left"/>
    </w:pPr>
    <w:rPr>
      <w:szCs w:val="21"/>
    </w:rPr>
  </w:style>
  <w:style w:type="paragraph" w:styleId="1148">
    <w:name w:val="index 3"/>
    <w:basedOn w:val="1118"/>
    <w:next w:val="1118"/>
    <w:uiPriority w:val="99"/>
    <w:semiHidden/>
    <w:qFormat/>
    <w:pPr>
      <w:ind w:left="840"/>
    </w:pPr>
    <w:rPr>
      <w:szCs w:val="20"/>
    </w:rPr>
  </w:style>
  <w:style w:type="paragraph" w:styleId="1149">
    <w:name w:val="Date"/>
    <w:basedOn w:val="1118"/>
    <w:next w:val="1118"/>
    <w:link w:val="1207"/>
    <w:uiPriority w:val="99"/>
    <w:qFormat/>
    <w:pPr>
      <w:ind w:left="100"/>
    </w:pPr>
    <w:rPr>
      <w:sz w:val="20"/>
      <w:szCs w:val="20"/>
    </w:rPr>
  </w:style>
  <w:style w:type="paragraph" w:styleId="1150">
    <w:name w:val="Body Text Indent 2"/>
    <w:basedOn w:val="1118"/>
    <w:link w:val="1208"/>
    <w:uiPriority w:val="99"/>
    <w:qFormat/>
    <w:pPr>
      <w:ind w:firstLine="480"/>
      <w:spacing w:line="400" w:lineRule="exact"/>
    </w:pPr>
    <w:rPr>
      <w:rFonts w:ascii="宋体" w:hAnsi="宋体"/>
      <w:sz w:val="24"/>
    </w:rPr>
  </w:style>
  <w:style w:type="paragraph" w:styleId="1151">
    <w:name w:val="endnote text"/>
    <w:basedOn w:val="1118"/>
    <w:link w:val="1209"/>
    <w:uiPriority w:val="99"/>
    <w:semiHidden/>
    <w:qFormat/>
    <w:pPr>
      <w:jc w:val="left"/>
    </w:pPr>
    <w:rPr>
      <w:sz w:val="24"/>
    </w:rPr>
  </w:style>
  <w:style w:type="paragraph" w:styleId="1152">
    <w:name w:val="Balloon Text"/>
    <w:basedOn w:val="1118"/>
    <w:link w:val="1210"/>
    <w:uiPriority w:val="99"/>
    <w:semiHidden/>
    <w:qFormat/>
    <w:rPr>
      <w:sz w:val="18"/>
      <w:szCs w:val="18"/>
    </w:rPr>
  </w:style>
  <w:style w:type="paragraph" w:styleId="1153">
    <w:name w:val="Footer"/>
    <w:basedOn w:val="1118"/>
    <w:link w:val="1211"/>
    <w:uiPriority w:val="0"/>
    <w:qFormat/>
    <w:pPr>
      <w:jc w:val="left"/>
      <w:tabs>
        <w:tab w:val="center" w:pos="4153" w:leader="none"/>
        <w:tab w:val="right" w:pos="8306" w:leader="none"/>
      </w:tabs>
    </w:pPr>
    <w:rPr>
      <w:sz w:val="18"/>
      <w:szCs w:val="18"/>
    </w:rPr>
  </w:style>
  <w:style w:type="paragraph" w:styleId="1154">
    <w:name w:val="Header"/>
    <w:basedOn w:val="1118"/>
    <w:link w:val="1212"/>
    <w:uiPriority w:val="0"/>
    <w:qFormat/>
    <w:pPr>
      <w:jc w:val="center"/>
      <w:tabs>
        <w:tab w:val="center" w:pos="4153" w:leader="none"/>
        <w:tab w:val="right" w:pos="8306" w:leader="none"/>
      </w:tabs>
      <w:pBdr>
        <w:bottom w:val="single" w:color="auto" w:sz="6" w:space="1"/>
      </w:pBdr>
    </w:pPr>
    <w:rPr>
      <w:sz w:val="18"/>
      <w:szCs w:val="18"/>
    </w:rPr>
  </w:style>
  <w:style w:type="paragraph" w:styleId="1155">
    <w:name w:val="Signature"/>
    <w:basedOn w:val="1118"/>
    <w:link w:val="1213"/>
    <w:uiPriority w:val="99"/>
    <w:qFormat/>
    <w:pPr>
      <w:jc w:val="center"/>
      <w:spacing w:after="600" w:line="312" w:lineRule="atLeast"/>
    </w:pPr>
    <w:rPr>
      <w:rFonts w:eastAsia="仿宋_GB2312"/>
      <w:sz w:val="20"/>
      <w:szCs w:val="20"/>
    </w:rPr>
  </w:style>
  <w:style w:type="paragraph" w:styleId="1156">
    <w:name w:val="toc 1"/>
    <w:basedOn w:val="1118"/>
    <w:next w:val="1118"/>
    <w:uiPriority w:val="99"/>
    <w:semiHidden/>
    <w:qFormat/>
  </w:style>
  <w:style w:type="paragraph" w:styleId="1157">
    <w:name w:val="toc 4"/>
    <w:basedOn w:val="1118"/>
    <w:next w:val="1118"/>
    <w:uiPriority w:val="99"/>
    <w:semiHidden/>
    <w:qFormat/>
    <w:pPr>
      <w:ind w:left="630"/>
      <w:jc w:val="left"/>
    </w:pPr>
    <w:rPr>
      <w:szCs w:val="21"/>
    </w:rPr>
  </w:style>
  <w:style w:type="paragraph" w:styleId="1158">
    <w:name w:val="index heading"/>
    <w:basedOn w:val="1118"/>
    <w:next w:val="1159"/>
    <w:uiPriority w:val="99"/>
    <w:semiHidden/>
    <w:qFormat/>
    <w:rPr>
      <w:szCs w:val="20"/>
    </w:rPr>
  </w:style>
  <w:style w:type="paragraph" w:styleId="1159">
    <w:name w:val="index 1"/>
    <w:basedOn w:val="1118"/>
    <w:next w:val="1118"/>
    <w:uiPriority w:val="99"/>
    <w:semiHidden/>
    <w:qFormat/>
    <w:pPr>
      <w:jc w:val="center"/>
      <w:tabs>
        <w:tab w:val="left" w:pos="1260" w:leader="none"/>
      </w:tabs>
    </w:pPr>
    <w:rPr>
      <w:rFonts w:ascii="仿宋_GB2312" w:hAnsi="宋体" w:eastAsia="仿宋_GB2312"/>
      <w:sz w:val="30"/>
      <w:szCs w:val="20"/>
    </w:rPr>
  </w:style>
  <w:style w:type="paragraph" w:styleId="1160">
    <w:name w:val="Subtitle"/>
    <w:basedOn w:val="1118"/>
    <w:next w:val="1118"/>
    <w:link w:val="1214"/>
    <w:uiPriority w:val="99"/>
    <w:qFormat/>
    <w:pPr>
      <w:jc w:val="left"/>
      <w:spacing w:after="600" w:line="276" w:lineRule="auto"/>
      <w:widowControl/>
    </w:pPr>
    <w:rPr>
      <w:rFonts w:ascii="Cambria" w:hAnsi="Cambria"/>
      <w:i/>
      <w:iCs/>
      <w:spacing w:val="13"/>
      <w:sz w:val="24"/>
      <w:lang w:eastAsia="en-US"/>
    </w:rPr>
  </w:style>
  <w:style w:type="paragraph" w:styleId="1161">
    <w:name w:val="List"/>
    <w:basedOn w:val="1118"/>
    <w:uiPriority w:val="99"/>
    <w:qFormat/>
    <w:pPr>
      <w:ind w:left="200" w:hanging="200"/>
    </w:pPr>
    <w:rPr>
      <w:szCs w:val="21"/>
    </w:rPr>
  </w:style>
  <w:style w:type="paragraph" w:styleId="1162">
    <w:name w:val="footnote text"/>
    <w:basedOn w:val="1118"/>
    <w:link w:val="1215"/>
    <w:uiPriority w:val="99"/>
    <w:semiHidden/>
    <w:qFormat/>
    <w:pPr>
      <w:jc w:val="left"/>
    </w:pPr>
    <w:rPr>
      <w:sz w:val="18"/>
      <w:szCs w:val="18"/>
    </w:rPr>
  </w:style>
  <w:style w:type="paragraph" w:styleId="1163">
    <w:name w:val="toc 6"/>
    <w:basedOn w:val="1118"/>
    <w:next w:val="1118"/>
    <w:uiPriority w:val="99"/>
    <w:semiHidden/>
    <w:qFormat/>
    <w:pPr>
      <w:ind w:left="1050"/>
      <w:jc w:val="left"/>
    </w:pPr>
    <w:rPr>
      <w:szCs w:val="21"/>
    </w:rPr>
  </w:style>
  <w:style w:type="paragraph" w:styleId="1164">
    <w:name w:val="Body Text Indent 3"/>
    <w:basedOn w:val="1118"/>
    <w:link w:val="1216"/>
    <w:uiPriority w:val="99"/>
    <w:qFormat/>
    <w:pPr>
      <w:ind w:left="480"/>
      <w:spacing w:before="120" w:after="120" w:line="264" w:lineRule="auto"/>
    </w:pPr>
    <w:rPr>
      <w:b/>
      <w:bCs/>
      <w:sz w:val="20"/>
      <w:szCs w:val="20"/>
    </w:rPr>
  </w:style>
  <w:style w:type="paragraph" w:styleId="1165">
    <w:name w:val="table of figures"/>
    <w:basedOn w:val="1118"/>
    <w:next w:val="1118"/>
    <w:uiPriority w:val="99"/>
    <w:semiHidden/>
    <w:qFormat/>
    <w:pPr>
      <w:ind w:left="840" w:hanging="420"/>
    </w:pPr>
    <w:rPr>
      <w:szCs w:val="21"/>
    </w:rPr>
  </w:style>
  <w:style w:type="paragraph" w:styleId="1166">
    <w:name w:val="toc 2"/>
    <w:basedOn w:val="1118"/>
    <w:next w:val="1118"/>
    <w:uiPriority w:val="99"/>
    <w:semiHidden/>
    <w:qFormat/>
    <w:pPr>
      <w:ind w:left="420"/>
    </w:pPr>
  </w:style>
  <w:style w:type="paragraph" w:styleId="1167">
    <w:name w:val="toc 9"/>
    <w:basedOn w:val="1118"/>
    <w:next w:val="1118"/>
    <w:uiPriority w:val="99"/>
    <w:semiHidden/>
    <w:qFormat/>
    <w:pPr>
      <w:ind w:left="1680"/>
      <w:jc w:val="left"/>
    </w:pPr>
    <w:rPr>
      <w:szCs w:val="21"/>
    </w:rPr>
  </w:style>
  <w:style w:type="paragraph" w:styleId="1168">
    <w:name w:val="Body Text 2"/>
    <w:basedOn w:val="1118"/>
    <w:link w:val="1217"/>
    <w:uiPriority w:val="99"/>
    <w:qFormat/>
    <w:pPr>
      <w:jc w:val="center"/>
    </w:pPr>
    <w:rPr>
      <w:b/>
      <w:bCs/>
      <w:sz w:val="20"/>
      <w:szCs w:val="20"/>
    </w:rPr>
  </w:style>
  <w:style w:type="paragraph" w:styleId="1169">
    <w:name w:val="HTML Preformatted"/>
    <w:basedOn w:val="1118"/>
    <w:link w:val="1218"/>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1170">
    <w:name w:val="Normal (Web)"/>
    <w:basedOn w:val="1118"/>
    <w:uiPriority w:val="99"/>
    <w:qFormat/>
    <w:pPr>
      <w:jc w:val="left"/>
      <w:spacing w:before="100" w:beforeAutospacing="1" w:after="100" w:afterAutospacing="1"/>
      <w:widowControl/>
    </w:pPr>
    <w:rPr>
      <w:rFonts w:ascii="宋体" w:hAnsi="宋体" w:cs="宋体"/>
      <w:sz w:val="24"/>
    </w:rPr>
  </w:style>
  <w:style w:type="paragraph" w:styleId="1171">
    <w:name w:val="index 2"/>
    <w:basedOn w:val="1118"/>
    <w:next w:val="1118"/>
    <w:uiPriority w:val="99"/>
    <w:semiHidden/>
    <w:qFormat/>
    <w:pPr>
      <w:ind w:left="420"/>
      <w:jc w:val="center"/>
    </w:pPr>
    <w:rPr>
      <w:rFonts w:ascii="宋体" w:hAnsi="宋体"/>
      <w:b/>
      <w:sz w:val="32"/>
      <w:szCs w:val="20"/>
    </w:rPr>
  </w:style>
  <w:style w:type="paragraph" w:styleId="1172">
    <w:name w:val="Title"/>
    <w:basedOn w:val="1118"/>
    <w:link w:val="1219"/>
    <w:uiPriority w:val="99"/>
    <w:qFormat/>
    <w:pPr>
      <w:jc w:val="center"/>
      <w:spacing w:line="420" w:lineRule="exact"/>
      <w:widowControl/>
    </w:pPr>
    <w:rPr>
      <w:rFonts w:eastAsia="黑体"/>
      <w:b/>
      <w:sz w:val="20"/>
      <w:szCs w:val="20"/>
      <w:lang w:val="en-GB"/>
    </w:rPr>
  </w:style>
  <w:style w:type="paragraph" w:styleId="1173">
    <w:name w:val="annotation subject"/>
    <w:basedOn w:val="1136"/>
    <w:next w:val="1136"/>
    <w:link w:val="1220"/>
    <w:uiPriority w:val="99"/>
    <w:semiHidden/>
    <w:qFormat/>
    <w:rPr>
      <w:b/>
      <w:bCs/>
      <w:sz w:val="24"/>
    </w:rPr>
  </w:style>
  <w:style w:type="paragraph" w:styleId="1174">
    <w:name w:val="Body Text First Indent"/>
    <w:basedOn w:val="1139"/>
    <w:link w:val="1221"/>
    <w:uiPriority w:val="99"/>
    <w:qFormat/>
    <w:pPr>
      <w:ind w:firstLine="420"/>
    </w:pPr>
  </w:style>
  <w:style w:type="paragraph" w:styleId="1175">
    <w:name w:val="Body Text First Indent 2"/>
    <w:basedOn w:val="1140"/>
    <w:next w:val="1118"/>
    <w:link w:val="1222"/>
    <w:uiPriority w:val="99"/>
    <w:qFormat/>
    <w:pPr>
      <w:ind w:left="0" w:firstLine="420"/>
      <w:spacing w:after="0" w:line="360" w:lineRule="auto"/>
    </w:pPr>
    <w:rPr>
      <w:rFonts w:ascii="宋体" w:hAnsi="宋体"/>
      <w:sz w:val="20"/>
      <w:szCs w:val="20"/>
    </w:rPr>
  </w:style>
  <w:style w:type="table" w:styleId="1176">
    <w:name w:val="Table Grid"/>
    <w:basedOn w:val="112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77">
    <w:name w:val="Strong"/>
    <w:uiPriority w:val="99"/>
    <w:qFormat/>
    <w:rPr>
      <w:rFonts w:cs="Times New Roman"/>
      <w:b/>
    </w:rPr>
  </w:style>
  <w:style w:type="character" w:styleId="1178">
    <w:name w:val="endnote reference"/>
    <w:uiPriority w:val="99"/>
    <w:semiHidden/>
    <w:qFormat/>
    <w:rPr>
      <w:rFonts w:cs="Times New Roman"/>
      <w:vertAlign w:val="superscript"/>
    </w:rPr>
  </w:style>
  <w:style w:type="character" w:styleId="1179">
    <w:name w:val="page number"/>
    <w:uiPriority w:val="99"/>
    <w:qFormat/>
    <w:rPr>
      <w:rFonts w:cs="Times New Roman"/>
    </w:rPr>
  </w:style>
  <w:style w:type="character" w:styleId="1180">
    <w:name w:val="FollowedHyperlink"/>
    <w:uiPriority w:val="99"/>
    <w:qFormat/>
    <w:rPr>
      <w:rFonts w:cs="Times New Roman"/>
      <w:color w:val="auto"/>
      <w:u w:val="none"/>
    </w:rPr>
  </w:style>
  <w:style w:type="character" w:styleId="1181">
    <w:name w:val="Emphasis"/>
    <w:uiPriority w:val="99"/>
    <w:qFormat/>
    <w:rPr>
      <w:rFonts w:cs="Times New Roman"/>
      <w:b/>
      <w:i/>
      <w:spacing w:val="10"/>
      <w:shd w:val="clear" w:color="auto" w:fill="auto"/>
    </w:rPr>
  </w:style>
  <w:style w:type="character" w:styleId="1182">
    <w:name w:val="line number"/>
    <w:uiPriority w:val="99"/>
    <w:qFormat/>
    <w:rPr>
      <w:rFonts w:cs="Times New Roman"/>
    </w:rPr>
  </w:style>
  <w:style w:type="character" w:styleId="1183">
    <w:name w:val="HTML Typewriter"/>
    <w:uiPriority w:val="99"/>
    <w:qFormat/>
    <w:rPr>
      <w:rFonts w:ascii="宋体" w:hAnsi="宋体" w:eastAsia="宋体" w:cs="Times New Roman"/>
      <w:sz w:val="24"/>
    </w:rPr>
  </w:style>
  <w:style w:type="character" w:styleId="1184">
    <w:name w:val="Hyperlink"/>
    <w:uiPriority w:val="99"/>
    <w:qFormat/>
    <w:rPr>
      <w:rFonts w:cs="Times New Roman"/>
      <w:color w:val="auto"/>
      <w:u w:val="none"/>
    </w:rPr>
  </w:style>
  <w:style w:type="character" w:styleId="1185">
    <w:name w:val="annotation reference"/>
    <w:uiPriority w:val="0"/>
    <w:qFormat/>
    <w:rPr>
      <w:rFonts w:cs="Times New Roman"/>
      <w:sz w:val="21"/>
    </w:rPr>
  </w:style>
  <w:style w:type="character" w:styleId="1186">
    <w:name w:val="footnote reference"/>
    <w:uiPriority w:val="99"/>
    <w:semiHidden/>
    <w:qFormat/>
    <w:rPr>
      <w:rFonts w:cs="Times New Roman"/>
      <w:vertAlign w:val="superscript"/>
    </w:rPr>
  </w:style>
  <w:style w:type="character" w:styleId="1187">
    <w:name w:val="HTML Sample"/>
    <w:uiPriority w:val="99"/>
    <w:qFormat/>
    <w:rPr>
      <w:rFonts w:ascii="Courier New" w:hAnsi="宋体" w:eastAsia="宋体" w:cs="Times New Roman"/>
    </w:rPr>
  </w:style>
  <w:style w:type="character" w:styleId="1188" w:customStyle="1">
    <w:name w:val="标题 1 字符"/>
    <w:link w:val="1119"/>
    <w:uiPriority w:val="99"/>
    <w:qFormat/>
    <w:rPr>
      <w:rFonts w:ascii="Times New Roman" w:hAnsi="Times New Roman" w:eastAsia="宋体"/>
      <w:b/>
      <w:sz w:val="44"/>
    </w:rPr>
  </w:style>
  <w:style w:type="character" w:styleId="1189" w:customStyle="1">
    <w:name w:val="标题 2 字符"/>
    <w:link w:val="1120"/>
    <w:uiPriority w:val="99"/>
    <w:qFormat/>
    <w:rPr>
      <w:rFonts w:ascii="Arial" w:hAnsi="Arial" w:eastAsia="黑体"/>
      <w:b/>
      <w:sz w:val="32"/>
    </w:rPr>
  </w:style>
  <w:style w:type="paragraph" w:styleId="1190" w:customStyle="1">
    <w:name w:val="正文首行缩进1"/>
    <w:basedOn w:val="1191"/>
    <w:uiPriority w:val="0"/>
    <w:qFormat/>
    <w:pPr>
      <w:ind w:firstLine="100"/>
    </w:pPr>
  </w:style>
  <w:style w:type="paragraph" w:styleId="1191" w:customStyle="1">
    <w:name w:val="正文文本1"/>
    <w:basedOn w:val="1118"/>
    <w:next w:val="1118"/>
    <w:uiPriority w:val="0"/>
    <w:qFormat/>
    <w:rPr>
      <w:rFonts w:ascii="宋体"/>
      <w:sz w:val="28"/>
    </w:rPr>
  </w:style>
  <w:style w:type="paragraph" w:styleId="1192" w:customStyle="1">
    <w:name w:val="列出段落1"/>
    <w:basedOn w:val="1118"/>
    <w:uiPriority w:val="99"/>
    <w:qFormat/>
    <w:pPr>
      <w:ind w:firstLine="420"/>
    </w:pPr>
    <w:rPr>
      <w:rFonts w:ascii="Calibri" w:hAnsi="Calibri"/>
      <w:szCs w:val="22"/>
    </w:rPr>
  </w:style>
  <w:style w:type="character" w:styleId="1193" w:customStyle="1">
    <w:name w:val="正文文本 字符1"/>
    <w:link w:val="1139"/>
    <w:uiPriority w:val="99"/>
    <w:qFormat/>
    <w:rPr>
      <w:rFonts w:ascii="Times New Roman" w:hAnsi="Times New Roman" w:eastAsia="宋体" w:cs="Times New Roman"/>
      <w:sz w:val="24"/>
      <w:szCs w:val="24"/>
    </w:rPr>
  </w:style>
  <w:style w:type="character" w:styleId="1194" w:customStyle="1">
    <w:name w:val="标题 3 字符"/>
    <w:link w:val="1121"/>
    <w:uiPriority w:val="99"/>
    <w:qFormat/>
    <w:rPr>
      <w:rFonts w:ascii="Times New Roman" w:hAnsi="Times New Roman" w:eastAsia="宋体"/>
      <w:b/>
      <w:sz w:val="32"/>
    </w:rPr>
  </w:style>
  <w:style w:type="character" w:styleId="1195" w:customStyle="1">
    <w:name w:val="标题 4 字符"/>
    <w:link w:val="1122"/>
    <w:uiPriority w:val="99"/>
    <w:qFormat/>
    <w:rPr>
      <w:rFonts w:ascii="Arial" w:hAnsi="Arial" w:eastAsia="黑体"/>
      <w:b/>
      <w:sz w:val="20"/>
    </w:rPr>
  </w:style>
  <w:style w:type="character" w:styleId="1196" w:customStyle="1">
    <w:name w:val="标题 5 字符"/>
    <w:link w:val="1123"/>
    <w:uiPriority w:val="99"/>
    <w:qFormat/>
    <w:rPr>
      <w:rFonts w:ascii="Times New Roman" w:hAnsi="Times New Roman" w:eastAsia="宋体"/>
      <w:b/>
      <w:sz w:val="28"/>
    </w:rPr>
  </w:style>
  <w:style w:type="character" w:styleId="1197" w:customStyle="1">
    <w:name w:val="标题 6 字符"/>
    <w:link w:val="1124"/>
    <w:uiPriority w:val="99"/>
    <w:qFormat/>
    <w:rPr>
      <w:rFonts w:ascii="Arial" w:hAnsi="Arial" w:eastAsia="黑体"/>
      <w:b/>
      <w:sz w:val="24"/>
    </w:rPr>
  </w:style>
  <w:style w:type="character" w:styleId="1198" w:customStyle="1">
    <w:name w:val="标题 7 字符"/>
    <w:link w:val="1125"/>
    <w:uiPriority w:val="99"/>
    <w:qFormat/>
    <w:rPr>
      <w:rFonts w:ascii="Times New Roman" w:hAnsi="Times New Roman" w:eastAsia="宋体"/>
      <w:b/>
      <w:sz w:val="24"/>
    </w:rPr>
  </w:style>
  <w:style w:type="character" w:styleId="1199" w:customStyle="1">
    <w:name w:val="标题 8 字符"/>
    <w:link w:val="1126"/>
    <w:uiPriority w:val="99"/>
    <w:qFormat/>
    <w:rPr>
      <w:rFonts w:ascii="Arial" w:hAnsi="Arial" w:eastAsia="黑体"/>
      <w:sz w:val="24"/>
    </w:rPr>
  </w:style>
  <w:style w:type="character" w:styleId="1200" w:customStyle="1">
    <w:name w:val="标题 9 字符"/>
    <w:link w:val="1127"/>
    <w:uiPriority w:val="99"/>
    <w:qFormat/>
    <w:rPr>
      <w:rFonts w:ascii="Arial" w:hAnsi="Arial" w:eastAsia="黑体"/>
      <w:sz w:val="21"/>
    </w:rPr>
  </w:style>
  <w:style w:type="character" w:styleId="1201" w:customStyle="1">
    <w:name w:val="文档结构图 字符"/>
    <w:link w:val="1135"/>
    <w:uiPriority w:val="99"/>
    <w:semiHidden/>
    <w:qFormat/>
    <w:rPr>
      <w:rFonts w:ascii="Times New Roman" w:hAnsi="Times New Roman" w:eastAsia="宋体"/>
      <w:sz w:val="24"/>
      <w:shd w:val="clear" w:color="auto" w:fill="000080"/>
    </w:rPr>
  </w:style>
  <w:style w:type="character" w:styleId="1202" w:customStyle="1">
    <w:name w:val="批注文字 字符1"/>
    <w:link w:val="1136"/>
    <w:uiPriority w:val="0"/>
    <w:qFormat/>
    <w:rPr>
      <w:rFonts w:ascii="Times New Roman" w:hAnsi="Times New Roman" w:eastAsia="宋体" w:cs="Times New Roman"/>
      <w:sz w:val="24"/>
      <w:szCs w:val="24"/>
    </w:rPr>
  </w:style>
  <w:style w:type="character" w:styleId="1203" w:customStyle="1">
    <w:name w:val="称呼 字符"/>
    <w:link w:val="1137"/>
    <w:uiPriority w:val="99"/>
    <w:qFormat/>
    <w:rPr>
      <w:rFonts w:ascii="仿宋_GB2312" w:hAnsi="Times New Roman" w:eastAsia="仿宋_GB2312"/>
      <w:sz w:val="20"/>
    </w:rPr>
  </w:style>
  <w:style w:type="character" w:styleId="1204" w:customStyle="1">
    <w:name w:val="正文文本 3 字符"/>
    <w:link w:val="1138"/>
    <w:uiPriority w:val="99"/>
    <w:qFormat/>
    <w:rPr>
      <w:rFonts w:ascii="Times New Roman" w:hAnsi="Times New Roman" w:eastAsia="宋体"/>
      <w:sz w:val="16"/>
    </w:rPr>
  </w:style>
  <w:style w:type="character" w:styleId="1205" w:customStyle="1">
    <w:name w:val="正文文本缩进 字符"/>
    <w:link w:val="1140"/>
    <w:uiPriority w:val="99"/>
    <w:qFormat/>
    <w:rPr>
      <w:rFonts w:ascii="Times New Roman" w:hAnsi="Times New Roman" w:eastAsia="宋体"/>
      <w:sz w:val="24"/>
    </w:rPr>
  </w:style>
  <w:style w:type="character" w:styleId="1206" w:customStyle="1">
    <w:name w:val="纯文本 字符"/>
    <w:link w:val="1146"/>
    <w:uiPriority w:val="99"/>
    <w:qFormat/>
    <w:rPr>
      <w:rFonts w:ascii="宋体" w:hAnsi="Courier New" w:eastAsia="宋体"/>
      <w:sz w:val="21"/>
    </w:rPr>
  </w:style>
  <w:style w:type="character" w:styleId="1207" w:customStyle="1">
    <w:name w:val="日期 字符"/>
    <w:link w:val="1149"/>
    <w:uiPriority w:val="99"/>
    <w:qFormat/>
    <w:rPr>
      <w:rFonts w:ascii="Times New Roman" w:hAnsi="Times New Roman" w:eastAsia="宋体"/>
      <w:sz w:val="20"/>
    </w:rPr>
  </w:style>
  <w:style w:type="character" w:styleId="1208" w:customStyle="1">
    <w:name w:val="正文文本缩进 2 字符"/>
    <w:link w:val="1150"/>
    <w:uiPriority w:val="99"/>
    <w:qFormat/>
    <w:rPr>
      <w:rFonts w:ascii="宋体" w:hAnsi="宋体" w:eastAsia="宋体"/>
      <w:sz w:val="24"/>
    </w:rPr>
  </w:style>
  <w:style w:type="character" w:styleId="1209" w:customStyle="1">
    <w:name w:val="尾注文本 字符"/>
    <w:link w:val="1151"/>
    <w:uiPriority w:val="99"/>
    <w:semiHidden/>
    <w:qFormat/>
    <w:rPr>
      <w:rFonts w:ascii="Times New Roman" w:hAnsi="Times New Roman" w:eastAsia="宋体"/>
      <w:sz w:val="24"/>
    </w:rPr>
  </w:style>
  <w:style w:type="character" w:styleId="1210" w:customStyle="1">
    <w:name w:val="批注框文本 字符"/>
    <w:link w:val="1152"/>
    <w:uiPriority w:val="99"/>
    <w:semiHidden/>
    <w:qFormat/>
    <w:rPr>
      <w:rFonts w:ascii="Times New Roman" w:hAnsi="Times New Roman" w:eastAsia="宋体"/>
      <w:sz w:val="18"/>
    </w:rPr>
  </w:style>
  <w:style w:type="character" w:styleId="1211" w:customStyle="1">
    <w:name w:val="页脚 字符"/>
    <w:link w:val="1153"/>
    <w:uiPriority w:val="99"/>
    <w:qFormat/>
    <w:rPr>
      <w:rFonts w:cs="Times New Roman"/>
      <w:sz w:val="18"/>
      <w:szCs w:val="18"/>
    </w:rPr>
  </w:style>
  <w:style w:type="character" w:styleId="1212" w:customStyle="1">
    <w:name w:val="页眉 字符"/>
    <w:link w:val="1154"/>
    <w:uiPriority w:val="0"/>
    <w:qFormat/>
    <w:rPr>
      <w:sz w:val="18"/>
    </w:rPr>
  </w:style>
  <w:style w:type="character" w:styleId="1213" w:customStyle="1">
    <w:name w:val="签名 字符"/>
    <w:link w:val="1155"/>
    <w:uiPriority w:val="99"/>
    <w:qFormat/>
    <w:rPr>
      <w:rFonts w:ascii="Times New Roman" w:hAnsi="Times New Roman" w:eastAsia="仿宋_GB2312"/>
      <w:sz w:val="20"/>
    </w:rPr>
  </w:style>
  <w:style w:type="character" w:styleId="1214" w:customStyle="1">
    <w:name w:val="副标题 字符"/>
    <w:link w:val="1160"/>
    <w:uiPriority w:val="99"/>
    <w:qFormat/>
    <w:rPr>
      <w:rFonts w:ascii="Cambria" w:hAnsi="Cambria" w:eastAsia="宋体"/>
      <w:i/>
      <w:spacing w:val="13"/>
      <w:sz w:val="24"/>
      <w:lang w:eastAsia="en-US"/>
    </w:rPr>
  </w:style>
  <w:style w:type="character" w:styleId="1215" w:customStyle="1">
    <w:name w:val="脚注文本 字符"/>
    <w:link w:val="1162"/>
    <w:uiPriority w:val="99"/>
    <w:semiHidden/>
    <w:qFormat/>
    <w:rPr>
      <w:rFonts w:ascii="Times New Roman" w:hAnsi="Times New Roman" w:eastAsia="宋体"/>
      <w:sz w:val="18"/>
    </w:rPr>
  </w:style>
  <w:style w:type="character" w:styleId="1216" w:customStyle="1">
    <w:name w:val="正文文本缩进 3 字符"/>
    <w:link w:val="1164"/>
    <w:uiPriority w:val="99"/>
    <w:qFormat/>
    <w:rPr>
      <w:rFonts w:ascii="Times New Roman" w:hAnsi="Times New Roman" w:eastAsia="宋体"/>
      <w:b/>
      <w:sz w:val="20"/>
    </w:rPr>
  </w:style>
  <w:style w:type="character" w:styleId="1217" w:customStyle="1">
    <w:name w:val="正文文本 2 字符"/>
    <w:link w:val="1168"/>
    <w:uiPriority w:val="99"/>
    <w:qFormat/>
    <w:rPr>
      <w:rFonts w:ascii="Times New Roman" w:hAnsi="Times New Roman" w:eastAsia="宋体"/>
      <w:b/>
      <w:sz w:val="20"/>
    </w:rPr>
  </w:style>
  <w:style w:type="character" w:styleId="1218" w:customStyle="1">
    <w:name w:val="HTML 预设格式 字符"/>
    <w:link w:val="1169"/>
    <w:uiPriority w:val="99"/>
    <w:qFormat/>
    <w:rPr>
      <w:rFonts w:ascii="宋体" w:hAnsi="宋体" w:eastAsia="宋体"/>
      <w:sz w:val="24"/>
    </w:rPr>
  </w:style>
  <w:style w:type="character" w:styleId="1219" w:customStyle="1">
    <w:name w:val="标题 字符"/>
    <w:link w:val="1172"/>
    <w:uiPriority w:val="99"/>
    <w:qFormat/>
    <w:rPr>
      <w:rFonts w:ascii="Times New Roman" w:hAnsi="Times New Roman" w:eastAsia="黑体"/>
      <w:b/>
      <w:sz w:val="20"/>
      <w:lang w:val="en-GB"/>
    </w:rPr>
  </w:style>
  <w:style w:type="character" w:styleId="1220" w:customStyle="1">
    <w:name w:val="批注主题 字符"/>
    <w:link w:val="1173"/>
    <w:uiPriority w:val="99"/>
    <w:semiHidden/>
    <w:qFormat/>
    <w:rPr>
      <w:rFonts w:ascii="Times New Roman" w:hAnsi="Times New Roman" w:eastAsia="宋体" w:cs="Times New Roman"/>
      <w:b/>
      <w:sz w:val="24"/>
      <w:szCs w:val="24"/>
    </w:rPr>
  </w:style>
  <w:style w:type="character" w:styleId="1221" w:customStyle="1">
    <w:name w:val="正文文本首行缩进 字符"/>
    <w:link w:val="1174"/>
    <w:uiPriority w:val="99"/>
    <w:qFormat/>
    <w:rPr>
      <w:rFonts w:ascii="Times New Roman" w:hAnsi="Times New Roman" w:eastAsia="宋体" w:cs="Times New Roman"/>
      <w:sz w:val="24"/>
      <w:szCs w:val="24"/>
    </w:rPr>
  </w:style>
  <w:style w:type="character" w:styleId="1222" w:customStyle="1">
    <w:name w:val="正文文本首行缩进 2 字符"/>
    <w:link w:val="1175"/>
    <w:uiPriority w:val="99"/>
    <w:qFormat/>
    <w:rPr>
      <w:rFonts w:ascii="宋体" w:hAnsi="宋体" w:eastAsia="宋体"/>
      <w:sz w:val="20"/>
    </w:rPr>
  </w:style>
  <w:style w:type="paragraph" w:styleId="1223" w:customStyle="1">
    <w:name w:val="首行缩进"/>
    <w:basedOn w:val="1118"/>
    <w:uiPriority w:val="0"/>
    <w:qFormat/>
    <w:pPr>
      <w:ind w:left="420" w:firstLine="480"/>
      <w:spacing w:line="400" w:lineRule="exact"/>
    </w:pPr>
    <w:rPr>
      <w:szCs w:val="20"/>
    </w:rPr>
  </w:style>
  <w:style w:type="character" w:styleId="1224" w:customStyle="1">
    <w:name w:val="方案文档 Char Char"/>
    <w:uiPriority w:val="99"/>
    <w:qFormat/>
    <w:rPr>
      <w:rFonts w:ascii="宋体" w:hAnsi="宋体" w:eastAsia="宋体"/>
      <w:sz w:val="24"/>
      <w:lang w:val="zh-CN" w:eastAsia="zh-CN"/>
    </w:rPr>
  </w:style>
  <w:style w:type="character" w:styleId="1225" w:customStyle="1">
    <w:name w:val="textcontents"/>
    <w:uiPriority w:val="99"/>
    <w:qFormat/>
  </w:style>
  <w:style w:type="character" w:styleId="1226" w:customStyle="1">
    <w:name w:val="Char Char28"/>
    <w:uiPriority w:val="99"/>
    <w:qFormat/>
    <w:rPr>
      <w:rFonts w:ascii="Arial" w:hAnsi="Arial" w:eastAsia="黑体"/>
      <w:b/>
      <w:sz w:val="32"/>
    </w:rPr>
  </w:style>
  <w:style w:type="character" w:styleId="1227" w:customStyle="1">
    <w:name w:val="Char Char23"/>
    <w:uiPriority w:val="99"/>
    <w:qFormat/>
    <w:rPr>
      <w:rFonts w:ascii="Arial" w:hAnsi="Arial" w:eastAsia="黑体"/>
      <w:b/>
      <w:sz w:val="24"/>
    </w:rPr>
  </w:style>
  <w:style w:type="character" w:styleId="1228" w:customStyle="1">
    <w:name w:val="纯文本 Char Char Char1"/>
    <w:uiPriority w:val="99"/>
    <w:qFormat/>
    <w:rPr>
      <w:rFonts w:ascii="宋体" w:hAnsi="Courier New" w:eastAsia="宋体"/>
      <w:sz w:val="21"/>
      <w:lang w:val="en-US" w:eastAsia="zh-CN"/>
    </w:rPr>
  </w:style>
  <w:style w:type="character" w:styleId="1229" w:customStyle="1">
    <w:name w:val="华宇段落1 Char Char Char"/>
    <w:uiPriority w:val="99"/>
    <w:qFormat/>
    <w:rPr>
      <w:rFonts w:eastAsia="宋体"/>
      <w:sz w:val="24"/>
      <w:lang w:val="en-US" w:eastAsia="zh-CN"/>
    </w:rPr>
  </w:style>
  <w:style w:type="character" w:styleId="1230" w:customStyle="1">
    <w:name w:val="Char Char6"/>
    <w:uiPriority w:val="99"/>
    <w:qFormat/>
    <w:rPr>
      <w:rFonts w:eastAsia="宋体"/>
      <w:sz w:val="24"/>
      <w:lang w:val="en-US" w:eastAsia="zh-CN"/>
    </w:rPr>
  </w:style>
  <w:style w:type="character" w:styleId="1231" w:customStyle="1">
    <w:name w:val="标准文本 Char"/>
    <w:uiPriority w:val="99"/>
    <w:qFormat/>
    <w:rPr>
      <w:rFonts w:eastAsia="宋体"/>
      <w:sz w:val="24"/>
      <w:lang w:val="en-US" w:eastAsia="zh-CN"/>
    </w:rPr>
  </w:style>
  <w:style w:type="character" w:styleId="1232" w:customStyle="1">
    <w:name w:val="listbenefit"/>
    <w:uiPriority w:val="99"/>
    <w:qFormat/>
  </w:style>
  <w:style w:type="character" w:styleId="1233" w:customStyle="1">
    <w:name w:val="Char Char18"/>
    <w:uiPriority w:val="99"/>
    <w:qFormat/>
    <w:rPr>
      <w:rFonts w:eastAsia="宋体"/>
      <w:b/>
      <w:sz w:val="24"/>
      <w:lang w:val="en-US" w:eastAsia="zh-CN"/>
    </w:rPr>
  </w:style>
  <w:style w:type="character" w:styleId="1234" w:customStyle="1">
    <w:name w:val="明显强调1"/>
    <w:uiPriority w:val="99"/>
    <w:qFormat/>
    <w:rPr>
      <w:b/>
    </w:rPr>
  </w:style>
  <w:style w:type="character" w:styleId="1235" w:customStyle="1">
    <w:name w:val="font5 Char Char"/>
    <w:uiPriority w:val="99"/>
    <w:qFormat/>
    <w:rPr>
      <w:rFonts w:ascii="宋体" w:hAnsi="宋体" w:eastAsia="宋体"/>
      <w:sz w:val="28"/>
      <w:lang w:val="en-US" w:eastAsia="zh-CN"/>
    </w:rPr>
  </w:style>
  <w:style w:type="character" w:styleId="1236" w:customStyle="1">
    <w:name w:val="Char Char11"/>
    <w:uiPriority w:val="99"/>
    <w:qFormat/>
    <w:rPr>
      <w:rFonts w:ascii="宋体" w:hAnsi="宋体" w:eastAsia="宋体"/>
      <w:sz w:val="24"/>
      <w:lang w:val="en-US" w:eastAsia="zh-CN"/>
    </w:rPr>
  </w:style>
  <w:style w:type="character" w:styleId="1237" w:customStyle="1">
    <w:name w:val="Char Char10"/>
    <w:uiPriority w:val="99"/>
    <w:qFormat/>
    <w:rPr>
      <w:rFonts w:eastAsia="宋体"/>
      <w:b/>
      <w:sz w:val="24"/>
      <w:lang w:val="en-US" w:eastAsia="zh-CN"/>
    </w:rPr>
  </w:style>
  <w:style w:type="character" w:styleId="1238" w:customStyle="1">
    <w:name w:val="特点 Char1"/>
    <w:uiPriority w:val="99"/>
    <w:qFormat/>
    <w:rPr>
      <w:rFonts w:eastAsia="宋体"/>
      <w:sz w:val="21"/>
      <w:lang w:val="en-US" w:eastAsia="zh-CN"/>
    </w:rPr>
  </w:style>
  <w:style w:type="character" w:styleId="1239" w:customStyle="1">
    <w:name w:val="列表段落 字符"/>
    <w:link w:val="1240"/>
    <w:uiPriority w:val="99"/>
    <w:qFormat/>
    <w:rPr>
      <w:rFonts w:ascii="Calibri" w:hAnsi="Calibri"/>
    </w:rPr>
  </w:style>
  <w:style w:type="paragraph" w:styleId="1240">
    <w:name w:val="List Paragraph"/>
    <w:basedOn w:val="1118"/>
    <w:link w:val="1239"/>
    <w:uiPriority w:val="99"/>
    <w:qFormat/>
    <w:pPr>
      <w:ind w:firstLine="420"/>
      <w:spacing w:line="360" w:lineRule="auto"/>
    </w:pPr>
    <w:rPr>
      <w:rFonts w:ascii="Calibri" w:hAnsi="Calibri"/>
      <w:sz w:val="20"/>
      <w:szCs w:val="20"/>
    </w:rPr>
  </w:style>
  <w:style w:type="character" w:styleId="1241" w:customStyle="1">
    <w:name w:val="样式 非加粗"/>
    <w:uiPriority w:val="99"/>
    <w:qFormat/>
    <w:rPr>
      <w:rFonts w:eastAsia="宋体"/>
      <w:sz w:val="28"/>
    </w:rPr>
  </w:style>
  <w:style w:type="character" w:styleId="1242" w:customStyle="1">
    <w:name w:val="明显引用 Char"/>
    <w:uiPriority w:val="99"/>
    <w:qFormat/>
    <w:rPr>
      <w:rFonts w:ascii="Calibri" w:hAnsi="Calibri" w:eastAsia="宋体"/>
      <w:b/>
      <w:i/>
      <w:sz w:val="22"/>
      <w:lang w:val="en-US" w:eastAsia="en-US"/>
    </w:rPr>
  </w:style>
  <w:style w:type="character" w:styleId="1243" w:customStyle="1">
    <w:name w:val="content"/>
    <w:uiPriority w:val="99"/>
    <w:qFormat/>
  </w:style>
  <w:style w:type="character" w:styleId="1244" w:customStyle="1">
    <w:name w:val="Char Char14"/>
    <w:uiPriority w:val="99"/>
    <w:qFormat/>
    <w:rPr>
      <w:rFonts w:eastAsia="黑体"/>
      <w:b/>
      <w:sz w:val="28"/>
      <w:lang w:val="en-GB" w:eastAsia="zh-CN"/>
    </w:rPr>
  </w:style>
  <w:style w:type="character" w:styleId="1245" w:customStyle="1">
    <w:name w:val="标准小四 Char Char"/>
    <w:uiPriority w:val="99"/>
    <w:qFormat/>
    <w:rPr>
      <w:rFonts w:ascii="Arial" w:hAnsi="Arial" w:eastAsia="宋体"/>
      <w:sz w:val="21"/>
      <w:lang w:val="en-US" w:eastAsia="zh-CN"/>
    </w:rPr>
  </w:style>
  <w:style w:type="character" w:styleId="1246" w:customStyle="1">
    <w:name w:val="华宇段落1 Char Char"/>
    <w:uiPriority w:val="99"/>
    <w:qFormat/>
    <w:rPr>
      <w:rFonts w:eastAsia="宋体"/>
      <w:sz w:val="24"/>
      <w:lang w:val="en-US" w:eastAsia="zh-CN"/>
    </w:rPr>
  </w:style>
  <w:style w:type="character" w:styleId="1247" w:customStyle="1">
    <w:name w:val="书籍标题1"/>
    <w:uiPriority w:val="99"/>
    <w:qFormat/>
    <w:rPr>
      <w:i/>
      <w:smallCaps/>
      <w:spacing w:val="5"/>
    </w:rPr>
  </w:style>
  <w:style w:type="character" w:styleId="1248" w:customStyle="1">
    <w:name w:val="标准文本 Char Char"/>
    <w:uiPriority w:val="99"/>
    <w:qFormat/>
    <w:rPr>
      <w:rFonts w:eastAsia="宋体"/>
      <w:sz w:val="24"/>
      <w:lang w:val="en-US" w:eastAsia="zh-CN"/>
    </w:rPr>
  </w:style>
  <w:style w:type="character" w:styleId="1249" w:customStyle="1">
    <w:name w:val="纯文本 Char Char"/>
    <w:uiPriority w:val="99"/>
    <w:qFormat/>
    <w:rPr>
      <w:rFonts w:ascii="宋体" w:hAnsi="Courier New" w:eastAsia="宋体"/>
      <w:sz w:val="21"/>
      <w:lang w:val="en-US" w:eastAsia="zh-CN"/>
    </w:rPr>
  </w:style>
  <w:style w:type="character" w:styleId="1250" w:customStyle="1">
    <w:name w:val="h Char Char"/>
    <w:uiPriority w:val="99"/>
    <w:qFormat/>
    <w:rPr>
      <w:rFonts w:eastAsia="宋体"/>
      <w:sz w:val="18"/>
      <w:lang w:val="en-US" w:eastAsia="zh-CN"/>
    </w:rPr>
  </w:style>
  <w:style w:type="character" w:styleId="1251" w:customStyle="1">
    <w:name w:val="标题 Char1"/>
    <w:uiPriority w:val="99"/>
    <w:qFormat/>
    <w:rPr>
      <w:rFonts w:ascii="Cambria" w:eastAsia="宋体"/>
      <w:b/>
      <w:sz w:val="32"/>
    </w:rPr>
  </w:style>
  <w:style w:type="character" w:styleId="1252" w:customStyle="1">
    <w:name w:val="Char Char34"/>
    <w:uiPriority w:val="99"/>
    <w:qFormat/>
    <w:rPr>
      <w:rFonts w:eastAsia="宋体"/>
      <w:b/>
      <w:sz w:val="44"/>
      <w:lang w:val="en-US" w:eastAsia="zh-CN"/>
    </w:rPr>
  </w:style>
  <w:style w:type="character" w:styleId="1253" w:customStyle="1">
    <w:name w:val="不明显参考1"/>
    <w:uiPriority w:val="99"/>
    <w:qFormat/>
    <w:rPr>
      <w:smallCaps/>
    </w:rPr>
  </w:style>
  <w:style w:type="character" w:styleId="1254" w:customStyle="1">
    <w:name w:val="Intense Quote Char"/>
    <w:link w:val="1255"/>
    <w:uiPriority w:val="99"/>
    <w:qFormat/>
    <w:rPr>
      <w:rFonts w:ascii="Calibri" w:hAnsi="Calibri" w:eastAsia="宋体"/>
      <w:b/>
      <w:i/>
      <w:sz w:val="22"/>
      <w:lang w:eastAsia="en-US"/>
    </w:rPr>
  </w:style>
  <w:style w:type="paragraph" w:styleId="1255" w:customStyle="1">
    <w:name w:val="明显引用1"/>
    <w:basedOn w:val="1118"/>
    <w:next w:val="1118"/>
    <w:link w:val="1254"/>
    <w:uiPriority w:val="99"/>
    <w:qFormat/>
    <w:pPr>
      <w:ind w:left="1008" w:right="1152"/>
      <w:spacing w:before="200" w:after="280" w:line="276" w:lineRule="auto"/>
      <w:widowControl/>
      <w:pBdr>
        <w:bottom w:val="single" w:color="auto" w:sz="4" w:space="1"/>
      </w:pBdr>
    </w:pPr>
    <w:rPr>
      <w:rFonts w:ascii="Calibri" w:hAnsi="Calibri"/>
      <w:b/>
      <w:i/>
      <w:sz w:val="22"/>
      <w:szCs w:val="20"/>
      <w:lang w:eastAsia="en-US"/>
    </w:rPr>
  </w:style>
  <w:style w:type="character" w:styleId="1256" w:customStyle="1">
    <w:name w:val="font41"/>
    <w:uiPriority w:val="99"/>
    <w:qFormat/>
    <w:rPr>
      <w:rFonts w:ascii="宋体" w:hAnsi="宋体" w:eastAsia="宋体" w:cs="宋体"/>
      <w:color w:val="000000"/>
      <w:sz w:val="18"/>
      <w:szCs w:val="18"/>
      <w:u w:val="none"/>
    </w:rPr>
  </w:style>
  <w:style w:type="character" w:styleId="1257" w:customStyle="1">
    <w:name w:val="Title1 Char"/>
    <w:uiPriority w:val="99"/>
    <w:qFormat/>
    <w:rPr>
      <w:rFonts w:eastAsia="宋体"/>
      <w:b/>
      <w:sz w:val="44"/>
      <w:lang w:val="en-US" w:eastAsia="zh-CN"/>
    </w:rPr>
  </w:style>
  <w:style w:type="character" w:styleId="1258" w:customStyle="1">
    <w:name w:val="font21"/>
    <w:uiPriority w:val="99"/>
    <w:qFormat/>
    <w:rPr>
      <w:rFonts w:ascii="宋体" w:hAnsi="宋体" w:eastAsia="宋体"/>
      <w:color w:val="000000"/>
      <w:sz w:val="20"/>
      <w:u w:val="none"/>
    </w:rPr>
  </w:style>
  <w:style w:type="character" w:styleId="1259" w:customStyle="1">
    <w:name w:val="Char Char19"/>
    <w:uiPriority w:val="99"/>
    <w:qFormat/>
    <w:rPr>
      <w:rFonts w:ascii="Arial" w:hAnsi="Arial" w:eastAsia="黑体"/>
      <w:b/>
      <w:sz w:val="24"/>
      <w:lang w:val="en-US" w:eastAsia="zh-CN"/>
    </w:rPr>
  </w:style>
  <w:style w:type="character" w:styleId="1260" w:customStyle="1">
    <w:name w:val="style131"/>
    <w:uiPriority w:val="99"/>
    <w:qFormat/>
    <w:rPr>
      <w:sz w:val="18"/>
    </w:rPr>
  </w:style>
  <w:style w:type="character" w:styleId="1261" w:customStyle="1">
    <w:name w:val="Char Char4"/>
    <w:uiPriority w:val="99"/>
    <w:qFormat/>
    <w:rPr>
      <w:rFonts w:ascii="方正大黑简体" w:eastAsia="方正大黑简体"/>
      <w:position w:val="6"/>
      <w:sz w:val="30"/>
      <w:lang w:val="en-US" w:eastAsia="zh-CN"/>
    </w:rPr>
  </w:style>
  <w:style w:type="character" w:styleId="1262" w:customStyle="1">
    <w:name w:val="Char Char32"/>
    <w:uiPriority w:val="99"/>
    <w:qFormat/>
    <w:rPr>
      <w:rFonts w:eastAsia="宋体"/>
      <w:b/>
      <w:sz w:val="32"/>
      <w:lang w:val="en-US" w:eastAsia="zh-CN"/>
    </w:rPr>
  </w:style>
  <w:style w:type="character" w:styleId="1263" w:customStyle="1">
    <w:name w:val="case31"/>
    <w:uiPriority w:val="99"/>
    <w:qFormat/>
    <w:rPr>
      <w:sz w:val="21"/>
    </w:rPr>
  </w:style>
  <w:style w:type="character" w:styleId="1264" w:customStyle="1">
    <w:name w:val="标准小四 Char"/>
    <w:uiPriority w:val="99"/>
    <w:qFormat/>
    <w:rPr>
      <w:rFonts w:ascii="Arial" w:hAnsi="Arial" w:eastAsia="宋体"/>
      <w:sz w:val="21"/>
      <w:lang w:val="en-US" w:eastAsia="zh-CN"/>
    </w:rPr>
  </w:style>
  <w:style w:type="character" w:styleId="1265" w:customStyle="1">
    <w:name w:val="apple-style-span"/>
    <w:uiPriority w:val="99"/>
    <w:qFormat/>
  </w:style>
  <w:style w:type="character" w:styleId="1266" w:customStyle="1">
    <w:name w:val="纯文本 Char Char Char"/>
    <w:uiPriority w:val="99"/>
    <w:qFormat/>
    <w:rPr>
      <w:rFonts w:ascii="宋体" w:hAnsi="Courier New" w:eastAsia="宋体"/>
      <w:sz w:val="21"/>
      <w:lang w:val="en-US" w:eastAsia="zh-CN"/>
    </w:rPr>
  </w:style>
  <w:style w:type="character" w:styleId="1267" w:customStyle="1">
    <w:name w:val="2nd level Char"/>
    <w:uiPriority w:val="99"/>
    <w:qFormat/>
    <w:rPr>
      <w:rFonts w:ascii="Arial" w:hAnsi="Arial" w:eastAsia="黑体"/>
      <w:b/>
      <w:sz w:val="32"/>
      <w:lang w:val="en-US" w:eastAsia="zh-CN"/>
    </w:rPr>
  </w:style>
  <w:style w:type="character" w:styleId="1268" w:customStyle="1">
    <w:name w:val="A2"/>
    <w:uiPriority w:val="99"/>
    <w:qFormat/>
    <w:rPr>
      <w:color w:val="000000"/>
      <w:sz w:val="18"/>
    </w:rPr>
  </w:style>
  <w:style w:type="character" w:styleId="1269" w:customStyle="1">
    <w:name w:val="Char Char30"/>
    <w:uiPriority w:val="99"/>
    <w:qFormat/>
    <w:rPr>
      <w:rFonts w:eastAsia="宋体"/>
      <w:b/>
      <w:sz w:val="28"/>
      <w:lang w:val="en-US" w:eastAsia="zh-CN"/>
    </w:rPr>
  </w:style>
  <w:style w:type="character" w:styleId="1270" w:customStyle="1">
    <w:name w:val="小四 段落 宋体 Char1"/>
    <w:uiPriority w:val="99"/>
    <w:qFormat/>
    <w:rPr>
      <w:rFonts w:eastAsia="宋体"/>
      <w:sz w:val="24"/>
      <w:lang w:val="en-US" w:eastAsia="zh-CN"/>
    </w:rPr>
  </w:style>
  <w:style w:type="character" w:styleId="1271" w:customStyle="1">
    <w:name w:val="普通文字 Char Char3"/>
    <w:uiPriority w:val="99"/>
    <w:qFormat/>
    <w:rPr>
      <w:rFonts w:ascii="宋体" w:hAnsi="Courier New" w:eastAsia="宋体"/>
      <w:sz w:val="21"/>
      <w:lang w:val="en-US" w:eastAsia="zh-CN"/>
    </w:rPr>
  </w:style>
  <w:style w:type="character" w:styleId="1272" w:customStyle="1">
    <w:name w:val="小四 段落 宋体 Char Char Char Char Char"/>
    <w:uiPriority w:val="99"/>
    <w:qFormat/>
    <w:rPr>
      <w:rFonts w:eastAsia="宋体"/>
      <w:sz w:val="24"/>
      <w:lang w:val="en-US" w:eastAsia="zh-CN"/>
    </w:rPr>
  </w:style>
  <w:style w:type="character" w:styleId="1273" w:customStyle="1">
    <w:name w:val="正文 + 宋体 Char"/>
    <w:uiPriority w:val="99"/>
    <w:qFormat/>
    <w:rPr>
      <w:rFonts w:eastAsia="宋体"/>
      <w:sz w:val="24"/>
      <w:lang w:val="en-US" w:eastAsia="zh-CN"/>
    </w:rPr>
  </w:style>
  <w:style w:type="character" w:styleId="1274" w:customStyle="1">
    <w:name w:val="Char Char5"/>
    <w:uiPriority w:val="99"/>
    <w:qFormat/>
    <w:rPr>
      <w:rFonts w:eastAsia="宋体"/>
      <w:sz w:val="24"/>
      <w:lang w:val="en-US" w:eastAsia="zh-CN"/>
    </w:rPr>
  </w:style>
  <w:style w:type="character" w:styleId="1275" w:customStyle="1">
    <w:name w:val="样式 首行缩进:  2 字符 Char"/>
    <w:uiPriority w:val="99"/>
    <w:qFormat/>
    <w:rPr>
      <w:rFonts w:eastAsia="宋体"/>
      <w:sz w:val="24"/>
      <w:lang w:val="en-US" w:eastAsia="zh-CN"/>
    </w:rPr>
  </w:style>
  <w:style w:type="character" w:styleId="1276" w:customStyle="1">
    <w:name w:val="已访问的超链接1"/>
    <w:uiPriority w:val="99"/>
    <w:qFormat/>
    <w:rPr>
      <w:color w:val="auto"/>
      <w:u w:val="none"/>
    </w:rPr>
  </w:style>
  <w:style w:type="character" w:styleId="1277" w:customStyle="1">
    <w:name w:val="正文文本 字符"/>
    <w:uiPriority w:val="99"/>
    <w:semiHidden/>
    <w:qFormat/>
    <w:rPr>
      <w:rFonts w:ascii="Times New Roman" w:hAnsi="Times New Roman" w:eastAsia="宋体"/>
      <w:sz w:val="24"/>
    </w:rPr>
  </w:style>
  <w:style w:type="character" w:styleId="1278" w:customStyle="1">
    <w:name w:val="normalfont1"/>
    <w:uiPriority w:val="99"/>
    <w:qFormat/>
    <w:rPr>
      <w:rFonts w:ascii="??" w:hAnsi="??"/>
      <w:sz w:val="18"/>
      <w:u w:val="none"/>
    </w:rPr>
  </w:style>
  <w:style w:type="character" w:styleId="1279" w:customStyle="1">
    <w:name w:val="小四 段落 宋体 Char Char Char Char1"/>
    <w:uiPriority w:val="99"/>
    <w:qFormat/>
    <w:rPr>
      <w:rFonts w:eastAsia="宋体"/>
      <w:sz w:val="24"/>
      <w:lang w:val="en-US" w:eastAsia="zh-CN"/>
    </w:rPr>
  </w:style>
  <w:style w:type="character" w:styleId="1280" w:customStyle="1">
    <w:name w:val="Quote Char"/>
    <w:link w:val="1281"/>
    <w:uiPriority w:val="99"/>
    <w:qFormat/>
    <w:rPr>
      <w:rFonts w:ascii="Calibri" w:hAnsi="Calibri" w:eastAsia="宋体"/>
      <w:i/>
      <w:sz w:val="22"/>
      <w:lang w:eastAsia="en-US"/>
    </w:rPr>
  </w:style>
  <w:style w:type="paragraph" w:styleId="1281" w:customStyle="1">
    <w:name w:val="引用1"/>
    <w:basedOn w:val="1118"/>
    <w:next w:val="1118"/>
    <w:link w:val="1280"/>
    <w:uiPriority w:val="99"/>
    <w:qFormat/>
    <w:pPr>
      <w:ind w:left="360" w:right="360"/>
      <w:jc w:val="left"/>
      <w:spacing w:before="200" w:line="276" w:lineRule="auto"/>
      <w:widowControl/>
    </w:pPr>
    <w:rPr>
      <w:rFonts w:ascii="Calibri" w:hAnsi="Calibri"/>
      <w:i/>
      <w:sz w:val="22"/>
      <w:szCs w:val="20"/>
      <w:lang w:eastAsia="en-US"/>
    </w:rPr>
  </w:style>
  <w:style w:type="character" w:styleId="1282" w:customStyle="1">
    <w:name w:val="样式 宋体 小四"/>
    <w:uiPriority w:val="99"/>
    <w:qFormat/>
    <w:rPr>
      <w:rFonts w:ascii="宋体" w:eastAsia="宋体"/>
      <w:sz w:val="24"/>
    </w:rPr>
  </w:style>
  <w:style w:type="character" w:styleId="1283" w:customStyle="1">
    <w:name w:val="标题 3 Char Char"/>
    <w:uiPriority w:val="99"/>
    <w:qFormat/>
    <w:rPr>
      <w:rFonts w:eastAsia="仿宋_GB2312"/>
      <w:b/>
      <w:sz w:val="32"/>
      <w:lang w:val="en-US" w:eastAsia="zh-CN"/>
    </w:rPr>
  </w:style>
  <w:style w:type="character" w:styleId="1284" w:customStyle="1">
    <w:name w:val="font111"/>
    <w:uiPriority w:val="99"/>
    <w:qFormat/>
    <w:rPr>
      <w:rFonts w:ascii="宋体" w:hAnsi="宋体" w:eastAsia="宋体"/>
      <w:color w:val="000000"/>
      <w:sz w:val="20"/>
      <w:u w:val="none"/>
    </w:rPr>
  </w:style>
  <w:style w:type="character" w:styleId="1285" w:customStyle="1">
    <w:name w:val="标准文本 Char Char Char"/>
    <w:uiPriority w:val="99"/>
    <w:qFormat/>
    <w:rPr>
      <w:rFonts w:eastAsia="宋体"/>
      <w:sz w:val="24"/>
      <w:lang w:val="en-US" w:eastAsia="zh-CN"/>
    </w:rPr>
  </w:style>
  <w:style w:type="character" w:styleId="1286" w:customStyle="1">
    <w:name w:val="Char Char24"/>
    <w:uiPriority w:val="99"/>
    <w:qFormat/>
    <w:rPr>
      <w:b/>
      <w:sz w:val="28"/>
    </w:rPr>
  </w:style>
  <w:style w:type="character" w:styleId="1287" w:customStyle="1">
    <w:name w:val="样式 首行缩进:  2 字符 Char Char Char"/>
    <w:uiPriority w:val="99"/>
    <w:qFormat/>
    <w:rPr>
      <w:rFonts w:eastAsia="宋体"/>
      <w:sz w:val="24"/>
      <w:lang w:val="en-US" w:eastAsia="zh-CN"/>
    </w:rPr>
  </w:style>
  <w:style w:type="character" w:styleId="1288" w:customStyle="1">
    <w:name w:val="Char Char31"/>
    <w:uiPriority w:val="99"/>
    <w:qFormat/>
    <w:rPr>
      <w:rFonts w:ascii="Arial" w:hAnsi="Arial" w:eastAsia="黑体"/>
      <w:b/>
      <w:sz w:val="28"/>
      <w:lang w:val="en-US" w:eastAsia="zh-CN"/>
    </w:rPr>
  </w:style>
  <w:style w:type="character" w:styleId="1289" w:customStyle="1">
    <w:name w:val="小四 段落 宋体 Char Char Char1"/>
    <w:uiPriority w:val="99"/>
    <w:qFormat/>
    <w:rPr>
      <w:rFonts w:ascii="宋体" w:hAnsi="宋体" w:eastAsia="宋体"/>
      <w:sz w:val="24"/>
      <w:lang w:val="en-US" w:eastAsia="zh-CN"/>
    </w:rPr>
  </w:style>
  <w:style w:type="character" w:styleId="1290" w:customStyle="1">
    <w:name w:val="Char Char7"/>
    <w:uiPriority w:val="99"/>
    <w:qFormat/>
    <w:rPr>
      <w:rFonts w:eastAsia="宋体"/>
      <w:b/>
      <w:sz w:val="24"/>
      <w:lang w:val="en-US" w:eastAsia="zh-CN"/>
    </w:rPr>
  </w:style>
  <w:style w:type="character" w:styleId="1291" w:customStyle="1">
    <w:name w:val="concon"/>
    <w:uiPriority w:val="99"/>
    <w:qFormat/>
  </w:style>
  <w:style w:type="character" w:styleId="1292" w:customStyle="1">
    <w:name w:val="小四 段落 宋体 Char Char Char Char Char Char"/>
    <w:uiPriority w:val="99"/>
    <w:qFormat/>
    <w:rPr>
      <w:rFonts w:eastAsia="宋体"/>
      <w:sz w:val="24"/>
      <w:lang w:val="en-US" w:eastAsia="zh-CN"/>
    </w:rPr>
  </w:style>
  <w:style w:type="character" w:styleId="1293" w:customStyle="1">
    <w:name w:val="标题 3 Char1"/>
    <w:uiPriority w:val="99"/>
    <w:qFormat/>
    <w:rPr>
      <w:rFonts w:eastAsia="宋体"/>
      <w:b/>
      <w:sz w:val="32"/>
      <w:lang w:val="en-US" w:eastAsia="zh-CN"/>
    </w:rPr>
  </w:style>
  <w:style w:type="character" w:styleId="1294" w:customStyle="1">
    <w:name w:val="Char Char26"/>
    <w:uiPriority w:val="99"/>
    <w:qFormat/>
    <w:rPr>
      <w:b/>
      <w:sz w:val="32"/>
    </w:rPr>
  </w:style>
  <w:style w:type="character" w:styleId="1295" w:customStyle="1">
    <w:name w:val="Char Char33"/>
    <w:uiPriority w:val="99"/>
    <w:qFormat/>
    <w:rPr>
      <w:rFonts w:ascii="Arial" w:hAnsi="Arial" w:eastAsia="黑体"/>
      <w:b/>
      <w:sz w:val="32"/>
      <w:lang w:val="en-US" w:eastAsia="zh-CN"/>
    </w:rPr>
  </w:style>
  <w:style w:type="character" w:styleId="1296" w:customStyle="1">
    <w:name w:val="小四 段落 宋体 Char Char Char Char Char Char Char"/>
    <w:uiPriority w:val="99"/>
    <w:qFormat/>
    <w:rPr>
      <w:rFonts w:eastAsia="宋体"/>
      <w:sz w:val="24"/>
      <w:lang w:val="en-US" w:eastAsia="zh-CN"/>
    </w:rPr>
  </w:style>
  <w:style w:type="character" w:styleId="1297" w:customStyle="1">
    <w:name w:val="Char Char20"/>
    <w:uiPriority w:val="99"/>
    <w:qFormat/>
    <w:rPr>
      <w:rFonts w:ascii="Arial" w:hAnsi="Arial" w:eastAsia="黑体"/>
      <w:sz w:val="21"/>
    </w:rPr>
  </w:style>
  <w:style w:type="character" w:styleId="1298" w:customStyle="1">
    <w:name w:val="Char Char17"/>
    <w:uiPriority w:val="99"/>
    <w:qFormat/>
    <w:rPr>
      <w:rFonts w:ascii="宋体" w:hAnsi="Courier New"/>
      <w:sz w:val="21"/>
    </w:rPr>
  </w:style>
  <w:style w:type="character" w:styleId="1299" w:customStyle="1">
    <w:name w:val="subtitle1"/>
    <w:uiPriority w:val="99"/>
    <w:qFormat/>
    <w:rPr>
      <w:rFonts w:ascii="Georgia" w:hAnsi="Georgia"/>
      <w:b/>
      <w:color w:val="auto"/>
      <w:sz w:val="18"/>
    </w:rPr>
  </w:style>
  <w:style w:type="character" w:styleId="1300" w:customStyle="1">
    <w:name w:val="正文缩进 Char1"/>
    <w:uiPriority w:val="99"/>
    <w:qFormat/>
    <w:rPr>
      <w:rFonts w:eastAsia="宋体"/>
    </w:rPr>
  </w:style>
  <w:style w:type="character" w:styleId="1301" w:customStyle="1">
    <w:name w:val="Char Char12"/>
    <w:uiPriority w:val="99"/>
    <w:qFormat/>
    <w:rPr>
      <w:rFonts w:ascii="Arial" w:hAnsi="Arial" w:eastAsia="黑体"/>
      <w:sz w:val="21"/>
      <w:lang w:val="en-US" w:eastAsia="zh-CN"/>
    </w:rPr>
  </w:style>
  <w:style w:type="character" w:styleId="1302" w:customStyle="1">
    <w:name w:val="Char Char27"/>
    <w:uiPriority w:val="99"/>
    <w:qFormat/>
    <w:rPr>
      <w:b/>
      <w:sz w:val="44"/>
    </w:rPr>
  </w:style>
  <w:style w:type="character" w:styleId="1303" w:customStyle="1">
    <w:name w:val="页脚 Char"/>
    <w:uiPriority w:val="0"/>
    <w:qFormat/>
    <w:rPr>
      <w:sz w:val="18"/>
    </w:rPr>
  </w:style>
  <w:style w:type="character" w:styleId="1304" w:customStyle="1">
    <w:name w:val="明显参考1"/>
    <w:uiPriority w:val="99"/>
    <w:qFormat/>
    <w:rPr>
      <w:smallCaps/>
      <w:spacing w:val="5"/>
      <w:u w:val="single"/>
    </w:rPr>
  </w:style>
  <w:style w:type="character" w:styleId="1305" w:customStyle="1">
    <w:name w:val="apple-converted-space"/>
    <w:uiPriority w:val="99"/>
    <w:qFormat/>
  </w:style>
  <w:style w:type="character" w:styleId="1306" w:customStyle="1">
    <w:name w:val="Char Char22"/>
    <w:uiPriority w:val="99"/>
    <w:qFormat/>
    <w:rPr>
      <w:b/>
      <w:sz w:val="24"/>
    </w:rPr>
  </w:style>
  <w:style w:type="character" w:styleId="1307" w:customStyle="1">
    <w:name w:val="Char Char13"/>
    <w:uiPriority w:val="99"/>
    <w:qFormat/>
    <w:rPr>
      <w:rFonts w:ascii="宋体" w:hAnsi="宋体" w:eastAsia="宋体"/>
      <w:sz w:val="24"/>
      <w:lang w:val="en-US" w:eastAsia="zh-CN"/>
    </w:rPr>
  </w:style>
  <w:style w:type="character" w:styleId="1308" w:customStyle="1">
    <w:name w:val="content_lineheight1"/>
    <w:uiPriority w:val="99"/>
    <w:qFormat/>
  </w:style>
  <w:style w:type="character" w:styleId="1309" w:customStyle="1">
    <w:name w:val="ih151"/>
    <w:uiPriority w:val="99"/>
    <w:qFormat/>
    <w:rPr>
      <w:color w:val="auto"/>
      <w:sz w:val="18"/>
      <w:u w:val="none"/>
    </w:rPr>
  </w:style>
  <w:style w:type="character" w:styleId="1310" w:customStyle="1">
    <w:name w:val="样式 首行缩进:  2 字符 Char Char"/>
    <w:uiPriority w:val="99"/>
    <w:qFormat/>
    <w:rPr>
      <w:rFonts w:eastAsia="宋体"/>
      <w:sz w:val="24"/>
      <w:lang w:val="en-US" w:eastAsia="zh-CN"/>
    </w:rPr>
  </w:style>
  <w:style w:type="character" w:styleId="1311" w:customStyle="1">
    <w:name w:val="Char Char15"/>
    <w:uiPriority w:val="99"/>
    <w:qFormat/>
    <w:rPr>
      <w:rFonts w:ascii="Arial" w:hAnsi="Arial" w:eastAsia="黑体"/>
      <w:sz w:val="21"/>
      <w:lang w:val="en-US" w:eastAsia="zh-CN"/>
    </w:rPr>
  </w:style>
  <w:style w:type="character" w:styleId="1312" w:customStyle="1">
    <w:name w:val="引用 Char"/>
    <w:uiPriority w:val="99"/>
    <w:qFormat/>
    <w:rPr>
      <w:rFonts w:ascii="Calibri" w:hAnsi="Calibri" w:eastAsia="宋体"/>
      <w:i/>
      <w:sz w:val="22"/>
      <w:lang w:val="en-US" w:eastAsia="en-US"/>
    </w:rPr>
  </w:style>
  <w:style w:type="character" w:styleId="1313" w:customStyle="1">
    <w:name w:val="Char Char29"/>
    <w:uiPriority w:val="99"/>
    <w:qFormat/>
    <w:rPr>
      <w:rFonts w:ascii="Times New Roman" w:hAnsi="Times New Roman" w:eastAsia="宋体"/>
      <w:b/>
      <w:sz w:val="44"/>
    </w:rPr>
  </w:style>
  <w:style w:type="character" w:styleId="1314" w:customStyle="1">
    <w:name w:val="t1"/>
    <w:uiPriority w:val="99"/>
    <w:qFormat/>
  </w:style>
  <w:style w:type="character" w:styleId="1315" w:customStyle="1">
    <w:name w:val="title_emph1"/>
    <w:uiPriority w:val="99"/>
    <w:qFormat/>
    <w:rPr>
      <w:rFonts w:ascii="Arial"/>
      <w:b/>
      <w:sz w:val="18"/>
    </w:rPr>
  </w:style>
  <w:style w:type="character" w:styleId="1316" w:customStyle="1">
    <w:name w:val="Char Char21"/>
    <w:uiPriority w:val="99"/>
    <w:qFormat/>
    <w:rPr>
      <w:rFonts w:ascii="Arial" w:hAnsi="Arial" w:eastAsia="黑体"/>
      <w:sz w:val="24"/>
    </w:rPr>
  </w:style>
  <w:style w:type="character" w:styleId="1317" w:customStyle="1">
    <w:name w:val="纯文本 Char1"/>
    <w:uiPriority w:val="99"/>
    <w:qFormat/>
    <w:rPr>
      <w:rFonts w:ascii="宋体" w:hAnsi="Courier New"/>
      <w:sz w:val="21"/>
    </w:rPr>
  </w:style>
  <w:style w:type="character" w:styleId="1318" w:customStyle="1">
    <w:name w:val="Char Char25"/>
    <w:uiPriority w:val="99"/>
    <w:qFormat/>
    <w:rPr>
      <w:rFonts w:ascii="Arial" w:hAnsi="Arial" w:eastAsia="黑体"/>
      <w:b/>
      <w:sz w:val="28"/>
    </w:rPr>
  </w:style>
  <w:style w:type="character" w:styleId="1319" w:customStyle="1">
    <w:name w:val="无间隔 Char"/>
    <w:uiPriority w:val="99"/>
    <w:qFormat/>
    <w:rPr>
      <w:rFonts w:ascii="Calibri" w:hAnsi="Calibri" w:eastAsia="微软雅黑"/>
      <w:sz w:val="22"/>
      <w:lang w:val="en-US" w:eastAsia="zh-CN"/>
    </w:rPr>
  </w:style>
  <w:style w:type="character" w:styleId="1320" w:customStyle="1">
    <w:name w:val="Char Char2"/>
    <w:uiPriority w:val="99"/>
    <w:qFormat/>
    <w:rPr>
      <w:rFonts w:ascii="宋体" w:hAnsi="Courier New" w:eastAsia="宋体"/>
      <w:sz w:val="21"/>
      <w:lang w:val="en-US" w:eastAsia="zh-CN"/>
    </w:rPr>
  </w:style>
  <w:style w:type="character" w:styleId="1321"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
    <w:uiPriority w:val="99"/>
    <w:qFormat/>
    <w:rPr>
      <w:rFonts w:eastAsia="宋体"/>
      <w:b/>
      <w:sz w:val="32"/>
      <w:lang w:val="en-US" w:eastAsia="zh-CN"/>
    </w:rPr>
  </w:style>
  <w:style w:type="character" w:styleId="1322" w:customStyle="1">
    <w:name w:val="不明显强调1"/>
    <w:uiPriority w:val="99"/>
    <w:qFormat/>
    <w:rPr>
      <w:i/>
    </w:rPr>
  </w:style>
  <w:style w:type="character" w:styleId="1323" w:customStyle="1">
    <w:name w:val="111111 Char Char"/>
    <w:uiPriority w:val="99"/>
    <w:qFormat/>
    <w:rPr>
      <w:rFonts w:ascii="宋体" w:hAnsi="宋体" w:eastAsia="黑体"/>
      <w:b/>
      <w:sz w:val="21"/>
      <w:lang w:val="en-US" w:eastAsia="zh-CN"/>
    </w:rPr>
  </w:style>
  <w:style w:type="character" w:styleId="1324" w:customStyle="1">
    <w:name w:val="font61"/>
    <w:uiPriority w:val="0"/>
    <w:qFormat/>
    <w:rPr>
      <w:rFonts w:ascii="宋体" w:hAnsi="宋体" w:eastAsia="宋体"/>
      <w:color w:val="ff0000"/>
      <w:sz w:val="20"/>
      <w:u w:val="none"/>
    </w:rPr>
  </w:style>
  <w:style w:type="character" w:styleId="1325" w:customStyle="1">
    <w:name w:val="标准小四 Char Char Char"/>
    <w:uiPriority w:val="99"/>
    <w:qFormat/>
    <w:rPr>
      <w:rFonts w:ascii="Arial" w:hAnsi="Arial" w:eastAsia="宋体"/>
      <w:sz w:val="21"/>
      <w:lang w:val="en-US" w:eastAsia="zh-CN"/>
    </w:rPr>
  </w:style>
  <w:style w:type="character" w:styleId="1326" w:customStyle="1">
    <w:name w:val="Char Char9"/>
    <w:uiPriority w:val="99"/>
    <w:qFormat/>
    <w:rPr>
      <w:rFonts w:eastAsia="宋体"/>
      <w:sz w:val="21"/>
      <w:lang w:val="en-US" w:eastAsia="zh-CN"/>
    </w:rPr>
  </w:style>
  <w:style w:type="character" w:styleId="1327" w:customStyle="1">
    <w:name w:val="3zw"/>
    <w:uiPriority w:val="99"/>
    <w:qFormat/>
  </w:style>
  <w:style w:type="character" w:styleId="1328" w:customStyle="1">
    <w:name w:val="medium_text1"/>
    <w:uiPriority w:val="99"/>
    <w:qFormat/>
    <w:rPr>
      <w:sz w:val="24"/>
    </w:rPr>
  </w:style>
  <w:style w:type="character" w:styleId="1329" w:customStyle="1">
    <w:name w:val="Char Char16"/>
    <w:uiPriority w:val="99"/>
    <w:qFormat/>
    <w:rPr>
      <w:rFonts w:ascii="Arial" w:hAnsi="Arial" w:eastAsia="黑体"/>
      <w:sz w:val="24"/>
      <w:lang w:val="en-US" w:eastAsia="zh-CN"/>
    </w:rPr>
  </w:style>
  <w:style w:type="character" w:styleId="1330" w:customStyle="1">
    <w:name w:val="华宇段落1 Char Char Char Char"/>
    <w:uiPriority w:val="99"/>
    <w:qFormat/>
    <w:rPr>
      <w:rFonts w:eastAsia="宋体"/>
      <w:sz w:val="24"/>
      <w:lang w:val="en-US" w:eastAsia="zh-CN"/>
    </w:rPr>
  </w:style>
  <w:style w:type="character" w:styleId="1331" w:customStyle="1">
    <w:name w:val="font91"/>
    <w:uiPriority w:val="99"/>
    <w:qFormat/>
    <w:rPr>
      <w:rFonts w:ascii="宋体" w:hAnsi="宋体" w:eastAsia="宋体"/>
      <w:color w:val="000000"/>
      <w:sz w:val="20"/>
      <w:u w:val="none"/>
    </w:rPr>
  </w:style>
  <w:style w:type="character" w:styleId="1332" w:customStyle="1">
    <w:name w:val="Char Char3"/>
    <w:uiPriority w:val="99"/>
    <w:qFormat/>
    <w:rPr>
      <w:rFonts w:eastAsia="宋体"/>
      <w:sz w:val="18"/>
      <w:lang w:val="en-US" w:eastAsia="zh-CN"/>
    </w:rPr>
  </w:style>
  <w:style w:type="character" w:styleId="1333" w:customStyle="1">
    <w:name w:val="普通文字1 Char"/>
    <w:uiPriority w:val="99"/>
    <w:qFormat/>
    <w:rPr>
      <w:rFonts w:ascii="宋体" w:eastAsia="宋体"/>
      <w:sz w:val="21"/>
      <w:lang w:val="en-US" w:eastAsia="zh-CN"/>
    </w:rPr>
  </w:style>
  <w:style w:type="character" w:styleId="1334" w:customStyle="1">
    <w:name w:val="Char Char8"/>
    <w:uiPriority w:val="99"/>
    <w:qFormat/>
    <w:rPr>
      <w:rFonts w:eastAsia="宋体"/>
      <w:sz w:val="18"/>
      <w:lang w:val="en-US" w:eastAsia="zh-CN"/>
    </w:rPr>
  </w:style>
  <w:style w:type="character" w:styleId="1335" w:customStyle="1">
    <w:name w:val="msosubtleemphasis"/>
    <w:uiPriority w:val="99"/>
    <w:qFormat/>
    <w:rPr>
      <w:rFonts w:cs="Times New Roman"/>
      <w:i/>
      <w:color w:val="auto"/>
    </w:rPr>
  </w:style>
  <w:style w:type="character" w:styleId="1336" w:customStyle="1">
    <w:name w:val="小四 段落 宋体 Char Char Char Char Char Char Char Char"/>
    <w:uiPriority w:val="99"/>
    <w:qFormat/>
    <w:rPr>
      <w:rFonts w:eastAsia="宋体"/>
      <w:sz w:val="24"/>
      <w:lang w:val="en-US" w:eastAsia="zh-CN"/>
    </w:rPr>
  </w:style>
  <w:style w:type="character" w:styleId="1337" w:customStyle="1">
    <w:name w:val="批注文字 Char"/>
    <w:uiPriority w:val="0"/>
    <w:qFormat/>
    <w:rPr>
      <w:rFonts w:ascii="Times New Roman" w:hAnsi="Times New Roman" w:eastAsia="宋体"/>
      <w:sz w:val="20"/>
    </w:rPr>
  </w:style>
  <w:style w:type="character" w:styleId="1338" w:customStyle="1">
    <w:name w:val="批注文字 字符"/>
    <w:uiPriority w:val="0"/>
    <w:qFormat/>
    <w:rPr>
      <w:rFonts w:ascii="Times New Roman" w:hAnsi="Times New Roman" w:eastAsia="宋体" w:cs="Times New Roman"/>
      <w:sz w:val="24"/>
      <w:szCs w:val="24"/>
    </w:rPr>
  </w:style>
  <w:style w:type="paragraph" w:styleId="1339" w:customStyle="1">
    <w:name w:val="样式 加点正文 + 段前: 0.5 行 段后: 0.5 行1"/>
    <w:basedOn w:val="1118"/>
    <w:uiPriority w:val="99"/>
    <w:qFormat/>
    <w:pPr>
      <w:ind w:left="1268" w:hanging="420"/>
      <w:spacing w:line="300" w:lineRule="auto"/>
      <w:tabs>
        <w:tab w:val="left" w:pos="1268" w:leader="none"/>
      </w:tabs>
    </w:pPr>
    <w:rPr>
      <w:sz w:val="24"/>
      <w:szCs w:val="20"/>
    </w:rPr>
  </w:style>
  <w:style w:type="paragraph" w:styleId="1340" w:customStyle="1">
    <w:name w:val="Char2"/>
    <w:basedOn w:val="1135"/>
    <w:uiPriority w:val="99"/>
    <w:qFormat/>
    <w:rPr>
      <w:rFonts w:ascii="Tahoma" w:hAnsi="Tahoma"/>
    </w:rPr>
  </w:style>
  <w:style w:type="paragraph" w:styleId="1341" w:customStyle="1">
    <w:name w:val="正文缩进2字符"/>
    <w:basedOn w:val="1118"/>
    <w:uiPriority w:val="99"/>
    <w:qFormat/>
    <w:pPr>
      <w:ind w:firstLine="200"/>
      <w:spacing w:line="300" w:lineRule="auto"/>
    </w:pPr>
    <w:rPr>
      <w:rFonts w:ascii="仿宋_GB2312" w:eastAsia="仿宋_GB2312"/>
      <w:sz w:val="32"/>
      <w:szCs w:val="32"/>
    </w:rPr>
  </w:style>
  <w:style w:type="paragraph" w:styleId="1342" w:customStyle="1">
    <w:name w:val="普通 (Web)"/>
    <w:basedOn w:val="1118"/>
    <w:uiPriority w:val="99"/>
    <w:qFormat/>
    <w:pPr>
      <w:jc w:val="left"/>
      <w:spacing w:before="100" w:beforeAutospacing="1" w:after="100" w:afterAutospacing="1"/>
      <w:widowControl/>
    </w:pPr>
    <w:rPr>
      <w:rFonts w:ascii="宋体" w:hAnsi="宋体"/>
      <w:sz w:val="24"/>
    </w:rPr>
  </w:style>
  <w:style w:type="paragraph" w:styleId="1343" w:customStyle="1">
    <w:name w:val="table_lines"/>
    <w:basedOn w:val="1118"/>
    <w:uiPriority w:val="99"/>
    <w:qFormat/>
    <w:pPr>
      <w:jc w:val="left"/>
      <w:widowControl/>
    </w:pPr>
    <w:rPr>
      <w:sz w:val="20"/>
      <w:szCs w:val="20"/>
      <w:lang w:val="de-DE" w:eastAsia="de-DE"/>
    </w:rPr>
  </w:style>
  <w:style w:type="paragraph" w:styleId="1344" w:customStyle="1">
    <w:name w:val="方案正文"/>
    <w:basedOn w:val="1118"/>
    <w:uiPriority w:val="99"/>
    <w:qFormat/>
    <w:pPr>
      <w:ind w:firstLine="359"/>
      <w:jc w:val="left"/>
      <w:spacing w:before="156" w:line="360" w:lineRule="auto"/>
    </w:pPr>
    <w:rPr>
      <w:rFonts w:ascii="Arial" w:hAnsi="Arial" w:cs="宋体"/>
      <w:sz w:val="24"/>
      <w:szCs w:val="21"/>
    </w:rPr>
  </w:style>
  <w:style w:type="paragraph" w:styleId="1345" w:customStyle="1">
    <w:name w:val="xl37"/>
    <w:basedOn w:val="111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szCs w:val="20"/>
    </w:rPr>
  </w:style>
  <w:style w:type="paragraph" w:styleId="1346" w:customStyle="1">
    <w:name w:val="标准文本"/>
    <w:basedOn w:val="1118"/>
    <w:uiPriority w:val="99"/>
    <w:qFormat/>
    <w:pPr>
      <w:ind w:firstLine="480"/>
      <w:spacing w:line="360" w:lineRule="auto"/>
    </w:pPr>
    <w:rPr>
      <w:rFonts w:cs="宋体"/>
      <w:sz w:val="24"/>
    </w:rPr>
  </w:style>
  <w:style w:type="paragraph" w:styleId="1347" w:customStyle="1">
    <w:name w:val="正文 + 宋体"/>
    <w:basedOn w:val="1118"/>
    <w:uiPriority w:val="99"/>
    <w:qFormat/>
    <w:pPr>
      <w:ind w:firstLine="420"/>
      <w:spacing w:line="360" w:lineRule="auto"/>
    </w:pPr>
  </w:style>
  <w:style w:type="paragraph" w:styleId="1348" w:customStyle="1">
    <w:name w:val="我的正文"/>
    <w:basedOn w:val="1118"/>
    <w:uiPriority w:val="99"/>
    <w:qFormat/>
    <w:pPr>
      <w:ind w:firstLine="420"/>
      <w:jc w:val="left"/>
      <w:spacing w:line="360" w:lineRule="auto"/>
      <w:widowControl/>
    </w:pPr>
    <w:rPr>
      <w:rFonts w:ascii="宋体" w:hAnsi="宋体" w:cs="宋体"/>
      <w:szCs w:val="21"/>
    </w:rPr>
  </w:style>
  <w:style w:type="paragraph" w:styleId="1349" w:customStyle="1">
    <w:name w:val="Char Char Char Char Char Char Char"/>
    <w:basedOn w:val="1118"/>
    <w:uiPriority w:val="99"/>
    <w:qFormat/>
    <w:pPr>
      <w:jc w:val="left"/>
    </w:pPr>
    <w:rPr>
      <w:rFonts w:ascii="Tahoma" w:hAnsi="Tahoma"/>
      <w:sz w:val="24"/>
      <w:szCs w:val="20"/>
    </w:rPr>
  </w:style>
  <w:style w:type="paragraph" w:styleId="1350" w:customStyle="1">
    <w:name w:val="公文正文"/>
    <w:basedOn w:val="1140"/>
    <w:uiPriority w:val="99"/>
    <w:qFormat/>
    <w:pPr>
      <w:ind w:left="0" w:firstLine="200"/>
      <w:spacing w:after="0"/>
    </w:pPr>
    <w:rPr>
      <w:rFonts w:ascii="仿宋_GB2312" w:hAnsi="宋体" w:eastAsia="仿宋_GB2312"/>
      <w:sz w:val="28"/>
    </w:rPr>
  </w:style>
  <w:style w:type="paragraph" w:styleId="1351" w:customStyle="1">
    <w:name w:val="p0"/>
    <w:basedOn w:val="1118"/>
    <w:uiPriority w:val="99"/>
    <w:qFormat/>
    <w:pPr>
      <w:jc w:val="left"/>
      <w:spacing w:before="100" w:beforeAutospacing="1" w:after="100" w:afterAutospacing="1"/>
      <w:widowControl/>
    </w:pPr>
    <w:rPr>
      <w:rFonts w:ascii="宋体" w:hAnsi="宋体" w:cs="宋体"/>
      <w:sz w:val="24"/>
    </w:rPr>
  </w:style>
  <w:style w:type="paragraph" w:styleId="1352" w:customStyle="1">
    <w:name w:val="Char Char Char Char Char Char Char Char Char Char Char"/>
    <w:basedOn w:val="1118"/>
    <w:uiPriority w:val="99"/>
    <w:qFormat/>
    <w:rPr>
      <w:rFonts w:ascii="Tahoma" w:hAnsi="Tahoma"/>
      <w:sz w:val="24"/>
      <w:szCs w:val="20"/>
    </w:rPr>
  </w:style>
  <w:style w:type="paragraph" w:styleId="1353" w:customStyle="1">
    <w:name w:val="插图"/>
    <w:basedOn w:val="1118"/>
    <w:uiPriority w:val="99"/>
    <w:qFormat/>
    <w:pPr>
      <w:jc w:val="center"/>
      <w:tabs>
        <w:tab w:val="left" w:pos="1620" w:leader="none"/>
      </w:tabs>
    </w:pPr>
    <w:rPr>
      <w:bCs/>
      <w:color w:val="000000"/>
      <w:szCs w:val="22"/>
    </w:rPr>
  </w:style>
  <w:style w:type="paragraph" w:styleId="1354" w:customStyle="1">
    <w:name w:val="样式1"/>
    <w:basedOn w:val="1118"/>
    <w:uiPriority w:val="99"/>
    <w:qFormat/>
    <w:pPr>
      <w:ind w:firstLine="480"/>
      <w:spacing w:line="300" w:lineRule="auto"/>
    </w:pPr>
    <w:rPr>
      <w:sz w:val="24"/>
    </w:rPr>
  </w:style>
  <w:style w:type="paragraph" w:styleId="1355" w:customStyle="1">
    <w:name w:val="xl26"/>
    <w:basedOn w:val="111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356" w:customStyle="1">
    <w:name w:val="Char Char Char"/>
    <w:basedOn w:val="1118"/>
    <w:uiPriority w:val="99"/>
    <w:qFormat/>
    <w:rPr>
      <w:rFonts w:ascii="Tahoma" w:hAnsi="Tahoma"/>
      <w:sz w:val="24"/>
      <w:szCs w:val="20"/>
    </w:rPr>
  </w:style>
  <w:style w:type="paragraph" w:styleId="1357" w:customStyle="1">
    <w:name w:val="马刚标题3"/>
    <w:basedOn w:val="1118"/>
    <w:next w:val="1118"/>
    <w:uiPriority w:val="99"/>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1358" w:customStyle="1">
    <w:name w:val="段"/>
    <w:uiPriority w:val="99"/>
    <w:qFormat/>
    <w:pPr>
      <w:ind w:firstLine="200"/>
      <w:jc w:val="both"/>
    </w:pPr>
    <w:rPr>
      <w:rFonts w:ascii="宋体" w:hAnsi="Times New Roman" w:eastAsia="宋体" w:cs="Times New Roman"/>
      <w:sz w:val="21"/>
      <w:lang w:val="en-US" w:eastAsia="zh-CN" w:bidi="ar-SA"/>
    </w:rPr>
  </w:style>
  <w:style w:type="paragraph" w:styleId="1359" w:customStyle="1">
    <w:name w:val="二级条标题"/>
    <w:basedOn w:val="1118"/>
    <w:next w:val="1358"/>
    <w:uiPriority w:val="99"/>
    <w:qFormat/>
    <w:pPr>
      <w:ind w:hanging="420"/>
      <w:widowControl/>
      <w:tabs>
        <w:tab w:val="left" w:pos="2240" w:leader="none"/>
      </w:tabs>
      <w:outlineLvl w:val="3"/>
    </w:pPr>
    <w:rPr>
      <w:rFonts w:eastAsia="黑体"/>
      <w:szCs w:val="20"/>
    </w:rPr>
  </w:style>
  <w:style w:type="paragraph" w:styleId="1360" w:customStyle="1">
    <w:name w:val="Char Char1 Char Char Char Char1 Char Char Char Char Char Char"/>
    <w:basedOn w:val="1118"/>
    <w:uiPriority w:val="99"/>
    <w:qFormat/>
    <w:rPr>
      <w:rFonts w:ascii="Tahoma" w:hAnsi="Tahoma"/>
      <w:sz w:val="24"/>
      <w:szCs w:val="20"/>
    </w:rPr>
  </w:style>
  <w:style w:type="paragraph" w:styleId="1361" w:customStyle="1">
    <w:name w:val="正文表标题"/>
    <w:next w:val="1358"/>
    <w:uiPriority w:val="99"/>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362" w:customStyle="1">
    <w:name w:val="xl44"/>
    <w:basedOn w:val="1118"/>
    <w:uiPriority w:val="99"/>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szCs w:val="20"/>
    </w:rPr>
  </w:style>
  <w:style w:type="paragraph" w:styleId="1363" w:customStyle="1">
    <w:name w:val="Char Char Char Char Char Char Char Char Char Char Char Char Char Char Char Char Char Char Char Char Char1"/>
    <w:basedOn w:val="1118"/>
    <w:uiPriority w:val="99"/>
    <w:qFormat/>
    <w:rPr>
      <w:rFonts w:ascii="Tahoma" w:hAnsi="Tahoma"/>
      <w:sz w:val="24"/>
      <w:szCs w:val="20"/>
    </w:rPr>
  </w:style>
  <w:style w:type="paragraph" w:styleId="1364" w:customStyle="1">
    <w:name w:val="样式2"/>
    <w:basedOn w:val="1118"/>
    <w:uiPriority w:val="99"/>
    <w:qFormat/>
    <w:pPr>
      <w:ind w:left="200"/>
      <w:spacing w:line="360" w:lineRule="auto"/>
    </w:pPr>
    <w:rPr>
      <w:rFonts w:ascii="宋体" w:hAnsi="宋体"/>
      <w:b/>
      <w:sz w:val="24"/>
    </w:rPr>
  </w:style>
  <w:style w:type="paragraph" w:styleId="1365" w:customStyle="1">
    <w:name w:val="部分1"/>
    <w:basedOn w:val="1118"/>
    <w:uiPriority w:val="99"/>
    <w:qFormat/>
    <w:pPr>
      <w:jc w:val="center"/>
      <w:keepNext/>
      <w:pageBreakBefore/>
      <w:spacing w:line="360" w:lineRule="auto"/>
      <w:tabs>
        <w:tab w:val="left" w:pos="360" w:leader="none"/>
      </w:tabs>
      <w:outlineLvl w:val="0"/>
    </w:pPr>
    <w:rPr>
      <w:rFonts w:eastAsia="黑体"/>
      <w:b/>
      <w:sz w:val="36"/>
      <w:szCs w:val="20"/>
    </w:rPr>
  </w:style>
  <w:style w:type="paragraph" w:styleId="1366" w:customStyle="1">
    <w:name w:val="Item List Char Char"/>
    <w:uiPriority w:val="99"/>
    <w:qFormat/>
    <w:pPr>
      <w:jc w:val="both"/>
      <w:spacing w:line="288" w:lineRule="auto"/>
    </w:pPr>
    <w:rPr>
      <w:rFonts w:ascii="Arial" w:hAnsi="Arial" w:eastAsia="宋体" w:cs="Arial"/>
      <w:b/>
      <w:bCs/>
      <w:sz w:val="21"/>
      <w:szCs w:val="28"/>
      <w:lang w:val="en-US" w:eastAsia="zh-CN" w:bidi="ar-SA"/>
    </w:rPr>
  </w:style>
  <w:style w:type="paragraph" w:styleId="1367" w:customStyle="1">
    <w:name w:val="马刚标题4"/>
    <w:basedOn w:val="1357"/>
    <w:next w:val="1118"/>
    <w:uiPriority w:val="99"/>
    <w:qFormat/>
    <w:pPr>
      <w:spacing w:before="100" w:after="40"/>
      <w:tabs>
        <w:tab w:val="left" w:pos="1050" w:leader="none"/>
      </w:tabs>
      <w:outlineLvl w:val="3"/>
    </w:pPr>
    <w:rPr>
      <w:b w:val="0"/>
    </w:rPr>
  </w:style>
  <w:style w:type="paragraph" w:styleId="1368" w:customStyle="1">
    <w:name w:val="xl27"/>
    <w:basedOn w:val="111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369" w:customStyle="1">
    <w:name w:val="xl31"/>
    <w:basedOn w:val="111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
      <w:bCs/>
      <w:sz w:val="24"/>
    </w:rPr>
  </w:style>
  <w:style w:type="paragraph" w:styleId="1370" w:customStyle="1">
    <w:name w:val="样式 标题 3H3sect1.2.3BOD 0Heading 3 - oldh3l3CTLevel 3 Head..."/>
    <w:basedOn w:val="1121"/>
    <w:uiPriority w:val="99"/>
    <w:qFormat/>
    <w:pPr>
      <w:jc w:val="left"/>
      <w:spacing w:line="240" w:lineRule="auto"/>
    </w:pPr>
    <w:rPr>
      <w:rFonts w:cs="宋体"/>
      <w:sz w:val="30"/>
      <w:szCs w:val="20"/>
    </w:rPr>
  </w:style>
  <w:style w:type="paragraph" w:styleId="1371" w:customStyle="1">
    <w:name w:val="Table Text Char"/>
    <w:uiPriority w:val="99"/>
    <w:qFormat/>
    <w:pPr>
      <w:spacing w:before="80" w:after="80"/>
    </w:pPr>
    <w:rPr>
      <w:rFonts w:ascii="Arial" w:hAnsi="Arial" w:eastAsia="宋体" w:cs="Arial"/>
      <w:sz w:val="18"/>
      <w:szCs w:val="28"/>
      <w:lang w:val="en-US" w:eastAsia="zh-CN" w:bidi="ar-SA"/>
    </w:rPr>
  </w:style>
  <w:style w:type="paragraph" w:styleId="1372" w:customStyle="1">
    <w:name w:val="小四 段落 宋体 Char Char Char Char"/>
    <w:basedOn w:val="1118"/>
    <w:uiPriority w:val="99"/>
    <w:qFormat/>
    <w:pPr>
      <w:ind w:right="-33" w:firstLine="480"/>
      <w:jc w:val="left"/>
      <w:spacing w:line="360" w:lineRule="auto"/>
    </w:pPr>
    <w:rPr>
      <w:sz w:val="24"/>
    </w:rPr>
  </w:style>
  <w:style w:type="paragraph" w:styleId="1373" w:customStyle="1">
    <w:name w:val="Pa5"/>
    <w:basedOn w:val="1118"/>
    <w:next w:val="1118"/>
    <w:uiPriority w:val="99"/>
    <w:qFormat/>
    <w:pPr>
      <w:jc w:val="left"/>
      <w:spacing w:line="241" w:lineRule="atLeast"/>
    </w:pPr>
    <w:rPr>
      <w:rFonts w:ascii="汉仪大黑简" w:eastAsia="汉仪大黑简"/>
      <w:sz w:val="24"/>
    </w:rPr>
  </w:style>
  <w:style w:type="paragraph" w:styleId="1374" w:customStyle="1">
    <w:name w:val="样式 段后: 0.25 行"/>
    <w:basedOn w:val="1118"/>
    <w:uiPriority w:val="99"/>
    <w:qFormat/>
    <w:pPr>
      <w:ind w:firstLine="420"/>
      <w:jc w:val="left"/>
      <w:spacing w:line="300" w:lineRule="auto"/>
      <w:widowControl/>
    </w:pPr>
    <w:rPr>
      <w:rFonts w:ascii="Arial" w:hAnsi="Arial" w:cs="宋体"/>
      <w:sz w:val="22"/>
      <w:szCs w:val="20"/>
      <w:lang w:eastAsia="en-US"/>
    </w:rPr>
  </w:style>
  <w:style w:type="paragraph" w:styleId="1375" w:customStyle="1">
    <w:name w:val="flType"/>
    <w:basedOn w:val="1376"/>
    <w:uiPriority w:val="99"/>
    <w:qFormat/>
    <w:pPr>
      <w:spacing w:after="284"/>
    </w:pPr>
    <w:rPr>
      <w:rFonts w:eastAsia="宋体"/>
      <w:b w:val="0"/>
    </w:rPr>
  </w:style>
  <w:style w:type="paragraph" w:styleId="1376" w:customStyle="1">
    <w:name w:val="flName"/>
    <w:basedOn w:val="1377"/>
    <w:uiPriority w:val="99"/>
    <w:qFormat/>
    <w:pPr>
      <w:spacing w:before="0" w:line="113" w:lineRule="atLeast"/>
    </w:pPr>
  </w:style>
  <w:style w:type="paragraph" w:styleId="1377" w:customStyle="1">
    <w:name w:val="flNote"/>
    <w:basedOn w:val="1118"/>
    <w:uiPriority w:val="99"/>
    <w:qFormat/>
    <w:pPr>
      <w:jc w:val="center"/>
      <w:spacing w:before="567" w:line="360" w:lineRule="atLeast"/>
    </w:pPr>
    <w:rPr>
      <w:rFonts w:eastAsia="黑体"/>
      <w:b/>
      <w:sz w:val="24"/>
      <w:szCs w:val="20"/>
    </w:rPr>
  </w:style>
  <w:style w:type="paragraph" w:styleId="1378" w:customStyle="1">
    <w:name w:val="qw"/>
    <w:uiPriority w:val="99"/>
    <w:qFormat/>
    <w:pPr>
      <w:jc w:val="both"/>
      <w:spacing w:line="312" w:lineRule="atLeast"/>
      <w:widowControl w:val="off"/>
    </w:pPr>
    <w:rPr>
      <w:rFonts w:ascii="宋体" w:hAnsi="Times New Roman" w:eastAsia="宋体" w:cs="Times New Roman"/>
      <w:sz w:val="24"/>
      <w:lang w:val="en-US" w:eastAsia="zh-CN" w:bidi="ar-SA"/>
    </w:rPr>
  </w:style>
  <w:style w:type="paragraph" w:styleId="1379" w:customStyle="1">
    <w:name w:val="样式 样式 首行缩进:  2 字符 + 行距: 1.5 倍行距"/>
    <w:basedOn w:val="1118"/>
    <w:uiPriority w:val="99"/>
    <w:qFormat/>
    <w:pPr>
      <w:ind w:firstLine="470"/>
      <w:spacing w:line="360" w:lineRule="auto"/>
    </w:pPr>
    <w:rPr>
      <w:sz w:val="24"/>
      <w:szCs w:val="20"/>
    </w:rPr>
  </w:style>
  <w:style w:type="paragraph" w:styleId="1380" w:customStyle="1">
    <w:name w:val="_Style 82"/>
    <w:uiPriority w:val="99"/>
    <w:qFormat/>
    <w:rPr>
      <w:rFonts w:ascii="Times New Roman" w:hAnsi="Times New Roman" w:eastAsia="宋体" w:cs="Times New Roman"/>
      <w:sz w:val="22"/>
      <w:szCs w:val="22"/>
      <w:lang w:val="en-US" w:eastAsia="zh-CN" w:bidi="ar-SA"/>
    </w:rPr>
  </w:style>
  <w:style w:type="paragraph" w:styleId="1381" w:customStyle="1">
    <w:name w:val="xl52"/>
    <w:basedOn w:val="1118"/>
    <w:uiPriority w:val="99"/>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1382" w:customStyle="1">
    <w:name w:val="样式 样式 首行缩进:  0.74 厘米 行距: 1.5 倍行距 + 段后: 0.5 行"/>
    <w:basedOn w:val="1118"/>
    <w:uiPriority w:val="99"/>
    <w:qFormat/>
    <w:pPr>
      <w:ind w:firstLine="420"/>
      <w:spacing w:line="360" w:lineRule="auto"/>
    </w:pPr>
    <w:rPr>
      <w:rFonts w:ascii="楷体_GB2312" w:eastAsia="楷体_GB2312"/>
      <w:bCs/>
      <w:sz w:val="24"/>
      <w:szCs w:val="20"/>
    </w:rPr>
  </w:style>
  <w:style w:type="paragraph" w:styleId="1383" w:customStyle="1">
    <w:name w:val="Char Char1"/>
    <w:basedOn w:val="1118"/>
    <w:uiPriority w:val="99"/>
    <w:qFormat/>
    <w:rPr>
      <w:rFonts w:ascii="Tahoma" w:hAnsi="Tahoma"/>
      <w:sz w:val="24"/>
      <w:szCs w:val="20"/>
    </w:rPr>
  </w:style>
  <w:style w:type="paragraph" w:styleId="1384" w:customStyle="1">
    <w:name w:val="Char1 Char Char Char"/>
    <w:basedOn w:val="1118"/>
    <w:uiPriority w:val="99"/>
    <w:qFormat/>
    <w:rPr>
      <w:rFonts w:ascii="Tahoma" w:hAnsi="Tahoma" w:cs="Tahoma"/>
      <w:sz w:val="24"/>
      <w:szCs w:val="20"/>
    </w:rPr>
  </w:style>
  <w:style w:type="paragraph" w:styleId="1385" w:customStyle="1">
    <w:name w:val="标题2，章节第二层"/>
    <w:basedOn w:val="1118"/>
    <w:next w:val="1386"/>
    <w:uiPriority w:val="99"/>
    <w:qFormat/>
    <w:pPr>
      <w:ind w:left="992" w:hanging="567"/>
      <w:spacing w:line="300" w:lineRule="auto"/>
      <w:tabs>
        <w:tab w:val="left" w:pos="630" w:leader="none"/>
        <w:tab w:val="left" w:pos="992" w:leader="none"/>
      </w:tabs>
      <w:outlineLvl w:val="1"/>
    </w:pPr>
    <w:rPr>
      <w:rFonts w:ascii="Arial" w:hAnsi="Arial" w:eastAsia="黑体"/>
      <w:sz w:val="32"/>
    </w:rPr>
  </w:style>
  <w:style w:type="paragraph" w:styleId="1386" w:customStyle="1">
    <w:name w:val="正文格式"/>
    <w:basedOn w:val="1118"/>
    <w:uiPriority w:val="99"/>
    <w:qFormat/>
    <w:pPr>
      <w:ind w:left="178" w:right="44" w:hanging="178"/>
      <w:jc w:val="left"/>
      <w:spacing w:line="360" w:lineRule="auto"/>
      <w:widowControl/>
    </w:pPr>
    <w:rPr>
      <w:rFonts w:ascii="宋体" w:hAnsi="宋体"/>
      <w:bCs/>
      <w:szCs w:val="21"/>
    </w:rPr>
  </w:style>
  <w:style w:type="paragraph" w:styleId="1387" w:customStyle="1">
    <w:name w:val="Test2"/>
    <w:basedOn w:val="1120"/>
    <w:uiPriority w:val="99"/>
    <w:qFormat/>
    <w:pPr>
      <w:jc w:val="center"/>
      <w:spacing w:line="480" w:lineRule="exact"/>
      <w:widowControl/>
    </w:pPr>
    <w:rPr>
      <w:rFonts w:ascii="黑体"/>
      <w:sz w:val="24"/>
      <w:szCs w:val="24"/>
    </w:rPr>
  </w:style>
  <w:style w:type="paragraph" w:styleId="1388" w:customStyle="1">
    <w:name w:val="xl36"/>
    <w:basedOn w:val="111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389" w:customStyle="1">
    <w:name w:val="font6"/>
    <w:basedOn w:val="1118"/>
    <w:uiPriority w:val="99"/>
    <w:qFormat/>
    <w:pPr>
      <w:jc w:val="left"/>
      <w:spacing w:before="100" w:beforeAutospacing="1" w:after="100" w:afterAutospacing="1"/>
      <w:widowControl/>
    </w:pPr>
    <w:rPr>
      <w:rFonts w:ascii="宋体" w:hAnsi="宋体" w:cs="宋体"/>
      <w:b/>
      <w:bCs/>
      <w:sz w:val="20"/>
      <w:szCs w:val="20"/>
    </w:rPr>
  </w:style>
  <w:style w:type="paragraph" w:styleId="1390" w:customStyle="1">
    <w:name w:val="xl58"/>
    <w:basedOn w:val="1118"/>
    <w:uiPriority w:val="99"/>
    <w:qFormat/>
    <w:pPr>
      <w:jc w:val="center"/>
      <w:spacing w:before="100" w:beforeAutospacing="1" w:after="100" w:afterAutospacing="1"/>
      <w:widowControl/>
      <w:pBdr>
        <w:left w:val="single" w:color="auto" w:sz="4" w:space="0"/>
        <w:right w:val="single" w:color="auto" w:sz="4" w:space="0"/>
      </w:pBdr>
    </w:pPr>
    <w:rPr>
      <w:b/>
      <w:bCs/>
      <w:i/>
      <w:iCs/>
      <w:sz w:val="20"/>
      <w:szCs w:val="20"/>
    </w:rPr>
  </w:style>
  <w:style w:type="paragraph" w:styleId="1391" w:customStyle="1">
    <w:name w:val="font10"/>
    <w:basedOn w:val="1118"/>
    <w:uiPriority w:val="99"/>
    <w:qFormat/>
    <w:pPr>
      <w:jc w:val="left"/>
      <w:spacing w:before="100" w:beforeAutospacing="1" w:after="100" w:afterAutospacing="1"/>
      <w:widowControl/>
    </w:pPr>
    <w:rPr>
      <w:rFonts w:ascii="楷体_GB2312" w:hAnsi="宋体" w:eastAsia="楷体_GB2312" w:cs="宋体"/>
      <w:b/>
      <w:bCs/>
      <w:sz w:val="18"/>
      <w:szCs w:val="18"/>
    </w:rPr>
  </w:style>
  <w:style w:type="paragraph" w:styleId="1392" w:customStyle="1">
    <w:name w:val="xl56"/>
    <w:basedOn w:val="1118"/>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szCs w:val="20"/>
    </w:rPr>
  </w:style>
  <w:style w:type="paragraph" w:styleId="1393" w:customStyle="1">
    <w:name w:val="样式"/>
    <w:basedOn w:val="1118"/>
    <w:uiPriority w:val="99"/>
    <w:qFormat/>
    <w:pPr>
      <w:spacing w:before="120" w:after="120" w:line="360" w:lineRule="auto"/>
    </w:pPr>
    <w:rPr>
      <w:rFonts w:ascii="宋体"/>
      <w:sz w:val="24"/>
      <w:szCs w:val="20"/>
    </w:rPr>
  </w:style>
  <w:style w:type="paragraph" w:styleId="1394" w:customStyle="1">
    <w:name w:val="a0"/>
    <w:basedOn w:val="1118"/>
    <w:uiPriority w:val="99"/>
    <w:qFormat/>
    <w:pPr>
      <w:spacing w:before="100" w:beforeAutospacing="1" w:after="100" w:afterAutospacing="1"/>
      <w:widowControl/>
    </w:pPr>
    <w:rPr>
      <w:rFonts w:ascii="宋体" w:hAnsi="宋体" w:cs="宋体"/>
      <w:sz w:val="24"/>
    </w:rPr>
  </w:style>
  <w:style w:type="paragraph" w:styleId="1395" w:customStyle="1">
    <w:name w:val="retrait3"/>
    <w:basedOn w:val="1118"/>
    <w:uiPriority w:val="99"/>
    <w:qFormat/>
    <w:pPr>
      <w:ind w:left="851"/>
      <w:jc w:val="left"/>
      <w:spacing w:before="20" w:after="20"/>
      <w:widowControl/>
    </w:pPr>
    <w:rPr>
      <w:rFonts w:ascii="Arial" w:hAnsi="Arial"/>
      <w:sz w:val="24"/>
      <w:szCs w:val="20"/>
      <w:lang w:val="en-GB"/>
    </w:rPr>
  </w:style>
  <w:style w:type="paragraph" w:styleId="1396" w:customStyle="1">
    <w:name w:val="图标"/>
    <w:basedOn w:val="1118"/>
    <w:next w:val="1118"/>
    <w:uiPriority w:val="99"/>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397" w:customStyle="1">
    <w:name w:val="Char1 Char Char Char1"/>
    <w:basedOn w:val="1118"/>
    <w:uiPriority w:val="99"/>
    <w:qFormat/>
    <w:rPr>
      <w:rFonts w:ascii="Tahoma" w:hAnsi="Tahoma"/>
      <w:sz w:val="24"/>
      <w:szCs w:val="20"/>
    </w:rPr>
  </w:style>
  <w:style w:type="paragraph" w:styleId="1398" w:customStyle="1">
    <w:name w:val="样式 样式 标题 3H3sect1.2.3BOD 0Heading 3 - oldh3l3CTLevel 3 Head... +..."/>
    <w:basedOn w:val="1118"/>
    <w:uiPriority w:val="99"/>
    <w:qFormat/>
    <w:pPr>
      <w:jc w:val="left"/>
      <w:keepLines/>
      <w:keepNext/>
      <w:outlineLvl w:val="2"/>
    </w:pPr>
    <w:rPr>
      <w:rFonts w:cs="宋体"/>
      <w:b/>
      <w:bCs/>
      <w:sz w:val="24"/>
      <w:szCs w:val="20"/>
    </w:rPr>
  </w:style>
  <w:style w:type="paragraph" w:styleId="1399" w:customStyle="1">
    <w:name w:val="Char Char1 Char1"/>
    <w:basedOn w:val="1118"/>
    <w:uiPriority w:val="99"/>
    <w:qFormat/>
    <w:pPr>
      <w:jc w:val="left"/>
      <w:spacing w:after="160" w:line="240" w:lineRule="exact"/>
      <w:widowControl/>
    </w:pPr>
    <w:rPr>
      <w:rFonts w:ascii="Verdana" w:hAnsi="Verdana"/>
      <w:sz w:val="20"/>
      <w:szCs w:val="20"/>
      <w:lang w:eastAsia="en-US"/>
    </w:rPr>
  </w:style>
  <w:style w:type="paragraph" w:styleId="1400" w:customStyle="1">
    <w:name w:val="Default"/>
    <w:uiPriority w:val="99"/>
    <w:qFormat/>
    <w:pPr>
      <w:widowControl w:val="off"/>
    </w:pPr>
    <w:rPr>
      <w:rFonts w:ascii="宋体" w:hAnsi="Times New Roman" w:eastAsia="宋体" w:cs="宋体"/>
      <w:color w:val="000000"/>
      <w:sz w:val="24"/>
      <w:szCs w:val="24"/>
      <w:lang w:val="en-US" w:eastAsia="zh-CN" w:bidi="ar-SA"/>
    </w:rPr>
  </w:style>
  <w:style w:type="paragraph" w:styleId="1401" w:customStyle="1">
    <w:name w:val="xl34"/>
    <w:basedOn w:val="111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402" w:customStyle="1">
    <w:name w:val="正文2"/>
    <w:basedOn w:val="1118"/>
    <w:uiPriority w:val="99"/>
    <w:qFormat/>
    <w:pPr>
      <w:ind w:firstLine="510"/>
      <w:spacing w:before="156" w:line="360" w:lineRule="auto"/>
    </w:pPr>
    <w:rPr>
      <w:sz w:val="24"/>
      <w:szCs w:val="20"/>
    </w:rPr>
  </w:style>
  <w:style w:type="paragraph" w:styleId="1403" w:customStyle="1">
    <w:name w:val="7"/>
    <w:basedOn w:val="1118"/>
    <w:next w:val="1170"/>
    <w:uiPriority w:val="99"/>
    <w:qFormat/>
    <w:pPr>
      <w:jc w:val="left"/>
      <w:spacing w:before="100" w:beforeAutospacing="1" w:after="100" w:afterAutospacing="1"/>
      <w:widowControl/>
    </w:pPr>
    <w:rPr>
      <w:rFonts w:ascii="宋体" w:hAnsi="宋体"/>
      <w:sz w:val="24"/>
      <w:szCs w:val="20"/>
    </w:rPr>
  </w:style>
  <w:style w:type="paragraph" w:styleId="1404" w:customStyle="1">
    <w:name w:val="Char Char Char Char Char Char Char Char Char Char Char1 Char Char Char1"/>
    <w:basedOn w:val="1118"/>
    <w:uiPriority w:val="99"/>
    <w:qFormat/>
    <w:pPr>
      <w:ind w:firstLine="200"/>
      <w:jc w:val="left"/>
    </w:pPr>
    <w:rPr>
      <w:rFonts w:ascii="Tahoma" w:hAnsi="Tahoma"/>
      <w:sz w:val="24"/>
    </w:rPr>
  </w:style>
  <w:style w:type="paragraph" w:styleId="1405" w:customStyle="1">
    <w:name w:val="font13"/>
    <w:basedOn w:val="1118"/>
    <w:uiPriority w:val="99"/>
    <w:qFormat/>
    <w:pPr>
      <w:jc w:val="left"/>
      <w:spacing w:before="100" w:beforeAutospacing="1" w:after="100" w:afterAutospacing="1"/>
      <w:widowControl/>
    </w:pPr>
    <w:rPr>
      <w:i/>
      <w:iCs/>
      <w:sz w:val="36"/>
      <w:szCs w:val="36"/>
    </w:rPr>
  </w:style>
  <w:style w:type="paragraph" w:styleId="1406" w:customStyle="1">
    <w:name w:val="默认段落字体 Para Char"/>
    <w:basedOn w:val="1118"/>
    <w:uiPriority w:val="99"/>
    <w:qFormat/>
    <w:pPr>
      <w:spacing w:line="360" w:lineRule="auto"/>
    </w:pPr>
    <w:rPr>
      <w:sz w:val="24"/>
    </w:rPr>
  </w:style>
  <w:style w:type="paragraph" w:styleId="1407" w:customStyle="1">
    <w:name w:val="xl24"/>
    <w:basedOn w:val="111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408" w:customStyle="1">
    <w:name w:val="xl29"/>
    <w:basedOn w:val="111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409" w:customStyle="1">
    <w:name w:val="无间隔1"/>
    <w:uiPriority w:val="99"/>
    <w:qFormat/>
    <w:pPr>
      <w:jc w:val="both"/>
      <w:widowControl w:val="off"/>
    </w:pPr>
    <w:rPr>
      <w:rFonts w:ascii="Times New Roman" w:hAnsi="Times New Roman" w:eastAsia="微软雅黑" w:cs="Times New Roman"/>
      <w:sz w:val="24"/>
      <w:szCs w:val="22"/>
      <w:lang w:val="en-US" w:eastAsia="zh-CN" w:bidi="ar-SA"/>
    </w:rPr>
  </w:style>
  <w:style w:type="paragraph" w:styleId="1410" w:customStyle="1">
    <w:name w:val="符号与编号 Char Char"/>
    <w:basedOn w:val="1118"/>
    <w:uiPriority w:val="99"/>
    <w:qFormat/>
    <w:pPr>
      <w:ind w:left="839" w:hanging="419"/>
      <w:spacing w:line="400" w:lineRule="atLeast"/>
      <w:tabs>
        <w:tab w:val="left" w:pos="840" w:leader="none"/>
      </w:tabs>
    </w:pPr>
    <w:rPr>
      <w:sz w:val="24"/>
    </w:rPr>
  </w:style>
  <w:style w:type="paragraph" w:styleId="1411" w:customStyle="1">
    <w:name w:val="Char Char Char Char Char Char Char Char Char Char Char1"/>
    <w:basedOn w:val="1118"/>
    <w:uiPriority w:val="99"/>
    <w:qFormat/>
    <w:rPr>
      <w:rFonts w:ascii="Tahoma" w:hAnsi="Tahoma" w:cs="Tahoma"/>
      <w:sz w:val="24"/>
      <w:szCs w:val="20"/>
    </w:rPr>
  </w:style>
  <w:style w:type="paragraph" w:styleId="1412" w:customStyle="1">
    <w:name w:val="标题1，章节第一层"/>
    <w:basedOn w:val="1386"/>
    <w:next w:val="1386"/>
    <w:uiPriority w:val="99"/>
    <w:qFormat/>
    <w:pPr>
      <w:ind w:left="482"/>
      <w:tabs>
        <w:tab w:val="left" w:pos="693" w:leader="none"/>
      </w:tabs>
      <w:outlineLvl w:val="0"/>
    </w:pPr>
    <w:rPr>
      <w:color w:val="000000"/>
      <w:sz w:val="24"/>
      <w:szCs w:val="24"/>
    </w:rPr>
  </w:style>
  <w:style w:type="paragraph" w:styleId="1413" w:customStyle="1">
    <w:name w:val="af17cgridlangnp1033langf"/>
    <w:uiPriority w:val="99"/>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1414" w:customStyle="1">
    <w:name w:val="样式 首行缩进:  2 字符"/>
    <w:basedOn w:val="1118"/>
    <w:uiPriority w:val="99"/>
    <w:qFormat/>
    <w:pPr>
      <w:ind w:firstLine="480"/>
      <w:spacing w:line="360" w:lineRule="auto"/>
    </w:pPr>
    <w:rPr>
      <w:rFonts w:cs="宋体"/>
      <w:sz w:val="24"/>
      <w:szCs w:val="20"/>
    </w:rPr>
  </w:style>
  <w:style w:type="paragraph" w:styleId="1415" w:customStyle="1">
    <w:name w:val="标题5，章节第五层"/>
    <w:basedOn w:val="1118"/>
    <w:next w:val="1118"/>
    <w:uiPriority w:val="99"/>
    <w:qFormat/>
    <w:pPr>
      <w:ind w:left="2100" w:hanging="420"/>
      <w:spacing w:before="78"/>
      <w:tabs>
        <w:tab w:val="left" w:pos="1050" w:leader="none"/>
        <w:tab w:val="left" w:pos="2100" w:leader="none"/>
      </w:tabs>
      <w:outlineLvl w:val="4"/>
    </w:pPr>
    <w:rPr>
      <w:rFonts w:ascii="Arial" w:hAnsi="Arial" w:eastAsia="华文细黑"/>
      <w:sz w:val="30"/>
    </w:rPr>
  </w:style>
  <w:style w:type="paragraph" w:styleId="1416" w:customStyle="1">
    <w:name w:val="表格"/>
    <w:basedOn w:val="1118"/>
    <w:uiPriority w:val="99"/>
    <w:qFormat/>
    <w:pPr>
      <w:ind w:firstLine="21"/>
    </w:pPr>
    <w:rPr>
      <w:rFonts w:ascii="宋体" w:hAnsi="宋体" w:cs="宋体"/>
      <w:sz w:val="20"/>
      <w:szCs w:val="20"/>
    </w:rPr>
  </w:style>
  <w:style w:type="paragraph" w:styleId="1417" w:customStyle="1">
    <w:name w:val="正文1"/>
    <w:basedOn w:val="1118"/>
    <w:next w:val="1118"/>
    <w:uiPriority w:val="99"/>
    <w:qFormat/>
    <w:pPr>
      <w:ind w:firstLine="510"/>
      <w:spacing w:before="156" w:line="360" w:lineRule="auto"/>
    </w:pPr>
    <w:rPr>
      <w:sz w:val="24"/>
      <w:szCs w:val="20"/>
    </w:rPr>
  </w:style>
  <w:style w:type="paragraph" w:styleId="1418" w:customStyle="1">
    <w:name w:val="批注主题1"/>
    <w:basedOn w:val="1136"/>
    <w:next w:val="1136"/>
    <w:uiPriority w:val="99"/>
    <w:qFormat/>
    <w:rPr>
      <w:b/>
      <w:bCs/>
    </w:rPr>
  </w:style>
  <w:style w:type="paragraph" w:styleId="1419" w:customStyle="1">
    <w:name w:val="样式3"/>
    <w:basedOn w:val="1118"/>
    <w:next w:val="1118"/>
    <w:uiPriority w:val="99"/>
    <w:qFormat/>
    <w:pPr>
      <w:spacing w:line="360" w:lineRule="auto"/>
    </w:pPr>
    <w:rPr>
      <w:szCs w:val="20"/>
    </w:rPr>
  </w:style>
  <w:style w:type="paragraph" w:styleId="1420" w:customStyle="1">
    <w:name w:val="Char Char Char Char Char Char Char Char Char1"/>
    <w:basedOn w:val="1118"/>
    <w:uiPriority w:val="99"/>
    <w:qFormat/>
    <w:pPr>
      <w:ind w:left="360" w:hanging="360"/>
      <w:tabs>
        <w:tab w:val="left" w:pos="360" w:leader="none"/>
      </w:tabs>
    </w:pPr>
    <w:rPr>
      <w:sz w:val="24"/>
    </w:rPr>
  </w:style>
  <w:style w:type="paragraph" w:styleId="1421" w:customStyle="1">
    <w:name w:val="正文--wdh"/>
    <w:basedOn w:val="1118"/>
    <w:uiPriority w:val="99"/>
    <w:qFormat/>
    <w:pPr>
      <w:spacing w:line="360" w:lineRule="auto"/>
    </w:pPr>
    <w:rPr>
      <w:sz w:val="24"/>
    </w:rPr>
  </w:style>
  <w:style w:type="paragraph" w:styleId="1422" w:customStyle="1">
    <w:name w:val="Char Char Char Char Char Char Char Char Char Char Char Char Char Char Char Char Char Char Char Char Char Char Char"/>
    <w:basedOn w:val="1118"/>
    <w:uiPriority w:val="99"/>
    <w:qFormat/>
    <w:rPr>
      <w:rFonts w:ascii="Tahoma" w:hAnsi="Tahoma"/>
      <w:sz w:val="24"/>
      <w:szCs w:val="20"/>
    </w:rPr>
  </w:style>
  <w:style w:type="paragraph" w:styleId="1423" w:customStyle="1">
    <w:name w:val="Char"/>
    <w:basedOn w:val="1118"/>
    <w:uiPriority w:val="99"/>
    <w:qFormat/>
    <w:pPr>
      <w:spacing w:line="360" w:lineRule="auto"/>
    </w:pPr>
    <w:rPr>
      <w:rFonts w:ascii="Tahoma" w:hAnsi="Tahoma"/>
      <w:sz w:val="24"/>
      <w:szCs w:val="20"/>
    </w:rPr>
  </w:style>
  <w:style w:type="paragraph" w:styleId="1424" w:customStyle="1">
    <w:name w:val="Char1"/>
    <w:basedOn w:val="1118"/>
    <w:uiPriority w:val="99"/>
    <w:qFormat/>
    <w:rPr>
      <w:rFonts w:ascii="仿宋_GB2312" w:hAnsi="宋体" w:eastAsia="仿宋_GB2312" w:cs="宋体"/>
      <w:b/>
      <w:sz w:val="32"/>
      <w:szCs w:val="32"/>
    </w:rPr>
  </w:style>
  <w:style w:type="paragraph" w:styleId="1425" w:customStyle="1">
    <w:name w:val="xl62"/>
    <w:basedOn w:val="1118"/>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1426" w:customStyle="1">
    <w:name w:val="xl41"/>
    <w:basedOn w:val="111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427" w:customStyle="1">
    <w:name w:val="xl40"/>
    <w:basedOn w:val="111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428" w:customStyle="1">
    <w:name w:val="xl48"/>
    <w:basedOn w:val="1118"/>
    <w:uiPriority w:val="99"/>
    <w:qFormat/>
    <w:pPr>
      <w:jc w:val="center"/>
      <w:spacing w:before="100" w:beforeAutospacing="1" w:after="100" w:afterAutospacing="1"/>
      <w:widowControl/>
      <w:pBdr>
        <w:top w:val="single" w:color="auto" w:sz="4" w:space="0"/>
        <w:left w:val="single" w:color="auto" w:sz="4" w:space="0"/>
        <w:right w:val="single" w:color="auto" w:sz="4" w:space="0"/>
      </w:pBdr>
    </w:pPr>
    <w:rPr>
      <w:b/>
      <w:bCs/>
      <w:sz w:val="20"/>
      <w:szCs w:val="20"/>
    </w:rPr>
  </w:style>
  <w:style w:type="paragraph" w:styleId="1429" w:customStyle="1">
    <w:name w:val="font14"/>
    <w:basedOn w:val="1118"/>
    <w:uiPriority w:val="99"/>
    <w:qFormat/>
    <w:pPr>
      <w:jc w:val="left"/>
      <w:spacing w:before="100" w:beforeAutospacing="1" w:after="100" w:afterAutospacing="1"/>
      <w:widowControl/>
    </w:pPr>
    <w:rPr>
      <w:sz w:val="36"/>
      <w:szCs w:val="36"/>
    </w:rPr>
  </w:style>
  <w:style w:type="paragraph" w:styleId="1430" w:customStyle="1">
    <w:name w:val="xl53"/>
    <w:basedOn w:val="1118"/>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1431" w:customStyle="1">
    <w:name w:val="正文文本 21"/>
    <w:basedOn w:val="1118"/>
    <w:uiPriority w:val="99"/>
    <w:qFormat/>
    <w:pPr>
      <w:ind w:left="720" w:hanging="720"/>
      <w:widowControl/>
    </w:pPr>
    <w:rPr>
      <w:sz w:val="24"/>
      <w:szCs w:val="20"/>
      <w:lang w:val="en-GB"/>
    </w:rPr>
  </w:style>
  <w:style w:type="paragraph" w:styleId="1432" w:customStyle="1">
    <w:name w:val="xl57"/>
    <w:basedOn w:val="1118"/>
    <w:uiPriority w:val="99"/>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szCs w:val="20"/>
    </w:rPr>
  </w:style>
  <w:style w:type="paragraph" w:styleId="1433" w:customStyle="1">
    <w:name w:val="Char Char Char Char Char Char Char Char Char Char Char Char Char Char Char Char Char Char Char Char Char Char Char1"/>
    <w:basedOn w:val="1118"/>
    <w:uiPriority w:val="99"/>
    <w:qFormat/>
    <w:rPr>
      <w:rFonts w:ascii="Tahoma" w:hAnsi="Tahoma" w:cs="Tahoma"/>
      <w:sz w:val="24"/>
      <w:szCs w:val="20"/>
    </w:rPr>
  </w:style>
  <w:style w:type="paragraph" w:styleId="1434" w:customStyle="1">
    <w:name w:val="正文文本 New New"/>
    <w:basedOn w:val="1118"/>
    <w:uiPriority w:val="99"/>
    <w:qFormat/>
    <w:pPr>
      <w:ind w:firstLine="200"/>
      <w:spacing w:before="60" w:after="60" w:line="360" w:lineRule="auto"/>
      <w:widowControl/>
    </w:pPr>
    <w:rPr>
      <w:rFonts w:eastAsia="华文楷体"/>
      <w:sz w:val="24"/>
    </w:rPr>
  </w:style>
  <w:style w:type="paragraph" w:styleId="1435" w:customStyle="1">
    <w:name w:val="Char Char110"/>
    <w:basedOn w:val="1118"/>
    <w:uiPriority w:val="99"/>
    <w:qFormat/>
    <w:rPr>
      <w:rFonts w:ascii="Tahoma" w:hAnsi="Tahoma" w:cs="Tahoma"/>
      <w:sz w:val="24"/>
      <w:szCs w:val="20"/>
    </w:rPr>
  </w:style>
  <w:style w:type="paragraph" w:styleId="1436" w:customStyle="1">
    <w:name w:val="表头_5"/>
    <w:basedOn w:val="1118"/>
    <w:uiPriority w:val="99"/>
    <w:qFormat/>
    <w:pPr>
      <w:spacing w:line="360" w:lineRule="auto"/>
    </w:pPr>
    <w:rPr>
      <w:b/>
      <w:bCs/>
      <w:sz w:val="28"/>
      <w:szCs w:val="21"/>
    </w:rPr>
  </w:style>
  <w:style w:type="paragraph" w:styleId="1437" w:customStyle="1">
    <w:name w:val="华宇段落1 Char"/>
    <w:basedOn w:val="1118"/>
    <w:uiPriority w:val="99"/>
    <w:qFormat/>
    <w:pPr>
      <w:ind w:firstLine="200"/>
      <w:spacing w:line="360" w:lineRule="auto"/>
    </w:pPr>
    <w:rPr>
      <w:bCs/>
      <w:sz w:val="24"/>
    </w:rPr>
  </w:style>
  <w:style w:type="paragraph" w:styleId="1438" w:customStyle="1">
    <w:name w:val="Char Char Char Char Char Char Char Char Char Char Char Char Char Char1"/>
    <w:basedOn w:val="1118"/>
    <w:uiPriority w:val="99"/>
    <w:qFormat/>
    <w:rPr>
      <w:rFonts w:ascii="Tahoma" w:hAnsi="Tahoma" w:cs="Tahoma"/>
      <w:sz w:val="24"/>
      <w:szCs w:val="20"/>
    </w:rPr>
  </w:style>
  <w:style w:type="paragraph" w:styleId="1439" w:customStyle="1">
    <w:name w:val="文档正文"/>
    <w:basedOn w:val="1118"/>
    <w:uiPriority w:val="99"/>
    <w:qFormat/>
    <w:pPr>
      <w:spacing w:line="360" w:lineRule="auto"/>
    </w:pPr>
    <w:rPr>
      <w:rFonts w:ascii="宋体" w:hAnsi="宋体"/>
      <w:b/>
      <w:bCs/>
    </w:rPr>
  </w:style>
  <w:style w:type="paragraph" w:styleId="1440" w:customStyle="1">
    <w:name w:val="Default Text"/>
    <w:basedOn w:val="1118"/>
    <w:uiPriority w:val="99"/>
    <w:qFormat/>
    <w:pPr>
      <w:jc w:val="left"/>
      <w:widowControl/>
    </w:pPr>
    <w:rPr>
      <w:sz w:val="24"/>
      <w:szCs w:val="20"/>
      <w:lang w:eastAsia="en-US"/>
    </w:rPr>
  </w:style>
  <w:style w:type="paragraph" w:styleId="1441" w:customStyle="1">
    <w:name w:val="xl63"/>
    <w:basedOn w:val="1118"/>
    <w:uiPriority w:val="99"/>
    <w:qFormat/>
    <w:pPr>
      <w:jc w:val="center"/>
      <w:spacing w:before="100" w:beforeAutospacing="1" w:after="100" w:afterAutospacing="1"/>
      <w:widowControl/>
      <w:pBdr>
        <w:top w:val="single" w:color="auto" w:sz="4" w:space="0"/>
        <w:left w:val="single" w:color="auto" w:sz="4" w:space="0"/>
        <w:bottom w:val="single" w:color="auto" w:sz="4" w:space="0"/>
      </w:pBdr>
    </w:pPr>
    <w:rPr>
      <w:b/>
      <w:bCs/>
      <w:sz w:val="20"/>
      <w:szCs w:val="20"/>
    </w:rPr>
  </w:style>
  <w:style w:type="paragraph" w:styleId="1442" w:customStyle="1">
    <w:name w:val="xl45"/>
    <w:basedOn w:val="1118"/>
    <w:uiPriority w:val="99"/>
    <w:qFormat/>
    <w:pPr>
      <w:jc w:val="center"/>
      <w:spacing w:before="100" w:beforeAutospacing="1" w:after="100" w:afterAutospacing="1"/>
      <w:widowControl/>
      <w:pBdr>
        <w:left w:val="single" w:color="auto" w:sz="4" w:space="0"/>
        <w:right w:val="single" w:color="auto" w:sz="4" w:space="0"/>
      </w:pBdr>
    </w:pPr>
    <w:rPr>
      <w:rFonts w:ascii="宋体" w:hAnsi="宋体" w:cs="宋体"/>
      <w:b/>
      <w:bCs/>
      <w:sz w:val="20"/>
      <w:szCs w:val="20"/>
    </w:rPr>
  </w:style>
  <w:style w:type="paragraph" w:styleId="1443" w:customStyle="1">
    <w:name w:val="Char Char Char Char Char"/>
    <w:basedOn w:val="1118"/>
    <w:uiPriority w:val="99"/>
    <w:qFormat/>
    <w:rPr>
      <w:rFonts w:ascii="Tahoma" w:hAnsi="Tahoma"/>
      <w:sz w:val="24"/>
      <w:szCs w:val="20"/>
    </w:rPr>
  </w:style>
  <w:style w:type="paragraph" w:styleId="1444" w:customStyle="1">
    <w:name w:val="纯文本1"/>
    <w:basedOn w:val="1118"/>
    <w:uiPriority w:val="99"/>
    <w:qFormat/>
    <w:rPr>
      <w:rFonts w:ascii="宋体" w:hAnsi="宋体" w:eastAsia="楷体_GB2312" w:cs="宋体"/>
      <w:sz w:val="28"/>
      <w:szCs w:val="20"/>
    </w:rPr>
  </w:style>
  <w:style w:type="paragraph" w:styleId="1445" w:customStyle="1">
    <w:name w:val="font5"/>
    <w:basedOn w:val="1118"/>
    <w:uiPriority w:val="99"/>
    <w:qFormat/>
    <w:pPr>
      <w:jc w:val="left"/>
      <w:spacing w:before="100" w:beforeAutospacing="1" w:after="100" w:afterAutospacing="1"/>
      <w:widowControl/>
    </w:pPr>
    <w:rPr>
      <w:rFonts w:ascii="宋体" w:hAnsi="宋体" w:cs="宋体"/>
      <w:sz w:val="18"/>
      <w:szCs w:val="18"/>
    </w:rPr>
  </w:style>
  <w:style w:type="paragraph" w:styleId="1446" w:customStyle="1">
    <w:name w:val="章标题"/>
    <w:next w:val="1358"/>
    <w:uiPriority w:val="99"/>
    <w:qFormat/>
    <w:pPr>
      <w:jc w:val="both"/>
      <w:outlineLvl w:val="1"/>
    </w:pPr>
    <w:rPr>
      <w:rFonts w:ascii="Times New Roman" w:hAnsi="Times New Roman" w:eastAsia="黑体" w:cs="Times New Roman"/>
      <w:sz w:val="21"/>
      <w:lang w:val="en-US" w:eastAsia="zh-CN" w:bidi="ar-SA"/>
    </w:rPr>
  </w:style>
  <w:style w:type="paragraph" w:styleId="1447" w:customStyle="1">
    <w:name w:val="xl50"/>
    <w:basedOn w:val="1118"/>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szCs w:val="20"/>
    </w:rPr>
  </w:style>
  <w:style w:type="paragraph" w:styleId="1448" w:customStyle="1">
    <w:name w:val="正文文本缩进1"/>
    <w:basedOn w:val="1118"/>
    <w:uiPriority w:val="99"/>
    <w:qFormat/>
    <w:pPr>
      <w:ind w:left="420"/>
      <w:spacing w:after="120"/>
    </w:pPr>
  </w:style>
  <w:style w:type="paragraph" w:styleId="1449" w:customStyle="1">
    <w:name w:val="1"/>
    <w:basedOn w:val="1118"/>
    <w:next w:val="1168"/>
    <w:uiPriority w:val="99"/>
    <w:qFormat/>
    <w:pPr>
      <w:spacing w:line="360" w:lineRule="auto"/>
    </w:pPr>
    <w:rPr>
      <w:rFonts w:eastAsia="仿宋_GB2312"/>
      <w:sz w:val="24"/>
    </w:rPr>
  </w:style>
  <w:style w:type="paragraph" w:styleId="1450" w:customStyle="1">
    <w:name w:val="table_1stline"/>
    <w:basedOn w:val="1118"/>
    <w:uiPriority w:val="99"/>
    <w:qFormat/>
    <w:pPr>
      <w:jc w:val="left"/>
      <w:spacing w:before="120"/>
      <w:widowControl/>
    </w:pPr>
    <w:rPr>
      <w:bCs/>
      <w:sz w:val="20"/>
      <w:szCs w:val="20"/>
      <w:lang w:val="de-DE" w:eastAsia="de-DE"/>
    </w:rPr>
  </w:style>
  <w:style w:type="paragraph" w:styleId="1451" w:customStyle="1">
    <w:name w:val="xl54"/>
    <w:basedOn w:val="1118"/>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cs="宋体"/>
      <w:b/>
      <w:bCs/>
      <w:sz w:val="20"/>
      <w:szCs w:val="20"/>
    </w:rPr>
  </w:style>
  <w:style w:type="paragraph" w:styleId="1452" w:customStyle="1">
    <w:name w:val="111111"/>
    <w:basedOn w:val="1118"/>
    <w:uiPriority w:val="99"/>
    <w:qFormat/>
    <w:pPr>
      <w:jc w:val="center"/>
      <w:spacing w:before="120" w:after="120"/>
    </w:pPr>
    <w:rPr>
      <w:rFonts w:ascii="宋体" w:hAnsi="宋体" w:eastAsia="黑体" w:cs="宋体"/>
      <w:b/>
      <w:bCs/>
      <w:szCs w:val="21"/>
    </w:rPr>
  </w:style>
  <w:style w:type="paragraph" w:styleId="1453" w:customStyle="1">
    <w:name w:val="丁华正文"/>
    <w:basedOn w:val="1164"/>
    <w:uiPriority w:val="99"/>
    <w:qFormat/>
    <w:pPr>
      <w:ind w:left="0" w:firstLine="510"/>
      <w:spacing w:before="0" w:after="0" w:line="360" w:lineRule="auto"/>
    </w:pPr>
    <w:rPr>
      <w:rFonts w:ascii="宋体" w:hAnsi="Arial"/>
      <w:bCs w:val="0"/>
      <w:color w:val="000000"/>
      <w:szCs w:val="16"/>
    </w:rPr>
  </w:style>
  <w:style w:type="paragraph" w:styleId="1454" w:customStyle="1">
    <w:name w:val="条1"/>
    <w:basedOn w:val="1118"/>
    <w:uiPriority w:val="99"/>
    <w:qFormat/>
    <w:pPr>
      <w:ind w:left="780" w:hanging="360"/>
      <w:spacing w:before="156" w:line="360" w:lineRule="auto"/>
      <w:tabs>
        <w:tab w:val="left" w:pos="780" w:leader="none"/>
      </w:tabs>
    </w:pPr>
    <w:rPr>
      <w:rFonts w:eastAsia="黑体"/>
      <w:sz w:val="24"/>
      <w:szCs w:val="20"/>
    </w:rPr>
  </w:style>
  <w:style w:type="paragraph" w:styleId="1455" w:customStyle="1">
    <w:name w:val="标题4，章节第四层"/>
    <w:basedOn w:val="1118"/>
    <w:next w:val="1118"/>
    <w:uiPriority w:val="99"/>
    <w:qFormat/>
    <w:pPr>
      <w:spacing w:line="360" w:lineRule="auto"/>
      <w:tabs>
        <w:tab w:val="left" w:pos="0" w:leader="none"/>
      </w:tabs>
      <w:outlineLvl w:val="3"/>
    </w:pPr>
    <w:rPr>
      <w:rFonts w:ascii="宋体" w:hAnsi="宋体"/>
      <w:b/>
      <w:sz w:val="24"/>
    </w:rPr>
  </w:style>
  <w:style w:type="paragraph" w:styleId="1456" w:customStyle="1">
    <w:name w:val="Char Char1 Char"/>
    <w:basedOn w:val="1118"/>
    <w:uiPriority w:val="99"/>
    <w:qFormat/>
    <w:pPr>
      <w:jc w:val="left"/>
      <w:spacing w:after="160" w:line="240" w:lineRule="exact"/>
      <w:widowControl/>
    </w:pPr>
    <w:rPr>
      <w:rFonts w:ascii="Verdana" w:hAnsi="Verdana"/>
      <w:sz w:val="20"/>
      <w:szCs w:val="20"/>
      <w:lang w:eastAsia="en-US"/>
    </w:rPr>
  </w:style>
  <w:style w:type="paragraph" w:styleId="1457" w:customStyle="1">
    <w:name w:val="公文标题 2"/>
    <w:basedOn w:val="1118"/>
    <w:next w:val="1350"/>
    <w:uiPriority w:val="99"/>
    <w:qFormat/>
    <w:pPr>
      <w:outlineLvl w:val="1"/>
    </w:pPr>
    <w:rPr>
      <w:rFonts w:ascii="仿宋_GB2312" w:hAnsi="宋体" w:eastAsia="仿宋_GB2312"/>
      <w:sz w:val="28"/>
    </w:rPr>
  </w:style>
  <w:style w:type="paragraph" w:styleId="1458" w:customStyle="1">
    <w:name w:val="项目符号，一级"/>
    <w:basedOn w:val="1386"/>
    <w:next w:val="1386"/>
    <w:uiPriority w:val="99"/>
    <w:qFormat/>
    <w:pPr>
      <w:ind w:left="376" w:firstLine="0"/>
      <w:spacing w:line="240" w:lineRule="atLeast"/>
      <w:tabs>
        <w:tab w:val="left" w:pos="1320" w:leader="none"/>
      </w:tabs>
    </w:pPr>
    <w:rPr>
      <w:bCs w:val="0"/>
      <w:color w:val="000000"/>
      <w:szCs w:val="24"/>
    </w:rPr>
  </w:style>
  <w:style w:type="paragraph" w:styleId="1459" w:customStyle="1">
    <w:name w:val="font11"/>
    <w:basedOn w:val="1118"/>
    <w:uiPriority w:val="99"/>
    <w:qFormat/>
    <w:pPr>
      <w:jc w:val="left"/>
      <w:spacing w:before="100" w:beforeAutospacing="1" w:after="100" w:afterAutospacing="1"/>
      <w:widowControl/>
    </w:pPr>
    <w:rPr>
      <w:b/>
      <w:bCs/>
      <w:sz w:val="18"/>
      <w:szCs w:val="18"/>
    </w:rPr>
  </w:style>
  <w:style w:type="paragraph" w:styleId="1460" w:customStyle="1">
    <w:name w:val="样式 段后: 0.5 行 左  0.75 字符"/>
    <w:basedOn w:val="1118"/>
    <w:uiPriority w:val="99"/>
    <w:qFormat/>
    <w:pPr>
      <w:ind w:firstLine="420"/>
      <w:spacing w:line="360" w:lineRule="auto"/>
      <w:widowControl/>
    </w:pPr>
    <w:rPr>
      <w:rFonts w:hAnsi="Arial" w:cs="Arial"/>
      <w:szCs w:val="21"/>
    </w:rPr>
  </w:style>
  <w:style w:type="paragraph" w:styleId="1461" w:customStyle="1">
    <w:name w:val="xl60"/>
    <w:basedOn w:val="1118"/>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1462" w:customStyle="1">
    <w:name w:val="表蕊"/>
    <w:basedOn w:val="1118"/>
    <w:uiPriority w:val="99"/>
    <w:qFormat/>
    <w:pPr>
      <w:jc w:val="left"/>
      <w:spacing w:line="320" w:lineRule="atLeast"/>
    </w:pPr>
    <w:rPr>
      <w:rFonts w:eastAsia="楷体_GB2312"/>
      <w:spacing w:val="-10"/>
      <w:szCs w:val="20"/>
    </w:rPr>
  </w:style>
  <w:style w:type="paragraph" w:styleId="1463" w:customStyle="1">
    <w:name w:val="Char11"/>
    <w:basedOn w:val="1118"/>
    <w:uiPriority w:val="99"/>
    <w:qFormat/>
    <w:rPr>
      <w:rFonts w:ascii="仿宋_GB2312" w:eastAsia="仿宋_GB2312"/>
      <w:b/>
      <w:sz w:val="32"/>
      <w:szCs w:val="32"/>
    </w:rPr>
  </w:style>
  <w:style w:type="paragraph" w:styleId="1464" w:customStyle="1">
    <w:name w:val="符号与编号 Char"/>
    <w:basedOn w:val="1118"/>
    <w:uiPriority w:val="99"/>
    <w:qFormat/>
    <w:pPr>
      <w:ind w:left="720"/>
      <w:spacing w:line="400" w:lineRule="atLeast"/>
      <w:tabs>
        <w:tab w:val="left" w:pos="720" w:leader="none"/>
      </w:tabs>
    </w:pPr>
    <w:rPr>
      <w:sz w:val="24"/>
    </w:rPr>
  </w:style>
  <w:style w:type="paragraph" w:styleId="1465" w:customStyle="1">
    <w:name w:val="标题3"/>
    <w:basedOn w:val="1121"/>
    <w:uiPriority w:val="99"/>
    <w:qFormat/>
    <w:pPr>
      <w:keepLines w:val="0"/>
      <w:keepNext w:val="0"/>
      <w:spacing w:before="0" w:after="0" w:line="360" w:lineRule="auto"/>
    </w:pPr>
    <w:rPr>
      <w:rFonts w:eastAsia="仿宋_GB2312"/>
      <w:b w:val="0"/>
      <w:sz w:val="30"/>
    </w:rPr>
  </w:style>
  <w:style w:type="paragraph" w:styleId="1466" w:customStyle="1">
    <w:name w:val="表格内文字"/>
    <w:basedOn w:val="1118"/>
    <w:uiPriority w:val="99"/>
    <w:qFormat/>
    <w:pPr>
      <w:spacing w:line="300" w:lineRule="atLeast"/>
    </w:pPr>
    <w:rPr>
      <w:sz w:val="18"/>
    </w:rPr>
  </w:style>
  <w:style w:type="paragraph" w:styleId="1467" w:customStyle="1">
    <w:name w:val="xl59"/>
    <w:basedOn w:val="1118"/>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szCs w:val="20"/>
    </w:rPr>
  </w:style>
  <w:style w:type="paragraph" w:styleId="1468" w:customStyle="1">
    <w:name w:val="正文 居中"/>
    <w:basedOn w:val="1118"/>
    <w:uiPriority w:val="99"/>
    <w:qFormat/>
    <w:pPr>
      <w:jc w:val="center"/>
      <w:spacing w:line="360" w:lineRule="auto"/>
    </w:pPr>
    <w:rPr>
      <w:sz w:val="24"/>
      <w:szCs w:val="20"/>
    </w:rPr>
  </w:style>
  <w:style w:type="paragraph" w:styleId="1469" w:customStyle="1">
    <w:name w:val="正文 + Arial Char"/>
    <w:basedOn w:val="1118"/>
    <w:uiPriority w:val="99"/>
    <w:qFormat/>
    <w:pPr>
      <w:ind w:left="315" w:hanging="315"/>
      <w:spacing w:line="300" w:lineRule="auto"/>
      <w:widowControl/>
      <w:tabs>
        <w:tab w:val="left" w:pos="315" w:leader="none"/>
      </w:tabs>
    </w:pPr>
    <w:rPr>
      <w:rFonts w:ascii="Arial" w:hAnsi="Arial" w:cs="Arial"/>
      <w:b/>
      <w:color w:val="000000"/>
      <w:szCs w:val="20"/>
    </w:rPr>
  </w:style>
  <w:style w:type="paragraph" w:styleId="1470" w:customStyle="1">
    <w:name w:val="xl35"/>
    <w:basedOn w:val="111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szCs w:val="20"/>
    </w:rPr>
  </w:style>
  <w:style w:type="paragraph" w:styleId="1471" w:customStyle="1">
    <w:name w:val="列表内容"/>
    <w:basedOn w:val="1118"/>
    <w:next w:val="1118"/>
    <w:uiPriority w:val="99"/>
    <w:qFormat/>
    <w:pPr>
      <w:ind w:left="840" w:hanging="420"/>
      <w:jc w:val="left"/>
      <w:widowControl/>
      <w:tabs>
        <w:tab w:val="left" w:pos="840" w:leader="none"/>
      </w:tabs>
    </w:pPr>
    <w:rPr>
      <w:sz w:val="18"/>
    </w:rPr>
  </w:style>
  <w:style w:type="paragraph" w:styleId="1472" w:customStyle="1">
    <w:name w:val="Char Char1 Char Char2 Char Char"/>
    <w:basedOn w:val="1118"/>
    <w:uiPriority w:val="99"/>
    <w:qFormat/>
    <w:pPr>
      <w:jc w:val="left"/>
      <w:spacing w:after="160" w:line="240" w:lineRule="exact"/>
      <w:widowControl/>
    </w:pPr>
  </w:style>
  <w:style w:type="paragraph" w:styleId="1473" w:customStyle="1">
    <w:name w:val="方案文档"/>
    <w:basedOn w:val="1118"/>
    <w:uiPriority w:val="99"/>
    <w:qFormat/>
    <w:pPr>
      <w:jc w:val="center"/>
      <w:spacing w:before="60" w:after="60" w:line="360" w:lineRule="auto"/>
    </w:pPr>
    <w:rPr>
      <w:rFonts w:ascii="宋体" w:hAnsi="宋体"/>
      <w:sz w:val="24"/>
      <w:szCs w:val="20"/>
      <w:lang w:val="zh-CN"/>
    </w:rPr>
  </w:style>
  <w:style w:type="paragraph" w:styleId="1474" w:customStyle="1">
    <w:name w:val="tableau"/>
    <w:basedOn w:val="1118"/>
    <w:uiPriority w:val="99"/>
    <w:qFormat/>
    <w:pPr>
      <w:jc w:val="center"/>
      <w:spacing w:before="20" w:after="20"/>
      <w:widowControl/>
    </w:pPr>
    <w:rPr>
      <w:rFonts w:ascii="Arial" w:hAnsi="Arial"/>
      <w:sz w:val="16"/>
      <w:szCs w:val="20"/>
      <w:lang w:val="en-GB" w:eastAsia="en-US"/>
    </w:rPr>
  </w:style>
  <w:style w:type="paragraph" w:styleId="1475" w:customStyle="1">
    <w:name w:val="样式 标题 2第一章 标题 2Heading 2 HiddenHeading 2 CCBSheading 2H2h2..."/>
    <w:basedOn w:val="1120"/>
    <w:uiPriority w:val="99"/>
    <w:qFormat/>
    <w:pPr>
      <w:ind w:left="360" w:hanging="360"/>
      <w:jc w:val="center"/>
      <w:keepLines w:val="0"/>
      <w:spacing w:line="240" w:lineRule="auto"/>
      <w:tabs>
        <w:tab w:val="left" w:pos="360" w:leader="none"/>
      </w:tabs>
    </w:pPr>
    <w:rPr>
      <w:rFonts w:ascii="黑体" w:hAnsi="Times New Roman" w:cs="宋体"/>
      <w:b w:val="0"/>
      <w:bCs w:val="0"/>
      <w:szCs w:val="20"/>
    </w:rPr>
  </w:style>
  <w:style w:type="paragraph" w:styleId="1476" w:customStyle="1">
    <w:name w:val="Char Char Char Char1"/>
    <w:basedOn w:val="1135"/>
    <w:uiPriority w:val="99"/>
    <w:qFormat/>
    <w:pPr>
      <w:spacing w:line="360" w:lineRule="auto"/>
    </w:pPr>
    <w:rPr>
      <w:rFonts w:ascii="Tahoma" w:hAnsi="Tahoma"/>
    </w:rPr>
  </w:style>
  <w:style w:type="paragraph" w:styleId="1477" w:customStyle="1">
    <w:name w:val="标题1"/>
    <w:basedOn w:val="1118"/>
    <w:next w:val="1118"/>
    <w:uiPriority w:val="99"/>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478" w:customStyle="1">
    <w:name w:val="Normal Indent1"/>
    <w:basedOn w:val="1118"/>
    <w:uiPriority w:val="99"/>
    <w:qFormat/>
    <w:pPr>
      <w:ind w:firstLine="420"/>
    </w:pPr>
    <w:rPr>
      <w:sz w:val="20"/>
      <w:szCs w:val="20"/>
    </w:rPr>
  </w:style>
  <w:style w:type="paragraph" w:styleId="1479" w:customStyle="1">
    <w:name w:val="Char Char1 Char Char Char Char Char Char Char"/>
    <w:basedOn w:val="1118"/>
    <w:uiPriority w:val="99"/>
    <w:qFormat/>
    <w:rPr>
      <w:rFonts w:ascii="Tahoma" w:hAnsi="Tahoma" w:cs="Tahoma"/>
      <w:sz w:val="24"/>
      <w:szCs w:val="20"/>
    </w:rPr>
  </w:style>
  <w:style w:type="paragraph" w:styleId="1480" w:customStyle="1">
    <w:name w:val="font9"/>
    <w:basedOn w:val="1118"/>
    <w:uiPriority w:val="99"/>
    <w:qFormat/>
    <w:pPr>
      <w:jc w:val="left"/>
      <w:spacing w:before="100" w:beforeAutospacing="1" w:after="100" w:afterAutospacing="1"/>
      <w:widowControl/>
    </w:pPr>
    <w:rPr>
      <w:b/>
      <w:bCs/>
      <w:sz w:val="20"/>
      <w:szCs w:val="20"/>
    </w:rPr>
  </w:style>
  <w:style w:type="paragraph" w:styleId="1481" w:customStyle="1">
    <w:name w:val="正文 A"/>
    <w:uiPriority w:val="99"/>
    <w:qFormat/>
    <w:pPr>
      <w:jc w:val="both"/>
      <w:widowControl w:val="off"/>
      <w:pBdr>
        <w:top w:val="none" w:color="FFFFFF" w:sz="0" w:space="31"/>
        <w:left w:val="none" w:color="FFFFFF" w:sz="0" w:space="31"/>
        <w:bottom w:val="none" w:color="FFFFFF" w:sz="0" w:space="31"/>
        <w:right w:val="none" w:color="FFFFFF" w:sz="0" w:space="31"/>
      </w:pBdr>
    </w:pPr>
    <w:rPr>
      <w:rFonts w:ascii="Arial Unicode MS" w:hAnsi="Arial Unicode MS" w:eastAsia="宋体" w:cs="Arial Unicode MS"/>
      <w:color w:val="000000"/>
      <w:sz w:val="21"/>
      <w:szCs w:val="22"/>
      <w:lang w:val="en-US" w:eastAsia="zh-CN" w:bidi="ar-SA"/>
    </w:rPr>
  </w:style>
  <w:style w:type="paragraph" w:styleId="1482" w:customStyle="1">
    <w:name w:val="Char Char Char Char Char Char Char1 Char"/>
    <w:basedOn w:val="1118"/>
    <w:uiPriority w:val="99"/>
    <w:qFormat/>
    <w:rPr>
      <w:rFonts w:ascii="Tahoma" w:hAnsi="Tahoma" w:cs="Tahoma"/>
      <w:sz w:val="24"/>
      <w:szCs w:val="20"/>
    </w:rPr>
  </w:style>
  <w:style w:type="paragraph" w:styleId="1483" w:customStyle="1">
    <w:name w:val="小四 段落 宋体 Char"/>
    <w:basedOn w:val="1133"/>
    <w:uiPriority w:val="99"/>
    <w:qFormat/>
    <w:pPr>
      <w:ind w:left="0" w:right="-33" w:firstLine="600"/>
      <w:jc w:val="left"/>
      <w:tabs>
        <w:tab w:val="clear" w:pos="2952" w:leader="none"/>
      </w:tabs>
    </w:pPr>
    <w:rPr>
      <w:rFonts w:ascii="仿宋_GB2312" w:eastAsia="仿宋_GB2312"/>
      <w:sz w:val="30"/>
      <w:szCs w:val="30"/>
    </w:rPr>
  </w:style>
  <w:style w:type="paragraph" w:styleId="1484" w:customStyle="1">
    <w:name w:val="标准小四"/>
    <w:basedOn w:val="1118"/>
    <w:uiPriority w:val="99"/>
    <w:qFormat/>
    <w:pPr>
      <w:ind w:firstLine="480"/>
      <w:spacing w:line="360" w:lineRule="auto"/>
    </w:pPr>
    <w:rPr>
      <w:rFonts w:ascii="Arial" w:hAnsi="Arial"/>
      <w:sz w:val="24"/>
      <w:szCs w:val="21"/>
    </w:rPr>
  </w:style>
  <w:style w:type="paragraph" w:styleId="1485" w:customStyle="1">
    <w:name w:val="xl47"/>
    <w:basedOn w:val="1118"/>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rPr>
  </w:style>
  <w:style w:type="paragraph" w:styleId="1486" w:customStyle="1">
    <w:name w:val="xl25"/>
    <w:basedOn w:val="1118"/>
    <w:uiPriority w:val="99"/>
    <w:qFormat/>
    <w:pPr>
      <w:jc w:val="center"/>
      <w:spacing w:before="100" w:beforeAutospacing="1" w:after="100" w:afterAutospacing="1"/>
      <w:widowControl/>
      <w:pBdr>
        <w:right w:val="single" w:color="auto" w:sz="4" w:space="0"/>
      </w:pBdr>
    </w:pPr>
    <w:rPr>
      <w:szCs w:val="21"/>
    </w:rPr>
  </w:style>
  <w:style w:type="paragraph" w:styleId="1487" w:customStyle="1">
    <w:name w:val="greytypebeni"/>
    <w:basedOn w:val="1118"/>
    <w:uiPriority w:val="99"/>
    <w:qFormat/>
    <w:pPr>
      <w:jc w:val="left"/>
      <w:widowControl/>
    </w:pPr>
    <w:rPr>
      <w:rFonts w:ascii="宋体" w:hAnsi="宋体" w:cs="宋体"/>
      <w:sz w:val="24"/>
    </w:rPr>
  </w:style>
  <w:style w:type="paragraph" w:styleId="1488" w:customStyle="1">
    <w:name w:val="Body Text(ch)"/>
    <w:basedOn w:val="1118"/>
    <w:next w:val="1139"/>
    <w:uiPriority w:val="99"/>
    <w:qFormat/>
    <w:pPr>
      <w:spacing w:after="120"/>
    </w:pPr>
    <w:rPr>
      <w:rFonts w:ascii="宋体" w:hAnsi="Arial"/>
      <w:bCs/>
      <w:iCs/>
    </w:rPr>
  </w:style>
  <w:style w:type="paragraph" w:styleId="1489" w:customStyle="1">
    <w:name w:val="样式 标题 2H2h2sect 1.2Heading 2 HiddenHeading 2 CCBSheading 2..."/>
    <w:basedOn w:val="1120"/>
    <w:uiPriority w:val="99"/>
    <w:qFormat/>
    <w:pPr>
      <w:ind w:left="576" w:hanging="36"/>
      <w:jc w:val="left"/>
      <w:spacing w:line="240" w:lineRule="auto"/>
      <w:tabs>
        <w:tab w:val="left" w:pos="576" w:leader="none"/>
      </w:tabs>
    </w:pPr>
    <w:rPr>
      <w:rFonts w:ascii="宋体" w:hAnsi="宋体" w:eastAsia="宋体"/>
      <w:sz w:val="28"/>
      <w:szCs w:val="20"/>
    </w:rPr>
  </w:style>
  <w:style w:type="paragraph" w:styleId="1490" w:customStyle="1">
    <w:name w:val="a"/>
    <w:basedOn w:val="1118"/>
    <w:uiPriority w:val="99"/>
    <w:qFormat/>
    <w:pPr>
      <w:spacing w:before="100" w:beforeAutospacing="1" w:after="100" w:afterAutospacing="1"/>
      <w:widowControl/>
    </w:pPr>
    <w:rPr>
      <w:rFonts w:ascii="宋体" w:hAnsi="宋体" w:cs="宋体"/>
      <w:sz w:val="24"/>
    </w:rPr>
  </w:style>
  <w:style w:type="paragraph" w:styleId="1491" w:customStyle="1">
    <w:name w:val="小四 段落 宋体 Char Char Char"/>
    <w:basedOn w:val="1133"/>
    <w:uiPriority w:val="99"/>
    <w:qFormat/>
    <w:pPr>
      <w:ind w:left="0" w:right="-33" w:firstLine="545"/>
      <w:jc w:val="left"/>
      <w:spacing w:line="360" w:lineRule="auto"/>
      <w:tabs>
        <w:tab w:val="clear" w:pos="2952" w:leader="none"/>
      </w:tabs>
    </w:pPr>
    <w:rPr>
      <w:sz w:val="24"/>
    </w:rPr>
  </w:style>
  <w:style w:type="paragraph" w:styleId="1492" w:customStyle="1">
    <w:name w:val="Body Text 211"/>
    <w:basedOn w:val="1118"/>
    <w:uiPriority w:val="99"/>
    <w:qFormat/>
    <w:pPr>
      <w:ind w:left="720" w:hanging="720"/>
      <w:widowControl/>
    </w:pPr>
    <w:rPr>
      <w:sz w:val="24"/>
      <w:szCs w:val="20"/>
      <w:lang w:val="en-GB"/>
    </w:rPr>
  </w:style>
  <w:style w:type="paragraph" w:styleId="1493" w:customStyle="1">
    <w:name w:val="Char Char Char Char Char Char Char Char1"/>
    <w:basedOn w:val="1118"/>
    <w:uiPriority w:val="99"/>
    <w:qFormat/>
    <w:pPr>
      <w:jc w:val="left"/>
      <w:spacing w:after="160" w:line="240" w:lineRule="exact"/>
      <w:widowControl/>
    </w:pPr>
    <w:rPr>
      <w:rFonts w:ascii="Verdana" w:hAnsi="Verdana"/>
      <w:sz w:val="20"/>
      <w:szCs w:val="20"/>
      <w:lang w:eastAsia="en-US"/>
    </w:rPr>
  </w:style>
  <w:style w:type="paragraph" w:styleId="1494" w:customStyle="1">
    <w:name w:val="xl28"/>
    <w:basedOn w:val="111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495" w:customStyle="1">
    <w:name w:val="标题3，章节第三层"/>
    <w:basedOn w:val="1118"/>
    <w:next w:val="1386"/>
    <w:uiPriority w:val="99"/>
    <w:qFormat/>
    <w:pPr>
      <w:spacing w:before="78" w:line="300" w:lineRule="auto"/>
      <w:outlineLvl w:val="2"/>
    </w:pPr>
    <w:rPr>
      <w:rFonts w:ascii="Arial" w:hAnsi="Arial" w:eastAsia="华文细黑"/>
      <w:sz w:val="30"/>
    </w:rPr>
  </w:style>
  <w:style w:type="paragraph" w:styleId="1496" w:customStyle="1">
    <w:name w:val="样式4 Char"/>
    <w:basedOn w:val="1118"/>
    <w:uiPriority w:val="99"/>
    <w:qFormat/>
    <w:pPr>
      <w:ind w:firstLine="480"/>
      <w:jc w:val="left"/>
      <w:spacing w:line="360" w:lineRule="auto"/>
      <w:widowControl/>
    </w:pPr>
    <w:rPr>
      <w:rFonts w:cs="宋体"/>
      <w:color w:val="000000"/>
      <w:sz w:val="24"/>
    </w:rPr>
  </w:style>
  <w:style w:type="paragraph" w:styleId="1497" w:customStyle="1">
    <w:name w:val="Body Text 21"/>
    <w:basedOn w:val="1118"/>
    <w:uiPriority w:val="99"/>
    <w:qFormat/>
    <w:pPr>
      <w:ind w:left="720" w:hanging="720"/>
      <w:widowControl/>
    </w:pPr>
    <w:rPr>
      <w:sz w:val="24"/>
      <w:szCs w:val="20"/>
      <w:lang w:val="en-GB"/>
    </w:rPr>
  </w:style>
  <w:style w:type="paragraph" w:styleId="1498" w:customStyle="1">
    <w:name w:val="普通文字"/>
    <w:basedOn w:val="1118"/>
    <w:next w:val="1118"/>
    <w:uiPriority w:val="99"/>
    <w:qFormat/>
    <w:rPr>
      <w:rFonts w:ascii="宋体" w:hAnsi="宋体" w:cs="宋体"/>
      <w:sz w:val="24"/>
      <w:szCs w:val="20"/>
    </w:rPr>
  </w:style>
  <w:style w:type="paragraph" w:styleId="1499" w:customStyle="1">
    <w:name w:val="xl46"/>
    <w:basedOn w:val="1118"/>
    <w:uiPriority w:val="99"/>
    <w:qFormat/>
    <w:pPr>
      <w:jc w:val="center"/>
      <w:spacing w:before="100" w:beforeAutospacing="1" w:after="100" w:afterAutospacing="1"/>
      <w:widowControl/>
      <w:pBdr>
        <w:left w:val="single" w:color="auto" w:sz="4" w:space="0"/>
        <w:right w:val="single" w:color="auto" w:sz="4" w:space="0"/>
      </w:pBdr>
    </w:pPr>
    <w:rPr>
      <w:rFonts w:ascii="宋体" w:hAnsi="宋体" w:cs="宋体"/>
      <w:sz w:val="24"/>
    </w:rPr>
  </w:style>
  <w:style w:type="paragraph" w:styleId="1500" w:customStyle="1">
    <w:name w:val="正文 New"/>
    <w:uiPriority w:val="99"/>
    <w:qFormat/>
    <w:pPr>
      <w:jc w:val="both"/>
      <w:widowControl w:val="off"/>
    </w:pPr>
    <w:rPr>
      <w:rFonts w:ascii="Times New Roman" w:hAnsi="Times New Roman" w:eastAsia="宋体" w:cs="Times New Roman"/>
      <w:sz w:val="21"/>
      <w:lang w:val="en-US" w:eastAsia="zh-CN" w:bidi="ar-SA"/>
    </w:rPr>
  </w:style>
  <w:style w:type="paragraph" w:styleId="1501" w:customStyle="1">
    <w:name w:val="font12"/>
    <w:basedOn w:val="1118"/>
    <w:uiPriority w:val="99"/>
    <w:qFormat/>
    <w:pPr>
      <w:jc w:val="left"/>
      <w:spacing w:before="100" w:beforeAutospacing="1" w:after="100" w:afterAutospacing="1"/>
      <w:widowControl/>
    </w:pPr>
    <w:rPr>
      <w:rFonts w:ascii="宋体" w:hAnsi="宋体" w:cs="宋体"/>
      <w:sz w:val="36"/>
      <w:szCs w:val="36"/>
    </w:rPr>
  </w:style>
  <w:style w:type="paragraph" w:styleId="1502" w:customStyle="1">
    <w:name w:val="马刚标题1"/>
    <w:basedOn w:val="1119"/>
    <w:next w:val="1118"/>
    <w:uiPriority w:val="99"/>
    <w:qFormat/>
    <w:pPr>
      <w:ind w:left="567" w:hanging="567"/>
      <w:jc w:val="left"/>
      <w:spacing w:before="400" w:after="120"/>
      <w:tabs>
        <w:tab w:val="left" w:pos="315" w:leader="none"/>
        <w:tab w:val="left" w:pos="567" w:leader="none"/>
      </w:tabs>
    </w:pPr>
    <w:rPr>
      <w:rFonts w:eastAsia="黑体"/>
      <w:b w:val="0"/>
      <w:bCs w:val="0"/>
      <w:sz w:val="32"/>
      <w:szCs w:val="20"/>
    </w:rPr>
  </w:style>
  <w:style w:type="paragraph" w:styleId="1503" w:customStyle="1">
    <w:name w:val="Char Char Char Char Char Char Char Char Char Char Char Char Char Char Char Char Char Char Char Char Char"/>
    <w:basedOn w:val="1118"/>
    <w:uiPriority w:val="99"/>
    <w:qFormat/>
    <w:rPr>
      <w:rFonts w:ascii="Tahoma" w:hAnsi="Tahoma" w:cs="Tahoma"/>
      <w:sz w:val="24"/>
      <w:szCs w:val="20"/>
    </w:rPr>
  </w:style>
  <w:style w:type="paragraph" w:styleId="1504" w:customStyle="1">
    <w:name w:val="xl30"/>
    <w:basedOn w:val="111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505" w:customStyle="1">
    <w:name w:val="Char Char1 Char Char Char Char"/>
    <w:basedOn w:val="1135"/>
    <w:uiPriority w:val="99"/>
    <w:qFormat/>
    <w:pPr>
      <w:ind w:left="357"/>
      <w:jc w:val="left"/>
      <w:spacing w:line="436" w:lineRule="exact"/>
      <w:outlineLvl w:val="3"/>
    </w:pPr>
    <w:rPr>
      <w:rFonts w:ascii="Tahoma" w:hAnsi="Tahoma" w:cs="Tahoma"/>
      <w:b/>
    </w:rPr>
  </w:style>
  <w:style w:type="paragraph" w:styleId="1506" w:customStyle="1">
    <w:name w:val="普通正文"/>
    <w:basedOn w:val="1118"/>
    <w:uiPriority w:val="99"/>
    <w:qFormat/>
    <w:pPr>
      <w:ind w:firstLine="480"/>
      <w:jc w:val="left"/>
      <w:spacing w:before="120" w:after="120" w:line="360" w:lineRule="auto"/>
    </w:pPr>
    <w:rPr>
      <w:rFonts w:ascii="Arial" w:hAnsi="Arial"/>
      <w:sz w:val="24"/>
    </w:rPr>
  </w:style>
  <w:style w:type="paragraph" w:styleId="1507" w:customStyle="1">
    <w:name w:val="Char Char Char Char Char Char Char Char Char Char Char Char Char Char"/>
    <w:basedOn w:val="1118"/>
    <w:uiPriority w:val="99"/>
    <w:qFormat/>
    <w:rPr>
      <w:rFonts w:ascii="Tahoma" w:hAnsi="Tahoma"/>
      <w:sz w:val="24"/>
      <w:szCs w:val="20"/>
    </w:rPr>
  </w:style>
  <w:style w:type="paragraph" w:styleId="1508" w:customStyle="1">
    <w:name w:val="xl32"/>
    <w:basedOn w:val="111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509" w:customStyle="1">
    <w:name w:val="正文 首行缩进:  2 字符 Char Char"/>
    <w:basedOn w:val="1118"/>
    <w:uiPriority w:val="99"/>
    <w:qFormat/>
    <w:pPr>
      <w:ind w:firstLine="480"/>
      <w:spacing w:line="360" w:lineRule="auto"/>
    </w:pPr>
    <w:rPr>
      <w:rFonts w:ascii="楷体_GB2312" w:eastAsia="楷体_GB2312"/>
      <w:bCs/>
      <w:sz w:val="24"/>
    </w:rPr>
  </w:style>
  <w:style w:type="paragraph" w:styleId="1510" w:customStyle="1">
    <w:name w:val="4"/>
    <w:basedOn w:val="1118"/>
    <w:next w:val="1164"/>
    <w:uiPriority w:val="99"/>
    <w:qFormat/>
    <w:pPr>
      <w:ind w:firstLine="420"/>
      <w:spacing w:line="360" w:lineRule="auto"/>
    </w:pPr>
    <w:rPr>
      <w:color w:val="ff0000"/>
      <w:sz w:val="24"/>
    </w:rPr>
  </w:style>
  <w:style w:type="paragraph" w:styleId="1511" w:customStyle="1">
    <w:name w:val="font7"/>
    <w:basedOn w:val="1118"/>
    <w:uiPriority w:val="99"/>
    <w:qFormat/>
    <w:pPr>
      <w:jc w:val="left"/>
      <w:spacing w:before="100" w:beforeAutospacing="1" w:after="100" w:afterAutospacing="1"/>
      <w:widowControl/>
    </w:pPr>
    <w:rPr>
      <w:rFonts w:ascii="宋体" w:hAnsi="宋体"/>
      <w:b/>
      <w:bCs/>
      <w:sz w:val="24"/>
    </w:rPr>
  </w:style>
  <w:style w:type="paragraph" w:styleId="1512" w:customStyle="1">
    <w:name w:val="Char Char Char Char Char Char Char Char Char Char"/>
    <w:basedOn w:val="1118"/>
    <w:uiPriority w:val="99"/>
    <w:qFormat/>
    <w:pPr>
      <w:spacing w:line="360" w:lineRule="auto"/>
    </w:pPr>
    <w:rPr>
      <w:sz w:val="24"/>
      <w:szCs w:val="20"/>
    </w:rPr>
  </w:style>
  <w:style w:type="paragraph" w:styleId="1513" w:customStyle="1">
    <w:name w:val="Char Char Char Char Char Char Char Char Char Char Char Char Char"/>
    <w:basedOn w:val="1118"/>
    <w:uiPriority w:val="99"/>
    <w:qFormat/>
    <w:pPr>
      <w:jc w:val="left"/>
      <w:spacing w:after="160" w:line="240" w:lineRule="exact"/>
      <w:widowControl/>
    </w:pPr>
  </w:style>
  <w:style w:type="paragraph" w:styleId="1514" w:customStyle="1">
    <w:name w:val="xl43"/>
    <w:basedOn w:val="1118"/>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szCs w:val="20"/>
    </w:rPr>
  </w:style>
  <w:style w:type="paragraph" w:styleId="1515" w:customStyle="1">
    <w:name w:val="列出段落2"/>
    <w:basedOn w:val="1118"/>
    <w:uiPriority w:val="99"/>
    <w:qFormat/>
    <w:pPr>
      <w:ind w:left="720"/>
      <w:jc w:val="left"/>
      <w:widowControl/>
    </w:pPr>
    <w:rPr>
      <w:rFonts w:ascii="Arial" w:hAnsi="Arial" w:eastAsia="黑体" w:cs="Arial"/>
      <w:sz w:val="24"/>
      <w:lang w:eastAsia="en-US"/>
    </w:rPr>
  </w:style>
  <w:style w:type="paragraph" w:styleId="1516" w:customStyle="1">
    <w:name w:val="默认段落字体 Para Char Char Char Char Char Char Char"/>
    <w:basedOn w:val="1118"/>
    <w:uiPriority w:val="99"/>
    <w:qFormat/>
    <w:rPr>
      <w:rFonts w:ascii="Tahoma" w:hAnsi="Tahoma"/>
      <w:sz w:val="24"/>
      <w:szCs w:val="20"/>
    </w:rPr>
  </w:style>
  <w:style w:type="paragraph" w:styleId="1517" w:customStyle="1">
    <w:name w:val="正文--表格内正文"/>
    <w:basedOn w:val="1118"/>
    <w:uiPriority w:val="99"/>
    <w:qFormat/>
    <w:pPr>
      <w:jc w:val="center"/>
      <w:spacing w:line="240" w:lineRule="atLeast"/>
    </w:pPr>
    <w:rPr>
      <w:rFonts w:ascii="宋体" w:hAnsi="宋体"/>
      <w:color w:val="000000"/>
      <w:sz w:val="24"/>
    </w:rPr>
  </w:style>
  <w:style w:type="paragraph" w:styleId="1518" w:customStyle="1">
    <w:name w:val="标题 4宋体"/>
    <w:basedOn w:val="1122"/>
    <w:uiPriority w:val="99"/>
    <w:qFormat/>
    <w:pPr>
      <w:jc w:val="left"/>
      <w:keepLines w:val="0"/>
      <w:spacing w:before="0" w:after="0" w:line="360" w:lineRule="auto"/>
    </w:pPr>
    <w:rPr>
      <w:rFonts w:ascii="宋体" w:hAnsi="宋体" w:eastAsia="宋体"/>
      <w:bCs/>
      <w:color w:val="000000"/>
      <w:sz w:val="24"/>
    </w:rPr>
  </w:style>
  <w:style w:type="paragraph" w:styleId="1519" w:customStyle="1">
    <w:name w:val="xl42"/>
    <w:basedOn w:val="111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520" w:customStyle="1">
    <w:name w:val="xl39"/>
    <w:basedOn w:val="111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521" w:customStyle="1">
    <w:name w:val="符号与编号"/>
    <w:basedOn w:val="1118"/>
    <w:uiPriority w:val="99"/>
    <w:qFormat/>
    <w:pPr>
      <w:ind w:left="900" w:hanging="420"/>
      <w:spacing w:line="400" w:lineRule="atLeast"/>
      <w:tabs>
        <w:tab w:val="left" w:pos="900" w:leader="none"/>
      </w:tabs>
    </w:pPr>
    <w:rPr>
      <w:sz w:val="24"/>
    </w:rPr>
  </w:style>
  <w:style w:type="paragraph" w:styleId="1522" w:customStyle="1">
    <w:name w:val="zw"/>
    <w:basedOn w:val="1118"/>
    <w:uiPriority w:val="99"/>
    <w:qFormat/>
    <w:pPr>
      <w:ind w:firstLine="480"/>
      <w:jc w:val="left"/>
      <w:spacing w:line="360" w:lineRule="auto"/>
      <w:widowControl/>
    </w:pPr>
    <w:rPr>
      <w:rFonts w:ascii="宋体" w:hAnsi="宋体"/>
      <w:bCs/>
      <w:sz w:val="24"/>
      <w:szCs w:val="20"/>
    </w:rPr>
  </w:style>
  <w:style w:type="paragraph" w:styleId="1523" w:customStyle="1">
    <w:name w:val="一级标题"/>
    <w:basedOn w:val="1118"/>
    <w:uiPriority w:val="99"/>
    <w:qFormat/>
    <w:pPr>
      <w:ind w:left="900" w:hanging="420"/>
      <w:spacing w:line="360" w:lineRule="auto"/>
      <w:tabs>
        <w:tab w:val="left" w:pos="903" w:leader="none"/>
      </w:tabs>
    </w:pPr>
    <w:rPr>
      <w:rFonts w:ascii="Arial" w:hAnsi="Arial" w:cs="Arial"/>
      <w:sz w:val="24"/>
      <w:szCs w:val="20"/>
    </w:rPr>
  </w:style>
  <w:style w:type="paragraph" w:styleId="1524" w:customStyle="1">
    <w:name w:val="段落"/>
    <w:uiPriority w:val="99"/>
    <w:qFormat/>
    <w:pPr>
      <w:ind w:firstLine="480"/>
      <w:jc w:val="both"/>
      <w:spacing w:before="120" w:after="120" w:line="360" w:lineRule="auto"/>
    </w:pPr>
    <w:rPr>
      <w:rFonts w:ascii="Times New Roman" w:hAnsi="Times New Roman" w:eastAsia="仿宋_GB2312" w:cs="Times New Roman"/>
      <w:sz w:val="24"/>
      <w:szCs w:val="24"/>
      <w:lang w:val="en-US" w:eastAsia="zh-CN" w:bidi="ar-SA"/>
    </w:rPr>
  </w:style>
  <w:style w:type="paragraph" w:styleId="1525" w:customStyle="1">
    <w:name w:val="font8"/>
    <w:basedOn w:val="1118"/>
    <w:uiPriority w:val="99"/>
    <w:qFormat/>
    <w:pPr>
      <w:jc w:val="left"/>
      <w:spacing w:before="100" w:beforeAutospacing="1" w:after="100" w:afterAutospacing="1"/>
      <w:widowControl/>
    </w:pPr>
    <w:rPr>
      <w:rFonts w:ascii="宋体" w:hAnsi="宋体" w:cs="宋体"/>
      <w:b/>
      <w:bCs/>
      <w:i/>
      <w:iCs/>
      <w:sz w:val="20"/>
      <w:szCs w:val="20"/>
    </w:rPr>
  </w:style>
  <w:style w:type="paragraph" w:styleId="1526" w:customStyle="1">
    <w:name w:val="丁华标题2"/>
    <w:basedOn w:val="1120"/>
    <w:next w:val="1453"/>
    <w:uiPriority w:val="99"/>
    <w:qFormat/>
    <w:pPr>
      <w:ind w:left="567" w:hanging="567"/>
      <w:jc w:val="left"/>
      <w:spacing w:before="120" w:after="120"/>
      <w:tabs>
        <w:tab w:val="left" w:pos="567" w:leader="none"/>
      </w:tabs>
    </w:pPr>
    <w:rPr>
      <w:color w:val="000000"/>
      <w:sz w:val="28"/>
      <w:szCs w:val="20"/>
    </w:rPr>
  </w:style>
  <w:style w:type="paragraph" w:styleId="1527" w:customStyle="1">
    <w:name w:val="xl38"/>
    <w:basedOn w:val="111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528" w:customStyle="1">
    <w:name w:val="小四 段落 宋体"/>
    <w:basedOn w:val="1133"/>
    <w:uiPriority w:val="99"/>
    <w:qFormat/>
    <w:pPr>
      <w:ind w:left="113" w:right="113" w:firstLine="425"/>
      <w:jc w:val="left"/>
      <w:spacing w:line="360" w:lineRule="auto"/>
      <w:tabs>
        <w:tab w:val="clear" w:pos="2952" w:leader="none"/>
      </w:tabs>
    </w:pPr>
    <w:rPr>
      <w:sz w:val="24"/>
    </w:rPr>
  </w:style>
  <w:style w:type="paragraph" w:styleId="1529" w:customStyle="1">
    <w:name w:val="xl51"/>
    <w:basedOn w:val="1118"/>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1530" w:customStyle="1">
    <w:name w:val="List Paragraph1"/>
    <w:basedOn w:val="1118"/>
    <w:uiPriority w:val="99"/>
    <w:qFormat/>
    <w:pPr>
      <w:ind w:left="720"/>
      <w:jc w:val="left"/>
      <w:widowControl/>
    </w:pPr>
    <w:rPr>
      <w:rFonts w:ascii="Arial" w:hAnsi="Arial" w:eastAsia="黑体"/>
      <w:sz w:val="24"/>
      <w:lang w:eastAsia="en-US"/>
    </w:rPr>
  </w:style>
  <w:style w:type="paragraph" w:styleId="1531" w:customStyle="1">
    <w:name w:val="Char Char Char Char Char Char Char Char"/>
    <w:basedOn w:val="1118"/>
    <w:uiPriority w:val="99"/>
    <w:qFormat/>
    <w:pPr>
      <w:jc w:val="left"/>
      <w:spacing w:after="160" w:line="240" w:lineRule="exact"/>
      <w:widowControl/>
    </w:pPr>
    <w:rPr>
      <w:rFonts w:ascii="Verdana" w:hAnsi="Verdana"/>
      <w:sz w:val="20"/>
      <w:szCs w:val="20"/>
      <w:lang w:eastAsia="en-US"/>
    </w:rPr>
  </w:style>
  <w:style w:type="paragraph" w:styleId="1532" w:customStyle="1">
    <w:name w:val="批注框文本1"/>
    <w:basedOn w:val="1118"/>
    <w:uiPriority w:val="99"/>
    <w:qFormat/>
    <w:rPr>
      <w:sz w:val="18"/>
      <w:szCs w:val="18"/>
    </w:rPr>
  </w:style>
  <w:style w:type="paragraph" w:styleId="1533" w:customStyle="1">
    <w:name w:val="默认段落字体 Para Char Char Char Char Char Char Char Char Char1 Char Char Char Char Char Char Char"/>
    <w:basedOn w:val="1135"/>
    <w:uiPriority w:val="99"/>
    <w:qFormat/>
    <w:rPr>
      <w:szCs w:val="20"/>
    </w:rPr>
  </w:style>
  <w:style w:type="paragraph" w:styleId="1534" w:customStyle="1">
    <w:name w:val="Pa6"/>
    <w:basedOn w:val="1118"/>
    <w:next w:val="1118"/>
    <w:uiPriority w:val="99"/>
    <w:qFormat/>
    <w:pPr>
      <w:jc w:val="left"/>
      <w:spacing w:line="241" w:lineRule="atLeast"/>
    </w:pPr>
    <w:rPr>
      <w:rFonts w:ascii="汉仪大黑简" w:eastAsia="汉仪大黑简"/>
      <w:sz w:val="24"/>
    </w:rPr>
  </w:style>
  <w:style w:type="paragraph" w:styleId="1535" w:customStyle="1">
    <w:name w:val="xl49"/>
    <w:basedOn w:val="1118"/>
    <w:uiPriority w:val="99"/>
    <w:qFormat/>
    <w:pPr>
      <w:jc w:val="center"/>
      <w:spacing w:before="100" w:beforeAutospacing="1" w:after="100" w:afterAutospacing="1"/>
      <w:widowControl/>
      <w:pBdr>
        <w:left w:val="single" w:color="auto" w:sz="4" w:space="0"/>
        <w:right w:val="single" w:color="auto" w:sz="4" w:space="0"/>
      </w:pBdr>
    </w:pPr>
    <w:rPr>
      <w:b/>
      <w:bCs/>
      <w:sz w:val="20"/>
      <w:szCs w:val="20"/>
    </w:rPr>
  </w:style>
  <w:style w:type="paragraph" w:styleId="1536" w:customStyle="1">
    <w:name w:val="列出段落11"/>
    <w:basedOn w:val="1118"/>
    <w:uiPriority w:val="99"/>
    <w:qFormat/>
    <w:pPr>
      <w:ind w:firstLine="200"/>
    </w:pPr>
    <w:rPr>
      <w:rFonts w:ascii="Calibri" w:hAnsi="Calibri" w:cs="宋体"/>
      <w:szCs w:val="22"/>
    </w:rPr>
  </w:style>
  <w:style w:type="paragraph" w:styleId="1537" w:customStyle="1">
    <w:name w:val="Char Char Char Char Char Char Char1"/>
    <w:basedOn w:val="1118"/>
    <w:uiPriority w:val="99"/>
    <w:qFormat/>
    <w:rPr>
      <w:rFonts w:ascii="Tahoma" w:hAnsi="Tahoma"/>
      <w:sz w:val="24"/>
      <w:szCs w:val="20"/>
    </w:rPr>
  </w:style>
  <w:style w:type="paragraph" w:styleId="1538" w:customStyle="1">
    <w:name w:val="大标题"/>
    <w:basedOn w:val="1118"/>
    <w:next w:val="1118"/>
    <w:uiPriority w:val="99"/>
    <w:qFormat/>
    <w:pPr>
      <w:ind w:hanging="420"/>
      <w:pageBreakBefore/>
      <w:spacing w:line="360" w:lineRule="auto"/>
      <w:tabs>
        <w:tab w:val="left" w:pos="420" w:leader="none"/>
      </w:tabs>
      <w:outlineLvl w:val="0"/>
    </w:pPr>
    <w:rPr>
      <w:b/>
      <w:iCs/>
      <w:sz w:val="44"/>
    </w:rPr>
  </w:style>
  <w:style w:type="paragraph" w:styleId="1539" w:customStyle="1">
    <w:name w:val="Char2 Char Char Char Char Char Char1"/>
    <w:basedOn w:val="1118"/>
    <w:uiPriority w:val="99"/>
    <w:qFormat/>
    <w:pPr>
      <w:ind w:hanging="425"/>
      <w:keepNext/>
      <w:spacing w:before="80" w:after="80"/>
      <w:widowControl/>
      <w:tabs>
        <w:tab w:val="left" w:pos="425" w:leader="none"/>
      </w:tabs>
    </w:pPr>
    <w:rPr>
      <w:rFonts w:ascii="Arial" w:hAnsi="Arial" w:cs="Arial"/>
      <w:sz w:val="20"/>
      <w:szCs w:val="20"/>
    </w:rPr>
  </w:style>
  <w:style w:type="paragraph" w:styleId="1540" w:customStyle="1">
    <w:name w:val="Char Char"/>
    <w:basedOn w:val="1118"/>
    <w:uiPriority w:val="99"/>
    <w:qFormat/>
    <w:rPr>
      <w:rFonts w:ascii="Tahoma" w:hAnsi="Tahoma"/>
      <w:sz w:val="24"/>
      <w:szCs w:val="20"/>
    </w:rPr>
  </w:style>
  <w:style w:type="paragraph" w:styleId="1541" w:customStyle="1">
    <w:name w:val="Char Char Char Char"/>
    <w:basedOn w:val="1135"/>
    <w:uiPriority w:val="99"/>
    <w:qFormat/>
    <w:pPr>
      <w:spacing w:line="360" w:lineRule="auto"/>
    </w:pPr>
    <w:rPr>
      <w:rFonts w:ascii="Tahoma" w:hAnsi="Tahoma"/>
    </w:rPr>
  </w:style>
  <w:style w:type="paragraph" w:styleId="1542" w:customStyle="1">
    <w:name w:val="ewb-con-p2"/>
    <w:basedOn w:val="1118"/>
    <w:uiPriority w:val="99"/>
    <w:qFormat/>
    <w:pPr>
      <w:jc w:val="left"/>
      <w:spacing w:before="100" w:beforeAutospacing="1" w:after="100" w:afterAutospacing="1"/>
      <w:widowControl/>
    </w:pPr>
    <w:rPr>
      <w:rFonts w:ascii="宋体" w:hAnsi="宋体" w:cs="宋体"/>
      <w:sz w:val="24"/>
    </w:rPr>
  </w:style>
  <w:style w:type="paragraph" w:styleId="1543" w:customStyle="1">
    <w:name w:val="xl61"/>
    <w:basedOn w:val="1118"/>
    <w:uiPriority w:val="99"/>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1544" w:customStyle="1">
    <w:name w:val="xl55"/>
    <w:basedOn w:val="1118"/>
    <w:uiPriority w:val="99"/>
    <w:qFormat/>
    <w:pPr>
      <w:jc w:val="center"/>
      <w:spacing w:before="100" w:beforeAutospacing="1" w:after="100" w:afterAutospacing="1"/>
      <w:shd w:val="clear" w:color="auto" w:fill="969696"/>
      <w:widowControl/>
      <w:pBdr>
        <w:top w:val="single" w:color="auto" w:sz="4" w:space="0"/>
        <w:bottom w:val="single" w:color="auto" w:sz="4" w:space="0"/>
      </w:pBdr>
    </w:pPr>
    <w:rPr>
      <w:b/>
      <w:bCs/>
      <w:sz w:val="20"/>
      <w:szCs w:val="20"/>
    </w:rPr>
  </w:style>
  <w:style w:type="paragraph" w:styleId="1545" w:customStyle="1">
    <w:name w:val="Char Char Char1"/>
    <w:basedOn w:val="1135"/>
    <w:uiPriority w:val="99"/>
    <w:qFormat/>
    <w:pPr>
      <w:spacing w:line="436" w:lineRule="exact"/>
    </w:pPr>
  </w:style>
  <w:style w:type="paragraph" w:styleId="1546" w:customStyle="1">
    <w:name w:val="段 Char"/>
    <w:uiPriority w:val="99"/>
    <w:qFormat/>
    <w:pPr>
      <w:ind w:firstLine="200"/>
      <w:jc w:val="both"/>
    </w:pPr>
    <w:rPr>
      <w:rFonts w:ascii="宋体" w:hAnsi="Times New Roman" w:eastAsia="宋体" w:cs="Times New Roman"/>
      <w:sz w:val="21"/>
      <w:lang w:val="en-US" w:eastAsia="zh-CN" w:bidi="ar-SA"/>
    </w:rPr>
  </w:style>
  <w:style w:type="paragraph" w:styleId="1547" w:customStyle="1">
    <w:name w:val="正文 首行缩进:  2 字符 Char"/>
    <w:basedOn w:val="1118"/>
    <w:uiPriority w:val="99"/>
    <w:qFormat/>
    <w:pPr>
      <w:ind w:firstLine="480"/>
      <w:spacing w:line="360" w:lineRule="auto"/>
    </w:pPr>
    <w:rPr>
      <w:rFonts w:cs="宋体"/>
      <w:sz w:val="24"/>
      <w:szCs w:val="20"/>
    </w:rPr>
  </w:style>
  <w:style w:type="paragraph" w:styleId="1548" w:customStyle="1">
    <w:name w:val="正文 New New New New New"/>
    <w:uiPriority w:val="99"/>
    <w:qFormat/>
    <w:pPr>
      <w:jc w:val="both"/>
      <w:widowControl w:val="off"/>
    </w:pPr>
    <w:rPr>
      <w:rFonts w:ascii="Times New Roman" w:hAnsi="Times New Roman" w:eastAsia="宋体" w:cs="Times New Roman"/>
      <w:sz w:val="21"/>
      <w:szCs w:val="24"/>
      <w:lang w:val="en-US" w:eastAsia="zh-CN" w:bidi="ar-SA"/>
    </w:rPr>
  </w:style>
  <w:style w:type="paragraph" w:styleId="1549" w:customStyle="1">
    <w:name w:val="xl33"/>
    <w:basedOn w:val="111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550" w:customStyle="1">
    <w:name w:val="表格内容"/>
    <w:basedOn w:val="1118"/>
    <w:uiPriority w:val="99"/>
    <w:qFormat/>
    <w:pPr>
      <w:jc w:val="center"/>
      <w:spacing w:before="60" w:line="300" w:lineRule="auto"/>
      <w:widowControl/>
    </w:pPr>
    <w:rPr>
      <w:szCs w:val="20"/>
    </w:rPr>
  </w:style>
  <w:style w:type="paragraph" w:styleId="1551" w:customStyle="1">
    <w:name w:val="正文lzq"/>
    <w:basedOn w:val="1118"/>
    <w:uiPriority w:val="99"/>
    <w:qFormat/>
    <w:pPr>
      <w:ind w:firstLine="480"/>
      <w:spacing w:line="360" w:lineRule="auto"/>
    </w:pPr>
    <w:rPr>
      <w:sz w:val="24"/>
      <w:szCs w:val="20"/>
    </w:rPr>
  </w:style>
  <w:style w:type="paragraph" w:styleId="1552" w:customStyle="1">
    <w:name w:val="附录1"/>
    <w:uiPriority w:val="99"/>
    <w:qFormat/>
    <w:pPr>
      <w:ind w:left="902" w:hanging="420"/>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553" w:customStyle="1">
    <w:name w:val="Char Char Char Char Char Char Char Char Char"/>
    <w:basedOn w:val="1118"/>
    <w:uiPriority w:val="99"/>
    <w:qFormat/>
    <w:pPr>
      <w:ind w:left="200" w:hanging="200"/>
      <w:tabs>
        <w:tab w:val="left" w:pos="360" w:leader="none"/>
      </w:tabs>
    </w:pPr>
    <w:rPr>
      <w:sz w:val="24"/>
    </w:rPr>
  </w:style>
  <w:style w:type="paragraph" w:styleId="1554" w:customStyle="1">
    <w:name w:val="项目符号：一级"/>
    <w:basedOn w:val="1386"/>
    <w:next w:val="1386"/>
    <w:uiPriority w:val="99"/>
    <w:qFormat/>
    <w:pPr>
      <w:ind w:right="-134"/>
    </w:pPr>
    <w:rPr>
      <w:bCs w:val="0"/>
    </w:rPr>
  </w:style>
  <w:style w:type="paragraph" w:styleId="1555" w:customStyle="1">
    <w:name w:val="content_lineheight"/>
    <w:basedOn w:val="1118"/>
    <w:uiPriority w:val="99"/>
    <w:qFormat/>
    <w:pPr>
      <w:jc w:val="left"/>
      <w:spacing w:before="100" w:beforeAutospacing="1" w:after="100" w:afterAutospacing="1"/>
      <w:widowControl/>
    </w:pPr>
    <w:rPr>
      <w:rFonts w:ascii="宋体" w:hAnsi="宋体"/>
      <w:sz w:val="24"/>
    </w:rPr>
  </w:style>
  <w:style w:type="paragraph" w:styleId="1556" w:customStyle="1">
    <w:name w:val="项目符号，二级"/>
    <w:basedOn w:val="1386"/>
    <w:next w:val="1386"/>
    <w:uiPriority w:val="99"/>
    <w:qFormat/>
    <w:pPr>
      <w:ind w:left="1337" w:right="-27" w:firstLine="480"/>
      <w:tabs>
        <w:tab w:val="left" w:pos="1211" w:leader="none"/>
        <w:tab w:val="left" w:pos="1337" w:leader="none"/>
      </w:tabs>
    </w:pPr>
    <w:rPr>
      <w:bCs w:val="0"/>
      <w:color w:val="000000"/>
      <w:sz w:val="24"/>
      <w:szCs w:val="24"/>
    </w:rPr>
  </w:style>
  <w:style w:type="paragraph" w:styleId="1557" w:customStyle="1">
    <w:name w:val="小四 段落 宋体 Char Char"/>
    <w:basedOn w:val="1118"/>
    <w:uiPriority w:val="99"/>
    <w:qFormat/>
    <w:pPr>
      <w:ind w:firstLine="480"/>
      <w:spacing w:line="360" w:lineRule="auto"/>
    </w:pPr>
    <w:rPr>
      <w:rFonts w:ascii="宋体" w:hAnsi="宋体"/>
      <w:sz w:val="24"/>
    </w:rPr>
  </w:style>
  <w:style w:type="paragraph" w:styleId="1558" w:customStyle="1">
    <w:name w:val="正文文本缩进 31"/>
    <w:basedOn w:val="1118"/>
    <w:uiPriority w:val="99"/>
    <w:qFormat/>
    <w:pPr>
      <w:ind w:firstLine="504"/>
      <w:spacing w:line="360" w:lineRule="auto"/>
      <w:tabs>
        <w:tab w:val="left" w:pos="0" w:leader="none"/>
      </w:tabs>
    </w:pPr>
    <w:rPr>
      <w:rFonts w:ascii="宋体"/>
      <w:b/>
      <w:bCs/>
      <w:sz w:val="24"/>
    </w:rPr>
  </w:style>
  <w:style w:type="paragraph" w:styleId="1559" w:customStyle="1">
    <w:name w:val="标题 41"/>
    <w:basedOn w:val="1118"/>
    <w:uiPriority w:val="99"/>
    <w:qFormat/>
    <w:pPr>
      <w:ind w:left="618"/>
      <w:jc w:val="left"/>
      <w:outlineLvl w:val="4"/>
    </w:pPr>
    <w:rPr>
      <w:rFonts w:ascii="宋体" w:hAnsi="宋体" w:cs="宋体"/>
      <w:b/>
      <w:bCs/>
      <w:sz w:val="24"/>
      <w:lang w:val="zh-CN"/>
    </w:rPr>
  </w:style>
  <w:style w:type="paragraph" w:styleId="1560" w:customStyle="1">
    <w:name w:val="msolistparagraph"/>
    <w:basedOn w:val="1118"/>
    <w:uiPriority w:val="99"/>
    <w:qFormat/>
    <w:pPr>
      <w:ind w:left="420" w:firstLine="420"/>
      <w:spacing w:line="400" w:lineRule="exact"/>
    </w:pPr>
    <w:rPr>
      <w:rFonts w:ascii="Calibri" w:hAnsi="Calibri"/>
    </w:rPr>
  </w:style>
  <w:style w:type="paragraph" w:styleId="1561" w:customStyle="1">
    <w:name w:val="Blockquote"/>
    <w:basedOn w:val="1118"/>
    <w:uiPriority w:val="99"/>
    <w:qFormat/>
    <w:pPr>
      <w:ind w:left="360" w:right="360"/>
      <w:jc w:val="left"/>
      <w:spacing w:before="100" w:after="100"/>
    </w:pPr>
    <w:rPr>
      <w:sz w:val="24"/>
    </w:rPr>
  </w:style>
  <w:style w:type="character" w:styleId="1562" w:customStyle="1">
    <w:name w:val="无"/>
    <w:uiPriority w:val="0"/>
    <w:qFormat/>
  </w:style>
  <w:style w:type="character" w:styleId="1563" w:customStyle="1">
    <w:name w:val="Hyperlink.1"/>
    <w:uiPriority w:val="0"/>
    <w:qFormat/>
    <w:rPr>
      <w:rFonts w:ascii="宋体" w:hAnsi="宋体" w:eastAsia="宋体" w:cs="宋体"/>
      <w:shd w:val="clear" w:color="auto" w:fill="auto"/>
      <w:lang w:val="zh-TW" w:eastAsia="zh-TW"/>
    </w:rPr>
  </w:style>
  <w:style w:type="table" w:styleId="1564" w:customStyle="1">
    <w:name w:val="Table Normal"/>
    <w:uiPriority w:val="2"/>
    <w:unhideWhenUsed/>
    <w:qFormat/>
    <w:pPr>
      <w:widowControl w:val="off"/>
    </w:pPr>
    <w:rPr>
      <w:sz w:val="22"/>
      <w:szCs w:val="22"/>
      <w:lang w:eastAsia="en-US"/>
    </w:rPr>
    <w:tblPr>
      <w:tblCellMar>
        <w:left w:w="0" w:type="dxa"/>
        <w:top w:w="0" w:type="dxa"/>
        <w:right w:w="0" w:type="dxa"/>
        <w:bottom w:w="0" w:type="dxa"/>
      </w:tblCellMar>
    </w:tblPr>
  </w:style>
  <w:style w:type="character" w:styleId="1565" w:customStyle="1">
    <w:name w:val="not([class*=suffix])"/>
    <w:basedOn w:val="1128"/>
    <w:uiPriority w:val="0"/>
    <w:qFormat/>
  </w:style>
  <w:style w:type="character" w:styleId="1566" w:customStyle="1">
    <w:name w:val="not([class*=suffix])1"/>
    <w:basedOn w:val="1128"/>
    <w:uiPriority w:val="0"/>
    <w:qFormat/>
    <w:rPr>
      <w:sz w:val="13"/>
      <w:szCs w:val="13"/>
    </w:rPr>
  </w:style>
  <w:style w:type="paragraph" w:styleId="1567" w:customStyle="1">
    <w:name w:val="Table Paragraph"/>
    <w:basedOn w:val="1118"/>
    <w:uiPriority w:val="1"/>
    <w:qFormat/>
    <w:pPr>
      <w:jc w:val="left"/>
    </w:pPr>
    <w:rPr>
      <w:rFonts w:ascii="宋体" w:hAnsi="宋体" w:cs="宋体"/>
      <w:sz w:val="22"/>
      <w:szCs w:val="22"/>
      <w:lang w:val="zh-CN" w:bidi="zh-CN"/>
    </w:rPr>
  </w:style>
  <w:style w:type="paragraph" w:styleId="1568" w:customStyle="1">
    <w:name w:val="BodyText"/>
    <w:basedOn w:val="1118"/>
    <w:uiPriority w:val="0"/>
    <w:qFormat/>
    <w:pPr>
      <w:spacing w:after="120"/>
    </w:pPr>
    <w:rPr>
      <w:rFonts w:ascii="Calibri"/>
      <w:sz w:val="20"/>
      <w:szCs w:val="20"/>
    </w:rPr>
  </w:style>
  <w:style w:type="character" w:styleId="1569" w:customStyle="1">
    <w:name w:val="样式 仿宋"/>
    <w:uiPriority w:val="0"/>
    <w:qFormat/>
    <w:rPr>
      <w:rFonts w:ascii="仿宋" w:hAnsi="仿宋" w:eastAsia="仿宋"/>
    </w:rPr>
  </w:style>
  <w:style w:type="character" w:styleId="1570" w:customStyle="1">
    <w:name w:val="font51"/>
    <w:basedOn w:val="1128"/>
    <w:uiPriority w:val="0"/>
    <w:qFormat/>
    <w:rPr>
      <w:rFonts w:hint="default" w:ascii="Times New Roman" w:hAnsi="Times New Roman" w:cs="Times New Roman"/>
      <w:color w:val="000000"/>
      <w:sz w:val="20"/>
      <w:szCs w:val="20"/>
      <w:u w:val="none"/>
    </w:rPr>
  </w:style>
  <w:style w:type="character" w:styleId="1571" w:customStyle="1">
    <w:name w:val="NormalCharacter"/>
    <w:uiPriority w:val="0"/>
    <w:qFormat/>
    <w:rPr>
      <w:rFonts w:ascii="KNLe" w:hAnsi="KNLe" w:eastAsia="Ari" w:cs="KNLe"/>
      <w:sz w:val="21"/>
      <w:szCs w:val="22"/>
      <w:lang w:val="en-US" w:eastAsia="zh-CN" w:bidi="ar-SA"/>
    </w:rPr>
  </w:style>
  <w:style w:type="paragraph" w:styleId="1572" w:customStyle="1">
    <w:name w:val="BodyText1I2"/>
    <w:basedOn w:val="1573"/>
    <w:next w:val="1118"/>
    <w:uiPriority w:val="0"/>
    <w:qFormat/>
    <w:pPr>
      <w:ind w:firstLine="420"/>
    </w:pPr>
    <w:rPr>
      <w:rFonts w:ascii="Calibri" w:hAnsi="Calibri"/>
    </w:rPr>
  </w:style>
  <w:style w:type="paragraph" w:styleId="1573" w:customStyle="1">
    <w:name w:val="BodyTextIndent"/>
    <w:basedOn w:val="1118"/>
    <w:next w:val="1574"/>
    <w:uiPriority w:val="0"/>
    <w:qFormat/>
    <w:pPr>
      <w:ind w:firstLine="403"/>
      <w:spacing w:line="440" w:lineRule="exact"/>
    </w:pPr>
    <w:rPr>
      <w:rFonts w:ascii="宋体" w:hAnsi="宋体"/>
      <w:szCs w:val="21"/>
    </w:rPr>
  </w:style>
  <w:style w:type="paragraph" w:styleId="1574" w:customStyle="1">
    <w:name w:val="EnvelopeReturn"/>
    <w:basedOn w:val="1118"/>
    <w:uiPriority w:val="0"/>
    <w:qFormat/>
    <w:rPr>
      <w:rFonts w:ascii="Arial" w:hAnsi="Arial"/>
    </w:rPr>
  </w:style>
  <w:style w:type="paragraph" w:styleId="1575" w:customStyle="1">
    <w:name w:val="二级目录"/>
    <w:next w:val="1118"/>
    <w:uiPriority w:val="99"/>
    <w:qFormat/>
    <w:pPr>
      <w:numPr>
        <w:ilvl w:val="0"/>
        <w:numId w:val="1"/>
      </w:numPr>
      <w:spacing w:after="160" w:line="259" w:lineRule="auto"/>
      <w:outlineLvl w:val="1"/>
    </w:pPr>
    <w:rPr>
      <w:rFonts w:ascii="Calibri" w:hAnsi="Calibri" w:eastAsia="宋体" w:cs="Times New Roman"/>
      <w:b/>
      <w:bCs/>
      <w:sz w:val="28"/>
      <w:szCs w:val="28"/>
      <w:lang w:val="en-US" w:eastAsia="zh-CN" w:bidi="ar-SA"/>
    </w:rPr>
  </w:style>
  <w:style w:type="paragraph" w:styleId="1576" w:customStyle="1">
    <w:name w:val="正文首行缩进 21"/>
    <w:basedOn w:val="1577"/>
    <w:next w:val="1118"/>
    <w:uiPriority w:val="0"/>
    <w:qFormat/>
    <w:pPr>
      <w:ind w:firstLine="420"/>
      <w:spacing w:before="100" w:beforeAutospacing="1" w:after="200" w:line="440" w:lineRule="exact"/>
    </w:pPr>
    <w:rPr>
      <w:rFonts w:ascii="Calibri" w:hAnsi="Calibri" w:cs="Calibri"/>
      <w:szCs w:val="21"/>
    </w:rPr>
  </w:style>
  <w:style w:type="paragraph" w:styleId="1577" w:customStyle="1">
    <w:name w:val="正文文本缩进11"/>
    <w:basedOn w:val="1118"/>
    <w:next w:val="1578"/>
    <w:uiPriority w:val="0"/>
    <w:qFormat/>
    <w:pPr>
      <w:ind w:firstLine="645"/>
    </w:pPr>
    <w:rPr>
      <w:rFonts w:ascii="楷体_GB2312" w:eastAsia="楷体_GB2312"/>
      <w:sz w:val="32"/>
    </w:rPr>
  </w:style>
  <w:style w:type="paragraph" w:styleId="1578" w:customStyle="1">
    <w:name w:val="寄信人地址1"/>
    <w:basedOn w:val="1118"/>
    <w:uiPriority w:val="0"/>
    <w:qFormat/>
    <w:rPr>
      <w:rFonts w:ascii="Arial" w:hAnsi="Arial"/>
    </w:rPr>
  </w:style>
  <w:style w:type="character" w:styleId="1579" w:customStyle="1">
    <w:name w:val="15"/>
    <w:uiPriority w:val="0"/>
    <w:qFormat/>
    <w:rPr>
      <w:rFonts w:hint="default" w:ascii="Times New Roman" w:hAnsi="Times New Roman" w:cs="Times New Roman"/>
    </w:rPr>
  </w:style>
  <w:style w:type="paragraph" w:styleId="1580" w:customStyle="1">
    <w:name w:val="修订1"/>
    <w:hidden/>
    <w:uiPriority w:val="99"/>
    <w:unhideWhenUsed/>
    <w:qFormat/>
    <w:rPr>
      <w:rFonts w:ascii="Times New Roman" w:hAnsi="Times New Roman" w:eastAsia="宋体" w:cs="Times New Roman"/>
      <w:sz w:val="21"/>
      <w:szCs w:val="24"/>
      <w:lang w:val="en-US" w:eastAsia="zh-CN" w:bidi="ar-SA"/>
    </w:rPr>
  </w:style>
  <w:style w:type="paragraph" w:styleId="1581" w:customStyle="1">
    <w:name w:val="修订2"/>
    <w:hidden/>
    <w:uiPriority w:val="99"/>
    <w:unhideWhenUsed/>
    <w:qFormat/>
    <w:rPr>
      <w:rFonts w:ascii="Times New Roman" w:hAnsi="Times New Roman" w:eastAsia="宋体" w:cs="Times New Roman"/>
      <w:sz w:val="21"/>
      <w:szCs w:val="24"/>
      <w:lang w:val="en-US" w:eastAsia="zh-CN" w:bidi="ar-SA"/>
    </w:rPr>
  </w:style>
  <w:style w:type="paragraph" w:styleId="1582" w:customStyle="1">
    <w:name w:val="报告正文"/>
    <w:basedOn w:val="1118"/>
    <w:uiPriority w:val="0"/>
    <w:qFormat/>
    <w:pPr>
      <w:ind w:firstLine="560"/>
    </w:pPr>
    <w:rPr>
      <w:szCs w:val="20"/>
      <w:lang w:val="zh-CN"/>
    </w:rPr>
  </w:style>
  <w:style w:type="paragraph" w:styleId="1583" w:customStyle="1">
    <w:name w:val="正文 + 行距: 固定值 20 磅"/>
    <w:basedOn w:val="1118"/>
    <w:uiPriority w:val="0"/>
    <w:qFormat/>
    <w:pPr>
      <w:ind w:firstLine="716"/>
      <w:spacing w:line="400" w:lineRule="exact"/>
    </w:pPr>
    <w:rPr>
      <w:rFonts w:ascii="Calibri" w:hAnsi="Calibri"/>
      <w:szCs w:val="22"/>
    </w:rPr>
  </w:style>
  <w:style w:type="paragraph" w:styleId="1584" w:customStyle="1">
    <w:name w:val="_Style 55"/>
    <w:basedOn w:val="1118"/>
    <w:next w:val="1240"/>
    <w:uiPriority w:val="1"/>
    <w:qFormat/>
    <w:pPr>
      <w:ind w:firstLine="420"/>
    </w:pPr>
    <w:rPr>
      <w:rFonts w:ascii="Calibri" w:hAnsi="Calibri"/>
    </w:rPr>
  </w:style>
  <w:style w:type="paragraph" w:styleId="1585" w:customStyle="1">
    <w:name w:val="修订3"/>
    <w:hidden/>
    <w:uiPriority w:val="99"/>
    <w:unhideWhenUsed/>
    <w:qFormat/>
    <w:rPr>
      <w:rFonts w:ascii="Times New Roman" w:hAnsi="Times New Roman" w:eastAsia="宋体" w:cs="Times New Roman"/>
      <w:sz w:val="21"/>
      <w:szCs w:val="24"/>
      <w:lang w:val="en-US" w:eastAsia="zh-CN" w:bidi="ar-SA"/>
    </w:rPr>
  </w:style>
  <w:style w:type="paragraph" w:styleId="1586" w:customStyle="1">
    <w:name w:val="Revision"/>
    <w:hidden/>
    <w:uiPriority w:val="99"/>
    <w:unhideWhenUsed/>
    <w:qFormat/>
    <w:rPr>
      <w:rFonts w:ascii="Times New Roman" w:hAnsi="Times New Roman" w:eastAsia="宋体" w:cs="Times New Roman"/>
      <w:sz w:val="21"/>
      <w:szCs w:val="24"/>
      <w:lang w:val="en-US" w:eastAsia="zh-CN" w:bidi="ar-SA"/>
    </w:rPr>
  </w:style>
  <w:style w:type="numbering" w:styleId="158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customXml" Target="../customXml/item1.xml" /><Relationship Id="rId19"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MS</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焦翔</dc:creator>
  <cp:lastModifiedBy>李佳蓉</cp:lastModifiedBy>
  <cp:revision>6</cp:revision>
  <dcterms:created xsi:type="dcterms:W3CDTF">2026-08-21T04:22:00Z</dcterms:created>
  <dcterms:modified xsi:type="dcterms:W3CDTF">2026-09-22T08:39:43Z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D116B6FEBE914DA0916530AF2EC7258F_13</vt:lpwstr>
  </property>
  <property fmtid="{D5CDD505-2E9C-101B-9397-08002B2CF9AE}" pid="4" name="commondata">
    <vt:lpwstr>eyJoZGlkIjoiMzRjYzhjMjM2MzIwNWZiYjI5ZGZjZjAyNjdmMTc5ZDgifQ==</vt:lpwstr>
  </property>
  <property fmtid="{D5CDD505-2E9C-101B-9397-08002B2CF9AE}" pid="5" name="MSIP_Label_e68a7eba-5507-4be7-87ab-be5a2ad9d7c1_Enabled">
    <vt:lpwstr>true</vt:lpwstr>
  </property>
  <property fmtid="{D5CDD505-2E9C-101B-9397-08002B2CF9AE}" pid="6" name="MSIP_Label_e68a7eba-5507-4be7-87ab-be5a2ad9d7c1_SetDate">
    <vt:lpwstr>2024-04-02T08:41:07Z</vt:lpwstr>
  </property>
  <property fmtid="{D5CDD505-2E9C-101B-9397-08002B2CF9AE}" pid="7" name="MSIP_Label_e68a7eba-5507-4be7-87ab-be5a2ad9d7c1_Method">
    <vt:lpwstr>Standard</vt:lpwstr>
  </property>
  <property fmtid="{D5CDD505-2E9C-101B-9397-08002B2CF9AE}" pid="8" name="MSIP_Label_e68a7eba-5507-4be7-87ab-be5a2ad9d7c1_Name">
    <vt:lpwstr>General</vt:lpwstr>
  </property>
  <property fmtid="{D5CDD505-2E9C-101B-9397-08002B2CF9AE}" pid="9" name="MSIP_Label_e68a7eba-5507-4be7-87ab-be5a2ad9d7c1_SiteId">
    <vt:lpwstr>da758f18-b6d4-4358-942a-60930627c405</vt:lpwstr>
  </property>
  <property fmtid="{D5CDD505-2E9C-101B-9397-08002B2CF9AE}" pid="10" name="MSIP_Label_e68a7eba-5507-4be7-87ab-be5a2ad9d7c1_ActionId">
    <vt:lpwstr>0a0251e7-f409-4f32-99cf-f4f77d48c927</vt:lpwstr>
  </property>
  <property fmtid="{D5CDD505-2E9C-101B-9397-08002B2CF9AE}" pid="11" name="MSIP_Label_e68a7eba-5507-4be7-87ab-be5a2ad9d7c1_ContentBits">
    <vt:lpwstr>0</vt:lpwstr>
  </property>
  <property fmtid="{D5CDD505-2E9C-101B-9397-08002B2CF9AE}" pid="12" name="MSIP_Label_73094ff5-79ca-456b-95f6-d578316a3809_Enabled">
    <vt:lpwstr>true</vt:lpwstr>
  </property>
  <property fmtid="{D5CDD505-2E9C-101B-9397-08002B2CF9AE}" pid="13" name="MSIP_Label_73094ff5-79ca-456b-95f6-d578316a3809_SetDate">
    <vt:lpwstr>2024-08-12T05:53:11Z</vt:lpwstr>
  </property>
  <property fmtid="{D5CDD505-2E9C-101B-9397-08002B2CF9AE}" pid="14" name="MSIP_Label_73094ff5-79ca-456b-95f6-d578316a3809_Method">
    <vt:lpwstr>Privileged</vt:lpwstr>
  </property>
  <property fmtid="{D5CDD505-2E9C-101B-9397-08002B2CF9AE}" pid="15" name="MSIP_Label_73094ff5-79ca-456b-95f6-d578316a3809_Name">
    <vt:lpwstr>Public</vt:lpwstr>
  </property>
  <property fmtid="{D5CDD505-2E9C-101B-9397-08002B2CF9AE}" pid="16" name="MSIP_Label_73094ff5-79ca-456b-95f6-d578316a3809_SiteId">
    <vt:lpwstr>771c9c47-7f24-44dc-958e-34f8713a8394</vt:lpwstr>
  </property>
  <property fmtid="{D5CDD505-2E9C-101B-9397-08002B2CF9AE}" pid="17" name="MSIP_Label_73094ff5-79ca-456b-95f6-d578316a3809_ActionId">
    <vt:lpwstr>937d6e77-aee8-4fad-a372-f6bffb848a7c</vt:lpwstr>
  </property>
  <property fmtid="{D5CDD505-2E9C-101B-9397-08002B2CF9AE}" pid="18" name="MSIP_Label_73094ff5-79ca-456b-95f6-d578316a3809_ContentBits">
    <vt:lpwstr>0</vt:lpwstr>
  </property>
  <property fmtid="{D5CDD505-2E9C-101B-9397-08002B2CF9AE}" pid="19" name="KSOTemplateDocerSaveRecord">
    <vt:lpwstr>eyJoZGlkIjoiMzYwM2E0OTM1MTNmYjdhZDYzZTk0ZmY4ODg5YjlmZWEiLCJ1c2VySWQiOiI0MzkyODMxNDkifQ==</vt:lpwstr>
  </property>
  <property fmtid="{D5CDD505-2E9C-101B-9397-08002B2CF9AE}" pid="20" name="ClassificationContentMarkingHeaderShapeIds">
    <vt:lpwstr>7f454fc,7c930335,36edfdc4,1476331</vt:lpwstr>
  </property>
  <property fmtid="{D5CDD505-2E9C-101B-9397-08002B2CF9AE}" pid="21" name="ClassificationContentMarkingHeaderFontProps">
    <vt:lpwstr>#000000,10,Aptos</vt:lpwstr>
  </property>
  <property fmtid="{D5CDD505-2E9C-101B-9397-08002B2CF9AE}" pid="22" name="ClassificationContentMarkingHeaderText">
    <vt:lpwstr>Unrestricted Document</vt:lpwstr>
  </property>
  <property fmtid="{D5CDD505-2E9C-101B-9397-08002B2CF9AE}" pid="23" name="ClassificationContentMarkingFooterShapeIds">
    <vt:lpwstr>2b3fe5e2,4b86124f,5286b0eb,6c126117,2f9404d7</vt:lpwstr>
  </property>
  <property fmtid="{D5CDD505-2E9C-101B-9397-08002B2CF9AE}" pid="24" name="ClassificationContentMarkingFooterFontProps">
    <vt:lpwstr>#000000,10,Aptos</vt:lpwstr>
  </property>
  <property fmtid="{D5CDD505-2E9C-101B-9397-08002B2CF9AE}" pid="25" name="ClassificationContentMarkingFooterText">
    <vt:lpwstr>Unrestricted Document</vt:lpwstr>
  </property>
  <property fmtid="{D5CDD505-2E9C-101B-9397-08002B2CF9AE}" pid="26" name="MSIP_Label_3a6cd297-68f3-4e9c-a217-8f77a18ff69a_Enabled">
    <vt:lpwstr>true</vt:lpwstr>
  </property>
  <property fmtid="{D5CDD505-2E9C-101B-9397-08002B2CF9AE}" pid="27" name="MSIP_Label_3a6cd297-68f3-4e9c-a217-8f77a18ff69a_SetDate">
    <vt:lpwstr>2026-08-17T07:42:15Z</vt:lpwstr>
  </property>
  <property fmtid="{D5CDD505-2E9C-101B-9397-08002B2CF9AE}" pid="28" name="MSIP_Label_3a6cd297-68f3-4e9c-a217-8f77a18ff69a_Method">
    <vt:lpwstr>Privileged</vt:lpwstr>
  </property>
  <property fmtid="{D5CDD505-2E9C-101B-9397-08002B2CF9AE}" pid="29" name="MSIP_Label_3a6cd297-68f3-4e9c-a217-8f77a18ff69a_Name">
    <vt:lpwstr>Unrestricted</vt:lpwstr>
  </property>
  <property fmtid="{D5CDD505-2E9C-101B-9397-08002B2CF9AE}" pid="30" name="MSIP_Label_3a6cd297-68f3-4e9c-a217-8f77a18ff69a_SiteId">
    <vt:lpwstr>071061f3-d569-4688-9ede-b63a6a7f1ecc</vt:lpwstr>
  </property>
  <property fmtid="{D5CDD505-2E9C-101B-9397-08002B2CF9AE}" pid="31" name="MSIP_Label_3a6cd297-68f3-4e9c-a217-8f77a18ff69a_ActionId">
    <vt:lpwstr>3bef6117-bd29-4b57-9e74-f596cce6d285</vt:lpwstr>
  </property>
  <property fmtid="{D5CDD505-2E9C-101B-9397-08002B2CF9AE}" pid="32" name="MSIP_Label_3a6cd297-68f3-4e9c-a217-8f77a18ff69a_ContentBits">
    <vt:lpwstr>3</vt:lpwstr>
  </property>
  <property fmtid="{D5CDD505-2E9C-101B-9397-08002B2CF9AE}" pid="33" name="MSIP_Label_3a6cd297-68f3-4e9c-a217-8f77a18ff69a_Tag">
    <vt:lpwstr>10, 0, 1, 1</vt:lpwstr>
  </property>
</Properties>
</file>