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CB0DD">
      <w:pPr>
        <w:pStyle w:val="10"/>
        <w:ind w:left="0" w:firstLine="0"/>
        <w:jc w:val="center"/>
        <w:rPr>
          <w:rFonts w:ascii="宋体" w:hAnsi="宋体" w:eastAsia="宋体" w:cs="宋体"/>
          <w:b/>
          <w:bCs/>
          <w:color w:val="auto"/>
          <w:sz w:val="36"/>
          <w:szCs w:val="36"/>
        </w:rPr>
      </w:pPr>
    </w:p>
    <w:p w14:paraId="543CBD8A">
      <w:pPr>
        <w:pStyle w:val="10"/>
        <w:ind w:left="0" w:firstLine="0"/>
        <w:jc w:val="center"/>
        <w:rPr>
          <w:rFonts w:hint="default" w:ascii="宋体" w:hAnsi="宋体" w:eastAsia="宋体" w:cs="宋体"/>
          <w:b/>
          <w:bCs/>
          <w:color w:val="auto"/>
          <w:sz w:val="36"/>
          <w:szCs w:val="36"/>
        </w:rPr>
      </w:pPr>
      <w:r>
        <w:rPr>
          <w:rFonts w:ascii="宋体" w:hAnsi="宋体" w:eastAsia="宋体" w:cs="宋体"/>
          <w:b/>
          <w:bCs/>
          <w:color w:val="auto"/>
          <w:sz w:val="36"/>
          <w:szCs w:val="36"/>
        </w:rPr>
        <w:t>经开区2026年住宅老旧电梯更新项目第一批36部</w:t>
      </w:r>
    </w:p>
    <w:p w14:paraId="495BFCB0">
      <w:pPr>
        <w:pStyle w:val="10"/>
        <w:ind w:left="0" w:firstLine="0"/>
        <w:jc w:val="center"/>
        <w:rPr>
          <w:rFonts w:hint="default" w:ascii="宋体" w:hAnsi="宋体" w:eastAsia="宋体" w:cs="宋体"/>
          <w:b/>
          <w:bCs/>
          <w:color w:val="auto"/>
          <w:sz w:val="36"/>
          <w:szCs w:val="36"/>
        </w:rPr>
      </w:pPr>
      <w:r>
        <w:rPr>
          <w:rFonts w:ascii="宋体" w:hAnsi="宋体" w:eastAsia="宋体" w:cs="宋体"/>
          <w:b/>
          <w:bCs/>
          <w:color w:val="auto"/>
          <w:sz w:val="36"/>
          <w:szCs w:val="36"/>
        </w:rPr>
        <w:t>电梯采购</w:t>
      </w:r>
    </w:p>
    <w:p w14:paraId="37AABA97">
      <w:pPr>
        <w:pStyle w:val="10"/>
        <w:ind w:left="0" w:firstLine="0"/>
        <w:jc w:val="center"/>
        <w:rPr>
          <w:rFonts w:hint="default" w:ascii="宋体" w:hAnsi="宋体" w:eastAsia="宋体" w:cs="宋体"/>
          <w:b/>
          <w:bCs/>
          <w:color w:val="auto"/>
          <w:sz w:val="36"/>
          <w:szCs w:val="36"/>
        </w:rPr>
      </w:pPr>
    </w:p>
    <w:p w14:paraId="420AAB02">
      <w:pPr>
        <w:pStyle w:val="10"/>
        <w:ind w:left="0" w:firstLine="0"/>
        <w:jc w:val="center"/>
        <w:rPr>
          <w:rFonts w:hint="default" w:ascii="宋体" w:hAnsi="宋体" w:eastAsia="宋体" w:cs="宋体"/>
          <w:b/>
          <w:bCs/>
          <w:color w:val="auto"/>
          <w:sz w:val="36"/>
          <w:szCs w:val="36"/>
        </w:rPr>
      </w:pPr>
    </w:p>
    <w:p w14:paraId="07C8DBB2">
      <w:pPr>
        <w:pStyle w:val="10"/>
        <w:ind w:left="0" w:firstLine="0"/>
        <w:jc w:val="center"/>
        <w:rPr>
          <w:rFonts w:hint="default" w:ascii="宋体" w:hAnsi="宋体" w:eastAsia="宋体" w:cs="宋体"/>
          <w:b/>
          <w:bCs/>
          <w:color w:val="auto"/>
          <w:sz w:val="36"/>
          <w:szCs w:val="36"/>
        </w:rPr>
      </w:pPr>
    </w:p>
    <w:p w14:paraId="5DEF41B1">
      <w:pPr>
        <w:jc w:val="center"/>
        <w:rPr>
          <w:rFonts w:ascii="宋体" w:hAnsi="宋体" w:cs="宋体"/>
          <w:b/>
          <w:bCs/>
          <w:color w:val="auto"/>
          <w:sz w:val="72"/>
          <w:szCs w:val="72"/>
        </w:rPr>
      </w:pPr>
      <w:r>
        <w:rPr>
          <w:rFonts w:hint="eastAsia" w:ascii="宋体" w:hAnsi="宋体" w:cs="宋体"/>
          <w:b/>
          <w:bCs/>
          <w:color w:val="auto"/>
          <w:sz w:val="72"/>
          <w:szCs w:val="72"/>
        </w:rPr>
        <w:t>采   购   合   同</w:t>
      </w:r>
    </w:p>
    <w:p w14:paraId="58B80D02">
      <w:pPr>
        <w:ind w:firstLine="1506"/>
        <w:rPr>
          <w:rFonts w:ascii="宋体" w:hAnsi="宋体" w:cs="宋体"/>
          <w:b/>
          <w:bCs/>
          <w:color w:val="auto"/>
          <w:sz w:val="30"/>
          <w:szCs w:val="30"/>
        </w:rPr>
      </w:pPr>
    </w:p>
    <w:p w14:paraId="281C8DE5">
      <w:pPr>
        <w:ind w:firstLine="1506"/>
        <w:rPr>
          <w:rFonts w:hint="eastAsia" w:ascii="宋体" w:hAnsi="宋体" w:cs="宋体"/>
          <w:b/>
          <w:bCs/>
          <w:color w:val="auto"/>
          <w:sz w:val="30"/>
          <w:szCs w:val="30"/>
        </w:rPr>
      </w:pPr>
      <w:r>
        <w:rPr>
          <w:rFonts w:hint="eastAsia" w:ascii="宋体" w:hAnsi="宋体" w:cs="宋体"/>
          <w:b/>
          <w:bCs/>
          <w:color w:val="auto"/>
          <w:sz w:val="30"/>
          <w:szCs w:val="30"/>
        </w:rPr>
        <w:t>项目编号:JSZC-320891-JZCG-G2026-0008</w:t>
      </w:r>
    </w:p>
    <w:p w14:paraId="006147FE">
      <w:pPr>
        <w:rPr>
          <w:rFonts w:ascii="宋体" w:hAnsi="宋体" w:cs="宋体"/>
          <w:b/>
          <w:bCs/>
          <w:color w:val="auto"/>
          <w:sz w:val="32"/>
          <w:szCs w:val="32"/>
        </w:rPr>
      </w:pPr>
    </w:p>
    <w:p w14:paraId="4E010722">
      <w:pPr>
        <w:rPr>
          <w:rFonts w:ascii="宋体" w:hAnsi="宋体" w:cs="宋体"/>
          <w:color w:val="auto"/>
        </w:rPr>
      </w:pPr>
    </w:p>
    <w:p w14:paraId="75A039D7">
      <w:pPr>
        <w:pStyle w:val="12"/>
        <w:ind w:left="720" w:firstLine="0"/>
        <w:rPr>
          <w:rFonts w:ascii="宋体" w:hAnsi="宋体" w:cs="宋体"/>
          <w:color w:val="auto"/>
        </w:rPr>
      </w:pPr>
    </w:p>
    <w:p w14:paraId="30F17D0E">
      <w:pPr>
        <w:spacing w:line="520" w:lineRule="exact"/>
        <w:jc w:val="left"/>
        <w:rPr>
          <w:rFonts w:ascii="宋体" w:hAnsi="宋体" w:cs="宋体"/>
          <w:b/>
          <w:bCs/>
          <w:color w:val="auto"/>
          <w:sz w:val="32"/>
          <w:szCs w:val="32"/>
        </w:rPr>
      </w:pPr>
    </w:p>
    <w:p w14:paraId="702E9D07">
      <w:pPr>
        <w:spacing w:line="520" w:lineRule="exact"/>
        <w:jc w:val="left"/>
        <w:rPr>
          <w:rFonts w:ascii="宋体" w:hAnsi="宋体" w:cs="宋体"/>
          <w:b/>
          <w:bCs/>
          <w:color w:val="auto"/>
          <w:sz w:val="32"/>
          <w:szCs w:val="32"/>
        </w:rPr>
      </w:pPr>
    </w:p>
    <w:p w14:paraId="0B00FEA5">
      <w:pPr>
        <w:spacing w:line="520" w:lineRule="exact"/>
        <w:ind w:firstLine="643"/>
        <w:jc w:val="left"/>
        <w:rPr>
          <w:rFonts w:ascii="宋体" w:hAnsi="宋体" w:cs="宋体"/>
          <w:b/>
          <w:bCs/>
          <w:color w:val="auto"/>
          <w:sz w:val="32"/>
          <w:szCs w:val="32"/>
        </w:rPr>
      </w:pPr>
    </w:p>
    <w:p w14:paraId="06D77705">
      <w:pPr>
        <w:spacing w:line="520" w:lineRule="exact"/>
        <w:ind w:firstLine="643"/>
        <w:jc w:val="left"/>
        <w:rPr>
          <w:rFonts w:ascii="宋体" w:hAnsi="宋体" w:cs="宋体"/>
          <w:b/>
          <w:bCs/>
          <w:color w:val="auto"/>
          <w:sz w:val="32"/>
          <w:szCs w:val="32"/>
        </w:rPr>
      </w:pPr>
      <w:r>
        <w:rPr>
          <w:rFonts w:hint="eastAsia" w:ascii="宋体" w:hAnsi="宋体" w:cs="宋体"/>
          <w:b/>
          <w:bCs/>
          <w:color w:val="auto"/>
          <w:sz w:val="32"/>
          <w:szCs w:val="32"/>
        </w:rPr>
        <w:t>采 购 方：淮安经济技术开发区住房和城乡建设局</w:t>
      </w:r>
    </w:p>
    <w:p w14:paraId="649752AA">
      <w:pPr>
        <w:spacing w:line="520" w:lineRule="exact"/>
        <w:ind w:firstLine="643"/>
        <w:jc w:val="left"/>
        <w:rPr>
          <w:rFonts w:ascii="宋体" w:hAnsi="宋体" w:cs="宋体"/>
          <w:b/>
          <w:bCs/>
          <w:color w:val="auto"/>
          <w:sz w:val="32"/>
          <w:szCs w:val="32"/>
        </w:rPr>
      </w:pPr>
    </w:p>
    <w:p w14:paraId="1B59A030">
      <w:pPr>
        <w:spacing w:line="520" w:lineRule="exact"/>
        <w:ind w:firstLine="643"/>
        <w:jc w:val="left"/>
        <w:rPr>
          <w:rFonts w:hint="eastAsia" w:ascii="宋体" w:hAnsi="宋体" w:eastAsia="宋体" w:cs="宋体"/>
          <w:b/>
          <w:bCs/>
          <w:color w:val="auto"/>
          <w:sz w:val="32"/>
          <w:szCs w:val="32"/>
          <w:lang w:eastAsia="zh-CN"/>
        </w:rPr>
      </w:pPr>
      <w:r>
        <w:rPr>
          <w:rFonts w:hint="eastAsia" w:ascii="宋体" w:hAnsi="宋体" w:cs="宋体"/>
          <w:b/>
          <w:bCs/>
          <w:color w:val="auto"/>
          <w:sz w:val="32"/>
          <w:szCs w:val="32"/>
        </w:rPr>
        <w:t>供 应 商：</w:t>
      </w:r>
      <w:r>
        <w:rPr>
          <w:rFonts w:hint="eastAsia" w:ascii="宋体" w:hAnsi="宋体" w:cs="宋体"/>
          <w:b/>
          <w:bCs/>
          <w:color w:val="auto"/>
          <w:sz w:val="32"/>
          <w:szCs w:val="32"/>
          <w:lang w:eastAsia="zh-CN"/>
        </w:rPr>
        <w:t>江苏奥的斯电梯销售服务有限公司</w:t>
      </w:r>
    </w:p>
    <w:p w14:paraId="693D7871">
      <w:pPr>
        <w:spacing w:line="520" w:lineRule="exact"/>
        <w:ind w:firstLine="643"/>
        <w:jc w:val="left"/>
        <w:rPr>
          <w:rFonts w:ascii="宋体" w:hAnsi="宋体" w:cs="宋体"/>
          <w:b/>
          <w:bCs/>
          <w:color w:val="auto"/>
          <w:sz w:val="32"/>
          <w:szCs w:val="32"/>
        </w:rPr>
      </w:pPr>
    </w:p>
    <w:p w14:paraId="1B04B911">
      <w:pPr>
        <w:spacing w:line="520" w:lineRule="exact"/>
        <w:ind w:firstLine="643"/>
        <w:jc w:val="left"/>
        <w:rPr>
          <w:rFonts w:ascii="仿宋" w:hAnsi="仿宋" w:eastAsia="仿宋" w:cs="仿宋"/>
          <w:b/>
          <w:bCs/>
          <w:color w:val="auto"/>
          <w:sz w:val="32"/>
          <w:szCs w:val="32"/>
        </w:rPr>
      </w:pPr>
      <w:r>
        <w:rPr>
          <w:rFonts w:hint="eastAsia" w:ascii="宋体" w:hAnsi="宋体" w:cs="宋体"/>
          <w:b/>
          <w:bCs/>
          <w:color w:val="auto"/>
          <w:sz w:val="32"/>
          <w:szCs w:val="32"/>
        </w:rPr>
        <w:t>日    期：    2026年  月   日</w:t>
      </w:r>
    </w:p>
    <w:p w14:paraId="72022669">
      <w:pPr>
        <w:pStyle w:val="14"/>
        <w:ind w:firstLine="0"/>
        <w:jc w:val="center"/>
        <w:rPr>
          <w:rFonts w:hint="default" w:ascii="仿宋" w:hAnsi="仿宋" w:eastAsia="仿宋" w:cs="仿宋"/>
          <w:b/>
          <w:bCs/>
          <w:color w:val="auto"/>
          <w:sz w:val="32"/>
          <w:szCs w:val="32"/>
        </w:rPr>
      </w:pPr>
    </w:p>
    <w:p w14:paraId="25822775">
      <w:pPr>
        <w:pStyle w:val="14"/>
        <w:ind w:firstLine="0"/>
        <w:jc w:val="center"/>
        <w:rPr>
          <w:rFonts w:hint="default" w:ascii="仿宋" w:hAnsi="仿宋" w:eastAsia="仿宋" w:cs="仿宋"/>
          <w:b/>
          <w:bCs/>
          <w:color w:val="auto"/>
          <w:sz w:val="32"/>
          <w:szCs w:val="32"/>
        </w:rPr>
      </w:pPr>
    </w:p>
    <w:p w14:paraId="4CB7F2DE">
      <w:pPr>
        <w:pStyle w:val="17"/>
        <w:spacing w:line="520" w:lineRule="exact"/>
        <w:ind w:firstLine="3066"/>
        <w:rPr>
          <w:rFonts w:ascii="仿宋" w:hAnsi="仿宋" w:eastAsia="仿宋"/>
          <w:color w:val="auto"/>
          <w:sz w:val="28"/>
          <w:szCs w:val="28"/>
        </w:rPr>
      </w:pPr>
    </w:p>
    <w:p w14:paraId="27725743">
      <w:pPr>
        <w:pStyle w:val="17"/>
        <w:spacing w:line="520" w:lineRule="exact"/>
        <w:rPr>
          <w:rFonts w:hAnsi="宋体" w:cs="宋体"/>
          <w:color w:val="auto"/>
          <w:sz w:val="24"/>
          <w:szCs w:val="24"/>
        </w:rPr>
      </w:pPr>
    </w:p>
    <w:p w14:paraId="5E1ADB0B">
      <w:pPr>
        <w:pStyle w:val="17"/>
        <w:spacing w:line="520" w:lineRule="exact"/>
        <w:ind w:firstLine="3518"/>
        <w:rPr>
          <w:rFonts w:hint="eastAsia" w:hAnsi="宋体" w:cs="宋体"/>
          <w:b/>
          <w:bCs/>
          <w:color w:val="auto"/>
          <w:sz w:val="32"/>
          <w:szCs w:val="32"/>
        </w:rPr>
      </w:pPr>
    </w:p>
    <w:p w14:paraId="12B2A464">
      <w:pPr>
        <w:pStyle w:val="17"/>
        <w:spacing w:line="520" w:lineRule="exact"/>
        <w:ind w:firstLine="3518"/>
        <w:rPr>
          <w:rFonts w:hint="eastAsia" w:hAnsi="宋体" w:cs="宋体"/>
          <w:b/>
          <w:bCs/>
          <w:color w:val="auto"/>
          <w:sz w:val="32"/>
          <w:szCs w:val="32"/>
        </w:rPr>
      </w:pPr>
    </w:p>
    <w:p w14:paraId="768FC97F">
      <w:pPr>
        <w:pStyle w:val="17"/>
        <w:spacing w:line="520" w:lineRule="exact"/>
        <w:ind w:firstLine="3518"/>
        <w:rPr>
          <w:rFonts w:hint="eastAsia" w:hAnsi="宋体" w:cs="宋体"/>
          <w:b/>
          <w:bCs/>
          <w:color w:val="auto"/>
          <w:sz w:val="32"/>
          <w:szCs w:val="32"/>
        </w:rPr>
      </w:pPr>
    </w:p>
    <w:p w14:paraId="6737F6A5">
      <w:pPr>
        <w:pStyle w:val="17"/>
        <w:spacing w:line="520" w:lineRule="exact"/>
        <w:ind w:firstLine="3518"/>
        <w:rPr>
          <w:rFonts w:hAnsi="宋体" w:cs="宋体"/>
          <w:b/>
          <w:bCs/>
          <w:color w:val="auto"/>
          <w:sz w:val="32"/>
          <w:szCs w:val="32"/>
        </w:rPr>
      </w:pPr>
      <w:r>
        <w:rPr>
          <w:rFonts w:hint="eastAsia" w:hAnsi="宋体" w:cs="宋体"/>
          <w:b/>
          <w:bCs/>
          <w:color w:val="auto"/>
          <w:sz w:val="32"/>
          <w:szCs w:val="32"/>
        </w:rPr>
        <w:t>一、合同格式</w:t>
      </w:r>
    </w:p>
    <w:p w14:paraId="3C028889">
      <w:pPr>
        <w:spacing w:line="520" w:lineRule="exact"/>
        <w:jc w:val="left"/>
        <w:rPr>
          <w:rFonts w:ascii="宋体" w:hAnsi="宋体" w:cs="宋体"/>
          <w:color w:val="auto"/>
          <w:sz w:val="24"/>
          <w:highlight w:val="none"/>
        </w:rPr>
      </w:pPr>
      <w:bookmarkStart w:id="7" w:name="_GoBack"/>
      <w:r>
        <w:rPr>
          <w:rFonts w:hint="eastAsia" w:ascii="宋体" w:hAnsi="宋体" w:cs="宋体"/>
          <w:color w:val="auto"/>
          <w:sz w:val="24"/>
          <w:highlight w:val="none"/>
        </w:rPr>
        <w:t>甲方: 淮安经济技术开发区住房和城乡建设局</w:t>
      </w:r>
    </w:p>
    <w:p w14:paraId="21A02734">
      <w:pPr>
        <w:pStyle w:val="17"/>
        <w:spacing w:line="520" w:lineRule="exact"/>
        <w:rPr>
          <w:rFonts w:hint="eastAsia" w:hAnsi="宋体" w:eastAsia="宋体" w:cs="宋体"/>
          <w:color w:val="auto"/>
          <w:sz w:val="24"/>
          <w:szCs w:val="24"/>
          <w:highlight w:val="none"/>
          <w:lang w:eastAsia="zh-CN"/>
        </w:rPr>
      </w:pPr>
      <w:r>
        <w:rPr>
          <w:rFonts w:hint="eastAsia" w:hAnsi="宋体" w:cs="宋体"/>
          <w:color w:val="auto"/>
          <w:sz w:val="24"/>
          <w:szCs w:val="24"/>
          <w:highlight w:val="none"/>
        </w:rPr>
        <w:t>乙方:</w:t>
      </w:r>
      <w:r>
        <w:rPr>
          <w:rFonts w:hint="eastAsia" w:hAnsi="宋体" w:cs="宋体"/>
          <w:color w:val="auto"/>
          <w:sz w:val="24"/>
          <w:szCs w:val="24"/>
          <w:highlight w:val="none"/>
          <w:lang w:val="en-US" w:eastAsia="zh-CN"/>
        </w:rPr>
        <w:t xml:space="preserve"> </w:t>
      </w:r>
      <w:r>
        <w:rPr>
          <w:rFonts w:hint="eastAsia" w:hAnsi="宋体" w:cs="宋体"/>
          <w:color w:val="auto"/>
          <w:sz w:val="24"/>
          <w:szCs w:val="24"/>
          <w:highlight w:val="none"/>
          <w:lang w:eastAsia="zh-CN"/>
        </w:rPr>
        <w:t>江苏奥的斯电梯销售服务有限公司</w:t>
      </w:r>
    </w:p>
    <w:p w14:paraId="55AAD762">
      <w:pPr>
        <w:pStyle w:val="17"/>
        <w:spacing w:line="520" w:lineRule="exact"/>
        <w:ind w:firstLine="544"/>
        <w:rPr>
          <w:rFonts w:hAnsi="宋体" w:cs="宋体"/>
          <w:color w:val="auto"/>
          <w:sz w:val="24"/>
          <w:szCs w:val="24"/>
          <w:highlight w:val="none"/>
        </w:rPr>
      </w:pPr>
      <w:r>
        <w:rPr>
          <w:rFonts w:hint="eastAsia" w:hAnsi="宋体" w:cs="宋体"/>
          <w:color w:val="auto"/>
          <w:sz w:val="24"/>
          <w:szCs w:val="24"/>
          <w:highlight w:val="none"/>
        </w:rPr>
        <w:t>甲、乙双方根据项目编号的</w:t>
      </w:r>
      <w:r>
        <w:rPr>
          <w:rFonts w:hint="eastAsia" w:hAnsi="宋体" w:cs="宋体"/>
          <w:color w:val="auto"/>
          <w:sz w:val="24"/>
          <w:szCs w:val="24"/>
          <w:highlight w:val="none"/>
          <w:u w:val="single"/>
        </w:rPr>
        <w:t xml:space="preserve"> 经开区2026年住宅老旧电梯更新项目第一批36部电梯采购</w:t>
      </w:r>
      <w:r>
        <w:rPr>
          <w:rFonts w:hint="eastAsia" w:hAnsi="宋体" w:cs="宋体"/>
          <w:color w:val="auto"/>
          <w:sz w:val="24"/>
          <w:szCs w:val="24"/>
          <w:highlight w:val="none"/>
          <w:u w:val="single"/>
          <w:lang w:eastAsia="zh-CN"/>
        </w:rPr>
        <w:t>（项目编号：</w:t>
      </w:r>
      <w:r>
        <w:rPr>
          <w:rFonts w:hint="eastAsia" w:hAnsi="宋体" w:cs="宋体"/>
          <w:color w:val="auto"/>
          <w:sz w:val="24"/>
          <w:szCs w:val="24"/>
          <w:highlight w:val="none"/>
          <w:u w:val="single"/>
        </w:rPr>
        <w:t>JSZC-320891-JZCG-G2026-0008</w:t>
      </w:r>
      <w:r>
        <w:rPr>
          <w:rFonts w:hint="eastAsia" w:hAnsi="宋体" w:cs="宋体"/>
          <w:color w:val="auto"/>
          <w:sz w:val="24"/>
          <w:szCs w:val="24"/>
          <w:highlight w:val="none"/>
          <w:u w:val="single"/>
          <w:lang w:eastAsia="zh-CN"/>
        </w:rPr>
        <w:t>）</w:t>
      </w:r>
      <w:r>
        <w:rPr>
          <w:rFonts w:hint="eastAsia" w:hAnsi="宋体" w:cs="宋体"/>
          <w:color w:val="auto"/>
          <w:sz w:val="24"/>
          <w:szCs w:val="24"/>
          <w:highlight w:val="none"/>
          <w:u w:val="single"/>
        </w:rPr>
        <w:t>（采购包</w:t>
      </w:r>
      <w:r>
        <w:rPr>
          <w:rFonts w:hint="eastAsia" w:hAnsi="宋体" w:cs="宋体"/>
          <w:color w:val="auto"/>
          <w:sz w:val="24"/>
          <w:szCs w:val="24"/>
          <w:highlight w:val="none"/>
          <w:u w:val="single"/>
          <w:lang w:val="en-US" w:eastAsia="zh-CN"/>
        </w:rPr>
        <w:t>1</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采购项目公开招标采购结果及招标文件的要求,经协商一致,达成如下购销合同:</w:t>
      </w:r>
    </w:p>
    <w:p w14:paraId="3306823E">
      <w:pPr>
        <w:pStyle w:val="17"/>
        <w:spacing w:line="520" w:lineRule="exact"/>
        <w:ind w:left="-359" w:firstLine="825"/>
        <w:rPr>
          <w:rFonts w:hAnsi="宋体" w:cs="宋体"/>
          <w:color w:val="auto"/>
          <w:sz w:val="24"/>
          <w:szCs w:val="24"/>
          <w:highlight w:val="none"/>
        </w:rPr>
      </w:pPr>
      <w:r>
        <w:rPr>
          <w:rFonts w:hint="eastAsia" w:hAnsi="宋体" w:cs="宋体"/>
          <w:color w:val="auto"/>
          <w:sz w:val="24"/>
          <w:szCs w:val="24"/>
          <w:highlight w:val="none"/>
        </w:rPr>
        <w:t>一、货物及数量</w:t>
      </w:r>
    </w:p>
    <w:p w14:paraId="42B8679D">
      <w:pPr>
        <w:pStyle w:val="17"/>
        <w:spacing w:line="520" w:lineRule="exact"/>
        <w:ind w:firstLine="480"/>
        <w:rPr>
          <w:rFonts w:hAnsi="宋体" w:cs="宋体"/>
          <w:color w:val="auto"/>
          <w:sz w:val="24"/>
          <w:szCs w:val="24"/>
          <w:highlight w:val="none"/>
        </w:rPr>
      </w:pPr>
      <w:r>
        <w:rPr>
          <w:rFonts w:hint="eastAsia" w:hAnsi="宋体" w:cs="宋体"/>
          <w:color w:val="auto"/>
          <w:sz w:val="24"/>
          <w:szCs w:val="24"/>
          <w:highlight w:val="none"/>
        </w:rPr>
        <w:t>本合同所提供的货物及数量详见“项目采购需求”。</w:t>
      </w:r>
    </w:p>
    <w:p w14:paraId="699EC20D">
      <w:pPr>
        <w:pStyle w:val="17"/>
        <w:spacing w:line="520" w:lineRule="exact"/>
        <w:ind w:left="-359" w:firstLine="825"/>
        <w:rPr>
          <w:rFonts w:hAnsi="宋体" w:cs="宋体"/>
          <w:color w:val="auto"/>
          <w:sz w:val="24"/>
          <w:szCs w:val="24"/>
          <w:highlight w:val="none"/>
        </w:rPr>
      </w:pPr>
      <w:r>
        <w:rPr>
          <w:rFonts w:hint="eastAsia" w:hAnsi="宋体" w:cs="宋体"/>
          <w:color w:val="auto"/>
          <w:sz w:val="24"/>
          <w:szCs w:val="24"/>
          <w:highlight w:val="none"/>
        </w:rPr>
        <w:t>二、合同金额</w:t>
      </w:r>
    </w:p>
    <w:tbl>
      <w:tblPr>
        <w:tblStyle w:val="6"/>
        <w:tblpPr w:leftFromText="180" w:rightFromText="180" w:vertAnchor="text" w:horzAnchor="page" w:tblpX="1294" w:tblpY="91"/>
        <w:tblW w:w="518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5"/>
        <w:gridCol w:w="887"/>
        <w:gridCol w:w="863"/>
        <w:gridCol w:w="1000"/>
        <w:gridCol w:w="1262"/>
        <w:gridCol w:w="1400"/>
        <w:gridCol w:w="863"/>
        <w:gridCol w:w="2671"/>
      </w:tblGrid>
      <w:tr w14:paraId="2EFF4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6" w:hRule="atLeast"/>
          <w:jc w:val="center"/>
        </w:trPr>
        <w:tc>
          <w:tcPr>
            <w:tcW w:w="625" w:type="dxa"/>
            <w:noWrap/>
            <w:vAlign w:val="center"/>
          </w:tcPr>
          <w:p w14:paraId="2A0BA24F">
            <w:pPr>
              <w:contextualSpacing/>
              <w:jc w:val="center"/>
              <w:rPr>
                <w:rFonts w:ascii="宋体" w:hAnsi="宋体" w:cs="宋体"/>
                <w:color w:val="auto"/>
                <w:sz w:val="24"/>
                <w:highlight w:val="none"/>
              </w:rPr>
            </w:pPr>
            <w:r>
              <w:rPr>
                <w:rFonts w:hint="eastAsia" w:ascii="宋体" w:hAnsi="宋体" w:cs="宋体"/>
                <w:color w:val="auto"/>
                <w:sz w:val="24"/>
                <w:highlight w:val="none"/>
              </w:rPr>
              <w:t>序号</w:t>
            </w:r>
          </w:p>
        </w:tc>
        <w:tc>
          <w:tcPr>
            <w:tcW w:w="887" w:type="dxa"/>
            <w:noWrap/>
            <w:vAlign w:val="center"/>
          </w:tcPr>
          <w:p w14:paraId="1CDACA45">
            <w:pPr>
              <w:contextualSpacing/>
              <w:jc w:val="center"/>
              <w:rPr>
                <w:rFonts w:ascii="宋体" w:hAnsi="宋体" w:cs="宋体"/>
                <w:color w:val="auto"/>
                <w:sz w:val="24"/>
                <w:highlight w:val="none"/>
              </w:rPr>
            </w:pPr>
            <w:r>
              <w:rPr>
                <w:rFonts w:hint="eastAsia" w:ascii="宋体" w:hAnsi="宋体" w:cs="宋体"/>
                <w:color w:val="auto"/>
                <w:sz w:val="24"/>
                <w:highlight w:val="none"/>
              </w:rPr>
              <w:t>型号</w:t>
            </w:r>
          </w:p>
        </w:tc>
        <w:tc>
          <w:tcPr>
            <w:tcW w:w="863" w:type="dxa"/>
            <w:noWrap/>
            <w:vAlign w:val="center"/>
          </w:tcPr>
          <w:p w14:paraId="5622031F">
            <w:pPr>
              <w:contextualSpacing/>
              <w:jc w:val="center"/>
              <w:rPr>
                <w:rFonts w:ascii="宋体" w:hAnsi="宋体" w:cs="宋体"/>
                <w:color w:val="auto"/>
                <w:sz w:val="24"/>
                <w:highlight w:val="none"/>
              </w:rPr>
            </w:pPr>
            <w:r>
              <w:rPr>
                <w:rFonts w:hint="eastAsia" w:ascii="宋体" w:hAnsi="宋体" w:cs="宋体"/>
                <w:color w:val="auto"/>
                <w:sz w:val="24"/>
                <w:highlight w:val="none"/>
              </w:rPr>
              <w:t>载重（KG）</w:t>
            </w:r>
          </w:p>
        </w:tc>
        <w:tc>
          <w:tcPr>
            <w:tcW w:w="1000" w:type="dxa"/>
            <w:noWrap/>
            <w:vAlign w:val="center"/>
          </w:tcPr>
          <w:p w14:paraId="79A819C7">
            <w:pPr>
              <w:contextualSpacing/>
              <w:jc w:val="center"/>
              <w:rPr>
                <w:rFonts w:ascii="宋体" w:hAnsi="宋体" w:cs="宋体"/>
                <w:color w:val="auto"/>
                <w:sz w:val="24"/>
                <w:highlight w:val="none"/>
              </w:rPr>
            </w:pPr>
            <w:r>
              <w:rPr>
                <w:rFonts w:hint="eastAsia" w:ascii="宋体" w:hAnsi="宋体" w:cs="宋体"/>
                <w:color w:val="auto"/>
                <w:sz w:val="24"/>
                <w:highlight w:val="none"/>
              </w:rPr>
              <w:t>速度（M/S）</w:t>
            </w:r>
          </w:p>
        </w:tc>
        <w:tc>
          <w:tcPr>
            <w:tcW w:w="1262" w:type="dxa"/>
            <w:noWrap/>
            <w:vAlign w:val="center"/>
          </w:tcPr>
          <w:p w14:paraId="4825330B">
            <w:pPr>
              <w:contextualSpacing/>
              <w:jc w:val="center"/>
              <w:rPr>
                <w:rFonts w:ascii="宋体" w:hAnsi="宋体" w:cs="宋体"/>
                <w:color w:val="auto"/>
                <w:sz w:val="24"/>
                <w:highlight w:val="none"/>
              </w:rPr>
            </w:pPr>
            <w:r>
              <w:rPr>
                <w:rFonts w:hint="eastAsia" w:ascii="宋体" w:hAnsi="宋体" w:cs="宋体"/>
                <w:color w:val="auto"/>
                <w:sz w:val="24"/>
                <w:highlight w:val="none"/>
              </w:rPr>
              <w:t>层站(层/站/门)</w:t>
            </w:r>
          </w:p>
        </w:tc>
        <w:tc>
          <w:tcPr>
            <w:tcW w:w="1400" w:type="dxa"/>
            <w:noWrap/>
            <w:vAlign w:val="center"/>
          </w:tcPr>
          <w:p w14:paraId="521AF844">
            <w:pPr>
              <w:contextualSpacing/>
              <w:jc w:val="center"/>
              <w:rPr>
                <w:rFonts w:ascii="宋体" w:hAnsi="宋体" w:cs="宋体"/>
                <w:color w:val="auto"/>
                <w:sz w:val="24"/>
                <w:highlight w:val="none"/>
              </w:rPr>
            </w:pPr>
            <w:r>
              <w:rPr>
                <w:rFonts w:hint="eastAsia" w:ascii="宋体" w:hAnsi="宋体" w:cs="宋体"/>
                <w:color w:val="auto"/>
                <w:sz w:val="24"/>
                <w:highlight w:val="none"/>
              </w:rPr>
              <w:t>价格（元）</w:t>
            </w:r>
          </w:p>
        </w:tc>
        <w:tc>
          <w:tcPr>
            <w:tcW w:w="863" w:type="dxa"/>
            <w:noWrap/>
            <w:vAlign w:val="center"/>
          </w:tcPr>
          <w:p w14:paraId="13B0F6E9">
            <w:pPr>
              <w:contextualSpacing/>
              <w:jc w:val="center"/>
              <w:rPr>
                <w:rFonts w:ascii="宋体" w:hAnsi="宋体" w:cs="宋体"/>
                <w:color w:val="auto"/>
                <w:sz w:val="24"/>
                <w:highlight w:val="none"/>
              </w:rPr>
            </w:pPr>
            <w:r>
              <w:rPr>
                <w:rFonts w:hint="eastAsia" w:ascii="宋体" w:hAnsi="宋体" w:cs="宋体"/>
                <w:color w:val="auto"/>
                <w:sz w:val="24"/>
                <w:highlight w:val="none"/>
              </w:rPr>
              <w:t>数量（台）</w:t>
            </w:r>
          </w:p>
        </w:tc>
        <w:tc>
          <w:tcPr>
            <w:tcW w:w="2671" w:type="dxa"/>
            <w:noWrap/>
            <w:vAlign w:val="center"/>
          </w:tcPr>
          <w:p w14:paraId="3428F1F1">
            <w:pPr>
              <w:contextualSpacing/>
              <w:jc w:val="center"/>
              <w:rPr>
                <w:rFonts w:ascii="宋体" w:hAnsi="宋体" w:cs="宋体"/>
                <w:color w:val="auto"/>
                <w:sz w:val="24"/>
                <w:highlight w:val="none"/>
              </w:rPr>
            </w:pPr>
            <w:r>
              <w:rPr>
                <w:rFonts w:hint="eastAsia" w:ascii="宋体" w:hAnsi="宋体" w:cs="宋体"/>
                <w:color w:val="auto"/>
                <w:sz w:val="24"/>
                <w:highlight w:val="none"/>
              </w:rPr>
              <w:t>合计（元）</w:t>
            </w:r>
          </w:p>
        </w:tc>
      </w:tr>
      <w:tr w14:paraId="2BFF8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625" w:type="dxa"/>
            <w:noWrap/>
            <w:vAlign w:val="center"/>
          </w:tcPr>
          <w:p w14:paraId="3CD69727">
            <w:pPr>
              <w:contextualSpacing/>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w:t>
            </w:r>
          </w:p>
        </w:tc>
        <w:tc>
          <w:tcPr>
            <w:tcW w:w="887" w:type="dxa"/>
            <w:noWrap/>
            <w:vAlign w:val="center"/>
          </w:tcPr>
          <w:p w14:paraId="61994E8D">
            <w:pPr>
              <w:contextualSpacing/>
              <w:jc w:val="center"/>
              <w:rPr>
                <w:rFonts w:ascii="宋体" w:hAnsi="宋体" w:cs="宋体"/>
                <w:color w:val="auto"/>
                <w:sz w:val="24"/>
                <w:highlight w:val="none"/>
              </w:rPr>
            </w:pPr>
            <w:r>
              <w:rPr>
                <w:rFonts w:ascii="Times New Roman" w:hAnsi="Times New Roman" w:eastAsia="Times New Roman" w:cs="Times New Roman"/>
                <w:color w:val="auto"/>
                <w:highlight w:val="none"/>
                <w:u w:val="none" w:color="auto"/>
              </w:rPr>
              <w:t>OTIS</w:t>
            </w:r>
            <w:r>
              <w:rPr>
                <w:rFonts w:ascii="Times New Roman" w:hAnsi="Times New Roman" w:eastAsia="Times New Roman" w:cs="Times New Roman"/>
                <w:color w:val="auto"/>
                <w:spacing w:val="23"/>
                <w:highlight w:val="none"/>
                <w:u w:val="none" w:color="auto"/>
              </w:rPr>
              <w:t xml:space="preserve"> </w:t>
            </w:r>
            <w:r>
              <w:rPr>
                <w:rFonts w:ascii="Times New Roman" w:hAnsi="Times New Roman" w:eastAsia="Times New Roman" w:cs="Times New Roman"/>
                <w:color w:val="auto"/>
                <w:highlight w:val="none"/>
                <w:u w:val="none" w:color="auto"/>
              </w:rPr>
              <w:t>electric</w:t>
            </w:r>
            <w:r>
              <w:rPr>
                <w:rFonts w:ascii="Times New Roman" w:hAnsi="Times New Roman" w:eastAsia="Times New Roman" w:cs="Times New Roman"/>
                <w:color w:val="auto"/>
                <w:spacing w:val="23"/>
                <w:highlight w:val="none"/>
                <w:u w:val="none" w:color="auto"/>
              </w:rPr>
              <w:t xml:space="preserve"> </w:t>
            </w:r>
            <w:r>
              <w:rPr>
                <w:rFonts w:ascii="Times New Roman" w:hAnsi="Times New Roman" w:eastAsia="Times New Roman" w:cs="Times New Roman"/>
                <w:color w:val="auto"/>
                <w:highlight w:val="none"/>
                <w:u w:val="none" w:color="auto"/>
              </w:rPr>
              <w:t>life</w:t>
            </w:r>
          </w:p>
        </w:tc>
        <w:tc>
          <w:tcPr>
            <w:tcW w:w="863" w:type="dxa"/>
            <w:noWrap/>
            <w:vAlign w:val="center"/>
          </w:tcPr>
          <w:p w14:paraId="73A89EBD">
            <w:pPr>
              <w:contextualSpacing/>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800</w:t>
            </w:r>
          </w:p>
        </w:tc>
        <w:tc>
          <w:tcPr>
            <w:tcW w:w="1000" w:type="dxa"/>
            <w:noWrap/>
            <w:vAlign w:val="center"/>
          </w:tcPr>
          <w:p w14:paraId="026F0782">
            <w:pPr>
              <w:tabs>
                <w:tab w:val="left" w:pos="142"/>
              </w:tabs>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w:t>
            </w:r>
          </w:p>
        </w:tc>
        <w:tc>
          <w:tcPr>
            <w:tcW w:w="1262" w:type="dxa"/>
            <w:noWrap/>
            <w:vAlign w:val="center"/>
          </w:tcPr>
          <w:p w14:paraId="497111F9">
            <w:pPr>
              <w:contextualSpacing/>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9/9/9</w:t>
            </w:r>
          </w:p>
        </w:tc>
        <w:tc>
          <w:tcPr>
            <w:tcW w:w="1400" w:type="dxa"/>
            <w:noWrap/>
            <w:vAlign w:val="center"/>
          </w:tcPr>
          <w:p w14:paraId="2761C2DC">
            <w:pPr>
              <w:contextualSpacing/>
              <w:jc w:val="center"/>
              <w:rPr>
                <w:rFonts w:ascii="宋体" w:hAnsi="宋体" w:cs="宋体"/>
                <w:color w:val="auto"/>
                <w:sz w:val="24"/>
                <w:highlight w:val="none"/>
              </w:rPr>
            </w:pPr>
            <w:r>
              <w:rPr>
                <w:rFonts w:hint="eastAsia" w:ascii="宋体" w:hAnsi="宋体" w:eastAsia="宋体" w:cs="宋体"/>
                <w:color w:val="auto"/>
                <w:sz w:val="24"/>
                <w:highlight w:val="none"/>
                <w:lang w:val="en-US" w:eastAsia="zh-CN"/>
              </w:rPr>
              <w:t>120000.01</w:t>
            </w:r>
          </w:p>
        </w:tc>
        <w:tc>
          <w:tcPr>
            <w:tcW w:w="863" w:type="dxa"/>
            <w:noWrap/>
            <w:vAlign w:val="center"/>
          </w:tcPr>
          <w:p w14:paraId="307A2720">
            <w:pPr>
              <w:contextualSpacing/>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6</w:t>
            </w:r>
          </w:p>
        </w:tc>
        <w:tc>
          <w:tcPr>
            <w:tcW w:w="2671" w:type="dxa"/>
            <w:noWrap/>
            <w:vAlign w:val="center"/>
          </w:tcPr>
          <w:p w14:paraId="07724F8C">
            <w:pPr>
              <w:contextualSpacing/>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720000.06</w:t>
            </w:r>
          </w:p>
        </w:tc>
      </w:tr>
      <w:tr w14:paraId="2941E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625" w:type="dxa"/>
            <w:noWrap/>
            <w:vAlign w:val="center"/>
          </w:tcPr>
          <w:p w14:paraId="29ABCE55">
            <w:pPr>
              <w:contextualSpacing/>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w:t>
            </w:r>
          </w:p>
        </w:tc>
        <w:tc>
          <w:tcPr>
            <w:tcW w:w="887" w:type="dxa"/>
            <w:noWrap/>
            <w:vAlign w:val="center"/>
          </w:tcPr>
          <w:p w14:paraId="5A46EBC5">
            <w:pPr>
              <w:contextualSpacing/>
              <w:jc w:val="center"/>
              <w:rPr>
                <w:rFonts w:ascii="宋体" w:hAnsi="宋体" w:cs="宋体"/>
                <w:color w:val="auto"/>
                <w:sz w:val="24"/>
                <w:highlight w:val="none"/>
              </w:rPr>
            </w:pPr>
            <w:r>
              <w:rPr>
                <w:rFonts w:ascii="Times New Roman" w:hAnsi="Times New Roman" w:eastAsia="Times New Roman" w:cs="Times New Roman"/>
                <w:color w:val="auto"/>
                <w:highlight w:val="none"/>
                <w:u w:val="none" w:color="auto"/>
              </w:rPr>
              <w:t>OTIS</w:t>
            </w:r>
            <w:r>
              <w:rPr>
                <w:rFonts w:ascii="Times New Roman" w:hAnsi="Times New Roman" w:eastAsia="Times New Roman" w:cs="Times New Roman"/>
                <w:color w:val="auto"/>
                <w:spacing w:val="23"/>
                <w:highlight w:val="none"/>
                <w:u w:val="none" w:color="auto"/>
              </w:rPr>
              <w:t xml:space="preserve"> </w:t>
            </w:r>
            <w:r>
              <w:rPr>
                <w:rFonts w:ascii="Times New Roman" w:hAnsi="Times New Roman" w:eastAsia="Times New Roman" w:cs="Times New Roman"/>
                <w:color w:val="auto"/>
                <w:highlight w:val="none"/>
                <w:u w:val="none" w:color="auto"/>
              </w:rPr>
              <w:t>electric</w:t>
            </w:r>
            <w:r>
              <w:rPr>
                <w:rFonts w:ascii="Times New Roman" w:hAnsi="Times New Roman" w:eastAsia="Times New Roman" w:cs="Times New Roman"/>
                <w:color w:val="auto"/>
                <w:spacing w:val="23"/>
                <w:highlight w:val="none"/>
                <w:u w:val="none" w:color="auto"/>
              </w:rPr>
              <w:t xml:space="preserve"> </w:t>
            </w:r>
            <w:r>
              <w:rPr>
                <w:rFonts w:ascii="Times New Roman" w:hAnsi="Times New Roman" w:eastAsia="Times New Roman" w:cs="Times New Roman"/>
                <w:color w:val="auto"/>
                <w:highlight w:val="none"/>
                <w:u w:val="none" w:color="auto"/>
              </w:rPr>
              <w:t>life</w:t>
            </w:r>
          </w:p>
        </w:tc>
        <w:tc>
          <w:tcPr>
            <w:tcW w:w="863" w:type="dxa"/>
            <w:noWrap/>
            <w:vAlign w:val="center"/>
          </w:tcPr>
          <w:p w14:paraId="2A6D34A5">
            <w:pPr>
              <w:contextualSpacing/>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800</w:t>
            </w:r>
          </w:p>
        </w:tc>
        <w:tc>
          <w:tcPr>
            <w:tcW w:w="1000" w:type="dxa"/>
            <w:noWrap/>
            <w:vAlign w:val="center"/>
          </w:tcPr>
          <w:p w14:paraId="1A633345">
            <w:pPr>
              <w:tabs>
                <w:tab w:val="left" w:pos="142"/>
              </w:tabs>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w:t>
            </w:r>
          </w:p>
        </w:tc>
        <w:tc>
          <w:tcPr>
            <w:tcW w:w="1262" w:type="dxa"/>
            <w:noWrap/>
            <w:vAlign w:val="center"/>
          </w:tcPr>
          <w:p w14:paraId="1A5B6BE3">
            <w:pPr>
              <w:contextualSpacing/>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16/16/16</w:t>
            </w:r>
          </w:p>
        </w:tc>
        <w:tc>
          <w:tcPr>
            <w:tcW w:w="1400" w:type="dxa"/>
            <w:noWrap/>
            <w:vAlign w:val="center"/>
          </w:tcPr>
          <w:p w14:paraId="5160D31B">
            <w:pPr>
              <w:contextualSpacing/>
              <w:jc w:val="center"/>
              <w:rPr>
                <w:rFonts w:ascii="宋体" w:hAnsi="宋体" w:cs="宋体"/>
                <w:color w:val="auto"/>
                <w:sz w:val="24"/>
                <w:highlight w:val="none"/>
              </w:rPr>
            </w:pPr>
            <w:r>
              <w:rPr>
                <w:rFonts w:hint="eastAsia" w:ascii="宋体" w:hAnsi="宋体" w:eastAsia="宋体" w:cs="宋体"/>
                <w:color w:val="auto"/>
                <w:sz w:val="24"/>
                <w:highlight w:val="none"/>
                <w:lang w:val="en-US" w:eastAsia="zh-CN"/>
              </w:rPr>
              <w:t>180000.01</w:t>
            </w:r>
          </w:p>
        </w:tc>
        <w:tc>
          <w:tcPr>
            <w:tcW w:w="863" w:type="dxa"/>
            <w:noWrap/>
            <w:vAlign w:val="center"/>
          </w:tcPr>
          <w:p w14:paraId="33A5730C">
            <w:pPr>
              <w:contextualSpacing/>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w:t>
            </w:r>
          </w:p>
        </w:tc>
        <w:tc>
          <w:tcPr>
            <w:tcW w:w="2671" w:type="dxa"/>
            <w:noWrap/>
            <w:vAlign w:val="center"/>
          </w:tcPr>
          <w:p w14:paraId="4514E123">
            <w:pPr>
              <w:contextualSpacing/>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360000.02</w:t>
            </w:r>
          </w:p>
        </w:tc>
      </w:tr>
      <w:tr w14:paraId="02256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625" w:type="dxa"/>
            <w:noWrap/>
            <w:vAlign w:val="center"/>
          </w:tcPr>
          <w:p w14:paraId="6E5197B7">
            <w:pPr>
              <w:contextualSpacing/>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887" w:type="dxa"/>
            <w:noWrap/>
            <w:vAlign w:val="center"/>
          </w:tcPr>
          <w:p w14:paraId="04CB377B">
            <w:pPr>
              <w:contextualSpacing/>
              <w:jc w:val="center"/>
              <w:rPr>
                <w:rFonts w:ascii="宋体" w:hAnsi="宋体" w:cs="宋体"/>
                <w:color w:val="auto"/>
                <w:sz w:val="24"/>
                <w:highlight w:val="none"/>
              </w:rPr>
            </w:pPr>
            <w:r>
              <w:rPr>
                <w:rFonts w:ascii="Times New Roman" w:hAnsi="Times New Roman" w:eastAsia="Times New Roman" w:cs="Times New Roman"/>
                <w:color w:val="auto"/>
                <w:highlight w:val="none"/>
                <w:u w:val="none" w:color="auto"/>
              </w:rPr>
              <w:t>OTIS</w:t>
            </w:r>
            <w:r>
              <w:rPr>
                <w:rFonts w:ascii="Times New Roman" w:hAnsi="Times New Roman" w:eastAsia="Times New Roman" w:cs="Times New Roman"/>
                <w:color w:val="auto"/>
                <w:spacing w:val="23"/>
                <w:highlight w:val="none"/>
                <w:u w:val="none" w:color="auto"/>
              </w:rPr>
              <w:t xml:space="preserve"> </w:t>
            </w:r>
            <w:r>
              <w:rPr>
                <w:rFonts w:ascii="Times New Roman" w:hAnsi="Times New Roman" w:eastAsia="Times New Roman" w:cs="Times New Roman"/>
                <w:color w:val="auto"/>
                <w:highlight w:val="none"/>
                <w:u w:val="none" w:color="auto"/>
              </w:rPr>
              <w:t>electric</w:t>
            </w:r>
            <w:r>
              <w:rPr>
                <w:rFonts w:ascii="Times New Roman" w:hAnsi="Times New Roman" w:eastAsia="Times New Roman" w:cs="Times New Roman"/>
                <w:color w:val="auto"/>
                <w:spacing w:val="23"/>
                <w:highlight w:val="none"/>
                <w:u w:val="none" w:color="auto"/>
              </w:rPr>
              <w:t xml:space="preserve"> </w:t>
            </w:r>
            <w:r>
              <w:rPr>
                <w:rFonts w:ascii="Times New Roman" w:hAnsi="Times New Roman" w:eastAsia="Times New Roman" w:cs="Times New Roman"/>
                <w:color w:val="auto"/>
                <w:highlight w:val="none"/>
                <w:u w:val="none" w:color="auto"/>
              </w:rPr>
              <w:t>life</w:t>
            </w:r>
          </w:p>
        </w:tc>
        <w:tc>
          <w:tcPr>
            <w:tcW w:w="863" w:type="dxa"/>
            <w:noWrap/>
            <w:vAlign w:val="center"/>
          </w:tcPr>
          <w:p w14:paraId="305A5A09">
            <w:pPr>
              <w:contextualSpacing/>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630</w:t>
            </w:r>
          </w:p>
        </w:tc>
        <w:tc>
          <w:tcPr>
            <w:tcW w:w="1000" w:type="dxa"/>
            <w:noWrap/>
            <w:vAlign w:val="center"/>
          </w:tcPr>
          <w:p w14:paraId="58222CAE">
            <w:pPr>
              <w:tabs>
                <w:tab w:val="left" w:pos="142"/>
              </w:tabs>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w:t>
            </w:r>
          </w:p>
        </w:tc>
        <w:tc>
          <w:tcPr>
            <w:tcW w:w="1262" w:type="dxa"/>
            <w:noWrap/>
            <w:vAlign w:val="center"/>
          </w:tcPr>
          <w:p w14:paraId="0090D9DF">
            <w:pPr>
              <w:contextualSpacing/>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11/11/11</w:t>
            </w:r>
          </w:p>
        </w:tc>
        <w:tc>
          <w:tcPr>
            <w:tcW w:w="1400" w:type="dxa"/>
            <w:noWrap/>
            <w:vAlign w:val="center"/>
          </w:tcPr>
          <w:p w14:paraId="71418DD3">
            <w:pPr>
              <w:contextualSpacing/>
              <w:jc w:val="center"/>
              <w:rPr>
                <w:rFonts w:ascii="宋体" w:hAnsi="宋体" w:cs="宋体"/>
                <w:color w:val="auto"/>
                <w:sz w:val="24"/>
                <w:highlight w:val="none"/>
              </w:rPr>
            </w:pPr>
            <w:r>
              <w:rPr>
                <w:rFonts w:hint="eastAsia" w:ascii="宋体" w:hAnsi="宋体" w:eastAsia="宋体" w:cs="宋体"/>
                <w:color w:val="auto"/>
                <w:sz w:val="24"/>
                <w:highlight w:val="none"/>
                <w:lang w:val="en-US" w:eastAsia="zh-CN"/>
              </w:rPr>
              <w:t>180000.01</w:t>
            </w:r>
          </w:p>
        </w:tc>
        <w:tc>
          <w:tcPr>
            <w:tcW w:w="863" w:type="dxa"/>
            <w:noWrap/>
            <w:vAlign w:val="center"/>
          </w:tcPr>
          <w:p w14:paraId="672CD516">
            <w:pPr>
              <w:contextualSpacing/>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5</w:t>
            </w:r>
          </w:p>
        </w:tc>
        <w:tc>
          <w:tcPr>
            <w:tcW w:w="2671" w:type="dxa"/>
            <w:noWrap/>
            <w:vAlign w:val="center"/>
          </w:tcPr>
          <w:p w14:paraId="04D2E414">
            <w:pPr>
              <w:contextualSpacing/>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900000.05</w:t>
            </w:r>
          </w:p>
        </w:tc>
      </w:tr>
      <w:tr w14:paraId="0B3C9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625" w:type="dxa"/>
            <w:noWrap/>
            <w:vAlign w:val="center"/>
          </w:tcPr>
          <w:p w14:paraId="51966A3E">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4</w:t>
            </w:r>
          </w:p>
        </w:tc>
        <w:tc>
          <w:tcPr>
            <w:tcW w:w="887" w:type="dxa"/>
            <w:noWrap/>
            <w:vAlign w:val="center"/>
          </w:tcPr>
          <w:p w14:paraId="6A0237C4">
            <w:pPr>
              <w:contextualSpacing/>
              <w:jc w:val="center"/>
              <w:rPr>
                <w:rFonts w:ascii="Times New Roman" w:hAnsi="Times New Roman" w:eastAsia="Times New Roman" w:cs="Times New Roman"/>
                <w:color w:val="auto"/>
                <w:highlight w:val="none"/>
                <w:u w:val="none" w:color="auto"/>
              </w:rPr>
            </w:pPr>
            <w:r>
              <w:rPr>
                <w:rFonts w:ascii="Times New Roman" w:hAnsi="Times New Roman" w:eastAsia="Times New Roman" w:cs="Times New Roman"/>
                <w:color w:val="auto"/>
                <w:highlight w:val="none"/>
                <w:u w:val="none" w:color="auto"/>
              </w:rPr>
              <w:t>OTIS</w:t>
            </w:r>
            <w:r>
              <w:rPr>
                <w:rFonts w:ascii="Times New Roman" w:hAnsi="Times New Roman" w:eastAsia="Times New Roman" w:cs="Times New Roman"/>
                <w:color w:val="auto"/>
                <w:spacing w:val="23"/>
                <w:highlight w:val="none"/>
                <w:u w:val="none" w:color="auto"/>
              </w:rPr>
              <w:t xml:space="preserve"> </w:t>
            </w:r>
            <w:r>
              <w:rPr>
                <w:rFonts w:ascii="Times New Roman" w:hAnsi="Times New Roman" w:eastAsia="Times New Roman" w:cs="Times New Roman"/>
                <w:color w:val="auto"/>
                <w:highlight w:val="none"/>
                <w:u w:val="none" w:color="auto"/>
              </w:rPr>
              <w:t>electric</w:t>
            </w:r>
            <w:r>
              <w:rPr>
                <w:rFonts w:ascii="Times New Roman" w:hAnsi="Times New Roman" w:eastAsia="Times New Roman" w:cs="Times New Roman"/>
                <w:color w:val="auto"/>
                <w:spacing w:val="23"/>
                <w:highlight w:val="none"/>
                <w:u w:val="none" w:color="auto"/>
              </w:rPr>
              <w:t xml:space="preserve"> </w:t>
            </w:r>
            <w:r>
              <w:rPr>
                <w:rFonts w:ascii="Times New Roman" w:hAnsi="Times New Roman" w:eastAsia="Times New Roman" w:cs="Times New Roman"/>
                <w:color w:val="auto"/>
                <w:highlight w:val="none"/>
                <w:u w:val="none" w:color="auto"/>
              </w:rPr>
              <w:t>life</w:t>
            </w:r>
          </w:p>
        </w:tc>
        <w:tc>
          <w:tcPr>
            <w:tcW w:w="863" w:type="dxa"/>
            <w:noWrap/>
            <w:vAlign w:val="center"/>
          </w:tcPr>
          <w:p w14:paraId="7D834C25">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1000</w:t>
            </w:r>
          </w:p>
        </w:tc>
        <w:tc>
          <w:tcPr>
            <w:tcW w:w="1000" w:type="dxa"/>
            <w:noWrap/>
            <w:vAlign w:val="center"/>
          </w:tcPr>
          <w:p w14:paraId="3A02368A">
            <w:pPr>
              <w:tabs>
                <w:tab w:val="left" w:pos="142"/>
              </w:tabs>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1.75</w:t>
            </w:r>
          </w:p>
        </w:tc>
        <w:tc>
          <w:tcPr>
            <w:tcW w:w="1262" w:type="dxa"/>
            <w:shd w:val="clear" w:color="auto" w:fill="auto"/>
            <w:noWrap/>
            <w:vAlign w:val="center"/>
          </w:tcPr>
          <w:p w14:paraId="0D2E97F4">
            <w:pPr>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highlight w:val="none"/>
                <w:lang w:val="en-US" w:eastAsia="zh-CN"/>
              </w:rPr>
              <w:t>11/11/11</w:t>
            </w:r>
          </w:p>
        </w:tc>
        <w:tc>
          <w:tcPr>
            <w:tcW w:w="1400" w:type="dxa"/>
            <w:shd w:val="clear" w:color="auto" w:fill="auto"/>
            <w:noWrap/>
            <w:vAlign w:val="center"/>
          </w:tcPr>
          <w:p w14:paraId="5C6AACB7">
            <w:pPr>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highlight w:val="none"/>
                <w:lang w:val="en-US" w:eastAsia="zh-CN"/>
              </w:rPr>
              <w:t>180000.01</w:t>
            </w:r>
          </w:p>
        </w:tc>
        <w:tc>
          <w:tcPr>
            <w:tcW w:w="863" w:type="dxa"/>
            <w:noWrap/>
            <w:vAlign w:val="center"/>
          </w:tcPr>
          <w:p w14:paraId="640C776A">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4</w:t>
            </w:r>
          </w:p>
        </w:tc>
        <w:tc>
          <w:tcPr>
            <w:tcW w:w="2671" w:type="dxa"/>
            <w:noWrap/>
            <w:vAlign w:val="center"/>
          </w:tcPr>
          <w:p w14:paraId="11A60CF3">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720000.04</w:t>
            </w:r>
          </w:p>
        </w:tc>
      </w:tr>
      <w:tr w14:paraId="1A586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625" w:type="dxa"/>
            <w:noWrap/>
            <w:vAlign w:val="center"/>
          </w:tcPr>
          <w:p w14:paraId="0A81DA21">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5</w:t>
            </w:r>
          </w:p>
        </w:tc>
        <w:tc>
          <w:tcPr>
            <w:tcW w:w="887" w:type="dxa"/>
            <w:noWrap/>
            <w:vAlign w:val="center"/>
          </w:tcPr>
          <w:p w14:paraId="155630B5">
            <w:pPr>
              <w:contextualSpacing/>
              <w:jc w:val="center"/>
              <w:rPr>
                <w:rFonts w:ascii="Times New Roman" w:hAnsi="Times New Roman" w:eastAsia="Times New Roman" w:cs="Times New Roman"/>
                <w:color w:val="auto"/>
                <w:highlight w:val="none"/>
                <w:u w:val="none" w:color="auto"/>
              </w:rPr>
            </w:pPr>
            <w:r>
              <w:rPr>
                <w:rFonts w:ascii="Times New Roman" w:hAnsi="Times New Roman" w:eastAsia="Times New Roman" w:cs="Times New Roman"/>
                <w:color w:val="auto"/>
                <w:highlight w:val="none"/>
                <w:u w:val="none" w:color="auto"/>
              </w:rPr>
              <w:t>OTIS</w:t>
            </w:r>
            <w:r>
              <w:rPr>
                <w:rFonts w:ascii="Times New Roman" w:hAnsi="Times New Roman" w:eastAsia="Times New Roman" w:cs="Times New Roman"/>
                <w:color w:val="auto"/>
                <w:spacing w:val="23"/>
                <w:highlight w:val="none"/>
                <w:u w:val="none" w:color="auto"/>
              </w:rPr>
              <w:t xml:space="preserve"> </w:t>
            </w:r>
            <w:r>
              <w:rPr>
                <w:rFonts w:ascii="Times New Roman" w:hAnsi="Times New Roman" w:eastAsia="Times New Roman" w:cs="Times New Roman"/>
                <w:color w:val="auto"/>
                <w:highlight w:val="none"/>
                <w:u w:val="none" w:color="auto"/>
              </w:rPr>
              <w:t>electric</w:t>
            </w:r>
            <w:r>
              <w:rPr>
                <w:rFonts w:ascii="Times New Roman" w:hAnsi="Times New Roman" w:eastAsia="Times New Roman" w:cs="Times New Roman"/>
                <w:color w:val="auto"/>
                <w:spacing w:val="23"/>
                <w:highlight w:val="none"/>
                <w:u w:val="none" w:color="auto"/>
              </w:rPr>
              <w:t xml:space="preserve"> </w:t>
            </w:r>
            <w:r>
              <w:rPr>
                <w:rFonts w:ascii="Times New Roman" w:hAnsi="Times New Roman" w:eastAsia="Times New Roman" w:cs="Times New Roman"/>
                <w:color w:val="auto"/>
                <w:highlight w:val="none"/>
                <w:u w:val="none" w:color="auto"/>
              </w:rPr>
              <w:t>life</w:t>
            </w:r>
          </w:p>
        </w:tc>
        <w:tc>
          <w:tcPr>
            <w:tcW w:w="863" w:type="dxa"/>
            <w:noWrap/>
            <w:vAlign w:val="center"/>
          </w:tcPr>
          <w:p w14:paraId="343EF96C">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800</w:t>
            </w:r>
          </w:p>
        </w:tc>
        <w:tc>
          <w:tcPr>
            <w:tcW w:w="1000" w:type="dxa"/>
            <w:noWrap/>
            <w:vAlign w:val="center"/>
          </w:tcPr>
          <w:p w14:paraId="2F3150A6">
            <w:pPr>
              <w:tabs>
                <w:tab w:val="left" w:pos="142"/>
              </w:tabs>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1.75</w:t>
            </w:r>
          </w:p>
        </w:tc>
        <w:tc>
          <w:tcPr>
            <w:tcW w:w="1262" w:type="dxa"/>
            <w:noWrap/>
            <w:vAlign w:val="center"/>
          </w:tcPr>
          <w:p w14:paraId="1E80EA53">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18/18/18</w:t>
            </w:r>
          </w:p>
        </w:tc>
        <w:tc>
          <w:tcPr>
            <w:tcW w:w="1400" w:type="dxa"/>
            <w:noWrap/>
            <w:vAlign w:val="center"/>
          </w:tcPr>
          <w:p w14:paraId="1888E061">
            <w:pPr>
              <w:contextualSpacing/>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180000.01</w:t>
            </w:r>
          </w:p>
        </w:tc>
        <w:tc>
          <w:tcPr>
            <w:tcW w:w="863" w:type="dxa"/>
            <w:noWrap/>
            <w:vAlign w:val="center"/>
          </w:tcPr>
          <w:p w14:paraId="0ECF20AF">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10</w:t>
            </w:r>
          </w:p>
        </w:tc>
        <w:tc>
          <w:tcPr>
            <w:tcW w:w="2671" w:type="dxa"/>
            <w:noWrap/>
            <w:vAlign w:val="center"/>
          </w:tcPr>
          <w:p w14:paraId="5BBDCF87">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1800000.1</w:t>
            </w:r>
          </w:p>
        </w:tc>
      </w:tr>
      <w:tr w14:paraId="1E0E8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625" w:type="dxa"/>
            <w:noWrap/>
            <w:vAlign w:val="center"/>
          </w:tcPr>
          <w:p w14:paraId="3686027B">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6</w:t>
            </w:r>
          </w:p>
        </w:tc>
        <w:tc>
          <w:tcPr>
            <w:tcW w:w="887" w:type="dxa"/>
            <w:noWrap/>
            <w:vAlign w:val="center"/>
          </w:tcPr>
          <w:p w14:paraId="30774106">
            <w:pPr>
              <w:contextualSpacing/>
              <w:jc w:val="center"/>
              <w:rPr>
                <w:rFonts w:ascii="Times New Roman" w:hAnsi="Times New Roman" w:eastAsia="Times New Roman" w:cs="Times New Roman"/>
                <w:color w:val="auto"/>
                <w:highlight w:val="none"/>
                <w:u w:val="none" w:color="auto"/>
              </w:rPr>
            </w:pPr>
            <w:r>
              <w:rPr>
                <w:rFonts w:ascii="Times New Roman" w:hAnsi="Times New Roman" w:eastAsia="Times New Roman" w:cs="Times New Roman"/>
                <w:color w:val="auto"/>
                <w:highlight w:val="none"/>
                <w:u w:val="none" w:color="auto"/>
              </w:rPr>
              <w:t>OTIS</w:t>
            </w:r>
            <w:r>
              <w:rPr>
                <w:rFonts w:ascii="Times New Roman" w:hAnsi="Times New Roman" w:eastAsia="Times New Roman" w:cs="Times New Roman"/>
                <w:color w:val="auto"/>
                <w:spacing w:val="23"/>
                <w:highlight w:val="none"/>
                <w:u w:val="none" w:color="auto"/>
              </w:rPr>
              <w:t xml:space="preserve"> </w:t>
            </w:r>
            <w:r>
              <w:rPr>
                <w:rFonts w:ascii="Times New Roman" w:hAnsi="Times New Roman" w:eastAsia="Times New Roman" w:cs="Times New Roman"/>
                <w:color w:val="auto"/>
                <w:highlight w:val="none"/>
                <w:u w:val="none" w:color="auto"/>
              </w:rPr>
              <w:t>electric</w:t>
            </w:r>
            <w:r>
              <w:rPr>
                <w:rFonts w:ascii="Times New Roman" w:hAnsi="Times New Roman" w:eastAsia="Times New Roman" w:cs="Times New Roman"/>
                <w:color w:val="auto"/>
                <w:spacing w:val="23"/>
                <w:highlight w:val="none"/>
                <w:u w:val="none" w:color="auto"/>
              </w:rPr>
              <w:t xml:space="preserve"> </w:t>
            </w:r>
            <w:r>
              <w:rPr>
                <w:rFonts w:ascii="Times New Roman" w:hAnsi="Times New Roman" w:eastAsia="Times New Roman" w:cs="Times New Roman"/>
                <w:color w:val="auto"/>
                <w:highlight w:val="none"/>
                <w:u w:val="none" w:color="auto"/>
              </w:rPr>
              <w:t>life</w:t>
            </w:r>
          </w:p>
        </w:tc>
        <w:tc>
          <w:tcPr>
            <w:tcW w:w="863" w:type="dxa"/>
            <w:noWrap/>
            <w:vAlign w:val="center"/>
          </w:tcPr>
          <w:p w14:paraId="2A2EF14B">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800</w:t>
            </w:r>
          </w:p>
        </w:tc>
        <w:tc>
          <w:tcPr>
            <w:tcW w:w="1000" w:type="dxa"/>
            <w:noWrap/>
            <w:vAlign w:val="center"/>
          </w:tcPr>
          <w:p w14:paraId="5C5B6C06">
            <w:pPr>
              <w:tabs>
                <w:tab w:val="left" w:pos="142"/>
              </w:tabs>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1.75</w:t>
            </w:r>
          </w:p>
        </w:tc>
        <w:tc>
          <w:tcPr>
            <w:tcW w:w="1262" w:type="dxa"/>
            <w:noWrap/>
            <w:vAlign w:val="center"/>
          </w:tcPr>
          <w:p w14:paraId="3DF7BC8E">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17/17/17</w:t>
            </w:r>
          </w:p>
        </w:tc>
        <w:tc>
          <w:tcPr>
            <w:tcW w:w="1400" w:type="dxa"/>
            <w:noWrap/>
            <w:vAlign w:val="center"/>
          </w:tcPr>
          <w:p w14:paraId="777FF72A">
            <w:pPr>
              <w:contextualSpacing/>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180000.01</w:t>
            </w:r>
          </w:p>
        </w:tc>
        <w:tc>
          <w:tcPr>
            <w:tcW w:w="863" w:type="dxa"/>
            <w:noWrap/>
            <w:vAlign w:val="center"/>
          </w:tcPr>
          <w:p w14:paraId="08E340F4">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w:t>
            </w:r>
          </w:p>
        </w:tc>
        <w:tc>
          <w:tcPr>
            <w:tcW w:w="2671" w:type="dxa"/>
            <w:noWrap/>
            <w:vAlign w:val="center"/>
          </w:tcPr>
          <w:p w14:paraId="42C9CE42">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180000.01</w:t>
            </w:r>
          </w:p>
        </w:tc>
      </w:tr>
      <w:tr w14:paraId="3073A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625" w:type="dxa"/>
            <w:noWrap/>
            <w:vAlign w:val="center"/>
          </w:tcPr>
          <w:p w14:paraId="2D657A2D">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7</w:t>
            </w:r>
          </w:p>
        </w:tc>
        <w:tc>
          <w:tcPr>
            <w:tcW w:w="887" w:type="dxa"/>
            <w:noWrap/>
            <w:vAlign w:val="center"/>
          </w:tcPr>
          <w:p w14:paraId="73A35711">
            <w:pPr>
              <w:contextualSpacing/>
              <w:jc w:val="center"/>
              <w:rPr>
                <w:rFonts w:ascii="Times New Roman" w:hAnsi="Times New Roman" w:eastAsia="Times New Roman" w:cs="Times New Roman"/>
                <w:color w:val="auto"/>
                <w:highlight w:val="none"/>
                <w:u w:val="none" w:color="auto"/>
              </w:rPr>
            </w:pPr>
            <w:r>
              <w:rPr>
                <w:rFonts w:ascii="Times New Roman" w:hAnsi="Times New Roman" w:eastAsia="Times New Roman" w:cs="Times New Roman"/>
                <w:color w:val="auto"/>
                <w:highlight w:val="none"/>
                <w:u w:val="none" w:color="auto"/>
              </w:rPr>
              <w:t>OTIS</w:t>
            </w:r>
            <w:r>
              <w:rPr>
                <w:rFonts w:ascii="Times New Roman" w:hAnsi="Times New Roman" w:eastAsia="Times New Roman" w:cs="Times New Roman"/>
                <w:color w:val="auto"/>
                <w:spacing w:val="23"/>
                <w:highlight w:val="none"/>
                <w:u w:val="none" w:color="auto"/>
              </w:rPr>
              <w:t xml:space="preserve"> </w:t>
            </w:r>
            <w:r>
              <w:rPr>
                <w:rFonts w:ascii="Times New Roman" w:hAnsi="Times New Roman" w:eastAsia="Times New Roman" w:cs="Times New Roman"/>
                <w:color w:val="auto"/>
                <w:highlight w:val="none"/>
                <w:u w:val="none" w:color="auto"/>
              </w:rPr>
              <w:t>electric</w:t>
            </w:r>
            <w:r>
              <w:rPr>
                <w:rFonts w:ascii="Times New Roman" w:hAnsi="Times New Roman" w:eastAsia="Times New Roman" w:cs="Times New Roman"/>
                <w:color w:val="auto"/>
                <w:spacing w:val="23"/>
                <w:highlight w:val="none"/>
                <w:u w:val="none" w:color="auto"/>
              </w:rPr>
              <w:t xml:space="preserve"> </w:t>
            </w:r>
            <w:r>
              <w:rPr>
                <w:rFonts w:ascii="Times New Roman" w:hAnsi="Times New Roman" w:eastAsia="Times New Roman" w:cs="Times New Roman"/>
                <w:color w:val="auto"/>
                <w:highlight w:val="none"/>
                <w:u w:val="none" w:color="auto"/>
              </w:rPr>
              <w:t>life</w:t>
            </w:r>
          </w:p>
        </w:tc>
        <w:tc>
          <w:tcPr>
            <w:tcW w:w="863" w:type="dxa"/>
            <w:noWrap/>
            <w:vAlign w:val="center"/>
          </w:tcPr>
          <w:p w14:paraId="0778678E">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800</w:t>
            </w:r>
          </w:p>
        </w:tc>
        <w:tc>
          <w:tcPr>
            <w:tcW w:w="1000" w:type="dxa"/>
            <w:noWrap/>
            <w:vAlign w:val="center"/>
          </w:tcPr>
          <w:p w14:paraId="05128A5E">
            <w:pPr>
              <w:tabs>
                <w:tab w:val="left" w:pos="142"/>
              </w:tabs>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1.75</w:t>
            </w:r>
          </w:p>
        </w:tc>
        <w:tc>
          <w:tcPr>
            <w:tcW w:w="1262" w:type="dxa"/>
            <w:noWrap/>
            <w:vAlign w:val="center"/>
          </w:tcPr>
          <w:p w14:paraId="11FAC781">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19/19/19</w:t>
            </w:r>
          </w:p>
        </w:tc>
        <w:tc>
          <w:tcPr>
            <w:tcW w:w="1400" w:type="dxa"/>
            <w:noWrap/>
            <w:vAlign w:val="center"/>
          </w:tcPr>
          <w:p w14:paraId="2C0410F8">
            <w:pPr>
              <w:contextualSpacing/>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250000.01</w:t>
            </w:r>
          </w:p>
        </w:tc>
        <w:tc>
          <w:tcPr>
            <w:tcW w:w="863" w:type="dxa"/>
            <w:noWrap/>
            <w:vAlign w:val="center"/>
          </w:tcPr>
          <w:p w14:paraId="4B792BC2">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4</w:t>
            </w:r>
          </w:p>
        </w:tc>
        <w:tc>
          <w:tcPr>
            <w:tcW w:w="2671" w:type="dxa"/>
            <w:noWrap/>
            <w:vAlign w:val="center"/>
          </w:tcPr>
          <w:p w14:paraId="193535D5">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1000000.04</w:t>
            </w:r>
          </w:p>
        </w:tc>
      </w:tr>
      <w:tr w14:paraId="1A914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625" w:type="dxa"/>
            <w:noWrap/>
            <w:vAlign w:val="center"/>
          </w:tcPr>
          <w:p w14:paraId="7101DEC1">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8</w:t>
            </w:r>
          </w:p>
        </w:tc>
        <w:tc>
          <w:tcPr>
            <w:tcW w:w="887" w:type="dxa"/>
            <w:shd w:val="clear" w:color="auto" w:fill="auto"/>
            <w:noWrap/>
            <w:vAlign w:val="center"/>
          </w:tcPr>
          <w:p w14:paraId="1004B3DA">
            <w:pPr>
              <w:contextualSpacing/>
              <w:jc w:val="center"/>
              <w:rPr>
                <w:rFonts w:ascii="Times New Roman" w:hAnsi="Times New Roman" w:eastAsia="Times New Roman" w:cs="Times New Roman"/>
                <w:color w:val="auto"/>
                <w:sz w:val="21"/>
                <w:szCs w:val="24"/>
                <w:highlight w:val="none"/>
                <w:u w:val="none" w:color="auto"/>
                <w:lang w:val="en-US" w:eastAsia="zh-CN" w:bidi="ar-SA"/>
              </w:rPr>
            </w:pPr>
            <w:r>
              <w:rPr>
                <w:rFonts w:ascii="Times New Roman" w:hAnsi="Times New Roman" w:eastAsia="Times New Roman" w:cs="Times New Roman"/>
                <w:color w:val="auto"/>
                <w:highlight w:val="none"/>
                <w:u w:val="none" w:color="auto"/>
              </w:rPr>
              <w:t>OTIS</w:t>
            </w:r>
            <w:r>
              <w:rPr>
                <w:rFonts w:ascii="Times New Roman" w:hAnsi="Times New Roman" w:eastAsia="Times New Roman" w:cs="Times New Roman"/>
                <w:color w:val="auto"/>
                <w:spacing w:val="23"/>
                <w:highlight w:val="none"/>
                <w:u w:val="none" w:color="auto"/>
              </w:rPr>
              <w:t xml:space="preserve"> </w:t>
            </w:r>
            <w:r>
              <w:rPr>
                <w:rFonts w:ascii="Times New Roman" w:hAnsi="Times New Roman" w:eastAsia="Times New Roman" w:cs="Times New Roman"/>
                <w:color w:val="auto"/>
                <w:highlight w:val="none"/>
                <w:u w:val="none" w:color="auto"/>
              </w:rPr>
              <w:t>electric</w:t>
            </w:r>
            <w:r>
              <w:rPr>
                <w:rFonts w:ascii="Times New Roman" w:hAnsi="Times New Roman" w:eastAsia="Times New Roman" w:cs="Times New Roman"/>
                <w:color w:val="auto"/>
                <w:spacing w:val="23"/>
                <w:highlight w:val="none"/>
                <w:u w:val="none" w:color="auto"/>
              </w:rPr>
              <w:t xml:space="preserve"> </w:t>
            </w:r>
            <w:r>
              <w:rPr>
                <w:rFonts w:ascii="Times New Roman" w:hAnsi="Times New Roman" w:eastAsia="Times New Roman" w:cs="Times New Roman"/>
                <w:color w:val="auto"/>
                <w:highlight w:val="none"/>
                <w:u w:val="none" w:color="auto"/>
              </w:rPr>
              <w:t>life</w:t>
            </w:r>
          </w:p>
        </w:tc>
        <w:tc>
          <w:tcPr>
            <w:tcW w:w="863" w:type="dxa"/>
            <w:shd w:val="clear" w:color="auto" w:fill="auto"/>
            <w:noWrap/>
            <w:vAlign w:val="center"/>
          </w:tcPr>
          <w:p w14:paraId="63BC8B75">
            <w:pPr>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highlight w:val="none"/>
                <w:lang w:val="en-US" w:eastAsia="zh-CN"/>
              </w:rPr>
              <w:t>800</w:t>
            </w:r>
          </w:p>
        </w:tc>
        <w:tc>
          <w:tcPr>
            <w:tcW w:w="1000" w:type="dxa"/>
            <w:shd w:val="clear" w:color="auto" w:fill="auto"/>
            <w:noWrap/>
            <w:vAlign w:val="center"/>
          </w:tcPr>
          <w:p w14:paraId="7424A8A6">
            <w:pPr>
              <w:tabs>
                <w:tab w:val="left" w:pos="142"/>
              </w:tabs>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highlight w:val="none"/>
                <w:lang w:val="en-US" w:eastAsia="zh-CN"/>
              </w:rPr>
              <w:t>1.75</w:t>
            </w:r>
          </w:p>
        </w:tc>
        <w:tc>
          <w:tcPr>
            <w:tcW w:w="1262" w:type="dxa"/>
            <w:noWrap/>
            <w:vAlign w:val="center"/>
          </w:tcPr>
          <w:p w14:paraId="63437794">
            <w:pPr>
              <w:contextualSpacing/>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22/22/22</w:t>
            </w:r>
          </w:p>
        </w:tc>
        <w:tc>
          <w:tcPr>
            <w:tcW w:w="1400" w:type="dxa"/>
            <w:shd w:val="clear" w:color="auto" w:fill="auto"/>
            <w:noWrap/>
            <w:vAlign w:val="center"/>
          </w:tcPr>
          <w:p w14:paraId="64164F54">
            <w:pPr>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highlight w:val="none"/>
                <w:lang w:val="en-US" w:eastAsia="zh-CN"/>
              </w:rPr>
              <w:t>250000.01</w:t>
            </w:r>
          </w:p>
        </w:tc>
        <w:tc>
          <w:tcPr>
            <w:tcW w:w="863" w:type="dxa"/>
            <w:shd w:val="clear" w:color="auto" w:fill="auto"/>
            <w:noWrap/>
            <w:vAlign w:val="center"/>
          </w:tcPr>
          <w:p w14:paraId="20AB4B38">
            <w:pPr>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highlight w:val="none"/>
                <w:lang w:val="en-US" w:eastAsia="zh-CN"/>
              </w:rPr>
              <w:t>4</w:t>
            </w:r>
          </w:p>
        </w:tc>
        <w:tc>
          <w:tcPr>
            <w:tcW w:w="2671" w:type="dxa"/>
            <w:shd w:val="clear" w:color="auto" w:fill="auto"/>
            <w:noWrap/>
            <w:vAlign w:val="center"/>
          </w:tcPr>
          <w:p w14:paraId="67FF9630">
            <w:pPr>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highlight w:val="none"/>
                <w:lang w:val="en-US" w:eastAsia="zh-CN"/>
              </w:rPr>
              <w:t>1000000.04</w:t>
            </w:r>
          </w:p>
        </w:tc>
      </w:tr>
      <w:tr w14:paraId="3BD75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8" w:hRule="atLeast"/>
          <w:jc w:val="center"/>
        </w:trPr>
        <w:tc>
          <w:tcPr>
            <w:tcW w:w="9571" w:type="dxa"/>
            <w:gridSpan w:val="8"/>
            <w:noWrap/>
            <w:vAlign w:val="center"/>
          </w:tcPr>
          <w:p w14:paraId="16D62B90">
            <w:pPr>
              <w:contextualSpacing/>
              <w:jc w:val="righ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总计：</w:t>
            </w:r>
            <w:r>
              <w:rPr>
                <w:rFonts w:hint="eastAsia" w:ascii="宋体" w:hAnsi="宋体" w:cs="宋体"/>
                <w:color w:val="auto"/>
                <w:sz w:val="24"/>
                <w:highlight w:val="none"/>
                <w:lang w:val="en-US" w:eastAsia="zh-CN"/>
              </w:rPr>
              <w:t>6680000.36</w:t>
            </w:r>
            <w:r>
              <w:rPr>
                <w:rFonts w:hint="eastAsia" w:ascii="宋体" w:hAnsi="宋体" w:cs="宋体"/>
                <w:color w:val="auto"/>
                <w:sz w:val="24"/>
                <w:highlight w:val="none"/>
              </w:rPr>
              <w:t xml:space="preserve"> 元</w:t>
            </w:r>
            <w:r>
              <w:rPr>
                <w:rFonts w:hint="eastAsia" w:ascii="宋体" w:hAnsi="宋体" w:cs="宋体"/>
                <w:color w:val="auto"/>
                <w:sz w:val="24"/>
                <w:highlight w:val="none"/>
                <w:lang w:eastAsia="zh-CN"/>
              </w:rPr>
              <w:t>，</w:t>
            </w:r>
            <w:r>
              <w:rPr>
                <w:rFonts w:hint="eastAsia" w:ascii="宋体" w:hAnsi="宋体" w:cs="宋体"/>
                <w:color w:val="auto"/>
                <w:sz w:val="24"/>
                <w:highlight w:val="none"/>
              </w:rPr>
              <w:t>大写人民币：</w:t>
            </w:r>
            <w:r>
              <w:rPr>
                <w:rFonts w:hint="eastAsia" w:ascii="宋体" w:hAnsi="宋体" w:cs="宋体"/>
                <w:color w:val="auto"/>
                <w:sz w:val="24"/>
                <w:highlight w:val="none"/>
                <w:lang w:val="en-US" w:eastAsia="zh-CN"/>
              </w:rPr>
              <w:t>陆佰陆拾捌万元叁角陆分</w:t>
            </w:r>
            <w:r>
              <w:rPr>
                <w:rFonts w:hint="eastAsia" w:ascii="宋体" w:hAnsi="宋体" w:cs="宋体"/>
                <w:color w:val="auto"/>
                <w:sz w:val="24"/>
                <w:highlight w:val="none"/>
              </w:rPr>
              <w:t>元整</w:t>
            </w:r>
            <w:r>
              <w:rPr>
                <w:rFonts w:hint="eastAsia" w:ascii="宋体" w:hAnsi="宋体" w:cs="宋体"/>
                <w:color w:val="auto"/>
                <w:sz w:val="24"/>
                <w:highlight w:val="none"/>
                <w:lang w:eastAsia="zh-CN"/>
              </w:rPr>
              <w:t>）</w:t>
            </w:r>
          </w:p>
        </w:tc>
      </w:tr>
    </w:tbl>
    <w:p w14:paraId="4FEDAD5E">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本合同共计</w:t>
      </w:r>
      <w:r>
        <w:rPr>
          <w:rFonts w:hint="eastAsia" w:ascii="宋体" w:hAnsi="宋体" w:cs="宋体"/>
          <w:color w:val="auto"/>
          <w:sz w:val="24"/>
          <w:highlight w:val="none"/>
          <w:u w:val="single"/>
          <w:lang w:val="en-US" w:eastAsia="zh-CN"/>
        </w:rPr>
        <w:t>36</w:t>
      </w:r>
      <w:r>
        <w:rPr>
          <w:rFonts w:hint="eastAsia" w:ascii="宋体" w:hAnsi="宋体" w:cs="宋体"/>
          <w:color w:val="auto"/>
          <w:sz w:val="24"/>
          <w:highlight w:val="none"/>
        </w:rPr>
        <w:t xml:space="preserve">台；总价款为 </w:t>
      </w:r>
      <w:r>
        <w:rPr>
          <w:rFonts w:hint="eastAsia" w:ascii="宋体" w:hAnsi="宋体" w:cs="宋体"/>
          <w:color w:val="auto"/>
          <w:sz w:val="24"/>
          <w:highlight w:val="none"/>
          <w:u w:val="single"/>
        </w:rPr>
        <w:t>￥</w:t>
      </w:r>
      <w:r>
        <w:rPr>
          <w:rFonts w:hint="eastAsia" w:ascii="宋体" w:hAnsi="宋体" w:cs="宋体"/>
          <w:color w:val="auto"/>
          <w:sz w:val="24"/>
          <w:highlight w:val="none"/>
          <w:u w:val="single"/>
          <w:lang w:val="en-US" w:eastAsia="zh-CN"/>
        </w:rPr>
        <w:t>6680000.36</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元整。（大写人民币：</w:t>
      </w:r>
      <w:r>
        <w:rPr>
          <w:rFonts w:hint="eastAsia" w:ascii="宋体" w:hAnsi="宋体" w:cs="宋体"/>
          <w:color w:val="auto"/>
          <w:sz w:val="24"/>
          <w:highlight w:val="none"/>
          <w:lang w:eastAsia="zh-CN"/>
        </w:rPr>
        <w:t>陆佰陆拾捌万元叁角陆分</w:t>
      </w:r>
      <w:r>
        <w:rPr>
          <w:rFonts w:hint="eastAsia" w:ascii="宋体" w:hAnsi="宋体" w:cs="宋体"/>
          <w:color w:val="auto"/>
          <w:sz w:val="24"/>
          <w:highlight w:val="none"/>
        </w:rPr>
        <w:t>整）。其中：设备价格</w:t>
      </w:r>
      <w:r>
        <w:rPr>
          <w:rFonts w:hint="eastAsia" w:ascii="宋体" w:hAnsi="宋体" w:cs="宋体"/>
          <w:color w:val="auto"/>
          <w:sz w:val="24"/>
          <w:highlight w:val="none"/>
          <w:u w:val="single"/>
        </w:rPr>
        <w:t>￥</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rPr>
        <w:t>元整，安装价格（含井道整改等）</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元整；超长期国债政府补贴为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5500000</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元整（大写人民币：</w:t>
      </w:r>
      <w:r>
        <w:rPr>
          <w:rFonts w:hint="eastAsia" w:ascii="宋体" w:hAnsi="宋体" w:cs="宋体"/>
          <w:color w:val="auto"/>
          <w:sz w:val="24"/>
          <w:highlight w:val="none"/>
          <w:lang w:eastAsia="zh-CN"/>
        </w:rPr>
        <w:t>伍佰伍拾万</w:t>
      </w:r>
      <w:r>
        <w:rPr>
          <w:rFonts w:hint="eastAsia" w:ascii="宋体" w:hAnsi="宋体" w:cs="宋体"/>
          <w:color w:val="auto"/>
          <w:sz w:val="24"/>
          <w:highlight w:val="none"/>
        </w:rPr>
        <w:t xml:space="preserve">元整）； </w:t>
      </w:r>
    </w:p>
    <w:p w14:paraId="0D344849">
      <w:pPr>
        <w:spacing w:line="520" w:lineRule="exact"/>
        <w:ind w:firstLine="480"/>
        <w:rPr>
          <w:rFonts w:ascii="宋体" w:hAnsi="宋体" w:cs="宋体"/>
          <w:color w:val="auto"/>
          <w:sz w:val="24"/>
          <w:highlight w:val="none"/>
        </w:rPr>
      </w:pPr>
      <w:r>
        <w:rPr>
          <w:rFonts w:hint="eastAsia" w:ascii="宋体" w:hAnsi="宋体" w:cs="宋体"/>
          <w:color w:val="auto"/>
          <w:sz w:val="24"/>
          <w:highlight w:val="none"/>
        </w:rPr>
        <w:t>本合同总价款包括：</w:t>
      </w:r>
    </w:p>
    <w:p w14:paraId="3C23EA0E">
      <w:pPr>
        <w:spacing w:line="520" w:lineRule="exact"/>
        <w:ind w:firstLine="480"/>
        <w:rPr>
          <w:rFonts w:ascii="宋体" w:hAnsi="宋体" w:cs="宋体"/>
          <w:color w:val="auto"/>
          <w:sz w:val="24"/>
          <w:highlight w:val="none"/>
        </w:rPr>
      </w:pPr>
      <w:r>
        <w:rPr>
          <w:rFonts w:hint="eastAsia" w:ascii="宋体" w:hAnsi="宋体" w:cs="宋体"/>
          <w:color w:val="auto"/>
          <w:sz w:val="24"/>
          <w:highlight w:val="none"/>
        </w:rPr>
        <w:t>1、包括安全评估、井道整改、机房整改、旧梯拆除及运输存放、工程设计、基坑渗水处理、集水坑排污泵</w:t>
      </w:r>
      <w:r>
        <w:rPr>
          <w:rFonts w:hint="eastAsia" w:ascii="宋体" w:hAnsi="宋体" w:cs="宋体"/>
          <w:b w:val="0"/>
          <w:bCs w:val="0"/>
          <w:color w:val="auto"/>
          <w:sz w:val="24"/>
          <w:highlight w:val="none"/>
        </w:rPr>
        <w:t>维修、机房排风扇维修、土建施工、门套根据现场情况整修（首层出新）、增设残疾人按钮、机房无尘处理、机房更换钢制防火门（根据现场实际情况）、电梯设备及运输、运输保险、卸货、电梯设备安装调试</w:t>
      </w:r>
      <w:r>
        <w:rPr>
          <w:rFonts w:hint="eastAsia" w:ascii="宋体" w:hAnsi="宋体" w:cs="宋体"/>
          <w:color w:val="auto"/>
          <w:sz w:val="24"/>
          <w:highlight w:val="none"/>
        </w:rPr>
        <w:t>、原厂质保、全包维保及检验检测等。</w:t>
      </w:r>
    </w:p>
    <w:p w14:paraId="3D2FC07C">
      <w:pPr>
        <w:spacing w:line="520" w:lineRule="exact"/>
        <w:ind w:firstLine="480"/>
        <w:rPr>
          <w:rFonts w:ascii="宋体" w:hAnsi="宋体" w:cs="宋体"/>
          <w:color w:val="auto"/>
          <w:sz w:val="24"/>
          <w:highlight w:val="none"/>
        </w:rPr>
      </w:pPr>
      <w:r>
        <w:rPr>
          <w:rFonts w:hint="eastAsia" w:ascii="宋体" w:hAnsi="宋体" w:cs="宋体"/>
          <w:color w:val="auto"/>
          <w:sz w:val="24"/>
          <w:highlight w:val="none"/>
        </w:rPr>
        <w:t>2、电梯新梯验收费用乙方承担。</w:t>
      </w:r>
    </w:p>
    <w:p w14:paraId="7124F8EF">
      <w:pPr>
        <w:pStyle w:val="17"/>
        <w:spacing w:line="520" w:lineRule="exact"/>
        <w:ind w:left="-359" w:firstLine="825"/>
        <w:rPr>
          <w:rFonts w:hAnsi="宋体" w:cs="宋体"/>
          <w:b/>
          <w:bCs/>
          <w:color w:val="auto"/>
          <w:sz w:val="24"/>
          <w:szCs w:val="24"/>
          <w:highlight w:val="none"/>
        </w:rPr>
      </w:pPr>
      <w:r>
        <w:rPr>
          <w:rFonts w:hint="eastAsia" w:hAnsi="宋体" w:cs="宋体"/>
          <w:bCs/>
          <w:color w:val="auto"/>
          <w:sz w:val="24"/>
          <w:szCs w:val="24"/>
          <w:highlight w:val="none"/>
        </w:rPr>
        <w:t>三、</w:t>
      </w:r>
      <w:r>
        <w:rPr>
          <w:rFonts w:hint="eastAsia" w:hAnsi="宋体" w:cs="宋体"/>
          <w:color w:val="auto"/>
          <w:sz w:val="24"/>
          <w:szCs w:val="24"/>
          <w:highlight w:val="none"/>
        </w:rPr>
        <w:t>供货时间和地点</w:t>
      </w:r>
    </w:p>
    <w:p w14:paraId="235D0248">
      <w:pPr>
        <w:spacing w:line="520" w:lineRule="exact"/>
        <w:ind w:firstLine="480"/>
        <w:rPr>
          <w:rFonts w:hint="eastAsia" w:ascii="宋体" w:hAnsi="宋体" w:cs="宋体"/>
          <w:color w:val="auto"/>
          <w:sz w:val="24"/>
          <w:highlight w:val="none"/>
        </w:rPr>
      </w:pPr>
      <w:r>
        <w:rPr>
          <w:rFonts w:hint="eastAsia" w:ascii="宋体" w:hAnsi="宋体" w:cs="宋体"/>
          <w:color w:val="auto"/>
          <w:sz w:val="24"/>
          <w:highlight w:val="none"/>
        </w:rPr>
        <w:t>（一）供货期限：合同签订生效后，60个日历天完成生产</w:t>
      </w:r>
      <w:r>
        <w:rPr>
          <w:rFonts w:hint="eastAsia" w:ascii="宋体" w:hAnsi="宋体" w:cs="宋体"/>
          <w:color w:val="auto"/>
          <w:sz w:val="24"/>
          <w:highlight w:val="none"/>
          <w:lang w:eastAsia="zh-CN"/>
        </w:rPr>
        <w:t>、</w:t>
      </w:r>
      <w:r>
        <w:rPr>
          <w:rFonts w:hint="eastAsia" w:ascii="宋体" w:hAnsi="宋体" w:cs="宋体"/>
          <w:color w:val="auto"/>
          <w:sz w:val="24"/>
          <w:highlight w:val="none"/>
        </w:rPr>
        <w:t>旧梯拆除、原井道及机房改造、安装</w:t>
      </w:r>
      <w:r>
        <w:rPr>
          <w:rFonts w:hint="eastAsia" w:ascii="宋体" w:hAnsi="宋体" w:cs="宋体"/>
          <w:color w:val="auto"/>
          <w:sz w:val="24"/>
          <w:highlight w:val="none"/>
          <w:lang w:eastAsia="zh-CN"/>
        </w:rPr>
        <w:t>、</w:t>
      </w:r>
      <w:r>
        <w:rPr>
          <w:rFonts w:hint="eastAsia" w:ascii="宋体" w:hAnsi="宋体" w:cs="宋体"/>
          <w:color w:val="auto"/>
          <w:sz w:val="24"/>
          <w:highlight w:val="none"/>
        </w:rPr>
        <w:t>调试验收。</w:t>
      </w:r>
    </w:p>
    <w:p w14:paraId="5355B303">
      <w:pPr>
        <w:spacing w:line="520" w:lineRule="exact"/>
        <w:ind w:firstLine="480"/>
        <w:rPr>
          <w:rFonts w:hint="eastAsia" w:ascii="宋体" w:hAnsi="宋体" w:cs="宋体"/>
          <w:color w:val="auto"/>
          <w:sz w:val="24"/>
          <w:highlight w:val="none"/>
        </w:rPr>
      </w:pPr>
      <w:r>
        <w:rPr>
          <w:rFonts w:hint="eastAsia" w:ascii="宋体" w:hAnsi="宋体" w:cs="宋体"/>
          <w:color w:val="auto"/>
          <w:sz w:val="24"/>
          <w:highlight w:val="none"/>
        </w:rPr>
        <w:t>（二）</w:t>
      </w:r>
      <w:r>
        <w:rPr>
          <w:rFonts w:hint="eastAsia" w:ascii="宋体" w:hAnsi="宋体" w:cs="宋体"/>
          <w:color w:val="auto"/>
          <w:sz w:val="24"/>
          <w:highlight w:val="none"/>
          <w:lang w:val="en-US" w:eastAsia="zh-CN"/>
        </w:rPr>
        <w:t>现场施工</w:t>
      </w:r>
      <w:r>
        <w:rPr>
          <w:rFonts w:hint="eastAsia" w:ascii="宋体" w:hAnsi="宋体" w:cs="宋体"/>
          <w:color w:val="auto"/>
          <w:sz w:val="24"/>
          <w:highlight w:val="none"/>
        </w:rPr>
        <w:t>：</w:t>
      </w:r>
      <w:r>
        <w:rPr>
          <w:rFonts w:hint="eastAsia" w:ascii="宋体" w:hAnsi="宋体" w:cs="宋体"/>
          <w:color w:val="auto"/>
          <w:sz w:val="24"/>
          <w:highlight w:val="none"/>
        </w:rPr>
        <w:t xml:space="preserve">为方便群众出行，中标单位应采取切实可行的措施加快施工进度，做到安装好一台、检验一台、合格一台、立即投入使用一台，调试、检验及验收时间均计入合同总工期。                             </w:t>
      </w:r>
    </w:p>
    <w:p w14:paraId="342311A2">
      <w:pPr>
        <w:spacing w:line="520" w:lineRule="exact"/>
        <w:ind w:firstLine="480"/>
        <w:rPr>
          <w:rFonts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三</w:t>
      </w:r>
      <w:r>
        <w:rPr>
          <w:rFonts w:hint="eastAsia" w:ascii="宋体" w:hAnsi="宋体" w:cs="宋体"/>
          <w:color w:val="auto"/>
          <w:sz w:val="24"/>
          <w:highlight w:val="none"/>
        </w:rPr>
        <w:t xml:space="preserve">）供货地点:由采购人指定。    </w:t>
      </w:r>
    </w:p>
    <w:p w14:paraId="52EAF8E6">
      <w:pPr>
        <w:spacing w:line="520" w:lineRule="exact"/>
        <w:ind w:firstLine="480"/>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四</w:t>
      </w:r>
      <w:r>
        <w:rPr>
          <w:rFonts w:hint="eastAsia" w:ascii="宋体" w:hAnsi="宋体" w:cs="宋体"/>
          <w:color w:val="auto"/>
          <w:sz w:val="24"/>
          <w:highlight w:val="none"/>
        </w:rPr>
        <w:t>）免费原厂整机质保和全包维保：</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年，维保要求满足采购需求内容。</w:t>
      </w:r>
    </w:p>
    <w:p w14:paraId="3CFA0946">
      <w:pPr>
        <w:pStyle w:val="17"/>
        <w:spacing w:line="520" w:lineRule="exact"/>
        <w:ind w:left="-357" w:firstLine="825"/>
        <w:rPr>
          <w:rFonts w:hAnsi="宋体" w:cs="宋体"/>
          <w:color w:val="auto"/>
          <w:sz w:val="24"/>
          <w:szCs w:val="24"/>
          <w:highlight w:val="none"/>
        </w:rPr>
      </w:pPr>
      <w:r>
        <w:rPr>
          <w:rFonts w:hint="eastAsia" w:hAnsi="宋体" w:cs="宋体"/>
          <w:color w:val="auto"/>
          <w:sz w:val="24"/>
          <w:szCs w:val="24"/>
          <w:highlight w:val="none"/>
        </w:rPr>
        <w:t>四、付款</w:t>
      </w:r>
    </w:p>
    <w:p w14:paraId="5AC9C63A">
      <w:pPr>
        <w:spacing w:line="520" w:lineRule="exact"/>
        <w:ind w:firstLine="480"/>
        <w:rPr>
          <w:rFonts w:ascii="宋体" w:hAnsi="宋体" w:cs="宋体"/>
          <w:color w:val="auto"/>
          <w:sz w:val="24"/>
          <w:highlight w:val="none"/>
        </w:rPr>
      </w:pPr>
      <w:r>
        <w:rPr>
          <w:rFonts w:hint="eastAsia" w:ascii="宋体" w:hAnsi="宋体" w:cs="宋体"/>
          <w:color w:val="auto"/>
          <w:sz w:val="24"/>
          <w:highlight w:val="none"/>
        </w:rPr>
        <w:t>合同签订后，设备安装调试全部完成，经</w:t>
      </w:r>
      <w:bookmarkStart w:id="0" w:name="OLE_LINK5"/>
      <w:r>
        <w:rPr>
          <w:rFonts w:hint="eastAsia" w:ascii="宋体" w:hAnsi="宋体" w:cs="宋体"/>
          <w:color w:val="auto"/>
          <w:sz w:val="24"/>
          <w:highlight w:val="none"/>
        </w:rPr>
        <w:t>特种设备安全监督管理的部门验收合格</w:t>
      </w:r>
      <w:bookmarkEnd w:id="0"/>
      <w:r>
        <w:rPr>
          <w:rFonts w:hint="eastAsia" w:ascii="宋体" w:hAnsi="宋体" w:cs="宋体"/>
          <w:color w:val="auto"/>
          <w:sz w:val="24"/>
          <w:highlight w:val="none"/>
        </w:rPr>
        <w:t>资金到位后付至合同总价100%。</w:t>
      </w:r>
    </w:p>
    <w:p w14:paraId="4CAD72E1">
      <w:pPr>
        <w:spacing w:line="520" w:lineRule="exact"/>
        <w:ind w:firstLine="480"/>
        <w:rPr>
          <w:rFonts w:ascii="宋体" w:hAnsi="宋体" w:cs="宋体"/>
          <w:color w:val="auto"/>
          <w:sz w:val="24"/>
          <w:highlight w:val="none"/>
        </w:rPr>
      </w:pPr>
      <w:r>
        <w:rPr>
          <w:rFonts w:hint="eastAsia" w:ascii="宋体" w:hAnsi="宋体" w:cs="宋体"/>
          <w:color w:val="auto"/>
          <w:sz w:val="24"/>
          <w:highlight w:val="none"/>
        </w:rPr>
        <w:t>注：</w:t>
      </w:r>
    </w:p>
    <w:p w14:paraId="50A9C534">
      <w:pPr>
        <w:spacing w:line="520" w:lineRule="exact"/>
        <w:ind w:firstLine="480"/>
        <w:rPr>
          <w:rFonts w:ascii="宋体" w:hAnsi="宋体" w:cs="宋体"/>
          <w:b w:val="0"/>
          <w:bCs w:val="0"/>
          <w:color w:val="auto"/>
          <w:sz w:val="24"/>
          <w:highlight w:val="none"/>
        </w:rPr>
      </w:pPr>
      <w:r>
        <w:rPr>
          <w:rFonts w:hint="eastAsia" w:ascii="宋体" w:hAnsi="宋体" w:cs="宋体"/>
          <w:b w:val="0"/>
          <w:bCs w:val="0"/>
          <w:color w:val="auto"/>
          <w:sz w:val="24"/>
          <w:highlight w:val="none"/>
        </w:rPr>
        <w:t>1、本项目资金来源为长期特别国债资金等，按照楼层数实行电梯更新分级补贴:9层及以下楼栋，每台电梯更新费用大于12万元的补贴10万元；10-18层楼栋，每台电梯更新费用大于18万元的补贴15万元；19层及以上楼栋，每台电梯更新费用大于25万元的补贴20万。</w:t>
      </w:r>
      <w:r>
        <w:rPr>
          <w:rFonts w:hint="eastAsia" w:ascii="宋体" w:hAnsi="宋体" w:cs="宋体"/>
          <w:b w:val="0"/>
          <w:bCs w:val="0"/>
          <w:color w:val="auto"/>
          <w:sz w:val="24"/>
          <w:highlight w:val="none"/>
          <w:lang w:eastAsia="zh-CN"/>
        </w:rPr>
        <w:t>单台电梯合同价达到补贴标准的，补贴费用从长期国债资金中列支</w:t>
      </w:r>
      <w:r>
        <w:rPr>
          <w:rFonts w:hint="eastAsia" w:ascii="宋体" w:hAnsi="宋体" w:cs="宋体"/>
          <w:b w:val="0"/>
          <w:bCs w:val="0"/>
          <w:color w:val="auto"/>
          <w:sz w:val="24"/>
          <w:highlight w:val="none"/>
        </w:rPr>
        <w:t>，超出补贴费用的剩余部分按《关于做好2026年度首批住宅老旧电梯更新工作的通知》</w:t>
      </w:r>
      <w:bookmarkEnd w:id="7"/>
      <w:r>
        <w:rPr>
          <w:rFonts w:hint="eastAsia" w:ascii="宋体" w:hAnsi="宋体" w:cs="宋体"/>
          <w:b w:val="0"/>
          <w:bCs w:val="0"/>
          <w:color w:val="auto"/>
          <w:sz w:val="24"/>
          <w:highlight w:val="none"/>
        </w:rPr>
        <w:t>中建议资金渠道支付；仅针对符合补贴条件的项目，待长期国债补贴资金拨付至甲方后，由甲方负责支付每台电梯补贴部分，超出补贴的剩余款项由上述文件的建议资金渠道支付。</w:t>
      </w:r>
    </w:p>
    <w:p w14:paraId="427AED29">
      <w:pPr>
        <w:spacing w:line="520" w:lineRule="exact"/>
        <w:ind w:firstLine="480"/>
        <w:rPr>
          <w:rFonts w:ascii="宋体" w:hAnsi="宋体" w:cs="宋体"/>
          <w:b w:val="0"/>
          <w:bCs w:val="0"/>
          <w:color w:val="auto"/>
          <w:sz w:val="24"/>
          <w:highlight w:val="none"/>
        </w:rPr>
      </w:pPr>
      <w:r>
        <w:rPr>
          <w:rFonts w:hint="eastAsia" w:ascii="宋体" w:hAnsi="宋体" w:cs="宋体"/>
          <w:b w:val="0"/>
          <w:bCs w:val="0"/>
          <w:color w:val="auto"/>
          <w:sz w:val="24"/>
          <w:highlight w:val="none"/>
        </w:rPr>
        <w:t>2、旧电梯拆除处置详见招标文件第五章项目采购需求“九、其他要求第3条”，该费用在第一次付款前一次性付至采购人指定账户，否则不予申请结算付款。</w:t>
      </w:r>
    </w:p>
    <w:p w14:paraId="6FE9B4B8">
      <w:pPr>
        <w:pStyle w:val="17"/>
        <w:spacing w:line="520" w:lineRule="exact"/>
        <w:ind w:firstLine="480"/>
        <w:rPr>
          <w:rFonts w:hAnsi="宋体" w:cs="宋体"/>
          <w:b w:val="0"/>
          <w:bCs w:val="0"/>
          <w:color w:val="auto"/>
          <w:sz w:val="24"/>
          <w:szCs w:val="24"/>
          <w:highlight w:val="none"/>
        </w:rPr>
      </w:pPr>
      <w:r>
        <w:rPr>
          <w:rFonts w:hint="eastAsia" w:hAnsi="宋体" w:cs="宋体"/>
          <w:b w:val="0"/>
          <w:bCs w:val="0"/>
          <w:color w:val="auto"/>
          <w:sz w:val="24"/>
          <w:szCs w:val="24"/>
          <w:highlight w:val="none"/>
        </w:rPr>
        <w:t>五、责任义务</w:t>
      </w:r>
    </w:p>
    <w:p w14:paraId="3531AEA8">
      <w:pPr>
        <w:spacing w:line="520" w:lineRule="exact"/>
        <w:ind w:firstLine="480"/>
        <w:rPr>
          <w:rFonts w:ascii="宋体" w:hAnsi="宋体" w:cs="宋体"/>
          <w:color w:val="auto"/>
          <w:sz w:val="24"/>
        </w:rPr>
      </w:pPr>
      <w:r>
        <w:rPr>
          <w:rFonts w:hint="eastAsia" w:ascii="宋体" w:hAnsi="宋体" w:cs="宋体"/>
          <w:color w:val="auto"/>
          <w:sz w:val="24"/>
        </w:rPr>
        <w:t>1.甲方进行电梯采购及2026年超长期特别</w:t>
      </w:r>
      <w:r>
        <w:rPr>
          <w:rFonts w:ascii="宋体" w:hAnsi="宋体" w:cs="宋体"/>
          <w:color w:val="auto"/>
          <w:sz w:val="24"/>
        </w:rPr>
        <w:t>国债资金</w:t>
      </w:r>
      <w:r>
        <w:rPr>
          <w:rFonts w:hint="eastAsia" w:ascii="宋体" w:hAnsi="宋体" w:cs="宋体"/>
          <w:color w:val="auto"/>
          <w:sz w:val="24"/>
        </w:rPr>
        <w:t>定额补助资金申请。</w:t>
      </w:r>
    </w:p>
    <w:p w14:paraId="020C762A">
      <w:pPr>
        <w:pStyle w:val="17"/>
        <w:spacing w:line="520" w:lineRule="exact"/>
        <w:ind w:firstLine="480"/>
        <w:rPr>
          <w:rFonts w:hAnsi="宋体" w:cs="宋体"/>
          <w:color w:val="auto"/>
          <w:sz w:val="24"/>
          <w:szCs w:val="24"/>
        </w:rPr>
      </w:pPr>
      <w:r>
        <w:rPr>
          <w:rFonts w:hint="eastAsia" w:hAnsi="宋体" w:cs="宋体"/>
          <w:color w:val="auto"/>
          <w:sz w:val="24"/>
          <w:szCs w:val="24"/>
        </w:rPr>
        <w:t>2.电梯采购前，淮安经济技术开发区钵池街道办事处负责召开业主座谈会，就电梯更新方式、出资方案、更新计划、更新后管理及维保方案形成一致意见。征求业主意见时，告知业主电梯更新资金来源及更新预算：</w:t>
      </w:r>
      <w:r>
        <w:rPr>
          <w:rFonts w:hint="eastAsia" w:hAnsi="宋体" w:cs="宋体"/>
          <w:color w:val="auto"/>
          <w:sz w:val="24"/>
        </w:rPr>
        <w:t>按照楼层数实行电梯更新分级补贴:9层及以下楼栋，每台电梯更新费用大于12万元的补贴10万元；10-18层楼栋，每台电梯更新费用大于18万元的补贴15万元；19层及以上楼栋，每台电梯更新费用大于25万元的补贴20万</w:t>
      </w:r>
      <w:r>
        <w:rPr>
          <w:rFonts w:hint="eastAsia" w:hAnsi="宋体" w:cs="宋体"/>
          <w:color w:val="auto"/>
          <w:sz w:val="24"/>
          <w:szCs w:val="24"/>
        </w:rPr>
        <w:t>。根据上级文件规定实施更新的电梯单台投资须大于分级补贴的价格，方可享受超长期特别国债资金定额补助，</w:t>
      </w:r>
      <w:bookmarkStart w:id="1" w:name="OLE_LINK13"/>
      <w:bookmarkStart w:id="2" w:name="OLE_LINK14"/>
      <w:r>
        <w:rPr>
          <w:rFonts w:hint="eastAsia" w:hAnsi="宋体" w:cs="宋体"/>
          <w:color w:val="auto"/>
          <w:sz w:val="24"/>
          <w:szCs w:val="24"/>
        </w:rPr>
        <w:t>超出补贴部分由淮安经济技术开发区钵池街道办事处按照维修资金使用流程申请维修资金列支。</w:t>
      </w:r>
    </w:p>
    <w:bookmarkEnd w:id="1"/>
    <w:bookmarkEnd w:id="2"/>
    <w:p w14:paraId="7E8489EE">
      <w:pPr>
        <w:pStyle w:val="18"/>
        <w:spacing w:line="560" w:lineRule="exact"/>
        <w:ind w:firstLine="480"/>
        <w:jc w:val="both"/>
        <w:rPr>
          <w:rFonts w:ascii="宋体" w:cs="宋体"/>
          <w:color w:val="auto"/>
          <w:szCs w:val="24"/>
          <w:lang w:eastAsia="zh-CN"/>
        </w:rPr>
      </w:pPr>
      <w:r>
        <w:rPr>
          <w:rFonts w:hint="eastAsia" w:ascii="宋体" w:cs="宋体"/>
          <w:color w:val="auto"/>
          <w:szCs w:val="24"/>
          <w:lang w:eastAsia="zh-CN"/>
        </w:rPr>
        <w:t>3.甲方电梯采购时电梯选型和配置须符合相关规范标准以及市监特设发</w:t>
      </w:r>
      <w:r>
        <w:rPr>
          <w:rFonts w:ascii="宋体" w:cs="宋体"/>
          <w:color w:val="auto"/>
          <w:szCs w:val="24"/>
          <w:lang w:eastAsia="zh-CN"/>
        </w:rPr>
        <w:t>〔2025〕</w:t>
      </w:r>
      <w:r>
        <w:rPr>
          <w:rFonts w:hint="eastAsia" w:ascii="宋体" w:cs="宋体"/>
          <w:color w:val="auto"/>
          <w:szCs w:val="24"/>
          <w:lang w:eastAsia="zh-CN"/>
        </w:rPr>
        <w:t>52</w:t>
      </w:r>
      <w:r>
        <w:rPr>
          <w:rFonts w:ascii="宋体" w:cs="宋体"/>
          <w:color w:val="auto"/>
          <w:szCs w:val="24"/>
          <w:lang w:eastAsia="zh-CN"/>
        </w:rPr>
        <w:t>号</w:t>
      </w:r>
      <w:r>
        <w:rPr>
          <w:rFonts w:hint="eastAsia" w:ascii="宋体" w:cs="宋体"/>
          <w:color w:val="auto"/>
          <w:szCs w:val="24"/>
          <w:lang w:eastAsia="zh-CN"/>
        </w:rPr>
        <w:t>文件要求，更新后的电梯技术参数不低于原有电梯技术水平，电梯质量保修不少于5年、维修保养不少于5年（具体质保、维保年限以电梯中标单位承诺为准）。淮安经济技术开发区钵池街道办事处要提前告知业主，因采用集中采购公开招标方式采购电梯，电梯品牌无法确定，淮安经济技术开发区钵池街道办事处要提前化解业主矛盾。</w:t>
      </w:r>
    </w:p>
    <w:p w14:paraId="3172501E">
      <w:pPr>
        <w:pStyle w:val="18"/>
        <w:spacing w:line="560" w:lineRule="exact"/>
        <w:ind w:firstLine="480"/>
        <w:jc w:val="both"/>
        <w:rPr>
          <w:rFonts w:ascii="宋体" w:cs="宋体"/>
          <w:color w:val="auto"/>
          <w:szCs w:val="24"/>
          <w:lang w:eastAsia="zh-CN"/>
        </w:rPr>
      </w:pPr>
      <w:r>
        <w:rPr>
          <w:rFonts w:hint="eastAsia" w:ascii="宋体" w:cs="宋体"/>
          <w:color w:val="auto"/>
          <w:szCs w:val="24"/>
          <w:lang w:eastAsia="zh-CN"/>
        </w:rPr>
        <w:t>4.甲方电梯采购完成后签订协议，由甲方负责收取电梯单位老旧电梯回收残值、施工全过程监管、结算审计、支付电梯中标单位和监理单位费用，淮安经济技术开发区钵池街道办事处负责后期维护管理等工作。在电梯更换实施过程中，甲方及淮安经济技术开发区钵池街道办事处将指导电梯单位及时办理电梯开工告知、监督检验、使用登记以及移交物业服务企业的后续管理工作，乙方需配合淮安经济技术开发区钵池街道办事处办理小区电梯维保协议，同时甲方及淮安经济技术开发区钵池街道办事处将督促电梯单位、监理单位履行相关主体责任，加强施工现场管理，提升施工质量，做好安全防护措施，保障业主出行安全，并配合特种设备监督检验机构严把电梯更新项目的监督检验关，确保电梯更换质量。</w:t>
      </w:r>
    </w:p>
    <w:p w14:paraId="04D42775">
      <w:pPr>
        <w:spacing w:line="520" w:lineRule="exact"/>
        <w:ind w:firstLine="480" w:firstLineChars="200"/>
        <w:rPr>
          <w:rFonts w:ascii="宋体" w:cs="宋体"/>
          <w:color w:val="auto"/>
        </w:rPr>
      </w:pPr>
      <w:r>
        <w:rPr>
          <w:rFonts w:hint="eastAsia" w:ascii="宋体" w:hAnsi="宋体" w:cs="宋体"/>
          <w:color w:val="auto"/>
          <w:sz w:val="24"/>
        </w:rPr>
        <w:t>5.乙方指派</w:t>
      </w:r>
      <w:r>
        <w:rPr>
          <w:rFonts w:hint="eastAsia" w:ascii="宋体" w:hAnsi="宋体" w:cs="宋体"/>
          <w:color w:val="auto"/>
          <w:sz w:val="24"/>
          <w:lang w:eastAsia="zh-CN"/>
        </w:rPr>
        <w:t>张从雨</w:t>
      </w:r>
      <w:r>
        <w:rPr>
          <w:rFonts w:hint="eastAsia" w:ascii="宋体" w:hAnsi="宋体" w:cs="宋体"/>
          <w:color w:val="auto"/>
          <w:sz w:val="24"/>
        </w:rPr>
        <w:t>作为本项目负责人，同时提供乙方为其缴纳的社保证明。供货商对项目负责人的授权范围如下：全面负责本项目的工程质量控制、进度控制、现场安全生产、文明施工管理、造价及合同管理、信息管理和施工现场的组织协调，以及执行法律法规规章、采购合同和施工规范等文件规定的供货商应做的工作。对于项目负责人在施工质量、安全等方面的职责和权利，供货商不得违法违规加以剥夺和限制 。</w:t>
      </w:r>
    </w:p>
    <w:p w14:paraId="724F5A9D">
      <w:pPr>
        <w:pStyle w:val="17"/>
        <w:spacing w:line="520" w:lineRule="exact"/>
        <w:ind w:firstLine="480"/>
        <w:rPr>
          <w:rFonts w:hAnsi="宋体" w:cs="宋体"/>
          <w:color w:val="auto"/>
          <w:sz w:val="24"/>
          <w:szCs w:val="24"/>
        </w:rPr>
      </w:pPr>
      <w:r>
        <w:rPr>
          <w:rFonts w:hint="eastAsia" w:hAnsi="宋体" w:cs="宋体"/>
          <w:color w:val="auto"/>
          <w:sz w:val="24"/>
          <w:szCs w:val="24"/>
        </w:rPr>
        <w:t>六、验收</w:t>
      </w:r>
    </w:p>
    <w:p w14:paraId="26F17496">
      <w:pPr>
        <w:pStyle w:val="17"/>
        <w:spacing w:line="520" w:lineRule="exact"/>
        <w:ind w:firstLine="480"/>
        <w:rPr>
          <w:rFonts w:hAnsi="宋体" w:cs="宋体"/>
          <w:color w:val="auto"/>
          <w:sz w:val="24"/>
          <w:szCs w:val="24"/>
        </w:rPr>
      </w:pPr>
      <w:r>
        <w:rPr>
          <w:rFonts w:hint="eastAsia" w:hAnsi="宋体" w:cs="宋体"/>
          <w:color w:val="auto"/>
          <w:sz w:val="24"/>
          <w:szCs w:val="24"/>
        </w:rPr>
        <w:t>甲方按招标文件相关要求进行。如需委托第三方验收，第三方是指:</w:t>
      </w:r>
      <w:r>
        <w:rPr>
          <w:rFonts w:hint="eastAsia" w:hAnsi="宋体" w:cs="宋体"/>
          <w:color w:val="auto"/>
          <w:sz w:val="24"/>
          <w:szCs w:val="24"/>
          <w:u w:val="single"/>
        </w:rPr>
        <w:t>/</w:t>
      </w:r>
      <w:r>
        <w:rPr>
          <w:rFonts w:hint="eastAsia" w:hAnsi="宋体" w:cs="宋体"/>
          <w:color w:val="auto"/>
          <w:sz w:val="24"/>
          <w:szCs w:val="24"/>
        </w:rPr>
        <w:t xml:space="preserve">，验收费用由乙方承担。因乙方交付的货物不符合标准导致甲方重复支出的验收费用，由乙方承担。 </w:t>
      </w:r>
    </w:p>
    <w:p w14:paraId="43F4156E">
      <w:pPr>
        <w:pStyle w:val="17"/>
        <w:spacing w:line="520" w:lineRule="exact"/>
        <w:ind w:firstLine="480"/>
        <w:rPr>
          <w:rFonts w:hAnsi="宋体" w:cs="宋体"/>
          <w:color w:val="auto"/>
          <w:sz w:val="24"/>
          <w:szCs w:val="24"/>
        </w:rPr>
      </w:pPr>
      <w:r>
        <w:rPr>
          <w:rFonts w:hint="eastAsia" w:hAnsi="宋体" w:cs="宋体"/>
          <w:color w:val="auto"/>
          <w:sz w:val="24"/>
          <w:szCs w:val="24"/>
        </w:rPr>
        <w:t>七、履约保证金</w:t>
      </w:r>
    </w:p>
    <w:p w14:paraId="5E61E6A9">
      <w:pPr>
        <w:pStyle w:val="17"/>
        <w:spacing w:line="520" w:lineRule="exact"/>
        <w:ind w:firstLine="480"/>
        <w:rPr>
          <w:rFonts w:hAnsi="宋体" w:cs="宋体"/>
          <w:color w:val="auto"/>
          <w:sz w:val="24"/>
          <w:szCs w:val="24"/>
        </w:rPr>
      </w:pPr>
      <w:r>
        <w:rPr>
          <w:rFonts w:hint="eastAsia" w:hAnsi="宋体" w:cs="宋体"/>
          <w:color w:val="auto"/>
          <w:sz w:val="24"/>
          <w:szCs w:val="24"/>
        </w:rPr>
        <w:t>1、乙方交纳</w:t>
      </w:r>
      <w:r>
        <w:rPr>
          <w:rFonts w:hint="eastAsia" w:hAnsi="宋体" w:cs="宋体"/>
          <w:b/>
          <w:bCs/>
          <w:color w:val="auto"/>
          <w:sz w:val="24"/>
          <w:szCs w:val="24"/>
          <w:u w:val="single"/>
        </w:rPr>
        <w:t>合同金额的10%</w:t>
      </w:r>
      <w:r>
        <w:rPr>
          <w:rFonts w:hint="eastAsia" w:hAnsi="宋体" w:cs="宋体"/>
          <w:color w:val="auto"/>
          <w:sz w:val="24"/>
          <w:szCs w:val="24"/>
        </w:rPr>
        <w:t>作为本合同的履约保证金。</w:t>
      </w:r>
    </w:p>
    <w:p w14:paraId="1E87CDA6">
      <w:pPr>
        <w:spacing w:line="520" w:lineRule="exact"/>
        <w:ind w:firstLine="480"/>
        <w:rPr>
          <w:rFonts w:ascii="宋体" w:hAnsi="宋体" w:cs="宋体"/>
          <w:color w:val="auto"/>
          <w:sz w:val="24"/>
        </w:rPr>
      </w:pPr>
      <w:r>
        <w:rPr>
          <w:rFonts w:hint="eastAsia" w:ascii="宋体" w:hAnsi="宋体" w:cs="宋体"/>
          <w:color w:val="auto"/>
          <w:sz w:val="24"/>
        </w:rPr>
        <w:t>2、乙方提供的履约保证金可以是人民币形式（银行本票、汇票、支票、电汇），或银行保函、担保公司的保证担保或保险公司的保证保险等多种形式。</w:t>
      </w:r>
    </w:p>
    <w:p w14:paraId="221CC33A">
      <w:pPr>
        <w:spacing w:line="520" w:lineRule="exact"/>
        <w:ind w:firstLine="480"/>
        <w:rPr>
          <w:rFonts w:ascii="宋体" w:hAnsi="宋体" w:cs="宋体"/>
          <w:color w:val="auto"/>
          <w:sz w:val="24"/>
        </w:rPr>
      </w:pPr>
      <w:r>
        <w:rPr>
          <w:rFonts w:hint="eastAsia" w:ascii="宋体" w:hAnsi="宋体" w:cs="宋体"/>
          <w:color w:val="auto"/>
          <w:sz w:val="24"/>
        </w:rPr>
        <w:t>3、乙方选取银行保函、担保公司的保证担保或保险公司的保证保险等形式的向采购人缴纳的，如保函（担保、保险等）的约定期到期但乙方履约仍未结束的，乙方须进行续保。</w:t>
      </w:r>
    </w:p>
    <w:p w14:paraId="5C1AE701">
      <w:pPr>
        <w:spacing w:line="520" w:lineRule="exact"/>
        <w:ind w:firstLine="480"/>
        <w:rPr>
          <w:rFonts w:ascii="宋体" w:hAnsi="宋体" w:cs="宋体"/>
          <w:color w:val="auto"/>
          <w:sz w:val="24"/>
        </w:rPr>
      </w:pPr>
      <w:r>
        <w:rPr>
          <w:rFonts w:hint="eastAsia" w:ascii="宋体" w:hAnsi="宋体" w:cs="宋体"/>
          <w:color w:val="auto"/>
          <w:sz w:val="24"/>
        </w:rPr>
        <w:t>4、乙方选取以履约保函（保险）形式向采购人缴纳的，按照《关于在全省政府采购领域推行电子履约保函（保险）的通知》（苏财购【2023】150号）的要求，登录“政府采购电子履约保函（保险）平台”，选择第三方机构并提交保函（保险）申请，经审核通过后支付相关费用。</w:t>
      </w:r>
    </w:p>
    <w:p w14:paraId="7CE07350">
      <w:pPr>
        <w:spacing w:line="520" w:lineRule="exact"/>
        <w:ind w:firstLine="480"/>
        <w:rPr>
          <w:rFonts w:ascii="宋体" w:hAnsi="宋体" w:cs="宋体"/>
          <w:color w:val="auto"/>
          <w:sz w:val="24"/>
        </w:rPr>
      </w:pPr>
      <w:r>
        <w:rPr>
          <w:rFonts w:hint="eastAsia" w:ascii="宋体" w:hAnsi="宋体" w:cs="宋体"/>
          <w:color w:val="auto"/>
          <w:sz w:val="24"/>
        </w:rPr>
        <w:t>5、如乙方未能履行合同规定的义务，甲方有权从履约保证金中取得补偿。</w:t>
      </w:r>
    </w:p>
    <w:p w14:paraId="4234CE2B">
      <w:pPr>
        <w:spacing w:line="520" w:lineRule="exact"/>
        <w:ind w:firstLine="480"/>
        <w:rPr>
          <w:rFonts w:ascii="宋体" w:hAnsi="宋体" w:cs="宋体"/>
          <w:color w:val="auto"/>
          <w:sz w:val="24"/>
        </w:rPr>
      </w:pPr>
      <w:r>
        <w:rPr>
          <w:rFonts w:hint="eastAsia" w:ascii="宋体" w:hAnsi="宋体" w:cs="宋体"/>
          <w:color w:val="auto"/>
          <w:sz w:val="24"/>
        </w:rPr>
        <w:t>6、履约保证金在合同约定期间内不予退还或者应完全有效，约定期间届满之日起 5个工作日内，甲方应将履约保证金退还乙方；逾期退还的，按中国人民银行同期贷款基准利率上浮20%后的利率支付超期资金占用费，但因乙方自身原因导致无法及时退还的除外。</w:t>
      </w:r>
    </w:p>
    <w:p w14:paraId="4D6D05ED">
      <w:pPr>
        <w:spacing w:line="520" w:lineRule="exact"/>
        <w:ind w:firstLine="240" w:firstLineChars="100"/>
        <w:rPr>
          <w:rFonts w:ascii="宋体" w:hAnsi="宋体" w:cs="宋体"/>
          <w:color w:val="auto"/>
          <w:sz w:val="24"/>
        </w:rPr>
      </w:pPr>
      <w:r>
        <w:rPr>
          <w:rFonts w:hint="eastAsia" w:ascii="宋体" w:hAnsi="宋体" w:cs="宋体"/>
          <w:color w:val="auto"/>
          <w:sz w:val="24"/>
        </w:rPr>
        <w:t xml:space="preserve"> 7、履约保证金在合同约定期间内不予退还或者应完全有效，履约保证金在项目维保期满后无息退还给乙方。</w:t>
      </w:r>
    </w:p>
    <w:p w14:paraId="00AB9260">
      <w:pPr>
        <w:spacing w:line="520" w:lineRule="exact"/>
        <w:ind w:firstLine="480"/>
        <w:rPr>
          <w:rFonts w:ascii="宋体" w:hAnsi="宋体" w:cs="宋体"/>
          <w:color w:val="auto"/>
          <w:sz w:val="24"/>
        </w:rPr>
      </w:pPr>
      <w:r>
        <w:rPr>
          <w:rFonts w:hint="eastAsia" w:ascii="宋体" w:hAnsi="宋体" w:cs="宋体"/>
          <w:color w:val="auto"/>
          <w:sz w:val="24"/>
        </w:rPr>
        <w:t>8、维保期内，</w:t>
      </w:r>
      <w:r>
        <w:rPr>
          <w:rFonts w:hint="eastAsia" w:ascii="宋体" w:hAnsi="宋体" w:cs="宋体"/>
          <w:b/>
          <w:bCs/>
          <w:color w:val="auto"/>
          <w:sz w:val="24"/>
        </w:rPr>
        <w:t>淮安经济技术开发区钵池街道办事处</w:t>
      </w:r>
      <w:r>
        <w:rPr>
          <w:rFonts w:hint="eastAsia" w:ascii="宋体" w:hAnsi="宋体" w:cs="宋体"/>
          <w:color w:val="auto"/>
          <w:sz w:val="24"/>
        </w:rPr>
        <w:t>对乙方进行服务考核，若考核不合格的，追偿或扣除相应年份的履约保证金。每年的履约保证金为合同价的10%/维保期年限。</w:t>
      </w:r>
    </w:p>
    <w:p w14:paraId="372D83F6">
      <w:pPr>
        <w:spacing w:line="520" w:lineRule="exact"/>
        <w:ind w:firstLine="480"/>
        <w:rPr>
          <w:rFonts w:ascii="宋体" w:hAnsi="宋体" w:cs="宋体"/>
          <w:color w:val="auto"/>
          <w:sz w:val="24"/>
        </w:rPr>
      </w:pPr>
      <w:r>
        <w:rPr>
          <w:rFonts w:hint="eastAsia" w:ascii="宋体" w:hAnsi="宋体" w:cs="宋体"/>
          <w:color w:val="auto"/>
          <w:sz w:val="24"/>
        </w:rPr>
        <w:t>八、合同纠纷处理</w:t>
      </w:r>
    </w:p>
    <w:p w14:paraId="0423A307">
      <w:pPr>
        <w:spacing w:line="520" w:lineRule="exact"/>
        <w:ind w:firstLine="480"/>
        <w:rPr>
          <w:rFonts w:ascii="宋体" w:hAnsi="宋体" w:cs="宋体"/>
          <w:color w:val="auto"/>
          <w:sz w:val="24"/>
        </w:rPr>
      </w:pPr>
      <w:r>
        <w:rPr>
          <w:rFonts w:hint="eastAsia" w:ascii="宋体" w:hAnsi="宋体" w:cs="宋体"/>
          <w:color w:val="auto"/>
          <w:sz w:val="24"/>
        </w:rPr>
        <w:t>本合同执行过程中发生纠纷，由甲乙双方协商解决，若协商不成，作如下</w:t>
      </w:r>
      <w:r>
        <w:rPr>
          <w:rFonts w:hint="eastAsia" w:ascii="宋体" w:hAnsi="宋体" w:cs="宋体"/>
          <w:color w:val="auto"/>
          <w:sz w:val="24"/>
          <w:u w:val="single"/>
        </w:rPr>
        <w:t xml:space="preserve">  2 </w:t>
      </w:r>
      <w:r>
        <w:rPr>
          <w:rFonts w:hint="eastAsia" w:ascii="宋体" w:hAnsi="宋体" w:cs="宋体"/>
          <w:color w:val="auto"/>
          <w:sz w:val="24"/>
        </w:rPr>
        <w:t xml:space="preserve">处理: </w:t>
      </w:r>
    </w:p>
    <w:p w14:paraId="3276FBFC">
      <w:pPr>
        <w:spacing w:line="520" w:lineRule="exact"/>
        <w:ind w:firstLine="480"/>
        <w:rPr>
          <w:rFonts w:ascii="宋体" w:hAnsi="宋体" w:cs="宋体"/>
          <w:color w:val="auto"/>
          <w:sz w:val="24"/>
        </w:rPr>
      </w:pPr>
      <w:r>
        <w:rPr>
          <w:rFonts w:hint="eastAsia" w:ascii="宋体" w:hAnsi="宋体" w:cs="宋体"/>
          <w:color w:val="auto"/>
          <w:sz w:val="24"/>
        </w:rPr>
        <w:t xml:space="preserve">1、申请仲裁。选定仲裁机构为淮安市仲裁委员会。 </w:t>
      </w:r>
    </w:p>
    <w:p w14:paraId="66B408D9">
      <w:pPr>
        <w:spacing w:line="520" w:lineRule="exact"/>
        <w:ind w:firstLine="480"/>
        <w:rPr>
          <w:rFonts w:ascii="宋体" w:hAnsi="宋体" w:cs="宋体"/>
          <w:color w:val="auto"/>
          <w:sz w:val="24"/>
        </w:rPr>
      </w:pPr>
      <w:r>
        <w:rPr>
          <w:rFonts w:hint="eastAsia" w:ascii="宋体" w:hAnsi="宋体" w:cs="宋体"/>
          <w:color w:val="auto"/>
          <w:sz w:val="24"/>
        </w:rPr>
        <w:t xml:space="preserve">2、提起诉讼。约定由采购人所在地法院管辖。 </w:t>
      </w:r>
    </w:p>
    <w:p w14:paraId="0EC2224C">
      <w:pPr>
        <w:spacing w:line="520" w:lineRule="exact"/>
        <w:ind w:firstLine="470"/>
        <w:rPr>
          <w:rFonts w:ascii="宋体" w:hAnsi="宋体" w:cs="宋体"/>
          <w:color w:val="auto"/>
          <w:sz w:val="24"/>
        </w:rPr>
      </w:pPr>
      <w:r>
        <w:rPr>
          <w:rFonts w:hint="eastAsia" w:ascii="宋体" w:hAnsi="宋体" w:cs="宋体"/>
          <w:color w:val="auto"/>
          <w:sz w:val="24"/>
        </w:rPr>
        <w:t>九、合同生效及其它</w:t>
      </w:r>
    </w:p>
    <w:p w14:paraId="7A1E4B56">
      <w:pPr>
        <w:spacing w:line="520" w:lineRule="exact"/>
        <w:ind w:firstLine="480"/>
        <w:rPr>
          <w:rFonts w:ascii="宋体" w:hAnsi="宋体" w:cs="宋体"/>
          <w:color w:val="auto"/>
          <w:sz w:val="24"/>
        </w:rPr>
      </w:pPr>
      <w:r>
        <w:rPr>
          <w:rFonts w:hint="eastAsia" w:ascii="宋体" w:hAnsi="宋体" w:cs="宋体"/>
          <w:color w:val="auto"/>
          <w:sz w:val="24"/>
        </w:rPr>
        <w:t>本合同经甲、乙双方加盖电子签章后生效。如有变动，必须经甲方、乙方协商一致后，方可更改。</w:t>
      </w:r>
    </w:p>
    <w:p w14:paraId="7864EAE7">
      <w:pPr>
        <w:spacing w:line="520" w:lineRule="exact"/>
        <w:ind w:firstLine="470"/>
        <w:rPr>
          <w:rFonts w:ascii="宋体" w:hAnsi="宋体" w:cs="宋体"/>
          <w:color w:val="auto"/>
          <w:sz w:val="24"/>
        </w:rPr>
      </w:pPr>
      <w:r>
        <w:rPr>
          <w:rFonts w:hint="eastAsia" w:ascii="宋体" w:hAnsi="宋体" w:cs="宋体"/>
          <w:color w:val="auto"/>
          <w:sz w:val="24"/>
        </w:rPr>
        <w:t>十、组成本合同的文件包括</w:t>
      </w:r>
    </w:p>
    <w:p w14:paraId="65CAD2F4">
      <w:pPr>
        <w:spacing w:line="520" w:lineRule="exact"/>
        <w:ind w:firstLine="484"/>
        <w:rPr>
          <w:rFonts w:ascii="宋体" w:hAnsi="宋体" w:cs="宋体"/>
          <w:color w:val="auto"/>
          <w:sz w:val="24"/>
        </w:rPr>
      </w:pPr>
      <w:r>
        <w:rPr>
          <w:rFonts w:hint="eastAsia" w:ascii="宋体" w:hAnsi="宋体" w:cs="宋体"/>
          <w:color w:val="auto"/>
          <w:sz w:val="24"/>
        </w:rPr>
        <w:t>1、合同格式及条款；</w:t>
      </w:r>
    </w:p>
    <w:p w14:paraId="2525C4C9">
      <w:pPr>
        <w:spacing w:line="520" w:lineRule="exact"/>
        <w:ind w:firstLine="480"/>
        <w:rPr>
          <w:rFonts w:ascii="宋体" w:hAnsi="宋体" w:cs="宋体"/>
          <w:color w:val="auto"/>
          <w:sz w:val="24"/>
        </w:rPr>
      </w:pPr>
      <w:r>
        <w:rPr>
          <w:rFonts w:hint="eastAsia" w:ascii="宋体" w:hAnsi="宋体" w:cs="宋体"/>
          <w:color w:val="auto"/>
          <w:sz w:val="24"/>
        </w:rPr>
        <w:t xml:space="preserve">2、招标文件和乙方的投标文件； </w:t>
      </w:r>
    </w:p>
    <w:p w14:paraId="3FDDA376">
      <w:pPr>
        <w:spacing w:line="520" w:lineRule="exact"/>
        <w:ind w:firstLine="480"/>
        <w:rPr>
          <w:rFonts w:ascii="宋体" w:hAnsi="宋体" w:cs="宋体"/>
          <w:color w:val="auto"/>
          <w:sz w:val="24"/>
        </w:rPr>
      </w:pPr>
      <w:r>
        <w:rPr>
          <w:rFonts w:hint="eastAsia" w:ascii="宋体" w:hAnsi="宋体" w:cs="宋体"/>
          <w:color w:val="auto"/>
          <w:sz w:val="24"/>
        </w:rPr>
        <w:t xml:space="preserve">3、中标通知书； </w:t>
      </w:r>
    </w:p>
    <w:p w14:paraId="027AF2F5">
      <w:pPr>
        <w:spacing w:line="520" w:lineRule="exact"/>
        <w:ind w:firstLine="480"/>
        <w:rPr>
          <w:rFonts w:ascii="宋体" w:hAnsi="宋体" w:cs="宋体"/>
          <w:color w:val="auto"/>
          <w:sz w:val="24"/>
        </w:rPr>
      </w:pPr>
      <w:r>
        <w:rPr>
          <w:rFonts w:hint="eastAsia" w:ascii="宋体" w:hAnsi="宋体" w:cs="宋体"/>
          <w:color w:val="auto"/>
          <w:sz w:val="24"/>
        </w:rPr>
        <w:t>4、甲乙双方商定的其他必要文件。 上述合同文件内容互为补充，如有不明确，由甲方负责解释。</w:t>
      </w:r>
    </w:p>
    <w:p w14:paraId="0A50EE78">
      <w:pPr>
        <w:pStyle w:val="17"/>
        <w:spacing w:line="520" w:lineRule="exact"/>
        <w:rPr>
          <w:rFonts w:hAnsi="宋体" w:cs="宋体"/>
          <w:color w:val="auto"/>
          <w:sz w:val="24"/>
          <w:szCs w:val="24"/>
        </w:rPr>
      </w:pPr>
      <w:bookmarkStart w:id="3" w:name="OLE_LINK3"/>
      <w:bookmarkStart w:id="4" w:name="OLE_LINK4"/>
    </w:p>
    <w:bookmarkEnd w:id="3"/>
    <w:bookmarkEnd w:id="4"/>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15"/>
        <w:gridCol w:w="4616"/>
      </w:tblGrid>
      <w:tr w14:paraId="369A0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15" w:type="dxa"/>
          </w:tcPr>
          <w:p w14:paraId="47DEA809">
            <w:pPr>
              <w:pStyle w:val="17"/>
              <w:spacing w:line="520" w:lineRule="exact"/>
              <w:ind w:left="1200" w:hanging="1200" w:hangingChars="500"/>
              <w:jc w:val="left"/>
              <w:rPr>
                <w:rFonts w:hAnsi="宋体" w:cs="宋体"/>
                <w:b/>
                <w:bCs/>
                <w:color w:val="auto"/>
                <w:sz w:val="32"/>
                <w:szCs w:val="32"/>
                <w:vertAlign w:val="baseline"/>
              </w:rPr>
            </w:pPr>
            <w:r>
              <w:rPr>
                <w:rFonts w:hint="eastAsia" w:ascii="Times New Roman" w:hAnsi="Times New Roman" w:eastAsia="宋体" w:cs="Times New Roman"/>
                <w:color w:val="auto"/>
                <w:sz w:val="24"/>
              </w:rPr>
              <w:t>甲    方: 淮安经济技术开发区住房和城乡建设局</w:t>
            </w:r>
          </w:p>
        </w:tc>
        <w:tc>
          <w:tcPr>
            <w:tcW w:w="4616" w:type="dxa"/>
          </w:tcPr>
          <w:p w14:paraId="6EFC5587">
            <w:pPr>
              <w:jc w:val="left"/>
              <w:rPr>
                <w:rFonts w:hint="eastAsia" w:ascii="Times New Roman" w:hAnsi="Times New Roman" w:eastAsia="宋体" w:cs="Times New Roman"/>
                <w:b w:val="0"/>
                <w:bCs w:val="0"/>
                <w:color w:val="auto"/>
                <w:sz w:val="24"/>
              </w:rPr>
            </w:pPr>
          </w:p>
          <w:p w14:paraId="3C018510">
            <w:pPr>
              <w:jc w:val="left"/>
              <w:rPr>
                <w:rFonts w:ascii="Times New Roman" w:hAnsi="Times New Roman" w:eastAsia="宋体" w:cs="Times New Roman"/>
                <w:b w:val="0"/>
                <w:bCs w:val="0"/>
                <w:color w:val="auto"/>
                <w:sz w:val="21"/>
                <w:szCs w:val="21"/>
              </w:rPr>
            </w:pPr>
            <w:r>
              <w:rPr>
                <w:rFonts w:hint="eastAsia" w:ascii="Times New Roman" w:hAnsi="Times New Roman" w:eastAsia="宋体" w:cs="Times New Roman"/>
                <w:b w:val="0"/>
                <w:bCs w:val="0"/>
                <w:color w:val="auto"/>
                <w:sz w:val="24"/>
              </w:rPr>
              <w:t>乙 方:</w:t>
            </w:r>
            <w:r>
              <w:rPr>
                <w:rFonts w:hint="eastAsia" w:ascii="宋体" w:hAnsi="宋体" w:cs="Arial"/>
                <w:b w:val="0"/>
                <w:bCs w:val="0"/>
                <w:sz w:val="21"/>
                <w:szCs w:val="21"/>
                <w:lang w:val="en-US" w:eastAsia="zh-CN"/>
              </w:rPr>
              <w:t>江苏</w:t>
            </w:r>
            <w:r>
              <w:rPr>
                <w:rFonts w:ascii="宋体" w:hAnsi="宋体" w:cs="Arial"/>
                <w:b w:val="0"/>
                <w:bCs w:val="0"/>
                <w:sz w:val="21"/>
                <w:szCs w:val="21"/>
              </w:rPr>
              <w:t>奥的斯</w:t>
            </w:r>
            <w:r>
              <w:rPr>
                <w:rFonts w:hint="eastAsia" w:ascii="宋体" w:hAnsi="宋体" w:cs="Arial"/>
                <w:b w:val="0"/>
                <w:bCs w:val="0"/>
                <w:sz w:val="21"/>
                <w:szCs w:val="21"/>
                <w:lang w:eastAsia="zh-CN"/>
              </w:rPr>
              <w:t>电梯销售服务</w:t>
            </w:r>
            <w:r>
              <w:rPr>
                <w:rFonts w:ascii="宋体" w:hAnsi="宋体" w:cs="Arial"/>
                <w:b w:val="0"/>
                <w:bCs w:val="0"/>
                <w:sz w:val="21"/>
                <w:szCs w:val="21"/>
              </w:rPr>
              <w:t>有限公司</w:t>
            </w:r>
          </w:p>
          <w:p w14:paraId="2A0463B6">
            <w:pPr>
              <w:pStyle w:val="17"/>
              <w:spacing w:line="520" w:lineRule="exact"/>
              <w:ind w:left="1200" w:hanging="1606" w:hangingChars="500"/>
              <w:jc w:val="left"/>
              <w:rPr>
                <w:rFonts w:hAnsi="宋体" w:cs="宋体"/>
                <w:b/>
                <w:bCs/>
                <w:color w:val="auto"/>
                <w:sz w:val="32"/>
                <w:szCs w:val="32"/>
                <w:vertAlign w:val="baseline"/>
              </w:rPr>
            </w:pPr>
          </w:p>
        </w:tc>
      </w:tr>
      <w:tr w14:paraId="49551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15" w:type="dxa"/>
          </w:tcPr>
          <w:p w14:paraId="15BAE776">
            <w:pPr>
              <w:pStyle w:val="17"/>
              <w:spacing w:line="520" w:lineRule="exact"/>
              <w:jc w:val="left"/>
              <w:rPr>
                <w:rFonts w:hAnsi="宋体" w:cs="宋体"/>
                <w:b/>
                <w:bCs/>
                <w:color w:val="auto"/>
                <w:sz w:val="32"/>
                <w:szCs w:val="32"/>
                <w:vertAlign w:val="baseline"/>
              </w:rPr>
            </w:pPr>
            <w:r>
              <w:rPr>
                <w:rFonts w:hint="eastAsia" w:ascii="Times New Roman" w:hAnsi="Times New Roman" w:eastAsia="宋体" w:cs="Times New Roman"/>
                <w:color w:val="auto"/>
                <w:sz w:val="24"/>
              </w:rPr>
              <w:t>单位盖章:（电子签章）</w:t>
            </w:r>
          </w:p>
        </w:tc>
        <w:tc>
          <w:tcPr>
            <w:tcW w:w="4616" w:type="dxa"/>
          </w:tcPr>
          <w:p w14:paraId="4FE7CA85">
            <w:pPr>
              <w:pStyle w:val="17"/>
              <w:spacing w:line="520" w:lineRule="exact"/>
              <w:jc w:val="left"/>
              <w:rPr>
                <w:rFonts w:hAnsi="宋体" w:cs="宋体"/>
                <w:b/>
                <w:bCs/>
                <w:color w:val="auto"/>
                <w:sz w:val="32"/>
                <w:szCs w:val="32"/>
                <w:vertAlign w:val="baseline"/>
              </w:rPr>
            </w:pPr>
            <w:r>
              <w:rPr>
                <w:rFonts w:hint="eastAsia" w:ascii="Times New Roman" w:hAnsi="Times New Roman" w:eastAsia="宋体" w:cs="Times New Roman"/>
                <w:color w:val="auto"/>
                <w:sz w:val="24"/>
              </w:rPr>
              <w:t>单位盖章:（电子签章）</w:t>
            </w:r>
          </w:p>
        </w:tc>
      </w:tr>
      <w:tr w14:paraId="4E21C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15" w:type="dxa"/>
          </w:tcPr>
          <w:p w14:paraId="2A5E7AC0">
            <w:pPr>
              <w:pStyle w:val="17"/>
              <w:spacing w:line="520" w:lineRule="exact"/>
              <w:jc w:val="left"/>
              <w:rPr>
                <w:rFonts w:hAnsi="宋体" w:cs="宋体"/>
                <w:b/>
                <w:bCs/>
                <w:color w:val="auto"/>
                <w:sz w:val="32"/>
                <w:szCs w:val="32"/>
                <w:vertAlign w:val="baseline"/>
              </w:rPr>
            </w:pPr>
            <w:r>
              <w:rPr>
                <w:rFonts w:hint="eastAsia" w:ascii="Times New Roman" w:hAnsi="Times New Roman" w:eastAsia="宋体" w:cs="Times New Roman"/>
                <w:color w:val="auto"/>
                <w:sz w:val="24"/>
              </w:rPr>
              <w:t>代表签字:</w:t>
            </w:r>
          </w:p>
        </w:tc>
        <w:tc>
          <w:tcPr>
            <w:tcW w:w="4616" w:type="dxa"/>
          </w:tcPr>
          <w:p w14:paraId="524655BB">
            <w:pPr>
              <w:pStyle w:val="17"/>
              <w:spacing w:line="520" w:lineRule="exact"/>
              <w:jc w:val="left"/>
              <w:rPr>
                <w:rFonts w:hAnsi="宋体" w:cs="宋体"/>
                <w:b/>
                <w:bCs/>
                <w:color w:val="auto"/>
                <w:sz w:val="32"/>
                <w:szCs w:val="32"/>
                <w:vertAlign w:val="baseline"/>
              </w:rPr>
            </w:pPr>
            <w:r>
              <w:rPr>
                <w:rFonts w:hint="eastAsia" w:ascii="Times New Roman" w:hAnsi="Times New Roman" w:eastAsia="宋体" w:cs="Times New Roman"/>
                <w:color w:val="auto"/>
                <w:sz w:val="24"/>
              </w:rPr>
              <w:t>代表签字:</w:t>
            </w:r>
          </w:p>
        </w:tc>
      </w:tr>
      <w:tr w14:paraId="260EC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15" w:type="dxa"/>
          </w:tcPr>
          <w:p w14:paraId="193BA386">
            <w:pPr>
              <w:pStyle w:val="17"/>
              <w:spacing w:line="520" w:lineRule="exact"/>
              <w:jc w:val="left"/>
              <w:rPr>
                <w:rFonts w:hAnsi="宋体" w:cs="宋体"/>
                <w:b/>
                <w:bCs/>
                <w:color w:val="auto"/>
                <w:sz w:val="32"/>
                <w:szCs w:val="32"/>
                <w:vertAlign w:val="baseline"/>
              </w:rPr>
            </w:pPr>
            <w:r>
              <w:rPr>
                <w:rFonts w:hint="eastAsia" w:ascii="Times New Roman" w:hAnsi="Times New Roman" w:eastAsia="宋体" w:cs="Times New Roman"/>
                <w:color w:val="auto"/>
                <w:sz w:val="24"/>
              </w:rPr>
              <w:t>签定日期:</w:t>
            </w:r>
          </w:p>
        </w:tc>
        <w:tc>
          <w:tcPr>
            <w:tcW w:w="4616" w:type="dxa"/>
          </w:tcPr>
          <w:p w14:paraId="6A37F1BB">
            <w:pPr>
              <w:jc w:val="left"/>
              <w:rPr>
                <w:rFonts w:hAnsi="宋体" w:cs="宋体"/>
                <w:b/>
                <w:bCs/>
                <w:color w:val="auto"/>
                <w:sz w:val="32"/>
                <w:szCs w:val="32"/>
                <w:vertAlign w:val="baseline"/>
              </w:rPr>
            </w:pPr>
            <w:r>
              <w:rPr>
                <w:rFonts w:hint="eastAsia" w:ascii="Times New Roman" w:hAnsi="Times New Roman" w:eastAsia="宋体" w:cs="Times New Roman"/>
                <w:color w:val="auto"/>
                <w:sz w:val="24"/>
              </w:rPr>
              <w:t>签定日期:</w:t>
            </w:r>
          </w:p>
        </w:tc>
      </w:tr>
    </w:tbl>
    <w:p w14:paraId="73A6962A">
      <w:pPr>
        <w:pStyle w:val="17"/>
        <w:spacing w:line="520" w:lineRule="exact"/>
        <w:rPr>
          <w:rFonts w:hint="eastAsia" w:hAnsi="宋体" w:cs="宋体"/>
          <w:b/>
          <w:bCs/>
          <w:color w:val="auto"/>
          <w:sz w:val="32"/>
          <w:szCs w:val="32"/>
        </w:rPr>
      </w:pPr>
    </w:p>
    <w:p w14:paraId="74469B33">
      <w:pPr>
        <w:pStyle w:val="17"/>
        <w:spacing w:line="520" w:lineRule="exact"/>
        <w:ind w:firstLine="3518"/>
        <w:rPr>
          <w:rFonts w:hint="eastAsia" w:hAnsi="宋体" w:cs="宋体"/>
          <w:b/>
          <w:bCs/>
          <w:color w:val="auto"/>
          <w:sz w:val="32"/>
          <w:szCs w:val="32"/>
        </w:rPr>
      </w:pPr>
    </w:p>
    <w:p w14:paraId="6909BC29">
      <w:pPr>
        <w:pStyle w:val="17"/>
        <w:spacing w:line="520" w:lineRule="exact"/>
        <w:ind w:firstLine="3518"/>
        <w:rPr>
          <w:rFonts w:hAnsi="宋体" w:cs="宋体"/>
          <w:b/>
          <w:bCs/>
          <w:color w:val="auto"/>
          <w:sz w:val="32"/>
          <w:szCs w:val="32"/>
        </w:rPr>
      </w:pPr>
      <w:r>
        <w:rPr>
          <w:rFonts w:hint="eastAsia" w:hAnsi="宋体" w:cs="宋体"/>
          <w:b/>
          <w:bCs/>
          <w:color w:val="auto"/>
          <w:sz w:val="32"/>
          <w:szCs w:val="32"/>
        </w:rPr>
        <w:t>二、合同条款</w:t>
      </w:r>
    </w:p>
    <w:p w14:paraId="3BD7F0A3">
      <w:pPr>
        <w:spacing w:line="520" w:lineRule="exact"/>
        <w:rPr>
          <w:rFonts w:ascii="宋体" w:hAnsi="宋体" w:cs="宋体"/>
          <w:color w:val="auto"/>
          <w:sz w:val="24"/>
        </w:rPr>
      </w:pPr>
      <w:r>
        <w:rPr>
          <w:rFonts w:hint="eastAsia" w:ascii="宋体" w:hAnsi="宋体" w:cs="宋体"/>
          <w:color w:val="auto"/>
          <w:sz w:val="24"/>
        </w:rPr>
        <w:t>1.定义</w:t>
      </w:r>
    </w:p>
    <w:p w14:paraId="4B7FD27C">
      <w:pPr>
        <w:spacing w:line="520" w:lineRule="exact"/>
        <w:ind w:firstLine="660"/>
        <w:rPr>
          <w:rFonts w:ascii="宋体" w:hAnsi="宋体" w:cs="宋体"/>
          <w:color w:val="auto"/>
          <w:sz w:val="24"/>
        </w:rPr>
      </w:pPr>
      <w:r>
        <w:rPr>
          <w:rFonts w:hint="eastAsia" w:ascii="宋体" w:hAnsi="宋体" w:cs="宋体"/>
          <w:color w:val="auto"/>
          <w:sz w:val="24"/>
        </w:rPr>
        <w:t>本合同中下列术语应解释为:</w:t>
      </w:r>
    </w:p>
    <w:p w14:paraId="27B8F637">
      <w:pPr>
        <w:spacing w:line="520" w:lineRule="exact"/>
        <w:ind w:firstLine="360"/>
        <w:rPr>
          <w:rFonts w:ascii="宋体" w:hAnsi="宋体" w:cs="宋体"/>
          <w:color w:val="auto"/>
          <w:sz w:val="24"/>
        </w:rPr>
      </w:pPr>
      <w:r>
        <w:rPr>
          <w:rFonts w:hint="eastAsia" w:ascii="宋体" w:hAnsi="宋体" w:cs="宋体"/>
          <w:color w:val="auto"/>
          <w:sz w:val="24"/>
        </w:rPr>
        <w:t>（1）“合同”系指甲方和乙方（以下简称合同双方）签署的、合同格式中列明的合同双方所达成的协议，包括所有的附件、附录和构成合同的所有文件。</w:t>
      </w:r>
    </w:p>
    <w:p w14:paraId="2A20DF7B">
      <w:pPr>
        <w:spacing w:line="520" w:lineRule="exact"/>
        <w:ind w:firstLine="360"/>
        <w:rPr>
          <w:rFonts w:ascii="宋体" w:hAnsi="宋体" w:cs="宋体"/>
          <w:color w:val="auto"/>
          <w:sz w:val="24"/>
        </w:rPr>
      </w:pPr>
      <w:r>
        <w:rPr>
          <w:rFonts w:hint="eastAsia" w:ascii="宋体" w:hAnsi="宋体" w:cs="宋体"/>
          <w:color w:val="auto"/>
          <w:sz w:val="24"/>
        </w:rPr>
        <w:t>（2）“合同价”系指根据合同规定，乙方在完全履行合同义务后甲方应支付给乙方的价格。</w:t>
      </w:r>
    </w:p>
    <w:p w14:paraId="4BFB4C82">
      <w:pPr>
        <w:spacing w:line="520" w:lineRule="exact"/>
        <w:ind w:firstLine="360"/>
        <w:rPr>
          <w:rFonts w:ascii="宋体" w:hAnsi="宋体" w:cs="宋体"/>
          <w:color w:val="auto"/>
          <w:sz w:val="24"/>
        </w:rPr>
      </w:pPr>
      <w:r>
        <w:rPr>
          <w:rFonts w:hint="eastAsia" w:ascii="宋体" w:hAnsi="宋体" w:cs="宋体"/>
          <w:color w:val="auto"/>
          <w:sz w:val="24"/>
        </w:rPr>
        <w:t>（3）“货物（含软件及相关服务）”系指乙方按合同要求，须向甲方提供的一切设备、机械、仪表、备件、工具、技术及手册等有关材料。</w:t>
      </w:r>
    </w:p>
    <w:p w14:paraId="152E8483">
      <w:pPr>
        <w:spacing w:line="520" w:lineRule="exact"/>
        <w:ind w:firstLine="360"/>
        <w:rPr>
          <w:rFonts w:ascii="宋体" w:hAnsi="宋体" w:cs="宋体"/>
          <w:color w:val="auto"/>
          <w:sz w:val="24"/>
        </w:rPr>
      </w:pPr>
      <w:r>
        <w:rPr>
          <w:rFonts w:hint="eastAsia" w:ascii="宋体" w:hAnsi="宋体" w:cs="宋体"/>
          <w:color w:val="auto"/>
          <w:sz w:val="24"/>
        </w:rPr>
        <w:t>（4）“服务”系指根据合同规定乙方承担与供货有关的所有辅助服务，如运输、保险以及其它的服务，如安装、调试、提供技术援助、培训和其他类似的义务。</w:t>
      </w:r>
    </w:p>
    <w:p w14:paraId="439C7986">
      <w:pPr>
        <w:spacing w:line="520" w:lineRule="exact"/>
        <w:ind w:firstLine="360"/>
        <w:rPr>
          <w:rFonts w:ascii="宋体" w:hAnsi="宋体" w:cs="宋体"/>
          <w:color w:val="auto"/>
          <w:sz w:val="24"/>
        </w:rPr>
      </w:pPr>
      <w:r>
        <w:rPr>
          <w:rFonts w:hint="eastAsia" w:ascii="宋体" w:hAnsi="宋体" w:cs="宋体"/>
          <w:color w:val="auto"/>
          <w:sz w:val="24"/>
        </w:rPr>
        <w:t>（5）“甲方”系指购买货物（含软件及相关服务）的单位。</w:t>
      </w:r>
    </w:p>
    <w:p w14:paraId="62943F36">
      <w:pPr>
        <w:spacing w:line="520" w:lineRule="exact"/>
        <w:ind w:firstLine="360"/>
        <w:rPr>
          <w:rFonts w:ascii="宋体" w:hAnsi="宋体" w:cs="宋体"/>
          <w:color w:val="auto"/>
          <w:sz w:val="24"/>
        </w:rPr>
      </w:pPr>
      <w:r>
        <w:rPr>
          <w:rFonts w:hint="eastAsia" w:ascii="宋体" w:hAnsi="宋体" w:cs="宋体"/>
          <w:color w:val="auto"/>
          <w:sz w:val="24"/>
        </w:rPr>
        <w:t>（6）“乙方”系指根据合同规定提供货物（含软件及相关服务）和服务的投标人。</w:t>
      </w:r>
    </w:p>
    <w:p w14:paraId="75FFED89">
      <w:pPr>
        <w:spacing w:line="520" w:lineRule="exact"/>
        <w:rPr>
          <w:rFonts w:ascii="宋体" w:hAnsi="宋体" w:cs="宋体"/>
          <w:bCs/>
          <w:color w:val="auto"/>
          <w:sz w:val="24"/>
        </w:rPr>
      </w:pPr>
      <w:r>
        <w:rPr>
          <w:rFonts w:hint="eastAsia" w:ascii="宋体" w:hAnsi="宋体" w:cs="宋体"/>
          <w:bCs/>
          <w:color w:val="auto"/>
          <w:sz w:val="24"/>
        </w:rPr>
        <w:t>2.技术规范</w:t>
      </w:r>
    </w:p>
    <w:p w14:paraId="35F5487C">
      <w:pPr>
        <w:spacing w:line="520" w:lineRule="exact"/>
        <w:ind w:firstLine="660"/>
        <w:rPr>
          <w:rFonts w:ascii="宋体" w:hAnsi="宋体" w:cs="宋体"/>
          <w:color w:val="auto"/>
          <w:sz w:val="24"/>
        </w:rPr>
      </w:pPr>
      <w:r>
        <w:rPr>
          <w:rFonts w:hint="eastAsia" w:ascii="宋体" w:hAnsi="宋体" w:cs="宋体"/>
          <w:color w:val="auto"/>
          <w:sz w:val="24"/>
        </w:rPr>
        <w:t xml:space="preserve">2.1提交货物（含软件及相关服务）的技术规范应与招标文件的技术规范和技术规范附件（如果有的话）及投标文件的规格响应表（如果被甲方接受的话）相一致。若技术规范中无相应说明，则以国家有关部门最新颁布的相应标准及规范为准。 </w:t>
      </w:r>
    </w:p>
    <w:p w14:paraId="1EF67978">
      <w:pPr>
        <w:spacing w:line="520" w:lineRule="exact"/>
        <w:rPr>
          <w:rFonts w:ascii="宋体" w:hAnsi="宋体" w:cs="宋体"/>
          <w:color w:val="auto"/>
          <w:sz w:val="24"/>
        </w:rPr>
      </w:pPr>
      <w:r>
        <w:rPr>
          <w:rFonts w:hint="eastAsia" w:ascii="宋体" w:hAnsi="宋体" w:cs="宋体"/>
          <w:color w:val="auto"/>
          <w:sz w:val="24"/>
        </w:rPr>
        <w:t>3.专利权</w:t>
      </w:r>
    </w:p>
    <w:p w14:paraId="19976237">
      <w:pPr>
        <w:spacing w:line="520" w:lineRule="exact"/>
        <w:ind w:firstLine="660"/>
        <w:rPr>
          <w:rFonts w:ascii="宋体" w:hAnsi="宋体" w:cs="宋体"/>
          <w:color w:val="auto"/>
          <w:sz w:val="24"/>
        </w:rPr>
      </w:pPr>
      <w:r>
        <w:rPr>
          <w:rFonts w:hint="eastAsia" w:ascii="宋体" w:hAnsi="宋体" w:cs="宋体"/>
          <w:color w:val="auto"/>
          <w:sz w:val="24"/>
        </w:rPr>
        <w:t>3.1乙方须保障甲方在使用该货物（含软件及相关服务）或其任何一部分时不受到第三方关于侵犯专利权、商标权、版权、专有技术等权利的指控。如果任何第三方提出侵权指控，乙方须与第三方交涉并承担可能发生的一切损失和费用。</w:t>
      </w:r>
    </w:p>
    <w:p w14:paraId="0E1BC85D">
      <w:pPr>
        <w:spacing w:line="520" w:lineRule="exact"/>
        <w:rPr>
          <w:rFonts w:ascii="宋体" w:hAnsi="宋体" w:cs="宋体"/>
          <w:color w:val="auto"/>
          <w:sz w:val="24"/>
        </w:rPr>
      </w:pPr>
      <w:r>
        <w:rPr>
          <w:rFonts w:hint="eastAsia" w:ascii="宋体" w:hAnsi="宋体" w:cs="宋体"/>
          <w:color w:val="auto"/>
          <w:sz w:val="24"/>
        </w:rPr>
        <w:t>4.包装要求</w:t>
      </w:r>
    </w:p>
    <w:p w14:paraId="2C529FFC">
      <w:pPr>
        <w:spacing w:line="520" w:lineRule="exact"/>
        <w:ind w:firstLine="480"/>
        <w:rPr>
          <w:rFonts w:ascii="宋体" w:hAnsi="宋体" w:cs="宋体"/>
          <w:color w:val="auto"/>
          <w:sz w:val="24"/>
        </w:rPr>
      </w:pPr>
      <w:r>
        <w:rPr>
          <w:rFonts w:hint="eastAsia" w:ascii="宋体" w:hAnsi="宋体" w:cs="宋体"/>
          <w:color w:val="auto"/>
          <w:sz w:val="24"/>
        </w:rPr>
        <w:t>4.1本项目中涉及商品的包装应按照“财办库〔2020〕123号《关于印发商品包装政府采购需求标准（试行）》、《快递包装政府采购需求标准（试行）》的通知》”执行,在供货、安装过程中能到做到低碳物流、环保节约、提高资源利用率；涉及设备运维参考《绿色数据中心政府采购需求标准（试行）》（财库【2023】7号文）执行。</w:t>
      </w:r>
    </w:p>
    <w:p w14:paraId="11A3FB8C">
      <w:pPr>
        <w:spacing w:line="520" w:lineRule="exact"/>
        <w:ind w:firstLine="660"/>
        <w:rPr>
          <w:rFonts w:ascii="宋体" w:hAnsi="宋体" w:cs="宋体"/>
          <w:color w:val="auto"/>
          <w:sz w:val="24"/>
        </w:rPr>
      </w:pPr>
      <w:r>
        <w:rPr>
          <w:rFonts w:hint="eastAsia" w:ascii="宋体" w:hAnsi="宋体" w:cs="宋体"/>
          <w:color w:val="auto"/>
          <w:sz w:val="24"/>
        </w:rPr>
        <w:t>4.2除合同另有规定外，乙方提供的全部货物（含软件及相关服务），均应按相应的标准保护措施进行包装，使包装适应于远距离运输、防潮、防震、防锈和防粗暴装卸，确保货物（含软件及相关服务）安全无损运抵制现场。由于包装不善所引起的货物（含软件及相关服务）锈蚀、损坏和损失均由乙方承担。</w:t>
      </w:r>
    </w:p>
    <w:p w14:paraId="7430E590">
      <w:pPr>
        <w:spacing w:line="520" w:lineRule="exact"/>
        <w:ind w:firstLine="660"/>
        <w:rPr>
          <w:rFonts w:ascii="宋体" w:hAnsi="宋体" w:cs="宋体"/>
          <w:color w:val="auto"/>
          <w:sz w:val="24"/>
        </w:rPr>
      </w:pPr>
      <w:r>
        <w:rPr>
          <w:rFonts w:hint="eastAsia" w:ascii="宋体" w:hAnsi="宋体" w:cs="宋体"/>
          <w:color w:val="auto"/>
          <w:sz w:val="24"/>
        </w:rPr>
        <w:t>4.3每件包装箱内应附一份详细装箱单和质量合格证。</w:t>
      </w:r>
    </w:p>
    <w:p w14:paraId="5C4F9E77">
      <w:pPr>
        <w:spacing w:line="520" w:lineRule="exact"/>
        <w:rPr>
          <w:rFonts w:ascii="宋体" w:hAnsi="宋体" w:cs="宋体"/>
          <w:color w:val="auto"/>
          <w:sz w:val="24"/>
        </w:rPr>
      </w:pPr>
      <w:r>
        <w:rPr>
          <w:rFonts w:hint="eastAsia" w:ascii="宋体" w:hAnsi="宋体" w:cs="宋体"/>
          <w:color w:val="auto"/>
          <w:sz w:val="24"/>
        </w:rPr>
        <w:t>5.装运标志</w:t>
      </w:r>
    </w:p>
    <w:p w14:paraId="613020E9">
      <w:pPr>
        <w:spacing w:line="520" w:lineRule="exact"/>
        <w:ind w:firstLine="660"/>
        <w:rPr>
          <w:rFonts w:ascii="宋体" w:hAnsi="宋体" w:cs="宋体"/>
          <w:color w:val="auto"/>
          <w:sz w:val="24"/>
        </w:rPr>
      </w:pPr>
      <w:r>
        <w:rPr>
          <w:rFonts w:hint="eastAsia" w:ascii="宋体" w:hAnsi="宋体" w:cs="宋体"/>
          <w:color w:val="auto"/>
          <w:sz w:val="24"/>
        </w:rPr>
        <w:t xml:space="preserve">5.1 乙方应在每一包装箱邻接的四侧用不褪色的油漆以醒目的中文字样做出下列标记: </w:t>
      </w:r>
    </w:p>
    <w:p w14:paraId="2AE8BD1D">
      <w:pPr>
        <w:spacing w:line="520" w:lineRule="exact"/>
        <w:ind w:firstLine="360"/>
        <w:rPr>
          <w:rFonts w:ascii="宋体" w:hAnsi="宋体" w:cs="宋体"/>
          <w:color w:val="auto"/>
          <w:sz w:val="24"/>
        </w:rPr>
      </w:pPr>
      <w:r>
        <w:rPr>
          <w:rFonts w:hint="eastAsia" w:ascii="宋体" w:hAnsi="宋体" w:cs="宋体"/>
          <w:color w:val="auto"/>
          <w:sz w:val="24"/>
        </w:rPr>
        <w:t xml:space="preserve">（1）收货人 </w:t>
      </w:r>
    </w:p>
    <w:p w14:paraId="07936944">
      <w:pPr>
        <w:spacing w:line="520" w:lineRule="exact"/>
        <w:ind w:firstLine="360"/>
        <w:rPr>
          <w:rFonts w:ascii="宋体" w:hAnsi="宋体" w:cs="宋体"/>
          <w:color w:val="auto"/>
          <w:sz w:val="24"/>
        </w:rPr>
      </w:pPr>
      <w:r>
        <w:rPr>
          <w:rFonts w:hint="eastAsia" w:ascii="宋体" w:hAnsi="宋体" w:cs="宋体"/>
          <w:color w:val="auto"/>
          <w:sz w:val="24"/>
        </w:rPr>
        <w:t xml:space="preserve">（2）合同号 </w:t>
      </w:r>
    </w:p>
    <w:p w14:paraId="78F73F89">
      <w:pPr>
        <w:spacing w:line="520" w:lineRule="exact"/>
        <w:ind w:firstLine="360"/>
        <w:rPr>
          <w:rFonts w:ascii="宋体" w:hAnsi="宋体" w:cs="宋体"/>
          <w:color w:val="auto"/>
          <w:sz w:val="24"/>
        </w:rPr>
      </w:pPr>
      <w:r>
        <w:rPr>
          <w:rFonts w:hint="eastAsia" w:ascii="宋体" w:hAnsi="宋体" w:cs="宋体"/>
          <w:color w:val="auto"/>
          <w:sz w:val="24"/>
        </w:rPr>
        <w:t xml:space="preserve">（3）装运标志 </w:t>
      </w:r>
    </w:p>
    <w:p w14:paraId="1A39829C">
      <w:pPr>
        <w:spacing w:line="520" w:lineRule="exact"/>
        <w:ind w:firstLine="360"/>
        <w:rPr>
          <w:rFonts w:ascii="宋体" w:hAnsi="宋体" w:cs="宋体"/>
          <w:color w:val="auto"/>
          <w:sz w:val="24"/>
        </w:rPr>
      </w:pPr>
      <w:r>
        <w:rPr>
          <w:rFonts w:hint="eastAsia" w:ascii="宋体" w:hAnsi="宋体" w:cs="宋体"/>
          <w:color w:val="auto"/>
          <w:sz w:val="24"/>
        </w:rPr>
        <w:t xml:space="preserve">（4）收货人代号 </w:t>
      </w:r>
    </w:p>
    <w:p w14:paraId="41FA692E">
      <w:pPr>
        <w:spacing w:line="520" w:lineRule="exact"/>
        <w:ind w:firstLine="360"/>
        <w:rPr>
          <w:rFonts w:ascii="宋体" w:hAnsi="宋体" w:cs="宋体"/>
          <w:color w:val="auto"/>
          <w:sz w:val="24"/>
        </w:rPr>
      </w:pPr>
      <w:r>
        <w:rPr>
          <w:rFonts w:hint="eastAsia" w:ascii="宋体" w:hAnsi="宋体" w:cs="宋体"/>
          <w:color w:val="auto"/>
          <w:sz w:val="24"/>
        </w:rPr>
        <w:t xml:space="preserve">（5）目的地 </w:t>
      </w:r>
    </w:p>
    <w:p w14:paraId="1368F181">
      <w:pPr>
        <w:spacing w:line="520" w:lineRule="exact"/>
        <w:ind w:firstLine="360"/>
        <w:rPr>
          <w:rFonts w:ascii="宋体" w:hAnsi="宋体" w:cs="宋体"/>
          <w:color w:val="auto"/>
          <w:sz w:val="24"/>
        </w:rPr>
      </w:pPr>
      <w:r>
        <w:rPr>
          <w:rFonts w:hint="eastAsia" w:ascii="宋体" w:hAnsi="宋体" w:cs="宋体"/>
          <w:color w:val="auto"/>
          <w:sz w:val="24"/>
        </w:rPr>
        <w:t>（6）货物（含软件及相关服务）名称、品目号和箱号</w:t>
      </w:r>
    </w:p>
    <w:p w14:paraId="638D3AEC">
      <w:pPr>
        <w:spacing w:line="520" w:lineRule="exact"/>
        <w:ind w:firstLine="360"/>
        <w:rPr>
          <w:rFonts w:ascii="宋体" w:hAnsi="宋体" w:cs="宋体"/>
          <w:color w:val="auto"/>
          <w:sz w:val="24"/>
        </w:rPr>
      </w:pPr>
      <w:r>
        <w:rPr>
          <w:rFonts w:hint="eastAsia" w:ascii="宋体" w:hAnsi="宋体" w:cs="宋体"/>
          <w:color w:val="auto"/>
          <w:sz w:val="24"/>
        </w:rPr>
        <w:t xml:space="preserve">（7）毛重／净重 </w:t>
      </w:r>
    </w:p>
    <w:p w14:paraId="08A8B5A9">
      <w:pPr>
        <w:spacing w:line="520" w:lineRule="exact"/>
        <w:ind w:firstLine="360"/>
        <w:rPr>
          <w:rFonts w:ascii="宋体" w:hAnsi="宋体" w:cs="宋体"/>
          <w:color w:val="auto"/>
          <w:sz w:val="24"/>
        </w:rPr>
      </w:pPr>
      <w:r>
        <w:rPr>
          <w:rFonts w:hint="eastAsia" w:ascii="宋体" w:hAnsi="宋体" w:cs="宋体"/>
          <w:color w:val="auto"/>
          <w:sz w:val="24"/>
        </w:rPr>
        <w:t xml:space="preserve">（8）尺寸（长X宽X高，以厘米计） </w:t>
      </w:r>
    </w:p>
    <w:p w14:paraId="5B88BBD1">
      <w:pPr>
        <w:spacing w:line="520" w:lineRule="exact"/>
        <w:ind w:firstLine="660"/>
        <w:rPr>
          <w:rFonts w:ascii="宋体" w:hAnsi="宋体" w:cs="宋体"/>
          <w:color w:val="auto"/>
          <w:sz w:val="24"/>
        </w:rPr>
      </w:pPr>
      <w:r>
        <w:rPr>
          <w:rFonts w:hint="eastAsia" w:ascii="宋体" w:hAnsi="宋体" w:cs="宋体"/>
          <w:color w:val="auto"/>
          <w:sz w:val="24"/>
        </w:rPr>
        <w:t xml:space="preserve">5.2 如果货物（含软件及相关服务）单件重量在两吨或两吨以上，乙方应在每件包装箱的两侧用中文和适当的运输标志标明“重心”和“吊装点”，以便装卸和搬运。根据货物（含软件及相关服务）的特点和运输的不同要求，乙方应在包装箱上清楚地标有“小心轻放”、“勿倒置”、“防潮”等字样和其他适当的标记。 </w:t>
      </w:r>
    </w:p>
    <w:p w14:paraId="3C61BFD3">
      <w:pPr>
        <w:spacing w:line="520" w:lineRule="exact"/>
        <w:ind w:firstLine="660"/>
        <w:rPr>
          <w:rFonts w:ascii="宋体" w:hAnsi="宋体" w:cs="宋体"/>
          <w:color w:val="auto"/>
          <w:sz w:val="24"/>
        </w:rPr>
      </w:pPr>
      <w:r>
        <w:rPr>
          <w:rFonts w:hint="eastAsia" w:ascii="宋体" w:hAnsi="宋体" w:cs="宋体"/>
          <w:color w:val="auto"/>
          <w:sz w:val="24"/>
        </w:rPr>
        <w:t>5.3因缺少装运标志或者装运标志不明确导致货物在运输、装卸过程中产生的损失，乙方应承担相应的过错责任。</w:t>
      </w:r>
    </w:p>
    <w:p w14:paraId="58575CFC">
      <w:pPr>
        <w:spacing w:line="520" w:lineRule="exact"/>
        <w:rPr>
          <w:rFonts w:ascii="宋体" w:hAnsi="宋体" w:cs="宋体"/>
          <w:color w:val="auto"/>
          <w:sz w:val="24"/>
        </w:rPr>
      </w:pPr>
      <w:r>
        <w:rPr>
          <w:rFonts w:hint="eastAsia" w:ascii="宋体" w:hAnsi="宋体" w:cs="宋体"/>
          <w:color w:val="auto"/>
          <w:sz w:val="24"/>
        </w:rPr>
        <w:t>6.付款方式</w:t>
      </w:r>
    </w:p>
    <w:p w14:paraId="34148419">
      <w:pPr>
        <w:spacing w:line="520" w:lineRule="exact"/>
        <w:ind w:firstLine="660"/>
        <w:rPr>
          <w:rFonts w:ascii="宋体" w:hAnsi="宋体" w:cs="宋体"/>
          <w:color w:val="auto"/>
          <w:sz w:val="24"/>
        </w:rPr>
      </w:pPr>
      <w:r>
        <w:rPr>
          <w:rFonts w:hint="eastAsia" w:ascii="宋体" w:hAnsi="宋体" w:cs="宋体"/>
          <w:color w:val="auto"/>
          <w:sz w:val="24"/>
        </w:rPr>
        <w:t>6.1本合同以人民币付款。</w:t>
      </w:r>
    </w:p>
    <w:p w14:paraId="109791A7">
      <w:pPr>
        <w:spacing w:line="520" w:lineRule="exact"/>
        <w:ind w:firstLine="660"/>
        <w:rPr>
          <w:rFonts w:ascii="宋体" w:hAnsi="宋体" w:cs="宋体"/>
          <w:color w:val="auto"/>
          <w:sz w:val="24"/>
        </w:rPr>
      </w:pPr>
      <w:r>
        <w:rPr>
          <w:rFonts w:hint="eastAsia" w:ascii="宋体" w:hAnsi="宋体" w:cs="宋体"/>
          <w:color w:val="auto"/>
          <w:sz w:val="24"/>
        </w:rPr>
        <w:t>6.2乙方应按照与甲方签订的合同规定交货。交货后乙方向甲方提供下列单据，甲方按合同规定审核后付款:</w:t>
      </w:r>
    </w:p>
    <w:p w14:paraId="4F5662AB">
      <w:pPr>
        <w:spacing w:line="520" w:lineRule="exact"/>
        <w:ind w:firstLine="660"/>
        <w:rPr>
          <w:rFonts w:ascii="宋体" w:hAnsi="宋体" w:cs="宋体"/>
          <w:color w:val="auto"/>
          <w:sz w:val="24"/>
        </w:rPr>
      </w:pPr>
      <w:r>
        <w:rPr>
          <w:rFonts w:hint="eastAsia" w:ascii="宋体" w:hAnsi="宋体" w:cs="宋体"/>
          <w:color w:val="auto"/>
          <w:sz w:val="24"/>
        </w:rPr>
        <w:t>（1）发票；</w:t>
      </w:r>
    </w:p>
    <w:p w14:paraId="618833F1">
      <w:pPr>
        <w:spacing w:line="520" w:lineRule="exact"/>
        <w:ind w:firstLine="660"/>
        <w:rPr>
          <w:rFonts w:ascii="宋体" w:hAnsi="宋体" w:cs="宋体"/>
          <w:color w:val="auto"/>
          <w:sz w:val="24"/>
        </w:rPr>
      </w:pPr>
      <w:r>
        <w:rPr>
          <w:rFonts w:hint="eastAsia" w:ascii="宋体" w:hAnsi="宋体" w:cs="宋体"/>
          <w:color w:val="auto"/>
          <w:sz w:val="24"/>
        </w:rPr>
        <w:t>（2）制造厂家出具的质量检验证书等；</w:t>
      </w:r>
    </w:p>
    <w:p w14:paraId="4C79771E">
      <w:pPr>
        <w:spacing w:line="520" w:lineRule="exact"/>
        <w:ind w:firstLine="660"/>
        <w:rPr>
          <w:rFonts w:ascii="宋体" w:hAnsi="宋体" w:cs="宋体"/>
          <w:color w:val="auto"/>
          <w:sz w:val="24"/>
        </w:rPr>
      </w:pPr>
      <w:r>
        <w:rPr>
          <w:rFonts w:hint="eastAsia" w:ascii="宋体" w:hAnsi="宋体" w:cs="宋体"/>
          <w:color w:val="auto"/>
          <w:sz w:val="24"/>
        </w:rPr>
        <w:t>（3）装箱单；</w:t>
      </w:r>
    </w:p>
    <w:p w14:paraId="78D30B31">
      <w:pPr>
        <w:spacing w:line="520" w:lineRule="exact"/>
        <w:ind w:firstLine="660"/>
        <w:rPr>
          <w:rFonts w:ascii="宋体" w:hAnsi="宋体" w:cs="宋体"/>
          <w:color w:val="auto"/>
          <w:sz w:val="24"/>
        </w:rPr>
      </w:pPr>
      <w:r>
        <w:rPr>
          <w:rFonts w:hint="eastAsia" w:ascii="宋体" w:hAnsi="宋体" w:cs="宋体"/>
          <w:color w:val="auto"/>
          <w:sz w:val="24"/>
        </w:rPr>
        <w:t>（4）验收合格证；</w:t>
      </w:r>
    </w:p>
    <w:p w14:paraId="365AE5F8">
      <w:pPr>
        <w:spacing w:line="520" w:lineRule="exact"/>
        <w:ind w:firstLine="660"/>
        <w:rPr>
          <w:rFonts w:ascii="宋体" w:hAnsi="宋体" w:cs="宋体"/>
          <w:color w:val="auto"/>
          <w:sz w:val="24"/>
        </w:rPr>
      </w:pPr>
      <w:r>
        <w:rPr>
          <w:rFonts w:hint="eastAsia" w:ascii="宋体" w:hAnsi="宋体" w:cs="宋体"/>
          <w:color w:val="auto"/>
          <w:sz w:val="24"/>
        </w:rPr>
        <w:t>（5）使用方加盖公章证明货物交付使用合格的验收表。</w:t>
      </w:r>
    </w:p>
    <w:p w14:paraId="07E4EC76">
      <w:pPr>
        <w:spacing w:line="520" w:lineRule="exact"/>
        <w:ind w:firstLine="660"/>
        <w:rPr>
          <w:rFonts w:ascii="宋体" w:hAnsi="宋体" w:cs="宋体"/>
          <w:color w:val="auto"/>
          <w:sz w:val="24"/>
        </w:rPr>
      </w:pPr>
      <w:r>
        <w:rPr>
          <w:rFonts w:hint="eastAsia" w:ascii="宋体" w:hAnsi="宋体" w:cs="宋体"/>
          <w:color w:val="auto"/>
          <w:sz w:val="24"/>
        </w:rPr>
        <w:t>6.3甲方将按招标文件中规定的付款方式安排付款。</w:t>
      </w:r>
    </w:p>
    <w:p w14:paraId="46425E17">
      <w:pPr>
        <w:spacing w:line="520" w:lineRule="exact"/>
        <w:rPr>
          <w:rFonts w:ascii="宋体" w:hAnsi="宋体" w:cs="宋体"/>
          <w:color w:val="auto"/>
          <w:sz w:val="24"/>
        </w:rPr>
      </w:pPr>
      <w:r>
        <w:rPr>
          <w:rFonts w:hint="eastAsia" w:ascii="宋体" w:hAnsi="宋体" w:cs="宋体"/>
          <w:color w:val="auto"/>
          <w:sz w:val="24"/>
        </w:rPr>
        <w:t>7.伴随服务</w:t>
      </w:r>
    </w:p>
    <w:p w14:paraId="0D4B66E8">
      <w:pPr>
        <w:spacing w:line="520" w:lineRule="exact"/>
        <w:ind w:firstLine="660"/>
        <w:rPr>
          <w:rFonts w:ascii="宋体" w:hAnsi="宋体" w:cs="宋体"/>
          <w:color w:val="auto"/>
          <w:sz w:val="24"/>
        </w:rPr>
      </w:pPr>
      <w:r>
        <w:rPr>
          <w:rFonts w:hint="eastAsia" w:ascii="宋体" w:hAnsi="宋体" w:cs="宋体"/>
          <w:color w:val="auto"/>
          <w:sz w:val="24"/>
        </w:rPr>
        <w:t>7.1乙方应按照国家有关规定和合同中所附的服务承诺提供服务。</w:t>
      </w:r>
    </w:p>
    <w:p w14:paraId="1BA06936">
      <w:pPr>
        <w:spacing w:line="520" w:lineRule="exact"/>
        <w:ind w:firstLine="660"/>
        <w:rPr>
          <w:rFonts w:ascii="宋体" w:hAnsi="宋体" w:cs="宋体"/>
          <w:color w:val="auto"/>
          <w:sz w:val="24"/>
        </w:rPr>
      </w:pPr>
      <w:r>
        <w:rPr>
          <w:rFonts w:hint="eastAsia" w:ascii="宋体" w:hAnsi="宋体" w:cs="宋体"/>
          <w:color w:val="auto"/>
          <w:sz w:val="24"/>
        </w:rPr>
        <w:t>7.2除第7.1条规定外，乙方还应提供下列服务:</w:t>
      </w:r>
    </w:p>
    <w:p w14:paraId="39C8A4FB">
      <w:pPr>
        <w:spacing w:line="520" w:lineRule="exact"/>
        <w:ind w:firstLine="480"/>
        <w:rPr>
          <w:rFonts w:ascii="宋体" w:hAnsi="宋体" w:cs="宋体"/>
          <w:color w:val="auto"/>
          <w:sz w:val="24"/>
        </w:rPr>
      </w:pPr>
      <w:r>
        <w:rPr>
          <w:rFonts w:hint="eastAsia" w:ascii="宋体" w:hAnsi="宋体" w:cs="宋体"/>
          <w:color w:val="auto"/>
          <w:sz w:val="24"/>
        </w:rPr>
        <w:t>（1）货物的现场安装和启动监督；</w:t>
      </w:r>
    </w:p>
    <w:p w14:paraId="1CA54E41">
      <w:pPr>
        <w:spacing w:line="520" w:lineRule="exact"/>
        <w:ind w:firstLine="480"/>
        <w:rPr>
          <w:rFonts w:ascii="宋体" w:hAnsi="宋体" w:cs="宋体"/>
          <w:color w:val="auto"/>
          <w:sz w:val="24"/>
        </w:rPr>
      </w:pPr>
      <w:r>
        <w:rPr>
          <w:rFonts w:hint="eastAsia" w:ascii="宋体" w:hAnsi="宋体" w:cs="宋体"/>
          <w:color w:val="auto"/>
          <w:sz w:val="24"/>
        </w:rPr>
        <w:t>（2）提供货物组装和维修所需的工具；</w:t>
      </w:r>
    </w:p>
    <w:p w14:paraId="0068BBE2">
      <w:pPr>
        <w:spacing w:line="520" w:lineRule="exact"/>
        <w:ind w:firstLine="480"/>
        <w:rPr>
          <w:rFonts w:ascii="宋体" w:hAnsi="宋体" w:cs="宋体"/>
          <w:color w:val="auto"/>
          <w:sz w:val="24"/>
        </w:rPr>
      </w:pPr>
      <w:r>
        <w:rPr>
          <w:rFonts w:hint="eastAsia" w:ascii="宋体" w:hAnsi="宋体" w:cs="宋体"/>
          <w:color w:val="auto"/>
          <w:sz w:val="24"/>
        </w:rPr>
        <w:t>（3）在合同中乙方承诺的期限内对所提供货物实施运行监督、维修，但前提条件是该服务并不能免除乙方在质量保证期内应承担的义务；</w:t>
      </w:r>
    </w:p>
    <w:p w14:paraId="002B3079">
      <w:pPr>
        <w:spacing w:line="520" w:lineRule="exact"/>
        <w:ind w:firstLine="480"/>
        <w:rPr>
          <w:rFonts w:ascii="宋体" w:hAnsi="宋体" w:cs="宋体"/>
          <w:color w:val="auto"/>
          <w:sz w:val="24"/>
        </w:rPr>
      </w:pPr>
      <w:r>
        <w:rPr>
          <w:rFonts w:hint="eastAsia" w:ascii="宋体" w:hAnsi="宋体" w:cs="宋体"/>
          <w:color w:val="auto"/>
          <w:sz w:val="24"/>
        </w:rPr>
        <w:t>（4）在项目交货现场就货物的安装、启动、运行、维护对甲方人员进行培训。</w:t>
      </w:r>
    </w:p>
    <w:p w14:paraId="4E85063C">
      <w:pPr>
        <w:spacing w:line="520" w:lineRule="exact"/>
        <w:ind w:firstLine="660"/>
        <w:rPr>
          <w:rFonts w:ascii="宋体" w:hAnsi="宋体" w:cs="宋体"/>
          <w:color w:val="auto"/>
          <w:sz w:val="24"/>
        </w:rPr>
      </w:pPr>
      <w:r>
        <w:rPr>
          <w:rFonts w:hint="eastAsia" w:ascii="宋体" w:hAnsi="宋体" w:cs="宋体"/>
          <w:color w:val="auto"/>
          <w:sz w:val="24"/>
        </w:rPr>
        <w:t>7.3伴随服务的费用应含在合同价中，不单独进行支付。</w:t>
      </w:r>
    </w:p>
    <w:p w14:paraId="6B68E2AB">
      <w:pPr>
        <w:spacing w:line="520" w:lineRule="exact"/>
        <w:rPr>
          <w:rFonts w:ascii="宋体" w:hAnsi="宋体" w:cs="宋体"/>
          <w:color w:val="auto"/>
          <w:sz w:val="24"/>
        </w:rPr>
      </w:pPr>
      <w:r>
        <w:rPr>
          <w:rFonts w:hint="eastAsia" w:ascii="宋体" w:hAnsi="宋体" w:cs="宋体"/>
          <w:color w:val="auto"/>
          <w:sz w:val="24"/>
        </w:rPr>
        <w:t>8.质量保证</w:t>
      </w:r>
    </w:p>
    <w:p w14:paraId="6F9B45A8">
      <w:pPr>
        <w:spacing w:line="520" w:lineRule="exact"/>
        <w:ind w:firstLine="658"/>
        <w:rPr>
          <w:rFonts w:ascii="宋体" w:hAnsi="宋体" w:cs="宋体"/>
          <w:color w:val="auto"/>
          <w:sz w:val="24"/>
        </w:rPr>
      </w:pPr>
      <w:r>
        <w:rPr>
          <w:rFonts w:hint="eastAsia" w:ascii="宋体" w:hAnsi="宋体" w:cs="宋体"/>
          <w:color w:val="auto"/>
          <w:sz w:val="24"/>
        </w:rPr>
        <w:t xml:space="preserve">8.1 乙方应保证货物（含软件及相关服务）是全新的，未使用过的，是用一流的工艺和最佳材料制造而成的，并完全符合合同规定的质量、规格和性能要求。乙方应保证所提供的货物（含软件及相关服务）经正确安装、正常运转和保养在其使用寿命期内应具有满意的性能。在货物（含软件及相关服务）质量保证期内，乙方应对由于设计、工艺或材料的缺陷而造成的任何不足或故障负责。 </w:t>
      </w:r>
    </w:p>
    <w:p w14:paraId="4AE6865D">
      <w:pPr>
        <w:spacing w:line="520" w:lineRule="exact"/>
        <w:ind w:firstLine="658"/>
        <w:rPr>
          <w:rFonts w:ascii="宋体" w:hAnsi="宋体" w:cs="宋体"/>
          <w:color w:val="auto"/>
          <w:sz w:val="24"/>
        </w:rPr>
      </w:pPr>
      <w:r>
        <w:rPr>
          <w:rFonts w:hint="eastAsia" w:ascii="宋体" w:hAnsi="宋体" w:cs="宋体"/>
          <w:color w:val="auto"/>
          <w:sz w:val="24"/>
        </w:rPr>
        <w:t xml:space="preserve">8.2 根据甲方按检验标准自己检验的结果或当地商检部门检验结果，或者在质量保证期内，如果货物（含软件及相关服务）的数量、质量或规格与合同不符，或证实货物（含软件及相关服务）是有缺陷的，包括潜在缺陷或使用不符合要求的材料等，甲方应在一个月内以书面形式通知乙方，提出索赔。 </w:t>
      </w:r>
    </w:p>
    <w:p w14:paraId="53FF8D52">
      <w:pPr>
        <w:spacing w:line="520" w:lineRule="exact"/>
        <w:ind w:firstLine="658"/>
        <w:rPr>
          <w:rFonts w:ascii="宋体" w:hAnsi="宋体" w:cs="宋体"/>
          <w:color w:val="auto"/>
          <w:sz w:val="24"/>
        </w:rPr>
      </w:pPr>
      <w:r>
        <w:rPr>
          <w:rFonts w:hint="eastAsia" w:ascii="宋体" w:hAnsi="宋体" w:cs="宋体"/>
          <w:color w:val="auto"/>
          <w:sz w:val="24"/>
        </w:rPr>
        <w:t xml:space="preserve">8.3 乙方在收到通知后三十天内应免费维修或更换有缺陷的货物（含软件及相关服务）或部件。 </w:t>
      </w:r>
    </w:p>
    <w:p w14:paraId="699DCF30">
      <w:pPr>
        <w:spacing w:line="520" w:lineRule="exact"/>
        <w:ind w:firstLine="658"/>
        <w:rPr>
          <w:rFonts w:ascii="宋体" w:hAnsi="宋体" w:cs="宋体"/>
          <w:color w:val="auto"/>
          <w:sz w:val="24"/>
        </w:rPr>
      </w:pPr>
      <w:r>
        <w:rPr>
          <w:rFonts w:hint="eastAsia" w:ascii="宋体" w:hAnsi="宋体" w:cs="宋体"/>
          <w:color w:val="auto"/>
          <w:sz w:val="24"/>
        </w:rPr>
        <w:t>8.4 如果乙方在收到通知后三十天内没有弥补缺陷，甲方可采取必要的补救措施，但风险和费用将由乙方承担。</w:t>
      </w:r>
    </w:p>
    <w:p w14:paraId="1C7EF68D">
      <w:pPr>
        <w:spacing w:line="520" w:lineRule="exact"/>
        <w:ind w:firstLine="658"/>
        <w:rPr>
          <w:rFonts w:ascii="宋体" w:hAnsi="宋体" w:cs="宋体"/>
          <w:color w:val="auto"/>
          <w:sz w:val="24"/>
        </w:rPr>
      </w:pPr>
      <w:r>
        <w:rPr>
          <w:rFonts w:hint="eastAsia" w:ascii="宋体" w:hAnsi="宋体" w:cs="宋体"/>
          <w:color w:val="auto"/>
          <w:sz w:val="24"/>
        </w:rPr>
        <w:t>8.5 除合同专用条款规定外，合同项下货物（含软件及相关服务）的质量保证期为自货物（含软件及相关服务）通过最终验收起12个月。</w:t>
      </w:r>
    </w:p>
    <w:p w14:paraId="1F5C5BE2">
      <w:pPr>
        <w:spacing w:line="520" w:lineRule="exact"/>
        <w:rPr>
          <w:rFonts w:ascii="宋体" w:hAnsi="宋体" w:cs="宋体"/>
          <w:color w:val="auto"/>
          <w:sz w:val="24"/>
        </w:rPr>
      </w:pPr>
      <w:r>
        <w:rPr>
          <w:rFonts w:hint="eastAsia" w:ascii="宋体" w:hAnsi="宋体" w:cs="宋体"/>
          <w:color w:val="auto"/>
          <w:sz w:val="24"/>
        </w:rPr>
        <w:t>9.检验及安装</w:t>
      </w:r>
    </w:p>
    <w:p w14:paraId="7124586E">
      <w:pPr>
        <w:spacing w:line="520" w:lineRule="exact"/>
        <w:ind w:firstLine="660"/>
        <w:rPr>
          <w:rFonts w:ascii="宋体" w:hAnsi="宋体" w:cs="宋体"/>
          <w:color w:val="auto"/>
          <w:sz w:val="24"/>
        </w:rPr>
      </w:pPr>
      <w:r>
        <w:rPr>
          <w:rFonts w:hint="eastAsia" w:ascii="宋体" w:hAnsi="宋体" w:cs="宋体"/>
          <w:color w:val="auto"/>
          <w:sz w:val="24"/>
        </w:rPr>
        <w:t xml:space="preserve">9.1 在交货前，制造商应对货物（含软件及相关服务）的质量、规格、性能、数量和重量等进行详细而全面的检验，并出具一份证明货物（含软件及相关服务）符合合同规定的证书。该证书将作为申请付款单据的一部分，但有关质量、规格、性能、数量或重量的检验不应视为最终检验。制造商检验的结果和细节应在证书中加以说明。 </w:t>
      </w:r>
    </w:p>
    <w:p w14:paraId="344AC2D8">
      <w:pPr>
        <w:spacing w:line="520" w:lineRule="exact"/>
        <w:ind w:firstLine="660"/>
        <w:rPr>
          <w:rFonts w:ascii="宋体" w:hAnsi="宋体" w:cs="宋体"/>
          <w:b/>
          <w:color w:val="auto"/>
          <w:sz w:val="24"/>
        </w:rPr>
      </w:pPr>
      <w:r>
        <w:rPr>
          <w:rFonts w:hint="eastAsia" w:ascii="宋体" w:hAnsi="宋体" w:cs="宋体"/>
          <w:color w:val="auto"/>
          <w:sz w:val="24"/>
        </w:rPr>
        <w:t xml:space="preserve">9.2 货物（含软件及相关服务）运抵现场后，甲方将对货物（含软件及相关服务）的质量、规格、数量和重量进行检验，并出具检验证书。如发现货物（含软件及相关服务）的规格或数量或两者都与合同不符，甲方有权在货物（含软件及相关服务）运抵现场后90天内，根据甲方按检验标准自己检验的结果或当地商检部门出具的检验证书向乙方提出索赔，除责任由保险公司或运输部门承担的之外。 </w:t>
      </w:r>
    </w:p>
    <w:p w14:paraId="71AEB80C">
      <w:pPr>
        <w:spacing w:line="520" w:lineRule="exact"/>
        <w:ind w:firstLine="660"/>
        <w:rPr>
          <w:rFonts w:ascii="宋体" w:hAnsi="宋体" w:cs="宋体"/>
          <w:b/>
          <w:color w:val="auto"/>
          <w:sz w:val="24"/>
        </w:rPr>
      </w:pPr>
      <w:r>
        <w:rPr>
          <w:rFonts w:hint="eastAsia" w:ascii="宋体" w:hAnsi="宋体" w:cs="宋体"/>
          <w:color w:val="auto"/>
          <w:sz w:val="24"/>
        </w:rPr>
        <w:t xml:space="preserve">9.3 如果货物（含软件及相关服务）的质量和规格与合同不符，或在第11条规定的质量保证期内证实货物（含软件及相关服务）是有缺陷的，包括潜在的缺陷或使用不符合要求的材料，甲方将有权向乙方提出索赔。 </w:t>
      </w:r>
    </w:p>
    <w:p w14:paraId="5E9A0B5D">
      <w:pPr>
        <w:spacing w:line="520" w:lineRule="exact"/>
        <w:ind w:firstLine="660"/>
        <w:rPr>
          <w:rFonts w:ascii="宋体" w:hAnsi="宋体" w:cs="宋体"/>
          <w:color w:val="auto"/>
          <w:sz w:val="24"/>
        </w:rPr>
      </w:pPr>
      <w:r>
        <w:rPr>
          <w:rFonts w:hint="eastAsia" w:ascii="宋体" w:hAnsi="宋体" w:cs="宋体"/>
          <w:color w:val="auto"/>
          <w:sz w:val="24"/>
        </w:rPr>
        <w:t>9.4 甲方有权提出在货物（含软件及相关服务）制造过程中派人到制造厂进行监造，乙方有义务为甲方监造人员提供方便。</w:t>
      </w:r>
    </w:p>
    <w:p w14:paraId="40D6CC95">
      <w:pPr>
        <w:spacing w:line="520" w:lineRule="exact"/>
        <w:ind w:firstLine="660"/>
        <w:rPr>
          <w:rFonts w:ascii="宋体" w:hAnsi="宋体" w:cs="宋体"/>
          <w:color w:val="auto"/>
          <w:sz w:val="24"/>
        </w:rPr>
      </w:pPr>
      <w:r>
        <w:rPr>
          <w:rFonts w:hint="eastAsia" w:ascii="宋体" w:hAnsi="宋体" w:cs="宋体"/>
          <w:color w:val="auto"/>
          <w:sz w:val="24"/>
        </w:rPr>
        <w:t xml:space="preserve">9.5 制造厂对所供货物（含软件及相关服务）进行机械运转试验和性能试验时，必须提前通知甲方。 </w:t>
      </w:r>
    </w:p>
    <w:p w14:paraId="2ADB5656">
      <w:pPr>
        <w:spacing w:line="520" w:lineRule="exact"/>
        <w:ind w:firstLine="660"/>
        <w:rPr>
          <w:rFonts w:ascii="宋体" w:hAnsi="宋体" w:cs="宋体"/>
          <w:color w:val="auto"/>
          <w:sz w:val="24"/>
        </w:rPr>
      </w:pPr>
      <w:r>
        <w:rPr>
          <w:rFonts w:hint="eastAsia" w:ascii="宋体" w:hAnsi="宋体" w:cs="宋体"/>
          <w:color w:val="auto"/>
          <w:sz w:val="24"/>
        </w:rPr>
        <w:t>9.6 货物（含软件及相关服务）的安装按招标文件要求进行。</w:t>
      </w:r>
    </w:p>
    <w:p w14:paraId="0EA362BE">
      <w:pPr>
        <w:spacing w:line="520" w:lineRule="exact"/>
        <w:rPr>
          <w:rFonts w:ascii="宋体" w:hAnsi="宋体" w:cs="宋体"/>
          <w:color w:val="auto"/>
          <w:sz w:val="24"/>
        </w:rPr>
      </w:pPr>
      <w:r>
        <w:rPr>
          <w:rFonts w:hint="eastAsia" w:ascii="宋体" w:hAnsi="宋体" w:cs="宋体"/>
          <w:color w:val="auto"/>
          <w:sz w:val="24"/>
        </w:rPr>
        <w:t>10.索赔</w:t>
      </w:r>
    </w:p>
    <w:p w14:paraId="1CBB5FF0">
      <w:pPr>
        <w:spacing w:line="520" w:lineRule="exact"/>
        <w:ind w:firstLine="658"/>
        <w:rPr>
          <w:rFonts w:ascii="宋体" w:hAnsi="宋体" w:cs="宋体"/>
          <w:color w:val="auto"/>
          <w:sz w:val="24"/>
        </w:rPr>
      </w:pPr>
      <w:r>
        <w:rPr>
          <w:rFonts w:hint="eastAsia" w:ascii="宋体" w:hAnsi="宋体" w:cs="宋体"/>
          <w:color w:val="auto"/>
          <w:sz w:val="24"/>
        </w:rPr>
        <w:t xml:space="preserve">10.1 除责任应由保险公司或运输部门承担的之外，甲方有权根据甲方按检验标准自己检验的结果或当地商检部门出具的商检证书向乙方提出索赔。 </w:t>
      </w:r>
    </w:p>
    <w:p w14:paraId="595AC81F">
      <w:pPr>
        <w:spacing w:line="520" w:lineRule="exact"/>
        <w:ind w:firstLine="658"/>
        <w:rPr>
          <w:rFonts w:ascii="宋体" w:hAnsi="宋体" w:cs="宋体"/>
          <w:color w:val="auto"/>
          <w:sz w:val="24"/>
        </w:rPr>
      </w:pPr>
      <w:r>
        <w:rPr>
          <w:rFonts w:hint="eastAsia" w:ascii="宋体" w:hAnsi="宋体" w:cs="宋体"/>
          <w:color w:val="auto"/>
          <w:sz w:val="24"/>
        </w:rPr>
        <w:t>10.2 在第 8条和第9条规定的检验期和质量保证期内，如果乙方对甲方提出的索赔和差异负有责任，乙方应按照甲方同意的下列一种或多种方式解决索赔事宜:</w:t>
      </w:r>
    </w:p>
    <w:p w14:paraId="3D69363D">
      <w:pPr>
        <w:spacing w:line="520" w:lineRule="exact"/>
        <w:ind w:firstLine="360"/>
        <w:rPr>
          <w:rFonts w:ascii="宋体" w:hAnsi="宋体" w:cs="宋体"/>
          <w:color w:val="auto"/>
          <w:sz w:val="24"/>
        </w:rPr>
      </w:pPr>
      <w:r>
        <w:rPr>
          <w:rFonts w:hint="eastAsia" w:ascii="宋体" w:hAnsi="宋体" w:cs="宋体"/>
          <w:color w:val="auto"/>
          <w:sz w:val="24"/>
        </w:rPr>
        <w:t>（1）乙方同意退货，并按合同规定的同种货币将货款退还给甲方，并承担由此发生的一切损失和费用，包括利息、银行手续费、运费、保险费、检验费、仓储费、装卸费以及为保护退回货物（含软件及相关服务）所需的其它必要费用。</w:t>
      </w:r>
    </w:p>
    <w:p w14:paraId="5757E3CF">
      <w:pPr>
        <w:spacing w:line="520" w:lineRule="exact"/>
        <w:ind w:firstLine="360"/>
        <w:rPr>
          <w:rFonts w:ascii="宋体" w:hAnsi="宋体" w:cs="宋体"/>
          <w:color w:val="auto"/>
          <w:sz w:val="24"/>
        </w:rPr>
      </w:pPr>
      <w:r>
        <w:rPr>
          <w:rFonts w:hint="eastAsia" w:ascii="宋体" w:hAnsi="宋体" w:cs="宋体"/>
          <w:color w:val="auto"/>
          <w:sz w:val="24"/>
        </w:rPr>
        <w:t>（2）根据货物（含软件及相关服务）的低劣程度、损坏程度以及甲方遭受损失的数额，经买卖双方商定降低货物（含软件及相关服务）的价格。</w:t>
      </w:r>
    </w:p>
    <w:p w14:paraId="7A1C4F13">
      <w:pPr>
        <w:spacing w:line="520" w:lineRule="exact"/>
        <w:ind w:firstLine="360"/>
        <w:rPr>
          <w:rFonts w:ascii="宋体" w:hAnsi="宋体" w:cs="宋体"/>
          <w:color w:val="auto"/>
          <w:sz w:val="24"/>
        </w:rPr>
      </w:pPr>
      <w:r>
        <w:rPr>
          <w:rFonts w:hint="eastAsia" w:ascii="宋体" w:hAnsi="宋体" w:cs="宋体"/>
          <w:color w:val="auto"/>
          <w:sz w:val="24"/>
        </w:rPr>
        <w:t xml:space="preserve">（3）用符合规格、质量和性能要求的新零件、部件或货物（含软件及相关服务）来更换有缺陷的部分或修补缺陷部分，乙方应承担一切费用和风险并负担甲方所发生的一切直接费用。同时，乙方应按合同第8条规定，相应延长修补或被更换部件或货物（含软件及相关服务）的质量保证期。 </w:t>
      </w:r>
    </w:p>
    <w:p w14:paraId="0AC704CF">
      <w:pPr>
        <w:spacing w:line="520" w:lineRule="exact"/>
        <w:ind w:firstLine="480"/>
        <w:rPr>
          <w:rFonts w:ascii="宋体" w:hAnsi="宋体" w:cs="宋体"/>
          <w:color w:val="auto"/>
          <w:sz w:val="24"/>
        </w:rPr>
      </w:pPr>
      <w:r>
        <w:rPr>
          <w:rFonts w:hint="eastAsia" w:ascii="宋体" w:hAnsi="宋体" w:cs="宋体"/>
          <w:color w:val="auto"/>
          <w:sz w:val="24"/>
        </w:rPr>
        <w:t>10.3 如果在甲方发出索赔通知后30天内，乙方未能答复，上达索赔应视为已被乙方接受。若乙方未能在甲方提出索赔通知后30天内或甲方同意的更长时间内，按照第10.2条规定的任何一种方法解决索赔事宜，甲方将从已付款或从乙方开具的履约保证金中扣回索赔金额。如果这些金额不足以补偿索赔金额，甲方有权向乙方提出不足部分的补偿。</w:t>
      </w:r>
    </w:p>
    <w:p w14:paraId="3E9DAA82">
      <w:pPr>
        <w:spacing w:line="520" w:lineRule="exact"/>
        <w:rPr>
          <w:rFonts w:ascii="宋体" w:hAnsi="宋体" w:cs="宋体"/>
          <w:color w:val="auto"/>
          <w:sz w:val="24"/>
        </w:rPr>
      </w:pPr>
      <w:r>
        <w:rPr>
          <w:rFonts w:hint="eastAsia" w:ascii="宋体" w:hAnsi="宋体" w:cs="宋体"/>
          <w:color w:val="auto"/>
          <w:sz w:val="24"/>
        </w:rPr>
        <w:t>11.拖延交货</w:t>
      </w:r>
    </w:p>
    <w:p w14:paraId="6112D769">
      <w:pPr>
        <w:spacing w:line="520" w:lineRule="exact"/>
        <w:ind w:firstLine="480"/>
        <w:rPr>
          <w:rFonts w:ascii="宋体" w:hAnsi="宋体" w:cs="宋体"/>
          <w:color w:val="auto"/>
          <w:sz w:val="24"/>
        </w:rPr>
      </w:pPr>
      <w:r>
        <w:rPr>
          <w:rFonts w:hint="eastAsia" w:ascii="宋体" w:hAnsi="宋体" w:cs="宋体"/>
          <w:color w:val="auto"/>
          <w:sz w:val="24"/>
        </w:rPr>
        <w:t xml:space="preserve">11.1 乙方应按照合同专用条款中规定的交货期交货和提供服务。 </w:t>
      </w:r>
    </w:p>
    <w:p w14:paraId="44593918">
      <w:pPr>
        <w:spacing w:line="520" w:lineRule="exact"/>
        <w:ind w:firstLine="480"/>
        <w:rPr>
          <w:rFonts w:ascii="宋体" w:hAnsi="宋体" w:cs="宋体"/>
          <w:color w:val="auto"/>
          <w:sz w:val="24"/>
        </w:rPr>
      </w:pPr>
      <w:r>
        <w:rPr>
          <w:rFonts w:hint="eastAsia" w:ascii="宋体" w:hAnsi="宋体" w:cs="宋体"/>
          <w:color w:val="auto"/>
          <w:sz w:val="24"/>
        </w:rPr>
        <w:t xml:space="preserve">11.2 如果乙方毫无理由地拖延交货，将受到以下制裁:没收履约保证金，加收违约损失赔偿和／或终止合同。 </w:t>
      </w:r>
    </w:p>
    <w:p w14:paraId="65FB8C8B">
      <w:pPr>
        <w:spacing w:line="520" w:lineRule="exact"/>
        <w:ind w:firstLine="567"/>
        <w:rPr>
          <w:rFonts w:ascii="宋体" w:hAnsi="宋体" w:cs="宋体"/>
          <w:color w:val="auto"/>
          <w:sz w:val="24"/>
        </w:rPr>
      </w:pPr>
      <w:r>
        <w:rPr>
          <w:rFonts w:hint="eastAsia" w:ascii="宋体" w:hAnsi="宋体" w:cs="宋体"/>
          <w:color w:val="auto"/>
          <w:sz w:val="24"/>
        </w:rPr>
        <w:t xml:space="preserve">11.3 在履行合同过程中，如果乙方遇到不能按时交货和提供服务的情况，应及时以书面形式将不能按时交货的理由、延误时间通知甲方。甲方在收到乙方通知后，应进行分析，可通过修改合同，酌情延长交货时间。 </w:t>
      </w:r>
    </w:p>
    <w:p w14:paraId="20D8F871">
      <w:pPr>
        <w:spacing w:line="520" w:lineRule="exact"/>
        <w:rPr>
          <w:rFonts w:ascii="宋体" w:hAnsi="宋体" w:cs="宋体"/>
          <w:color w:val="auto"/>
          <w:sz w:val="24"/>
        </w:rPr>
      </w:pPr>
      <w:r>
        <w:rPr>
          <w:rFonts w:hint="eastAsia" w:ascii="宋体" w:hAnsi="宋体" w:cs="宋体"/>
          <w:color w:val="auto"/>
          <w:sz w:val="24"/>
        </w:rPr>
        <w:t>12.误期赔偿</w:t>
      </w:r>
    </w:p>
    <w:p w14:paraId="20726610">
      <w:pPr>
        <w:spacing w:line="520" w:lineRule="exact"/>
        <w:ind w:firstLine="567"/>
        <w:rPr>
          <w:rFonts w:ascii="宋体" w:hAnsi="宋体" w:cs="宋体"/>
          <w:color w:val="auto"/>
          <w:sz w:val="24"/>
        </w:rPr>
      </w:pPr>
      <w:r>
        <w:rPr>
          <w:rFonts w:hint="eastAsia" w:ascii="宋体" w:hAnsi="宋体" w:cs="宋体"/>
          <w:color w:val="auto"/>
          <w:sz w:val="24"/>
        </w:rPr>
        <w:t>12.1除合同条款第13条规定外，如果乙方没有按照合同规定的时间交货和提供服务，甲方将从货款中扣除误期赔偿费而不影响合同项目的其他补救方法，赔偿费按每天迟交货物交货价或未提供服务费用的1%计收，直至交货或提供服务为止。但误期赔偿费的最高限为误期货物或服务合同价的10%。一旦达到误期赔偿的最高限额，甲方可考虑终止合同。</w:t>
      </w:r>
    </w:p>
    <w:p w14:paraId="16F4A87B">
      <w:pPr>
        <w:spacing w:line="520" w:lineRule="exact"/>
        <w:rPr>
          <w:rFonts w:ascii="宋体" w:hAnsi="宋体" w:cs="宋体"/>
          <w:color w:val="auto"/>
          <w:sz w:val="24"/>
        </w:rPr>
      </w:pPr>
      <w:r>
        <w:rPr>
          <w:rFonts w:hint="eastAsia" w:ascii="宋体" w:hAnsi="宋体" w:cs="宋体"/>
          <w:color w:val="auto"/>
          <w:sz w:val="24"/>
        </w:rPr>
        <w:t>13.不可抗力</w:t>
      </w:r>
    </w:p>
    <w:p w14:paraId="4B2848D6">
      <w:pPr>
        <w:spacing w:line="520" w:lineRule="exact"/>
        <w:ind w:firstLine="567"/>
        <w:rPr>
          <w:rFonts w:ascii="宋体" w:hAnsi="宋体" w:cs="宋体"/>
          <w:color w:val="auto"/>
          <w:sz w:val="24"/>
        </w:rPr>
      </w:pPr>
      <w:r>
        <w:rPr>
          <w:rFonts w:hint="eastAsia" w:ascii="宋体" w:hAnsi="宋体" w:cs="宋体"/>
          <w:color w:val="auto"/>
          <w:sz w:val="24"/>
        </w:rPr>
        <w:t xml:space="preserve">13.1 如果双方中任何一方由于战争、严重火灾、水灾、台风和地震以及其它经双方同意属于不可抗力的事故，致使合同履行受阻时，履行合同的期限应予以延长，延长的期限应相当于事故所影响的时间。 </w:t>
      </w:r>
    </w:p>
    <w:p w14:paraId="2AE31A18">
      <w:pPr>
        <w:spacing w:line="520" w:lineRule="exact"/>
        <w:ind w:firstLine="567"/>
        <w:rPr>
          <w:rFonts w:ascii="宋体" w:hAnsi="宋体" w:cs="宋体"/>
          <w:color w:val="auto"/>
          <w:sz w:val="24"/>
        </w:rPr>
      </w:pPr>
      <w:r>
        <w:rPr>
          <w:rFonts w:hint="eastAsia" w:ascii="宋体" w:hAnsi="宋体" w:cs="宋体"/>
          <w:color w:val="auto"/>
          <w:sz w:val="24"/>
        </w:rPr>
        <w:t xml:space="preserve">13.2 受事故影响的一方应在不可抗力事故发生后尽快以电报、传真或电传通知另一方，并在事故发生后14天内，将有关部门出具的证明文件用特快专递寄给或送给另一方。如果不可抗力影响时间延续120天以上，双方应通过友好协商在合理的时间内达成进一步履行合同的协议。 </w:t>
      </w:r>
    </w:p>
    <w:p w14:paraId="1AD6AA72">
      <w:pPr>
        <w:spacing w:line="520" w:lineRule="exact"/>
        <w:rPr>
          <w:rFonts w:ascii="宋体" w:hAnsi="宋体" w:cs="宋体"/>
          <w:color w:val="auto"/>
          <w:sz w:val="24"/>
        </w:rPr>
      </w:pPr>
      <w:r>
        <w:rPr>
          <w:rFonts w:hint="eastAsia" w:ascii="宋体" w:hAnsi="宋体" w:cs="宋体"/>
          <w:color w:val="auto"/>
          <w:sz w:val="24"/>
        </w:rPr>
        <w:t>14.税费</w:t>
      </w:r>
    </w:p>
    <w:p w14:paraId="3ECCF0BB">
      <w:pPr>
        <w:spacing w:line="520" w:lineRule="exact"/>
        <w:ind w:firstLine="567"/>
        <w:rPr>
          <w:rFonts w:ascii="宋体" w:hAnsi="宋体" w:cs="宋体"/>
          <w:color w:val="auto"/>
          <w:sz w:val="24"/>
        </w:rPr>
      </w:pPr>
      <w:r>
        <w:rPr>
          <w:rFonts w:hint="eastAsia" w:ascii="宋体" w:hAnsi="宋体" w:cs="宋体"/>
          <w:color w:val="auto"/>
          <w:sz w:val="24"/>
        </w:rPr>
        <w:t>14.1中国政府根据现行税法规定对甲方征收的与本合同有关的一切税费，均由甲方负担。</w:t>
      </w:r>
    </w:p>
    <w:p w14:paraId="2A1A8B2B">
      <w:pPr>
        <w:spacing w:line="520" w:lineRule="exact"/>
        <w:ind w:firstLine="567"/>
        <w:rPr>
          <w:rFonts w:ascii="宋体" w:hAnsi="宋体" w:cs="宋体"/>
          <w:color w:val="auto"/>
          <w:sz w:val="24"/>
        </w:rPr>
      </w:pPr>
      <w:r>
        <w:rPr>
          <w:rFonts w:hint="eastAsia" w:ascii="宋体" w:hAnsi="宋体" w:cs="宋体"/>
          <w:color w:val="auto"/>
          <w:sz w:val="24"/>
        </w:rPr>
        <w:t>14.2中国政府根据现行税法规定对乙方征收的与本合同有关的一切税费均由乙方负担。</w:t>
      </w:r>
    </w:p>
    <w:p w14:paraId="33C882E4">
      <w:pPr>
        <w:spacing w:line="520" w:lineRule="exact"/>
        <w:rPr>
          <w:rFonts w:ascii="宋体" w:hAnsi="宋体" w:cs="宋体"/>
          <w:color w:val="auto"/>
          <w:sz w:val="24"/>
        </w:rPr>
      </w:pPr>
      <w:r>
        <w:rPr>
          <w:rFonts w:hint="eastAsia" w:ascii="宋体" w:hAnsi="宋体" w:cs="宋体"/>
          <w:color w:val="auto"/>
          <w:sz w:val="24"/>
        </w:rPr>
        <w:t>15.仲裁</w:t>
      </w:r>
    </w:p>
    <w:p w14:paraId="0983907A">
      <w:pPr>
        <w:spacing w:line="520" w:lineRule="exact"/>
        <w:ind w:firstLine="570"/>
        <w:rPr>
          <w:rFonts w:ascii="宋体" w:hAnsi="宋体" w:cs="宋体"/>
          <w:color w:val="auto"/>
          <w:sz w:val="24"/>
        </w:rPr>
      </w:pPr>
      <w:r>
        <w:rPr>
          <w:rFonts w:hint="eastAsia" w:ascii="宋体" w:hAnsi="宋体" w:cs="宋体"/>
          <w:color w:val="auto"/>
          <w:sz w:val="24"/>
        </w:rPr>
        <w:t xml:space="preserve">15.1 买卖双方应通过友好协商，解决在执行本合同中所发生的或与本合同有关的一切争端，如果协商仍得不到解决，任何一方均可按“中华人民共和国合同法”规定提交调解和仲裁。 </w:t>
      </w:r>
    </w:p>
    <w:p w14:paraId="0AA4235A">
      <w:pPr>
        <w:spacing w:line="520" w:lineRule="exact"/>
        <w:ind w:firstLine="570"/>
        <w:rPr>
          <w:rFonts w:ascii="宋体" w:hAnsi="宋体" w:cs="宋体"/>
          <w:color w:val="auto"/>
          <w:sz w:val="24"/>
        </w:rPr>
      </w:pPr>
      <w:r>
        <w:rPr>
          <w:rFonts w:hint="eastAsia" w:ascii="宋体" w:hAnsi="宋体" w:cs="宋体"/>
          <w:color w:val="auto"/>
          <w:sz w:val="24"/>
        </w:rPr>
        <w:t xml:space="preserve">15.2 仲裁裁决应为终局裁决，对双方均具有约束力。 </w:t>
      </w:r>
    </w:p>
    <w:p w14:paraId="7CECD161">
      <w:pPr>
        <w:spacing w:line="520" w:lineRule="exact"/>
        <w:ind w:firstLine="570"/>
        <w:rPr>
          <w:rFonts w:ascii="宋体" w:hAnsi="宋体" w:cs="宋体"/>
          <w:color w:val="auto"/>
          <w:sz w:val="24"/>
        </w:rPr>
      </w:pPr>
      <w:r>
        <w:rPr>
          <w:rFonts w:hint="eastAsia" w:ascii="宋体" w:hAnsi="宋体" w:cs="宋体"/>
          <w:color w:val="auto"/>
          <w:sz w:val="24"/>
        </w:rPr>
        <w:t>15.3 仲裁费除仲裁机构另有裁决外应由败诉方负担。</w:t>
      </w:r>
    </w:p>
    <w:p w14:paraId="3AD2E512">
      <w:pPr>
        <w:spacing w:line="520" w:lineRule="exact"/>
        <w:ind w:firstLine="570"/>
        <w:rPr>
          <w:rFonts w:ascii="宋体" w:hAnsi="宋体" w:cs="宋体"/>
          <w:color w:val="auto"/>
          <w:sz w:val="24"/>
        </w:rPr>
      </w:pPr>
      <w:r>
        <w:rPr>
          <w:rFonts w:hint="eastAsia" w:ascii="宋体" w:hAnsi="宋体" w:cs="宋体"/>
          <w:color w:val="auto"/>
          <w:sz w:val="24"/>
        </w:rPr>
        <w:t>15.4 在仲裁期间，除正在进行仲裁的部分外，合同其它部分继续执行。</w:t>
      </w:r>
    </w:p>
    <w:p w14:paraId="5B8D8723">
      <w:pPr>
        <w:spacing w:line="520" w:lineRule="exact"/>
        <w:rPr>
          <w:rFonts w:ascii="宋体" w:hAnsi="宋体" w:cs="宋体"/>
          <w:color w:val="auto"/>
          <w:sz w:val="24"/>
        </w:rPr>
      </w:pPr>
      <w:r>
        <w:rPr>
          <w:rFonts w:hint="eastAsia" w:ascii="宋体" w:hAnsi="宋体" w:cs="宋体"/>
          <w:color w:val="auto"/>
          <w:sz w:val="24"/>
        </w:rPr>
        <w:t>16.违约终止合同</w:t>
      </w:r>
    </w:p>
    <w:p w14:paraId="0325958A">
      <w:pPr>
        <w:pStyle w:val="19"/>
        <w:spacing w:line="520" w:lineRule="exact"/>
        <w:ind w:firstLine="560"/>
        <w:rPr>
          <w:rFonts w:ascii="宋体" w:hAnsi="宋体" w:eastAsia="宋体" w:cs="宋体"/>
          <w:color w:val="auto"/>
        </w:rPr>
      </w:pPr>
      <w:r>
        <w:rPr>
          <w:rFonts w:hint="eastAsia" w:ascii="宋体" w:hAnsi="宋体" w:eastAsia="宋体" w:cs="宋体"/>
          <w:color w:val="auto"/>
        </w:rPr>
        <w:t xml:space="preserve">16.1 乙方有下列违约情况之一，并在收到甲方违约通知后的合理时间内，或经甲方书面认可延长的时间内未能纠正其过失，甲方可向乙方发出书面通知，终止部分或全部合同。在这种情况下，并不影响甲方向乙方提出索赔。 </w:t>
      </w:r>
    </w:p>
    <w:p w14:paraId="15CEDA5F">
      <w:pPr>
        <w:pStyle w:val="19"/>
        <w:spacing w:line="520" w:lineRule="exact"/>
        <w:ind w:firstLine="560"/>
        <w:rPr>
          <w:rFonts w:ascii="宋体" w:hAnsi="宋体" w:eastAsia="宋体" w:cs="宋体"/>
          <w:color w:val="auto"/>
        </w:rPr>
      </w:pPr>
      <w:r>
        <w:rPr>
          <w:rFonts w:hint="eastAsia" w:ascii="宋体" w:hAnsi="宋体" w:eastAsia="宋体" w:cs="宋体"/>
          <w:color w:val="auto"/>
        </w:rPr>
        <w:t xml:space="preserve">（1）如果乙方未能在合同规定的期限或甲方同意延期的限期内提供全部或部分货物（含软件及相关服务）； </w:t>
      </w:r>
    </w:p>
    <w:p w14:paraId="2BC000BF">
      <w:pPr>
        <w:pStyle w:val="19"/>
        <w:spacing w:line="520" w:lineRule="exact"/>
        <w:ind w:firstLine="560"/>
        <w:rPr>
          <w:rFonts w:ascii="宋体" w:hAnsi="宋体" w:eastAsia="宋体" w:cs="宋体"/>
          <w:color w:val="auto"/>
        </w:rPr>
      </w:pPr>
      <w:r>
        <w:rPr>
          <w:rFonts w:hint="eastAsia" w:ascii="宋体" w:hAnsi="宋体" w:eastAsia="宋体" w:cs="宋体"/>
          <w:color w:val="auto"/>
        </w:rPr>
        <w:t xml:space="preserve">（2）如果乙方未能履行合同规定的其它义务。 </w:t>
      </w:r>
    </w:p>
    <w:p w14:paraId="371C7F6A">
      <w:pPr>
        <w:pStyle w:val="19"/>
        <w:spacing w:line="520" w:lineRule="exact"/>
        <w:ind w:firstLine="560"/>
        <w:rPr>
          <w:rFonts w:ascii="宋体" w:hAnsi="宋体" w:eastAsia="宋体" w:cs="宋体"/>
          <w:color w:val="auto"/>
        </w:rPr>
      </w:pPr>
      <w:r>
        <w:rPr>
          <w:rFonts w:hint="eastAsia" w:ascii="宋体" w:hAnsi="宋体" w:eastAsia="宋体" w:cs="宋体"/>
          <w:color w:val="auto"/>
        </w:rPr>
        <w:t>16.2 在甲方根据第17.1条规定，终止了全部或部分合同，甲方可以依其认为适当的条件和方式购买与未交货物（含软件及相关服务）类似的货物（含软件及相关服务），乙方应对购买类似货物（含软件及相关服务）所超出的费用负责。而且乙方还应继续执行合同中未终止的部分。</w:t>
      </w:r>
    </w:p>
    <w:p w14:paraId="3D86D136">
      <w:pPr>
        <w:pStyle w:val="17"/>
        <w:spacing w:line="520" w:lineRule="exact"/>
        <w:rPr>
          <w:rFonts w:hAnsi="宋体" w:cs="宋体"/>
          <w:color w:val="auto"/>
          <w:sz w:val="24"/>
          <w:szCs w:val="24"/>
        </w:rPr>
      </w:pPr>
      <w:r>
        <w:rPr>
          <w:rFonts w:hint="eastAsia" w:hAnsi="宋体" w:cs="宋体"/>
          <w:color w:val="auto"/>
          <w:sz w:val="24"/>
          <w:szCs w:val="24"/>
        </w:rPr>
        <w:t>17.破产中止合同</w:t>
      </w:r>
    </w:p>
    <w:p w14:paraId="3AC9FE08">
      <w:pPr>
        <w:pStyle w:val="17"/>
        <w:spacing w:line="520" w:lineRule="exact"/>
        <w:rPr>
          <w:rFonts w:hAnsi="宋体" w:cs="宋体"/>
          <w:color w:val="auto"/>
          <w:sz w:val="24"/>
          <w:szCs w:val="24"/>
        </w:rPr>
      </w:pPr>
      <w:r>
        <w:rPr>
          <w:rFonts w:hint="eastAsia" w:hAnsi="宋体" w:cs="宋体"/>
          <w:color w:val="auto"/>
          <w:sz w:val="24"/>
          <w:szCs w:val="24"/>
        </w:rPr>
        <w:t xml:space="preserve">    17.1如果乙方破产或无清偿能力，甲方可在任何时候以书面形式通知乙方中止合同而不给乙方补偿。该中止合同将不损害或影响甲方和使用方已经采取或将要采取的任何行动或补救措施的权力。</w:t>
      </w:r>
    </w:p>
    <w:p w14:paraId="451193B0">
      <w:pPr>
        <w:pStyle w:val="17"/>
        <w:spacing w:line="520" w:lineRule="exact"/>
        <w:rPr>
          <w:rFonts w:hAnsi="宋体" w:cs="宋体"/>
          <w:color w:val="auto"/>
          <w:sz w:val="24"/>
          <w:szCs w:val="24"/>
        </w:rPr>
      </w:pPr>
      <w:r>
        <w:rPr>
          <w:rFonts w:hint="eastAsia" w:hAnsi="宋体" w:cs="宋体"/>
          <w:color w:val="auto"/>
          <w:sz w:val="24"/>
          <w:szCs w:val="24"/>
        </w:rPr>
        <w:t>18.转让</w:t>
      </w:r>
    </w:p>
    <w:p w14:paraId="6845CA7D">
      <w:pPr>
        <w:pStyle w:val="17"/>
        <w:spacing w:line="520" w:lineRule="exact"/>
        <w:rPr>
          <w:rFonts w:hAnsi="宋体" w:cs="宋体"/>
          <w:color w:val="auto"/>
          <w:sz w:val="24"/>
          <w:szCs w:val="24"/>
        </w:rPr>
      </w:pPr>
      <w:r>
        <w:rPr>
          <w:rFonts w:hint="eastAsia" w:hAnsi="宋体" w:cs="宋体"/>
          <w:color w:val="auto"/>
          <w:sz w:val="24"/>
          <w:szCs w:val="24"/>
        </w:rPr>
        <w:t xml:space="preserve">    18.1 除甲方事先书面同意外，乙方不得部分转让或全部转让其应履行的合同义务。</w:t>
      </w:r>
    </w:p>
    <w:p w14:paraId="07CCF794">
      <w:pPr>
        <w:pStyle w:val="17"/>
        <w:spacing w:line="520" w:lineRule="exact"/>
        <w:rPr>
          <w:rFonts w:hAnsi="宋体" w:cs="宋体"/>
          <w:color w:val="auto"/>
          <w:sz w:val="24"/>
          <w:szCs w:val="24"/>
        </w:rPr>
      </w:pPr>
      <w:r>
        <w:rPr>
          <w:rFonts w:hint="eastAsia" w:hAnsi="宋体" w:cs="宋体"/>
          <w:color w:val="auto"/>
          <w:sz w:val="24"/>
          <w:szCs w:val="24"/>
        </w:rPr>
        <w:t>19.合同生效及其它</w:t>
      </w:r>
    </w:p>
    <w:p w14:paraId="23333B1F">
      <w:pPr>
        <w:spacing w:line="520" w:lineRule="exact"/>
        <w:rPr>
          <w:rFonts w:ascii="宋体" w:hAnsi="宋体" w:cs="宋体"/>
          <w:color w:val="auto"/>
          <w:sz w:val="24"/>
        </w:rPr>
      </w:pPr>
      <w:r>
        <w:rPr>
          <w:rFonts w:hint="eastAsia" w:ascii="宋体" w:hAnsi="宋体" w:cs="宋体"/>
          <w:color w:val="auto"/>
          <w:sz w:val="24"/>
        </w:rPr>
        <w:t xml:space="preserve">     19.1淮安经济技术开发区招标投标管理服务中心 经开区2026年住宅老旧电梯更新项目第一批36部电梯采购招标文件、乙方提交的经开区2026年住宅老旧电梯更新项目第一批36部电梯采购投标文件、本次招标的中标通知书和乙方的澄清等内容将作为本次采购合同文件的主要内容。乙方在合同履行过程中若发生服务内容缩减、服务不及时的现象，甲方有权对乙方处以适当的经济处罚。</w:t>
      </w:r>
    </w:p>
    <w:p w14:paraId="437F5732">
      <w:pPr>
        <w:spacing w:line="520" w:lineRule="exact"/>
        <w:ind w:firstLine="480" w:firstLineChars="200"/>
        <w:rPr>
          <w:rFonts w:ascii="宋体" w:hAnsi="宋体" w:cs="宋体"/>
          <w:color w:val="auto"/>
          <w:sz w:val="24"/>
        </w:rPr>
      </w:pPr>
      <w:r>
        <w:rPr>
          <w:rFonts w:hint="eastAsia" w:ascii="宋体" w:hAnsi="宋体" w:cs="宋体"/>
          <w:color w:val="auto"/>
          <w:sz w:val="24"/>
        </w:rPr>
        <w:t>19.2本项目的中标人须指定项目负责人，供货商对项目负责人的授权范围如下：全面负责本项目的工程质量控制、进度控制、现场安全生产、文明施工管理、造价及合同管理、信息管理和施工现场的组织协调，以及执行法律法规规章、采购合同和施工规范等文件规定的供货商应做的工作。对于项目负责人在施工质量、安全等方面的职责和权利，供货商不得违法违规加以剥夺和限制 。</w:t>
      </w:r>
    </w:p>
    <w:p w14:paraId="1388D5B1">
      <w:pPr>
        <w:spacing w:line="520" w:lineRule="exact"/>
        <w:ind w:firstLine="480" w:firstLineChars="200"/>
        <w:rPr>
          <w:rFonts w:ascii="宋体" w:hAnsi="宋体" w:cs="宋体"/>
          <w:color w:val="auto"/>
          <w:sz w:val="24"/>
        </w:rPr>
      </w:pPr>
      <w:r>
        <w:rPr>
          <w:rFonts w:hint="eastAsia" w:ascii="宋体" w:hAnsi="宋体" w:cs="宋体"/>
          <w:color w:val="auto"/>
          <w:sz w:val="24"/>
        </w:rPr>
        <w:t>关于项目负责人每月在施工现场的时间要求:从工程开工(以开工令为准或者发包人通知为准)起，项目负责人应坚守本工程，每个月的出勤天数不少于22天，项目负责人离开施工现场时，应事先通知监理人，并取得发包人的书面同意，否则视为擅自离开施工现场。即使当月出勤天数已不少于22天，项目负责人不在施工现场履职仍需事先通知监理人，并取得发包人书面同意。项目负责人不在施工现场连续超过2天的，应书面委托具有相应能力的他人履行其岗位职责。</w:t>
      </w:r>
    </w:p>
    <w:p w14:paraId="63B8598E">
      <w:pPr>
        <w:spacing w:line="520" w:lineRule="exact"/>
        <w:ind w:firstLine="480" w:firstLineChars="200"/>
        <w:rPr>
          <w:rFonts w:ascii="宋体" w:hAnsi="宋体" w:cs="宋体"/>
          <w:color w:val="auto"/>
          <w:sz w:val="24"/>
        </w:rPr>
      </w:pPr>
      <w:r>
        <w:rPr>
          <w:rFonts w:hint="eastAsia" w:ascii="宋体" w:hAnsi="宋体" w:cs="宋体"/>
          <w:color w:val="auto"/>
          <w:sz w:val="24"/>
        </w:rPr>
        <w:t>项目负责人由于以下原因：（1）因违法违规行为不能继续从事施工现场管理工作的；（2）因患病、发生意外等身体原因（需二级甲等及以上等级医院出具相关材料）不能在施工现场进行管理的；（3）死亡或不具有完全民事行为能力的；（4）离职（需提供解除劳动合同书）；（5）法律法规规定的其他情形。供货商确需更换项目负责人的，经监理人、发包人同意后，必须在7日内安排资质及业绩条件等同于或超过原招标公告及招标文件要求的项目负责人到场履职，每拖延1天，供货商向发包人支付2000元违约金。新任项目负责人到岗履职前，供货商需安排具有相应能力的他人履行其岗位职责。</w:t>
      </w:r>
    </w:p>
    <w:p w14:paraId="0E661987">
      <w:pPr>
        <w:spacing w:line="520" w:lineRule="exact"/>
        <w:ind w:firstLine="480" w:firstLineChars="200"/>
        <w:rPr>
          <w:rFonts w:ascii="宋体" w:hAnsi="宋体" w:cs="宋体"/>
          <w:color w:val="auto"/>
          <w:sz w:val="24"/>
        </w:rPr>
      </w:pPr>
      <w:r>
        <w:rPr>
          <w:rFonts w:hint="eastAsia" w:ascii="宋体" w:hAnsi="宋体" w:cs="宋体"/>
          <w:color w:val="auto"/>
          <w:sz w:val="24"/>
        </w:rPr>
        <w:t>项目负责人未经批准，擅自离开施工现场的违约责任:（1）项目负责人每月出勤天数少于22天的，每少1天，供货商向发包人支付2000元违约金；（2）项目负责人未经发包人书面同意擅自离开施工现场的，每发现1次，供货商向发包人支付2000元违约金；（3）项目负责人每月累计无故缺勤超过10天（含）或连续缺勤5天及以上的，发包人有权要求供货商必须在1周内无条件更换项目负责人，所换人员的资质及业绩条件必须等同于或超过原招标公告及招标文件要求，并由供货商向发包人支付合同价的2%且不高于10万元违约金，在更换的项目负责人到岗之前，供货商需另外支付1000元/天的违约金。（4）供货商拒绝更换或未在规定期限内（发包人提出更换项目负责人要求后7天内）更换，或项目负责人缺勤已经影响工期和工程质量，发包人有权解除合同，限令退场，已完成工程量不予结算，并由供货商承担由此发生的全部责任和损失。</w:t>
      </w:r>
    </w:p>
    <w:p w14:paraId="7BA5D257">
      <w:pPr>
        <w:spacing w:line="520" w:lineRule="exact"/>
        <w:ind w:firstLine="480" w:firstLineChars="200"/>
        <w:rPr>
          <w:rFonts w:ascii="宋体" w:hAnsi="宋体" w:cs="宋体"/>
          <w:color w:val="auto"/>
          <w:sz w:val="24"/>
        </w:rPr>
      </w:pPr>
      <w:r>
        <w:rPr>
          <w:rFonts w:hint="eastAsia" w:ascii="宋体" w:hAnsi="宋体" w:cs="宋体"/>
          <w:color w:val="auto"/>
          <w:sz w:val="24"/>
        </w:rPr>
        <w:t>注：供货商因项目负责人离职而更换项目负责人的，供货商需在更换项目负责人后连续3个月向发包人提供供货商为全部员工缴纳社保的证明材料，如供货商拒绝提供，或者社保记录显示供货商仍为原项目负责人缴纳社保的，供货商需向发包人支付合同价的4%且不高于20万元违约金。</w:t>
      </w:r>
    </w:p>
    <w:p w14:paraId="4A51AC9C">
      <w:pPr>
        <w:spacing w:line="520" w:lineRule="exact"/>
        <w:ind w:firstLine="480" w:firstLineChars="200"/>
        <w:rPr>
          <w:rFonts w:ascii="宋体" w:hAnsi="宋体" w:cs="宋体"/>
          <w:color w:val="auto"/>
          <w:sz w:val="24"/>
        </w:rPr>
      </w:pPr>
      <w:r>
        <w:rPr>
          <w:rFonts w:hint="eastAsia" w:ascii="宋体" w:hAnsi="宋体" w:cs="宋体"/>
          <w:color w:val="auto"/>
          <w:sz w:val="24"/>
        </w:rPr>
        <w:t>供货商人员</w:t>
      </w:r>
    </w:p>
    <w:p w14:paraId="7FBDABF8">
      <w:pPr>
        <w:spacing w:line="520" w:lineRule="exact"/>
        <w:ind w:firstLine="480" w:firstLineChars="200"/>
        <w:rPr>
          <w:rFonts w:ascii="宋体" w:hAnsi="宋体" w:cs="宋体"/>
          <w:color w:val="auto"/>
          <w:sz w:val="24"/>
        </w:rPr>
      </w:pPr>
      <w:r>
        <w:rPr>
          <w:rFonts w:hint="eastAsia" w:ascii="宋体" w:hAnsi="宋体" w:cs="宋体"/>
          <w:color w:val="auto"/>
          <w:sz w:val="24"/>
        </w:rPr>
        <w:t>供货商提交项目管理机构及施工现场管理人员安排报告的期限:施工合同签订前。</w:t>
      </w:r>
    </w:p>
    <w:p w14:paraId="10795341">
      <w:pPr>
        <w:spacing w:line="520" w:lineRule="exact"/>
        <w:ind w:firstLine="480" w:firstLineChars="200"/>
        <w:rPr>
          <w:rFonts w:ascii="宋体" w:hAnsi="宋体" w:cs="宋体"/>
          <w:color w:val="auto"/>
          <w:sz w:val="24"/>
        </w:rPr>
      </w:pPr>
      <w:r>
        <w:rPr>
          <w:rFonts w:hint="eastAsia" w:ascii="宋体" w:hAnsi="宋体" w:cs="宋体"/>
          <w:color w:val="auto"/>
          <w:sz w:val="24"/>
        </w:rPr>
        <w:t>供货商主要施工管理人员离开施工现场的批准要求:须报监理人并取得发包人代表书面同意。</w:t>
      </w:r>
    </w:p>
    <w:p w14:paraId="30A86F01">
      <w:pPr>
        <w:spacing w:line="520" w:lineRule="exact"/>
        <w:ind w:firstLine="480" w:firstLineChars="200"/>
        <w:rPr>
          <w:rFonts w:ascii="宋体" w:hAnsi="宋体" w:cs="宋体"/>
          <w:color w:val="auto"/>
          <w:sz w:val="24"/>
        </w:rPr>
      </w:pPr>
      <w:r>
        <w:rPr>
          <w:rFonts w:hint="eastAsia" w:ascii="宋体" w:hAnsi="宋体" w:cs="宋体"/>
          <w:color w:val="auto"/>
          <w:sz w:val="24"/>
        </w:rPr>
        <w:t>供货商主要施工管理人员（技术负责人、安全员）每个月的出勤天数不少于22天，出勤天数不足的，供货商向发包人支付违约金500元/人/天。主要施工管理人员（技术负责人、安全员）即使当月出勤天数已不少于22天，不在施工现场履职仍需事先通知监理人，并取得监理人书面同意。主要施工管理人员（技术负责人、安全员）不在施工现场连续超过2天的，应书面委托具有相应能力的他人履行其岗位职责。</w:t>
      </w:r>
    </w:p>
    <w:p w14:paraId="2AB29473">
      <w:pPr>
        <w:spacing w:line="520" w:lineRule="exact"/>
        <w:ind w:firstLine="480" w:firstLineChars="200"/>
        <w:rPr>
          <w:rFonts w:ascii="宋体" w:hAnsi="宋体" w:cs="宋体"/>
          <w:color w:val="auto"/>
          <w:sz w:val="24"/>
        </w:rPr>
      </w:pPr>
      <w:r>
        <w:rPr>
          <w:rFonts w:hint="eastAsia" w:ascii="宋体" w:hAnsi="宋体" w:cs="宋体"/>
          <w:color w:val="auto"/>
          <w:sz w:val="24"/>
        </w:rPr>
        <w:t>供货商主要施工管理人员（技术负责人、安全员）由于以下原因：（1）因违法违规行为不能继续从事施工现场管理工作的；（2）因患病、发生意外等身体原因（需二级甲等及以上等级医院出具相关材料）不能在施工现场进行管理的；（3）死亡或不具有完全民事行为能力的；（4）离职（需提供解除劳动合同书）；（5）法律法规规定的其他情形。供货商确需更换主要施工管理人员（技术负责人、安全员）的，经监理人、发包人同意后，必须在7日内安排资质及业绩条件等同于或超过原招标公告及招标文件要求的施工管理人员（技术负责人、安全员）到场履职，每拖延1天，供货商向发包人支付2000元违约金。新任主要施工管理人员（技术负责人、安全员）到岗履职前，供货商需安排具有相应能力的他人履行其岗位职责。</w:t>
      </w:r>
    </w:p>
    <w:p w14:paraId="3D0D1DE8">
      <w:pPr>
        <w:spacing w:line="520" w:lineRule="exact"/>
        <w:ind w:firstLine="480" w:firstLineChars="200"/>
        <w:rPr>
          <w:rFonts w:ascii="宋体" w:hAnsi="宋体" w:cs="宋体"/>
          <w:color w:val="auto"/>
          <w:sz w:val="24"/>
        </w:rPr>
      </w:pPr>
      <w:r>
        <w:rPr>
          <w:rFonts w:hint="eastAsia" w:ascii="宋体" w:hAnsi="宋体" w:cs="宋体"/>
          <w:color w:val="auto"/>
          <w:sz w:val="24"/>
        </w:rPr>
        <w:t>供货商（除上述原因外）更换主要施工管理人员（技术负责人、安全员）的，需向发包人支付违约金2万元/人次，更换后的人员资质及业绩条件需等同于或超过原招标公告及招标文件要求。</w:t>
      </w:r>
    </w:p>
    <w:p w14:paraId="3AFBEC96">
      <w:pPr>
        <w:spacing w:line="520" w:lineRule="exact"/>
        <w:ind w:firstLine="480" w:firstLineChars="200"/>
        <w:rPr>
          <w:rFonts w:ascii="宋体" w:hAnsi="宋体" w:cs="宋体"/>
          <w:color w:val="auto"/>
          <w:sz w:val="24"/>
        </w:rPr>
      </w:pPr>
      <w:r>
        <w:rPr>
          <w:rFonts w:hint="eastAsia" w:ascii="宋体" w:hAnsi="宋体" w:cs="宋体"/>
          <w:color w:val="auto"/>
          <w:sz w:val="24"/>
        </w:rPr>
        <w:t>注：供货商因主要施工管理人员离职而更换主要施工管理人员的，供货商需在更换主要施工管理人员后连续3个月向发包人提供供货商为全部员工缴纳社保的证明材料，如供货商拒绝提供，或者社保记录显示供货商仍为原主要施工管理人员缴纳社保的，供货商需向发包人支付合同价的1%且不高于5万元违约金。</w:t>
      </w:r>
    </w:p>
    <w:p w14:paraId="1E50FA78">
      <w:pPr>
        <w:spacing w:line="520" w:lineRule="exact"/>
        <w:ind w:firstLine="480" w:firstLineChars="200"/>
        <w:rPr>
          <w:rFonts w:ascii="宋体" w:hAnsi="宋体" w:cs="宋体"/>
          <w:color w:val="auto"/>
          <w:sz w:val="24"/>
        </w:rPr>
      </w:pPr>
      <w:r>
        <w:rPr>
          <w:rFonts w:hint="eastAsia" w:ascii="宋体" w:hAnsi="宋体" w:cs="宋体"/>
          <w:color w:val="auto"/>
          <w:sz w:val="24"/>
        </w:rPr>
        <w:t>发包人有权要求供货商更换主要施工管理人员（技术负责人、安全员）。</w:t>
      </w:r>
    </w:p>
    <w:p w14:paraId="7F8E6E9B">
      <w:pPr>
        <w:pStyle w:val="17"/>
        <w:spacing w:line="520" w:lineRule="exact"/>
        <w:ind w:firstLine="480"/>
        <w:rPr>
          <w:rFonts w:hAnsi="宋体" w:cs="宋体"/>
          <w:color w:val="auto"/>
          <w:sz w:val="24"/>
          <w:szCs w:val="24"/>
        </w:rPr>
      </w:pPr>
      <w:r>
        <w:rPr>
          <w:rFonts w:hint="eastAsia" w:hAnsi="宋体" w:cs="宋体"/>
          <w:color w:val="auto"/>
          <w:sz w:val="24"/>
          <w:szCs w:val="24"/>
        </w:rPr>
        <w:t xml:space="preserve">19.3本合同经甲、乙双方加盖电子签章后生效。    </w:t>
      </w:r>
    </w:p>
    <w:p w14:paraId="2DD67E1C">
      <w:pPr>
        <w:pStyle w:val="17"/>
        <w:spacing w:line="520" w:lineRule="exact"/>
        <w:rPr>
          <w:rFonts w:hAnsi="宋体" w:cs="宋体"/>
          <w:color w:val="auto"/>
          <w:sz w:val="24"/>
          <w:szCs w:val="24"/>
        </w:rPr>
      </w:pPr>
      <w:r>
        <w:rPr>
          <w:rFonts w:hint="eastAsia" w:hAnsi="宋体" w:cs="宋体"/>
          <w:color w:val="auto"/>
          <w:sz w:val="24"/>
          <w:szCs w:val="24"/>
        </w:rPr>
        <w:t xml:space="preserve">    19.4合同货物交付使用后所发生的合同纠纷，甲方与乙方进行处理。</w:t>
      </w:r>
    </w:p>
    <w:p w14:paraId="4FC67F6C">
      <w:pPr>
        <w:pStyle w:val="17"/>
        <w:spacing w:line="520" w:lineRule="exact"/>
        <w:rPr>
          <w:rFonts w:hAnsi="宋体" w:cs="宋体"/>
          <w:color w:val="auto"/>
          <w:sz w:val="24"/>
          <w:szCs w:val="24"/>
        </w:rPr>
      </w:pPr>
      <w:r>
        <w:rPr>
          <w:rFonts w:hint="eastAsia" w:hAnsi="宋体" w:cs="宋体"/>
          <w:color w:val="auto"/>
          <w:sz w:val="24"/>
          <w:szCs w:val="24"/>
        </w:rPr>
        <w:t xml:space="preserve">    19.5如需修改或补充合同内容，应经乙方、甲方协商，签署书面修改或补充协议。该协议将作为本合同不可分割的一部分。</w:t>
      </w:r>
    </w:p>
    <w:p w14:paraId="142FAAED">
      <w:pPr>
        <w:spacing w:line="520" w:lineRule="exact"/>
        <w:ind w:firstLine="480"/>
        <w:rPr>
          <w:rFonts w:ascii="宋体" w:hAnsi="宋体" w:cs="宋体"/>
          <w:color w:val="auto"/>
          <w:sz w:val="24"/>
        </w:rPr>
      </w:pPr>
      <w:r>
        <w:rPr>
          <w:rFonts w:hint="eastAsia" w:ascii="宋体" w:hAnsi="宋体" w:cs="宋体"/>
          <w:color w:val="auto"/>
          <w:sz w:val="24"/>
        </w:rPr>
        <w:t>19.6本合同应按照中华人民共和国的现行法律进行解释。</w:t>
      </w:r>
    </w:p>
    <w:p w14:paraId="3DA88B36">
      <w:pPr>
        <w:spacing w:line="520" w:lineRule="exact"/>
        <w:ind w:firstLine="480"/>
        <w:rPr>
          <w:rFonts w:ascii="宋体" w:hAnsi="宋体" w:cs="宋体"/>
          <w:color w:val="auto"/>
          <w:sz w:val="24"/>
        </w:rPr>
      </w:pPr>
    </w:p>
    <w:p w14:paraId="47841B10">
      <w:pPr>
        <w:pageBreakBefore/>
        <w:spacing w:line="520" w:lineRule="exact"/>
        <w:rPr>
          <w:rFonts w:ascii="宋体" w:hAnsi="宋体" w:cs="宋体"/>
          <w:bCs/>
          <w:color w:val="auto"/>
          <w:sz w:val="24"/>
        </w:rPr>
      </w:pPr>
      <w:r>
        <w:rPr>
          <w:rFonts w:hint="eastAsia" w:ascii="宋体" w:hAnsi="宋体" w:cs="宋体"/>
          <w:bCs/>
          <w:color w:val="auto"/>
          <w:sz w:val="24"/>
        </w:rPr>
        <w:t>合同附件：</w:t>
      </w:r>
    </w:p>
    <w:p w14:paraId="40C4D4BB">
      <w:pPr>
        <w:spacing w:line="520" w:lineRule="exact"/>
        <w:ind w:firstLine="482"/>
        <w:jc w:val="center"/>
        <w:rPr>
          <w:rFonts w:ascii="宋体" w:hAnsi="宋体" w:cs="宋体"/>
          <w:b/>
          <w:bCs/>
          <w:color w:val="auto"/>
          <w:sz w:val="24"/>
        </w:rPr>
      </w:pPr>
      <w:r>
        <w:rPr>
          <w:rFonts w:hint="eastAsia" w:ascii="宋体" w:hAnsi="宋体" w:cs="宋体"/>
          <w:b/>
          <w:bCs/>
          <w:color w:val="auto"/>
          <w:sz w:val="24"/>
        </w:rPr>
        <w:t>安全管理协议</w:t>
      </w:r>
    </w:p>
    <w:p w14:paraId="5080F928">
      <w:pPr>
        <w:spacing w:line="480" w:lineRule="exact"/>
        <w:ind w:firstLine="573"/>
        <w:rPr>
          <w:rFonts w:ascii="宋体" w:hAnsi="宋体" w:cs="宋体"/>
          <w:color w:val="auto"/>
          <w:sz w:val="24"/>
        </w:rPr>
      </w:pPr>
      <w:r>
        <w:rPr>
          <w:rFonts w:hint="eastAsia" w:ascii="宋体" w:hAnsi="宋体" w:cs="宋体"/>
          <w:color w:val="auto"/>
          <w:sz w:val="24"/>
          <w:lang w:val="en-US" w:eastAsia="zh-CN"/>
        </w:rPr>
        <w:t>采购人</w:t>
      </w:r>
      <w:r>
        <w:rPr>
          <w:rFonts w:hint="eastAsia" w:ascii="宋体" w:hAnsi="宋体" w:cs="宋体"/>
          <w:color w:val="auto"/>
          <w:sz w:val="24"/>
        </w:rPr>
        <w:t>：淮安经济技术开发区住房和城乡建设局(以下简称甲方)</w:t>
      </w:r>
    </w:p>
    <w:p w14:paraId="5E7D6EB9">
      <w:pPr>
        <w:spacing w:line="480" w:lineRule="exact"/>
        <w:ind w:firstLine="573"/>
        <w:rPr>
          <w:rFonts w:ascii="宋体" w:hAnsi="宋体" w:cs="宋体"/>
          <w:color w:val="auto"/>
          <w:sz w:val="24"/>
        </w:rPr>
      </w:pPr>
      <w:r>
        <w:rPr>
          <w:rFonts w:hint="eastAsia" w:ascii="宋体" w:hAnsi="宋体" w:cs="宋体"/>
          <w:color w:val="auto"/>
          <w:sz w:val="24"/>
          <w:lang w:val="en-US" w:eastAsia="zh-CN"/>
        </w:rPr>
        <w:t>供应商</w:t>
      </w:r>
      <w:r>
        <w:rPr>
          <w:rFonts w:hint="eastAsia" w:ascii="宋体" w:hAnsi="宋体" w:cs="宋体"/>
          <w:color w:val="auto"/>
          <w:sz w:val="24"/>
        </w:rPr>
        <w:t>：</w:t>
      </w:r>
      <w:r>
        <w:rPr>
          <w:rFonts w:hint="eastAsia" w:ascii="宋体" w:hAnsi="宋体" w:cs="宋体"/>
          <w:color w:val="auto"/>
          <w:sz w:val="24"/>
          <w:lang w:eastAsia="zh-CN"/>
        </w:rPr>
        <w:t>江苏奥的斯电梯销售服务有限公司</w:t>
      </w:r>
      <w:r>
        <w:rPr>
          <w:rFonts w:hint="eastAsia" w:ascii="宋体" w:hAnsi="宋体" w:cs="宋体"/>
          <w:color w:val="auto"/>
          <w:sz w:val="24"/>
        </w:rPr>
        <w:t>(以下简称乙方)</w:t>
      </w:r>
    </w:p>
    <w:p w14:paraId="45F00E74">
      <w:pPr>
        <w:spacing w:line="480" w:lineRule="exact"/>
        <w:ind w:firstLine="573"/>
        <w:rPr>
          <w:rFonts w:ascii="宋体" w:hAnsi="宋体" w:cs="宋体"/>
          <w:color w:val="auto"/>
          <w:sz w:val="24"/>
        </w:rPr>
      </w:pPr>
      <w:r>
        <w:rPr>
          <w:rFonts w:hint="eastAsia" w:ascii="宋体" w:hAnsi="宋体" w:cs="宋体"/>
          <w:color w:val="auto"/>
          <w:sz w:val="24"/>
        </w:rPr>
        <w:t>甲方将本项目发包给乙方施工，为贯彻“安全第一、预防为主”的方针，根据《江苏省工程安全管理暂行规定》和国家有关法规，明确双方的安全生产责任，确保施工安全，双方在签订安装工程合同的同时，签订本协议。</w:t>
      </w:r>
    </w:p>
    <w:p w14:paraId="76A0EB39">
      <w:pPr>
        <w:spacing w:line="480" w:lineRule="exact"/>
        <w:ind w:firstLine="573"/>
        <w:rPr>
          <w:rFonts w:ascii="宋体" w:hAnsi="宋体" w:cs="宋体"/>
          <w:color w:val="auto"/>
          <w:sz w:val="24"/>
        </w:rPr>
      </w:pPr>
      <w:r>
        <w:rPr>
          <w:rFonts w:hint="eastAsia" w:ascii="宋体" w:hAnsi="宋体" w:cs="宋体"/>
          <w:color w:val="auto"/>
          <w:sz w:val="24"/>
        </w:rPr>
        <w:t>一、项目</w:t>
      </w:r>
    </w:p>
    <w:p w14:paraId="3E6AA454">
      <w:pPr>
        <w:spacing w:line="480" w:lineRule="exact"/>
        <w:ind w:firstLine="573"/>
        <w:rPr>
          <w:rFonts w:hint="eastAsia" w:ascii="宋体" w:hAnsi="宋体" w:cs="宋体"/>
          <w:color w:val="auto"/>
          <w:sz w:val="24"/>
        </w:rPr>
      </w:pPr>
      <w:r>
        <w:rPr>
          <w:rFonts w:hint="eastAsia" w:ascii="宋体" w:hAnsi="宋体" w:cs="宋体"/>
          <w:color w:val="auto"/>
          <w:sz w:val="24"/>
          <w:lang w:val="en-US" w:eastAsia="zh-CN"/>
        </w:rPr>
        <w:t>项目</w:t>
      </w:r>
      <w:r>
        <w:rPr>
          <w:rFonts w:hint="eastAsia" w:ascii="宋体" w:hAnsi="宋体" w:cs="宋体"/>
          <w:color w:val="auto"/>
          <w:sz w:val="24"/>
        </w:rPr>
        <w:t xml:space="preserve">名称：经开区2026年住宅老旧电梯更新项目第一批36部电梯采购 </w:t>
      </w:r>
    </w:p>
    <w:p w14:paraId="23082E28">
      <w:pPr>
        <w:spacing w:line="480" w:lineRule="exact"/>
        <w:ind w:firstLine="573"/>
        <w:rPr>
          <w:rFonts w:ascii="宋体" w:hAnsi="宋体" w:cs="宋体"/>
          <w:color w:val="auto"/>
          <w:sz w:val="24"/>
        </w:rPr>
      </w:pPr>
      <w:r>
        <w:rPr>
          <w:rFonts w:hint="eastAsia" w:ascii="宋体" w:hAnsi="宋体" w:cs="宋体"/>
          <w:color w:val="auto"/>
          <w:sz w:val="24"/>
          <w:lang w:val="en-US" w:eastAsia="zh-CN"/>
        </w:rPr>
        <w:t>项目</w:t>
      </w:r>
      <w:r>
        <w:rPr>
          <w:rFonts w:hint="eastAsia" w:ascii="宋体" w:hAnsi="宋体" w:cs="宋体"/>
          <w:color w:val="auto"/>
          <w:sz w:val="24"/>
        </w:rPr>
        <w:t>地址：</w:t>
      </w:r>
      <w:r>
        <w:rPr>
          <w:rFonts w:hint="eastAsia" w:ascii="宋体" w:hAnsi="宋体" w:cs="宋体"/>
          <w:color w:val="auto"/>
          <w:sz w:val="24"/>
          <w:lang w:eastAsia="zh-CN"/>
        </w:rPr>
        <w:t>采购人指定地点</w:t>
      </w:r>
      <w:r>
        <w:rPr>
          <w:rFonts w:hint="eastAsia" w:ascii="宋体" w:hAnsi="宋体" w:cs="宋体"/>
          <w:color w:val="auto"/>
          <w:sz w:val="24"/>
        </w:rPr>
        <w:t xml:space="preserve"> </w:t>
      </w:r>
    </w:p>
    <w:p w14:paraId="2FCF55B9">
      <w:pPr>
        <w:spacing w:line="480" w:lineRule="exact"/>
        <w:ind w:firstLine="573"/>
        <w:rPr>
          <w:rFonts w:ascii="宋体" w:hAnsi="宋体" w:cs="宋体"/>
          <w:color w:val="auto"/>
          <w:sz w:val="24"/>
        </w:rPr>
      </w:pPr>
      <w:r>
        <w:rPr>
          <w:rFonts w:hint="eastAsia" w:ascii="宋体" w:hAnsi="宋体" w:cs="宋体"/>
          <w:color w:val="auto"/>
          <w:sz w:val="24"/>
        </w:rPr>
        <w:t>承包范围：与本</w:t>
      </w:r>
      <w:r>
        <w:rPr>
          <w:rFonts w:hint="eastAsia" w:ascii="宋体" w:hAnsi="宋体" w:cs="宋体"/>
          <w:color w:val="auto"/>
          <w:sz w:val="24"/>
          <w:lang w:val="en-US" w:eastAsia="zh-CN"/>
        </w:rPr>
        <w:t>项目</w:t>
      </w:r>
      <w:r>
        <w:rPr>
          <w:rFonts w:hint="eastAsia" w:ascii="宋体" w:hAnsi="宋体" w:cs="宋体"/>
          <w:color w:val="auto"/>
          <w:sz w:val="24"/>
        </w:rPr>
        <w:t>相关联的全部工作</w:t>
      </w:r>
    </w:p>
    <w:p w14:paraId="1CFF0D75">
      <w:pPr>
        <w:spacing w:line="480" w:lineRule="exact"/>
        <w:ind w:firstLine="573"/>
        <w:rPr>
          <w:rFonts w:ascii="宋体" w:hAnsi="宋体" w:cs="宋体"/>
          <w:color w:val="auto"/>
          <w:sz w:val="24"/>
        </w:rPr>
      </w:pPr>
      <w:r>
        <w:rPr>
          <w:rFonts w:hint="eastAsia" w:ascii="宋体" w:hAnsi="宋体" w:cs="宋体"/>
          <w:color w:val="auto"/>
          <w:sz w:val="24"/>
        </w:rPr>
        <w:t>二 、协议内容</w:t>
      </w:r>
    </w:p>
    <w:p w14:paraId="08B1E86C">
      <w:pPr>
        <w:spacing w:line="480" w:lineRule="exact"/>
        <w:ind w:firstLine="573"/>
        <w:rPr>
          <w:rFonts w:ascii="宋体" w:hAnsi="宋体" w:cs="宋体"/>
          <w:color w:val="auto"/>
          <w:sz w:val="24"/>
        </w:rPr>
      </w:pPr>
      <w:r>
        <w:rPr>
          <w:rFonts w:hint="eastAsia" w:ascii="宋体" w:hAnsi="宋体" w:cs="宋体"/>
          <w:color w:val="auto"/>
          <w:sz w:val="24"/>
        </w:rPr>
        <w:t>1、乙方必须认真贯彻国家、江苏省和上级劳动保护、安全生产主管部门颁发的有关安全生产、消防工作的方针、政策、严格执行有关劳动保护法规、条例、规定。</w:t>
      </w:r>
    </w:p>
    <w:p w14:paraId="45EF0B48">
      <w:pPr>
        <w:spacing w:line="480" w:lineRule="exact"/>
        <w:ind w:firstLine="573"/>
        <w:rPr>
          <w:rFonts w:ascii="宋体" w:hAnsi="宋体" w:cs="宋体"/>
          <w:color w:val="auto"/>
          <w:sz w:val="24"/>
        </w:rPr>
      </w:pPr>
      <w:r>
        <w:rPr>
          <w:rFonts w:hint="eastAsia" w:ascii="宋体" w:hAnsi="宋体" w:cs="宋体"/>
          <w:color w:val="auto"/>
          <w:sz w:val="24"/>
        </w:rPr>
        <w:t>2、乙方应有安全管理组织体制，包括抓安全生产的领导，各级专职和兼职的安全干部，应有各工种的安全操作规程，特种作业人员的验证考核制度及各级安全生产岗位责任制和定期安全检查制度， 安全教育制度等。</w:t>
      </w:r>
    </w:p>
    <w:p w14:paraId="4DC3D655">
      <w:pPr>
        <w:spacing w:line="480" w:lineRule="exact"/>
        <w:ind w:firstLine="573"/>
        <w:rPr>
          <w:rFonts w:ascii="宋体" w:hAnsi="宋体" w:cs="宋体"/>
          <w:color w:val="auto"/>
          <w:sz w:val="24"/>
        </w:rPr>
      </w:pPr>
      <w:r>
        <w:rPr>
          <w:rFonts w:hint="eastAsia" w:ascii="宋体" w:hAnsi="宋体" w:cs="宋体"/>
          <w:color w:val="auto"/>
          <w:sz w:val="24"/>
        </w:rPr>
        <w:t>3、乙方在施工前要认真勘察现场，进场后首先必须做好施工现场围护，防止闲杂人员进入施工现场，发生安全事故。</w:t>
      </w:r>
    </w:p>
    <w:p w14:paraId="6A7943CA">
      <w:pPr>
        <w:spacing w:line="480" w:lineRule="exact"/>
        <w:ind w:firstLine="573"/>
        <w:rPr>
          <w:rFonts w:ascii="宋体" w:hAnsi="宋体" w:cs="宋体"/>
          <w:color w:val="auto"/>
          <w:sz w:val="24"/>
        </w:rPr>
      </w:pPr>
      <w:r>
        <w:rPr>
          <w:rFonts w:hint="eastAsia" w:ascii="宋体" w:hAnsi="宋体" w:cs="宋体"/>
          <w:color w:val="auto"/>
          <w:sz w:val="24"/>
        </w:rPr>
        <w:t>4、乙方有关领导必须认真对本单位职工进行安全生产制度及安全技术知识教育，增强法制观念，提高职工的安全生产思想意识和自我保护的能力，督促职工自觉遵守安全生产纪律、制度和法规。</w:t>
      </w:r>
    </w:p>
    <w:p w14:paraId="56D5A76F">
      <w:pPr>
        <w:spacing w:line="480" w:lineRule="exact"/>
        <w:ind w:firstLine="573"/>
        <w:rPr>
          <w:rFonts w:ascii="宋体" w:hAnsi="宋体" w:cs="宋体"/>
          <w:color w:val="auto"/>
          <w:sz w:val="24"/>
        </w:rPr>
      </w:pPr>
      <w:r>
        <w:rPr>
          <w:rFonts w:hint="eastAsia" w:ascii="宋体" w:hAnsi="宋体" w:cs="宋体"/>
          <w:color w:val="auto"/>
          <w:sz w:val="24"/>
        </w:rPr>
        <w:t>5、施工前对乙方的管理、施工人员进行安全生产进场教育，介绍有关安全生产管理制度、规定和要求，乙方应组织召开管理、施工人员安全生产教育会议；乙方必须检查、督促施工人员严格遵守、认真执行。</w:t>
      </w:r>
    </w:p>
    <w:p w14:paraId="2ED58419">
      <w:pPr>
        <w:spacing w:line="480" w:lineRule="exact"/>
        <w:ind w:firstLine="573"/>
        <w:rPr>
          <w:rFonts w:ascii="宋体" w:hAnsi="宋体" w:cs="宋体"/>
          <w:color w:val="auto"/>
          <w:sz w:val="24"/>
        </w:rPr>
      </w:pPr>
      <w:r>
        <w:rPr>
          <w:rFonts w:hint="eastAsia" w:ascii="宋体" w:hAnsi="宋体" w:cs="宋体"/>
          <w:color w:val="auto"/>
          <w:sz w:val="24"/>
        </w:rPr>
        <w:t>6、乙方在施工期间必须严格执行和遵守安全生产、防火管理的各项规定，接受甲方、社区和物业的督促、检查和指导。</w:t>
      </w:r>
    </w:p>
    <w:p w14:paraId="3A7FE301">
      <w:pPr>
        <w:spacing w:line="480" w:lineRule="exact"/>
        <w:ind w:firstLine="573"/>
        <w:rPr>
          <w:rFonts w:ascii="宋体" w:hAnsi="宋体" w:cs="宋体"/>
          <w:color w:val="auto"/>
          <w:sz w:val="24"/>
        </w:rPr>
      </w:pPr>
      <w:r>
        <w:rPr>
          <w:rFonts w:hint="eastAsia" w:ascii="宋体" w:hAnsi="宋体" w:cs="宋体"/>
          <w:color w:val="auto"/>
          <w:sz w:val="24"/>
        </w:rPr>
        <w:t>7、在生产操作过程中的个人防护用品，由各方自理，甲乙双方都应督促施工现场人员自觉穿戴好 防护用品。</w:t>
      </w:r>
    </w:p>
    <w:p w14:paraId="3DECB1B5">
      <w:pPr>
        <w:spacing w:line="480" w:lineRule="exact"/>
        <w:ind w:firstLine="573"/>
        <w:rPr>
          <w:rFonts w:ascii="宋体" w:hAnsi="宋体" w:cs="宋体"/>
          <w:color w:val="auto"/>
          <w:sz w:val="24"/>
        </w:rPr>
      </w:pPr>
      <w:r>
        <w:rPr>
          <w:rFonts w:hint="eastAsia" w:ascii="宋体" w:hAnsi="宋体" w:cs="宋体"/>
          <w:color w:val="auto"/>
          <w:sz w:val="24"/>
        </w:rPr>
        <w:t>8、乙方人员对不同施工区域、作业环境、操作设施设备、工具用具等必须认真检查，发现隐患立即停止施工，并由有关单位落实整改后方准施工。 一经施工，就表示乙方确认施工场所、作业环境、 设施设备、工具用具等符合安全要求和处于安全状态。乙方对施工过程中由于上述因素不良而导致的事故后果负全部责任。</w:t>
      </w:r>
    </w:p>
    <w:p w14:paraId="1E0017A8">
      <w:pPr>
        <w:spacing w:line="480" w:lineRule="exact"/>
        <w:ind w:firstLine="573"/>
        <w:rPr>
          <w:rFonts w:ascii="宋体" w:hAnsi="宋体" w:cs="宋体"/>
          <w:color w:val="auto"/>
          <w:sz w:val="24"/>
        </w:rPr>
      </w:pPr>
      <w:r>
        <w:rPr>
          <w:rFonts w:hint="eastAsia" w:ascii="宋体" w:hAnsi="宋体" w:cs="宋体"/>
          <w:color w:val="auto"/>
          <w:sz w:val="24"/>
        </w:rPr>
        <w:t>9、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查，并做好书面记录。借入方一经接收，设备和工具的保管、维修应由借入使用方负责，并严格执行安全操作规程。在使用过程中，由于设备、工具因素或操作不当而造成伤亡事故，由借入使用方负责。</w:t>
      </w:r>
    </w:p>
    <w:p w14:paraId="254E7727">
      <w:pPr>
        <w:spacing w:line="480" w:lineRule="exact"/>
        <w:ind w:firstLine="573"/>
        <w:rPr>
          <w:rFonts w:ascii="宋体" w:hAnsi="宋体" w:cs="宋体"/>
          <w:color w:val="auto"/>
          <w:sz w:val="24"/>
        </w:rPr>
      </w:pPr>
      <w:r>
        <w:rPr>
          <w:rFonts w:hint="eastAsia" w:ascii="宋体" w:hAnsi="宋体" w:cs="宋体"/>
          <w:color w:val="auto"/>
          <w:sz w:val="24"/>
        </w:rPr>
        <w:t>10、乙方的人员对施工的现场脚手架、各类安全防护设施、安全标志和警告牌，不得擅自拆除、更动。如确实需要拆除更动的，必须经监理和乙方指派的安全管理人员的同意，并采取必要、可靠的 安全措施后方能拆除。如擅自拆除所造成的后果，由乙方人员及其单位负责。</w:t>
      </w:r>
    </w:p>
    <w:p w14:paraId="4D4E9147">
      <w:pPr>
        <w:spacing w:line="480" w:lineRule="exact"/>
        <w:ind w:firstLine="573"/>
        <w:rPr>
          <w:rFonts w:ascii="宋体" w:hAnsi="宋体" w:cs="宋体"/>
          <w:color w:val="auto"/>
          <w:sz w:val="24"/>
        </w:rPr>
      </w:pPr>
      <w:r>
        <w:rPr>
          <w:rFonts w:hint="eastAsia" w:ascii="宋体" w:hAnsi="宋体" w:cs="宋体"/>
          <w:color w:val="auto"/>
          <w:sz w:val="24"/>
        </w:rPr>
        <w:t>11、特种作业必须执行《特种作业人员安全技术培训考核管理规定》,经省、市、地区的特种作业安全技术考核站培训考核合格后持证上岗、并按规定定期验证；中、小型机械的操作人员必须按规定做到“定机定人”和有证操作；起重吊装作业人员必须遵守“十不吊”规定，严禁违章、无证操作； 严禁不懂电器、机械的人擅自操作使用电器、机械设备。</w:t>
      </w:r>
    </w:p>
    <w:p w14:paraId="027B949C">
      <w:pPr>
        <w:spacing w:line="480" w:lineRule="exact"/>
        <w:ind w:firstLine="573"/>
        <w:rPr>
          <w:rFonts w:ascii="宋体" w:hAnsi="宋体" w:cs="宋体"/>
          <w:color w:val="auto"/>
          <w:sz w:val="24"/>
        </w:rPr>
      </w:pPr>
      <w:r>
        <w:rPr>
          <w:rFonts w:hint="eastAsia" w:ascii="宋体" w:hAnsi="宋体" w:cs="宋体"/>
          <w:color w:val="auto"/>
          <w:sz w:val="24"/>
        </w:rPr>
        <w:t>12、乙方必须严格执行各类防火防爆制度，易燃易爆场所严禁吸烟及动用明火，消防器材不准挪作他用。电焊、气割作业应按规定办理动火审批手续，严格遵守“十不烧”规定，严禁使用电炉。冬季施工必须采用明火加热的防冻措施时，应取得防火主管人员同意，落实防火，防中毒措施，并指派专人值班。</w:t>
      </w:r>
    </w:p>
    <w:p w14:paraId="2B42DA62">
      <w:pPr>
        <w:spacing w:line="480" w:lineRule="exact"/>
        <w:ind w:firstLine="573"/>
        <w:rPr>
          <w:rFonts w:ascii="宋体" w:hAnsi="宋体" w:cs="宋体"/>
          <w:color w:val="auto"/>
          <w:sz w:val="24"/>
        </w:rPr>
      </w:pPr>
      <w:r>
        <w:rPr>
          <w:rFonts w:hint="eastAsia" w:ascii="宋体" w:hAnsi="宋体" w:cs="宋体"/>
          <w:color w:val="auto"/>
          <w:sz w:val="24"/>
        </w:rPr>
        <w:t>13、乙方需用甲方提供的电气设备，在使用前应先进行检测，并做好检测记录，如不符合安全规定的应及时整改，整改合格后方准使用，违反本规定或不经监理和甲方许可，擅自乱拉电气线路造成后果的均由肇事者单位负责。乙方配电系统必须有专人24小时值班，工地生活区内严禁乱拉乱接电线，严禁使用电炉、电饭煲、电饭锅、电取暖器等，防止漏电触电事故发生。</w:t>
      </w:r>
    </w:p>
    <w:p w14:paraId="5A2A86B4">
      <w:pPr>
        <w:spacing w:line="480" w:lineRule="exact"/>
        <w:ind w:firstLine="573"/>
        <w:rPr>
          <w:rFonts w:ascii="宋体" w:hAnsi="宋体" w:cs="宋体"/>
          <w:color w:val="auto"/>
          <w:sz w:val="24"/>
        </w:rPr>
      </w:pPr>
      <w:r>
        <w:rPr>
          <w:rFonts w:hint="eastAsia" w:ascii="宋体" w:hAnsi="宋体" w:cs="宋体"/>
          <w:color w:val="auto"/>
          <w:sz w:val="24"/>
        </w:rPr>
        <w:t>14、贯彻谁施工谁负责安全的原则。乙方在施工过程中发生的人身伤亡、火警、火灾等一切事故， 均由乙方自己负责，与甲方无关。乙方人员在施工期间造成伤亡、火警、火灾、机械等重大事故，乙方应协力进行紧急抢救伤员和保护现场，按国务院及江苏省有关事故报告规定在事故发生后的二十四小时内及时报告各自的上级主管部门及市、区劳动保护监察部门等有关机构。事故的损失和善后处理费用，由责任方承担。</w:t>
      </w:r>
    </w:p>
    <w:p w14:paraId="568FCB54">
      <w:pPr>
        <w:spacing w:line="480" w:lineRule="exact"/>
        <w:ind w:firstLine="573"/>
        <w:rPr>
          <w:rFonts w:ascii="宋体" w:hAnsi="宋体" w:cs="宋体"/>
          <w:color w:val="auto"/>
          <w:sz w:val="24"/>
        </w:rPr>
      </w:pPr>
      <w:r>
        <w:rPr>
          <w:rFonts w:hint="eastAsia" w:ascii="宋体" w:hAnsi="宋体" w:cs="宋体"/>
          <w:color w:val="auto"/>
          <w:sz w:val="24"/>
        </w:rPr>
        <w:t>15、本协议经立协双方签字、盖章有效。作为合同正本的附件一式二份，甲、乙双方各执一份。</w:t>
      </w:r>
    </w:p>
    <w:p w14:paraId="32327EEB">
      <w:pPr>
        <w:spacing w:line="480" w:lineRule="exact"/>
        <w:ind w:firstLine="573"/>
        <w:rPr>
          <w:rFonts w:ascii="宋体" w:hAnsi="宋体" w:cs="宋体"/>
          <w:color w:val="auto"/>
          <w:sz w:val="24"/>
        </w:rPr>
      </w:pPr>
      <w:r>
        <w:rPr>
          <w:rFonts w:hint="eastAsia" w:ascii="宋体" w:hAnsi="宋体" w:cs="宋体"/>
          <w:color w:val="auto"/>
          <w:sz w:val="24"/>
        </w:rPr>
        <w:t>16、本协议同</w:t>
      </w:r>
      <w:r>
        <w:rPr>
          <w:rFonts w:hint="eastAsia" w:ascii="宋体" w:hAnsi="宋体" w:cs="宋体"/>
          <w:color w:val="auto"/>
          <w:sz w:val="24"/>
          <w:lang w:val="en-US" w:eastAsia="zh-CN"/>
        </w:rPr>
        <w:t>项目</w:t>
      </w:r>
      <w:r>
        <w:rPr>
          <w:rFonts w:hint="eastAsia" w:ascii="宋体" w:hAnsi="宋体" w:cs="宋体"/>
          <w:color w:val="auto"/>
          <w:sz w:val="24"/>
        </w:rPr>
        <w:t>合同正本同日生效，甲、乙双方必须严格执行，由于违反本协议而造成伤亡事故，由违约方承担一切责任。</w:t>
      </w:r>
    </w:p>
    <w:p w14:paraId="1B015F8B">
      <w:pPr>
        <w:spacing w:line="480" w:lineRule="exact"/>
        <w:ind w:firstLine="573"/>
        <w:rPr>
          <w:rFonts w:ascii="宋体" w:hAnsi="宋体" w:cs="宋体"/>
          <w:color w:val="auto"/>
          <w:sz w:val="24"/>
        </w:rPr>
      </w:pPr>
    </w:p>
    <w:p w14:paraId="1C3A5B03">
      <w:pPr>
        <w:spacing w:line="480" w:lineRule="exact"/>
        <w:ind w:firstLine="573"/>
        <w:rPr>
          <w:rFonts w:ascii="宋体" w:hAnsi="宋体" w:cs="宋体"/>
          <w:color w:val="auto"/>
          <w:sz w:val="24"/>
        </w:rPr>
      </w:pPr>
    </w:p>
    <w:p w14:paraId="153667A4">
      <w:pPr>
        <w:spacing w:line="480" w:lineRule="exact"/>
        <w:ind w:firstLine="573"/>
        <w:rPr>
          <w:rFonts w:ascii="宋体" w:hAnsi="宋体" w:cs="宋体"/>
          <w:color w:val="auto"/>
          <w:sz w:val="24"/>
        </w:rPr>
      </w:pPr>
      <w:r>
        <w:rPr>
          <w:rFonts w:hint="eastAsia" w:ascii="宋体" w:hAnsi="宋体" w:cs="宋体"/>
          <w:color w:val="auto"/>
          <w:sz w:val="24"/>
        </w:rPr>
        <w:t xml:space="preserve">甲方（盖章）                        乙方（盖章） </w:t>
      </w:r>
    </w:p>
    <w:p w14:paraId="32A25903">
      <w:pPr>
        <w:spacing w:line="480" w:lineRule="exact"/>
        <w:ind w:firstLine="573"/>
        <w:rPr>
          <w:rFonts w:ascii="宋体" w:hAnsi="宋体" w:cs="宋体"/>
          <w:color w:val="auto"/>
          <w:sz w:val="24"/>
        </w:rPr>
      </w:pPr>
    </w:p>
    <w:p w14:paraId="3A75806B">
      <w:pPr>
        <w:spacing w:line="480" w:lineRule="exact"/>
        <w:ind w:firstLine="573"/>
        <w:rPr>
          <w:rFonts w:ascii="宋体" w:hAnsi="宋体" w:cs="宋体"/>
          <w:color w:val="auto"/>
          <w:sz w:val="24"/>
        </w:rPr>
      </w:pPr>
      <w:bookmarkStart w:id="5" w:name="OLE_LINK15"/>
      <w:bookmarkStart w:id="6" w:name="OLE_LINK16"/>
      <w:r>
        <w:rPr>
          <w:rFonts w:hint="eastAsia" w:ascii="宋体" w:hAnsi="宋体" w:cs="宋体"/>
          <w:color w:val="auto"/>
          <w:sz w:val="24"/>
        </w:rPr>
        <w:t xml:space="preserve">授权委托人（签字）： </w:t>
      </w:r>
      <w:bookmarkEnd w:id="5"/>
      <w:bookmarkEnd w:id="6"/>
      <w:r>
        <w:rPr>
          <w:rFonts w:hint="eastAsia" w:ascii="宋体" w:hAnsi="宋体" w:cs="宋体"/>
          <w:color w:val="auto"/>
          <w:sz w:val="24"/>
        </w:rPr>
        <w:t xml:space="preserve">              法定代表人（签字）：</w:t>
      </w:r>
    </w:p>
    <w:p w14:paraId="6C5D45F5">
      <w:pPr>
        <w:spacing w:line="480" w:lineRule="exact"/>
        <w:ind w:firstLine="573"/>
        <w:rPr>
          <w:rFonts w:ascii="宋体" w:hAnsi="宋体" w:cs="宋体"/>
          <w:color w:val="auto"/>
          <w:sz w:val="24"/>
        </w:rPr>
      </w:pPr>
    </w:p>
    <w:p w14:paraId="19C89114">
      <w:pPr>
        <w:pStyle w:val="17"/>
        <w:spacing w:line="520" w:lineRule="exact"/>
        <w:rPr>
          <w:rFonts w:hAnsi="宋体" w:cs="宋体"/>
          <w:color w:val="auto"/>
          <w:sz w:val="24"/>
          <w:szCs w:val="24"/>
        </w:rPr>
      </w:pPr>
    </w:p>
    <w:p w14:paraId="5F6D9131">
      <w:pPr>
        <w:pStyle w:val="17"/>
        <w:spacing w:line="520" w:lineRule="exact"/>
        <w:rPr>
          <w:rFonts w:hAnsi="宋体" w:cs="宋体"/>
          <w:color w:val="auto"/>
          <w:sz w:val="24"/>
          <w:szCs w:val="24"/>
        </w:rPr>
      </w:pPr>
    </w:p>
    <w:p w14:paraId="1795EAA3">
      <w:pPr>
        <w:pStyle w:val="17"/>
        <w:spacing w:line="520" w:lineRule="exact"/>
        <w:rPr>
          <w:rFonts w:hAnsi="宋体" w:cs="宋体"/>
          <w:color w:val="auto"/>
          <w:sz w:val="24"/>
          <w:szCs w:val="24"/>
        </w:rPr>
      </w:pPr>
    </w:p>
    <w:p w14:paraId="42BAD9F8">
      <w:pPr>
        <w:spacing w:line="480" w:lineRule="exact"/>
        <w:ind w:firstLine="573"/>
        <w:rPr>
          <w:rFonts w:ascii="宋体" w:hAnsi="宋体" w:cs="宋体"/>
          <w:color w:val="auto"/>
          <w:sz w:val="24"/>
        </w:rPr>
      </w:pPr>
    </w:p>
    <w:p w14:paraId="7EA5EE93">
      <w:pPr>
        <w:spacing w:line="480" w:lineRule="exact"/>
        <w:ind w:firstLine="573"/>
        <w:rPr>
          <w:rFonts w:ascii="宋体" w:hAnsi="宋体" w:cs="宋体"/>
          <w:color w:val="auto"/>
          <w:sz w:val="24"/>
        </w:rPr>
      </w:pPr>
    </w:p>
    <w:p w14:paraId="003DB6F6">
      <w:pPr>
        <w:spacing w:line="480" w:lineRule="exact"/>
        <w:ind w:firstLine="573"/>
        <w:rPr>
          <w:rFonts w:ascii="宋体" w:hAnsi="宋体" w:cs="宋体"/>
          <w:color w:val="auto"/>
          <w:sz w:val="24"/>
        </w:rPr>
        <w:sectPr>
          <w:headerReference r:id="rId3" w:type="default"/>
          <w:footerReference r:id="rId4" w:type="default"/>
          <w:pgSz w:w="11906" w:h="16838"/>
          <w:pgMar w:top="1361" w:right="1304" w:bottom="1134" w:left="1587" w:header="850" w:footer="992" w:gutter="0"/>
          <w:cols w:space="1701" w:num="1"/>
          <w:docGrid w:linePitch="360" w:charSpace="0"/>
        </w:sectPr>
      </w:pPr>
      <w:r>
        <w:rPr>
          <w:rFonts w:hint="eastAsia" w:ascii="宋体" w:hAnsi="宋体" w:cs="宋体"/>
          <w:color w:val="auto"/>
          <w:sz w:val="24"/>
        </w:rPr>
        <w:t xml:space="preserve">                                    日期：   年  月  日</w:t>
      </w:r>
    </w:p>
    <w:p w14:paraId="3AA9CBA5">
      <w:pPr>
        <w:pageBreakBefore/>
        <w:spacing w:line="520" w:lineRule="exact"/>
        <w:rPr>
          <w:rFonts w:ascii="宋体" w:hAnsi="宋体" w:cs="宋体"/>
          <w:b/>
          <w:color w:val="auto"/>
          <w:sz w:val="24"/>
        </w:rPr>
      </w:pPr>
      <w:r>
        <w:rPr>
          <w:rFonts w:hint="eastAsia" w:ascii="宋体" w:hAnsi="宋体" w:cs="宋体"/>
          <w:b/>
          <w:color w:val="auto"/>
          <w:sz w:val="24"/>
        </w:rPr>
        <w:t>维保协议范本：</w:t>
      </w:r>
    </w:p>
    <w:p w14:paraId="064FFACE">
      <w:pPr>
        <w:ind w:right="-960" w:firstLine="5060" w:firstLineChars="2300"/>
        <w:rPr>
          <w:color w:val="auto"/>
          <w:sz w:val="18"/>
          <w:szCs w:val="18"/>
        </w:rPr>
      </w:pPr>
      <w:r>
        <w:rPr>
          <w:color w:val="auto"/>
          <w:sz w:val="22"/>
          <w:szCs w:val="22"/>
        </w:rPr>
        <w:t>合同号：</w:t>
      </w:r>
    </w:p>
    <w:p w14:paraId="6D1437F2">
      <w:pPr>
        <w:spacing w:beforeLines="50" w:line="240" w:lineRule="exact"/>
        <w:ind w:right="-45"/>
        <w:jc w:val="center"/>
        <w:rPr>
          <w:b/>
          <w:bCs/>
          <w:color w:val="auto"/>
          <w:spacing w:val="-14"/>
          <w:sz w:val="36"/>
          <w:szCs w:val="36"/>
        </w:rPr>
      </w:pPr>
    </w:p>
    <w:p w14:paraId="4C390332">
      <w:pPr>
        <w:spacing w:beforeLines="50"/>
        <w:ind w:right="-45"/>
        <w:jc w:val="center"/>
        <w:rPr>
          <w:rFonts w:ascii="仿宋_GB2312" w:hAnsi="仿宋_GB2312" w:eastAsia="仿宋_GB2312" w:cs="仿宋_GB2312"/>
          <w:b/>
          <w:bCs/>
          <w:color w:val="auto"/>
          <w:spacing w:val="14"/>
          <w:sz w:val="36"/>
          <w:szCs w:val="36"/>
        </w:rPr>
      </w:pPr>
      <w:r>
        <w:rPr>
          <w:rFonts w:hint="eastAsia" w:ascii="仿宋_GB2312" w:hAnsi="仿宋_GB2312" w:eastAsia="仿宋_GB2312" w:cs="仿宋_GB2312"/>
          <w:b/>
          <w:bCs/>
          <w:color w:val="auto"/>
          <w:spacing w:val="14"/>
          <w:sz w:val="36"/>
          <w:szCs w:val="36"/>
        </w:rPr>
        <w:t>产 品 保 养 服 务 合 同</w:t>
      </w:r>
    </w:p>
    <w:p w14:paraId="2C70FA24">
      <w:pPr>
        <w:rPr>
          <w:color w:val="auto"/>
          <w:sz w:val="20"/>
          <w:szCs w:val="20"/>
        </w:rPr>
      </w:pPr>
    </w:p>
    <w:tbl>
      <w:tblPr>
        <w:tblStyle w:val="7"/>
        <w:tblpPr w:leftFromText="180" w:rightFromText="180" w:vertAnchor="text" w:horzAnchor="page" w:tblpX="1597" w:tblpY="258"/>
        <w:tblOverlap w:val="never"/>
        <w:tblW w:w="9239"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3792"/>
        <w:gridCol w:w="5447"/>
      </w:tblGrid>
      <w:tr w14:paraId="6032F06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5FC63D3F">
            <w:pPr>
              <w:rPr>
                <w:color w:val="auto"/>
                <w:sz w:val="24"/>
              </w:rPr>
            </w:pPr>
            <w:r>
              <w:rPr>
                <w:color w:val="auto"/>
                <w:sz w:val="24"/>
              </w:rPr>
              <w:t>甲方（委托方）</w:t>
            </w:r>
          </w:p>
        </w:tc>
        <w:tc>
          <w:tcPr>
            <w:tcW w:w="5447" w:type="dxa"/>
            <w:tcBorders>
              <w:tl2br w:val="nil"/>
              <w:tr2bl w:val="nil"/>
            </w:tcBorders>
            <w:noWrap/>
          </w:tcPr>
          <w:p w14:paraId="1E7F18DD">
            <w:pPr>
              <w:rPr>
                <w:color w:val="auto"/>
                <w:sz w:val="24"/>
              </w:rPr>
            </w:pPr>
            <w:r>
              <w:rPr>
                <w:color w:val="auto"/>
                <w:sz w:val="24"/>
              </w:rPr>
              <w:t>乙方（</w:t>
            </w:r>
            <w:r>
              <w:rPr>
                <w:rFonts w:hint="eastAsia"/>
                <w:color w:val="auto"/>
                <w:sz w:val="24"/>
              </w:rPr>
              <w:t>中标单位</w:t>
            </w:r>
            <w:r>
              <w:rPr>
                <w:color w:val="auto"/>
                <w:sz w:val="24"/>
              </w:rPr>
              <w:t>）</w:t>
            </w:r>
          </w:p>
        </w:tc>
      </w:tr>
      <w:tr w14:paraId="682B6EA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006F09EC">
            <w:pPr>
              <w:rPr>
                <w:color w:val="auto"/>
                <w:sz w:val="24"/>
              </w:rPr>
            </w:pPr>
            <w:r>
              <w:rPr>
                <w:color w:val="auto"/>
                <w:sz w:val="24"/>
              </w:rPr>
              <w:t>单位名称：</w:t>
            </w:r>
          </w:p>
        </w:tc>
        <w:tc>
          <w:tcPr>
            <w:tcW w:w="5447" w:type="dxa"/>
            <w:tcBorders>
              <w:tl2br w:val="nil"/>
              <w:tr2bl w:val="nil"/>
            </w:tcBorders>
            <w:noWrap/>
          </w:tcPr>
          <w:p w14:paraId="66325760">
            <w:pPr>
              <w:rPr>
                <w:color w:val="auto"/>
                <w:sz w:val="24"/>
              </w:rPr>
            </w:pPr>
            <w:r>
              <w:rPr>
                <w:color w:val="auto"/>
                <w:sz w:val="24"/>
              </w:rPr>
              <w:t>单位名称：</w:t>
            </w:r>
            <w:r>
              <w:rPr>
                <w:rFonts w:hint="eastAsia"/>
                <w:color w:val="auto"/>
                <w:sz w:val="24"/>
                <w:lang w:eastAsia="zh-CN"/>
              </w:rPr>
              <w:t>江苏奥的斯电梯销售服务有限公司</w:t>
            </w:r>
          </w:p>
        </w:tc>
      </w:tr>
      <w:tr w14:paraId="7046567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5AE36D50">
            <w:pPr>
              <w:rPr>
                <w:color w:val="auto"/>
                <w:sz w:val="24"/>
              </w:rPr>
            </w:pPr>
            <w:r>
              <w:rPr>
                <w:color w:val="auto"/>
                <w:sz w:val="24"/>
              </w:rPr>
              <w:t>单位地址：</w:t>
            </w:r>
          </w:p>
        </w:tc>
        <w:tc>
          <w:tcPr>
            <w:tcW w:w="5447" w:type="dxa"/>
            <w:tcBorders>
              <w:tl2br w:val="nil"/>
              <w:tr2bl w:val="nil"/>
            </w:tcBorders>
            <w:noWrap/>
          </w:tcPr>
          <w:p w14:paraId="067BB5E7">
            <w:pPr>
              <w:rPr>
                <w:color w:val="auto"/>
                <w:sz w:val="24"/>
              </w:rPr>
            </w:pPr>
            <w:r>
              <w:rPr>
                <w:color w:val="auto"/>
                <w:sz w:val="24"/>
              </w:rPr>
              <w:t>单位地址：</w:t>
            </w:r>
            <w:r>
              <w:rPr>
                <w:rFonts w:hint="eastAsia"/>
                <w:color w:val="auto"/>
                <w:sz w:val="24"/>
                <w:lang w:val="en-US" w:eastAsia="zh-CN"/>
              </w:rPr>
              <w:t>淮安市淮海东路126号淮海第一城云溪苑H11</w:t>
            </w:r>
          </w:p>
        </w:tc>
      </w:tr>
      <w:tr w14:paraId="7EFFD03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226CFA53">
            <w:pPr>
              <w:rPr>
                <w:color w:val="auto"/>
                <w:sz w:val="24"/>
              </w:rPr>
            </w:pPr>
            <w:r>
              <w:rPr>
                <w:color w:val="auto"/>
                <w:sz w:val="24"/>
              </w:rPr>
              <w:t>法定代表人：</w:t>
            </w:r>
          </w:p>
        </w:tc>
        <w:tc>
          <w:tcPr>
            <w:tcW w:w="5447" w:type="dxa"/>
            <w:tcBorders>
              <w:tl2br w:val="nil"/>
              <w:tr2bl w:val="nil"/>
            </w:tcBorders>
            <w:noWrap/>
          </w:tcPr>
          <w:p w14:paraId="40E3C68B">
            <w:pPr>
              <w:rPr>
                <w:rFonts w:hint="eastAsia" w:eastAsia="宋体"/>
                <w:color w:val="auto"/>
                <w:sz w:val="24"/>
                <w:lang w:eastAsia="zh-CN"/>
              </w:rPr>
            </w:pPr>
            <w:r>
              <w:rPr>
                <w:color w:val="auto"/>
                <w:sz w:val="24"/>
              </w:rPr>
              <w:t>法定代表人：</w:t>
            </w:r>
            <w:r>
              <w:rPr>
                <w:rFonts w:hint="eastAsia"/>
                <w:color w:val="auto"/>
                <w:sz w:val="24"/>
                <w:lang w:eastAsia="zh-CN"/>
              </w:rPr>
              <w:t>徐海燕</w:t>
            </w:r>
          </w:p>
        </w:tc>
      </w:tr>
      <w:tr w14:paraId="02B032A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234FF31B">
            <w:pPr>
              <w:rPr>
                <w:color w:val="auto"/>
                <w:kern w:val="2"/>
                <w:sz w:val="24"/>
              </w:rPr>
            </w:pPr>
            <w:r>
              <w:rPr>
                <w:color w:val="auto"/>
                <w:kern w:val="2"/>
                <w:sz w:val="24"/>
              </w:rPr>
              <w:t>甲方负责人电话：</w:t>
            </w:r>
          </w:p>
        </w:tc>
        <w:tc>
          <w:tcPr>
            <w:tcW w:w="5447" w:type="dxa"/>
            <w:tcBorders>
              <w:tl2br w:val="nil"/>
              <w:tr2bl w:val="nil"/>
            </w:tcBorders>
            <w:noWrap/>
          </w:tcPr>
          <w:p w14:paraId="783BDDD7">
            <w:pPr>
              <w:rPr>
                <w:rFonts w:hint="default" w:eastAsia="宋体"/>
                <w:color w:val="auto"/>
                <w:sz w:val="24"/>
                <w:lang w:val="en-US" w:eastAsia="zh-CN"/>
              </w:rPr>
            </w:pPr>
            <w:r>
              <w:rPr>
                <w:color w:val="auto"/>
                <w:sz w:val="24"/>
              </w:rPr>
              <w:t>乙方负责人电话：</w:t>
            </w:r>
            <w:r>
              <w:rPr>
                <w:rFonts w:hint="eastAsia"/>
                <w:color w:val="auto"/>
                <w:sz w:val="24"/>
                <w:lang w:val="en-US" w:eastAsia="zh-CN"/>
              </w:rPr>
              <w:t>13912076202</w:t>
            </w:r>
          </w:p>
        </w:tc>
      </w:tr>
      <w:tr w14:paraId="6FD7041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7FBA8E3C">
            <w:pPr>
              <w:rPr>
                <w:color w:val="auto"/>
                <w:kern w:val="2"/>
                <w:sz w:val="24"/>
              </w:rPr>
            </w:pPr>
          </w:p>
        </w:tc>
        <w:tc>
          <w:tcPr>
            <w:tcW w:w="5447" w:type="dxa"/>
            <w:tcBorders>
              <w:tl2br w:val="nil"/>
              <w:tr2bl w:val="nil"/>
            </w:tcBorders>
            <w:noWrap/>
          </w:tcPr>
          <w:p w14:paraId="55083306">
            <w:pPr>
              <w:rPr>
                <w:color w:val="auto"/>
                <w:kern w:val="2"/>
                <w:sz w:val="24"/>
              </w:rPr>
            </w:pPr>
          </w:p>
        </w:tc>
      </w:tr>
      <w:tr w14:paraId="04C2484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310EA531">
            <w:pPr>
              <w:rPr>
                <w:color w:val="auto"/>
                <w:kern w:val="2"/>
                <w:sz w:val="24"/>
              </w:rPr>
            </w:pPr>
            <w:r>
              <w:rPr>
                <w:color w:val="auto"/>
                <w:sz w:val="24"/>
              </w:rPr>
              <w:t>项目负责人及电话：</w:t>
            </w:r>
          </w:p>
        </w:tc>
        <w:tc>
          <w:tcPr>
            <w:tcW w:w="5447" w:type="dxa"/>
            <w:tcBorders>
              <w:tl2br w:val="nil"/>
              <w:tr2bl w:val="nil"/>
            </w:tcBorders>
            <w:noWrap/>
          </w:tcPr>
          <w:p w14:paraId="3A4897F1">
            <w:pPr>
              <w:rPr>
                <w:rFonts w:hint="default" w:eastAsia="宋体"/>
                <w:color w:val="auto"/>
                <w:kern w:val="2"/>
                <w:sz w:val="24"/>
                <w:lang w:val="en-US" w:eastAsia="zh-CN"/>
              </w:rPr>
            </w:pPr>
            <w:r>
              <w:rPr>
                <w:color w:val="auto"/>
                <w:sz w:val="24"/>
              </w:rPr>
              <w:t>保养负责人及电话：</w:t>
            </w:r>
            <w:r>
              <w:rPr>
                <w:rFonts w:hint="eastAsia"/>
                <w:color w:val="auto"/>
                <w:sz w:val="24"/>
                <w:lang w:eastAsia="zh-CN"/>
              </w:rPr>
              <w:t>刘冬军</w:t>
            </w:r>
            <w:r>
              <w:rPr>
                <w:rFonts w:hint="eastAsia"/>
                <w:color w:val="auto"/>
                <w:sz w:val="24"/>
                <w:lang w:val="en-US" w:eastAsia="zh-CN"/>
              </w:rPr>
              <w:t xml:space="preserve"> 0517-83773375</w:t>
            </w:r>
          </w:p>
        </w:tc>
      </w:tr>
      <w:tr w14:paraId="63B89E5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4E8B3468">
            <w:pPr>
              <w:rPr>
                <w:color w:val="auto"/>
                <w:kern w:val="2"/>
                <w:sz w:val="24"/>
              </w:rPr>
            </w:pPr>
          </w:p>
        </w:tc>
        <w:tc>
          <w:tcPr>
            <w:tcW w:w="5447" w:type="dxa"/>
            <w:tcBorders>
              <w:tl2br w:val="nil"/>
              <w:tr2bl w:val="nil"/>
            </w:tcBorders>
            <w:noWrap/>
          </w:tcPr>
          <w:p w14:paraId="54AC812D">
            <w:pPr>
              <w:rPr>
                <w:color w:val="auto"/>
                <w:kern w:val="2"/>
                <w:sz w:val="24"/>
              </w:rPr>
            </w:pPr>
          </w:p>
        </w:tc>
      </w:tr>
      <w:tr w14:paraId="5ABA9EA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22CBA9AB">
            <w:pPr>
              <w:rPr>
                <w:color w:val="auto"/>
                <w:sz w:val="32"/>
                <w:szCs w:val="32"/>
              </w:rPr>
            </w:pPr>
            <w:r>
              <w:rPr>
                <w:color w:val="auto"/>
                <w:sz w:val="24"/>
              </w:rPr>
              <w:t>现场应急联系人及电话：</w:t>
            </w:r>
          </w:p>
        </w:tc>
        <w:tc>
          <w:tcPr>
            <w:tcW w:w="5447" w:type="dxa"/>
            <w:tcBorders>
              <w:tl2br w:val="nil"/>
              <w:tr2bl w:val="nil"/>
            </w:tcBorders>
            <w:noWrap/>
          </w:tcPr>
          <w:p w14:paraId="4A462DA3">
            <w:pPr>
              <w:rPr>
                <w:color w:val="auto"/>
                <w:kern w:val="2"/>
                <w:sz w:val="24"/>
              </w:rPr>
            </w:pPr>
            <w:r>
              <w:rPr>
                <w:color w:val="auto"/>
                <w:sz w:val="24"/>
              </w:rPr>
              <w:t>24小时应急联系人及电话：</w:t>
            </w:r>
            <w:r>
              <w:rPr>
                <w:rFonts w:hint="eastAsia"/>
                <w:color w:val="auto"/>
                <w:sz w:val="24"/>
                <w:lang w:eastAsia="zh-CN"/>
              </w:rPr>
              <w:t>刘冬军</w:t>
            </w:r>
            <w:r>
              <w:rPr>
                <w:rFonts w:hint="eastAsia"/>
                <w:color w:val="auto"/>
                <w:sz w:val="24"/>
                <w:lang w:val="en-US" w:eastAsia="zh-CN"/>
              </w:rPr>
              <w:t xml:space="preserve"> 0517-83773375</w:t>
            </w:r>
          </w:p>
        </w:tc>
      </w:tr>
      <w:tr w14:paraId="59B2E56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634" w:hRule="atLeast"/>
        </w:trPr>
        <w:tc>
          <w:tcPr>
            <w:tcW w:w="3792" w:type="dxa"/>
            <w:tcBorders>
              <w:tl2br w:val="nil"/>
              <w:tr2bl w:val="nil"/>
            </w:tcBorders>
            <w:noWrap/>
          </w:tcPr>
          <w:p w14:paraId="2815B60A">
            <w:pPr>
              <w:rPr>
                <w:color w:val="auto"/>
                <w:sz w:val="32"/>
                <w:szCs w:val="32"/>
              </w:rPr>
            </w:pPr>
          </w:p>
        </w:tc>
        <w:tc>
          <w:tcPr>
            <w:tcW w:w="5447" w:type="dxa"/>
            <w:tcBorders>
              <w:tl2br w:val="nil"/>
              <w:tr2bl w:val="nil"/>
            </w:tcBorders>
            <w:noWrap/>
          </w:tcPr>
          <w:p w14:paraId="1B91C447">
            <w:pPr>
              <w:rPr>
                <w:color w:val="auto"/>
                <w:kern w:val="2"/>
                <w:sz w:val="24"/>
              </w:rPr>
            </w:pPr>
          </w:p>
        </w:tc>
      </w:tr>
      <w:tr w14:paraId="2649E43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291157F3">
            <w:pPr>
              <w:rPr>
                <w:color w:val="auto"/>
                <w:sz w:val="24"/>
              </w:rPr>
            </w:pPr>
          </w:p>
        </w:tc>
        <w:tc>
          <w:tcPr>
            <w:tcW w:w="5447" w:type="dxa"/>
            <w:tcBorders>
              <w:tl2br w:val="nil"/>
              <w:tr2bl w:val="nil"/>
            </w:tcBorders>
            <w:noWrap/>
          </w:tcPr>
          <w:p w14:paraId="28A4D942">
            <w:pPr>
              <w:rPr>
                <w:color w:val="auto"/>
                <w:sz w:val="24"/>
              </w:rPr>
            </w:pPr>
          </w:p>
        </w:tc>
      </w:tr>
      <w:tr w14:paraId="66E49A3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6C6DA173">
            <w:pPr>
              <w:rPr>
                <w:color w:val="auto"/>
                <w:sz w:val="24"/>
              </w:rPr>
            </w:pPr>
            <w:r>
              <w:rPr>
                <w:color w:val="auto"/>
                <w:sz w:val="24"/>
              </w:rPr>
              <w:t>丙方（属地社区）</w:t>
            </w:r>
          </w:p>
        </w:tc>
        <w:tc>
          <w:tcPr>
            <w:tcW w:w="5447" w:type="dxa"/>
            <w:tcBorders>
              <w:tl2br w:val="nil"/>
              <w:tr2bl w:val="nil"/>
            </w:tcBorders>
            <w:noWrap/>
          </w:tcPr>
          <w:p w14:paraId="7E6ABDE2">
            <w:pPr>
              <w:rPr>
                <w:color w:val="auto"/>
                <w:sz w:val="24"/>
              </w:rPr>
            </w:pPr>
            <w:r>
              <w:rPr>
                <w:color w:val="auto"/>
                <w:sz w:val="24"/>
              </w:rPr>
              <w:t>丁方（属地街道）</w:t>
            </w:r>
          </w:p>
        </w:tc>
      </w:tr>
      <w:tr w14:paraId="65708F9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5D16BE35">
            <w:pPr>
              <w:rPr>
                <w:color w:val="auto"/>
                <w:kern w:val="2"/>
                <w:sz w:val="24"/>
              </w:rPr>
            </w:pPr>
            <w:r>
              <w:rPr>
                <w:color w:val="auto"/>
                <w:sz w:val="24"/>
              </w:rPr>
              <w:t>单位名称：</w:t>
            </w:r>
          </w:p>
        </w:tc>
        <w:tc>
          <w:tcPr>
            <w:tcW w:w="5447" w:type="dxa"/>
            <w:tcBorders>
              <w:tl2br w:val="nil"/>
              <w:tr2bl w:val="nil"/>
            </w:tcBorders>
            <w:noWrap/>
          </w:tcPr>
          <w:p w14:paraId="2D66A2CE">
            <w:pPr>
              <w:rPr>
                <w:color w:val="auto"/>
                <w:kern w:val="2"/>
                <w:sz w:val="24"/>
              </w:rPr>
            </w:pPr>
            <w:r>
              <w:rPr>
                <w:color w:val="auto"/>
                <w:sz w:val="24"/>
              </w:rPr>
              <w:t>单位名称：</w:t>
            </w:r>
          </w:p>
        </w:tc>
      </w:tr>
      <w:tr w14:paraId="1C4C7A6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01A95261">
            <w:pPr>
              <w:rPr>
                <w:color w:val="auto"/>
                <w:kern w:val="2"/>
                <w:sz w:val="24"/>
              </w:rPr>
            </w:pPr>
            <w:r>
              <w:rPr>
                <w:color w:val="auto"/>
                <w:sz w:val="24"/>
              </w:rPr>
              <w:t>单位地址：</w:t>
            </w:r>
          </w:p>
        </w:tc>
        <w:tc>
          <w:tcPr>
            <w:tcW w:w="5447" w:type="dxa"/>
            <w:tcBorders>
              <w:tl2br w:val="nil"/>
              <w:tr2bl w:val="nil"/>
            </w:tcBorders>
            <w:noWrap/>
          </w:tcPr>
          <w:p w14:paraId="5E20EB79">
            <w:pPr>
              <w:rPr>
                <w:color w:val="auto"/>
                <w:kern w:val="2"/>
                <w:sz w:val="24"/>
              </w:rPr>
            </w:pPr>
            <w:r>
              <w:rPr>
                <w:color w:val="auto"/>
                <w:sz w:val="24"/>
              </w:rPr>
              <w:t>单位地址：</w:t>
            </w:r>
          </w:p>
        </w:tc>
      </w:tr>
      <w:tr w14:paraId="1C75B5D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06674BCE">
            <w:pPr>
              <w:rPr>
                <w:color w:val="auto"/>
                <w:kern w:val="2"/>
                <w:sz w:val="24"/>
              </w:rPr>
            </w:pPr>
            <w:r>
              <w:rPr>
                <w:color w:val="auto"/>
                <w:sz w:val="24"/>
              </w:rPr>
              <w:t>法定代表人：</w:t>
            </w:r>
          </w:p>
        </w:tc>
        <w:tc>
          <w:tcPr>
            <w:tcW w:w="5447" w:type="dxa"/>
            <w:tcBorders>
              <w:tl2br w:val="nil"/>
              <w:tr2bl w:val="nil"/>
            </w:tcBorders>
            <w:noWrap/>
          </w:tcPr>
          <w:p w14:paraId="31FCD1A0">
            <w:pPr>
              <w:rPr>
                <w:color w:val="auto"/>
                <w:kern w:val="2"/>
                <w:sz w:val="24"/>
              </w:rPr>
            </w:pPr>
            <w:r>
              <w:rPr>
                <w:color w:val="auto"/>
                <w:sz w:val="24"/>
              </w:rPr>
              <w:t>法定代表人：</w:t>
            </w:r>
          </w:p>
        </w:tc>
      </w:tr>
      <w:tr w14:paraId="41BFC82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0259D00F">
            <w:pPr>
              <w:rPr>
                <w:color w:val="auto"/>
                <w:sz w:val="24"/>
              </w:rPr>
            </w:pPr>
            <w:r>
              <w:rPr>
                <w:color w:val="auto"/>
                <w:sz w:val="24"/>
              </w:rPr>
              <w:t>相关负责人及电话：</w:t>
            </w:r>
          </w:p>
        </w:tc>
        <w:tc>
          <w:tcPr>
            <w:tcW w:w="5447" w:type="dxa"/>
            <w:tcBorders>
              <w:tl2br w:val="nil"/>
              <w:tr2bl w:val="nil"/>
            </w:tcBorders>
            <w:noWrap/>
          </w:tcPr>
          <w:p w14:paraId="2F254B73">
            <w:pPr>
              <w:rPr>
                <w:color w:val="auto"/>
                <w:kern w:val="2"/>
                <w:sz w:val="24"/>
              </w:rPr>
            </w:pPr>
            <w:r>
              <w:rPr>
                <w:color w:val="auto"/>
                <w:sz w:val="24"/>
              </w:rPr>
              <w:t>相关负责人及电话：</w:t>
            </w:r>
          </w:p>
        </w:tc>
      </w:tr>
      <w:tr w14:paraId="54A1D31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40B2F549">
            <w:pPr>
              <w:rPr>
                <w:color w:val="auto"/>
                <w:sz w:val="24"/>
              </w:rPr>
            </w:pPr>
          </w:p>
        </w:tc>
        <w:tc>
          <w:tcPr>
            <w:tcW w:w="5447" w:type="dxa"/>
            <w:tcBorders>
              <w:tl2br w:val="nil"/>
              <w:tr2bl w:val="nil"/>
            </w:tcBorders>
            <w:noWrap/>
          </w:tcPr>
          <w:p w14:paraId="0B792271">
            <w:pPr>
              <w:rPr>
                <w:color w:val="auto"/>
                <w:kern w:val="2"/>
                <w:sz w:val="24"/>
              </w:rPr>
            </w:pPr>
          </w:p>
        </w:tc>
      </w:tr>
      <w:tr w14:paraId="62D933A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28701712">
            <w:pPr>
              <w:rPr>
                <w:color w:val="auto"/>
                <w:sz w:val="24"/>
              </w:rPr>
            </w:pPr>
            <w:r>
              <w:rPr>
                <w:color w:val="auto"/>
                <w:sz w:val="24"/>
              </w:rPr>
              <w:t>现场应急联系人及电话：</w:t>
            </w:r>
          </w:p>
        </w:tc>
        <w:tc>
          <w:tcPr>
            <w:tcW w:w="5447" w:type="dxa"/>
            <w:tcBorders>
              <w:tl2br w:val="nil"/>
              <w:tr2bl w:val="nil"/>
            </w:tcBorders>
            <w:noWrap/>
          </w:tcPr>
          <w:p w14:paraId="3796B9DF">
            <w:pPr>
              <w:rPr>
                <w:color w:val="auto"/>
                <w:kern w:val="2"/>
                <w:sz w:val="24"/>
              </w:rPr>
            </w:pPr>
            <w:r>
              <w:rPr>
                <w:color w:val="auto"/>
                <w:sz w:val="24"/>
              </w:rPr>
              <w:t>应急联系人及电话：</w:t>
            </w:r>
          </w:p>
        </w:tc>
      </w:tr>
      <w:tr w14:paraId="2A6823D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552EB46A">
            <w:pPr>
              <w:rPr>
                <w:color w:val="auto"/>
                <w:sz w:val="20"/>
                <w:szCs w:val="20"/>
              </w:rPr>
            </w:pPr>
          </w:p>
        </w:tc>
        <w:tc>
          <w:tcPr>
            <w:tcW w:w="5447" w:type="dxa"/>
            <w:tcBorders>
              <w:tl2br w:val="nil"/>
              <w:tr2bl w:val="nil"/>
            </w:tcBorders>
            <w:noWrap/>
          </w:tcPr>
          <w:p w14:paraId="40A8A960">
            <w:pPr>
              <w:rPr>
                <w:color w:val="auto"/>
                <w:sz w:val="20"/>
                <w:szCs w:val="20"/>
              </w:rPr>
            </w:pPr>
          </w:p>
        </w:tc>
      </w:tr>
      <w:tr w14:paraId="08DFD9B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6024E737">
            <w:pPr>
              <w:rPr>
                <w:color w:val="auto"/>
                <w:sz w:val="20"/>
                <w:szCs w:val="20"/>
              </w:rPr>
            </w:pPr>
          </w:p>
        </w:tc>
        <w:tc>
          <w:tcPr>
            <w:tcW w:w="5447" w:type="dxa"/>
            <w:tcBorders>
              <w:tl2br w:val="nil"/>
              <w:tr2bl w:val="nil"/>
            </w:tcBorders>
            <w:noWrap/>
          </w:tcPr>
          <w:p w14:paraId="48382DEF">
            <w:pPr>
              <w:rPr>
                <w:color w:val="auto"/>
                <w:sz w:val="20"/>
                <w:szCs w:val="20"/>
              </w:rPr>
            </w:pPr>
          </w:p>
        </w:tc>
      </w:tr>
      <w:tr w14:paraId="4AC1844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5888EDF5">
            <w:pPr>
              <w:rPr>
                <w:color w:val="auto"/>
                <w:sz w:val="20"/>
                <w:szCs w:val="20"/>
              </w:rPr>
            </w:pPr>
          </w:p>
        </w:tc>
        <w:tc>
          <w:tcPr>
            <w:tcW w:w="5447" w:type="dxa"/>
            <w:tcBorders>
              <w:tl2br w:val="nil"/>
              <w:tr2bl w:val="nil"/>
            </w:tcBorders>
            <w:noWrap/>
          </w:tcPr>
          <w:p w14:paraId="36F55DD4">
            <w:pPr>
              <w:rPr>
                <w:color w:val="auto"/>
                <w:sz w:val="20"/>
                <w:szCs w:val="20"/>
              </w:rPr>
            </w:pPr>
          </w:p>
        </w:tc>
      </w:tr>
      <w:tr w14:paraId="2A89BF3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3050B2C4">
            <w:pPr>
              <w:rPr>
                <w:color w:val="auto"/>
                <w:sz w:val="24"/>
              </w:rPr>
            </w:pPr>
          </w:p>
        </w:tc>
        <w:tc>
          <w:tcPr>
            <w:tcW w:w="5447" w:type="dxa"/>
            <w:tcBorders>
              <w:tl2br w:val="nil"/>
              <w:tr2bl w:val="nil"/>
            </w:tcBorders>
            <w:noWrap/>
          </w:tcPr>
          <w:p w14:paraId="5964BEA2">
            <w:pPr>
              <w:rPr>
                <w:color w:val="auto"/>
                <w:sz w:val="20"/>
                <w:szCs w:val="20"/>
              </w:rPr>
            </w:pPr>
          </w:p>
        </w:tc>
      </w:tr>
      <w:tr w14:paraId="52DB5DE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vAlign w:val="center"/>
          </w:tcPr>
          <w:p w14:paraId="2FB231E9">
            <w:pPr>
              <w:rPr>
                <w:color w:val="auto"/>
                <w:sz w:val="24"/>
              </w:rPr>
            </w:pPr>
            <w:r>
              <w:rPr>
                <w:rFonts w:hint="eastAsia"/>
                <w:color w:val="auto"/>
                <w:sz w:val="24"/>
              </w:rPr>
              <w:t>采购人（区住建局）</w:t>
            </w:r>
          </w:p>
        </w:tc>
        <w:tc>
          <w:tcPr>
            <w:tcW w:w="5447" w:type="dxa"/>
            <w:tcBorders>
              <w:tl2br w:val="nil"/>
              <w:tr2bl w:val="nil"/>
            </w:tcBorders>
            <w:noWrap/>
          </w:tcPr>
          <w:p w14:paraId="270B4D29">
            <w:pPr>
              <w:rPr>
                <w:color w:val="auto"/>
                <w:sz w:val="20"/>
                <w:szCs w:val="20"/>
              </w:rPr>
            </w:pPr>
          </w:p>
        </w:tc>
      </w:tr>
      <w:tr w14:paraId="5877A64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1D93CBF0">
            <w:pPr>
              <w:rPr>
                <w:color w:val="auto"/>
                <w:sz w:val="24"/>
              </w:rPr>
            </w:pPr>
            <w:r>
              <w:rPr>
                <w:rFonts w:hint="eastAsia"/>
                <w:color w:val="auto"/>
                <w:sz w:val="24"/>
              </w:rPr>
              <w:t>单位名称：</w:t>
            </w:r>
          </w:p>
        </w:tc>
        <w:tc>
          <w:tcPr>
            <w:tcW w:w="5447" w:type="dxa"/>
            <w:tcBorders>
              <w:tl2br w:val="nil"/>
              <w:tr2bl w:val="nil"/>
            </w:tcBorders>
            <w:noWrap/>
          </w:tcPr>
          <w:p w14:paraId="0D569991">
            <w:pPr>
              <w:rPr>
                <w:color w:val="auto"/>
                <w:sz w:val="20"/>
                <w:szCs w:val="20"/>
              </w:rPr>
            </w:pPr>
          </w:p>
        </w:tc>
      </w:tr>
      <w:tr w14:paraId="50C18D7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682792B0">
            <w:pPr>
              <w:rPr>
                <w:color w:val="auto"/>
                <w:sz w:val="24"/>
              </w:rPr>
            </w:pPr>
            <w:r>
              <w:rPr>
                <w:rFonts w:hint="eastAsia"/>
                <w:color w:val="auto"/>
                <w:sz w:val="24"/>
              </w:rPr>
              <w:t>单位地址：</w:t>
            </w:r>
          </w:p>
        </w:tc>
        <w:tc>
          <w:tcPr>
            <w:tcW w:w="5447" w:type="dxa"/>
            <w:tcBorders>
              <w:tl2br w:val="nil"/>
              <w:tr2bl w:val="nil"/>
            </w:tcBorders>
            <w:noWrap/>
          </w:tcPr>
          <w:p w14:paraId="4CBC4AA8">
            <w:pPr>
              <w:rPr>
                <w:color w:val="auto"/>
                <w:sz w:val="20"/>
                <w:szCs w:val="20"/>
              </w:rPr>
            </w:pPr>
          </w:p>
        </w:tc>
      </w:tr>
      <w:tr w14:paraId="57EA7BA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0C1DCE2D">
            <w:pPr>
              <w:rPr>
                <w:color w:val="auto"/>
                <w:sz w:val="24"/>
              </w:rPr>
            </w:pPr>
            <w:r>
              <w:rPr>
                <w:rFonts w:hint="eastAsia"/>
                <w:color w:val="auto"/>
                <w:sz w:val="24"/>
              </w:rPr>
              <w:t>相关负责人及电话：</w:t>
            </w:r>
          </w:p>
        </w:tc>
        <w:tc>
          <w:tcPr>
            <w:tcW w:w="5447" w:type="dxa"/>
            <w:tcBorders>
              <w:tl2br w:val="nil"/>
              <w:tr2bl w:val="nil"/>
            </w:tcBorders>
            <w:noWrap/>
          </w:tcPr>
          <w:p w14:paraId="094A7EA1">
            <w:pPr>
              <w:rPr>
                <w:color w:val="auto"/>
                <w:sz w:val="20"/>
                <w:szCs w:val="20"/>
              </w:rPr>
            </w:pPr>
          </w:p>
        </w:tc>
      </w:tr>
      <w:tr w14:paraId="4CF271D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6714A9CB">
            <w:pPr>
              <w:rPr>
                <w:color w:val="auto"/>
                <w:sz w:val="20"/>
                <w:szCs w:val="20"/>
              </w:rPr>
            </w:pPr>
          </w:p>
        </w:tc>
        <w:tc>
          <w:tcPr>
            <w:tcW w:w="5447" w:type="dxa"/>
            <w:tcBorders>
              <w:tl2br w:val="nil"/>
              <w:tr2bl w:val="nil"/>
            </w:tcBorders>
            <w:noWrap/>
          </w:tcPr>
          <w:p w14:paraId="0380DDD0">
            <w:pPr>
              <w:rPr>
                <w:color w:val="auto"/>
                <w:sz w:val="20"/>
                <w:szCs w:val="20"/>
              </w:rPr>
            </w:pPr>
          </w:p>
        </w:tc>
      </w:tr>
      <w:tr w14:paraId="30F4580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 w:hRule="atLeast"/>
        </w:trPr>
        <w:tc>
          <w:tcPr>
            <w:tcW w:w="3792" w:type="dxa"/>
            <w:tcBorders>
              <w:tl2br w:val="nil"/>
              <w:tr2bl w:val="nil"/>
            </w:tcBorders>
            <w:noWrap/>
          </w:tcPr>
          <w:p w14:paraId="63E039AA">
            <w:pPr>
              <w:rPr>
                <w:color w:val="auto"/>
                <w:sz w:val="20"/>
                <w:szCs w:val="20"/>
              </w:rPr>
            </w:pPr>
          </w:p>
        </w:tc>
        <w:tc>
          <w:tcPr>
            <w:tcW w:w="5447" w:type="dxa"/>
            <w:tcBorders>
              <w:tl2br w:val="nil"/>
              <w:tr2bl w:val="nil"/>
            </w:tcBorders>
            <w:noWrap/>
          </w:tcPr>
          <w:p w14:paraId="3E11AAA0">
            <w:pPr>
              <w:rPr>
                <w:color w:val="auto"/>
                <w:sz w:val="20"/>
                <w:szCs w:val="20"/>
              </w:rPr>
            </w:pPr>
          </w:p>
        </w:tc>
      </w:tr>
      <w:tr w14:paraId="1D7F01E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32" w:hRule="atLeast"/>
        </w:trPr>
        <w:tc>
          <w:tcPr>
            <w:tcW w:w="3792" w:type="dxa"/>
            <w:tcBorders>
              <w:tl2br w:val="nil"/>
              <w:tr2bl w:val="nil"/>
            </w:tcBorders>
            <w:noWrap/>
          </w:tcPr>
          <w:p w14:paraId="5E2775A5">
            <w:pPr>
              <w:rPr>
                <w:color w:val="auto"/>
                <w:sz w:val="20"/>
                <w:szCs w:val="20"/>
              </w:rPr>
            </w:pPr>
          </w:p>
        </w:tc>
        <w:tc>
          <w:tcPr>
            <w:tcW w:w="5447" w:type="dxa"/>
            <w:tcBorders>
              <w:tl2br w:val="nil"/>
              <w:tr2bl w:val="nil"/>
            </w:tcBorders>
            <w:noWrap/>
          </w:tcPr>
          <w:p w14:paraId="4057FF3C">
            <w:pPr>
              <w:rPr>
                <w:color w:val="auto"/>
                <w:sz w:val="20"/>
                <w:szCs w:val="20"/>
              </w:rPr>
            </w:pPr>
          </w:p>
        </w:tc>
      </w:tr>
    </w:tbl>
    <w:p w14:paraId="03494F0E">
      <w:pPr>
        <w:rPr>
          <w:color w:val="auto"/>
          <w:sz w:val="20"/>
          <w:szCs w:val="20"/>
        </w:rPr>
      </w:pPr>
    </w:p>
    <w:p w14:paraId="15675CC0">
      <w:pPr>
        <w:rPr>
          <w:color w:val="auto"/>
          <w:sz w:val="24"/>
          <w:szCs w:val="24"/>
        </w:rPr>
      </w:pPr>
    </w:p>
    <w:p w14:paraId="2AD32602">
      <w:pPr>
        <w:spacing w:line="560" w:lineRule="exact"/>
        <w:ind w:firstLine="640" w:firstLineChars="200"/>
        <w:rPr>
          <w:rFonts w:eastAsia="方正仿宋_GB2312"/>
          <w:color w:val="auto"/>
          <w:sz w:val="32"/>
          <w:szCs w:val="32"/>
        </w:rPr>
      </w:pPr>
    </w:p>
    <w:p w14:paraId="00F09683">
      <w:pPr>
        <w:spacing w:line="560" w:lineRule="exact"/>
        <w:ind w:firstLine="640" w:firstLineChars="200"/>
        <w:rPr>
          <w:rFonts w:eastAsia="方正仿宋_GB2312"/>
          <w:color w:val="auto"/>
          <w:sz w:val="32"/>
          <w:szCs w:val="32"/>
        </w:rPr>
      </w:pPr>
    </w:p>
    <w:p w14:paraId="6EC9F8C2">
      <w:pPr>
        <w:spacing w:line="560" w:lineRule="exact"/>
        <w:ind w:firstLine="640" w:firstLineChars="200"/>
        <w:rPr>
          <w:rFonts w:eastAsia="方正仿宋_GB2312"/>
          <w:color w:val="auto"/>
          <w:sz w:val="32"/>
          <w:szCs w:val="32"/>
        </w:rPr>
      </w:pPr>
    </w:p>
    <w:p w14:paraId="06264CB9">
      <w:pPr>
        <w:spacing w:line="560" w:lineRule="exact"/>
        <w:ind w:firstLine="480" w:firstLineChars="200"/>
        <w:rPr>
          <w:rFonts w:ascii="宋体" w:hAnsi="宋体" w:cs="宋体"/>
          <w:color w:val="auto"/>
          <w:sz w:val="24"/>
        </w:rPr>
      </w:pPr>
      <w:r>
        <w:rPr>
          <w:rFonts w:hint="eastAsia" w:ascii="宋体" w:hAnsi="宋体" w:cs="宋体"/>
          <w:color w:val="auto"/>
          <w:sz w:val="24"/>
        </w:rPr>
        <w:t>甲乙双方按照《中华人民共和国特种设备安全法》及相关法律法规、安全技术规范的规定，遵循公平、诚实和信用的原则，共同确定以下由乙方向甲方提供的产品保养服务内容条款。</w:t>
      </w:r>
    </w:p>
    <w:p w14:paraId="5DD52CC8">
      <w:pPr>
        <w:spacing w:line="560" w:lineRule="exact"/>
        <w:rPr>
          <w:rFonts w:ascii="宋体" w:hAnsi="宋体" w:cs="宋体"/>
          <w:b/>
          <w:bCs/>
          <w:color w:val="auto"/>
          <w:sz w:val="24"/>
        </w:rPr>
      </w:pPr>
      <w:r>
        <w:rPr>
          <w:rFonts w:hint="eastAsia" w:ascii="宋体" w:hAnsi="宋体" w:cs="宋体"/>
          <w:b/>
          <w:bCs/>
          <w:color w:val="auto"/>
          <w:sz w:val="24"/>
        </w:rPr>
        <w:t>一、本合同经</w:t>
      </w:r>
      <w:r>
        <w:rPr>
          <w:rFonts w:hint="eastAsia" w:ascii="宋体" w:hAnsi="宋体" w:cs="宋体"/>
          <w:b/>
          <w:bCs/>
          <w:color w:val="auto"/>
          <w:sz w:val="24"/>
          <w:lang w:val="en-US" w:eastAsia="zh-CN"/>
        </w:rPr>
        <w:t>五</w:t>
      </w:r>
      <w:r>
        <w:rPr>
          <w:rFonts w:hint="eastAsia" w:ascii="宋体" w:hAnsi="宋体" w:cs="宋体"/>
          <w:b/>
          <w:bCs/>
          <w:color w:val="auto"/>
          <w:sz w:val="24"/>
        </w:rPr>
        <w:t>方代表签字并盖章后，符合本合同第二条的前提情况下生效。</w:t>
      </w:r>
    </w:p>
    <w:p w14:paraId="75D90D82">
      <w:pPr>
        <w:spacing w:line="560" w:lineRule="exact"/>
        <w:rPr>
          <w:rFonts w:ascii="宋体" w:hAnsi="宋体" w:cs="宋体"/>
          <w:color w:val="auto"/>
          <w:sz w:val="24"/>
        </w:rPr>
      </w:pPr>
      <w:r>
        <w:rPr>
          <w:rFonts w:hint="eastAsia" w:ascii="宋体" w:hAnsi="宋体" w:cs="宋体"/>
          <w:b/>
          <w:bCs/>
          <w:color w:val="auto"/>
          <w:sz w:val="24"/>
        </w:rPr>
        <w:t>二、</w:t>
      </w:r>
      <w:r>
        <w:rPr>
          <w:rFonts w:hint="eastAsia" w:ascii="宋体" w:hAnsi="宋体" w:cs="宋体"/>
          <w:color w:val="auto"/>
          <w:sz w:val="24"/>
        </w:rPr>
        <w:t>本合同内所述及的“电梯设备”是指在本合同中列出的、由甲方委托乙方保养的、已经政府主管部门检验合格并允许使用的各类乘客电梯、载货电梯、液压电梯、杂物电梯、自动扶梯和自动人行道等甲方设备的总称。</w:t>
      </w:r>
    </w:p>
    <w:p w14:paraId="29605E28">
      <w:pPr>
        <w:spacing w:line="560" w:lineRule="exact"/>
        <w:rPr>
          <w:rFonts w:ascii="宋体" w:hAnsi="宋体" w:cs="宋体"/>
          <w:b/>
          <w:bCs/>
          <w:color w:val="auto"/>
          <w:sz w:val="24"/>
        </w:rPr>
      </w:pPr>
      <w:r>
        <w:rPr>
          <w:rFonts w:hint="eastAsia" w:ascii="宋体" w:hAnsi="宋体" w:cs="宋体"/>
          <w:b/>
          <w:bCs/>
          <w:color w:val="auto"/>
          <w:sz w:val="24"/>
        </w:rPr>
        <w:t>三、服务对象</w:t>
      </w:r>
    </w:p>
    <w:p w14:paraId="0BF42579">
      <w:pPr>
        <w:spacing w:line="560" w:lineRule="exact"/>
        <w:ind w:firstLine="405"/>
        <w:rPr>
          <w:rFonts w:ascii="宋体" w:hAnsi="宋体" w:cs="宋体"/>
          <w:b/>
          <w:bCs/>
          <w:color w:val="auto"/>
          <w:sz w:val="24"/>
        </w:rPr>
      </w:pPr>
      <w:r>
        <w:rPr>
          <w:rFonts w:hint="eastAsia" w:ascii="宋体" w:hAnsi="宋体" w:cs="宋体"/>
          <w:color w:val="auto"/>
          <w:sz w:val="24"/>
        </w:rPr>
        <w:t>甲方委托乙方对于年月安装的、位于地址</w:t>
      </w:r>
      <w:r>
        <w:rPr>
          <w:rFonts w:hint="eastAsia" w:ascii="宋体" w:hAnsi="宋体" w:cs="宋体"/>
          <w:color w:val="auto"/>
          <w:sz w:val="24"/>
          <w:u w:val="single"/>
        </w:rPr>
        <w:t>淮安经济技术开发区</w:t>
      </w:r>
      <w:r>
        <w:rPr>
          <w:rFonts w:hint="eastAsia" w:ascii="宋体" w:hAnsi="宋体" w:cs="宋体"/>
          <w:color w:val="auto"/>
          <w:sz w:val="24"/>
        </w:rPr>
        <w:t>的名为：建筑物内的共计</w:t>
      </w:r>
      <w:r>
        <w:rPr>
          <w:rFonts w:hint="eastAsia" w:ascii="宋体" w:hAnsi="宋体" w:cs="宋体"/>
          <w:color w:val="auto"/>
          <w:sz w:val="24"/>
          <w:u w:val="single"/>
          <w:lang w:val="en-US" w:eastAsia="zh-CN"/>
        </w:rPr>
        <w:t xml:space="preserve"> 36  </w:t>
      </w:r>
      <w:r>
        <w:rPr>
          <w:rFonts w:hint="eastAsia" w:ascii="宋体" w:hAnsi="宋体" w:cs="宋体"/>
          <w:color w:val="auto"/>
          <w:sz w:val="24"/>
        </w:rPr>
        <w:t>台电梯设备提供保养服务。（电梯设备的具体规格详见本合同条款：“八、电梯设备规格”中表一所列）</w:t>
      </w:r>
    </w:p>
    <w:p w14:paraId="0B7E8C0B">
      <w:pPr>
        <w:spacing w:line="560" w:lineRule="exact"/>
        <w:rPr>
          <w:rFonts w:ascii="宋体" w:hAnsi="宋体" w:cs="宋体"/>
          <w:b/>
          <w:bCs/>
          <w:color w:val="auto"/>
          <w:sz w:val="24"/>
        </w:rPr>
      </w:pPr>
      <w:r>
        <w:rPr>
          <w:rFonts w:hint="eastAsia" w:ascii="宋体" w:hAnsi="宋体" w:cs="宋体"/>
          <w:b/>
          <w:bCs/>
          <w:color w:val="auto"/>
          <w:sz w:val="24"/>
        </w:rPr>
        <w:t>四、服务期限</w:t>
      </w:r>
    </w:p>
    <w:p w14:paraId="07DDC6BE">
      <w:pPr>
        <w:spacing w:line="560" w:lineRule="exact"/>
        <w:ind w:firstLine="480" w:firstLineChars="200"/>
        <w:rPr>
          <w:rFonts w:ascii="宋体" w:hAnsi="宋体" w:cs="宋体"/>
          <w:color w:val="auto"/>
          <w:sz w:val="24"/>
        </w:rPr>
      </w:pPr>
      <w:r>
        <w:rPr>
          <w:rFonts w:hint="eastAsia" w:ascii="宋体" w:hAnsi="宋体" w:cs="宋体"/>
          <w:color w:val="auto"/>
          <w:sz w:val="24"/>
        </w:rPr>
        <w:t>自首次政府验收合格之日起提供</w:t>
      </w:r>
      <w:r>
        <w:rPr>
          <w:rFonts w:hint="eastAsia" w:ascii="宋体" w:hAnsi="宋体" w:cs="宋体"/>
          <w:color w:val="auto"/>
          <w:sz w:val="24"/>
          <w:u w:val="single"/>
          <w:lang w:val="en-US" w:eastAsia="zh-CN"/>
        </w:rPr>
        <w:t xml:space="preserve"> 120  </w:t>
      </w:r>
      <w:r>
        <w:rPr>
          <w:rFonts w:hint="eastAsia" w:ascii="宋体" w:hAnsi="宋体" w:cs="宋体"/>
          <w:color w:val="auto"/>
          <w:sz w:val="24"/>
        </w:rPr>
        <w:t>个月维保服务（2026年 月  日-2036年  月  日）。</w:t>
      </w:r>
    </w:p>
    <w:p w14:paraId="2B79C7AC">
      <w:pPr>
        <w:spacing w:line="560" w:lineRule="exact"/>
        <w:rPr>
          <w:rFonts w:ascii="宋体" w:hAnsi="宋体" w:cs="宋体"/>
          <w:b/>
          <w:bCs/>
          <w:color w:val="auto"/>
          <w:sz w:val="24"/>
        </w:rPr>
      </w:pPr>
      <w:r>
        <w:rPr>
          <w:rFonts w:hint="eastAsia" w:ascii="宋体" w:hAnsi="宋体" w:cs="宋体"/>
          <w:b/>
          <w:bCs/>
          <w:color w:val="auto"/>
          <w:sz w:val="24"/>
        </w:rPr>
        <w:t>五、服务要求</w:t>
      </w:r>
    </w:p>
    <w:p w14:paraId="2BAD0E7D">
      <w:pPr>
        <w:tabs>
          <w:tab w:val="left" w:pos="840"/>
        </w:tabs>
        <w:spacing w:line="560" w:lineRule="exact"/>
        <w:ind w:firstLine="480" w:firstLineChars="200"/>
        <w:rPr>
          <w:rFonts w:ascii="宋体" w:hAnsi="宋体" w:cs="宋体"/>
          <w:color w:val="auto"/>
          <w:sz w:val="24"/>
        </w:rPr>
      </w:pPr>
      <w:r>
        <w:rPr>
          <w:rFonts w:hint="eastAsia" w:ascii="宋体" w:hAnsi="宋体" w:cs="宋体"/>
          <w:color w:val="auto"/>
          <w:sz w:val="24"/>
        </w:rPr>
        <w:t>1、乙方成立项目维保小组，提供全年365天24小时的应急响应服务，并确保通讯畅通。</w:t>
      </w:r>
    </w:p>
    <w:p w14:paraId="0B15840F">
      <w:pPr>
        <w:tabs>
          <w:tab w:val="left" w:pos="840"/>
        </w:tabs>
        <w:spacing w:line="560" w:lineRule="exact"/>
        <w:ind w:firstLine="480" w:firstLineChars="200"/>
        <w:rPr>
          <w:rFonts w:ascii="宋体" w:hAnsi="宋体" w:cs="宋体"/>
          <w:color w:val="auto"/>
          <w:sz w:val="24"/>
        </w:rPr>
      </w:pPr>
      <w:r>
        <w:rPr>
          <w:rFonts w:hint="eastAsia" w:ascii="宋体" w:hAnsi="宋体" w:cs="宋体"/>
          <w:color w:val="auto"/>
          <w:sz w:val="24"/>
        </w:rPr>
        <w:t>2、乙方提供驻点服务的项目的维保人员，在接到故障或事故报警后30分钟内到达现场，超出时间引起的事故或损失应承担相应的责任，并能提供正常连续的服务直至故障或事故排除，并将处理结果交甲方签认。</w:t>
      </w:r>
    </w:p>
    <w:p w14:paraId="17DF63C6">
      <w:pPr>
        <w:tabs>
          <w:tab w:val="left" w:pos="840"/>
        </w:tabs>
        <w:spacing w:line="560" w:lineRule="exact"/>
        <w:ind w:firstLine="480" w:firstLineChars="200"/>
        <w:rPr>
          <w:rFonts w:ascii="宋体" w:hAnsi="宋体" w:cs="宋体"/>
          <w:color w:val="auto"/>
          <w:sz w:val="24"/>
        </w:rPr>
      </w:pPr>
      <w:r>
        <w:rPr>
          <w:rFonts w:hint="eastAsia" w:ascii="宋体" w:hAnsi="宋体" w:cs="宋体"/>
          <w:color w:val="auto"/>
          <w:sz w:val="24"/>
        </w:rPr>
        <w:t>3、对电梯困人事故要求在30分钟内到达现场，及时把乘客从轿厢中救出、对非电子板原因的常见故障在60分钟内排除，对电子板原因的故障在普遍认可的合理时间内解决。</w:t>
      </w:r>
    </w:p>
    <w:p w14:paraId="7A2F9C5B">
      <w:pPr>
        <w:tabs>
          <w:tab w:val="left" w:pos="840"/>
        </w:tabs>
        <w:spacing w:line="560" w:lineRule="exact"/>
        <w:ind w:firstLine="480" w:firstLineChars="200"/>
        <w:rPr>
          <w:rFonts w:ascii="宋体" w:hAnsi="宋体" w:cs="宋体"/>
          <w:color w:val="auto"/>
          <w:sz w:val="24"/>
        </w:rPr>
      </w:pPr>
      <w:r>
        <w:rPr>
          <w:rFonts w:hint="eastAsia" w:ascii="宋体" w:hAnsi="宋体" w:cs="宋体"/>
          <w:color w:val="auto"/>
          <w:sz w:val="24"/>
        </w:rPr>
        <w:t>4、因保养不当停梯，若在七日内未能恢复运行且无正当理由的，甲方有权上报相关部门追究乙方实际责任。</w:t>
      </w:r>
    </w:p>
    <w:p w14:paraId="7161C5D4">
      <w:pPr>
        <w:tabs>
          <w:tab w:val="left" w:pos="840"/>
        </w:tabs>
        <w:spacing w:line="560" w:lineRule="exact"/>
        <w:ind w:firstLine="480" w:firstLineChars="200"/>
        <w:rPr>
          <w:rFonts w:ascii="宋体" w:hAnsi="宋体" w:cs="宋体"/>
          <w:color w:val="auto"/>
          <w:sz w:val="24"/>
        </w:rPr>
      </w:pPr>
      <w:r>
        <w:rPr>
          <w:rFonts w:hint="eastAsia" w:ascii="宋体" w:hAnsi="宋体" w:cs="宋体"/>
          <w:color w:val="auto"/>
          <w:sz w:val="24"/>
        </w:rPr>
        <w:t>5、如特殊需要，可提供免费的电梯监护运行服务。</w:t>
      </w:r>
    </w:p>
    <w:p w14:paraId="656522AF">
      <w:pPr>
        <w:tabs>
          <w:tab w:val="left" w:pos="840"/>
        </w:tabs>
        <w:spacing w:line="560" w:lineRule="exact"/>
        <w:ind w:firstLine="480" w:firstLineChars="200"/>
        <w:rPr>
          <w:rFonts w:ascii="宋体" w:hAnsi="宋体" w:cs="宋体"/>
          <w:color w:val="auto"/>
          <w:sz w:val="24"/>
        </w:rPr>
      </w:pPr>
      <w:r>
        <w:rPr>
          <w:rFonts w:hint="eastAsia" w:ascii="宋体" w:hAnsi="宋体" w:cs="宋体"/>
          <w:color w:val="auto"/>
          <w:sz w:val="24"/>
        </w:rPr>
        <w:t>6、在日常维护保养期届满时，设备须经法定检验检测，确保并无因维护保养原因导致的不合格问题存在。</w:t>
      </w:r>
    </w:p>
    <w:p w14:paraId="466B0E4E">
      <w:pPr>
        <w:tabs>
          <w:tab w:val="left" w:pos="840"/>
        </w:tabs>
        <w:spacing w:line="560" w:lineRule="exact"/>
        <w:ind w:firstLine="480" w:firstLineChars="200"/>
        <w:rPr>
          <w:rFonts w:ascii="宋体" w:hAnsi="宋体" w:cs="宋体"/>
          <w:color w:val="auto"/>
          <w:sz w:val="24"/>
        </w:rPr>
      </w:pPr>
      <w:r>
        <w:rPr>
          <w:rFonts w:hint="eastAsia" w:ascii="宋体" w:hAnsi="宋体" w:cs="宋体"/>
          <w:color w:val="auto"/>
          <w:sz w:val="24"/>
        </w:rPr>
        <w:t>7、如因人为因素、自然灾害等不可抗拒的原因造成损坏的，</w:t>
      </w:r>
      <w:r>
        <w:rPr>
          <w:rFonts w:hint="eastAsia" w:ascii="宋体" w:hAnsi="宋体" w:cs="宋体"/>
          <w:b/>
          <w:bCs/>
          <w:color w:val="auto"/>
          <w:sz w:val="24"/>
        </w:rPr>
        <w:t>乙方</w:t>
      </w:r>
      <w:r>
        <w:rPr>
          <w:rFonts w:hint="eastAsia" w:ascii="宋体" w:hAnsi="宋体" w:cs="宋体"/>
          <w:color w:val="auto"/>
          <w:sz w:val="24"/>
        </w:rPr>
        <w:t>应以低于市场价的优惠价格提供易损件。</w:t>
      </w:r>
    </w:p>
    <w:p w14:paraId="0CA06F30">
      <w:pPr>
        <w:tabs>
          <w:tab w:val="left" w:pos="840"/>
        </w:tabs>
        <w:spacing w:line="560" w:lineRule="exact"/>
        <w:ind w:firstLine="480" w:firstLineChars="200"/>
        <w:rPr>
          <w:rFonts w:ascii="宋体" w:hAnsi="宋体" w:cs="宋体"/>
          <w:color w:val="auto"/>
          <w:sz w:val="24"/>
        </w:rPr>
      </w:pPr>
      <w:r>
        <w:rPr>
          <w:rFonts w:hint="eastAsia" w:ascii="宋体" w:hAnsi="宋体" w:cs="宋体"/>
          <w:color w:val="auto"/>
          <w:sz w:val="24"/>
        </w:rPr>
        <w:t>8、乙方在免费全包维保年限结束后，不得安装相关限制设施及软件，或已安装的必须拆除（不得影响电梯原有使用功能），否则后续维保还由中标人免费负责（提供承诺书）。</w:t>
      </w:r>
    </w:p>
    <w:p w14:paraId="781463BD">
      <w:pPr>
        <w:tabs>
          <w:tab w:val="left" w:pos="840"/>
        </w:tabs>
        <w:spacing w:line="560" w:lineRule="exact"/>
        <w:ind w:firstLine="480" w:firstLineChars="200"/>
        <w:rPr>
          <w:rFonts w:ascii="宋体" w:hAnsi="宋体" w:cs="宋体"/>
          <w:color w:val="auto"/>
          <w:sz w:val="24"/>
        </w:rPr>
      </w:pPr>
      <w:r>
        <w:rPr>
          <w:rFonts w:hint="eastAsia" w:ascii="宋体" w:hAnsi="宋体" w:cs="宋体"/>
          <w:color w:val="auto"/>
          <w:sz w:val="24"/>
        </w:rPr>
        <w:t>9、每</w:t>
      </w:r>
      <w:r>
        <w:rPr>
          <w:rFonts w:hint="eastAsia" w:ascii="宋体" w:hAnsi="宋体" w:cs="宋体"/>
          <w:color w:val="auto"/>
          <w:sz w:val="24"/>
          <w:u w:val="single"/>
        </w:rPr>
        <w:t>15</w:t>
      </w:r>
      <w:r>
        <w:rPr>
          <w:rFonts w:hint="eastAsia" w:ascii="宋体" w:hAnsi="宋体" w:cs="宋体"/>
          <w:color w:val="auto"/>
          <w:sz w:val="24"/>
        </w:rPr>
        <w:t>天1次根据国家有关的技术规范和乙方的工艺要求对电梯设备进行保养。</w:t>
      </w:r>
    </w:p>
    <w:p w14:paraId="4CF4AFD7">
      <w:pPr>
        <w:spacing w:line="560" w:lineRule="exact"/>
        <w:rPr>
          <w:rFonts w:ascii="宋体" w:hAnsi="宋体" w:cs="宋体"/>
          <w:b/>
          <w:bCs/>
          <w:color w:val="auto"/>
          <w:sz w:val="24"/>
        </w:rPr>
      </w:pPr>
      <w:r>
        <w:rPr>
          <w:rFonts w:hint="eastAsia" w:ascii="宋体" w:hAnsi="宋体" w:cs="宋体"/>
          <w:b/>
          <w:bCs/>
          <w:color w:val="auto"/>
          <w:sz w:val="24"/>
        </w:rPr>
        <w:t>六、乙方的服务内容</w:t>
      </w:r>
    </w:p>
    <w:p w14:paraId="6D1B45A3">
      <w:pPr>
        <w:tabs>
          <w:tab w:val="left" w:pos="720"/>
        </w:tabs>
        <w:spacing w:line="560" w:lineRule="exact"/>
        <w:ind w:firstLine="480" w:firstLineChars="200"/>
        <w:rPr>
          <w:rFonts w:ascii="宋体" w:hAnsi="宋体" w:cs="宋体"/>
          <w:color w:val="auto"/>
          <w:sz w:val="24"/>
        </w:rPr>
      </w:pPr>
      <w:r>
        <w:rPr>
          <w:rFonts w:hint="eastAsia" w:ascii="宋体" w:hAnsi="宋体" w:cs="宋体"/>
          <w:color w:val="auto"/>
          <w:sz w:val="24"/>
        </w:rPr>
        <w:t>甲方根据需要，确认并要求乙方以全包方式提供服务</w:t>
      </w:r>
    </w:p>
    <w:p w14:paraId="77720773">
      <w:pPr>
        <w:tabs>
          <w:tab w:val="left" w:pos="720"/>
        </w:tabs>
        <w:spacing w:line="560" w:lineRule="exact"/>
        <w:ind w:firstLine="26" w:firstLineChars="11"/>
        <w:rPr>
          <w:rFonts w:ascii="宋体" w:hAnsi="宋体" w:cs="宋体"/>
          <w:color w:val="auto"/>
          <w:sz w:val="24"/>
        </w:rPr>
      </w:pPr>
      <w:r>
        <w:rPr>
          <w:rFonts w:hint="eastAsia" w:ascii="宋体" w:hAnsi="宋体" w:cs="宋体"/>
          <w:color w:val="auto"/>
          <w:sz w:val="24"/>
        </w:rPr>
        <w:t>全包：</w:t>
      </w:r>
    </w:p>
    <w:p w14:paraId="4470CCBF">
      <w:pPr>
        <w:widowControl/>
        <w:spacing w:line="560" w:lineRule="exact"/>
        <w:ind w:firstLine="460" w:firstLineChars="200"/>
        <w:jc w:val="left"/>
        <w:rPr>
          <w:rFonts w:ascii="宋体" w:hAnsi="宋体" w:cs="宋体"/>
          <w:color w:val="auto"/>
          <w:spacing w:val="-5"/>
          <w:sz w:val="24"/>
        </w:rPr>
      </w:pPr>
      <w:r>
        <w:rPr>
          <w:rFonts w:hint="eastAsia" w:ascii="宋体" w:hAnsi="宋体" w:cs="宋体"/>
          <w:color w:val="auto"/>
          <w:spacing w:val="-5"/>
          <w:sz w:val="24"/>
        </w:rPr>
        <w:t>本项目电梯严格执行《市场监管总局办公厅关于进一步做好住宅老旧电梯更新有关工作的通知》（市监特设发〔2025〕52号）相关规定：</w:t>
      </w:r>
    </w:p>
    <w:p w14:paraId="311EE24D">
      <w:pPr>
        <w:widowControl/>
        <w:spacing w:line="560" w:lineRule="exact"/>
        <w:ind w:firstLine="460" w:firstLineChars="200"/>
        <w:jc w:val="left"/>
        <w:rPr>
          <w:rFonts w:ascii="宋体" w:hAnsi="宋体" w:cs="宋体"/>
          <w:color w:val="auto"/>
          <w:spacing w:val="-5"/>
          <w:sz w:val="24"/>
        </w:rPr>
      </w:pPr>
      <w:r>
        <w:rPr>
          <w:rFonts w:hint="eastAsia" w:ascii="宋体" w:hAnsi="宋体" w:cs="宋体"/>
          <w:color w:val="auto"/>
          <w:spacing w:val="-5"/>
          <w:sz w:val="24"/>
        </w:rPr>
        <w:t>1.依据文件正文第一条要求，更新电梯在质量保证期限内存在质量问题的，由乙方负责免费修理或者免费更换；提供整机质保和长期全包维保服务，服务期限年，本合同生效之日起算。</w:t>
      </w:r>
    </w:p>
    <w:p w14:paraId="44815136">
      <w:pPr>
        <w:widowControl/>
        <w:spacing w:line="560" w:lineRule="exact"/>
        <w:ind w:firstLine="460" w:firstLineChars="200"/>
        <w:jc w:val="left"/>
        <w:rPr>
          <w:rFonts w:ascii="宋体" w:hAnsi="宋体" w:cs="宋体"/>
          <w:color w:val="auto"/>
          <w:spacing w:val="-5"/>
          <w:sz w:val="24"/>
        </w:rPr>
      </w:pPr>
      <w:r>
        <w:rPr>
          <w:rFonts w:hint="eastAsia" w:ascii="宋体" w:hAnsi="宋体" w:cs="宋体"/>
          <w:color w:val="auto"/>
          <w:spacing w:val="-5"/>
          <w:sz w:val="24"/>
        </w:rPr>
        <w:t>2.依据文件附件1悬挂系统及附件2要求，正常使用条件下，悬挂钢丝绳使用年限不少于10年或者对应电梯驱动主机启动次数不少于200万次；包覆带使用年限不少于20年或者对应电梯驱动主机启动次数不少于400万次，未达到上述标准出现损坏的，由乙方免费更换。</w:t>
      </w:r>
    </w:p>
    <w:p w14:paraId="5A74D501">
      <w:pPr>
        <w:widowControl/>
        <w:spacing w:line="560" w:lineRule="exact"/>
        <w:ind w:firstLine="460" w:firstLineChars="200"/>
        <w:jc w:val="left"/>
        <w:rPr>
          <w:rFonts w:ascii="宋体" w:hAnsi="宋体" w:cs="宋体"/>
          <w:color w:val="auto"/>
          <w:sz w:val="24"/>
        </w:rPr>
      </w:pPr>
      <w:r>
        <w:rPr>
          <w:rFonts w:hint="eastAsia" w:ascii="宋体" w:hAnsi="宋体" w:cs="宋体"/>
          <w:color w:val="auto"/>
          <w:spacing w:val="-5"/>
          <w:sz w:val="24"/>
        </w:rPr>
        <w:t>3.电梯所有零部件选型、材质、规格、防护装置、超载试验、监督检验等，均严格遵照市监特设发〔2025〕52号附件1、附件2全部专项要求执行。</w:t>
      </w:r>
      <w:r>
        <w:rPr>
          <w:rFonts w:hint="eastAsia" w:ascii="宋体" w:hAnsi="宋体" w:cs="宋体"/>
          <w:color w:val="auto"/>
          <w:sz w:val="24"/>
        </w:rPr>
        <w:t>润滑油及清洁材料由乙方提供。每年所需检验、检测费用由乙方承担。</w:t>
      </w:r>
    </w:p>
    <w:p w14:paraId="1A07BCC1">
      <w:pPr>
        <w:widowControl/>
        <w:spacing w:line="560" w:lineRule="exact"/>
        <w:jc w:val="left"/>
        <w:rPr>
          <w:rFonts w:ascii="宋体" w:hAnsi="宋体" w:cs="宋体"/>
          <w:b/>
          <w:bCs/>
          <w:color w:val="auto"/>
          <w:sz w:val="24"/>
        </w:rPr>
      </w:pPr>
      <w:r>
        <w:rPr>
          <w:rFonts w:hint="eastAsia" w:ascii="宋体" w:hAnsi="宋体" w:cs="宋体"/>
          <w:b/>
          <w:bCs/>
          <w:color w:val="auto"/>
          <w:sz w:val="24"/>
        </w:rPr>
        <w:t>七、各方责任</w:t>
      </w:r>
    </w:p>
    <w:p w14:paraId="7BB2C846">
      <w:pPr>
        <w:spacing w:line="560" w:lineRule="exact"/>
        <w:rPr>
          <w:rFonts w:ascii="宋体" w:hAnsi="宋体" w:cs="宋体"/>
          <w:b/>
          <w:bCs/>
          <w:color w:val="auto"/>
          <w:sz w:val="24"/>
        </w:rPr>
      </w:pPr>
      <w:r>
        <w:rPr>
          <w:rFonts w:hint="eastAsia" w:ascii="宋体" w:hAnsi="宋体" w:cs="宋体"/>
          <w:b/>
          <w:bCs/>
          <w:color w:val="auto"/>
          <w:sz w:val="24"/>
        </w:rPr>
        <w:t>乙方的责任</w:t>
      </w:r>
    </w:p>
    <w:p w14:paraId="21A43D40">
      <w:pPr>
        <w:tabs>
          <w:tab w:val="left" w:pos="720"/>
        </w:tabs>
        <w:spacing w:line="560" w:lineRule="exact"/>
        <w:ind w:firstLine="480" w:firstLineChars="200"/>
        <w:rPr>
          <w:rFonts w:ascii="宋体" w:hAnsi="宋体" w:cs="宋体"/>
          <w:color w:val="auto"/>
          <w:sz w:val="24"/>
        </w:rPr>
      </w:pPr>
      <w:r>
        <w:rPr>
          <w:rFonts w:hint="eastAsia" w:ascii="宋体" w:hAnsi="宋体" w:cs="宋体"/>
          <w:color w:val="auto"/>
          <w:sz w:val="24"/>
        </w:rPr>
        <w:t>1、在提供服务时，当甲方保证提供实施服务条件的前提下，应严格遵守甲方有关的规章制度。</w:t>
      </w:r>
    </w:p>
    <w:p w14:paraId="3A6B36EB">
      <w:pPr>
        <w:spacing w:line="560" w:lineRule="exact"/>
        <w:ind w:firstLine="480" w:firstLineChars="200"/>
        <w:rPr>
          <w:rFonts w:ascii="宋体" w:hAnsi="宋体" w:cs="宋体"/>
          <w:color w:val="auto"/>
          <w:sz w:val="24"/>
        </w:rPr>
      </w:pPr>
      <w:r>
        <w:rPr>
          <w:rFonts w:hint="eastAsia" w:ascii="宋体" w:hAnsi="宋体" w:cs="宋体"/>
          <w:color w:val="auto"/>
          <w:sz w:val="24"/>
        </w:rPr>
        <w:t>2、严格按照规定的内容提供服务，并按照《产品保养年度作业计划表》所列的项目进行清洁、润滑、调整和检查等保养工作。</w:t>
      </w:r>
    </w:p>
    <w:p w14:paraId="0709C5E8">
      <w:pPr>
        <w:spacing w:line="560" w:lineRule="exact"/>
        <w:ind w:firstLine="480" w:firstLineChars="200"/>
        <w:rPr>
          <w:rFonts w:ascii="宋体" w:hAnsi="宋体" w:cs="宋体"/>
          <w:color w:val="auto"/>
          <w:sz w:val="24"/>
        </w:rPr>
      </w:pPr>
      <w:r>
        <w:rPr>
          <w:rFonts w:hint="eastAsia" w:ascii="宋体" w:hAnsi="宋体" w:cs="宋体"/>
          <w:color w:val="auto"/>
          <w:sz w:val="24"/>
        </w:rPr>
        <w:t>3、按照本合同约定的保养方式，提供确保整机正常和安全的运行所需的备品配件。</w:t>
      </w:r>
    </w:p>
    <w:p w14:paraId="25920D04">
      <w:pPr>
        <w:spacing w:line="560" w:lineRule="exact"/>
        <w:ind w:firstLine="480" w:firstLineChars="200"/>
        <w:rPr>
          <w:rFonts w:ascii="宋体" w:hAnsi="宋体" w:cs="宋体"/>
          <w:color w:val="auto"/>
          <w:sz w:val="24"/>
        </w:rPr>
      </w:pPr>
      <w:r>
        <w:rPr>
          <w:rFonts w:hint="eastAsia" w:ascii="宋体" w:hAnsi="宋体" w:cs="宋体"/>
          <w:color w:val="auto"/>
          <w:sz w:val="24"/>
        </w:rPr>
        <w:t>4、按照规定时间做好电梯年检，对政府主管部门提出的涉及乙方保养环节、部位的整改内容、项目及时提供整改。</w:t>
      </w:r>
    </w:p>
    <w:p w14:paraId="13B25703">
      <w:pPr>
        <w:spacing w:line="560" w:lineRule="exact"/>
        <w:ind w:firstLine="480" w:firstLineChars="200"/>
        <w:rPr>
          <w:rFonts w:ascii="宋体" w:hAnsi="宋体" w:cs="宋体"/>
          <w:color w:val="auto"/>
          <w:sz w:val="24"/>
        </w:rPr>
      </w:pPr>
      <w:r>
        <w:rPr>
          <w:rFonts w:hint="eastAsia" w:ascii="宋体" w:hAnsi="宋体" w:cs="宋体"/>
          <w:color w:val="auto"/>
          <w:sz w:val="24"/>
        </w:rPr>
        <w:t>5、乙方维保人员必须持证上岗，每次保养前必须通知甲方现场负责人，取得同意后方可进行保养工作。保养完毕后填写保养记录，由甲方现场管理人员签字确认，并做好每台电梯的保养记录单，定期整理交由甲方存档备查。在乙方按本合同规定提供有效服务期内，对存在的非保养责任故障，应及时书面通知甲方整改；当存在的故障可能严重影响电梯设备安全运行时，应及时通知甲方暂时停止使用该电梯设备。</w:t>
      </w:r>
    </w:p>
    <w:p w14:paraId="134D09D2">
      <w:pPr>
        <w:spacing w:line="560" w:lineRule="exact"/>
        <w:ind w:firstLine="480" w:firstLineChars="200"/>
        <w:rPr>
          <w:rFonts w:ascii="宋体" w:hAnsi="宋体" w:cs="宋体"/>
          <w:color w:val="auto"/>
          <w:sz w:val="24"/>
        </w:rPr>
      </w:pPr>
      <w:r>
        <w:rPr>
          <w:rFonts w:hint="eastAsia" w:ascii="宋体" w:hAnsi="宋体" w:cs="宋体"/>
          <w:color w:val="auto"/>
          <w:sz w:val="24"/>
        </w:rPr>
        <w:t>6、乙方不得将本合同服务转包或分包。</w:t>
      </w:r>
    </w:p>
    <w:p w14:paraId="12AC6A8E">
      <w:pPr>
        <w:spacing w:line="560" w:lineRule="exact"/>
        <w:rPr>
          <w:rFonts w:ascii="宋体" w:hAnsi="宋体" w:cs="宋体"/>
          <w:b/>
          <w:bCs/>
          <w:color w:val="auto"/>
          <w:sz w:val="24"/>
        </w:rPr>
      </w:pPr>
      <w:r>
        <w:rPr>
          <w:rFonts w:hint="eastAsia" w:ascii="宋体" w:hAnsi="宋体" w:cs="宋体"/>
          <w:b/>
          <w:bCs/>
          <w:color w:val="auto"/>
          <w:sz w:val="24"/>
        </w:rPr>
        <w:t>甲方的责任</w:t>
      </w:r>
    </w:p>
    <w:p w14:paraId="3CBD21E8">
      <w:pPr>
        <w:spacing w:line="560" w:lineRule="exact"/>
        <w:ind w:firstLine="480" w:firstLineChars="200"/>
        <w:rPr>
          <w:rFonts w:ascii="宋体" w:hAnsi="宋体" w:cs="宋体"/>
          <w:color w:val="auto"/>
          <w:sz w:val="24"/>
        </w:rPr>
      </w:pPr>
      <w:r>
        <w:rPr>
          <w:rFonts w:hint="eastAsia" w:ascii="宋体" w:hAnsi="宋体" w:cs="宋体"/>
          <w:color w:val="auto"/>
          <w:sz w:val="24"/>
        </w:rPr>
        <w:t>1、甲方应按照《特种设备安全法》的规定，履行电梯使用单位的义务。在签订本合同时，甲方已经获得并知晓该《特种设备安全法》。</w:t>
      </w:r>
    </w:p>
    <w:p w14:paraId="1F330A32">
      <w:pPr>
        <w:spacing w:line="560" w:lineRule="exact"/>
        <w:ind w:firstLine="480" w:firstLineChars="200"/>
        <w:rPr>
          <w:rFonts w:ascii="宋体" w:hAnsi="宋体" w:cs="宋体"/>
          <w:color w:val="auto"/>
          <w:sz w:val="24"/>
        </w:rPr>
      </w:pPr>
      <w:r>
        <w:rPr>
          <w:rFonts w:hint="eastAsia" w:ascii="宋体" w:hAnsi="宋体" w:cs="宋体"/>
          <w:color w:val="auto"/>
          <w:sz w:val="24"/>
        </w:rPr>
        <w:t>2、负责按照政府主管部门对电梯设备日常管理的法规、规定和要求进行全面管理，对乙方的服务项目、服务内容和服务质量进行确认。</w:t>
      </w:r>
    </w:p>
    <w:p w14:paraId="702B64FF">
      <w:pPr>
        <w:spacing w:line="560" w:lineRule="exact"/>
        <w:ind w:firstLine="480" w:firstLineChars="200"/>
        <w:rPr>
          <w:rFonts w:ascii="宋体" w:hAnsi="宋体" w:cs="宋体"/>
          <w:color w:val="auto"/>
          <w:sz w:val="24"/>
        </w:rPr>
      </w:pPr>
      <w:r>
        <w:rPr>
          <w:rFonts w:hint="eastAsia" w:ascii="宋体" w:hAnsi="宋体" w:cs="宋体"/>
          <w:color w:val="auto"/>
          <w:sz w:val="24"/>
        </w:rPr>
        <w:t>3、在乙方提供保养服务期间，负责给予乙方合理和充分的停梯时间并协助和配合乙方管理设置现场安全警示标志。</w:t>
      </w:r>
    </w:p>
    <w:p w14:paraId="377B533A">
      <w:pPr>
        <w:spacing w:line="560" w:lineRule="exact"/>
        <w:ind w:firstLine="480" w:firstLineChars="200"/>
        <w:rPr>
          <w:rFonts w:ascii="宋体" w:hAnsi="宋体" w:cs="宋体"/>
          <w:color w:val="auto"/>
          <w:sz w:val="24"/>
        </w:rPr>
      </w:pPr>
      <w:r>
        <w:rPr>
          <w:rFonts w:hint="eastAsia" w:ascii="宋体" w:hAnsi="宋体" w:cs="宋体"/>
          <w:color w:val="auto"/>
          <w:sz w:val="24"/>
        </w:rPr>
        <w:t>4、在有效服务期内，甲方若需对本合同电梯设备实施改造、修理、装饰、更换的，必须严格按国家有关法规、规章、规定实施，因非乙方实施的上述工程而影响到乙方保养电梯设备的使用性能和安全性能的，乙方不承担任何责任。</w:t>
      </w:r>
    </w:p>
    <w:p w14:paraId="5724841B">
      <w:pPr>
        <w:tabs>
          <w:tab w:val="left" w:pos="840"/>
        </w:tabs>
        <w:spacing w:line="560" w:lineRule="exact"/>
        <w:rPr>
          <w:rFonts w:ascii="宋体" w:hAnsi="宋体" w:cs="宋体"/>
          <w:b/>
          <w:bCs/>
          <w:color w:val="auto"/>
          <w:sz w:val="24"/>
        </w:rPr>
      </w:pPr>
      <w:r>
        <w:rPr>
          <w:rFonts w:hint="eastAsia" w:ascii="宋体" w:hAnsi="宋体" w:cs="宋体"/>
          <w:b/>
          <w:bCs/>
          <w:color w:val="auto"/>
          <w:sz w:val="24"/>
        </w:rPr>
        <w:t>丙方的责任</w:t>
      </w:r>
    </w:p>
    <w:p w14:paraId="753EB5A7">
      <w:pPr>
        <w:spacing w:line="560" w:lineRule="exact"/>
        <w:ind w:firstLine="480" w:firstLineChars="200"/>
        <w:rPr>
          <w:rFonts w:ascii="宋体" w:hAnsi="宋体" w:cs="宋体"/>
          <w:color w:val="auto"/>
          <w:sz w:val="24"/>
        </w:rPr>
      </w:pPr>
      <w:r>
        <w:rPr>
          <w:rFonts w:hint="eastAsia" w:ascii="宋体" w:hAnsi="宋体" w:cs="宋体"/>
          <w:color w:val="auto"/>
          <w:sz w:val="24"/>
        </w:rPr>
        <w:t>负责保管电梯设备的相关资料和配件并监督甲乙双方对合同的执行情况，包括但不限于定期检查维保记录、现场抽查等，发现隐患时及时告知甲乙方。</w:t>
      </w:r>
    </w:p>
    <w:p w14:paraId="21F05805">
      <w:pPr>
        <w:tabs>
          <w:tab w:val="left" w:pos="840"/>
        </w:tabs>
        <w:spacing w:line="560" w:lineRule="exact"/>
        <w:rPr>
          <w:rFonts w:ascii="宋体" w:hAnsi="宋体" w:cs="宋体"/>
          <w:b/>
          <w:bCs/>
          <w:color w:val="auto"/>
          <w:sz w:val="24"/>
        </w:rPr>
      </w:pPr>
      <w:r>
        <w:rPr>
          <w:rFonts w:hint="eastAsia" w:ascii="宋体" w:hAnsi="宋体" w:cs="宋体"/>
          <w:b/>
          <w:bCs/>
          <w:color w:val="auto"/>
          <w:sz w:val="24"/>
        </w:rPr>
        <w:t>丁方的责任</w:t>
      </w:r>
    </w:p>
    <w:p w14:paraId="25C32394">
      <w:pPr>
        <w:spacing w:line="560" w:lineRule="exact"/>
        <w:ind w:firstLine="480" w:firstLineChars="200"/>
        <w:rPr>
          <w:rFonts w:ascii="宋体" w:hAnsi="宋体" w:cs="宋体"/>
          <w:color w:val="auto"/>
          <w:sz w:val="24"/>
        </w:rPr>
      </w:pPr>
      <w:r>
        <w:rPr>
          <w:rFonts w:hint="eastAsia" w:ascii="宋体" w:hAnsi="宋体" w:cs="宋体"/>
          <w:color w:val="auto"/>
          <w:sz w:val="24"/>
        </w:rPr>
        <w:t>负责协调督促甲乙双方对合同的执行情况</w:t>
      </w:r>
    </w:p>
    <w:p w14:paraId="6A20DDE3">
      <w:pPr>
        <w:spacing w:line="560" w:lineRule="exact"/>
        <w:jc w:val="left"/>
        <w:rPr>
          <w:rFonts w:ascii="宋体" w:hAnsi="宋体" w:cs="宋体"/>
          <w:color w:val="auto"/>
          <w:sz w:val="24"/>
        </w:rPr>
      </w:pPr>
      <w:r>
        <w:rPr>
          <w:rFonts w:hint="eastAsia" w:ascii="宋体" w:hAnsi="宋体" w:cs="宋体"/>
          <w:b/>
          <w:bCs/>
          <w:color w:val="auto"/>
          <w:sz w:val="24"/>
        </w:rPr>
        <w:t>八</w:t>
      </w:r>
      <w:r>
        <w:rPr>
          <w:rFonts w:hint="eastAsia" w:ascii="宋体" w:hAnsi="宋体" w:cs="宋体"/>
          <w:color w:val="auto"/>
          <w:sz w:val="24"/>
        </w:rPr>
        <w:t>、</w:t>
      </w:r>
      <w:r>
        <w:rPr>
          <w:rFonts w:hint="eastAsia" w:ascii="宋体" w:hAnsi="宋体" w:cs="宋体"/>
          <w:b/>
          <w:bCs/>
          <w:color w:val="auto"/>
          <w:sz w:val="24"/>
        </w:rPr>
        <w:t>电梯设备规格</w:t>
      </w:r>
    </w:p>
    <w:tbl>
      <w:tblPr>
        <w:tblStyle w:val="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12"/>
        <w:gridCol w:w="3137"/>
        <w:gridCol w:w="767"/>
        <w:gridCol w:w="714"/>
        <w:gridCol w:w="1292"/>
        <w:gridCol w:w="571"/>
        <w:gridCol w:w="900"/>
      </w:tblGrid>
      <w:tr w14:paraId="7AA6C1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jc w:val="center"/>
        </w:trPr>
        <w:tc>
          <w:tcPr>
            <w:tcW w:w="812" w:type="dxa"/>
            <w:tcBorders>
              <w:top w:val="single" w:color="auto" w:sz="12" w:space="0"/>
              <w:bottom w:val="double" w:color="auto" w:sz="4" w:space="0"/>
            </w:tcBorders>
            <w:noWrap/>
            <w:vAlign w:val="center"/>
          </w:tcPr>
          <w:p w14:paraId="39D517B5">
            <w:pPr>
              <w:jc w:val="center"/>
              <w:rPr>
                <w:rFonts w:ascii="宋体" w:hAnsi="宋体" w:cs="宋体"/>
                <w:b/>
                <w:bCs/>
                <w:color w:val="auto"/>
                <w:sz w:val="24"/>
              </w:rPr>
            </w:pPr>
            <w:r>
              <w:rPr>
                <w:rFonts w:hint="eastAsia" w:ascii="宋体" w:hAnsi="宋体" w:cs="宋体"/>
                <w:b/>
                <w:bCs/>
                <w:color w:val="auto"/>
                <w:sz w:val="24"/>
              </w:rPr>
              <w:t>序号</w:t>
            </w:r>
          </w:p>
        </w:tc>
        <w:tc>
          <w:tcPr>
            <w:tcW w:w="3137" w:type="dxa"/>
            <w:tcBorders>
              <w:top w:val="single" w:color="auto" w:sz="12" w:space="0"/>
              <w:bottom w:val="double" w:color="auto" w:sz="4" w:space="0"/>
            </w:tcBorders>
            <w:noWrap/>
            <w:vAlign w:val="center"/>
          </w:tcPr>
          <w:p w14:paraId="7DEE7A17">
            <w:pPr>
              <w:jc w:val="center"/>
              <w:rPr>
                <w:rFonts w:ascii="宋体" w:hAnsi="宋体" w:cs="宋体"/>
                <w:b/>
                <w:bCs/>
                <w:color w:val="auto"/>
                <w:sz w:val="24"/>
              </w:rPr>
            </w:pPr>
            <w:r>
              <w:rPr>
                <w:rFonts w:hint="eastAsia" w:ascii="宋体" w:hAnsi="宋体" w:cs="宋体"/>
                <w:b/>
                <w:bCs/>
                <w:color w:val="auto"/>
                <w:sz w:val="24"/>
              </w:rPr>
              <w:t>电梯编号及使用位置</w:t>
            </w:r>
          </w:p>
        </w:tc>
        <w:tc>
          <w:tcPr>
            <w:tcW w:w="767" w:type="dxa"/>
            <w:tcBorders>
              <w:top w:val="single" w:color="auto" w:sz="12" w:space="0"/>
              <w:bottom w:val="double" w:color="auto" w:sz="4" w:space="0"/>
            </w:tcBorders>
            <w:noWrap/>
            <w:vAlign w:val="center"/>
          </w:tcPr>
          <w:p w14:paraId="70C517AB">
            <w:pPr>
              <w:jc w:val="center"/>
              <w:rPr>
                <w:rFonts w:ascii="宋体" w:hAnsi="宋体" w:cs="宋体"/>
                <w:b/>
                <w:bCs/>
                <w:color w:val="auto"/>
                <w:sz w:val="24"/>
              </w:rPr>
            </w:pPr>
            <w:r>
              <w:rPr>
                <w:rFonts w:hint="eastAsia" w:ascii="宋体" w:hAnsi="宋体" w:cs="宋体"/>
                <w:b/>
                <w:bCs/>
                <w:color w:val="auto"/>
                <w:sz w:val="24"/>
              </w:rPr>
              <w:t>载重规格</w:t>
            </w:r>
          </w:p>
        </w:tc>
        <w:tc>
          <w:tcPr>
            <w:tcW w:w="714" w:type="dxa"/>
            <w:tcBorders>
              <w:top w:val="single" w:color="auto" w:sz="12" w:space="0"/>
              <w:bottom w:val="double" w:color="auto" w:sz="4" w:space="0"/>
            </w:tcBorders>
            <w:noWrap/>
            <w:vAlign w:val="center"/>
          </w:tcPr>
          <w:p w14:paraId="12A17EE3">
            <w:pPr>
              <w:jc w:val="center"/>
              <w:rPr>
                <w:rFonts w:ascii="宋体" w:hAnsi="宋体" w:cs="宋体"/>
                <w:b/>
                <w:bCs/>
                <w:color w:val="auto"/>
                <w:sz w:val="24"/>
              </w:rPr>
            </w:pPr>
            <w:r>
              <w:rPr>
                <w:rFonts w:hint="eastAsia" w:ascii="宋体" w:hAnsi="宋体" w:cs="宋体"/>
                <w:b/>
                <w:bCs/>
                <w:color w:val="auto"/>
                <w:sz w:val="24"/>
              </w:rPr>
              <w:t>速度</w:t>
            </w:r>
          </w:p>
          <w:p w14:paraId="65260BD9">
            <w:pPr>
              <w:pStyle w:val="5"/>
              <w:tabs>
                <w:tab w:val="clear" w:pos="7143"/>
                <w:tab w:val="clear" w:pos="14287"/>
              </w:tabs>
              <w:rPr>
                <w:rFonts w:ascii="宋体" w:hAnsi="宋体" w:cs="宋体"/>
                <w:color w:val="auto"/>
                <w:sz w:val="24"/>
              </w:rPr>
            </w:pPr>
            <w:r>
              <w:rPr>
                <w:rFonts w:hint="eastAsia" w:ascii="宋体" w:hAnsi="宋体" w:cs="宋体"/>
                <w:color w:val="auto"/>
                <w:sz w:val="24"/>
              </w:rPr>
              <w:t>(m/s)</w:t>
            </w:r>
          </w:p>
        </w:tc>
        <w:tc>
          <w:tcPr>
            <w:tcW w:w="1292" w:type="dxa"/>
            <w:tcBorders>
              <w:top w:val="single" w:color="auto" w:sz="12" w:space="0"/>
              <w:bottom w:val="double" w:color="auto" w:sz="4" w:space="0"/>
            </w:tcBorders>
            <w:noWrap/>
            <w:vAlign w:val="center"/>
          </w:tcPr>
          <w:p w14:paraId="7F624033">
            <w:pPr>
              <w:jc w:val="center"/>
              <w:rPr>
                <w:rFonts w:ascii="宋体" w:hAnsi="宋体" w:cs="宋体"/>
                <w:b/>
                <w:bCs/>
                <w:color w:val="auto"/>
                <w:sz w:val="24"/>
              </w:rPr>
            </w:pPr>
            <w:r>
              <w:rPr>
                <w:rFonts w:hint="eastAsia" w:ascii="宋体" w:hAnsi="宋体" w:cs="宋体"/>
                <w:b/>
                <w:bCs/>
                <w:color w:val="auto"/>
                <w:sz w:val="24"/>
              </w:rPr>
              <w:t>层站</w:t>
            </w:r>
          </w:p>
          <w:p w14:paraId="09C329CF">
            <w:pPr>
              <w:jc w:val="center"/>
              <w:rPr>
                <w:rFonts w:ascii="宋体" w:hAnsi="宋体" w:cs="宋体"/>
                <w:b/>
                <w:bCs/>
                <w:color w:val="auto"/>
                <w:sz w:val="24"/>
              </w:rPr>
            </w:pPr>
            <w:r>
              <w:rPr>
                <w:rFonts w:hint="eastAsia" w:ascii="宋体" w:hAnsi="宋体" w:cs="宋体"/>
                <w:color w:val="auto"/>
                <w:sz w:val="24"/>
              </w:rPr>
              <w:t>(站/门)</w:t>
            </w:r>
          </w:p>
        </w:tc>
        <w:tc>
          <w:tcPr>
            <w:tcW w:w="571" w:type="dxa"/>
            <w:tcBorders>
              <w:top w:val="single" w:color="auto" w:sz="12" w:space="0"/>
              <w:bottom w:val="double" w:color="auto" w:sz="4" w:space="0"/>
            </w:tcBorders>
            <w:noWrap/>
            <w:vAlign w:val="center"/>
          </w:tcPr>
          <w:p w14:paraId="1B577C4F">
            <w:pPr>
              <w:jc w:val="center"/>
              <w:rPr>
                <w:rFonts w:ascii="宋体" w:hAnsi="宋体" w:cs="宋体"/>
                <w:b/>
                <w:bCs/>
                <w:color w:val="auto"/>
                <w:sz w:val="24"/>
              </w:rPr>
            </w:pPr>
            <w:r>
              <w:rPr>
                <w:rFonts w:hint="eastAsia" w:ascii="宋体" w:hAnsi="宋体" w:cs="宋体"/>
                <w:b/>
                <w:bCs/>
                <w:color w:val="auto"/>
                <w:sz w:val="24"/>
              </w:rPr>
              <w:t>数量</w:t>
            </w:r>
          </w:p>
          <w:p w14:paraId="58C648E5">
            <w:pPr>
              <w:jc w:val="center"/>
              <w:rPr>
                <w:rFonts w:ascii="宋体" w:hAnsi="宋体" w:cs="宋体"/>
                <w:b/>
                <w:bCs/>
                <w:color w:val="auto"/>
                <w:sz w:val="24"/>
              </w:rPr>
            </w:pPr>
            <w:r>
              <w:rPr>
                <w:rFonts w:hint="eastAsia" w:ascii="宋体" w:hAnsi="宋体" w:cs="宋体"/>
                <w:color w:val="auto"/>
                <w:sz w:val="24"/>
              </w:rPr>
              <w:t>(台)</w:t>
            </w:r>
          </w:p>
        </w:tc>
        <w:tc>
          <w:tcPr>
            <w:tcW w:w="900" w:type="dxa"/>
            <w:tcBorders>
              <w:top w:val="single" w:color="auto" w:sz="12" w:space="0"/>
              <w:bottom w:val="double" w:color="auto" w:sz="4" w:space="0"/>
            </w:tcBorders>
            <w:noWrap/>
            <w:vAlign w:val="center"/>
          </w:tcPr>
          <w:p w14:paraId="3F7392AB">
            <w:pPr>
              <w:jc w:val="center"/>
              <w:rPr>
                <w:rFonts w:ascii="宋体" w:hAnsi="宋体" w:cs="宋体"/>
                <w:b/>
                <w:bCs/>
                <w:color w:val="auto"/>
                <w:sz w:val="24"/>
              </w:rPr>
            </w:pPr>
            <w:r>
              <w:rPr>
                <w:rFonts w:hint="eastAsia" w:ascii="宋体" w:hAnsi="宋体" w:cs="宋体"/>
                <w:b/>
                <w:bCs/>
                <w:color w:val="auto"/>
                <w:sz w:val="24"/>
              </w:rPr>
              <w:t>服务期</w:t>
            </w:r>
          </w:p>
        </w:tc>
      </w:tr>
      <w:tr w14:paraId="462AAD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152A9ADC">
            <w:pPr>
              <w:ind w:left="420" w:hanging="420"/>
              <w:jc w:val="center"/>
              <w:rPr>
                <w:rFonts w:ascii="宋体" w:hAnsi="宋体" w:cs="宋体"/>
                <w:color w:val="auto"/>
                <w:sz w:val="24"/>
              </w:rPr>
            </w:pPr>
            <w:r>
              <w:rPr>
                <w:rFonts w:hint="eastAsia" w:ascii="宋体" w:hAnsi="宋体" w:cs="宋体"/>
                <w:color w:val="auto"/>
                <w:sz w:val="24"/>
              </w:rPr>
              <w:t>1</w:t>
            </w:r>
          </w:p>
        </w:tc>
        <w:tc>
          <w:tcPr>
            <w:tcW w:w="3137" w:type="dxa"/>
            <w:tcBorders>
              <w:top w:val="double" w:color="auto" w:sz="4" w:space="0"/>
              <w:bottom w:val="single" w:color="auto" w:sz="4" w:space="0"/>
            </w:tcBorders>
            <w:shd w:val="clear" w:color="auto" w:fill="auto"/>
            <w:noWrap/>
            <w:vAlign w:val="center"/>
          </w:tcPr>
          <w:p w14:paraId="1A9AE2B0">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紫荆苑14号楼三单元</w:t>
            </w:r>
          </w:p>
        </w:tc>
        <w:tc>
          <w:tcPr>
            <w:tcW w:w="767" w:type="dxa"/>
            <w:tcBorders>
              <w:top w:val="double" w:color="auto" w:sz="4" w:space="0"/>
              <w:bottom w:val="single" w:color="auto" w:sz="4" w:space="0"/>
            </w:tcBorders>
            <w:shd w:val="clear" w:color="auto" w:fill="auto"/>
            <w:noWrap/>
            <w:vAlign w:val="center"/>
          </w:tcPr>
          <w:p w14:paraId="0CB4916C">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34E1E2FE">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w:t>
            </w:r>
          </w:p>
        </w:tc>
        <w:tc>
          <w:tcPr>
            <w:tcW w:w="1292" w:type="dxa"/>
            <w:tcBorders>
              <w:top w:val="double" w:color="auto" w:sz="4" w:space="0"/>
              <w:bottom w:val="single" w:color="auto" w:sz="4" w:space="0"/>
            </w:tcBorders>
            <w:shd w:val="clear" w:color="auto" w:fill="auto"/>
            <w:noWrap/>
            <w:vAlign w:val="center"/>
          </w:tcPr>
          <w:p w14:paraId="2DE2533E">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9</w:t>
            </w:r>
          </w:p>
        </w:tc>
        <w:tc>
          <w:tcPr>
            <w:tcW w:w="571" w:type="dxa"/>
            <w:tcBorders>
              <w:top w:val="double" w:color="auto" w:sz="4" w:space="0"/>
              <w:bottom w:val="single" w:color="auto" w:sz="4" w:space="0"/>
            </w:tcBorders>
            <w:shd w:val="clear" w:color="auto" w:fill="auto"/>
            <w:noWrap/>
            <w:vAlign w:val="center"/>
          </w:tcPr>
          <w:p w14:paraId="594681C0">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noWrap/>
            <w:vAlign w:val="center"/>
          </w:tcPr>
          <w:p w14:paraId="6EF79B7F">
            <w:pPr>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10年</w:t>
            </w:r>
          </w:p>
        </w:tc>
      </w:tr>
      <w:tr w14:paraId="11B360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6483A9F3">
            <w:pPr>
              <w:ind w:left="420" w:hanging="420"/>
              <w:jc w:val="center"/>
              <w:rPr>
                <w:rFonts w:ascii="宋体" w:hAnsi="宋体" w:cs="宋体"/>
                <w:color w:val="auto"/>
                <w:kern w:val="2"/>
                <w:sz w:val="24"/>
              </w:rPr>
            </w:pPr>
            <w:r>
              <w:rPr>
                <w:rFonts w:hint="eastAsia" w:ascii="宋体" w:hAnsi="宋体" w:cs="宋体"/>
                <w:color w:val="auto"/>
                <w:kern w:val="2"/>
                <w:sz w:val="24"/>
              </w:rPr>
              <w:t>2</w:t>
            </w:r>
          </w:p>
        </w:tc>
        <w:tc>
          <w:tcPr>
            <w:tcW w:w="3137" w:type="dxa"/>
            <w:tcBorders>
              <w:top w:val="double" w:color="auto" w:sz="4" w:space="0"/>
              <w:bottom w:val="single" w:color="auto" w:sz="4" w:space="0"/>
            </w:tcBorders>
            <w:shd w:val="clear" w:color="auto" w:fill="auto"/>
            <w:noWrap/>
            <w:vAlign w:val="center"/>
          </w:tcPr>
          <w:p w14:paraId="1A2AD61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紫荆苑14号楼二单元</w:t>
            </w:r>
          </w:p>
        </w:tc>
        <w:tc>
          <w:tcPr>
            <w:tcW w:w="767" w:type="dxa"/>
            <w:tcBorders>
              <w:top w:val="double" w:color="auto" w:sz="4" w:space="0"/>
              <w:bottom w:val="single" w:color="auto" w:sz="4" w:space="0"/>
            </w:tcBorders>
            <w:shd w:val="clear" w:color="auto" w:fill="auto"/>
            <w:noWrap/>
            <w:vAlign w:val="center"/>
          </w:tcPr>
          <w:p w14:paraId="63C30C1F">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6CB526F9">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w:t>
            </w:r>
          </w:p>
        </w:tc>
        <w:tc>
          <w:tcPr>
            <w:tcW w:w="1292" w:type="dxa"/>
            <w:tcBorders>
              <w:top w:val="double" w:color="auto" w:sz="4" w:space="0"/>
              <w:bottom w:val="single" w:color="auto" w:sz="4" w:space="0"/>
            </w:tcBorders>
            <w:shd w:val="clear" w:color="auto" w:fill="auto"/>
            <w:noWrap/>
            <w:vAlign w:val="center"/>
          </w:tcPr>
          <w:p w14:paraId="10C65077">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9</w:t>
            </w:r>
          </w:p>
        </w:tc>
        <w:tc>
          <w:tcPr>
            <w:tcW w:w="571" w:type="dxa"/>
            <w:tcBorders>
              <w:top w:val="double" w:color="auto" w:sz="4" w:space="0"/>
              <w:bottom w:val="single" w:color="auto" w:sz="4" w:space="0"/>
            </w:tcBorders>
            <w:shd w:val="clear" w:color="auto" w:fill="auto"/>
            <w:noWrap/>
            <w:vAlign w:val="center"/>
          </w:tcPr>
          <w:p w14:paraId="2054BCC6">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noWrap/>
            <w:vAlign w:val="center"/>
          </w:tcPr>
          <w:p w14:paraId="26AB571D">
            <w:pPr>
              <w:jc w:val="center"/>
              <w:rPr>
                <w:rFonts w:ascii="宋体" w:hAnsi="宋体" w:cs="宋体"/>
                <w:color w:val="auto"/>
                <w:sz w:val="24"/>
              </w:rPr>
            </w:pPr>
            <w:r>
              <w:rPr>
                <w:rFonts w:hint="eastAsia" w:ascii="宋体" w:hAnsi="宋体" w:cs="宋体"/>
                <w:color w:val="auto"/>
                <w:sz w:val="24"/>
                <w:lang w:val="en-US" w:eastAsia="zh-CN"/>
              </w:rPr>
              <w:t>10年</w:t>
            </w:r>
          </w:p>
        </w:tc>
      </w:tr>
      <w:tr w14:paraId="5CB19D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26" w:hRule="exact"/>
          <w:jc w:val="center"/>
        </w:trPr>
        <w:tc>
          <w:tcPr>
            <w:tcW w:w="812" w:type="dxa"/>
            <w:tcBorders>
              <w:top w:val="double" w:color="auto" w:sz="4" w:space="0"/>
              <w:bottom w:val="single" w:color="auto" w:sz="4" w:space="0"/>
            </w:tcBorders>
            <w:noWrap/>
            <w:vAlign w:val="center"/>
          </w:tcPr>
          <w:p w14:paraId="55D8E00A">
            <w:pPr>
              <w:ind w:left="420" w:hanging="420"/>
              <w:jc w:val="center"/>
              <w:rPr>
                <w:rFonts w:ascii="宋体" w:hAnsi="宋体" w:cs="宋体"/>
                <w:color w:val="auto"/>
                <w:kern w:val="2"/>
                <w:sz w:val="24"/>
              </w:rPr>
            </w:pPr>
            <w:r>
              <w:rPr>
                <w:rFonts w:hint="eastAsia" w:ascii="宋体" w:hAnsi="宋体" w:cs="宋体"/>
                <w:color w:val="auto"/>
                <w:kern w:val="2"/>
                <w:sz w:val="24"/>
              </w:rPr>
              <w:t>3</w:t>
            </w:r>
          </w:p>
        </w:tc>
        <w:tc>
          <w:tcPr>
            <w:tcW w:w="3137" w:type="dxa"/>
            <w:tcBorders>
              <w:top w:val="double" w:color="auto" w:sz="4" w:space="0"/>
              <w:bottom w:val="single" w:color="auto" w:sz="4" w:space="0"/>
            </w:tcBorders>
            <w:shd w:val="clear" w:color="auto" w:fill="auto"/>
            <w:noWrap/>
            <w:vAlign w:val="center"/>
          </w:tcPr>
          <w:p w14:paraId="0B47A847">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紫荆苑12号楼三单元</w:t>
            </w:r>
          </w:p>
        </w:tc>
        <w:tc>
          <w:tcPr>
            <w:tcW w:w="767" w:type="dxa"/>
            <w:tcBorders>
              <w:top w:val="double" w:color="auto" w:sz="4" w:space="0"/>
              <w:bottom w:val="single" w:color="auto" w:sz="4" w:space="0"/>
            </w:tcBorders>
            <w:shd w:val="clear" w:color="auto" w:fill="auto"/>
            <w:noWrap/>
            <w:vAlign w:val="center"/>
          </w:tcPr>
          <w:p w14:paraId="7DBA2D0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2BAFA4E4">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w:t>
            </w:r>
          </w:p>
        </w:tc>
        <w:tc>
          <w:tcPr>
            <w:tcW w:w="1292" w:type="dxa"/>
            <w:tcBorders>
              <w:top w:val="double" w:color="auto" w:sz="4" w:space="0"/>
              <w:bottom w:val="single" w:color="auto" w:sz="4" w:space="0"/>
            </w:tcBorders>
            <w:shd w:val="clear" w:color="auto" w:fill="auto"/>
            <w:noWrap/>
            <w:vAlign w:val="center"/>
          </w:tcPr>
          <w:p w14:paraId="2DE690A6">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9</w:t>
            </w:r>
          </w:p>
        </w:tc>
        <w:tc>
          <w:tcPr>
            <w:tcW w:w="571" w:type="dxa"/>
            <w:tcBorders>
              <w:top w:val="double" w:color="auto" w:sz="4" w:space="0"/>
              <w:bottom w:val="single" w:color="auto" w:sz="4" w:space="0"/>
            </w:tcBorders>
            <w:shd w:val="clear" w:color="auto" w:fill="auto"/>
            <w:noWrap/>
            <w:vAlign w:val="center"/>
          </w:tcPr>
          <w:p w14:paraId="006BA24C">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noWrap/>
            <w:vAlign w:val="center"/>
          </w:tcPr>
          <w:p w14:paraId="7A8B9306">
            <w:pPr>
              <w:jc w:val="center"/>
              <w:rPr>
                <w:rFonts w:ascii="宋体" w:hAnsi="宋体" w:cs="宋体"/>
                <w:color w:val="auto"/>
                <w:sz w:val="24"/>
              </w:rPr>
            </w:pPr>
            <w:r>
              <w:rPr>
                <w:rFonts w:hint="eastAsia" w:ascii="宋体" w:hAnsi="宋体" w:cs="宋体"/>
                <w:color w:val="auto"/>
                <w:sz w:val="24"/>
                <w:lang w:val="en-US" w:eastAsia="zh-CN"/>
              </w:rPr>
              <w:t>10年</w:t>
            </w:r>
          </w:p>
        </w:tc>
      </w:tr>
      <w:tr w14:paraId="6C0637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443D7038">
            <w:pPr>
              <w:ind w:left="420" w:hanging="420"/>
              <w:jc w:val="center"/>
              <w:rPr>
                <w:rFonts w:ascii="宋体" w:hAnsi="宋体" w:cs="宋体"/>
                <w:color w:val="auto"/>
                <w:kern w:val="2"/>
                <w:sz w:val="24"/>
              </w:rPr>
            </w:pPr>
            <w:r>
              <w:rPr>
                <w:rFonts w:hint="eastAsia" w:ascii="宋体" w:hAnsi="宋体" w:cs="宋体"/>
                <w:color w:val="auto"/>
                <w:kern w:val="2"/>
                <w:sz w:val="24"/>
              </w:rPr>
              <w:t>4</w:t>
            </w:r>
          </w:p>
        </w:tc>
        <w:tc>
          <w:tcPr>
            <w:tcW w:w="3137" w:type="dxa"/>
            <w:tcBorders>
              <w:top w:val="double" w:color="auto" w:sz="4" w:space="0"/>
              <w:bottom w:val="single" w:color="auto" w:sz="4" w:space="0"/>
            </w:tcBorders>
            <w:shd w:val="clear" w:color="auto" w:fill="auto"/>
            <w:noWrap/>
            <w:vAlign w:val="center"/>
          </w:tcPr>
          <w:p w14:paraId="4452B4ED">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紫荆苑13号楼二单元</w:t>
            </w:r>
          </w:p>
        </w:tc>
        <w:tc>
          <w:tcPr>
            <w:tcW w:w="767" w:type="dxa"/>
            <w:tcBorders>
              <w:top w:val="double" w:color="auto" w:sz="4" w:space="0"/>
              <w:bottom w:val="single" w:color="auto" w:sz="4" w:space="0"/>
            </w:tcBorders>
            <w:shd w:val="clear" w:color="auto" w:fill="auto"/>
            <w:noWrap/>
            <w:vAlign w:val="center"/>
          </w:tcPr>
          <w:p w14:paraId="293490E9">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3B97AC38">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w:t>
            </w:r>
          </w:p>
        </w:tc>
        <w:tc>
          <w:tcPr>
            <w:tcW w:w="1292" w:type="dxa"/>
            <w:tcBorders>
              <w:top w:val="double" w:color="auto" w:sz="4" w:space="0"/>
              <w:bottom w:val="single" w:color="auto" w:sz="4" w:space="0"/>
            </w:tcBorders>
            <w:shd w:val="clear" w:color="auto" w:fill="auto"/>
            <w:noWrap/>
            <w:vAlign w:val="center"/>
          </w:tcPr>
          <w:p w14:paraId="119F4237">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9</w:t>
            </w:r>
          </w:p>
        </w:tc>
        <w:tc>
          <w:tcPr>
            <w:tcW w:w="571" w:type="dxa"/>
            <w:tcBorders>
              <w:top w:val="double" w:color="auto" w:sz="4" w:space="0"/>
              <w:bottom w:val="single" w:color="auto" w:sz="4" w:space="0"/>
            </w:tcBorders>
            <w:shd w:val="clear" w:color="auto" w:fill="auto"/>
            <w:noWrap/>
            <w:vAlign w:val="center"/>
          </w:tcPr>
          <w:p w14:paraId="4DEE5F82">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noWrap/>
            <w:vAlign w:val="center"/>
          </w:tcPr>
          <w:p w14:paraId="7502D0C9">
            <w:pPr>
              <w:jc w:val="center"/>
              <w:rPr>
                <w:rFonts w:ascii="宋体" w:hAnsi="宋体" w:cs="宋体"/>
                <w:color w:val="auto"/>
                <w:sz w:val="24"/>
              </w:rPr>
            </w:pPr>
            <w:r>
              <w:rPr>
                <w:rFonts w:hint="eastAsia" w:ascii="宋体" w:hAnsi="宋体" w:cs="宋体"/>
                <w:color w:val="auto"/>
                <w:sz w:val="24"/>
                <w:lang w:val="en-US" w:eastAsia="zh-CN"/>
              </w:rPr>
              <w:t>10年</w:t>
            </w:r>
          </w:p>
        </w:tc>
      </w:tr>
      <w:tr w14:paraId="2B1D54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4E35C121">
            <w:pPr>
              <w:ind w:left="420" w:hanging="420"/>
              <w:jc w:val="center"/>
              <w:rPr>
                <w:rFonts w:ascii="宋体" w:hAnsi="宋体" w:cs="宋体"/>
                <w:color w:val="auto"/>
                <w:kern w:val="2"/>
                <w:sz w:val="24"/>
              </w:rPr>
            </w:pPr>
            <w:r>
              <w:rPr>
                <w:rFonts w:hint="eastAsia" w:ascii="宋体" w:hAnsi="宋体" w:cs="宋体"/>
                <w:color w:val="auto"/>
                <w:kern w:val="2"/>
                <w:sz w:val="24"/>
              </w:rPr>
              <w:t>5</w:t>
            </w:r>
          </w:p>
        </w:tc>
        <w:tc>
          <w:tcPr>
            <w:tcW w:w="3137" w:type="dxa"/>
            <w:tcBorders>
              <w:top w:val="double" w:color="auto" w:sz="4" w:space="0"/>
              <w:bottom w:val="single" w:color="auto" w:sz="4" w:space="0"/>
            </w:tcBorders>
            <w:shd w:val="clear" w:color="auto" w:fill="auto"/>
            <w:noWrap/>
            <w:vAlign w:val="center"/>
          </w:tcPr>
          <w:p w14:paraId="22CC53FB">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紫荆苑13号楼一单元</w:t>
            </w:r>
          </w:p>
        </w:tc>
        <w:tc>
          <w:tcPr>
            <w:tcW w:w="767" w:type="dxa"/>
            <w:tcBorders>
              <w:top w:val="double" w:color="auto" w:sz="4" w:space="0"/>
              <w:bottom w:val="single" w:color="auto" w:sz="4" w:space="0"/>
            </w:tcBorders>
            <w:shd w:val="clear" w:color="auto" w:fill="auto"/>
            <w:noWrap/>
            <w:vAlign w:val="center"/>
          </w:tcPr>
          <w:p w14:paraId="0DEC153B">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782C0B72">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w:t>
            </w:r>
          </w:p>
        </w:tc>
        <w:tc>
          <w:tcPr>
            <w:tcW w:w="1292" w:type="dxa"/>
            <w:tcBorders>
              <w:top w:val="double" w:color="auto" w:sz="4" w:space="0"/>
              <w:bottom w:val="single" w:color="auto" w:sz="4" w:space="0"/>
            </w:tcBorders>
            <w:shd w:val="clear" w:color="auto" w:fill="auto"/>
            <w:noWrap/>
            <w:vAlign w:val="center"/>
          </w:tcPr>
          <w:p w14:paraId="31A480C8">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9</w:t>
            </w:r>
          </w:p>
        </w:tc>
        <w:tc>
          <w:tcPr>
            <w:tcW w:w="571" w:type="dxa"/>
            <w:tcBorders>
              <w:top w:val="double" w:color="auto" w:sz="4" w:space="0"/>
              <w:bottom w:val="single" w:color="auto" w:sz="4" w:space="0"/>
            </w:tcBorders>
            <w:shd w:val="clear" w:color="auto" w:fill="auto"/>
            <w:noWrap/>
            <w:vAlign w:val="center"/>
          </w:tcPr>
          <w:p w14:paraId="5F55351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noWrap/>
            <w:vAlign w:val="center"/>
          </w:tcPr>
          <w:p w14:paraId="3CDBC7FA">
            <w:pPr>
              <w:jc w:val="center"/>
              <w:rPr>
                <w:rFonts w:ascii="宋体" w:hAnsi="宋体" w:cs="宋体"/>
                <w:color w:val="auto"/>
                <w:sz w:val="24"/>
              </w:rPr>
            </w:pPr>
            <w:r>
              <w:rPr>
                <w:rFonts w:hint="eastAsia" w:ascii="宋体" w:hAnsi="宋体" w:cs="宋体"/>
                <w:color w:val="auto"/>
                <w:sz w:val="24"/>
                <w:lang w:val="en-US" w:eastAsia="zh-CN"/>
              </w:rPr>
              <w:t>10年</w:t>
            </w:r>
          </w:p>
        </w:tc>
      </w:tr>
      <w:tr w14:paraId="6F0B89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78B638AB">
            <w:pPr>
              <w:ind w:left="420" w:hanging="420"/>
              <w:jc w:val="center"/>
              <w:rPr>
                <w:rFonts w:ascii="宋体" w:hAnsi="宋体" w:cs="宋体"/>
                <w:color w:val="auto"/>
                <w:kern w:val="2"/>
                <w:sz w:val="24"/>
              </w:rPr>
            </w:pPr>
            <w:r>
              <w:rPr>
                <w:rFonts w:hint="eastAsia" w:ascii="宋体" w:hAnsi="宋体" w:cs="宋体"/>
                <w:color w:val="auto"/>
                <w:kern w:val="2"/>
                <w:sz w:val="24"/>
              </w:rPr>
              <w:t>6</w:t>
            </w:r>
          </w:p>
        </w:tc>
        <w:tc>
          <w:tcPr>
            <w:tcW w:w="3137" w:type="dxa"/>
            <w:tcBorders>
              <w:top w:val="double" w:color="auto" w:sz="4" w:space="0"/>
              <w:bottom w:val="single" w:color="auto" w:sz="4" w:space="0"/>
            </w:tcBorders>
            <w:shd w:val="clear" w:color="auto" w:fill="auto"/>
            <w:noWrap/>
            <w:vAlign w:val="center"/>
          </w:tcPr>
          <w:p w14:paraId="6EF3104F">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紫荆苑12号楼二单元</w:t>
            </w:r>
          </w:p>
        </w:tc>
        <w:tc>
          <w:tcPr>
            <w:tcW w:w="767" w:type="dxa"/>
            <w:tcBorders>
              <w:top w:val="double" w:color="auto" w:sz="4" w:space="0"/>
              <w:bottom w:val="single" w:color="auto" w:sz="4" w:space="0"/>
            </w:tcBorders>
            <w:shd w:val="clear" w:color="auto" w:fill="auto"/>
            <w:noWrap/>
            <w:vAlign w:val="center"/>
          </w:tcPr>
          <w:p w14:paraId="36944AC2">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20832004">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w:t>
            </w:r>
          </w:p>
        </w:tc>
        <w:tc>
          <w:tcPr>
            <w:tcW w:w="1292" w:type="dxa"/>
            <w:tcBorders>
              <w:top w:val="double" w:color="auto" w:sz="4" w:space="0"/>
              <w:bottom w:val="single" w:color="auto" w:sz="4" w:space="0"/>
            </w:tcBorders>
            <w:shd w:val="clear" w:color="auto" w:fill="auto"/>
            <w:noWrap/>
            <w:vAlign w:val="center"/>
          </w:tcPr>
          <w:p w14:paraId="01FB785A">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9</w:t>
            </w:r>
          </w:p>
        </w:tc>
        <w:tc>
          <w:tcPr>
            <w:tcW w:w="571" w:type="dxa"/>
            <w:tcBorders>
              <w:top w:val="double" w:color="auto" w:sz="4" w:space="0"/>
              <w:bottom w:val="single" w:color="auto" w:sz="4" w:space="0"/>
            </w:tcBorders>
            <w:shd w:val="clear" w:color="auto" w:fill="auto"/>
            <w:noWrap/>
            <w:vAlign w:val="center"/>
          </w:tcPr>
          <w:p w14:paraId="34C7AA87">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noWrap/>
            <w:vAlign w:val="center"/>
          </w:tcPr>
          <w:p w14:paraId="780402D3">
            <w:pPr>
              <w:jc w:val="center"/>
              <w:rPr>
                <w:rFonts w:ascii="宋体" w:hAnsi="宋体" w:cs="宋体"/>
                <w:color w:val="auto"/>
                <w:sz w:val="24"/>
              </w:rPr>
            </w:pPr>
            <w:r>
              <w:rPr>
                <w:rFonts w:hint="eastAsia" w:ascii="宋体" w:hAnsi="宋体" w:cs="宋体"/>
                <w:color w:val="auto"/>
                <w:sz w:val="24"/>
                <w:lang w:val="en-US" w:eastAsia="zh-CN"/>
              </w:rPr>
              <w:t>10年</w:t>
            </w:r>
          </w:p>
        </w:tc>
      </w:tr>
      <w:tr w14:paraId="345983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7535AA68">
            <w:pPr>
              <w:ind w:left="420" w:hanging="420"/>
              <w:jc w:val="center"/>
              <w:rPr>
                <w:rFonts w:ascii="宋体" w:hAnsi="宋体" w:cs="宋体"/>
                <w:color w:val="auto"/>
                <w:kern w:val="2"/>
                <w:sz w:val="24"/>
              </w:rPr>
            </w:pPr>
            <w:r>
              <w:rPr>
                <w:rFonts w:hint="eastAsia" w:ascii="宋体" w:hAnsi="宋体" w:cs="宋体"/>
                <w:color w:val="auto"/>
                <w:kern w:val="2"/>
                <w:sz w:val="24"/>
              </w:rPr>
              <w:t>7</w:t>
            </w:r>
          </w:p>
        </w:tc>
        <w:tc>
          <w:tcPr>
            <w:tcW w:w="3137" w:type="dxa"/>
            <w:tcBorders>
              <w:top w:val="double" w:color="auto" w:sz="4" w:space="0"/>
              <w:bottom w:val="single" w:color="auto" w:sz="4" w:space="0"/>
            </w:tcBorders>
            <w:shd w:val="clear" w:color="auto" w:fill="auto"/>
            <w:noWrap/>
            <w:vAlign w:val="center"/>
          </w:tcPr>
          <w:p w14:paraId="1A414F01">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亿鑫花苑5号楼南</w:t>
            </w:r>
          </w:p>
        </w:tc>
        <w:tc>
          <w:tcPr>
            <w:tcW w:w="767" w:type="dxa"/>
            <w:tcBorders>
              <w:top w:val="double" w:color="auto" w:sz="4" w:space="0"/>
              <w:bottom w:val="single" w:color="auto" w:sz="4" w:space="0"/>
            </w:tcBorders>
            <w:shd w:val="clear" w:color="auto" w:fill="auto"/>
            <w:noWrap/>
            <w:vAlign w:val="center"/>
          </w:tcPr>
          <w:p w14:paraId="680AADD1">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28254698">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w:t>
            </w:r>
          </w:p>
        </w:tc>
        <w:tc>
          <w:tcPr>
            <w:tcW w:w="1292" w:type="dxa"/>
            <w:tcBorders>
              <w:top w:val="double" w:color="auto" w:sz="4" w:space="0"/>
              <w:bottom w:val="single" w:color="auto" w:sz="4" w:space="0"/>
            </w:tcBorders>
            <w:shd w:val="clear" w:color="auto" w:fill="auto"/>
            <w:noWrap/>
            <w:vAlign w:val="center"/>
          </w:tcPr>
          <w:p w14:paraId="63D59291">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16</w:t>
            </w:r>
          </w:p>
        </w:tc>
        <w:tc>
          <w:tcPr>
            <w:tcW w:w="571" w:type="dxa"/>
            <w:tcBorders>
              <w:top w:val="double" w:color="auto" w:sz="4" w:space="0"/>
              <w:bottom w:val="single" w:color="auto" w:sz="4" w:space="0"/>
            </w:tcBorders>
            <w:shd w:val="clear" w:color="auto" w:fill="auto"/>
            <w:noWrap/>
            <w:vAlign w:val="center"/>
          </w:tcPr>
          <w:p w14:paraId="0F8A1630">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252E0687">
            <w:pPr>
              <w:jc w:val="center"/>
              <w:rPr>
                <w:rFonts w:hint="default"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2419EC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114117A3">
            <w:pPr>
              <w:ind w:left="420" w:hanging="420"/>
              <w:jc w:val="center"/>
              <w:rPr>
                <w:rFonts w:ascii="宋体" w:hAnsi="宋体" w:cs="宋体"/>
                <w:color w:val="auto"/>
                <w:kern w:val="2"/>
                <w:sz w:val="24"/>
              </w:rPr>
            </w:pPr>
            <w:r>
              <w:rPr>
                <w:rFonts w:hint="eastAsia" w:ascii="宋体" w:hAnsi="宋体" w:cs="宋体"/>
                <w:color w:val="auto"/>
                <w:kern w:val="2"/>
                <w:sz w:val="24"/>
              </w:rPr>
              <w:t>8</w:t>
            </w:r>
          </w:p>
        </w:tc>
        <w:tc>
          <w:tcPr>
            <w:tcW w:w="3137" w:type="dxa"/>
            <w:tcBorders>
              <w:top w:val="double" w:color="auto" w:sz="4" w:space="0"/>
              <w:bottom w:val="single" w:color="auto" w:sz="4" w:space="0"/>
            </w:tcBorders>
            <w:shd w:val="clear" w:color="auto" w:fill="auto"/>
            <w:noWrap/>
            <w:vAlign w:val="center"/>
          </w:tcPr>
          <w:p w14:paraId="6FEB3DB9">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亿鑫花园5号楼北</w:t>
            </w:r>
          </w:p>
        </w:tc>
        <w:tc>
          <w:tcPr>
            <w:tcW w:w="767" w:type="dxa"/>
            <w:tcBorders>
              <w:top w:val="double" w:color="auto" w:sz="4" w:space="0"/>
              <w:bottom w:val="single" w:color="auto" w:sz="4" w:space="0"/>
            </w:tcBorders>
            <w:shd w:val="clear" w:color="auto" w:fill="auto"/>
            <w:noWrap/>
            <w:vAlign w:val="center"/>
          </w:tcPr>
          <w:p w14:paraId="3B349407">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50A6F29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w:t>
            </w:r>
          </w:p>
        </w:tc>
        <w:tc>
          <w:tcPr>
            <w:tcW w:w="1292" w:type="dxa"/>
            <w:tcBorders>
              <w:top w:val="double" w:color="auto" w:sz="4" w:space="0"/>
              <w:bottom w:val="single" w:color="auto" w:sz="4" w:space="0"/>
            </w:tcBorders>
            <w:shd w:val="clear" w:color="auto" w:fill="auto"/>
            <w:noWrap/>
            <w:vAlign w:val="center"/>
          </w:tcPr>
          <w:p w14:paraId="010090D4">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16</w:t>
            </w:r>
          </w:p>
        </w:tc>
        <w:tc>
          <w:tcPr>
            <w:tcW w:w="571" w:type="dxa"/>
            <w:tcBorders>
              <w:top w:val="double" w:color="auto" w:sz="4" w:space="0"/>
              <w:bottom w:val="single" w:color="auto" w:sz="4" w:space="0"/>
            </w:tcBorders>
            <w:shd w:val="clear" w:color="auto" w:fill="auto"/>
            <w:noWrap/>
            <w:vAlign w:val="center"/>
          </w:tcPr>
          <w:p w14:paraId="5B404BF8">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2C728A8F">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68CC11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53179EBE">
            <w:pPr>
              <w:ind w:left="420" w:hanging="420"/>
              <w:jc w:val="center"/>
              <w:rPr>
                <w:rFonts w:ascii="宋体" w:hAnsi="宋体" w:cs="宋体"/>
                <w:color w:val="auto"/>
                <w:kern w:val="2"/>
                <w:sz w:val="24"/>
              </w:rPr>
            </w:pPr>
            <w:r>
              <w:rPr>
                <w:rFonts w:hint="eastAsia" w:ascii="宋体" w:hAnsi="宋体" w:cs="宋体"/>
                <w:color w:val="auto"/>
                <w:kern w:val="2"/>
                <w:sz w:val="24"/>
              </w:rPr>
              <w:t>9</w:t>
            </w:r>
          </w:p>
        </w:tc>
        <w:tc>
          <w:tcPr>
            <w:tcW w:w="3137" w:type="dxa"/>
            <w:tcBorders>
              <w:top w:val="double" w:color="auto" w:sz="4" w:space="0"/>
              <w:bottom w:val="single" w:color="auto" w:sz="4" w:space="0"/>
            </w:tcBorders>
            <w:shd w:val="clear" w:color="auto" w:fill="auto"/>
            <w:noWrap/>
            <w:vAlign w:val="center"/>
          </w:tcPr>
          <w:p w14:paraId="6CF15283">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盛华心港湾5号楼1单元</w:t>
            </w:r>
          </w:p>
        </w:tc>
        <w:tc>
          <w:tcPr>
            <w:tcW w:w="767" w:type="dxa"/>
            <w:tcBorders>
              <w:top w:val="double" w:color="auto" w:sz="4" w:space="0"/>
              <w:bottom w:val="single" w:color="auto" w:sz="4" w:space="0"/>
            </w:tcBorders>
            <w:shd w:val="clear" w:color="auto" w:fill="auto"/>
            <w:noWrap/>
            <w:vAlign w:val="center"/>
          </w:tcPr>
          <w:p w14:paraId="3276B688">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630</w:t>
            </w:r>
          </w:p>
        </w:tc>
        <w:tc>
          <w:tcPr>
            <w:tcW w:w="714" w:type="dxa"/>
            <w:tcBorders>
              <w:top w:val="double" w:color="auto" w:sz="4" w:space="0"/>
              <w:bottom w:val="single" w:color="auto" w:sz="4" w:space="0"/>
            </w:tcBorders>
            <w:shd w:val="clear" w:color="auto" w:fill="auto"/>
            <w:noWrap/>
            <w:vAlign w:val="center"/>
          </w:tcPr>
          <w:p w14:paraId="0EE066FF">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w:t>
            </w:r>
          </w:p>
        </w:tc>
        <w:tc>
          <w:tcPr>
            <w:tcW w:w="1292" w:type="dxa"/>
            <w:tcBorders>
              <w:top w:val="double" w:color="auto" w:sz="4" w:space="0"/>
              <w:bottom w:val="single" w:color="auto" w:sz="4" w:space="0"/>
            </w:tcBorders>
            <w:shd w:val="clear" w:color="auto" w:fill="auto"/>
            <w:noWrap/>
            <w:vAlign w:val="center"/>
          </w:tcPr>
          <w:p w14:paraId="1997FCF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11</w:t>
            </w:r>
          </w:p>
        </w:tc>
        <w:tc>
          <w:tcPr>
            <w:tcW w:w="571" w:type="dxa"/>
            <w:tcBorders>
              <w:top w:val="double" w:color="auto" w:sz="4" w:space="0"/>
              <w:bottom w:val="single" w:color="auto" w:sz="4" w:space="0"/>
            </w:tcBorders>
            <w:shd w:val="clear" w:color="auto" w:fill="auto"/>
            <w:noWrap/>
            <w:vAlign w:val="center"/>
          </w:tcPr>
          <w:p w14:paraId="0101291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29FEEEEC">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7B9E4D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52169394">
            <w:pPr>
              <w:ind w:left="420" w:hanging="420"/>
              <w:jc w:val="center"/>
              <w:rPr>
                <w:rFonts w:ascii="宋体" w:hAnsi="宋体" w:cs="宋体"/>
                <w:color w:val="auto"/>
                <w:kern w:val="2"/>
                <w:sz w:val="24"/>
              </w:rPr>
            </w:pPr>
            <w:r>
              <w:rPr>
                <w:rFonts w:hint="eastAsia" w:ascii="宋体" w:hAnsi="宋体" w:cs="宋体"/>
                <w:color w:val="auto"/>
                <w:kern w:val="2"/>
                <w:sz w:val="24"/>
              </w:rPr>
              <w:t>10</w:t>
            </w:r>
          </w:p>
        </w:tc>
        <w:tc>
          <w:tcPr>
            <w:tcW w:w="3137" w:type="dxa"/>
            <w:tcBorders>
              <w:top w:val="double" w:color="auto" w:sz="4" w:space="0"/>
              <w:bottom w:val="single" w:color="auto" w:sz="4" w:space="0"/>
            </w:tcBorders>
            <w:shd w:val="clear" w:color="auto" w:fill="auto"/>
            <w:noWrap/>
            <w:vAlign w:val="center"/>
          </w:tcPr>
          <w:p w14:paraId="571E7FB6">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盛华心港湾7号楼5单元</w:t>
            </w:r>
          </w:p>
        </w:tc>
        <w:tc>
          <w:tcPr>
            <w:tcW w:w="767" w:type="dxa"/>
            <w:tcBorders>
              <w:top w:val="double" w:color="auto" w:sz="4" w:space="0"/>
              <w:bottom w:val="single" w:color="auto" w:sz="4" w:space="0"/>
            </w:tcBorders>
            <w:shd w:val="clear" w:color="auto" w:fill="auto"/>
            <w:noWrap/>
            <w:vAlign w:val="center"/>
          </w:tcPr>
          <w:p w14:paraId="675059A1">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630</w:t>
            </w:r>
          </w:p>
        </w:tc>
        <w:tc>
          <w:tcPr>
            <w:tcW w:w="714" w:type="dxa"/>
            <w:tcBorders>
              <w:top w:val="double" w:color="auto" w:sz="4" w:space="0"/>
              <w:bottom w:val="single" w:color="auto" w:sz="4" w:space="0"/>
            </w:tcBorders>
            <w:shd w:val="clear" w:color="auto" w:fill="auto"/>
            <w:noWrap/>
            <w:vAlign w:val="center"/>
          </w:tcPr>
          <w:p w14:paraId="73F43B93">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w:t>
            </w:r>
          </w:p>
        </w:tc>
        <w:tc>
          <w:tcPr>
            <w:tcW w:w="1292" w:type="dxa"/>
            <w:tcBorders>
              <w:top w:val="double" w:color="auto" w:sz="4" w:space="0"/>
              <w:bottom w:val="single" w:color="auto" w:sz="4" w:space="0"/>
            </w:tcBorders>
            <w:shd w:val="clear" w:color="auto" w:fill="auto"/>
            <w:noWrap/>
            <w:vAlign w:val="center"/>
          </w:tcPr>
          <w:p w14:paraId="43C4398F">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11</w:t>
            </w:r>
          </w:p>
        </w:tc>
        <w:tc>
          <w:tcPr>
            <w:tcW w:w="571" w:type="dxa"/>
            <w:tcBorders>
              <w:top w:val="double" w:color="auto" w:sz="4" w:space="0"/>
              <w:bottom w:val="single" w:color="auto" w:sz="4" w:space="0"/>
            </w:tcBorders>
            <w:shd w:val="clear" w:color="auto" w:fill="auto"/>
            <w:noWrap/>
            <w:vAlign w:val="center"/>
          </w:tcPr>
          <w:p w14:paraId="766439A9">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350D9226">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0DC6E2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7575A9F8">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11</w:t>
            </w:r>
          </w:p>
        </w:tc>
        <w:tc>
          <w:tcPr>
            <w:tcW w:w="3137" w:type="dxa"/>
            <w:tcBorders>
              <w:top w:val="double" w:color="auto" w:sz="4" w:space="0"/>
              <w:bottom w:val="single" w:color="auto" w:sz="4" w:space="0"/>
            </w:tcBorders>
            <w:shd w:val="clear" w:color="auto" w:fill="auto"/>
            <w:noWrap/>
            <w:vAlign w:val="center"/>
          </w:tcPr>
          <w:p w14:paraId="384F5A33">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盛华心港湾7号楼1单元</w:t>
            </w:r>
          </w:p>
        </w:tc>
        <w:tc>
          <w:tcPr>
            <w:tcW w:w="767" w:type="dxa"/>
            <w:tcBorders>
              <w:top w:val="double" w:color="auto" w:sz="4" w:space="0"/>
              <w:bottom w:val="single" w:color="auto" w:sz="4" w:space="0"/>
            </w:tcBorders>
            <w:shd w:val="clear" w:color="auto" w:fill="auto"/>
            <w:noWrap/>
            <w:vAlign w:val="center"/>
          </w:tcPr>
          <w:p w14:paraId="1A2DF4FD">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630</w:t>
            </w:r>
          </w:p>
        </w:tc>
        <w:tc>
          <w:tcPr>
            <w:tcW w:w="714" w:type="dxa"/>
            <w:tcBorders>
              <w:top w:val="double" w:color="auto" w:sz="4" w:space="0"/>
              <w:bottom w:val="single" w:color="auto" w:sz="4" w:space="0"/>
            </w:tcBorders>
            <w:shd w:val="clear" w:color="auto" w:fill="auto"/>
            <w:noWrap/>
            <w:vAlign w:val="center"/>
          </w:tcPr>
          <w:p w14:paraId="2133488F">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w:t>
            </w:r>
          </w:p>
        </w:tc>
        <w:tc>
          <w:tcPr>
            <w:tcW w:w="1292" w:type="dxa"/>
            <w:tcBorders>
              <w:top w:val="double" w:color="auto" w:sz="4" w:space="0"/>
              <w:bottom w:val="single" w:color="auto" w:sz="4" w:space="0"/>
            </w:tcBorders>
            <w:shd w:val="clear" w:color="auto" w:fill="auto"/>
            <w:noWrap/>
            <w:vAlign w:val="center"/>
          </w:tcPr>
          <w:p w14:paraId="10B90612">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11</w:t>
            </w:r>
          </w:p>
        </w:tc>
        <w:tc>
          <w:tcPr>
            <w:tcW w:w="571" w:type="dxa"/>
            <w:tcBorders>
              <w:top w:val="double" w:color="auto" w:sz="4" w:space="0"/>
              <w:bottom w:val="single" w:color="auto" w:sz="4" w:space="0"/>
            </w:tcBorders>
            <w:shd w:val="clear" w:color="auto" w:fill="auto"/>
            <w:noWrap/>
            <w:vAlign w:val="center"/>
          </w:tcPr>
          <w:p w14:paraId="2059FE52">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27C27582">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670FB2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7CA24E7A">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12</w:t>
            </w:r>
          </w:p>
        </w:tc>
        <w:tc>
          <w:tcPr>
            <w:tcW w:w="3137" w:type="dxa"/>
            <w:tcBorders>
              <w:top w:val="double" w:color="auto" w:sz="4" w:space="0"/>
              <w:bottom w:val="single" w:color="auto" w:sz="4" w:space="0"/>
            </w:tcBorders>
            <w:shd w:val="clear" w:color="auto" w:fill="auto"/>
            <w:noWrap/>
            <w:vAlign w:val="center"/>
          </w:tcPr>
          <w:p w14:paraId="2020F03B">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盛华心港湾6号楼3单元</w:t>
            </w:r>
          </w:p>
        </w:tc>
        <w:tc>
          <w:tcPr>
            <w:tcW w:w="767" w:type="dxa"/>
            <w:tcBorders>
              <w:top w:val="double" w:color="auto" w:sz="4" w:space="0"/>
              <w:bottom w:val="single" w:color="auto" w:sz="4" w:space="0"/>
            </w:tcBorders>
            <w:shd w:val="clear" w:color="auto" w:fill="auto"/>
            <w:noWrap/>
            <w:vAlign w:val="center"/>
          </w:tcPr>
          <w:p w14:paraId="48B5B6DC">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630</w:t>
            </w:r>
          </w:p>
        </w:tc>
        <w:tc>
          <w:tcPr>
            <w:tcW w:w="714" w:type="dxa"/>
            <w:tcBorders>
              <w:top w:val="double" w:color="auto" w:sz="4" w:space="0"/>
              <w:bottom w:val="single" w:color="auto" w:sz="4" w:space="0"/>
            </w:tcBorders>
            <w:shd w:val="clear" w:color="auto" w:fill="auto"/>
            <w:noWrap/>
            <w:vAlign w:val="center"/>
          </w:tcPr>
          <w:p w14:paraId="085ED04D">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w:t>
            </w:r>
          </w:p>
        </w:tc>
        <w:tc>
          <w:tcPr>
            <w:tcW w:w="1292" w:type="dxa"/>
            <w:tcBorders>
              <w:top w:val="double" w:color="auto" w:sz="4" w:space="0"/>
              <w:bottom w:val="single" w:color="auto" w:sz="4" w:space="0"/>
            </w:tcBorders>
            <w:shd w:val="clear" w:color="auto" w:fill="auto"/>
            <w:noWrap/>
            <w:vAlign w:val="center"/>
          </w:tcPr>
          <w:p w14:paraId="410959A8">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11</w:t>
            </w:r>
          </w:p>
        </w:tc>
        <w:tc>
          <w:tcPr>
            <w:tcW w:w="571" w:type="dxa"/>
            <w:tcBorders>
              <w:top w:val="double" w:color="auto" w:sz="4" w:space="0"/>
              <w:bottom w:val="single" w:color="auto" w:sz="4" w:space="0"/>
            </w:tcBorders>
            <w:shd w:val="clear" w:color="auto" w:fill="auto"/>
            <w:noWrap/>
            <w:vAlign w:val="center"/>
          </w:tcPr>
          <w:p w14:paraId="596DB56E">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43596B53">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17CFDF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14FBEEC5">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13</w:t>
            </w:r>
          </w:p>
        </w:tc>
        <w:tc>
          <w:tcPr>
            <w:tcW w:w="3137" w:type="dxa"/>
            <w:tcBorders>
              <w:top w:val="double" w:color="auto" w:sz="4" w:space="0"/>
              <w:bottom w:val="single" w:color="auto" w:sz="4" w:space="0"/>
            </w:tcBorders>
            <w:shd w:val="clear" w:color="auto" w:fill="auto"/>
            <w:noWrap/>
            <w:vAlign w:val="center"/>
          </w:tcPr>
          <w:p w14:paraId="5AE59830">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盛华心港湾7号楼3单元</w:t>
            </w:r>
          </w:p>
        </w:tc>
        <w:tc>
          <w:tcPr>
            <w:tcW w:w="767" w:type="dxa"/>
            <w:tcBorders>
              <w:top w:val="double" w:color="auto" w:sz="4" w:space="0"/>
              <w:bottom w:val="single" w:color="auto" w:sz="4" w:space="0"/>
            </w:tcBorders>
            <w:shd w:val="clear" w:color="auto" w:fill="auto"/>
            <w:noWrap/>
            <w:vAlign w:val="center"/>
          </w:tcPr>
          <w:p w14:paraId="6CF1F15A">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630</w:t>
            </w:r>
          </w:p>
        </w:tc>
        <w:tc>
          <w:tcPr>
            <w:tcW w:w="714" w:type="dxa"/>
            <w:tcBorders>
              <w:top w:val="double" w:color="auto" w:sz="4" w:space="0"/>
              <w:bottom w:val="single" w:color="auto" w:sz="4" w:space="0"/>
            </w:tcBorders>
            <w:shd w:val="clear" w:color="auto" w:fill="auto"/>
            <w:noWrap/>
            <w:vAlign w:val="center"/>
          </w:tcPr>
          <w:p w14:paraId="6C5364F4">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w:t>
            </w:r>
          </w:p>
        </w:tc>
        <w:tc>
          <w:tcPr>
            <w:tcW w:w="1292" w:type="dxa"/>
            <w:tcBorders>
              <w:top w:val="double" w:color="auto" w:sz="4" w:space="0"/>
              <w:bottom w:val="single" w:color="auto" w:sz="4" w:space="0"/>
            </w:tcBorders>
            <w:shd w:val="clear" w:color="auto" w:fill="auto"/>
            <w:noWrap/>
            <w:vAlign w:val="center"/>
          </w:tcPr>
          <w:p w14:paraId="038EA4A1">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11</w:t>
            </w:r>
          </w:p>
        </w:tc>
        <w:tc>
          <w:tcPr>
            <w:tcW w:w="571" w:type="dxa"/>
            <w:tcBorders>
              <w:top w:val="double" w:color="auto" w:sz="4" w:space="0"/>
              <w:bottom w:val="single" w:color="auto" w:sz="4" w:space="0"/>
            </w:tcBorders>
            <w:shd w:val="clear" w:color="auto" w:fill="auto"/>
            <w:noWrap/>
            <w:vAlign w:val="center"/>
          </w:tcPr>
          <w:p w14:paraId="6809442A">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318C7ACE">
            <w:pPr>
              <w:jc w:val="center"/>
              <w:rPr>
                <w:rFonts w:hint="default"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18EDC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28042CA3">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14</w:t>
            </w:r>
          </w:p>
        </w:tc>
        <w:tc>
          <w:tcPr>
            <w:tcW w:w="3137" w:type="dxa"/>
            <w:tcBorders>
              <w:top w:val="double" w:color="auto" w:sz="4" w:space="0"/>
              <w:bottom w:val="single" w:color="auto" w:sz="4" w:space="0"/>
            </w:tcBorders>
            <w:shd w:val="clear" w:color="auto" w:fill="auto"/>
            <w:noWrap/>
            <w:vAlign w:val="center"/>
          </w:tcPr>
          <w:p w14:paraId="36BD7336">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A2幢1单元(香榭丽花苑)</w:t>
            </w:r>
          </w:p>
        </w:tc>
        <w:tc>
          <w:tcPr>
            <w:tcW w:w="767" w:type="dxa"/>
            <w:tcBorders>
              <w:top w:val="double" w:color="auto" w:sz="4" w:space="0"/>
              <w:bottom w:val="single" w:color="auto" w:sz="4" w:space="0"/>
            </w:tcBorders>
            <w:shd w:val="clear" w:color="auto" w:fill="auto"/>
            <w:noWrap/>
            <w:vAlign w:val="center"/>
          </w:tcPr>
          <w:p w14:paraId="5933469C">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1000</w:t>
            </w:r>
          </w:p>
        </w:tc>
        <w:tc>
          <w:tcPr>
            <w:tcW w:w="714" w:type="dxa"/>
            <w:tcBorders>
              <w:top w:val="double" w:color="auto" w:sz="4" w:space="0"/>
              <w:bottom w:val="single" w:color="auto" w:sz="4" w:space="0"/>
            </w:tcBorders>
            <w:shd w:val="clear" w:color="auto" w:fill="auto"/>
            <w:noWrap/>
            <w:vAlign w:val="center"/>
          </w:tcPr>
          <w:p w14:paraId="5B9D2576">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54E24A09">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11</w:t>
            </w:r>
          </w:p>
        </w:tc>
        <w:tc>
          <w:tcPr>
            <w:tcW w:w="571" w:type="dxa"/>
            <w:tcBorders>
              <w:top w:val="double" w:color="auto" w:sz="4" w:space="0"/>
              <w:bottom w:val="single" w:color="auto" w:sz="4" w:space="0"/>
            </w:tcBorders>
            <w:shd w:val="clear" w:color="auto" w:fill="auto"/>
            <w:noWrap/>
            <w:vAlign w:val="center"/>
          </w:tcPr>
          <w:p w14:paraId="455F2C88">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701CD642">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1068E3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1A336D93">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15</w:t>
            </w:r>
          </w:p>
        </w:tc>
        <w:tc>
          <w:tcPr>
            <w:tcW w:w="3137" w:type="dxa"/>
            <w:tcBorders>
              <w:top w:val="double" w:color="auto" w:sz="4" w:space="0"/>
              <w:bottom w:val="single" w:color="auto" w:sz="4" w:space="0"/>
            </w:tcBorders>
            <w:shd w:val="clear" w:color="auto" w:fill="auto"/>
            <w:noWrap/>
            <w:vAlign w:val="center"/>
          </w:tcPr>
          <w:p w14:paraId="43CB2EBB">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A1幢2单元(香榭丽花苑)</w:t>
            </w:r>
          </w:p>
        </w:tc>
        <w:tc>
          <w:tcPr>
            <w:tcW w:w="767" w:type="dxa"/>
            <w:tcBorders>
              <w:top w:val="double" w:color="auto" w:sz="4" w:space="0"/>
              <w:bottom w:val="single" w:color="auto" w:sz="4" w:space="0"/>
            </w:tcBorders>
            <w:shd w:val="clear" w:color="auto" w:fill="auto"/>
            <w:noWrap/>
            <w:vAlign w:val="center"/>
          </w:tcPr>
          <w:p w14:paraId="071FC9DD">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1000</w:t>
            </w:r>
          </w:p>
        </w:tc>
        <w:tc>
          <w:tcPr>
            <w:tcW w:w="714" w:type="dxa"/>
            <w:tcBorders>
              <w:top w:val="double" w:color="auto" w:sz="4" w:space="0"/>
              <w:bottom w:val="single" w:color="auto" w:sz="4" w:space="0"/>
            </w:tcBorders>
            <w:shd w:val="clear" w:color="auto" w:fill="auto"/>
            <w:noWrap/>
            <w:vAlign w:val="center"/>
          </w:tcPr>
          <w:p w14:paraId="62C5A911">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7B1DB60D">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11</w:t>
            </w:r>
          </w:p>
        </w:tc>
        <w:tc>
          <w:tcPr>
            <w:tcW w:w="571" w:type="dxa"/>
            <w:tcBorders>
              <w:top w:val="double" w:color="auto" w:sz="4" w:space="0"/>
              <w:bottom w:val="single" w:color="auto" w:sz="4" w:space="0"/>
            </w:tcBorders>
            <w:shd w:val="clear" w:color="auto" w:fill="auto"/>
            <w:noWrap/>
            <w:vAlign w:val="center"/>
          </w:tcPr>
          <w:p w14:paraId="1DFF8AEE">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4E31D624">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43DD0E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64A034B0">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16</w:t>
            </w:r>
          </w:p>
        </w:tc>
        <w:tc>
          <w:tcPr>
            <w:tcW w:w="3137" w:type="dxa"/>
            <w:tcBorders>
              <w:top w:val="double" w:color="auto" w:sz="4" w:space="0"/>
              <w:bottom w:val="single" w:color="auto" w:sz="4" w:space="0"/>
            </w:tcBorders>
            <w:shd w:val="clear" w:color="auto" w:fill="auto"/>
            <w:noWrap/>
            <w:vAlign w:val="center"/>
          </w:tcPr>
          <w:p w14:paraId="376D06BE">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A2幢2单元(香榭丽花苑)</w:t>
            </w:r>
          </w:p>
        </w:tc>
        <w:tc>
          <w:tcPr>
            <w:tcW w:w="767" w:type="dxa"/>
            <w:tcBorders>
              <w:top w:val="double" w:color="auto" w:sz="4" w:space="0"/>
              <w:bottom w:val="single" w:color="auto" w:sz="4" w:space="0"/>
            </w:tcBorders>
            <w:shd w:val="clear" w:color="auto" w:fill="auto"/>
            <w:noWrap/>
            <w:vAlign w:val="center"/>
          </w:tcPr>
          <w:p w14:paraId="11D55182">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1000</w:t>
            </w:r>
          </w:p>
        </w:tc>
        <w:tc>
          <w:tcPr>
            <w:tcW w:w="714" w:type="dxa"/>
            <w:tcBorders>
              <w:top w:val="double" w:color="auto" w:sz="4" w:space="0"/>
              <w:bottom w:val="single" w:color="auto" w:sz="4" w:space="0"/>
            </w:tcBorders>
            <w:shd w:val="clear" w:color="auto" w:fill="auto"/>
            <w:noWrap/>
            <w:vAlign w:val="center"/>
          </w:tcPr>
          <w:p w14:paraId="37BCC20B">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6FC435CC">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11</w:t>
            </w:r>
          </w:p>
        </w:tc>
        <w:tc>
          <w:tcPr>
            <w:tcW w:w="571" w:type="dxa"/>
            <w:tcBorders>
              <w:top w:val="double" w:color="auto" w:sz="4" w:space="0"/>
              <w:bottom w:val="single" w:color="auto" w:sz="4" w:space="0"/>
            </w:tcBorders>
            <w:shd w:val="clear" w:color="auto" w:fill="auto"/>
            <w:noWrap/>
            <w:vAlign w:val="center"/>
          </w:tcPr>
          <w:p w14:paraId="0D5A8CDE">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5372565F">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3F3762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60D6D193">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17</w:t>
            </w:r>
          </w:p>
        </w:tc>
        <w:tc>
          <w:tcPr>
            <w:tcW w:w="3137" w:type="dxa"/>
            <w:tcBorders>
              <w:top w:val="double" w:color="auto" w:sz="4" w:space="0"/>
              <w:bottom w:val="single" w:color="auto" w:sz="4" w:space="0"/>
            </w:tcBorders>
            <w:shd w:val="clear" w:color="auto" w:fill="auto"/>
            <w:noWrap/>
            <w:vAlign w:val="center"/>
          </w:tcPr>
          <w:p w14:paraId="6AABB7BF">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A1幢1单元(香榭丽花苑)</w:t>
            </w:r>
          </w:p>
        </w:tc>
        <w:tc>
          <w:tcPr>
            <w:tcW w:w="767" w:type="dxa"/>
            <w:tcBorders>
              <w:top w:val="double" w:color="auto" w:sz="4" w:space="0"/>
              <w:bottom w:val="single" w:color="auto" w:sz="4" w:space="0"/>
            </w:tcBorders>
            <w:shd w:val="clear" w:color="auto" w:fill="auto"/>
            <w:noWrap/>
            <w:vAlign w:val="center"/>
          </w:tcPr>
          <w:p w14:paraId="23142951">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1000</w:t>
            </w:r>
          </w:p>
        </w:tc>
        <w:tc>
          <w:tcPr>
            <w:tcW w:w="714" w:type="dxa"/>
            <w:tcBorders>
              <w:top w:val="double" w:color="auto" w:sz="4" w:space="0"/>
              <w:bottom w:val="single" w:color="auto" w:sz="4" w:space="0"/>
            </w:tcBorders>
            <w:shd w:val="clear" w:color="auto" w:fill="auto"/>
            <w:noWrap/>
            <w:vAlign w:val="center"/>
          </w:tcPr>
          <w:p w14:paraId="0498997A">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59059857">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11</w:t>
            </w:r>
          </w:p>
        </w:tc>
        <w:tc>
          <w:tcPr>
            <w:tcW w:w="571" w:type="dxa"/>
            <w:tcBorders>
              <w:top w:val="double" w:color="auto" w:sz="4" w:space="0"/>
              <w:bottom w:val="single" w:color="auto" w:sz="4" w:space="0"/>
            </w:tcBorders>
            <w:shd w:val="clear" w:color="auto" w:fill="auto"/>
            <w:noWrap/>
            <w:vAlign w:val="center"/>
          </w:tcPr>
          <w:p w14:paraId="70AE10ED">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6A7D4887">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45CC58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4B608F35">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18</w:t>
            </w:r>
          </w:p>
        </w:tc>
        <w:tc>
          <w:tcPr>
            <w:tcW w:w="3137" w:type="dxa"/>
            <w:tcBorders>
              <w:top w:val="double" w:color="auto" w:sz="4" w:space="0"/>
              <w:bottom w:val="single" w:color="auto" w:sz="4" w:space="0"/>
            </w:tcBorders>
            <w:shd w:val="clear" w:color="auto" w:fill="auto"/>
            <w:noWrap/>
            <w:vAlign w:val="center"/>
          </w:tcPr>
          <w:p w14:paraId="026418FC">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东城景苑 5#楼3单元</w:t>
            </w:r>
          </w:p>
        </w:tc>
        <w:tc>
          <w:tcPr>
            <w:tcW w:w="767" w:type="dxa"/>
            <w:tcBorders>
              <w:top w:val="double" w:color="auto" w:sz="4" w:space="0"/>
              <w:bottom w:val="single" w:color="auto" w:sz="4" w:space="0"/>
            </w:tcBorders>
            <w:shd w:val="clear" w:color="auto" w:fill="auto"/>
            <w:noWrap/>
            <w:vAlign w:val="center"/>
          </w:tcPr>
          <w:p w14:paraId="38EC548E">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2D5252C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29AD8283">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18</w:t>
            </w:r>
          </w:p>
        </w:tc>
        <w:tc>
          <w:tcPr>
            <w:tcW w:w="571" w:type="dxa"/>
            <w:tcBorders>
              <w:top w:val="double" w:color="auto" w:sz="4" w:space="0"/>
              <w:bottom w:val="single" w:color="auto" w:sz="4" w:space="0"/>
            </w:tcBorders>
            <w:shd w:val="clear" w:color="auto" w:fill="auto"/>
            <w:noWrap/>
            <w:vAlign w:val="center"/>
          </w:tcPr>
          <w:p w14:paraId="2B4D6237">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6D1BE6D1">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586B3E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64B4E9AF">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19</w:t>
            </w:r>
          </w:p>
        </w:tc>
        <w:tc>
          <w:tcPr>
            <w:tcW w:w="3137" w:type="dxa"/>
            <w:tcBorders>
              <w:top w:val="double" w:color="auto" w:sz="4" w:space="0"/>
              <w:bottom w:val="single" w:color="auto" w:sz="4" w:space="0"/>
            </w:tcBorders>
            <w:shd w:val="clear" w:color="auto" w:fill="auto"/>
            <w:noWrap/>
            <w:vAlign w:val="center"/>
          </w:tcPr>
          <w:p w14:paraId="6282C1C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东城景苑小区A4幢2单元</w:t>
            </w:r>
          </w:p>
        </w:tc>
        <w:tc>
          <w:tcPr>
            <w:tcW w:w="767" w:type="dxa"/>
            <w:tcBorders>
              <w:top w:val="double" w:color="auto" w:sz="4" w:space="0"/>
              <w:bottom w:val="single" w:color="auto" w:sz="4" w:space="0"/>
            </w:tcBorders>
            <w:shd w:val="clear" w:color="auto" w:fill="auto"/>
            <w:noWrap/>
            <w:vAlign w:val="center"/>
          </w:tcPr>
          <w:p w14:paraId="074F5C2C">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7F534C0F">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49A4CC51">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18</w:t>
            </w:r>
          </w:p>
        </w:tc>
        <w:tc>
          <w:tcPr>
            <w:tcW w:w="571" w:type="dxa"/>
            <w:tcBorders>
              <w:top w:val="double" w:color="auto" w:sz="4" w:space="0"/>
              <w:bottom w:val="single" w:color="auto" w:sz="4" w:space="0"/>
            </w:tcBorders>
            <w:shd w:val="clear" w:color="auto" w:fill="auto"/>
            <w:noWrap/>
            <w:vAlign w:val="center"/>
          </w:tcPr>
          <w:p w14:paraId="21C019A2">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26C19E65">
            <w:pPr>
              <w:jc w:val="center"/>
              <w:rPr>
                <w:rFonts w:hint="default"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36F8AA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314770C7">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20</w:t>
            </w:r>
          </w:p>
        </w:tc>
        <w:tc>
          <w:tcPr>
            <w:tcW w:w="3137" w:type="dxa"/>
            <w:tcBorders>
              <w:top w:val="double" w:color="auto" w:sz="4" w:space="0"/>
              <w:bottom w:val="single" w:color="auto" w:sz="4" w:space="0"/>
            </w:tcBorders>
            <w:shd w:val="clear" w:color="auto" w:fill="auto"/>
            <w:noWrap/>
            <w:vAlign w:val="center"/>
          </w:tcPr>
          <w:p w14:paraId="4592E1EE">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东城景苑小区A4幢一单元</w:t>
            </w:r>
          </w:p>
        </w:tc>
        <w:tc>
          <w:tcPr>
            <w:tcW w:w="767" w:type="dxa"/>
            <w:tcBorders>
              <w:top w:val="double" w:color="auto" w:sz="4" w:space="0"/>
              <w:bottom w:val="single" w:color="auto" w:sz="4" w:space="0"/>
            </w:tcBorders>
            <w:shd w:val="clear" w:color="auto" w:fill="auto"/>
            <w:noWrap/>
            <w:vAlign w:val="center"/>
          </w:tcPr>
          <w:p w14:paraId="4B6CEB2A">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62AE7523">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05DB252D">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18</w:t>
            </w:r>
          </w:p>
        </w:tc>
        <w:tc>
          <w:tcPr>
            <w:tcW w:w="571" w:type="dxa"/>
            <w:tcBorders>
              <w:top w:val="double" w:color="auto" w:sz="4" w:space="0"/>
              <w:bottom w:val="single" w:color="auto" w:sz="4" w:space="0"/>
            </w:tcBorders>
            <w:shd w:val="clear" w:color="auto" w:fill="auto"/>
            <w:noWrap/>
            <w:vAlign w:val="center"/>
          </w:tcPr>
          <w:p w14:paraId="353DB28A">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554763FA">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4FC182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6FBBD79A">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21</w:t>
            </w:r>
          </w:p>
        </w:tc>
        <w:tc>
          <w:tcPr>
            <w:tcW w:w="3137" w:type="dxa"/>
            <w:tcBorders>
              <w:top w:val="double" w:color="auto" w:sz="4" w:space="0"/>
              <w:bottom w:val="single" w:color="auto" w:sz="4" w:space="0"/>
            </w:tcBorders>
            <w:shd w:val="clear" w:color="auto" w:fill="auto"/>
            <w:noWrap/>
            <w:vAlign w:val="center"/>
          </w:tcPr>
          <w:p w14:paraId="752D0EC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东城景苑小区A5幢1单元</w:t>
            </w:r>
          </w:p>
        </w:tc>
        <w:tc>
          <w:tcPr>
            <w:tcW w:w="767" w:type="dxa"/>
            <w:tcBorders>
              <w:top w:val="double" w:color="auto" w:sz="4" w:space="0"/>
              <w:bottom w:val="single" w:color="auto" w:sz="4" w:space="0"/>
            </w:tcBorders>
            <w:shd w:val="clear" w:color="auto" w:fill="auto"/>
            <w:noWrap/>
            <w:vAlign w:val="center"/>
          </w:tcPr>
          <w:p w14:paraId="1D2B4AC9">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22C82D2E">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2126D47F">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18</w:t>
            </w:r>
          </w:p>
        </w:tc>
        <w:tc>
          <w:tcPr>
            <w:tcW w:w="571" w:type="dxa"/>
            <w:tcBorders>
              <w:top w:val="double" w:color="auto" w:sz="4" w:space="0"/>
              <w:bottom w:val="single" w:color="auto" w:sz="4" w:space="0"/>
            </w:tcBorders>
            <w:shd w:val="clear" w:color="auto" w:fill="auto"/>
            <w:noWrap/>
            <w:vAlign w:val="center"/>
          </w:tcPr>
          <w:p w14:paraId="74A0E51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2338322A">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1235F9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1A1C014B">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22</w:t>
            </w:r>
          </w:p>
        </w:tc>
        <w:tc>
          <w:tcPr>
            <w:tcW w:w="3137" w:type="dxa"/>
            <w:tcBorders>
              <w:top w:val="double" w:color="auto" w:sz="4" w:space="0"/>
              <w:bottom w:val="single" w:color="auto" w:sz="4" w:space="0"/>
            </w:tcBorders>
            <w:shd w:val="clear" w:color="auto" w:fill="auto"/>
            <w:noWrap/>
            <w:vAlign w:val="center"/>
          </w:tcPr>
          <w:p w14:paraId="20E2464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东城景苑 5#楼2单元</w:t>
            </w:r>
          </w:p>
        </w:tc>
        <w:tc>
          <w:tcPr>
            <w:tcW w:w="767" w:type="dxa"/>
            <w:tcBorders>
              <w:top w:val="double" w:color="auto" w:sz="4" w:space="0"/>
              <w:bottom w:val="single" w:color="auto" w:sz="4" w:space="0"/>
            </w:tcBorders>
            <w:shd w:val="clear" w:color="auto" w:fill="auto"/>
            <w:noWrap/>
            <w:vAlign w:val="center"/>
          </w:tcPr>
          <w:p w14:paraId="1FA7930A">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57C90313">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2ADEA606">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18</w:t>
            </w:r>
          </w:p>
        </w:tc>
        <w:tc>
          <w:tcPr>
            <w:tcW w:w="571" w:type="dxa"/>
            <w:tcBorders>
              <w:top w:val="double" w:color="auto" w:sz="4" w:space="0"/>
              <w:bottom w:val="single" w:color="auto" w:sz="4" w:space="0"/>
            </w:tcBorders>
            <w:shd w:val="clear" w:color="auto" w:fill="auto"/>
            <w:noWrap/>
            <w:vAlign w:val="center"/>
          </w:tcPr>
          <w:p w14:paraId="2BC358A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3F51EB6F">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4D4FA8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7A2480C0">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23</w:t>
            </w:r>
          </w:p>
        </w:tc>
        <w:tc>
          <w:tcPr>
            <w:tcW w:w="3137" w:type="dxa"/>
            <w:tcBorders>
              <w:top w:val="double" w:color="auto" w:sz="4" w:space="0"/>
              <w:bottom w:val="single" w:color="auto" w:sz="4" w:space="0"/>
            </w:tcBorders>
            <w:shd w:val="clear" w:color="auto" w:fill="auto"/>
            <w:noWrap/>
            <w:vAlign w:val="center"/>
          </w:tcPr>
          <w:p w14:paraId="089E63C0">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东城景苑小区2号楼三单元</w:t>
            </w:r>
          </w:p>
        </w:tc>
        <w:tc>
          <w:tcPr>
            <w:tcW w:w="767" w:type="dxa"/>
            <w:tcBorders>
              <w:top w:val="double" w:color="auto" w:sz="4" w:space="0"/>
              <w:bottom w:val="single" w:color="auto" w:sz="4" w:space="0"/>
            </w:tcBorders>
            <w:shd w:val="clear" w:color="auto" w:fill="auto"/>
            <w:noWrap/>
            <w:vAlign w:val="center"/>
          </w:tcPr>
          <w:p w14:paraId="4BD00E0E">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57E25AA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0EAE947E">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18</w:t>
            </w:r>
          </w:p>
        </w:tc>
        <w:tc>
          <w:tcPr>
            <w:tcW w:w="571" w:type="dxa"/>
            <w:tcBorders>
              <w:top w:val="double" w:color="auto" w:sz="4" w:space="0"/>
              <w:bottom w:val="single" w:color="auto" w:sz="4" w:space="0"/>
            </w:tcBorders>
            <w:shd w:val="clear" w:color="auto" w:fill="auto"/>
            <w:noWrap/>
            <w:vAlign w:val="center"/>
          </w:tcPr>
          <w:p w14:paraId="6B7BD2B3">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585B9CF9">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302E8E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37728395">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24</w:t>
            </w:r>
          </w:p>
        </w:tc>
        <w:tc>
          <w:tcPr>
            <w:tcW w:w="3137" w:type="dxa"/>
            <w:tcBorders>
              <w:top w:val="double" w:color="auto" w:sz="4" w:space="0"/>
              <w:bottom w:val="single" w:color="auto" w:sz="4" w:space="0"/>
            </w:tcBorders>
            <w:shd w:val="clear" w:color="auto" w:fill="auto"/>
            <w:noWrap/>
            <w:vAlign w:val="center"/>
          </w:tcPr>
          <w:p w14:paraId="74AAFEB3">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东城景苑小区2号楼一单元</w:t>
            </w:r>
          </w:p>
        </w:tc>
        <w:tc>
          <w:tcPr>
            <w:tcW w:w="767" w:type="dxa"/>
            <w:tcBorders>
              <w:top w:val="double" w:color="auto" w:sz="4" w:space="0"/>
              <w:bottom w:val="single" w:color="auto" w:sz="4" w:space="0"/>
            </w:tcBorders>
            <w:shd w:val="clear" w:color="auto" w:fill="auto"/>
            <w:noWrap/>
            <w:vAlign w:val="center"/>
          </w:tcPr>
          <w:p w14:paraId="7E3608BD">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211671BB">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6FA328D4">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18</w:t>
            </w:r>
          </w:p>
        </w:tc>
        <w:tc>
          <w:tcPr>
            <w:tcW w:w="571" w:type="dxa"/>
            <w:tcBorders>
              <w:top w:val="double" w:color="auto" w:sz="4" w:space="0"/>
              <w:bottom w:val="single" w:color="auto" w:sz="4" w:space="0"/>
            </w:tcBorders>
            <w:shd w:val="clear" w:color="auto" w:fill="auto"/>
            <w:noWrap/>
            <w:vAlign w:val="center"/>
          </w:tcPr>
          <w:p w14:paraId="5AAF6F1C">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0294F87F">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6AADBE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7535D25F">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25</w:t>
            </w:r>
          </w:p>
        </w:tc>
        <w:tc>
          <w:tcPr>
            <w:tcW w:w="3137" w:type="dxa"/>
            <w:tcBorders>
              <w:top w:val="double" w:color="auto" w:sz="4" w:space="0"/>
              <w:bottom w:val="single" w:color="auto" w:sz="4" w:space="0"/>
            </w:tcBorders>
            <w:shd w:val="clear" w:color="auto" w:fill="auto"/>
            <w:noWrap/>
            <w:vAlign w:val="center"/>
          </w:tcPr>
          <w:p w14:paraId="64664D93">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东城景苑小区3号楼二单元</w:t>
            </w:r>
          </w:p>
        </w:tc>
        <w:tc>
          <w:tcPr>
            <w:tcW w:w="767" w:type="dxa"/>
            <w:tcBorders>
              <w:top w:val="double" w:color="auto" w:sz="4" w:space="0"/>
              <w:bottom w:val="single" w:color="auto" w:sz="4" w:space="0"/>
            </w:tcBorders>
            <w:shd w:val="clear" w:color="auto" w:fill="auto"/>
            <w:noWrap/>
            <w:vAlign w:val="center"/>
          </w:tcPr>
          <w:p w14:paraId="66D80CEA">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6542B5BB">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69795BA2">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18</w:t>
            </w:r>
          </w:p>
        </w:tc>
        <w:tc>
          <w:tcPr>
            <w:tcW w:w="571" w:type="dxa"/>
            <w:tcBorders>
              <w:top w:val="double" w:color="auto" w:sz="4" w:space="0"/>
              <w:bottom w:val="single" w:color="auto" w:sz="4" w:space="0"/>
            </w:tcBorders>
            <w:shd w:val="clear" w:color="auto" w:fill="auto"/>
            <w:noWrap/>
            <w:vAlign w:val="center"/>
          </w:tcPr>
          <w:p w14:paraId="3330E916">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1C8867EE">
            <w:pPr>
              <w:jc w:val="center"/>
              <w:rPr>
                <w:rFonts w:hint="default"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2C2468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64F6FAF9">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26</w:t>
            </w:r>
          </w:p>
        </w:tc>
        <w:tc>
          <w:tcPr>
            <w:tcW w:w="3137" w:type="dxa"/>
            <w:tcBorders>
              <w:top w:val="double" w:color="auto" w:sz="4" w:space="0"/>
              <w:bottom w:val="single" w:color="auto" w:sz="4" w:space="0"/>
            </w:tcBorders>
            <w:shd w:val="clear" w:color="auto" w:fill="auto"/>
            <w:noWrap/>
            <w:vAlign w:val="center"/>
          </w:tcPr>
          <w:p w14:paraId="7B0C10DF">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东城景苑1号楼</w:t>
            </w:r>
          </w:p>
        </w:tc>
        <w:tc>
          <w:tcPr>
            <w:tcW w:w="767" w:type="dxa"/>
            <w:tcBorders>
              <w:top w:val="double" w:color="auto" w:sz="4" w:space="0"/>
              <w:bottom w:val="single" w:color="auto" w:sz="4" w:space="0"/>
            </w:tcBorders>
            <w:shd w:val="clear" w:color="auto" w:fill="auto"/>
            <w:noWrap/>
            <w:vAlign w:val="center"/>
          </w:tcPr>
          <w:p w14:paraId="4C54B056">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17E65947">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7621C123">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w:t>
            </w:r>
          </w:p>
        </w:tc>
        <w:tc>
          <w:tcPr>
            <w:tcW w:w="571" w:type="dxa"/>
            <w:tcBorders>
              <w:top w:val="double" w:color="auto" w:sz="4" w:space="0"/>
              <w:bottom w:val="single" w:color="auto" w:sz="4" w:space="0"/>
            </w:tcBorders>
            <w:shd w:val="clear" w:color="auto" w:fill="auto"/>
            <w:noWrap/>
            <w:vAlign w:val="center"/>
          </w:tcPr>
          <w:p w14:paraId="3C327766">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59AFDD1F">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043553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2FDD8C66">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27</w:t>
            </w:r>
          </w:p>
        </w:tc>
        <w:tc>
          <w:tcPr>
            <w:tcW w:w="3137" w:type="dxa"/>
            <w:tcBorders>
              <w:top w:val="double" w:color="auto" w:sz="4" w:space="0"/>
              <w:bottom w:val="single" w:color="auto" w:sz="4" w:space="0"/>
            </w:tcBorders>
            <w:shd w:val="clear" w:color="auto" w:fill="auto"/>
            <w:noWrap/>
            <w:vAlign w:val="center"/>
          </w:tcPr>
          <w:p w14:paraId="0DC38D0E">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东城景苑小区3号楼一单元</w:t>
            </w:r>
          </w:p>
        </w:tc>
        <w:tc>
          <w:tcPr>
            <w:tcW w:w="767" w:type="dxa"/>
            <w:tcBorders>
              <w:top w:val="double" w:color="auto" w:sz="4" w:space="0"/>
              <w:bottom w:val="single" w:color="auto" w:sz="4" w:space="0"/>
            </w:tcBorders>
            <w:shd w:val="clear" w:color="auto" w:fill="auto"/>
            <w:noWrap/>
            <w:vAlign w:val="center"/>
          </w:tcPr>
          <w:p w14:paraId="3A0093C8">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3DA6B0E7">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7895092F">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18</w:t>
            </w:r>
          </w:p>
        </w:tc>
        <w:tc>
          <w:tcPr>
            <w:tcW w:w="571" w:type="dxa"/>
            <w:tcBorders>
              <w:top w:val="double" w:color="auto" w:sz="4" w:space="0"/>
              <w:bottom w:val="single" w:color="auto" w:sz="4" w:space="0"/>
            </w:tcBorders>
            <w:shd w:val="clear" w:color="auto" w:fill="auto"/>
            <w:noWrap/>
            <w:vAlign w:val="center"/>
          </w:tcPr>
          <w:p w14:paraId="0F006069">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7C32CB57">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123C28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272F7EBA">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28</w:t>
            </w:r>
          </w:p>
        </w:tc>
        <w:tc>
          <w:tcPr>
            <w:tcW w:w="3137" w:type="dxa"/>
            <w:tcBorders>
              <w:top w:val="double" w:color="auto" w:sz="4" w:space="0"/>
              <w:bottom w:val="single" w:color="auto" w:sz="4" w:space="0"/>
            </w:tcBorders>
            <w:shd w:val="clear" w:color="auto" w:fill="auto"/>
            <w:noWrap/>
            <w:vAlign w:val="center"/>
          </w:tcPr>
          <w:p w14:paraId="47696CE4">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东城景苑2号楼二单元</w:t>
            </w:r>
          </w:p>
        </w:tc>
        <w:tc>
          <w:tcPr>
            <w:tcW w:w="767" w:type="dxa"/>
            <w:tcBorders>
              <w:top w:val="double" w:color="auto" w:sz="4" w:space="0"/>
              <w:bottom w:val="single" w:color="auto" w:sz="4" w:space="0"/>
            </w:tcBorders>
            <w:shd w:val="clear" w:color="auto" w:fill="auto"/>
            <w:noWrap/>
            <w:vAlign w:val="center"/>
          </w:tcPr>
          <w:p w14:paraId="5AF7095D">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558C6797">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5D9076DA">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18</w:t>
            </w:r>
          </w:p>
        </w:tc>
        <w:tc>
          <w:tcPr>
            <w:tcW w:w="571" w:type="dxa"/>
            <w:tcBorders>
              <w:top w:val="double" w:color="auto" w:sz="4" w:space="0"/>
              <w:bottom w:val="single" w:color="auto" w:sz="4" w:space="0"/>
            </w:tcBorders>
            <w:shd w:val="clear" w:color="auto" w:fill="auto"/>
            <w:noWrap/>
            <w:vAlign w:val="center"/>
          </w:tcPr>
          <w:p w14:paraId="79A401BB">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04D68C83">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002C7C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1CAF3531">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29</w:t>
            </w:r>
          </w:p>
        </w:tc>
        <w:tc>
          <w:tcPr>
            <w:tcW w:w="3137" w:type="dxa"/>
            <w:tcBorders>
              <w:top w:val="double" w:color="auto" w:sz="4" w:space="0"/>
              <w:bottom w:val="single" w:color="auto" w:sz="4" w:space="0"/>
            </w:tcBorders>
            <w:shd w:val="clear" w:color="auto" w:fill="auto"/>
            <w:noWrap/>
            <w:vAlign w:val="center"/>
          </w:tcPr>
          <w:p w14:paraId="1F260A86">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A栋西单元西梯（东方曼哈顿）</w:t>
            </w:r>
          </w:p>
        </w:tc>
        <w:tc>
          <w:tcPr>
            <w:tcW w:w="767" w:type="dxa"/>
            <w:tcBorders>
              <w:top w:val="double" w:color="auto" w:sz="4" w:space="0"/>
              <w:bottom w:val="single" w:color="auto" w:sz="4" w:space="0"/>
            </w:tcBorders>
            <w:shd w:val="clear" w:color="auto" w:fill="auto"/>
            <w:noWrap/>
            <w:vAlign w:val="center"/>
          </w:tcPr>
          <w:p w14:paraId="5EA304D0">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5DCDD9EF">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09CAA26A">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19</w:t>
            </w:r>
          </w:p>
        </w:tc>
        <w:tc>
          <w:tcPr>
            <w:tcW w:w="571" w:type="dxa"/>
            <w:tcBorders>
              <w:top w:val="double" w:color="auto" w:sz="4" w:space="0"/>
              <w:bottom w:val="single" w:color="auto" w:sz="4" w:space="0"/>
            </w:tcBorders>
            <w:shd w:val="clear" w:color="auto" w:fill="auto"/>
            <w:noWrap/>
            <w:vAlign w:val="center"/>
          </w:tcPr>
          <w:p w14:paraId="770D42B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48BEECAD">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7CB59D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3784290D">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30</w:t>
            </w:r>
          </w:p>
        </w:tc>
        <w:tc>
          <w:tcPr>
            <w:tcW w:w="3137" w:type="dxa"/>
            <w:tcBorders>
              <w:top w:val="double" w:color="auto" w:sz="4" w:space="0"/>
              <w:bottom w:val="single" w:color="auto" w:sz="4" w:space="0"/>
            </w:tcBorders>
            <w:shd w:val="clear" w:color="auto" w:fill="auto"/>
            <w:noWrap/>
            <w:vAlign w:val="center"/>
          </w:tcPr>
          <w:p w14:paraId="49A4E14B">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A栋东单元东梯（东方曼哈顿）</w:t>
            </w:r>
          </w:p>
        </w:tc>
        <w:tc>
          <w:tcPr>
            <w:tcW w:w="767" w:type="dxa"/>
            <w:tcBorders>
              <w:top w:val="double" w:color="auto" w:sz="4" w:space="0"/>
              <w:bottom w:val="single" w:color="auto" w:sz="4" w:space="0"/>
            </w:tcBorders>
            <w:shd w:val="clear" w:color="auto" w:fill="auto"/>
            <w:noWrap/>
            <w:vAlign w:val="center"/>
          </w:tcPr>
          <w:p w14:paraId="48EEA99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63CA7937">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42EC09E3">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19</w:t>
            </w:r>
          </w:p>
        </w:tc>
        <w:tc>
          <w:tcPr>
            <w:tcW w:w="571" w:type="dxa"/>
            <w:tcBorders>
              <w:top w:val="double" w:color="auto" w:sz="4" w:space="0"/>
              <w:bottom w:val="single" w:color="auto" w:sz="4" w:space="0"/>
            </w:tcBorders>
            <w:shd w:val="clear" w:color="auto" w:fill="auto"/>
            <w:noWrap/>
            <w:vAlign w:val="center"/>
          </w:tcPr>
          <w:p w14:paraId="29AD501B">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48ABAFC0">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3869CE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60AEABE5">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31</w:t>
            </w:r>
          </w:p>
        </w:tc>
        <w:tc>
          <w:tcPr>
            <w:tcW w:w="3137" w:type="dxa"/>
            <w:tcBorders>
              <w:top w:val="double" w:color="auto" w:sz="4" w:space="0"/>
              <w:bottom w:val="single" w:color="auto" w:sz="4" w:space="0"/>
            </w:tcBorders>
            <w:shd w:val="clear" w:color="auto" w:fill="auto"/>
            <w:noWrap/>
            <w:vAlign w:val="center"/>
          </w:tcPr>
          <w:p w14:paraId="74EA1DB6">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B栋东单元西梯（东方曼哈顿）</w:t>
            </w:r>
          </w:p>
        </w:tc>
        <w:tc>
          <w:tcPr>
            <w:tcW w:w="767" w:type="dxa"/>
            <w:tcBorders>
              <w:top w:val="double" w:color="auto" w:sz="4" w:space="0"/>
              <w:bottom w:val="single" w:color="auto" w:sz="4" w:space="0"/>
            </w:tcBorders>
            <w:shd w:val="clear" w:color="auto" w:fill="auto"/>
            <w:noWrap/>
            <w:vAlign w:val="center"/>
          </w:tcPr>
          <w:p w14:paraId="1F880460">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1FC8804E">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5148A58D">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22</w:t>
            </w:r>
          </w:p>
        </w:tc>
        <w:tc>
          <w:tcPr>
            <w:tcW w:w="571" w:type="dxa"/>
            <w:tcBorders>
              <w:top w:val="double" w:color="auto" w:sz="4" w:space="0"/>
              <w:bottom w:val="single" w:color="auto" w:sz="4" w:space="0"/>
            </w:tcBorders>
            <w:shd w:val="clear" w:color="auto" w:fill="auto"/>
            <w:noWrap/>
            <w:vAlign w:val="center"/>
          </w:tcPr>
          <w:p w14:paraId="4813C9ED">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27EBC44A">
            <w:pPr>
              <w:jc w:val="center"/>
              <w:rPr>
                <w:rFonts w:hint="default"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65A278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49B6A959">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32</w:t>
            </w:r>
          </w:p>
        </w:tc>
        <w:tc>
          <w:tcPr>
            <w:tcW w:w="3137" w:type="dxa"/>
            <w:tcBorders>
              <w:top w:val="double" w:color="auto" w:sz="4" w:space="0"/>
              <w:bottom w:val="single" w:color="auto" w:sz="4" w:space="0"/>
            </w:tcBorders>
            <w:shd w:val="clear" w:color="auto" w:fill="auto"/>
            <w:noWrap/>
            <w:vAlign w:val="center"/>
          </w:tcPr>
          <w:p w14:paraId="3EF915E6">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B栋西2（东方曼哈顿）</w:t>
            </w:r>
          </w:p>
        </w:tc>
        <w:tc>
          <w:tcPr>
            <w:tcW w:w="767" w:type="dxa"/>
            <w:tcBorders>
              <w:top w:val="double" w:color="auto" w:sz="4" w:space="0"/>
              <w:bottom w:val="single" w:color="auto" w:sz="4" w:space="0"/>
            </w:tcBorders>
            <w:shd w:val="clear" w:color="auto" w:fill="auto"/>
            <w:noWrap/>
            <w:vAlign w:val="center"/>
          </w:tcPr>
          <w:p w14:paraId="544C65BD">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074BC7E7">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5DB1E653">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22</w:t>
            </w:r>
          </w:p>
        </w:tc>
        <w:tc>
          <w:tcPr>
            <w:tcW w:w="571" w:type="dxa"/>
            <w:tcBorders>
              <w:top w:val="double" w:color="auto" w:sz="4" w:space="0"/>
              <w:bottom w:val="single" w:color="auto" w:sz="4" w:space="0"/>
            </w:tcBorders>
            <w:shd w:val="clear" w:color="auto" w:fill="auto"/>
            <w:noWrap/>
            <w:vAlign w:val="center"/>
          </w:tcPr>
          <w:p w14:paraId="01FED3C6">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2181EDF4">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69A437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0DCB9F72">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33</w:t>
            </w:r>
          </w:p>
        </w:tc>
        <w:tc>
          <w:tcPr>
            <w:tcW w:w="3137" w:type="dxa"/>
            <w:tcBorders>
              <w:top w:val="double" w:color="auto" w:sz="4" w:space="0"/>
              <w:bottom w:val="single" w:color="auto" w:sz="4" w:space="0"/>
            </w:tcBorders>
            <w:shd w:val="clear" w:color="auto" w:fill="auto"/>
            <w:noWrap/>
            <w:vAlign w:val="center"/>
          </w:tcPr>
          <w:p w14:paraId="0694FA5E">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B栋东单元东梯（东方曼哈顿）</w:t>
            </w:r>
          </w:p>
        </w:tc>
        <w:tc>
          <w:tcPr>
            <w:tcW w:w="767" w:type="dxa"/>
            <w:tcBorders>
              <w:top w:val="double" w:color="auto" w:sz="4" w:space="0"/>
              <w:bottom w:val="single" w:color="auto" w:sz="4" w:space="0"/>
            </w:tcBorders>
            <w:shd w:val="clear" w:color="auto" w:fill="auto"/>
            <w:noWrap/>
            <w:vAlign w:val="center"/>
          </w:tcPr>
          <w:p w14:paraId="2B3FBE69">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5FBB481D">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5F0AB3CC">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22</w:t>
            </w:r>
          </w:p>
        </w:tc>
        <w:tc>
          <w:tcPr>
            <w:tcW w:w="571" w:type="dxa"/>
            <w:tcBorders>
              <w:top w:val="double" w:color="auto" w:sz="4" w:space="0"/>
              <w:bottom w:val="single" w:color="auto" w:sz="4" w:space="0"/>
            </w:tcBorders>
            <w:shd w:val="clear" w:color="auto" w:fill="auto"/>
            <w:noWrap/>
            <w:vAlign w:val="center"/>
          </w:tcPr>
          <w:p w14:paraId="1D5A8CEB">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2565F583">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69D7D2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7B5FAB41">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34</w:t>
            </w:r>
          </w:p>
        </w:tc>
        <w:tc>
          <w:tcPr>
            <w:tcW w:w="3137" w:type="dxa"/>
            <w:tcBorders>
              <w:top w:val="double" w:color="auto" w:sz="4" w:space="0"/>
              <w:bottom w:val="single" w:color="auto" w:sz="4" w:space="0"/>
            </w:tcBorders>
            <w:shd w:val="clear" w:color="auto" w:fill="auto"/>
            <w:noWrap/>
            <w:vAlign w:val="center"/>
          </w:tcPr>
          <w:p w14:paraId="24DE0F9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B栋西单元西梯（东方曼哈顿）</w:t>
            </w:r>
          </w:p>
        </w:tc>
        <w:tc>
          <w:tcPr>
            <w:tcW w:w="767" w:type="dxa"/>
            <w:tcBorders>
              <w:top w:val="double" w:color="auto" w:sz="4" w:space="0"/>
              <w:bottom w:val="single" w:color="auto" w:sz="4" w:space="0"/>
            </w:tcBorders>
            <w:shd w:val="clear" w:color="auto" w:fill="auto"/>
            <w:noWrap/>
            <w:vAlign w:val="center"/>
          </w:tcPr>
          <w:p w14:paraId="7EBA8421">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0AED50C7">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21BA4F7E">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22</w:t>
            </w:r>
          </w:p>
        </w:tc>
        <w:tc>
          <w:tcPr>
            <w:tcW w:w="571" w:type="dxa"/>
            <w:tcBorders>
              <w:top w:val="double" w:color="auto" w:sz="4" w:space="0"/>
              <w:bottom w:val="single" w:color="auto" w:sz="4" w:space="0"/>
            </w:tcBorders>
            <w:shd w:val="clear" w:color="auto" w:fill="auto"/>
            <w:noWrap/>
            <w:vAlign w:val="center"/>
          </w:tcPr>
          <w:p w14:paraId="07DC8DFA">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3669E8A8">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05530B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40C2BA40">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35</w:t>
            </w:r>
          </w:p>
        </w:tc>
        <w:tc>
          <w:tcPr>
            <w:tcW w:w="3137" w:type="dxa"/>
            <w:tcBorders>
              <w:top w:val="double" w:color="auto" w:sz="4" w:space="0"/>
              <w:bottom w:val="single" w:color="auto" w:sz="4" w:space="0"/>
            </w:tcBorders>
            <w:shd w:val="clear" w:color="auto" w:fill="auto"/>
            <w:noWrap/>
            <w:vAlign w:val="center"/>
          </w:tcPr>
          <w:p w14:paraId="68DC4112">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A栋西单元东梯（东方曼哈顿）</w:t>
            </w:r>
          </w:p>
        </w:tc>
        <w:tc>
          <w:tcPr>
            <w:tcW w:w="767" w:type="dxa"/>
            <w:tcBorders>
              <w:top w:val="double" w:color="auto" w:sz="4" w:space="0"/>
              <w:bottom w:val="single" w:color="auto" w:sz="4" w:space="0"/>
            </w:tcBorders>
            <w:shd w:val="clear" w:color="auto" w:fill="auto"/>
            <w:noWrap/>
            <w:vAlign w:val="center"/>
          </w:tcPr>
          <w:p w14:paraId="122DB397">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7B6959AA">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5577556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19</w:t>
            </w:r>
          </w:p>
        </w:tc>
        <w:tc>
          <w:tcPr>
            <w:tcW w:w="571" w:type="dxa"/>
            <w:tcBorders>
              <w:top w:val="double" w:color="auto" w:sz="4" w:space="0"/>
              <w:bottom w:val="single" w:color="auto" w:sz="4" w:space="0"/>
            </w:tcBorders>
            <w:shd w:val="clear" w:color="auto" w:fill="auto"/>
            <w:noWrap/>
            <w:vAlign w:val="center"/>
          </w:tcPr>
          <w:p w14:paraId="097A2618">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2"/>
                <w:lang w:val="en-US" w:eastAsia="zh-CN" w:bidi="ar-SA"/>
              </w:rPr>
            </w:pPr>
            <w:r>
              <w:rPr>
                <w:rFonts w:ascii="宋体" w:hAnsi="宋体" w:eastAsia="宋体" w:cs="宋体"/>
                <w:color w:val="000000"/>
                <w:sz w:val="24"/>
              </w:rPr>
              <w:t>1</w:t>
            </w:r>
          </w:p>
        </w:tc>
        <w:tc>
          <w:tcPr>
            <w:tcW w:w="900" w:type="dxa"/>
            <w:tcBorders>
              <w:top w:val="double" w:color="auto" w:sz="4" w:space="0"/>
              <w:bottom w:val="single" w:color="auto" w:sz="4" w:space="0"/>
            </w:tcBorders>
            <w:shd w:val="clear" w:color="auto" w:fill="auto"/>
            <w:noWrap/>
            <w:vAlign w:val="center"/>
          </w:tcPr>
          <w:p w14:paraId="389E9DBF">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r w14:paraId="5AD837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4" w:hRule="exact"/>
          <w:jc w:val="center"/>
        </w:trPr>
        <w:tc>
          <w:tcPr>
            <w:tcW w:w="812" w:type="dxa"/>
            <w:tcBorders>
              <w:top w:val="double" w:color="auto" w:sz="4" w:space="0"/>
              <w:bottom w:val="single" w:color="auto" w:sz="4" w:space="0"/>
            </w:tcBorders>
            <w:noWrap/>
            <w:vAlign w:val="center"/>
          </w:tcPr>
          <w:p w14:paraId="5CF121D6">
            <w:pPr>
              <w:ind w:left="420" w:hanging="420"/>
              <w:jc w:val="center"/>
              <w:rPr>
                <w:rFonts w:hint="default" w:ascii="宋体" w:hAnsi="宋体" w:eastAsia="宋体" w:cs="宋体"/>
                <w:color w:val="auto"/>
                <w:kern w:val="2"/>
                <w:sz w:val="24"/>
                <w:lang w:val="en-US" w:eastAsia="zh-CN"/>
              </w:rPr>
            </w:pPr>
            <w:r>
              <w:rPr>
                <w:rFonts w:hint="eastAsia" w:ascii="宋体" w:hAnsi="宋体" w:cs="宋体"/>
                <w:color w:val="auto"/>
                <w:kern w:val="2"/>
                <w:sz w:val="24"/>
                <w:lang w:val="en-US" w:eastAsia="zh-CN"/>
              </w:rPr>
              <w:t>36</w:t>
            </w:r>
          </w:p>
        </w:tc>
        <w:tc>
          <w:tcPr>
            <w:tcW w:w="3137" w:type="dxa"/>
            <w:tcBorders>
              <w:top w:val="double" w:color="auto" w:sz="4" w:space="0"/>
              <w:bottom w:val="single" w:color="auto" w:sz="4" w:space="0"/>
            </w:tcBorders>
            <w:shd w:val="clear" w:color="auto" w:fill="auto"/>
            <w:noWrap/>
            <w:vAlign w:val="center"/>
          </w:tcPr>
          <w:p w14:paraId="0E004C56">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A栋东单元西梯（东方曼哈顿）</w:t>
            </w:r>
          </w:p>
        </w:tc>
        <w:tc>
          <w:tcPr>
            <w:tcW w:w="767" w:type="dxa"/>
            <w:tcBorders>
              <w:top w:val="double" w:color="auto" w:sz="4" w:space="0"/>
              <w:bottom w:val="single" w:color="auto" w:sz="4" w:space="0"/>
            </w:tcBorders>
            <w:shd w:val="clear" w:color="auto" w:fill="auto"/>
            <w:noWrap/>
            <w:vAlign w:val="center"/>
          </w:tcPr>
          <w:p w14:paraId="20B69E15">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800</w:t>
            </w:r>
          </w:p>
        </w:tc>
        <w:tc>
          <w:tcPr>
            <w:tcW w:w="714" w:type="dxa"/>
            <w:tcBorders>
              <w:top w:val="double" w:color="auto" w:sz="4" w:space="0"/>
              <w:bottom w:val="single" w:color="auto" w:sz="4" w:space="0"/>
            </w:tcBorders>
            <w:shd w:val="clear" w:color="auto" w:fill="auto"/>
            <w:noWrap/>
            <w:vAlign w:val="center"/>
          </w:tcPr>
          <w:p w14:paraId="22A98E63">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1.75</w:t>
            </w:r>
          </w:p>
        </w:tc>
        <w:tc>
          <w:tcPr>
            <w:tcW w:w="1292" w:type="dxa"/>
            <w:tcBorders>
              <w:top w:val="double" w:color="auto" w:sz="4" w:space="0"/>
              <w:bottom w:val="single" w:color="auto" w:sz="4" w:space="0"/>
            </w:tcBorders>
            <w:shd w:val="clear" w:color="auto" w:fill="auto"/>
            <w:noWrap/>
            <w:vAlign w:val="center"/>
          </w:tcPr>
          <w:p w14:paraId="4ED92E49">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ascii="宋体" w:hAnsi="宋体" w:eastAsia="宋体" w:cs="宋体"/>
                <w:color w:val="000000"/>
                <w:sz w:val="24"/>
                <w:szCs w:val="24"/>
                <w:lang w:val="en-US" w:eastAsia="zh-CN" w:bidi="ar-SA"/>
              </w:rPr>
            </w:pPr>
            <w:r>
              <w:rPr>
                <w:rFonts w:ascii="宋体" w:hAnsi="宋体" w:eastAsia="宋体" w:cs="宋体"/>
                <w:color w:val="000000"/>
                <w:sz w:val="24"/>
              </w:rPr>
              <w:t>19</w:t>
            </w:r>
          </w:p>
        </w:tc>
        <w:tc>
          <w:tcPr>
            <w:tcW w:w="571" w:type="dxa"/>
            <w:tcBorders>
              <w:top w:val="double" w:color="auto" w:sz="4" w:space="0"/>
              <w:bottom w:val="single" w:color="auto" w:sz="4" w:space="0"/>
            </w:tcBorders>
            <w:shd w:val="clear" w:color="auto" w:fill="auto"/>
            <w:noWrap/>
            <w:vAlign w:val="center"/>
          </w:tcPr>
          <w:p w14:paraId="1BBD82D1">
            <w:pPr>
              <w:pBdr>
                <w:top w:val="none" w:color="000000" w:sz="0" w:space="0"/>
                <w:left w:val="none" w:color="000000" w:sz="0" w:space="0"/>
                <w:bottom w:val="none" w:color="000000" w:sz="0" w:space="0"/>
                <w:right w:val="none" w:color="000000" w:sz="0" w:space="0"/>
              </w:pBdr>
              <w:spacing w:before="0" w:after="0" w:line="340" w:lineRule="atLeast"/>
              <w:ind w:left="0" w:leftChars="0" w:right="0" w:rightChars="0" w:firstLine="0" w:firstLineChars="0"/>
              <w:jc w:val="center"/>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lang w:val="en-US" w:eastAsia="zh-CN"/>
              </w:rPr>
              <w:t>1</w:t>
            </w:r>
          </w:p>
        </w:tc>
        <w:tc>
          <w:tcPr>
            <w:tcW w:w="900" w:type="dxa"/>
            <w:tcBorders>
              <w:top w:val="double" w:color="auto" w:sz="4" w:space="0"/>
              <w:bottom w:val="single" w:color="auto" w:sz="4" w:space="0"/>
            </w:tcBorders>
            <w:shd w:val="clear" w:color="auto" w:fill="auto"/>
            <w:noWrap/>
            <w:vAlign w:val="center"/>
          </w:tcPr>
          <w:p w14:paraId="14A8791C">
            <w:pPr>
              <w:jc w:val="center"/>
              <w:rPr>
                <w:rFonts w:ascii="宋体" w:hAnsi="宋体" w:eastAsia="宋体" w:cs="宋体"/>
                <w:color w:val="auto"/>
                <w:sz w:val="24"/>
                <w:szCs w:val="24"/>
                <w:lang w:val="en-US" w:eastAsia="zh-CN" w:bidi="ar-SA"/>
              </w:rPr>
            </w:pPr>
            <w:r>
              <w:rPr>
                <w:rFonts w:hint="eastAsia" w:ascii="宋体" w:hAnsi="宋体" w:cs="宋体"/>
                <w:color w:val="auto"/>
                <w:sz w:val="24"/>
                <w:lang w:val="en-US" w:eastAsia="zh-CN"/>
              </w:rPr>
              <w:t>10年</w:t>
            </w:r>
          </w:p>
        </w:tc>
      </w:tr>
    </w:tbl>
    <w:p w14:paraId="75EA0E33">
      <w:pPr>
        <w:spacing w:line="560" w:lineRule="exact"/>
        <w:jc w:val="left"/>
        <w:rPr>
          <w:rFonts w:ascii="宋体" w:hAnsi="宋体" w:cs="宋体"/>
          <w:b/>
          <w:bCs/>
          <w:color w:val="auto"/>
          <w:sz w:val="24"/>
        </w:rPr>
      </w:pPr>
      <w:r>
        <w:rPr>
          <w:rFonts w:hint="eastAsia" w:ascii="宋体" w:hAnsi="宋体" w:cs="宋体"/>
          <w:b/>
          <w:bCs/>
          <w:color w:val="auto"/>
          <w:sz w:val="24"/>
        </w:rPr>
        <w:t>九、维保工作外承担项目</w:t>
      </w:r>
    </w:p>
    <w:p w14:paraId="0C0072D4">
      <w:pPr>
        <w:tabs>
          <w:tab w:val="left" w:pos="720"/>
        </w:tabs>
        <w:spacing w:line="560" w:lineRule="exact"/>
        <w:ind w:firstLine="480" w:firstLineChars="200"/>
        <w:jc w:val="left"/>
        <w:rPr>
          <w:rFonts w:ascii="宋体" w:hAnsi="宋体" w:cs="宋体"/>
          <w:color w:val="auto"/>
          <w:sz w:val="24"/>
        </w:rPr>
      </w:pPr>
      <w:r>
        <w:rPr>
          <w:rFonts w:hint="eastAsia" w:ascii="宋体" w:hAnsi="宋体" w:cs="宋体"/>
          <w:color w:val="auto"/>
          <w:sz w:val="24"/>
        </w:rPr>
        <w:t>在正常的电梯维保工作外还应承担的工作包括：土建工程中的电梯井道壁、井道工字钢、井道灯、井道防水、井道隔离网、机房电源等附属设施的改造、修理、装饰、更换、电梯年检费、清理和维修等工作。</w:t>
      </w:r>
    </w:p>
    <w:p w14:paraId="624D2689">
      <w:pPr>
        <w:tabs>
          <w:tab w:val="left" w:pos="420"/>
          <w:tab w:val="left" w:pos="720"/>
        </w:tabs>
        <w:spacing w:line="560" w:lineRule="exact"/>
        <w:jc w:val="left"/>
        <w:rPr>
          <w:rFonts w:ascii="宋体" w:hAnsi="宋体" w:cs="宋体"/>
          <w:b/>
          <w:bCs/>
          <w:color w:val="auto"/>
          <w:sz w:val="24"/>
        </w:rPr>
      </w:pPr>
      <w:r>
        <w:rPr>
          <w:rFonts w:hint="eastAsia" w:ascii="宋体" w:hAnsi="宋体" w:cs="宋体"/>
          <w:b/>
          <w:bCs/>
          <w:color w:val="auto"/>
          <w:sz w:val="24"/>
        </w:rPr>
        <w:t>十、违约责任</w:t>
      </w:r>
    </w:p>
    <w:p w14:paraId="24A0DE00">
      <w:pPr>
        <w:tabs>
          <w:tab w:val="left" w:pos="720"/>
        </w:tabs>
        <w:spacing w:line="560" w:lineRule="exact"/>
        <w:ind w:firstLine="480" w:firstLineChars="200"/>
        <w:jc w:val="left"/>
        <w:rPr>
          <w:rFonts w:ascii="宋体" w:hAnsi="宋体" w:cs="宋体"/>
          <w:color w:val="auto"/>
          <w:sz w:val="24"/>
        </w:rPr>
      </w:pPr>
      <w:r>
        <w:rPr>
          <w:rFonts w:hint="eastAsia" w:ascii="宋体" w:hAnsi="宋体" w:cs="宋体"/>
          <w:color w:val="auto"/>
          <w:sz w:val="24"/>
        </w:rPr>
        <w:t>1、除不可抗力外，甲方未按约定按期、足额支付保养费或乙方未按合同规定履行保养义务，维保期内，淮安经济技术开发区钵池街道办事处对乙方进行服务考核，若考核不合格的，由采购人追偿或扣除相应年份的履约保证金。每年的履约保证金为合同价的10%/维保期年限。</w:t>
      </w:r>
    </w:p>
    <w:p w14:paraId="2972EB42">
      <w:pPr>
        <w:tabs>
          <w:tab w:val="left" w:pos="720"/>
        </w:tabs>
        <w:spacing w:line="560" w:lineRule="exact"/>
        <w:ind w:firstLine="480" w:firstLineChars="200"/>
        <w:jc w:val="left"/>
        <w:rPr>
          <w:rFonts w:ascii="宋体" w:hAnsi="宋体" w:cs="宋体"/>
          <w:color w:val="auto"/>
          <w:sz w:val="24"/>
        </w:rPr>
      </w:pPr>
      <w:r>
        <w:rPr>
          <w:rFonts w:hint="eastAsia" w:ascii="宋体" w:hAnsi="宋体" w:cs="宋体"/>
          <w:color w:val="auto"/>
          <w:sz w:val="24"/>
        </w:rPr>
        <w:t>2、约定期间届满之日起5个工作日内，甲方应将履约保证金退还乙方（无息）；逾期退还的，按中国人民银行同期贷款基准利率上浮20%后的利率支付超期资金占用费，但因乙方自身原因导致无法及时退还的除外。</w:t>
      </w:r>
    </w:p>
    <w:p w14:paraId="2CF5F349">
      <w:pPr>
        <w:tabs>
          <w:tab w:val="left" w:pos="720"/>
        </w:tabs>
        <w:spacing w:line="560" w:lineRule="exact"/>
        <w:ind w:firstLine="480" w:firstLineChars="200"/>
        <w:jc w:val="left"/>
        <w:rPr>
          <w:rFonts w:ascii="宋体" w:hAnsi="宋体" w:cs="宋体"/>
          <w:color w:val="auto"/>
          <w:sz w:val="24"/>
        </w:rPr>
      </w:pPr>
      <w:r>
        <w:rPr>
          <w:rFonts w:hint="eastAsia" w:ascii="宋体" w:hAnsi="宋体" w:cs="宋体"/>
          <w:color w:val="auto"/>
          <w:sz w:val="24"/>
        </w:rPr>
        <w:t>3、任何一方若在合同生效后无故解除合同或以实际行动表示不履行合同的，则需根据服务期内的市场保养价格对所有实际服务期结清保养费，且违约方应向守约方支付剩余年度履约保证金。</w:t>
      </w:r>
    </w:p>
    <w:p w14:paraId="3853994A">
      <w:pPr>
        <w:tabs>
          <w:tab w:val="left" w:pos="720"/>
        </w:tabs>
        <w:spacing w:line="560" w:lineRule="exact"/>
        <w:jc w:val="left"/>
        <w:rPr>
          <w:rFonts w:ascii="宋体" w:hAnsi="宋体" w:cs="宋体"/>
          <w:b/>
          <w:bCs/>
          <w:color w:val="auto"/>
          <w:sz w:val="24"/>
        </w:rPr>
      </w:pPr>
      <w:r>
        <w:rPr>
          <w:rFonts w:hint="eastAsia" w:ascii="宋体" w:hAnsi="宋体" w:cs="宋体"/>
          <w:b/>
          <w:bCs/>
          <w:color w:val="auto"/>
          <w:sz w:val="24"/>
        </w:rPr>
        <w:t>十一、其他</w:t>
      </w:r>
    </w:p>
    <w:p w14:paraId="2963D3BC">
      <w:pPr>
        <w:tabs>
          <w:tab w:val="left" w:pos="360"/>
          <w:tab w:val="left" w:pos="779"/>
        </w:tabs>
        <w:spacing w:line="560" w:lineRule="exact"/>
        <w:ind w:firstLine="480" w:firstLineChars="200"/>
        <w:jc w:val="left"/>
        <w:rPr>
          <w:rFonts w:ascii="宋体" w:hAnsi="宋体" w:cs="宋体"/>
          <w:color w:val="auto"/>
          <w:sz w:val="24"/>
        </w:rPr>
      </w:pPr>
      <w:r>
        <w:rPr>
          <w:rFonts w:hint="eastAsia" w:ascii="宋体" w:hAnsi="宋体" w:cs="宋体"/>
          <w:color w:val="auto"/>
          <w:sz w:val="24"/>
        </w:rPr>
        <w:t>1、服务期内，甲方需要增加电梯设备功能和改变性能时，或因国家颁布或修订有关标准而需对电梯设备进行改造时，甲乙双方应在另行签订《产品改造合同》后实施。</w:t>
      </w:r>
    </w:p>
    <w:p w14:paraId="33FCD917">
      <w:pPr>
        <w:tabs>
          <w:tab w:val="left" w:pos="360"/>
          <w:tab w:val="left" w:pos="779"/>
        </w:tabs>
        <w:spacing w:line="560" w:lineRule="exact"/>
        <w:ind w:firstLine="480" w:firstLineChars="200"/>
        <w:jc w:val="left"/>
        <w:rPr>
          <w:rFonts w:ascii="宋体" w:hAnsi="宋体" w:cs="宋体"/>
          <w:color w:val="auto"/>
          <w:sz w:val="24"/>
        </w:rPr>
      </w:pPr>
      <w:r>
        <w:rPr>
          <w:rFonts w:hint="eastAsia" w:ascii="宋体" w:hAnsi="宋体" w:cs="宋体"/>
          <w:color w:val="auto"/>
          <w:sz w:val="24"/>
        </w:rPr>
        <w:t>2、保养中产生的各类废弃物，由甲方负责按照当地环境管理法律法规及有关规定予以处理。</w:t>
      </w:r>
    </w:p>
    <w:p w14:paraId="4FC5117B">
      <w:pPr>
        <w:tabs>
          <w:tab w:val="left" w:pos="360"/>
          <w:tab w:val="left" w:pos="779"/>
        </w:tabs>
        <w:spacing w:line="560" w:lineRule="exact"/>
        <w:ind w:firstLine="480" w:firstLineChars="200"/>
        <w:jc w:val="left"/>
        <w:rPr>
          <w:rFonts w:ascii="宋体" w:hAnsi="宋体" w:cs="宋体"/>
          <w:color w:val="auto"/>
          <w:sz w:val="24"/>
        </w:rPr>
      </w:pPr>
      <w:r>
        <w:rPr>
          <w:rFonts w:hint="eastAsia" w:ascii="宋体" w:hAnsi="宋体" w:cs="宋体"/>
          <w:color w:val="auto"/>
          <w:sz w:val="24"/>
        </w:rPr>
        <w:t>3、因电梯设备属于特种设备，甲方同意将保养（包括另行维修、改造中）更换下的专用印板，交由乙方回收销毁，以保证废、旧专用印板不流入市场。</w:t>
      </w:r>
    </w:p>
    <w:p w14:paraId="1130F2EF">
      <w:pPr>
        <w:numPr>
          <w:ilvl w:val="0"/>
          <w:numId w:val="1"/>
        </w:numPr>
        <w:tabs>
          <w:tab w:val="left" w:pos="360"/>
          <w:tab w:val="left" w:pos="779"/>
        </w:tabs>
        <w:spacing w:line="560" w:lineRule="exact"/>
        <w:ind w:firstLine="480" w:firstLineChars="200"/>
        <w:jc w:val="left"/>
        <w:rPr>
          <w:rFonts w:ascii="宋体" w:hAnsi="宋体" w:cs="宋体"/>
          <w:color w:val="auto"/>
          <w:sz w:val="24"/>
        </w:rPr>
      </w:pPr>
      <w:r>
        <w:rPr>
          <w:rFonts w:hint="eastAsia" w:ascii="宋体" w:hAnsi="宋体" w:cs="宋体"/>
          <w:color w:val="auto"/>
          <w:sz w:val="24"/>
        </w:rPr>
        <w:t>合同签订后，需要对合同条款增加和更改的，或者要求提供本合同约定以外的服务时，甲乙双方应另行书面约定，经甲乙双方签字、盖章后生效。</w:t>
      </w:r>
    </w:p>
    <w:p w14:paraId="4C633651">
      <w:pPr>
        <w:tabs>
          <w:tab w:val="left" w:pos="839"/>
        </w:tabs>
        <w:spacing w:line="560" w:lineRule="exact"/>
        <w:ind w:firstLine="480" w:firstLineChars="200"/>
        <w:jc w:val="left"/>
        <w:rPr>
          <w:rFonts w:ascii="宋体" w:hAnsi="宋体" w:cs="宋体"/>
          <w:color w:val="auto"/>
          <w:sz w:val="24"/>
        </w:rPr>
      </w:pPr>
      <w:r>
        <w:rPr>
          <w:rFonts w:hint="eastAsia" w:ascii="宋体" w:hAnsi="宋体" w:cs="宋体"/>
          <w:color w:val="auto"/>
          <w:sz w:val="24"/>
        </w:rPr>
        <w:t>5、合同生效后，需要对原条款进行变更的，甲乙双方应另签“补充协议”，经双方签字、盖章后生效。</w:t>
      </w:r>
    </w:p>
    <w:p w14:paraId="0E58C3AB">
      <w:pPr>
        <w:tabs>
          <w:tab w:val="left" w:pos="839"/>
        </w:tabs>
        <w:spacing w:line="560" w:lineRule="exact"/>
        <w:ind w:firstLine="480" w:firstLineChars="200"/>
        <w:jc w:val="left"/>
        <w:rPr>
          <w:rFonts w:ascii="宋体" w:hAnsi="宋体" w:cs="宋体"/>
          <w:color w:val="auto"/>
          <w:sz w:val="24"/>
        </w:rPr>
      </w:pPr>
      <w:r>
        <w:rPr>
          <w:rFonts w:hint="eastAsia" w:ascii="宋体" w:hAnsi="宋体" w:cs="宋体"/>
          <w:color w:val="auto"/>
          <w:sz w:val="24"/>
        </w:rPr>
        <w:t>6、“产品保养年度作业计划表”（附件一）等其他与本合同有关协议、文件为本合同之附件，属本合同不可分割部分，具有同等效力。本合同及上述的协议、文件一经签署和确定，均取代之前的口头或其他书面的约定。</w:t>
      </w:r>
    </w:p>
    <w:p w14:paraId="70CC5AF3">
      <w:pPr>
        <w:numPr>
          <w:ilvl w:val="0"/>
          <w:numId w:val="2"/>
        </w:numPr>
        <w:tabs>
          <w:tab w:val="left" w:pos="360"/>
          <w:tab w:val="left" w:pos="779"/>
        </w:tabs>
        <w:spacing w:line="560" w:lineRule="exact"/>
        <w:ind w:left="0" w:firstLine="480" w:firstLineChars="200"/>
        <w:jc w:val="left"/>
        <w:rPr>
          <w:rFonts w:ascii="宋体" w:hAnsi="宋体" w:cs="宋体"/>
          <w:color w:val="auto"/>
          <w:sz w:val="24"/>
        </w:rPr>
      </w:pPr>
      <w:r>
        <w:rPr>
          <w:rFonts w:hint="eastAsia" w:ascii="宋体" w:hAnsi="宋体" w:cs="宋体"/>
          <w:color w:val="auto"/>
          <w:sz w:val="24"/>
        </w:rPr>
        <w:t>本合同届满前三个月，甲乙双方就合同是否续签进行协商。若本合同服务期满后，甲乙双方暂未及时续签《产品保养服务合同》，并且甲方需要乙方继续提供保养服务的，甲方需书面函告乙方暂按原合同条款执行保养服务一个月，并以此作为本合同的延续执行期，直至新的《产品保养服务合同》生效。若延续执行期届满时甲乙双方仍未续签，则本合同终止，且甲方应在七日内按服务期内保养价格付清保养费。</w:t>
      </w:r>
    </w:p>
    <w:p w14:paraId="777BD04E">
      <w:pPr>
        <w:numPr>
          <w:ilvl w:val="0"/>
          <w:numId w:val="2"/>
        </w:numPr>
        <w:tabs>
          <w:tab w:val="left" w:pos="360"/>
          <w:tab w:val="left" w:pos="779"/>
        </w:tabs>
        <w:spacing w:line="560" w:lineRule="exact"/>
        <w:ind w:left="0" w:firstLine="480" w:firstLineChars="200"/>
        <w:jc w:val="left"/>
        <w:rPr>
          <w:rFonts w:ascii="宋体" w:hAnsi="宋体" w:cs="宋体"/>
          <w:color w:val="auto"/>
          <w:sz w:val="24"/>
        </w:rPr>
      </w:pPr>
      <w:r>
        <w:rPr>
          <w:rFonts w:hint="eastAsia" w:ascii="宋体" w:hAnsi="宋体" w:cs="宋体"/>
          <w:color w:val="auto"/>
          <w:sz w:val="24"/>
        </w:rPr>
        <w:t>若在维保期内发生安全事故，停运而给甲方带来损失并书面提出赔偿要求的，应由政府主管部门介入并作出事故鉴定结论，或在政府主管部门不介入之时由甲乙双方共同委托有能力的第三方权威监测机构作鉴定。甲乙双方的安全责任及法律责任根据鉴定结论进行划分。对电梯设备发生的事故、或停运、或不正常运行，而直接造成人身伤害或该电梯损坏的，经政府主管部门鉴定确为乙方的保养责任所致，乙方应当按照法律规定进行赔偿，相关检测费用也由乙方承担。</w:t>
      </w:r>
    </w:p>
    <w:p w14:paraId="72D55304">
      <w:pPr>
        <w:tabs>
          <w:tab w:val="left" w:pos="360"/>
          <w:tab w:val="left" w:pos="779"/>
        </w:tabs>
        <w:spacing w:line="560" w:lineRule="exact"/>
        <w:ind w:firstLine="480" w:firstLineChars="200"/>
        <w:jc w:val="left"/>
        <w:rPr>
          <w:rFonts w:ascii="宋体" w:hAnsi="宋体" w:cs="宋体"/>
          <w:color w:val="auto"/>
          <w:sz w:val="24"/>
        </w:rPr>
      </w:pPr>
      <w:r>
        <w:rPr>
          <w:rFonts w:hint="eastAsia" w:ascii="宋体" w:hAnsi="宋体" w:cs="宋体"/>
          <w:color w:val="auto"/>
          <w:sz w:val="24"/>
        </w:rPr>
        <w:t>9、甲乙双方发生争议时，应先协商解决，协商不成，任何一方可依法向采购人所在地人民法院起诉。</w:t>
      </w:r>
    </w:p>
    <w:p w14:paraId="53A5B867">
      <w:pPr>
        <w:tabs>
          <w:tab w:val="left" w:pos="360"/>
          <w:tab w:val="left" w:pos="779"/>
        </w:tabs>
        <w:spacing w:line="560" w:lineRule="exact"/>
        <w:ind w:firstLine="480" w:firstLineChars="200"/>
        <w:jc w:val="left"/>
        <w:rPr>
          <w:rFonts w:ascii="宋体" w:hAnsi="宋体" w:cs="宋体"/>
          <w:color w:val="auto"/>
          <w:sz w:val="24"/>
        </w:rPr>
      </w:pPr>
      <w:r>
        <w:rPr>
          <w:rFonts w:hint="eastAsia" w:ascii="宋体" w:hAnsi="宋体" w:cs="宋体"/>
          <w:color w:val="auto"/>
          <w:sz w:val="24"/>
        </w:rPr>
        <w:t>10、本合同正本一式</w:t>
      </w:r>
      <w:r>
        <w:rPr>
          <w:rFonts w:hint="eastAsia" w:ascii="宋体" w:hAnsi="宋体" w:cs="宋体"/>
          <w:color w:val="auto"/>
          <w:sz w:val="24"/>
          <w:lang w:val="en-US" w:eastAsia="zh-CN"/>
        </w:rPr>
        <w:t>拾</w:t>
      </w:r>
      <w:r>
        <w:rPr>
          <w:rFonts w:hint="eastAsia" w:ascii="宋体" w:hAnsi="宋体" w:cs="宋体"/>
          <w:color w:val="auto"/>
          <w:sz w:val="24"/>
        </w:rPr>
        <w:t>份，</w:t>
      </w:r>
      <w:r>
        <w:rPr>
          <w:rFonts w:hint="eastAsia" w:ascii="宋体" w:hAnsi="宋体" w:cs="宋体"/>
          <w:color w:val="auto"/>
          <w:sz w:val="24"/>
          <w:lang w:val="en-US" w:eastAsia="zh-CN"/>
        </w:rPr>
        <w:t>五</w:t>
      </w:r>
      <w:r>
        <w:rPr>
          <w:rFonts w:hint="eastAsia" w:ascii="宋体" w:hAnsi="宋体" w:cs="宋体"/>
          <w:color w:val="auto"/>
          <w:sz w:val="24"/>
        </w:rPr>
        <w:t>方各持贰份。</w:t>
      </w:r>
    </w:p>
    <w:p w14:paraId="11E7F3EA">
      <w:pPr>
        <w:tabs>
          <w:tab w:val="left" w:pos="360"/>
          <w:tab w:val="left" w:pos="779"/>
        </w:tabs>
        <w:spacing w:line="560" w:lineRule="exact"/>
        <w:ind w:firstLine="480" w:firstLineChars="200"/>
        <w:jc w:val="left"/>
        <w:rPr>
          <w:rFonts w:ascii="宋体" w:hAnsi="宋体" w:cs="宋体"/>
          <w:color w:val="auto"/>
          <w:sz w:val="24"/>
        </w:rPr>
      </w:pPr>
    </w:p>
    <w:p w14:paraId="58B8D101">
      <w:pPr>
        <w:tabs>
          <w:tab w:val="left" w:pos="720"/>
        </w:tabs>
        <w:spacing w:line="560" w:lineRule="exact"/>
        <w:ind w:firstLine="241" w:firstLineChars="100"/>
        <w:jc w:val="left"/>
        <w:rPr>
          <w:rFonts w:ascii="宋体" w:hAnsi="宋体" w:cs="宋体"/>
          <w:color w:val="auto"/>
          <w:sz w:val="24"/>
        </w:rPr>
      </w:pPr>
      <w:r>
        <w:rPr>
          <w:rFonts w:hint="eastAsia" w:ascii="宋体" w:hAnsi="宋体" w:cs="宋体"/>
          <w:b/>
          <w:bCs/>
          <w:color w:val="auto"/>
          <w:sz w:val="24"/>
        </w:rPr>
        <w:t>附件一（产品保养年度作业计划表）</w:t>
      </w:r>
    </w:p>
    <w:p w14:paraId="0055FE4A">
      <w:pPr>
        <w:spacing w:line="480" w:lineRule="exact"/>
        <w:rPr>
          <w:rFonts w:hint="eastAsia" w:ascii="宋体" w:hAnsi="宋体" w:cs="宋体"/>
          <w:color w:val="auto"/>
          <w:sz w:val="24"/>
        </w:rPr>
      </w:pPr>
    </w:p>
    <w:p w14:paraId="3EC61CDE">
      <w:pPr>
        <w:spacing w:line="480" w:lineRule="exact"/>
        <w:rPr>
          <w:rFonts w:hint="eastAsia" w:ascii="宋体" w:hAnsi="宋体" w:cs="宋体"/>
          <w:color w:val="auto"/>
          <w:sz w:val="24"/>
        </w:rPr>
      </w:pPr>
    </w:p>
    <w:p w14:paraId="5FDF32DD">
      <w:pPr>
        <w:spacing w:line="480" w:lineRule="exact"/>
        <w:rPr>
          <w:rFonts w:hint="eastAsia" w:ascii="宋体" w:hAnsi="宋体" w:cs="宋体"/>
          <w:color w:val="auto"/>
          <w:sz w:val="24"/>
        </w:rPr>
      </w:pPr>
    </w:p>
    <w:p w14:paraId="1DD50852">
      <w:pPr>
        <w:spacing w:line="480" w:lineRule="exact"/>
        <w:rPr>
          <w:rFonts w:ascii="宋体" w:hAnsi="宋体" w:cs="宋体"/>
          <w:color w:val="auto"/>
          <w:sz w:val="32"/>
        </w:rPr>
        <w:sectPr>
          <w:headerReference r:id="rId5" w:type="default"/>
          <w:footerReference r:id="rId6" w:type="default"/>
          <w:pgSz w:w="11906" w:h="16838"/>
          <w:pgMar w:top="1361" w:right="1304" w:bottom="1134" w:left="1587" w:header="850" w:footer="992" w:gutter="0"/>
          <w:cols w:space="1701" w:num="1"/>
          <w:docGrid w:linePitch="360" w:charSpace="0"/>
        </w:sectPr>
      </w:pPr>
      <w:r>
        <w:rPr>
          <w:rFonts w:hint="eastAsia" w:ascii="宋体" w:hAnsi="宋体" w:cs="宋体"/>
          <w:color w:val="auto"/>
          <w:sz w:val="32"/>
        </w:rPr>
        <w:t>注：（此维保协议范本待特种设备安全监督管理的部门验收合格后签订）</w:t>
      </w:r>
    </w:p>
    <w:p w14:paraId="1075D95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908E7C9-A4FD-4854-9761-FA9F257D0C9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彩云">
    <w:panose1 w:val="02010800040101010101"/>
    <w:charset w:val="86"/>
    <w:family w:val="auto"/>
    <w:pitch w:val="default"/>
    <w:sig w:usb0="00000001" w:usb1="080F0000" w:usb2="00000000" w:usb3="00000000" w:csb0="00040000" w:csb1="00000000"/>
  </w:font>
  <w:font w:name="方正仿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创艺简仿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embedRegular r:id="rId2" w:fontKey="{6D3C9CC5-FD6D-40B7-B1BC-2B5812F6194A}"/>
  </w:font>
  <w:font w:name="仿宋_GB2312">
    <w:panose1 w:val="02010609030101010101"/>
    <w:charset w:val="86"/>
    <w:family w:val="modern"/>
    <w:pitch w:val="default"/>
    <w:sig w:usb0="00000001" w:usb1="080E0000" w:usb2="00000000" w:usb3="00000000" w:csb0="00040000" w:csb1="00000000"/>
    <w:embedRegular r:id="rId3" w:fontKey="{C595A3B1-C1ED-4FE0-A671-1ED247B390A9}"/>
  </w:font>
  <w:font w:name="方正仿宋_GB2312">
    <w:panose1 w:val="02000000000000000000"/>
    <w:charset w:val="86"/>
    <w:family w:val="auto"/>
    <w:pitch w:val="default"/>
    <w:sig w:usb0="A00002BF" w:usb1="184F6CFA" w:usb2="00000012" w:usb3="00000000" w:csb0="00040001" w:csb1="00000000"/>
    <w:embedRegular r:id="rId4" w:fontKey="{8EF85836-3275-4890-8D4F-AAD72D67F9CE}"/>
  </w:font>
  <w:font w:name="WPSEMBED2">
    <w:panose1 w:val="02010609030101010101"/>
    <w:charset w:val="86"/>
    <w:family w:val="auto"/>
    <w:pitch w:val="default"/>
    <w:sig w:usb0="00000001" w:usb1="080E0000" w:usb2="00000000" w:usb3="00000000" w:csb0="00040000" w:csb1="00000000"/>
  </w:font>
  <w:font w:name="KSOF025BBAAE">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8AE16">
    <w:pPr>
      <w:pStyle w:val="4"/>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39CBB96">
                          <w:pPr>
                            <w:pStyle w:val="4"/>
                            <w:jc w:val="center"/>
                          </w:pPr>
                          <w:r>
                            <w:fldChar w:fldCharType="begin"/>
                          </w:r>
                          <w:r>
                            <w:instrText xml:space="preserve">PAGE \* MERGEFORMAT</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739CBB96">
                    <w:pPr>
                      <w:pStyle w:val="4"/>
                      <w:jc w:val="center"/>
                    </w:pPr>
                    <w:r>
                      <w:fldChar w:fldCharType="begin"/>
                    </w:r>
                    <w:r>
                      <w:instrText xml:space="preserve">PAGE \* MERGEFORMAT</w:instrText>
                    </w:r>
                    <w:r>
                      <w:fldChar w:fldCharType="separate"/>
                    </w:r>
                    <w:r>
                      <w:t>44</w:t>
                    </w:r>
                    <w:r>
                      <w:fldChar w:fldCharType="end"/>
                    </w:r>
                  </w:p>
                </w:txbxContent>
              </v:textbox>
            </v:shape>
          </w:pict>
        </mc:Fallback>
      </mc:AlternateContent>
    </w:r>
  </w:p>
  <w:p w14:paraId="3786A4F0">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D891C">
    <w:pPr>
      <w:pStyle w:val="4"/>
      <w:tabs>
        <w:tab w:val="center" w:pos="4153"/>
        <w:tab w:val="right" w:pos="8306"/>
        <w:tab w:val="clear" w:pos="7143"/>
        <w:tab w:val="clear" w:pos="14287"/>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D3B800F">
                          <w:pPr>
                            <w:pStyle w:val="4"/>
                            <w:tabs>
                              <w:tab w:val="center" w:pos="4153"/>
                              <w:tab w:val="right" w:pos="8306"/>
                              <w:tab w:val="clear" w:pos="7143"/>
                              <w:tab w:val="clear" w:pos="14287"/>
                            </w:tabs>
                          </w:pPr>
                          <w:r>
                            <w:t xml:space="preserve">— </w:t>
                          </w:r>
                          <w:r>
                            <w:fldChar w:fldCharType="begin"/>
                          </w:r>
                          <w:r>
                            <w:instrText xml:space="preserve"> PAGE  \* MERGEFORMAT </w:instrText>
                          </w:r>
                          <w:r>
                            <w:fldChar w:fldCharType="separate"/>
                          </w:r>
                          <w:r>
                            <w:t>45</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14:paraId="2D3B800F">
                    <w:pPr>
                      <w:pStyle w:val="4"/>
                      <w:tabs>
                        <w:tab w:val="center" w:pos="4153"/>
                        <w:tab w:val="right" w:pos="8306"/>
                        <w:tab w:val="clear" w:pos="7143"/>
                        <w:tab w:val="clear" w:pos="14287"/>
                      </w:tabs>
                    </w:pPr>
                    <w:r>
                      <w:t xml:space="preserve">— </w:t>
                    </w:r>
                    <w:r>
                      <w:fldChar w:fldCharType="begin"/>
                    </w:r>
                    <w:r>
                      <w:instrText xml:space="preserve"> PAGE  \* MERGEFORMAT </w:instrText>
                    </w:r>
                    <w:r>
                      <w:fldChar w:fldCharType="separate"/>
                    </w:r>
                    <w:r>
                      <w:t>45</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7025A">
    <w:pPr>
      <w:pStyle w:val="15"/>
      <w:tabs>
        <w:tab w:val="left" w:pos="462"/>
      </w:tabs>
      <w:spacing w:before="13" w:line="179" w:lineRule="auto"/>
      <w:rPr>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9BF4A">
    <w:pPr>
      <w:pStyle w:val="5"/>
      <w:tabs>
        <w:tab w:val="center" w:pos="4153"/>
        <w:tab w:val="right" w:pos="8306"/>
        <w:tab w:val="clear" w:pos="7143"/>
        <w:tab w:val="clear" w:pos="14287"/>
      </w:tabs>
      <w:ind w:right="-483" w:rightChars="-23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2E1886"/>
    <w:multiLevelType w:val="singleLevel"/>
    <w:tmpl w:val="B72E1886"/>
    <w:lvl w:ilvl="0" w:tentative="0">
      <w:start w:val="4"/>
      <w:numFmt w:val="decimal"/>
      <w:suff w:val="nothing"/>
      <w:lvlText w:val="%1、"/>
      <w:lvlJc w:val="left"/>
    </w:lvl>
  </w:abstractNum>
  <w:abstractNum w:abstractNumId="1">
    <w:nsid w:val="01E3F508"/>
    <w:multiLevelType w:val="singleLevel"/>
    <w:tmpl w:val="01E3F508"/>
    <w:lvl w:ilvl="0" w:tentative="0">
      <w:start w:val="7"/>
      <w:numFmt w:val="decimal"/>
      <w:suff w:val="nothing"/>
      <w:lvlText w:val="%1、"/>
      <w:lvlJc w:val="left"/>
      <w:pPr>
        <w:ind w:left="499"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640CB8"/>
    <w:rsid w:val="01F30158"/>
    <w:rsid w:val="05CA4B30"/>
    <w:rsid w:val="068B1FEE"/>
    <w:rsid w:val="0EF05349"/>
    <w:rsid w:val="19E05512"/>
    <w:rsid w:val="265042DB"/>
    <w:rsid w:val="32915F4A"/>
    <w:rsid w:val="37B450EF"/>
    <w:rsid w:val="43640CB8"/>
    <w:rsid w:val="446C71FE"/>
    <w:rsid w:val="4E016FBE"/>
    <w:rsid w:val="4FC73A4E"/>
    <w:rsid w:val="502D10B0"/>
    <w:rsid w:val="53677E04"/>
    <w:rsid w:val="539918DD"/>
    <w:rsid w:val="610F0F57"/>
    <w:rsid w:val="709F2B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tabs>
        <w:tab w:val="left" w:pos="2020"/>
        <w:tab w:val="center" w:pos="4535"/>
      </w:tabs>
      <w:ind w:firstLine="420" w:firstLineChars="100"/>
    </w:pPr>
  </w:style>
  <w:style w:type="paragraph" w:styleId="3">
    <w:name w:val="Body Text"/>
    <w:basedOn w:val="1"/>
    <w:next w:val="1"/>
    <w:qFormat/>
    <w:uiPriority w:val="99"/>
    <w:pPr>
      <w:tabs>
        <w:tab w:val="left" w:pos="2020"/>
        <w:tab w:val="center" w:pos="4535"/>
      </w:tabs>
      <w:spacing w:line="500" w:lineRule="exact"/>
      <w:outlineLvl w:val="0"/>
    </w:pPr>
    <w:rPr>
      <w:rFonts w:ascii="华文彩云" w:hAnsi="宋体" w:eastAsia="华文彩云"/>
      <w:bCs/>
      <w:color w:val="000000"/>
      <w:sz w:val="28"/>
    </w:rPr>
  </w:style>
  <w:style w:type="paragraph" w:styleId="4">
    <w:name w:val="footer"/>
    <w:basedOn w:val="1"/>
    <w:unhideWhenUsed/>
    <w:qFormat/>
    <w:uiPriority w:val="99"/>
    <w:pPr>
      <w:tabs>
        <w:tab w:val="center" w:pos="7143"/>
        <w:tab w:val="right" w:pos="14287"/>
      </w:tabs>
    </w:pPr>
  </w:style>
  <w:style w:type="paragraph" w:styleId="5">
    <w:name w:val="header"/>
    <w:basedOn w:val="1"/>
    <w:unhideWhenUsed/>
    <w:qFormat/>
    <w:uiPriority w:val="99"/>
    <w:pPr>
      <w:tabs>
        <w:tab w:val="center" w:pos="7143"/>
        <w:tab w:val="right" w:pos="14287"/>
      </w:tabs>
    </w:pPr>
  </w:style>
  <w:style w:type="table" w:styleId="7">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9">
    <w:name w:val="样式1"/>
    <w:basedOn w:val="1"/>
    <w:qFormat/>
    <w:uiPriority w:val="0"/>
    <w:pPr>
      <w:tabs>
        <w:tab w:val="left" w:pos="1110"/>
      </w:tabs>
      <w:ind w:left="432" w:firstLine="288"/>
    </w:pPr>
    <w:rPr>
      <w:rFonts w:ascii="宋体" w:hAnsi="宋体"/>
      <w:szCs w:val="21"/>
    </w:rPr>
  </w:style>
  <w:style w:type="paragraph" w:customStyle="1" w:styleId="10">
    <w:name w:val="正文首行缩进 211"/>
    <w:basedOn w:val="11"/>
    <w:unhideWhenUsed/>
    <w:qFormat/>
    <w:uiPriority w:val="99"/>
    <w:pPr>
      <w:ind w:firstLine="420"/>
    </w:pPr>
    <w:rPr>
      <w:rFonts w:hint="eastAsia"/>
      <w:sz w:val="30"/>
    </w:rPr>
  </w:style>
  <w:style w:type="paragraph" w:customStyle="1" w:styleId="11">
    <w:name w:val="正文文本缩进11"/>
    <w:basedOn w:val="1"/>
    <w:next w:val="1"/>
    <w:qFormat/>
    <w:uiPriority w:val="0"/>
    <w:pPr>
      <w:spacing w:line="520" w:lineRule="atLeast"/>
      <w:ind w:left="570"/>
    </w:pPr>
    <w:rPr>
      <w:rFonts w:ascii="方正仿宋简体" w:hAnsi="创艺简仿宋" w:eastAsia="方正仿宋简体"/>
      <w:sz w:val="24"/>
    </w:rPr>
  </w:style>
  <w:style w:type="paragraph" w:customStyle="1" w:styleId="12">
    <w:name w:val="正文1"/>
    <w:basedOn w:val="9"/>
    <w:next w:val="13"/>
    <w:qFormat/>
    <w:uiPriority w:val="0"/>
    <w:rPr>
      <w:rFonts w:ascii="Calibri" w:hAnsi="Calibri" w:cs="Calibri"/>
    </w:rPr>
  </w:style>
  <w:style w:type="paragraph" w:customStyle="1" w:styleId="13">
    <w:name w:val="正文 A"/>
    <w:next w:val="12"/>
    <w:qFormat/>
    <w:uiPriority w:val="0"/>
    <w:pPr>
      <w:framePr w:wrap="around" w:vAnchor="margin" w:hAnchor="text" w:y="1"/>
      <w:widowControl w:val="0"/>
      <w:jc w:val="both"/>
    </w:pPr>
    <w:rPr>
      <w:rFonts w:ascii="Times New Roman" w:hAnsi="Times New Roman" w:eastAsia="Times New Roman" w:cs="Times New Roman"/>
      <w:color w:val="000000"/>
      <w:sz w:val="21"/>
      <w:szCs w:val="21"/>
      <w:lang w:val="en-US" w:eastAsia="zh-CN" w:bidi="ar-SA"/>
    </w:rPr>
  </w:style>
  <w:style w:type="paragraph" w:customStyle="1" w:styleId="14">
    <w:name w:val="正文首行缩进1"/>
    <w:basedOn w:val="15"/>
    <w:next w:val="16"/>
    <w:unhideWhenUsed/>
    <w:qFormat/>
    <w:uiPriority w:val="99"/>
    <w:pPr>
      <w:ind w:firstLine="420"/>
    </w:pPr>
    <w:rPr>
      <w:rFonts w:hint="eastAsia"/>
    </w:rPr>
  </w:style>
  <w:style w:type="paragraph" w:customStyle="1" w:styleId="15">
    <w:name w:val="正文文本11"/>
    <w:basedOn w:val="1"/>
    <w:qFormat/>
    <w:uiPriority w:val="0"/>
    <w:pPr>
      <w:spacing w:after="120"/>
    </w:pPr>
  </w:style>
  <w:style w:type="paragraph" w:customStyle="1" w:styleId="16">
    <w:name w:val="HTML 地址1"/>
    <w:basedOn w:val="1"/>
    <w:next w:val="1"/>
    <w:qFormat/>
    <w:uiPriority w:val="99"/>
    <w:pPr>
      <w:widowControl/>
      <w:jc w:val="left"/>
    </w:pPr>
    <w:rPr>
      <w:rFonts w:eastAsia="Times New Roman"/>
      <w:i/>
      <w:iCs/>
      <w:sz w:val="24"/>
      <w:szCs w:val="20"/>
    </w:rPr>
  </w:style>
  <w:style w:type="paragraph" w:customStyle="1" w:styleId="17">
    <w:name w:val="纯文本111"/>
    <w:basedOn w:val="1"/>
    <w:qFormat/>
    <w:uiPriority w:val="0"/>
    <w:rPr>
      <w:rFonts w:ascii="宋体" w:hAnsi="Courier New"/>
      <w:szCs w:val="20"/>
    </w:rPr>
  </w:style>
  <w:style w:type="paragraph" w:customStyle="1" w:styleId="18">
    <w:name w:val="p_12_宋体"/>
    <w:basedOn w:val="1"/>
    <w:qFormat/>
    <w:uiPriority w:val="0"/>
    <w:pPr>
      <w:widowControl/>
      <w:spacing w:line="276" w:lineRule="auto"/>
      <w:jc w:val="left"/>
    </w:pPr>
    <w:rPr>
      <w:rFonts w:hAnsi="宋体"/>
      <w:color w:val="000000"/>
      <w:sz w:val="24"/>
      <w:szCs w:val="22"/>
      <w:lang w:eastAsia="en-US"/>
    </w:rPr>
  </w:style>
  <w:style w:type="paragraph" w:customStyle="1" w:styleId="19">
    <w:name w:val="Default"/>
    <w:qFormat/>
    <w:uiPriority w:val="0"/>
    <w:pPr>
      <w:widowControl w:val="0"/>
    </w:pPr>
    <w:rPr>
      <w:rFonts w:ascii="仿宋" w:hAnsi="Times New Roman"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15986</Words>
  <Characters>17027</Characters>
  <Lines>0</Lines>
  <Paragraphs>0</Paragraphs>
  <TotalTime>6</TotalTime>
  <ScaleCrop>false</ScaleCrop>
  <LinksUpToDate>false</LinksUpToDate>
  <CharactersWithSpaces>17334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2026-08-14T01:16:00Z</dcterms:created>
  <dc:creator>SYX</dc:creator>
  <cp:lastModifiedBy>SYX</cp:lastModifiedBy>
  <dcterms:modified xsi:type="dcterms:W3CDTF">2026-09-09T01:07:44Z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7BEEDFC5EE684DEAA0E562C531C0431F_13</vt:lpwstr>
  </property>
  <property fmtid="{D5CDD505-2E9C-101B-9397-08002B2CF9AE}" pid="4" name="KSOTemplateDocerSaveRecord">
    <vt:lpwstr>eyJoZGlkIjoiN2Q1MTI4YTQyMmUwYWYyM2IwM2NhMmZjMDk0ZTZiODIiLCJ1c2VySWQiOiIzODYxNTA4NzkifQ==</vt:lpwstr>
  </property>
</Properties>
</file>