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0"/>
        <w:jc w:val="both"/>
        <w:rPr>
          <w:rFonts w:eastAsia="黑体"/>
          <w:b/>
          <w:bCs/>
          <w:color w:val="auto"/>
          <w:sz w:val="84"/>
          <w:highlight w:val="none"/>
        </w:rPr>
      </w:pPr>
      <w:r>
        <w:rPr>
          <w:rFonts w:eastAsia="黑体"/>
          <w:b/>
          <w:bCs/>
          <w:color w:val="auto"/>
          <w:sz w:val="84"/>
          <w:highlight w:val="none"/>
        </w:rPr>
      </w:r>
      <w:r/>
    </w:p>
    <w:p>
      <w:pPr>
        <w:pStyle w:val="1071"/>
        <w:ind w:firstLine="0"/>
        <w:jc w:val="center"/>
        <w:rPr>
          <w:rFonts w:hint="eastAsia" w:eastAsia="黑体"/>
          <w:b/>
          <w:bCs/>
          <w:color w:val="auto"/>
          <w:sz w:val="84"/>
          <w:highlight w:val="none"/>
          <w:lang w:val="en-US" w:eastAsia="zh-CN"/>
        </w:rPr>
      </w:pPr>
      <w:r>
        <w:rPr>
          <w:rFonts w:hint="eastAsia" w:eastAsia="黑体"/>
          <w:b/>
          <w:bCs/>
          <w:color w:val="auto"/>
          <w:sz w:val="84"/>
          <w:highlight w:val="none"/>
        </w:rPr>
        <w:t xml:space="preserve">招　标　文　件</w:t>
      </w:r>
      <w:r>
        <w:rPr>
          <w:rFonts w:hint="eastAsia" w:eastAsia="黑体"/>
          <w:b/>
          <w:bCs/>
          <w:color w:val="auto"/>
          <w:sz w:val="84"/>
          <w:highlight w:val="none"/>
          <w:lang w:val="en-US" w:eastAsia="zh-CN"/>
        </w:rPr>
        <w:t xml:space="preserve"> </w:t>
      </w:r>
      <w:r/>
    </w:p>
    <w:p>
      <w:pPr>
        <w:pStyle w:val="1071"/>
        <w:ind w:firstLine="0"/>
        <w:jc w:val="center"/>
        <w:rPr>
          <w:b/>
          <w:bCs/>
          <w:color w:val="auto"/>
          <w:sz w:val="32"/>
          <w:highlight w:val="none"/>
        </w:rPr>
      </w:pPr>
      <w:r>
        <w:rPr>
          <w:b/>
          <w:bCs/>
          <w:color w:val="auto"/>
          <w:sz w:val="32"/>
          <w:highlight w:val="none"/>
        </w:rPr>
      </w:r>
      <w:r/>
    </w:p>
    <w:p>
      <w:pPr>
        <w:pStyle w:val="1071"/>
        <w:ind w:firstLine="0"/>
        <w:jc w:val="center"/>
        <w:rPr>
          <w:b/>
          <w:bCs/>
          <w:color w:val="auto"/>
          <w:sz w:val="32"/>
          <w:highlight w:val="none"/>
        </w:rPr>
      </w:pPr>
      <w:r>
        <w:rPr>
          <w:b/>
          <w:bCs/>
          <w:color w:val="auto"/>
          <w:sz w:val="32"/>
          <w:highlight w:val="none"/>
        </w:rPr>
      </w:r>
      <w:r/>
    </w:p>
    <w:p>
      <w:pPr>
        <w:pStyle w:val="1071"/>
        <w:ind w:firstLine="0"/>
        <w:jc w:val="center"/>
        <w:rPr>
          <w:b/>
          <w:bCs/>
          <w:color w:val="auto"/>
          <w:sz w:val="32"/>
          <w:highlight w:val="none"/>
        </w:rPr>
      </w:pPr>
      <w:r>
        <w:rPr>
          <w:b/>
          <w:bCs/>
          <w:color w:val="auto"/>
          <w:sz w:val="32"/>
          <w:highlight w:val="none"/>
        </w:rPr>
      </w:r>
      <w:r/>
    </w:p>
    <w:p>
      <w:pPr>
        <w:pStyle w:val="1071"/>
        <w:ind w:firstLine="641"/>
        <w:jc w:val="both"/>
        <w:spacing w:before="0" w:after="0"/>
        <w:rPr>
          <w:rFonts w:hint="eastAsia" w:eastAsia="宋体"/>
          <w:b/>
          <w:bCs/>
          <w:color w:val="auto"/>
          <w:spacing w:val="-6"/>
          <w:sz w:val="32"/>
          <w:highlight w:val="none"/>
          <w:lang w:eastAsia="zh-CN"/>
        </w:rPr>
      </w:pPr>
      <w:r>
        <w:rPr>
          <w:rFonts w:hint="eastAsia"/>
          <w:b/>
          <w:bCs/>
          <w:color w:val="auto"/>
          <w:sz w:val="32"/>
          <w:highlight w:val="none"/>
        </w:rPr>
        <w:t xml:space="preserve">项目名称：</w:t>
      </w:r>
      <w:r>
        <w:rPr>
          <w:rFonts w:hint="eastAsia"/>
          <w:b/>
          <w:bCs/>
          <w:color w:val="auto"/>
          <w:spacing w:val="-6"/>
          <w:sz w:val="32"/>
          <w:highlight w:val="none"/>
          <w:lang w:eastAsia="zh-CN"/>
        </w:rPr>
        <w:t xml:space="preserve">连云港市第一人民医院高新院区、通灌院区保安服务（专门面向中小企业）</w:t>
      </w:r>
      <w:r/>
    </w:p>
    <w:p>
      <w:pPr>
        <w:ind w:firstLine="641"/>
        <w:spacing w:line="360" w:lineRule="auto"/>
        <w:rPr>
          <w:rFonts w:hint="eastAsia" w:eastAsia="宋体"/>
          <w:b/>
          <w:color w:val="auto"/>
          <w:sz w:val="30"/>
          <w:szCs w:val="30"/>
          <w:highlight w:val="none"/>
          <w:lang w:eastAsia="zh-CN"/>
        </w:rPr>
      </w:pPr>
      <w:r>
        <w:rPr>
          <w:rFonts w:hint="eastAsia"/>
          <w:b/>
          <w:bCs/>
          <w:color w:val="auto"/>
          <w:sz w:val="32"/>
          <w:highlight w:val="none"/>
        </w:rPr>
        <w:t xml:space="preserve">项目编号：JSZC-320700-ZCZC-G2026-0010</w:t>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ind w:firstLine="912"/>
        <w:spacing w:line="360" w:lineRule="auto"/>
        <w:rPr>
          <w:rFonts w:ascii="宋体" w:hAnsi="宋体"/>
          <w:bCs/>
          <w:color w:val="auto"/>
          <w:sz w:val="32"/>
          <w:szCs w:val="32"/>
          <w:highlight w:val="none"/>
        </w:rPr>
      </w:pPr>
      <w:r>
        <w:rPr>
          <w:rFonts w:hint="eastAsia" w:ascii="宋体" w:hAnsi="宋体"/>
          <w:bCs/>
          <w:color w:val="auto"/>
          <w:sz w:val="32"/>
          <w:szCs w:val="32"/>
          <w:highlight w:val="none"/>
        </w:rPr>
        <w:t xml:space="preserve">采   购   人：连云港市第一人民医院</w:t>
      </w:r>
      <w:r/>
    </w:p>
    <w:p>
      <w:pPr>
        <w:ind w:firstLine="912"/>
        <w:spacing w:line="36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江苏中诚工程管理有限公司</w:t>
      </w:r>
      <w:r/>
    </w:p>
    <w:p>
      <w:pPr>
        <w:pStyle w:val="1071"/>
        <w:ind w:firstLine="0"/>
        <w:jc w:val="center"/>
        <w:spacing w:before="0" w:after="0"/>
        <w:rPr>
          <w:color w:val="auto"/>
          <w:highlight w:val="none"/>
        </w:rPr>
      </w:pPr>
      <w:r>
        <w:rPr>
          <w:rFonts w:hint="eastAsia" w:ascii="宋体" w:hAnsi="宋体" w:cs="宋体"/>
          <w:bCs/>
          <w:color w:val="auto"/>
          <w:sz w:val="32"/>
          <w:szCs w:val="32"/>
          <w:highlight w:val="none"/>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8</w:t>
      </w:r>
      <w:r>
        <w:rPr>
          <w:rFonts w:hint="eastAsia" w:ascii="宋体" w:hAnsi="宋体" w:cs="宋体"/>
          <w:bCs/>
          <w:color w:val="auto"/>
          <w:sz w:val="32"/>
          <w:szCs w:val="32"/>
          <w:highlight w:val="none"/>
        </w:rPr>
        <w:t xml:space="preserve">月</w:t>
      </w:r>
      <w:r/>
    </w:p>
    <w:p>
      <w:pPr>
        <w:jc w:val="center"/>
        <w:spacing w:line="360" w:lineRule="auto"/>
        <w:rPr>
          <w:color w:val="auto"/>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23127445"/>
      <w:r/>
      <w:bookmarkStart w:id="3" w:name="_Toc513029200"/>
      <w:r/>
      <w:bookmarkStart w:id="4" w:name="_Toc479757206"/>
      <w:r/>
      <w:bookmarkStart w:id="5" w:name="_Toc20823272"/>
      <w:r/>
      <w:r/>
    </w:p>
    <w:p>
      <w:pPr>
        <w:jc w:val="center"/>
        <w:spacing w:line="480" w:lineRule="auto"/>
        <w:rPr>
          <w:rFonts w:ascii="黑体" w:hAnsi="Arial" w:eastAsia="黑体"/>
          <w:b/>
          <w:color w:val="auto"/>
          <w:sz w:val="44"/>
          <w:highlight w:val="none"/>
        </w:rPr>
        <w:outlineLvl w:val="0"/>
      </w:pPr>
      <w:r/>
      <w:bookmarkStart w:id="6" w:name="_Toc2559"/>
      <w:r/>
      <w:bookmarkStart w:id="7" w:name="_Toc3486"/>
      <w:r/>
      <w:bookmarkStart w:id="8" w:name="_Toc9045"/>
      <w:r>
        <w:rPr>
          <w:rFonts w:hint="eastAsia" w:ascii="黑体" w:hAnsi="Arial" w:eastAsia="黑体"/>
          <w:b/>
          <w:color w:val="auto"/>
          <w:sz w:val="44"/>
          <w:highlight w:val="none"/>
        </w:rPr>
        <w:t xml:space="preserve">总  目  录</w:t>
      </w:r>
      <w:bookmarkEnd w:id="6"/>
      <w:r/>
      <w:bookmarkEnd w:id="7"/>
      <w:r/>
      <w:bookmarkEnd w:id="8"/>
      <w:r/>
      <w:r/>
    </w:p>
    <w:p>
      <w:pPr>
        <w:pStyle w:val="799"/>
        <w:spacing w:line="360" w:lineRule="auto"/>
        <w:tabs>
          <w:tab w:val="right" w:pos="8953" w:leader="dot"/>
        </w:tabs>
        <w:rPr>
          <w:color w:val="auto"/>
          <w:sz w:val="24"/>
          <w:szCs w:val="24"/>
          <w:highlight w:val="none"/>
        </w:rPr>
      </w:pPr>
      <w:r>
        <w:rPr>
          <w:rFonts w:hint="eastAsia" w:ascii="仿宋_GB2312" w:hAnsi="Arial" w:eastAsia="仿宋_GB2312"/>
          <w:b/>
          <w:color w:val="0000ff"/>
          <w:sz w:val="36"/>
          <w:szCs w:val="24"/>
          <w:highlight w:val="none"/>
        </w:rPr>
        <w:fldChar w:fldCharType="begin"/>
      </w:r>
      <w:r>
        <w:rPr>
          <w:rFonts w:hint="eastAsia" w:ascii="仿宋_GB2312" w:hAnsi="Arial" w:eastAsia="仿宋_GB2312"/>
          <w:b/>
          <w:color w:val="0000ff"/>
          <w:sz w:val="36"/>
          <w:szCs w:val="24"/>
          <w:highlight w:val="none"/>
        </w:rPr>
        <w:instrText xml:space="preserve">TOC \o "1-3" \h \u </w:instrText>
      </w:r>
      <w:r>
        <w:rPr>
          <w:rFonts w:hint="eastAsia" w:ascii="仿宋_GB2312" w:hAnsi="Arial" w:eastAsia="仿宋_GB2312"/>
          <w:b/>
          <w:color w:val="0000ff"/>
          <w:sz w:val="36"/>
          <w:szCs w:val="24"/>
          <w:highlight w:val="none"/>
        </w:rPr>
        <w:fldChar w:fldCharType="separate"/>
      </w:r>
      <w:r>
        <w:rPr>
          <w:color w:val="auto"/>
          <w:sz w:val="24"/>
          <w:szCs w:val="24"/>
          <w:highlight w:val="none"/>
        </w:rPr>
        <w:fldChar w:fldCharType="begin"/>
      </w:r>
      <w:r>
        <w:rPr>
          <w:color w:val="auto"/>
          <w:sz w:val="24"/>
          <w:szCs w:val="24"/>
          <w:highlight w:val="none"/>
        </w:rPr>
        <w:instrText xml:space="preserve"> HYPERLINK \l "_Toc2801" </w:instrText>
      </w:r>
      <w:r>
        <w:rPr>
          <w:color w:val="auto"/>
          <w:sz w:val="24"/>
          <w:szCs w:val="24"/>
          <w:highlight w:val="none"/>
        </w:rPr>
        <w:fldChar w:fldCharType="separate"/>
      </w:r>
      <w:r>
        <w:rPr>
          <w:rFonts w:hint="eastAsia" w:ascii="黑体" w:eastAsia="黑体"/>
          <w:color w:val="auto"/>
          <w:sz w:val="24"/>
          <w:szCs w:val="52"/>
          <w:highlight w:val="none"/>
        </w:rPr>
        <w:t xml:space="preserve">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_Toc2801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rPr>
          <w:color w:val="auto"/>
        </w:rPr>
      </w:r>
      <w:r/>
    </w:p>
    <w:p>
      <w:pPr>
        <w:pStyle w:val="805"/>
        <w:ind w:left="0"/>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"_Toc6975" </w:instrText>
      </w:r>
      <w:r>
        <w:rPr>
          <w:color w:val="auto"/>
          <w:sz w:val="24"/>
          <w:szCs w:val="24"/>
          <w:highlight w:val="none"/>
        </w:rPr>
        <w:fldChar w:fldCharType="separate"/>
      </w:r>
      <w:r>
        <w:rPr>
          <w:rFonts w:hint="eastAsia" w:ascii="黑体" w:eastAsia="黑体"/>
          <w:color w:val="auto"/>
          <w:sz w:val="24"/>
          <w:szCs w:val="52"/>
          <w:highlight w:val="none"/>
        </w:rPr>
        <w:t xml:space="preserve">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_Toc6975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color w:val="auto"/>
          <w:sz w:val="24"/>
          <w:szCs w:val="24"/>
          <w:highlight w:val="none"/>
        </w:rPr>
        <w:fldChar w:fldCharType="end"/>
      </w:r>
      <w:r>
        <w:rPr>
          <w:color w:val="auto"/>
        </w:rPr>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"_Toc581" </w:instrText>
      </w:r>
      <w:r>
        <w:rPr>
          <w:color w:val="auto"/>
          <w:sz w:val="24"/>
          <w:szCs w:val="24"/>
          <w:highlight w:val="none"/>
        </w:rPr>
        <w:fldChar w:fldCharType="separate"/>
      </w:r>
      <w:r>
        <w:rPr>
          <w:rFonts w:hint="eastAsia" w:ascii="黑体" w:hAnsi="黑体" w:eastAsia="黑体"/>
          <w:bCs/>
          <w:color w:val="auto"/>
          <w:sz w:val="24"/>
          <w:szCs w:val="52"/>
          <w:highlight w:val="none"/>
        </w:rPr>
        <w:t xml:space="preserve">第三章  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_Toc581 \h </w:instrText>
      </w:r>
      <w:r>
        <w:rPr>
          <w:color w:val="auto"/>
          <w:sz w:val="24"/>
          <w:szCs w:val="24"/>
          <w:highlight w:val="none"/>
        </w:rPr>
        <w:fldChar w:fldCharType="separate"/>
      </w:r>
      <w:r>
        <w:rPr>
          <w:color w:val="auto"/>
          <w:sz w:val="24"/>
          <w:szCs w:val="24"/>
          <w:highlight w:val="none"/>
        </w:rPr>
        <w:t xml:space="preserve">19</w:t>
      </w:r>
      <w:r>
        <w:rPr>
          <w:color w:val="auto"/>
          <w:sz w:val="24"/>
          <w:szCs w:val="24"/>
          <w:highlight w:val="none"/>
        </w:rPr>
        <w:fldChar w:fldCharType="end"/>
      </w:r>
      <w:r>
        <w:rPr>
          <w:color w:val="auto"/>
          <w:sz w:val="24"/>
          <w:szCs w:val="24"/>
          <w:highlight w:val="none"/>
        </w:rPr>
        <w:fldChar w:fldCharType="end"/>
      </w:r>
      <w:r>
        <w:rPr>
          <w:color w:val="auto"/>
        </w:rPr>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"_Toc4663" </w:instrText>
      </w:r>
      <w:r>
        <w:rPr>
          <w:color w:val="auto"/>
          <w:sz w:val="24"/>
          <w:szCs w:val="24"/>
          <w:highlight w:val="none"/>
        </w:rPr>
        <w:fldChar w:fldCharType="separate"/>
      </w:r>
      <w:r>
        <w:rPr>
          <w:rFonts w:hint="eastAsia" w:ascii="黑体" w:eastAsia="黑体"/>
          <w:color w:val="auto"/>
          <w:sz w:val="24"/>
          <w:szCs w:val="52"/>
          <w:highlight w:val="none"/>
        </w:rPr>
        <w:t xml:space="preserve">第四章 </w:t>
      </w:r>
      <w:r>
        <w:rPr>
          <w:rFonts w:hint="eastAsia" w:ascii="黑体" w:eastAsia="黑体"/>
          <w:color w:val="auto"/>
          <w:sz w:val="24"/>
          <w:szCs w:val="52"/>
          <w:highlight w:val="none"/>
          <w:lang w:val="en-US" w:eastAsia="zh-CN"/>
        </w:rPr>
        <w:t xml:space="preserve"> </w:t>
      </w:r>
      <w:r>
        <w:rPr>
          <w:rFonts w:hint="eastAsia" w:ascii="黑体" w:eastAsia="黑体"/>
          <w:color w:val="auto"/>
          <w:sz w:val="24"/>
          <w:szCs w:val="52"/>
          <w:highlight w:val="none"/>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_Toc4663 \h </w:instrText>
      </w:r>
      <w:r>
        <w:rPr>
          <w:color w:val="auto"/>
          <w:sz w:val="24"/>
          <w:szCs w:val="24"/>
          <w:highlight w:val="none"/>
        </w:rPr>
        <w:fldChar w:fldCharType="separate"/>
      </w:r>
      <w:r>
        <w:rPr>
          <w:color w:val="auto"/>
          <w:sz w:val="24"/>
          <w:szCs w:val="24"/>
          <w:highlight w:val="none"/>
        </w:rPr>
        <w:t xml:space="preserve">19</w:t>
      </w:r>
      <w:r>
        <w:rPr>
          <w:color w:val="auto"/>
          <w:sz w:val="24"/>
          <w:szCs w:val="24"/>
          <w:highlight w:val="none"/>
        </w:rPr>
        <w:fldChar w:fldCharType="end"/>
      </w:r>
      <w:r>
        <w:rPr>
          <w:color w:val="auto"/>
          <w:sz w:val="24"/>
          <w:szCs w:val="24"/>
          <w:highlight w:val="none"/>
        </w:rPr>
        <w:fldChar w:fldCharType="end"/>
      </w:r>
      <w:r>
        <w:rPr>
          <w:color w:val="auto"/>
        </w:rPr>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"_Toc19583" </w:instrText>
      </w:r>
      <w:r>
        <w:rPr>
          <w:color w:val="auto"/>
          <w:sz w:val="24"/>
          <w:szCs w:val="24"/>
          <w:highlight w:val="none"/>
        </w:rPr>
        <w:fldChar w:fldCharType="separate"/>
      </w:r>
      <w:r>
        <w:rPr>
          <w:rFonts w:hint="eastAsia" w:ascii="黑体" w:eastAsia="黑体"/>
          <w:color w:val="auto"/>
          <w:sz w:val="24"/>
          <w:szCs w:val="52"/>
          <w:highlight w:val="none"/>
        </w:rPr>
        <w:t xml:space="preserve">第五章  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_Toc19583 \h </w:instrText>
      </w:r>
      <w:r>
        <w:rPr>
          <w:color w:val="auto"/>
          <w:sz w:val="24"/>
          <w:szCs w:val="24"/>
          <w:highlight w:val="none"/>
        </w:rPr>
        <w:fldChar w:fldCharType="separate"/>
      </w:r>
      <w:r>
        <w:rPr>
          <w:color w:val="auto"/>
          <w:sz w:val="24"/>
          <w:szCs w:val="24"/>
          <w:highlight w:val="none"/>
        </w:rPr>
        <w:t xml:space="preserve">72</w:t>
      </w:r>
      <w:r>
        <w:rPr>
          <w:color w:val="auto"/>
          <w:sz w:val="24"/>
          <w:szCs w:val="24"/>
          <w:highlight w:val="none"/>
        </w:rPr>
        <w:fldChar w:fldCharType="end"/>
      </w:r>
      <w:r>
        <w:rPr>
          <w:color w:val="auto"/>
          <w:sz w:val="24"/>
          <w:szCs w:val="24"/>
          <w:highlight w:val="none"/>
        </w:rPr>
        <w:fldChar w:fldCharType="end"/>
      </w:r>
      <w:r>
        <w:rPr>
          <w:color w:val="auto"/>
        </w:rPr>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"_Toc19647" </w:instrText>
      </w:r>
      <w:r>
        <w:rPr>
          <w:color w:val="auto"/>
          <w:sz w:val="24"/>
          <w:szCs w:val="24"/>
          <w:highlight w:val="none"/>
        </w:rPr>
        <w:fldChar w:fldCharType="separate"/>
      </w:r>
      <w:r>
        <w:rPr>
          <w:rFonts w:hint="eastAsia" w:ascii="黑体" w:eastAsia="黑体"/>
          <w:color w:val="auto"/>
          <w:sz w:val="24"/>
          <w:szCs w:val="52"/>
          <w:highlight w:val="none"/>
        </w:rPr>
        <w:t xml:space="preserve">第六章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_Toc19647 \h </w:instrText>
      </w:r>
      <w:r>
        <w:rPr>
          <w:color w:val="auto"/>
          <w:sz w:val="24"/>
          <w:szCs w:val="24"/>
          <w:highlight w:val="none"/>
        </w:rPr>
        <w:fldChar w:fldCharType="separate"/>
      </w:r>
      <w:r>
        <w:rPr>
          <w:color w:val="auto"/>
          <w:sz w:val="24"/>
          <w:szCs w:val="24"/>
          <w:highlight w:val="none"/>
        </w:rPr>
        <w:t xml:space="preserve">77</w:t>
      </w:r>
      <w:r>
        <w:rPr>
          <w:color w:val="auto"/>
          <w:sz w:val="24"/>
          <w:szCs w:val="24"/>
          <w:highlight w:val="none"/>
        </w:rPr>
        <w:fldChar w:fldCharType="end"/>
      </w:r>
      <w:r>
        <w:rPr>
          <w:color w:val="auto"/>
          <w:sz w:val="24"/>
          <w:szCs w:val="24"/>
          <w:highlight w:val="none"/>
        </w:rPr>
        <w:fldChar w:fldCharType="end"/>
      </w:r>
      <w:r>
        <w:rPr>
          <w:color w:val="auto"/>
        </w:rPr>
      </w:r>
      <w:r/>
    </w:p>
    <w:p>
      <w:pPr>
        <w:spacing w:line="360" w:lineRule="auto"/>
        <w:rPr>
          <w:rFonts w:ascii="仿宋_GB2312" w:hAnsi="Arial" w:eastAsia="仿宋_GB2312"/>
          <w:b/>
          <w:color w:val="auto"/>
          <w:sz w:val="36"/>
          <w:szCs w:val="24"/>
          <w:highlight w:val="none"/>
        </w:rPr>
      </w:pPr>
      <w:r>
        <w:rPr>
          <w:rFonts w:hint="eastAsia" w:ascii="仿宋_GB2312" w:hAnsi="Arial" w:eastAsia="仿宋_GB2312"/>
          <w:color w:val="0000ff"/>
          <w:sz w:val="24"/>
          <w:szCs w:val="24"/>
          <w:highlight w:val="none"/>
        </w:rPr>
        <w:fldChar w:fldCharType="end"/>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85"/>
        <w:rPr>
          <w:rFonts w:ascii="黑体" w:eastAsia="黑体"/>
          <w:color w:val="auto"/>
          <w:sz w:val="44"/>
          <w:szCs w:val="44"/>
          <w:highlight w:val="none"/>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85"/>
        <w:spacing w:line="360" w:lineRule="auto"/>
        <w:rPr>
          <w:rFonts w:ascii="黑体" w:eastAsia="黑体"/>
          <w:bCs/>
          <w:color w:val="auto"/>
          <w:sz w:val="44"/>
          <w:szCs w:val="44"/>
          <w:highlight w:val="none"/>
        </w:rPr>
      </w:pPr>
      <w:r/>
      <w:bookmarkStart w:id="10" w:name="_Toc2801"/>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9"/>
      <w:r/>
      <w:bookmarkEnd w:id="10"/>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连云港市第一人民医院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江苏中诚工程管理有限公司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连云港市第一人民医院高新院区、通灌院区保安服务（专门面向中小企业）</w:t>
      </w:r>
      <w:r>
        <w:rPr>
          <w:rFonts w:hint="eastAsia" w:ascii="宋体" w:hAnsi="宋体"/>
          <w:color w:val="auto"/>
          <w:sz w:val="24"/>
          <w:szCs w:val="24"/>
          <w:highlight w:val="none"/>
        </w:rPr>
        <w:t xml:space="preserve">(项目编号：JSZC-320700-ZCZC-G2026-0010)项目进行公开招标采购，欢迎符合条件的供应商投标。</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连云港市第一人民医院高新院区、通灌院区保安服务（专门面向中小企业）</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22</w:t>
      </w:r>
      <w:r>
        <w:rPr>
          <w:rFonts w:hint="eastAsia" w:ascii="宋体" w:hAnsi="宋体" w:cs="宋体"/>
          <w:color w:val="auto"/>
          <w:sz w:val="24"/>
          <w:szCs w:val="24"/>
          <w:highlight w:val="none"/>
          <w:u w:val="single"/>
        </w:rPr>
        <w:t xml:space="preserve">日9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87"/>
        <w:ind w:firstLine="498"/>
        <w:spacing w:before="0" w:after="0" w:line="360" w:lineRule="auto"/>
        <w:rPr>
          <w:color w:val="auto"/>
          <w:highlight w:val="none"/>
        </w:rPr>
      </w:pPr>
      <w:r/>
      <w:bookmarkStart w:id="11" w:name="_Toc28359079"/>
      <w:r/>
      <w:bookmarkStart w:id="12" w:name="_Hlk24379207"/>
      <w:r/>
      <w:bookmarkStart w:id="13" w:name="_Toc35393621"/>
      <w:r/>
      <w:bookmarkStart w:id="14" w:name="_Toc38985263"/>
      <w:r/>
      <w:bookmarkStart w:id="15" w:name="_Toc35393790"/>
      <w:r/>
      <w:bookmarkStart w:id="16" w:name="_Toc2245"/>
      <w:r/>
      <w:bookmarkStart w:id="17" w:name="_Toc16002"/>
      <w:r/>
      <w:bookmarkStart w:id="18" w:name="_Toc21136"/>
      <w:r/>
      <w:bookmarkStart w:id="19" w:name="_Toc28359002"/>
      <w:r>
        <w:rPr>
          <w:rFonts w:hint="eastAsia"/>
          <w:color w:val="auto"/>
          <w:highlight w:val="none"/>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1.项目编号：JSZC-320700-ZCZC-G2026-0010</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连云港市第一人民医院高新院区、通灌院区保安服务（专门面向中小企业）</w:t>
      </w:r>
      <w:r/>
    </w:p>
    <w:p>
      <w:pPr>
        <w:ind w:firstLine="480"/>
        <w:spacing w:line="360" w:lineRule="auto"/>
        <w:rPr>
          <w:rFonts w:hint="eastAsia" w:ascii="宋体" w:hAnsi="宋体" w:eastAsia="宋体"/>
          <w:b w:val="0"/>
          <w:bCs w:val="0"/>
          <w:color w:val="auto"/>
          <w:sz w:val="24"/>
          <w:szCs w:val="24"/>
          <w:highlight w:val="none"/>
          <w:lang w:eastAsia="zh-CN"/>
        </w:rPr>
      </w:pPr>
      <w:r>
        <w:rPr>
          <w:rFonts w:hint="eastAsia" w:ascii="宋体" w:hAnsi="宋体"/>
          <w:color w:val="auto"/>
          <w:sz w:val="24"/>
          <w:szCs w:val="24"/>
          <w:highlight w:val="none"/>
        </w:rPr>
        <w:t xml:space="preserve">3.预算金额：人</w:t>
      </w:r>
      <w:r>
        <w:rPr>
          <w:rFonts w:hint="eastAsia" w:ascii="宋体" w:hAnsi="宋体"/>
          <w:b w:val="0"/>
          <w:bCs w:val="0"/>
          <w:color w:val="auto"/>
          <w:sz w:val="24"/>
          <w:szCs w:val="24"/>
          <w:highlight w:val="none"/>
        </w:rPr>
        <w:t xml:space="preserve">民币</w:t>
      </w:r>
      <w:r>
        <w:rPr>
          <w:rFonts w:hint="eastAsia" w:ascii="宋体" w:hAnsi="宋体"/>
          <w:b w:val="0"/>
          <w:bCs w:val="0"/>
          <w:color w:val="auto"/>
          <w:sz w:val="24"/>
          <w:szCs w:val="24"/>
          <w:highlight w:val="none"/>
          <w:lang w:val="en-US" w:eastAsia="zh-CN"/>
        </w:rPr>
        <w:t xml:space="preserve">1669.44</w:t>
      </w:r>
      <w:r>
        <w:rPr>
          <w:rFonts w:hint="eastAsia" w:ascii="宋体" w:hAnsi="宋体"/>
          <w:b w:val="0"/>
          <w:bCs w:val="0"/>
          <w:color w:val="auto"/>
          <w:sz w:val="24"/>
          <w:szCs w:val="24"/>
          <w:highlight w:val="none"/>
        </w:rPr>
        <w:t xml:space="preserve">万元</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lang w:val="en-US" w:eastAsia="zh-CN"/>
        </w:rPr>
        <w:t xml:space="preserve">：连云港市第一人民医院高新院区保安服务（专门面向中小企业） </w:t>
      </w:r>
      <w:r>
        <w:rPr>
          <w:rFonts w:hint="eastAsia" w:ascii="宋体" w:hAnsi="宋体"/>
          <w:b w:val="0"/>
          <w:bCs w:val="0"/>
          <w:color w:val="auto"/>
          <w:sz w:val="24"/>
          <w:szCs w:val="24"/>
          <w:highlight w:val="none"/>
          <w:shd w:val="clear" w:color="auto" w:fill="auto"/>
          <w:lang w:val="en-US" w:eastAsia="zh-CN"/>
        </w:rPr>
        <w:t xml:space="preserve">项目预算：924.96万元</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lang w:val="en-US" w:eastAsia="zh-CN"/>
        </w:rPr>
        <w:t xml:space="preserve">：连云港市第一人民医院通灌院区保安服务（专门面向中小企业） </w:t>
      </w:r>
      <w:r>
        <w:rPr>
          <w:rFonts w:hint="eastAsia" w:ascii="宋体" w:hAnsi="宋体"/>
          <w:b w:val="0"/>
          <w:bCs w:val="0"/>
          <w:color w:val="auto"/>
          <w:sz w:val="24"/>
          <w:szCs w:val="24"/>
          <w:highlight w:val="none"/>
          <w:shd w:val="clear" w:color="auto" w:fill="auto"/>
          <w:lang w:val="en-US" w:eastAsia="zh-CN"/>
        </w:rPr>
        <w:t xml:space="preserve">项目预算：744.48 万元）</w:t>
      </w:r>
      <w:r>
        <w:rPr>
          <w:rFonts w:hint="eastAsia" w:ascii="宋体" w:hAnsi="宋体"/>
          <w:b w:val="0"/>
          <w:bCs w:val="0"/>
          <w:color w:val="auto"/>
          <w:sz w:val="24"/>
          <w:szCs w:val="24"/>
          <w:highlight w:val="none"/>
        </w:rPr>
        <w:t xml:space="preserve">，投标报价超过预算金额的投标无效</w:t>
      </w:r>
      <w:r>
        <w:rPr>
          <w:rFonts w:hint="eastAsia" w:ascii="宋体" w:hAnsi="宋体"/>
          <w:b w:val="0"/>
          <w:bCs w:val="0"/>
          <w:color w:val="auto"/>
          <w:sz w:val="24"/>
          <w:szCs w:val="24"/>
          <w:highlight w:val="none"/>
          <w:lang w:eastAsia="zh-CN"/>
        </w:rPr>
        <w:t xml:space="preserve">。</w:t>
      </w:r>
      <w:r/>
    </w:p>
    <w:p>
      <w:pPr>
        <w:ind w:firstLine="480"/>
        <w:pageBreakBefore w:val="0"/>
        <w:spacing w:line="360" w:lineRule="auto"/>
        <w:rPr>
          <w:rFonts w:ascii="宋体" w:hAnsi="宋体" w:eastAsia="宋体"/>
          <w:b w:val="0"/>
          <w:bCs w:val="0"/>
          <w:color w:val="auto"/>
          <w:sz w:val="24"/>
          <w:szCs w:val="24"/>
          <w:highlight w:val="none"/>
          <w:shd w:val="clear" w:color="auto" w:fill="auto"/>
          <w:lang w:val="en-US" w:eastAsia="zh-CN"/>
        </w:rPr>
      </w:pPr>
      <w:r>
        <w:rPr>
          <w:rFonts w:hint="eastAsia" w:ascii="宋体" w:hAnsi="宋体"/>
          <w:b w:val="0"/>
          <w:bCs w:val="0"/>
          <w:color w:val="auto"/>
          <w:sz w:val="24"/>
          <w:szCs w:val="24"/>
          <w:highlight w:val="none"/>
          <w:shd w:val="clear" w:color="auto" w:fill="auto"/>
          <w:lang w:val="en-US" w:eastAsia="zh-CN"/>
        </w:rPr>
        <w:t xml:space="preserve">4.最高限价：</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lang w:val="en-US" w:eastAsia="zh-CN"/>
        </w:rPr>
        <w:t xml:space="preserve">：连云港市第一人民医院高新院区保安服务（专门面向中小企业） </w:t>
      </w:r>
      <w:r>
        <w:rPr>
          <w:rFonts w:hint="eastAsia" w:ascii="宋体" w:hAnsi="宋体"/>
          <w:b w:val="0"/>
          <w:bCs w:val="0"/>
          <w:color w:val="auto"/>
          <w:sz w:val="24"/>
          <w:szCs w:val="24"/>
          <w:highlight w:val="none"/>
          <w:shd w:val="clear" w:color="auto" w:fill="auto"/>
          <w:lang w:val="en-US" w:eastAsia="zh-CN"/>
        </w:rPr>
        <w:t xml:space="preserve"> 最高限价： 924.96万元</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lang w:val="en-US" w:eastAsia="zh-CN"/>
        </w:rPr>
        <w:t xml:space="preserve">：连云港市第一人民医院通灌院区保安服务（专门面向中小企业） </w:t>
      </w:r>
      <w:r>
        <w:rPr>
          <w:rFonts w:hint="eastAsia" w:ascii="宋体" w:hAnsi="宋体"/>
          <w:b w:val="0"/>
          <w:bCs w:val="0"/>
          <w:color w:val="auto"/>
          <w:sz w:val="24"/>
          <w:szCs w:val="24"/>
          <w:highlight w:val="none"/>
          <w:shd w:val="clear" w:color="auto" w:fill="auto"/>
          <w:lang w:val="en-US" w:eastAsia="zh-CN"/>
        </w:rPr>
        <w:t xml:space="preserve">最高限价：744.48万元，各分包投标人所报的投标报价超过最高限价的投标无效</w:t>
      </w:r>
      <w:r>
        <w:rPr>
          <w:rFonts w:hint="eastAsia" w:ascii="宋体" w:hAnsi="宋体"/>
          <w:b w:val="0"/>
          <w:bCs w:val="0"/>
          <w:color w:val="auto"/>
          <w:sz w:val="24"/>
          <w:szCs w:val="24"/>
          <w:highlight w:val="none"/>
          <w:shd w:val="clear" w:color="auto" w:fill="auto"/>
        </w:rPr>
        <w:t xml:space="preserve">。</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采购需求（简介）：连云港市第一人民医院高新区院区、通灌院区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含口腔医院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的门卫值守、防火防盗巡查、建筑消防设施巡检、应急处突、消防控制室值守、纠纷处置、安检门值守等服务，具体内容详见第四章采购需求。</w:t>
      </w:r>
      <w:r/>
    </w:p>
    <w:p>
      <w:pPr>
        <w:ind w:firstLine="482"/>
        <w:spacing w:line="360" w:lineRule="auto"/>
        <w:rPr>
          <w:rFonts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.合同履行期限（服务期限）：</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年（合同约定时间起算）。</w:t>
      </w:r>
      <w:r/>
    </w:p>
    <w:p>
      <w:pPr>
        <w:ind w:firstLine="480"/>
        <w:spacing w:line="360" w:lineRule="auto"/>
        <w:rPr>
          <w:rFonts w:ascii="宋体" w:hAnsi="宋体"/>
          <w:bCs/>
          <w:color w:val="auto"/>
          <w:sz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w:t>
      </w:r>
      <w:r/>
    </w:p>
    <w:p>
      <w:pPr>
        <w:pStyle w:val="987"/>
        <w:ind w:firstLine="498"/>
        <w:spacing w:before="0" w:after="0" w:line="360" w:lineRule="auto"/>
        <w:rPr>
          <w:color w:val="auto"/>
          <w:highlight w:val="none"/>
        </w:rPr>
      </w:pPr>
      <w:r/>
      <w:bookmarkStart w:id="20" w:name="_Toc3796"/>
      <w:r/>
      <w:bookmarkStart w:id="21" w:name="_Toc1258"/>
      <w:r/>
      <w:bookmarkStart w:id="22" w:name="_Toc28359003"/>
      <w:r/>
      <w:bookmarkStart w:id="23" w:name="_Toc28359080"/>
      <w:r/>
      <w:bookmarkStart w:id="24" w:name="_Toc38985264"/>
      <w:r/>
      <w:bookmarkStart w:id="25" w:name="_Toc13820"/>
      <w:r/>
      <w:bookmarkStart w:id="26" w:name="_Toc35393791"/>
      <w:r/>
      <w:bookmarkStart w:id="27" w:name="_Toc35393622"/>
      <w:r>
        <w:rPr>
          <w:rFonts w:hint="eastAsia"/>
          <w:color w:val="auto"/>
          <w:highlight w:val="none"/>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color w:val="auto"/>
          <w:sz w:val="24"/>
          <w:szCs w:val="24"/>
          <w:highlight w:val="none"/>
        </w:rPr>
      </w:pPr>
      <w:r/>
      <w:bookmarkStart w:id="28" w:name="_Toc38985265"/>
      <w:r/>
      <w:bookmarkStart w:id="29" w:name="_Toc35393792"/>
      <w:r/>
      <w:bookmarkStart w:id="30" w:name="_Toc28359081"/>
      <w:r/>
      <w:bookmarkStart w:id="31" w:name="_Toc35393623"/>
      <w:r/>
      <w:bookmarkStart w:id="32"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（4）具备履行合同所必需的设备和专业技术能力的书面声明及证明材料；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b/>
          <w:bCs/>
          <w:color w:val="auto"/>
          <w:sz w:val="24"/>
          <w:szCs w:val="24"/>
          <w:highlight w:val="none"/>
          <w:lang w:eastAsia="zh-CN"/>
        </w:rPr>
      </w:pPr>
      <w:r>
        <w:rPr>
          <w:rFonts w:hint="eastAsia" w:ascii="宋体" w:hAnsi="宋体"/>
          <w:color w:val="auto"/>
          <w:sz w:val="24"/>
          <w:szCs w:val="24"/>
          <w:highlight w:val="none"/>
        </w:rPr>
        <w:t xml:space="preserve">3.落实政府采购政策需满足的资格要求：</w:t>
      </w:r>
      <w:r>
        <w:rPr>
          <w:rFonts w:hint="eastAsia" w:ascii="宋体" w:hAnsi="宋体"/>
          <w:b/>
          <w:bCs/>
          <w:color w:val="auto"/>
          <w:sz w:val="24"/>
          <w:szCs w:val="24"/>
          <w:highlight w:val="none"/>
          <w:lang w:eastAsia="zh-CN"/>
        </w:rPr>
        <w:t xml:space="preserve">执行财政部、工业和信息化部关于印发《政府采购促进中小企业发展管理办法》的通知（财库〔2020〕46号）等相关文件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szCs w:val="24"/>
          <w:highlight w:val="none"/>
        </w:rPr>
        <w:t xml:space="preserve">（二）本项目的特定资格要求：</w:t>
      </w:r>
      <w:r>
        <w:rPr>
          <w:rFonts w:hint="eastAsia" w:ascii="宋体" w:hAnsi="宋体"/>
          <w:b/>
          <w:bCs/>
          <w:color w:val="auto"/>
          <w:sz w:val="24"/>
          <w:highlight w:val="none"/>
        </w:rPr>
        <w:t xml:space="preserve">投标人具有国家公安机关部门颁发的《保安服务许可证》。</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投标文件中提供证书</w:t>
      </w:r>
      <w:r>
        <w:rPr>
          <w:rFonts w:hint="eastAsia" w:ascii="宋体" w:hAnsi="宋体"/>
          <w:b/>
          <w:bCs/>
          <w:color w:val="auto"/>
          <w:sz w:val="24"/>
          <w:highlight w:val="none"/>
          <w:lang w:eastAsia="zh-CN"/>
        </w:rPr>
        <w:t xml:space="preserve">原件</w:t>
      </w:r>
      <w:r>
        <w:rPr>
          <w:rFonts w:hint="eastAsia" w:ascii="宋体" w:hAnsi="宋体"/>
          <w:b/>
          <w:bCs/>
          <w:color w:val="auto"/>
          <w:sz w:val="24"/>
          <w:highlight w:val="none"/>
        </w:rPr>
        <w:t xml:space="preserve">扫描件并加盖公章，否则投标无效）</w:t>
      </w:r>
      <w:r>
        <w:rPr>
          <w:rFonts w:hint="eastAsia" w:ascii="宋体" w:hAnsi="宋体"/>
          <w:color w:val="auto"/>
          <w:sz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（三）本项目的其他资格要求：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1.单</w:t>
      </w:r>
      <w:r>
        <w:rPr>
          <w:rFonts w:hint="eastAsia" w:ascii="宋体" w:hAnsi="宋体"/>
          <w:color w:val="auto"/>
          <w:spacing w:val="-6"/>
          <w:sz w:val="24"/>
          <w:szCs w:val="24"/>
          <w:highlight w:val="none"/>
        </w:rPr>
        <w:t xml:space="preserve">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2.本项目中标后不允许转包。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3.法律、法规规定的其他条件。</w:t>
      </w:r>
      <w:r/>
    </w:p>
    <w:p>
      <w:pPr>
        <w:pStyle w:val="987"/>
        <w:ind w:firstLine="498"/>
        <w:spacing w:before="0" w:after="0" w:line="360" w:lineRule="auto"/>
        <w:rPr>
          <w:color w:val="auto"/>
          <w:highlight w:val="none"/>
        </w:rPr>
      </w:pPr>
      <w:r/>
      <w:bookmarkStart w:id="33" w:name="_Toc22630"/>
      <w:r/>
      <w:bookmarkStart w:id="34" w:name="_Toc11308"/>
      <w:r/>
      <w:bookmarkStart w:id="35" w:name="_Toc21470"/>
      <w:r>
        <w:rPr>
          <w:rFonts w:hint="eastAsia"/>
          <w:color w:val="auto"/>
          <w:highlight w:val="none"/>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color w:val="auto"/>
          <w:sz w:val="24"/>
          <w:szCs w:val="24"/>
          <w:highlight w:val="none"/>
        </w:rPr>
      </w:pPr>
      <w:r/>
      <w:bookmarkStart w:id="36" w:name="_Toc28359082"/>
      <w:r/>
      <w:bookmarkStart w:id="37" w:name="_Toc28359005"/>
      <w:r/>
      <w:bookmarkStart w:id="38" w:name="_Toc35393793"/>
      <w:r/>
      <w:bookmarkStart w:id="39" w:name="_Toc38985266"/>
      <w:r/>
      <w:bookmarkStart w:id="40" w:name="_Toc35393624"/>
      <w:r>
        <w:rPr>
          <w:rFonts w:hint="eastAsia" w:ascii="宋体" w:hAnsi="宋体" w:cs="宋体"/>
          <w:color w:val="auto"/>
          <w:sz w:val="24"/>
          <w:szCs w:val="24"/>
          <w:highlight w:val="none"/>
        </w:rPr>
        <w:t xml:space="preserve">1.时间：</w:t>
      </w:r>
      <w:r>
        <w:rPr>
          <w:rFonts w:hint="eastAsia" w:ascii="宋体" w:hAnsi="宋体" w:eastAsia="宋体" w:cs="宋体"/>
          <w:color w:val="auto"/>
          <w:sz w:val="24"/>
          <w:szCs w:val="24"/>
          <w:highlight w:val="none"/>
        </w:rPr>
        <w:t xml:space="preserve">自招标文件公告发布之日起5个工作日</w:t>
      </w:r>
      <w:r>
        <w:rPr>
          <w:rFonts w:hint="eastAsia" w:ascii="宋体" w:hAnsi="宋体" w:cs="宋体"/>
          <w:color w:val="auto"/>
          <w:sz w:val="24"/>
          <w:szCs w:val="24"/>
          <w:highlight w:val="none"/>
        </w:rPr>
        <w:t xml:space="preserve">。</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3.方式：登录</w:t>
      </w:r>
      <w:r>
        <w:rPr>
          <w:rFonts w:hint="eastAsia" w:ascii="宋体" w:hAnsi="宋体" w:cs="宋体"/>
          <w:color w:val="auto"/>
          <w:sz w:val="24"/>
          <w:szCs w:val="24"/>
          <w:highlight w:val="none"/>
          <w:lang w:eastAsia="zh-CN"/>
        </w:rPr>
        <w:t xml:space="preserve">https://jszfcg.jsczt.cn/jszc/login</w:t>
      </w:r>
      <w:r>
        <w:rPr>
          <w:rFonts w:hint="eastAsia" w:ascii="宋体" w:hAnsi="宋体" w:cs="宋体"/>
          <w:color w:val="auto"/>
          <w:sz w:val="24"/>
          <w:szCs w:val="24"/>
          <w:highlight w:val="none"/>
        </w:rPr>
        <w:t xml:space="preserve">或进入江苏政府采购网，点击“苏采云”进入系统，自行免费下载招标文件。</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987"/>
        <w:ind w:firstLine="498"/>
        <w:spacing w:before="0" w:after="0" w:line="360" w:lineRule="auto"/>
        <w:rPr>
          <w:color w:val="auto"/>
          <w:highlight w:val="none"/>
        </w:rPr>
      </w:pPr>
      <w:r/>
      <w:bookmarkStart w:id="41" w:name="_Toc20677"/>
      <w:r/>
      <w:bookmarkStart w:id="42" w:name="_Toc19306"/>
      <w:r/>
      <w:bookmarkStart w:id="43" w:name="_Toc14926"/>
      <w:r>
        <w:rPr>
          <w:rFonts w:hint="eastAsia"/>
          <w:color w:val="auto"/>
          <w:highlight w:val="none"/>
        </w:rPr>
        <w:t xml:space="preserve">四、提交投标文件</w:t>
      </w:r>
      <w:bookmarkEnd w:id="36"/>
      <w:r/>
      <w:bookmarkEnd w:id="37"/>
      <w:r>
        <w:rPr>
          <w:rFonts w:hint="eastAsia"/>
          <w:color w:val="auto"/>
          <w:highlight w:val="none"/>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1.提交投标文件截止时间：202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日9:00:00</w:t>
      </w:r>
      <w:r>
        <w:rPr>
          <w:rFonts w:hint="eastAsia" w:ascii="宋体" w:hAnsi="宋体"/>
          <w:bCs/>
          <w:color w:val="auto"/>
          <w:sz w:val="24"/>
          <w:szCs w:val="24"/>
          <w:highlight w:val="none"/>
        </w:rPr>
        <w:t xml:space="preserve">（北京时间）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2.开启时间：同提交投标文件截止时间</w:t>
      </w:r>
      <w:r/>
    </w:p>
    <w:p>
      <w:pPr>
        <w:ind w:firstLine="48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3.地点：“苏采云”政府采购交易系统网上开标大厅。</w:t>
      </w:r>
      <w:r/>
    </w:p>
    <w:p>
      <w:pPr>
        <w:pStyle w:val="987"/>
        <w:ind w:firstLine="498"/>
        <w:spacing w:before="0" w:after="0" w:line="360" w:lineRule="auto"/>
        <w:rPr>
          <w:color w:val="auto"/>
          <w:highlight w:val="none"/>
        </w:rPr>
      </w:pPr>
      <w:r/>
      <w:bookmarkStart w:id="44" w:name="_Toc5821"/>
      <w:r/>
      <w:bookmarkStart w:id="45" w:name="_Toc35393794"/>
      <w:r/>
      <w:bookmarkStart w:id="46" w:name="_Toc35393625"/>
      <w:r/>
      <w:bookmarkStart w:id="47" w:name="_Toc14305"/>
      <w:r/>
      <w:bookmarkStart w:id="48" w:name="_Toc16196"/>
      <w:r/>
      <w:bookmarkStart w:id="49" w:name="_Toc28359007"/>
      <w:r/>
      <w:bookmarkStart w:id="50" w:name="_Toc38985267"/>
      <w:r/>
      <w:bookmarkStart w:id="51" w:name="_Toc28359084"/>
      <w:r>
        <w:rPr>
          <w:rFonts w:hint="eastAsia"/>
          <w:color w:val="auto"/>
          <w:highlight w:val="none"/>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auto"/>
          <w:sz w:val="24"/>
          <w:szCs w:val="24"/>
          <w:highlight w:val="none"/>
        </w:rPr>
      </w:pPr>
      <w:r/>
      <w:bookmarkStart w:id="52" w:name="_Toc35393626"/>
      <w:r/>
      <w:bookmarkStart w:id="53" w:name="_Toc38985268"/>
      <w:r/>
      <w:bookmarkStart w:id="54" w:name="_Toc35393795"/>
      <w:r>
        <w:rPr>
          <w:rFonts w:hint="eastAsia" w:ascii="宋体" w:hAnsi="宋体" w:cs="宋体"/>
          <w:color w:val="auto"/>
          <w:sz w:val="24"/>
          <w:szCs w:val="24"/>
          <w:highlight w:val="none"/>
        </w:rPr>
        <w:t xml:space="preserve">自本公告发布之日起5个工作日。</w:t>
      </w:r>
      <w:r/>
    </w:p>
    <w:p>
      <w:pPr>
        <w:pStyle w:val="987"/>
        <w:ind w:firstLine="498"/>
        <w:spacing w:before="0" w:after="0" w:line="360" w:lineRule="auto"/>
        <w:rPr>
          <w:color w:val="auto"/>
          <w:highlight w:val="none"/>
        </w:rPr>
      </w:pPr>
      <w:r/>
      <w:bookmarkStart w:id="55" w:name="_Toc19730"/>
      <w:r/>
      <w:bookmarkStart w:id="56" w:name="_Toc24066"/>
      <w:r/>
      <w:bookmarkStart w:id="57" w:name="_Toc22483"/>
      <w:r>
        <w:rPr>
          <w:rFonts w:hint="eastAsia"/>
          <w:color w:val="auto"/>
          <w:highlight w:val="none"/>
        </w:rPr>
        <w:t xml:space="preserve">六、其他补充事宜</w:t>
      </w:r>
      <w:bookmarkEnd w:id="52"/>
      <w:r/>
      <w:bookmarkEnd w:id="53"/>
      <w:r/>
      <w:bookmarkEnd w:id="54"/>
      <w:r/>
      <w:bookmarkEnd w:id="55"/>
      <w:r/>
      <w:bookmarkEnd w:id="56"/>
      <w:r/>
      <w:bookmarkEnd w:id="57"/>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pStyle w:val="987"/>
        <w:ind w:firstLine="498"/>
        <w:spacing w:before="0" w:after="0" w:line="360" w:lineRule="auto"/>
        <w:rPr>
          <w:color w:val="auto"/>
          <w:highlight w:val="none"/>
        </w:rPr>
      </w:pPr>
      <w:r/>
      <w:bookmarkStart w:id="58" w:name="_Toc35393796"/>
      <w:r/>
      <w:bookmarkStart w:id="59" w:name="_Toc1500"/>
      <w:r/>
      <w:bookmarkStart w:id="60" w:name="_Toc28359085"/>
      <w:r/>
      <w:bookmarkStart w:id="61" w:name="_Toc28359008"/>
      <w:r/>
      <w:bookmarkStart w:id="62" w:name="_Toc35393627"/>
      <w:r/>
      <w:bookmarkStart w:id="63" w:name="_Toc5783"/>
      <w:r/>
      <w:bookmarkStart w:id="64" w:name="_Toc26205"/>
      <w:r/>
      <w:bookmarkStart w:id="65" w:name="_Toc38985269"/>
      <w:r>
        <w:rPr>
          <w:rFonts w:hint="eastAsia"/>
          <w:color w:val="auto"/>
          <w:highlight w:val="none"/>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名称：连云港市第一人民医院</w:t>
      </w:r>
      <w:r/>
    </w:p>
    <w:p>
      <w:pPr>
        <w:ind w:firstLine="72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地址：连云港市海州区振华东路6号</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苗</w:t>
      </w:r>
      <w:r>
        <w:rPr>
          <w:rFonts w:hint="eastAsia" w:ascii="宋体" w:hAnsi="宋体"/>
          <w:color w:val="auto"/>
          <w:sz w:val="24"/>
          <w:szCs w:val="24"/>
          <w:highlight w:val="none"/>
        </w:rPr>
        <w:t xml:space="preserve">老师</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66" w:name="_Toc28359086"/>
      <w:r/>
      <w:bookmarkStart w:id="67" w:name="_Toc28359009"/>
      <w:r>
        <w:rPr>
          <w:rFonts w:hint="eastAsia" w:ascii="宋体" w:hAnsi="宋体"/>
          <w:color w:val="auto"/>
          <w:sz w:val="24"/>
          <w:szCs w:val="24"/>
          <w:highlight w:val="none"/>
        </w:rPr>
        <w:t xml:space="preserve">18961325281</w:t>
      </w:r>
      <w:r/>
    </w:p>
    <w:p>
      <w:pPr>
        <w:ind w:firstLine="7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66"/>
      <w:r/>
      <w:bookmarkEnd w:id="67"/>
      <w:r>
        <w:rPr>
          <w:rFonts w:hint="eastAsia" w:ascii="宋体" w:hAnsi="宋体" w:cs="宋体"/>
          <w:color w:val="auto"/>
          <w:sz w:val="24"/>
          <w:szCs w:val="24"/>
          <w:highlight w:val="none"/>
        </w:rPr>
        <w:t xml:space="preserve">采购代理机构信息</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江苏中诚工程管理有限公司</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连云港市海州区通灌南路102号建院观筑大厦B座</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孙工</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68" w:name="_Toc28359010"/>
      <w:r/>
      <w:bookmarkStart w:id="69" w:name="_Toc28359087"/>
      <w:r>
        <w:rPr>
          <w:rFonts w:hint="eastAsia" w:ascii="宋体" w:hAnsi="宋体"/>
          <w:color w:val="auto"/>
          <w:sz w:val="24"/>
          <w:szCs w:val="24"/>
          <w:highlight w:val="none"/>
          <w:lang w:eastAsia="zh-CN"/>
        </w:rPr>
        <w:t xml:space="preserve">0518-81887004</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pStyle w:val="810"/>
        <w:ind w:firstLine="24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黄老师</w:t>
      </w:r>
      <w:r/>
    </w:p>
    <w:p>
      <w:pPr>
        <w:pStyle w:val="810"/>
        <w:ind w:firstLine="240"/>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电      话：</w:t>
      </w:r>
      <w:r>
        <w:rPr>
          <w:rFonts w:hint="eastAsia" w:ascii="宋体" w:hAnsi="宋体"/>
          <w:color w:val="auto"/>
          <w:sz w:val="24"/>
          <w:szCs w:val="24"/>
          <w:highlight w:val="none"/>
          <w:lang w:eastAsia="zh-CN"/>
        </w:rPr>
        <w:t xml:space="preserve">18961320565</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cs="宋体"/>
          <w:bCs/>
          <w:color w:val="auto"/>
          <w:sz w:val="24"/>
          <w:szCs w:val="24"/>
          <w:highlight w:val="none"/>
          <w:lang w:eastAsia="zh-CN"/>
        </w:rPr>
        <w:t xml:space="preserve">江苏中诚工程管理有限公司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pStyle w:val="811"/>
        <w:rPr>
          <w:rFonts w:hint="eastAsia"/>
          <w:color w:val="auto"/>
          <w:highlight w:val="none"/>
          <w:lang w:eastAsia="zh-CN"/>
        </w:rPr>
      </w:pPr>
      <w:r>
        <w:rPr>
          <w:rFonts w:hint="eastAsia"/>
          <w:color w:val="auto"/>
          <w:highlight w:val="none"/>
          <w:lang w:eastAsia="zh-CN"/>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bookmarkEnd w:id="68"/>
      <w:r/>
      <w:bookmarkEnd w:id="69"/>
      <w:r/>
      <w:r/>
    </w:p>
    <w:p>
      <w:pPr>
        <w:rPr>
          <w:rFonts w:ascii="宋体" w:hAnsi="宋体"/>
          <w:color w:val="auto"/>
          <w:sz w:val="24"/>
          <w:szCs w:val="24"/>
          <w:highlight w:val="none"/>
        </w:rPr>
      </w:pPr>
      <w:r>
        <w:rPr>
          <w:rFonts w:ascii="宋体" w:hAnsi="宋体"/>
          <w:color w:val="auto"/>
          <w:sz w:val="24"/>
          <w:szCs w:val="24"/>
          <w:highlight w:val="none"/>
        </w:rPr>
      </w:r>
      <w:r/>
    </w:p>
    <w:p>
      <w:pPr>
        <w:pStyle w:val="986"/>
        <w:spacing w:before="0" w:after="0" w:line="360" w:lineRule="auto"/>
        <w:rPr>
          <w:rFonts w:ascii="黑体" w:eastAsia="黑体"/>
          <w:b w:val="0"/>
          <w:bCs w:val="0"/>
          <w:color w:val="auto"/>
          <w:highlight w:val="none"/>
        </w:rPr>
      </w:pPr>
      <w:r/>
      <w:bookmarkStart w:id="70" w:name="_Toc120614211"/>
      <w:r/>
      <w:bookmarkStart w:id="71" w:name="_Toc6975"/>
      <w:r/>
      <w:bookmarkStart w:id="72" w:name="_Toc18854"/>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70"/>
      <w:r/>
      <w:bookmarkStart w:id="73" w:name="_Toc16938518"/>
      <w:r/>
      <w:bookmarkStart w:id="74" w:name="_Toc513029202"/>
      <w:r/>
      <w:bookmarkStart w:id="75" w:name="_Toc120614213"/>
      <w:r/>
      <w:bookmarkStart w:id="76" w:name="_Toc20823274"/>
      <w:r>
        <w:rPr>
          <w:rFonts w:hint="eastAsia" w:ascii="黑体" w:hAnsi="Times New Roman" w:eastAsia="黑体" w:cs="Times New Roman"/>
          <w:b w:val="0"/>
          <w:bCs w:val="0"/>
          <w:color w:val="auto"/>
          <w:highlight w:val="none"/>
        </w:rPr>
        <w:t xml:space="preserve">投标人须知</w:t>
      </w:r>
      <w:bookmarkEnd w:id="71"/>
      <w:r/>
      <w:bookmarkEnd w:id="72"/>
      <w:r/>
      <w:bookmarkEnd w:id="73"/>
      <w:r/>
      <w:bookmarkEnd w:id="74"/>
      <w:r/>
      <w:bookmarkEnd w:id="75"/>
      <w:r/>
      <w:bookmarkEnd w:id="76"/>
      <w:r/>
      <w:r/>
    </w:p>
    <w:p>
      <w:pPr>
        <w:pStyle w:val="987"/>
        <w:ind w:firstLine="498"/>
        <w:spacing w:before="0" w:after="0" w:line="360" w:lineRule="auto"/>
        <w:rPr>
          <w:color w:val="auto"/>
          <w:highlight w:val="none"/>
        </w:rPr>
      </w:pPr>
      <w:r/>
      <w:bookmarkStart w:id="77" w:name="_Toc513029203"/>
      <w:r/>
      <w:bookmarkStart w:id="78" w:name="_Toc6848"/>
      <w:r/>
      <w:bookmarkStart w:id="79" w:name="_Toc20823275"/>
      <w:r/>
      <w:bookmarkStart w:id="80" w:name="_Toc120614214"/>
      <w:r/>
      <w:bookmarkStart w:id="81" w:name="_Toc10415"/>
      <w:r/>
      <w:bookmarkStart w:id="82" w:name="_Toc16938519"/>
      <w:r/>
      <w:bookmarkStart w:id="83" w:name="_Toc1598"/>
      <w:r>
        <w:rPr>
          <w:rFonts w:hint="eastAsia"/>
          <w:color w:val="auto"/>
          <w:highlight w:val="none"/>
        </w:rPr>
        <w:t xml:space="preserve">一、总则</w:t>
      </w:r>
      <w:bookmarkEnd w:id="77"/>
      <w:r/>
      <w:bookmarkEnd w:id="78"/>
      <w:r/>
      <w:bookmarkEnd w:id="79"/>
      <w:r/>
      <w:bookmarkEnd w:id="80"/>
      <w:r/>
      <w:bookmarkEnd w:id="81"/>
      <w:r/>
      <w:bookmarkEnd w:id="82"/>
      <w:r/>
      <w:bookmarkEnd w:id="83"/>
      <w:r/>
      <w:r/>
    </w:p>
    <w:p>
      <w:pPr>
        <w:pStyle w:val="989"/>
        <w:ind w:firstLine="420"/>
        <w:spacing w:before="0" w:after="0" w:line="360" w:lineRule="auto"/>
        <w:rPr>
          <w:b w:val="0"/>
          <w:bCs w:val="0"/>
          <w:color w:val="auto"/>
          <w:highlight w:val="none"/>
        </w:rPr>
      </w:pPr>
      <w:r/>
      <w:bookmarkStart w:id="84" w:name="_Hlt16619475"/>
      <w:r/>
      <w:bookmarkEnd w:id="84"/>
      <w:r/>
      <w:bookmarkStart w:id="85" w:name="_Toc458694821"/>
      <w:r/>
      <w:bookmarkStart w:id="86" w:name="_Toc20823276"/>
      <w:r/>
      <w:bookmarkStart w:id="87" w:name="_Toc513029204"/>
      <w:r/>
      <w:bookmarkStart w:id="88" w:name="_Toc16938520"/>
      <w:r>
        <w:rPr>
          <w:rFonts w:hint="eastAsia"/>
          <w:b w:val="0"/>
          <w:bCs w:val="0"/>
          <w:color w:val="auto"/>
          <w:highlight w:val="none"/>
        </w:rPr>
        <w:t xml:space="preserve">1</w:t>
      </w:r>
      <w:bookmarkEnd w:id="85"/>
      <w:r>
        <w:rPr>
          <w:rFonts w:hint="eastAsia"/>
          <w:b w:val="0"/>
          <w:bCs w:val="0"/>
          <w:color w:val="auto"/>
          <w:highlight w:val="none"/>
        </w:rPr>
        <w:t xml:space="preserve">、招标方式</w:t>
      </w:r>
      <w:bookmarkEnd w:id="86"/>
      <w:r/>
      <w:bookmarkEnd w:id="87"/>
      <w:r/>
      <w:bookmarkEnd w:id="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89"/>
        <w:ind w:firstLine="420"/>
        <w:spacing w:before="0" w:after="0" w:line="360" w:lineRule="auto"/>
        <w:rPr>
          <w:b w:val="0"/>
          <w:bCs w:val="0"/>
          <w:color w:val="auto"/>
          <w:highlight w:val="none"/>
        </w:rPr>
      </w:pPr>
      <w:r/>
      <w:bookmarkStart w:id="89" w:name="_Toc20823277"/>
      <w:r/>
      <w:bookmarkStart w:id="90" w:name="_Toc513029205"/>
      <w:r/>
      <w:bookmarkStart w:id="91" w:name="_Toc16938521"/>
      <w:r>
        <w:rPr>
          <w:rFonts w:hint="eastAsia"/>
          <w:b w:val="0"/>
          <w:bCs w:val="0"/>
          <w:color w:val="auto"/>
          <w:highlight w:val="none"/>
        </w:rPr>
        <w:t xml:space="preserve">2、合格的投标人</w:t>
      </w:r>
      <w:bookmarkEnd w:id="89"/>
      <w:r/>
      <w:bookmarkEnd w:id="90"/>
      <w:r/>
      <w:bookmarkEnd w:id="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989"/>
        <w:ind w:firstLine="420"/>
        <w:spacing w:before="0" w:after="0" w:line="360" w:lineRule="auto"/>
        <w:rPr>
          <w:b w:val="0"/>
          <w:bCs w:val="0"/>
          <w:color w:val="auto"/>
          <w:highlight w:val="none"/>
        </w:rPr>
      </w:pPr>
      <w:r/>
      <w:bookmarkStart w:id="92" w:name="_Toc513029206"/>
      <w:r/>
      <w:bookmarkStart w:id="93" w:name="_Toc16938522"/>
      <w:r/>
      <w:bookmarkStart w:id="94" w:name="_Toc20823278"/>
      <w:r>
        <w:rPr>
          <w:rFonts w:hint="eastAsia"/>
          <w:b w:val="0"/>
          <w:bCs w:val="0"/>
          <w:color w:val="auto"/>
          <w:highlight w:val="none"/>
        </w:rPr>
        <w:t xml:space="preserve">3、适用法律</w:t>
      </w:r>
      <w:bookmarkEnd w:id="92"/>
      <w:r/>
      <w:bookmarkEnd w:id="93"/>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89"/>
        <w:ind w:firstLine="420"/>
        <w:spacing w:before="0" w:after="0" w:line="360" w:lineRule="auto"/>
        <w:rPr>
          <w:b w:val="0"/>
          <w:bCs w:val="0"/>
          <w:color w:val="auto"/>
          <w:highlight w:val="none"/>
        </w:rPr>
      </w:pPr>
      <w:r/>
      <w:bookmarkStart w:id="95" w:name="_Toc513029207"/>
      <w:r/>
      <w:bookmarkStart w:id="96" w:name="_Toc462564067"/>
      <w:r/>
      <w:bookmarkStart w:id="97" w:name="_Toc16938523"/>
      <w:r/>
      <w:bookmarkStart w:id="98" w:name="_Toc20823279"/>
      <w:r>
        <w:rPr>
          <w:rFonts w:hint="eastAsia"/>
          <w:b w:val="0"/>
          <w:bCs w:val="0"/>
          <w:color w:val="auto"/>
          <w:highlight w:val="none"/>
        </w:rPr>
        <w:t xml:space="preserve">4、投标费用</w:t>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w:t>
      </w:r>
      <w:r>
        <w:rPr>
          <w:rFonts w:hint="eastAsia" w:ascii="宋体" w:hAnsi="宋体"/>
          <w:color w:val="auto"/>
          <w:sz w:val="24"/>
          <w:highlight w:val="none"/>
          <w:lang w:eastAsia="zh-CN"/>
        </w:rPr>
        <w:t xml:space="preserve">江苏中诚工程管理有限公司</w:t>
      </w:r>
      <w:r>
        <w:rPr>
          <w:rFonts w:hint="eastAsia" w:ascii="宋体" w:hAnsi="宋体"/>
          <w:color w:val="auto"/>
          <w:sz w:val="24"/>
          <w:highlight w:val="none"/>
        </w:rPr>
        <w:t xml:space="preserve">（以下简称采购代理机构）及连云港市第一人民医院（以下简称采购人）在任何情况下均无义务和责任承担这些费用。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4.2本次招标采购代理服务费：按照国家计委计价格</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文（服务）标准的</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%计取；以上费用最终由中标人在领取中标通知书时一次性支付，投标人须将此部分费用综合考虑在报价中，不得单列。</w:t>
      </w:r>
      <w:r/>
    </w:p>
    <w:p>
      <w:pPr>
        <w:pStyle w:val="989"/>
        <w:ind w:firstLine="602"/>
        <w:spacing w:before="0" w:after="0" w:line="360" w:lineRule="auto"/>
        <w:rPr>
          <w:rFonts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投标人一旦参加本项目采购活动，即被认为接受了本招标文件的规定和约束。</w:t>
      </w:r>
      <w:r/>
    </w:p>
    <w:p>
      <w:pPr>
        <w:pStyle w:val="987"/>
        <w:ind w:firstLine="321"/>
        <w:spacing w:before="0" w:after="0" w:line="360" w:lineRule="auto"/>
        <w:rPr>
          <w:color w:val="auto"/>
          <w:highlight w:val="none"/>
        </w:rPr>
      </w:pPr>
      <w:r/>
      <w:bookmarkStart w:id="99" w:name="_Toc31300"/>
      <w:r/>
      <w:bookmarkStart w:id="100" w:name="_Toc20823281"/>
      <w:r/>
      <w:bookmarkStart w:id="101" w:name="_Toc13550"/>
      <w:r/>
      <w:bookmarkStart w:id="102" w:name="_Toc16938525"/>
      <w:r/>
      <w:bookmarkStart w:id="103" w:name="_Toc120614215"/>
      <w:r/>
      <w:bookmarkStart w:id="104" w:name="_Toc2081"/>
      <w:r/>
      <w:bookmarkStart w:id="105" w:name="_Toc513029209"/>
      <w:r>
        <w:rPr>
          <w:rFonts w:hint="eastAsia"/>
          <w:color w:val="auto"/>
          <w:highlight w:val="none"/>
        </w:rPr>
        <w:t xml:space="preserve">二、招标文件</w:t>
      </w:r>
      <w:bookmarkEnd w:id="99"/>
      <w:r/>
      <w:bookmarkEnd w:id="100"/>
      <w:r/>
      <w:bookmarkEnd w:id="101"/>
      <w:r/>
      <w:bookmarkEnd w:id="102"/>
      <w:r/>
      <w:bookmarkEnd w:id="103"/>
      <w:r/>
      <w:bookmarkEnd w:id="104"/>
      <w:r/>
      <w:bookmarkEnd w:id="105"/>
      <w:r/>
      <w:r/>
    </w:p>
    <w:p>
      <w:pPr>
        <w:pStyle w:val="989"/>
        <w:ind w:firstLine="420"/>
        <w:spacing w:before="0" w:after="0" w:line="360" w:lineRule="auto"/>
        <w:rPr>
          <w:b w:val="0"/>
          <w:bCs w:val="0"/>
          <w:color w:val="auto"/>
          <w:highlight w:val="none"/>
        </w:rPr>
      </w:pPr>
      <w:r/>
      <w:bookmarkStart w:id="106" w:name="_Toc20823282"/>
      <w:r/>
      <w:bookmarkStart w:id="107" w:name="_Toc16938526"/>
      <w:r/>
      <w:bookmarkStart w:id="108" w:name="_Toc513029210"/>
      <w:r>
        <w:rPr>
          <w:rFonts w:hint="eastAsia"/>
          <w:b w:val="0"/>
          <w:bCs w:val="0"/>
          <w:color w:val="auto"/>
          <w:highlight w:val="none"/>
        </w:rPr>
        <w:t xml:space="preserve">6、招标文件构成</w:t>
      </w:r>
      <w:bookmarkEnd w:id="106"/>
      <w:r/>
      <w:bookmarkEnd w:id="107"/>
      <w:r/>
      <w:bookmarkEnd w:id="1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9"/>
        <w:ind w:firstLine="560"/>
        <w:spacing w:before="0" w:after="0" w:line="360" w:lineRule="auto"/>
        <w:rPr>
          <w:b w:val="0"/>
          <w:bCs w:val="0"/>
          <w:color w:val="auto"/>
          <w:highlight w:val="none"/>
        </w:rPr>
      </w:pPr>
      <w:r/>
      <w:bookmarkStart w:id="109" w:name="_Toc462564070"/>
      <w:r/>
      <w:bookmarkStart w:id="110" w:name="_Toc513029211"/>
      <w:r/>
      <w:bookmarkStart w:id="111" w:name="_Toc16938527"/>
      <w:r/>
      <w:bookmarkStart w:id="112" w:name="_Toc20823283"/>
      <w:r>
        <w:rPr>
          <w:rFonts w:hint="eastAsia"/>
          <w:b w:val="0"/>
          <w:bCs w:val="0"/>
          <w:color w:val="auto"/>
          <w:highlight w:val="none"/>
        </w:rPr>
        <w:t xml:space="preserve">7、招标文件的澄清</w:t>
      </w:r>
      <w:bookmarkEnd w:id="109"/>
      <w:r/>
      <w:bookmarkEnd w:id="110"/>
      <w:r/>
      <w:bookmarkEnd w:id="111"/>
      <w:r/>
      <w:bookmarkEnd w:id="112"/>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989"/>
        <w:ind w:firstLine="560"/>
        <w:spacing w:before="0" w:after="0" w:line="360" w:lineRule="auto"/>
        <w:rPr>
          <w:b w:val="0"/>
          <w:bCs w:val="0"/>
          <w:color w:val="auto"/>
          <w:highlight w:val="none"/>
        </w:rPr>
      </w:pPr>
      <w:r/>
      <w:bookmarkStart w:id="113" w:name="_Toc16938528"/>
      <w:r/>
      <w:bookmarkStart w:id="114" w:name="_Toc20823284"/>
      <w:r/>
      <w:bookmarkStart w:id="115" w:name="_Toc513029212"/>
      <w:r/>
      <w:bookmarkStart w:id="116" w:name="_Toc462564071"/>
      <w:r>
        <w:rPr>
          <w:rFonts w:hint="eastAsia"/>
          <w:b w:val="0"/>
          <w:bCs w:val="0"/>
          <w:color w:val="auto"/>
          <w:highlight w:val="none"/>
        </w:rPr>
        <w:t xml:space="preserve">8、招标文件的修改</w:t>
      </w:r>
      <w:bookmarkEnd w:id="113"/>
      <w:r/>
      <w:bookmarkEnd w:id="114"/>
      <w:r/>
      <w:bookmarkEnd w:id="115"/>
      <w:r/>
      <w:bookmarkEnd w:id="1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招标文件的修改将在江苏政府采购网公布，补充文件将作为招标文件的组成部分，并对投标人具有约束力。</w:t>
      </w:r>
      <w:r/>
    </w:p>
    <w:p>
      <w:pPr>
        <w:pStyle w:val="987"/>
        <w:ind w:firstLine="482"/>
        <w:spacing w:before="0" w:after="0" w:line="360" w:lineRule="auto"/>
        <w:rPr>
          <w:color w:val="auto"/>
          <w:highlight w:val="none"/>
        </w:rPr>
      </w:pPr>
      <w:r/>
      <w:bookmarkStart w:id="117" w:name="_Toc16938529"/>
      <w:r/>
      <w:bookmarkStart w:id="118" w:name="_Toc513029213"/>
      <w:r/>
      <w:bookmarkStart w:id="119" w:name="_Toc18017"/>
      <w:r/>
      <w:bookmarkStart w:id="120" w:name="_Toc12231"/>
      <w:r/>
      <w:bookmarkStart w:id="121" w:name="_Toc462564072"/>
      <w:r/>
      <w:bookmarkStart w:id="122" w:name="_Toc18646"/>
      <w:r/>
      <w:bookmarkStart w:id="123" w:name="_Toc20823285"/>
      <w:r/>
      <w:bookmarkStart w:id="124" w:name="_Toc120614216"/>
      <w:r>
        <w:rPr>
          <w:rFonts w:hint="eastAsia"/>
          <w:color w:val="auto"/>
          <w:highlight w:val="none"/>
        </w:rPr>
        <w:t xml:space="preserve">三、投标文件的编制</w:t>
      </w:r>
      <w:bookmarkEnd w:id="117"/>
      <w:r/>
      <w:bookmarkEnd w:id="118"/>
      <w:r/>
      <w:bookmarkEnd w:id="119"/>
      <w:r/>
      <w:bookmarkEnd w:id="120"/>
      <w:r/>
      <w:bookmarkEnd w:id="121"/>
      <w:r/>
      <w:bookmarkEnd w:id="122"/>
      <w:r/>
      <w:bookmarkEnd w:id="123"/>
      <w:r/>
      <w:bookmarkEnd w:id="124"/>
      <w:r/>
      <w:r/>
    </w:p>
    <w:p>
      <w:pPr>
        <w:pStyle w:val="989"/>
        <w:ind w:firstLine="560"/>
        <w:spacing w:before="0" w:after="0" w:line="360" w:lineRule="auto"/>
        <w:rPr>
          <w:bCs w:val="0"/>
          <w:color w:val="auto"/>
          <w:highlight w:val="none"/>
        </w:rPr>
      </w:pPr>
      <w:r/>
      <w:bookmarkStart w:id="125" w:name="_Toc513029214"/>
      <w:r/>
      <w:bookmarkStart w:id="126" w:name="_Toc462564073"/>
      <w:r/>
      <w:bookmarkStart w:id="127" w:name="_Toc20823286"/>
      <w:r/>
      <w:bookmarkStart w:id="128" w:name="_Toc16938530"/>
      <w:r>
        <w:rPr>
          <w:rFonts w:hint="eastAsia"/>
          <w:b w:val="0"/>
          <w:bCs w:val="0"/>
          <w:color w:val="auto"/>
          <w:highlight w:val="none"/>
        </w:rPr>
        <w:t xml:space="preserve">9、投标文件的语言及度量衡单位</w:t>
      </w:r>
      <w:bookmarkEnd w:id="125"/>
      <w:r/>
      <w:bookmarkEnd w:id="126"/>
      <w:r/>
      <w:bookmarkEnd w:id="127"/>
      <w:r/>
      <w:bookmarkEnd w:id="128"/>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989"/>
        <w:ind w:firstLine="420"/>
        <w:spacing w:before="0" w:after="0" w:line="360" w:lineRule="auto"/>
        <w:rPr>
          <w:b w:val="0"/>
          <w:bCs w:val="0"/>
          <w:color w:val="auto"/>
          <w:highlight w:val="none"/>
        </w:rPr>
      </w:pPr>
      <w:r/>
      <w:bookmarkStart w:id="129" w:name="_Toc20823287"/>
      <w:r/>
      <w:bookmarkStart w:id="130" w:name="_Toc462564074"/>
      <w:r/>
      <w:bookmarkStart w:id="131" w:name="_Toc16938531"/>
      <w:r/>
      <w:bookmarkStart w:id="132" w:name="_Toc513029215"/>
      <w:r>
        <w:rPr>
          <w:rFonts w:hint="eastAsia"/>
          <w:b w:val="0"/>
          <w:bCs w:val="0"/>
          <w:color w:val="auto"/>
          <w:highlight w:val="none"/>
        </w:rPr>
        <w:t xml:space="preserve">10、投标文件构成</w:t>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989"/>
        <w:ind w:firstLine="420"/>
        <w:spacing w:before="0" w:after="0" w:line="360" w:lineRule="auto"/>
        <w:rPr>
          <w:b w:val="0"/>
          <w:bCs w:val="0"/>
          <w:color w:val="auto"/>
          <w:highlight w:val="none"/>
        </w:rPr>
      </w:pPr>
      <w:r/>
      <w:bookmarkStart w:id="133" w:name="_Hlt26668975"/>
      <w:r/>
      <w:bookmarkEnd w:id="133"/>
      <w:r/>
      <w:bookmarkStart w:id="134" w:name="_Hlt26954838"/>
      <w:r/>
      <w:bookmarkEnd w:id="134"/>
      <w:r/>
      <w:bookmarkStart w:id="135" w:name="_Hlt26670360"/>
      <w:r/>
      <w:bookmarkEnd w:id="135"/>
      <w:r/>
      <w:bookmarkStart w:id="136" w:name="_Toc513029216"/>
      <w:r/>
      <w:bookmarkStart w:id="137" w:name="_Toc49090507"/>
      <w:r/>
      <w:bookmarkStart w:id="138" w:name="_Toc14577357"/>
      <w:r/>
      <w:bookmarkStart w:id="139" w:name="_Toc49090509"/>
      <w:r/>
      <w:bookmarkStart w:id="140" w:name="_Toc513029219"/>
      <w:r/>
      <w:bookmarkStart w:id="141" w:name="_Toc14577354"/>
      <w:r>
        <w:rPr>
          <w:rFonts w:hint="eastAsia"/>
          <w:b w:val="0"/>
          <w:bCs w:val="0"/>
          <w:color w:val="auto"/>
          <w:highlight w:val="none"/>
        </w:rPr>
        <w:t xml:space="preserve">11、证明投标人及投标标的符合招标文件规定的文件</w:t>
      </w:r>
      <w:bookmarkEnd w:id="136"/>
      <w:r/>
      <w:bookmarkEnd w:id="137"/>
      <w:r/>
      <w:bookmarkEnd w:id="138"/>
      <w:r/>
      <w:bookmarkEnd w:id="139"/>
      <w:r/>
      <w:bookmarkEnd w:id="140"/>
      <w:r/>
      <w:bookmarkEnd w:id="141"/>
      <w:r/>
      <w:r/>
    </w:p>
    <w:p>
      <w:pPr>
        <w:ind w:firstLine="480"/>
        <w:spacing w:line="360" w:lineRule="auto"/>
        <w:rPr>
          <w:rFonts w:ascii="宋体" w:hAnsi="宋体"/>
          <w:color w:val="auto"/>
          <w:sz w:val="24"/>
          <w:highlight w:val="none"/>
        </w:rPr>
      </w:pPr>
      <w:r/>
      <w:bookmarkStart w:id="142" w:name="_Toc14577355"/>
      <w:r/>
      <w:bookmarkStart w:id="143" w:name="_Toc49090508"/>
      <w:r>
        <w:rPr>
          <w:rFonts w:hint="eastAsia" w:ascii="宋体" w:hAnsi="宋体"/>
          <w:color w:val="auto"/>
          <w:sz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12、投标分项报价</w:t>
      </w:r>
      <w:bookmarkEnd w:id="142"/>
      <w:r/>
      <w:bookmarkStart w:id="144" w:name="_Hlt26670373"/>
      <w:r/>
      <w:bookmarkEnd w:id="144"/>
      <w:r>
        <w:rPr>
          <w:rFonts w:hint="eastAsia"/>
          <w:b w:val="0"/>
          <w:bCs w:val="0"/>
          <w:color w:val="auto"/>
          <w:highlight w:val="none"/>
        </w:rPr>
        <w:t xml:space="preserve">表</w:t>
      </w:r>
      <w:bookmarkEnd w:id="1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投</w:t>
      </w:r>
      <w:bookmarkStart w:id="145" w:name="_Hlt26954840"/>
      <w:r/>
      <w:bookmarkEnd w:id="145"/>
      <w:r>
        <w:rPr>
          <w:rFonts w:hint="eastAsia" w:ascii="宋体" w:hAnsi="宋体"/>
          <w:color w:val="auto"/>
          <w:sz w:val="24"/>
          <w:highlight w:val="none"/>
        </w:rPr>
        <w:t xml:space="preserve">标人应按照招标文件规定格式填报投标分项报价表</w:t>
      </w:r>
      <w:bookmarkStart w:id="146" w:name="_Hlt26670399"/>
      <w:r/>
      <w:bookmarkEnd w:id="146"/>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989"/>
        <w:ind w:firstLine="420"/>
        <w:spacing w:before="0" w:after="0" w:line="360" w:lineRule="auto"/>
        <w:rPr>
          <w:b w:val="0"/>
          <w:bCs w:val="0"/>
          <w:color w:val="auto"/>
          <w:highlight w:val="none"/>
        </w:rPr>
      </w:pPr>
      <w:r/>
      <w:bookmarkStart w:id="147" w:name="_Hlt26668983"/>
      <w:r/>
      <w:bookmarkEnd w:id="147"/>
      <w:r/>
      <w:bookmarkStart w:id="148" w:name="_Hlt26670486"/>
      <w:r/>
      <w:bookmarkEnd w:id="148"/>
      <w:r/>
      <w:bookmarkStart w:id="149" w:name="_Hlt26954844"/>
      <w:r/>
      <w:bookmarkEnd w:id="149"/>
      <w:r/>
      <w:bookmarkStart w:id="150" w:name="_Hlt26670482"/>
      <w:r/>
      <w:bookmarkEnd w:id="150"/>
      <w:r/>
      <w:bookmarkStart w:id="151" w:name="_Hlt26670425"/>
      <w:r/>
      <w:bookmarkEnd w:id="151"/>
      <w:r/>
      <w:bookmarkStart w:id="152" w:name="_Hlt26954842"/>
      <w:r/>
      <w:bookmarkEnd w:id="152"/>
      <w:r/>
      <w:bookmarkStart w:id="153" w:name="_Hlt26954731"/>
      <w:r/>
      <w:bookmarkEnd w:id="153"/>
      <w:r/>
      <w:bookmarkStart w:id="154" w:name="_Hlt26954848"/>
      <w:r/>
      <w:bookmarkEnd w:id="154"/>
      <w:r/>
      <w:bookmarkStart w:id="155" w:name="_Hlt26954846"/>
      <w:r/>
      <w:bookmarkEnd w:id="155"/>
      <w:r/>
      <w:bookmarkStart w:id="156" w:name="_Hlt26670403"/>
      <w:r/>
      <w:bookmarkEnd w:id="156"/>
      <w:r>
        <w:rPr>
          <w:rFonts w:hint="eastAsia"/>
          <w:b w:val="0"/>
          <w:bCs w:val="0"/>
          <w:color w:val="auto"/>
          <w:highlight w:val="none"/>
        </w:rPr>
        <w:t xml:space="preserve">13、技术要求响应及偏离表、商务要求响应及偏离表</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投标人需对招标文件中的技术要求与商务要求逐项作出响应或偏离，并说明原因。</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13.2 投标人可在投标文件中提供认为需要的其他技术文件或说明。</w:t>
      </w:r>
      <w:r/>
    </w:p>
    <w:p>
      <w:pPr>
        <w:pStyle w:val="989"/>
        <w:ind w:firstLine="420"/>
        <w:spacing w:before="0" w:after="0" w:line="360" w:lineRule="auto"/>
        <w:rPr>
          <w:b w:val="0"/>
          <w:bCs w:val="0"/>
          <w:color w:val="auto"/>
          <w:highlight w:val="none"/>
        </w:rPr>
      </w:pPr>
      <w:r/>
      <w:bookmarkStart w:id="157" w:name="_Toc49090510"/>
      <w:r/>
      <w:bookmarkStart w:id="158" w:name="_Toc14577359"/>
      <w:r>
        <w:rPr>
          <w:rFonts w:hint="eastAsia"/>
          <w:b w:val="0"/>
          <w:bCs w:val="0"/>
          <w:color w:val="auto"/>
          <w:highlight w:val="none"/>
        </w:rPr>
        <w:t xml:space="preserve">14、投标函和开标一览表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89"/>
        <w:ind w:firstLine="420"/>
        <w:spacing w:before="0" w:after="0" w:line="360" w:lineRule="auto"/>
        <w:rPr>
          <w:b w:val="0"/>
          <w:bCs w:val="0"/>
          <w:color w:val="auto"/>
          <w:highlight w:val="none"/>
        </w:rPr>
      </w:pPr>
      <w:r/>
      <w:bookmarkStart w:id="159" w:name="_Hlt26954850"/>
      <w:r/>
      <w:bookmarkEnd w:id="159"/>
      <w:r/>
      <w:bookmarkStart w:id="160" w:name="_Hlt26670489"/>
      <w:r/>
      <w:bookmarkEnd w:id="160"/>
      <w:r/>
      <w:bookmarkStart w:id="161" w:name="_Hlt26954734"/>
      <w:r/>
      <w:bookmarkEnd w:id="161"/>
      <w:r/>
      <w:bookmarkStart w:id="162" w:name="_Toc49090511"/>
      <w:r/>
      <w:bookmarkStart w:id="163" w:name="_Toc14577360"/>
      <w:r>
        <w:rPr>
          <w:rFonts w:hint="eastAsia"/>
          <w:b w:val="0"/>
          <w:bCs w:val="0"/>
          <w:color w:val="auto"/>
          <w:highlight w:val="none"/>
        </w:rPr>
        <w:t xml:space="preserve">15、投标有效期</w:t>
      </w:r>
      <w:bookmarkEnd w:id="162"/>
      <w:r/>
      <w:bookmarkEnd w:id="163"/>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16、投标有效期的延长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在特殊情况下，</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87"/>
        <w:ind w:firstLine="482"/>
        <w:spacing w:before="0" w:after="0" w:line="360" w:lineRule="auto"/>
        <w:rPr>
          <w:color w:val="auto"/>
          <w:highlight w:val="none"/>
        </w:rPr>
      </w:pPr>
      <w:r/>
      <w:bookmarkStart w:id="164" w:name="_Hlt26954852"/>
      <w:r/>
      <w:bookmarkEnd w:id="164"/>
      <w:r/>
      <w:bookmarkStart w:id="165" w:name="_Hlt26954739"/>
      <w:r/>
      <w:bookmarkEnd w:id="165"/>
      <w:r/>
      <w:bookmarkStart w:id="166" w:name="_Toc513029224"/>
      <w:r/>
      <w:bookmarkStart w:id="167" w:name="_Toc22817"/>
      <w:r/>
      <w:bookmarkStart w:id="168" w:name="_Toc120614217"/>
      <w:r/>
      <w:bookmarkStart w:id="169" w:name="_Toc16170"/>
      <w:r/>
      <w:bookmarkStart w:id="170" w:name="_Toc2219"/>
      <w:r/>
      <w:bookmarkStart w:id="171" w:name="_Toc16938540"/>
      <w:r/>
      <w:bookmarkStart w:id="172" w:name="_Toc20823296"/>
      <w:r>
        <w:rPr>
          <w:rFonts w:hint="eastAsia"/>
          <w:color w:val="auto"/>
          <w:highlight w:val="none"/>
        </w:rPr>
        <w:t xml:space="preserve">四、投标文件的递交</w:t>
      </w:r>
      <w:bookmarkEnd w:id="166"/>
      <w:r/>
      <w:bookmarkEnd w:id="167"/>
      <w:r/>
      <w:bookmarkEnd w:id="168"/>
      <w:r/>
      <w:bookmarkEnd w:id="169"/>
      <w:r/>
      <w:bookmarkEnd w:id="170"/>
      <w:r/>
      <w:bookmarkEnd w:id="171"/>
      <w:r/>
      <w:bookmarkEnd w:id="172"/>
      <w:r/>
      <w:r/>
    </w:p>
    <w:p>
      <w:pPr>
        <w:pStyle w:val="989"/>
        <w:ind w:firstLine="560"/>
        <w:spacing w:before="0" w:after="0" w:line="360" w:lineRule="auto"/>
        <w:rPr>
          <w:rFonts w:ascii="黑体"/>
          <w:b w:val="0"/>
          <w:bCs w:val="0"/>
          <w:color w:val="auto"/>
          <w:highlight w:val="none"/>
        </w:rPr>
      </w:pPr>
      <w:r/>
      <w:bookmarkStart w:id="173" w:name="_Toc16938541"/>
      <w:r/>
      <w:bookmarkStart w:id="174" w:name="_Toc20823297"/>
      <w:r/>
      <w:bookmarkStart w:id="175" w:name="_Toc513029225"/>
      <w:r/>
      <w:bookmarkStart w:id="176" w:name="_Toc462564084"/>
      <w:r>
        <w:rPr>
          <w:rFonts w:hint="eastAsia"/>
          <w:b w:val="0"/>
          <w:bCs w:val="0"/>
          <w:color w:val="auto"/>
          <w:highlight w:val="none"/>
        </w:rPr>
        <w:t xml:space="preserve">17、</w:t>
      </w:r>
      <w:r>
        <w:rPr>
          <w:rFonts w:hint="eastAsia" w:ascii="黑体"/>
          <w:b w:val="0"/>
          <w:bCs w:val="0"/>
          <w:color w:val="auto"/>
          <w:highlight w:val="none"/>
        </w:rPr>
        <w:t xml:space="preserve">投标文件</w:t>
      </w:r>
      <w:bookmarkEnd w:id="173"/>
      <w:r/>
      <w:bookmarkEnd w:id="174"/>
      <w:r/>
      <w:bookmarkEnd w:id="175"/>
      <w:r/>
      <w:bookmarkEnd w:id="176"/>
      <w:r>
        <w:rPr>
          <w:rFonts w:hint="eastAsia" w:ascii="黑体"/>
          <w:b w:val="0"/>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电子投标文件的递交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177" w:name="_Toc513029226"/>
      <w:r/>
      <w:bookmarkStart w:id="178" w:name="_Toc16938542"/>
      <w:r/>
      <w:bookmarkStart w:id="179" w:name="_Toc20823298"/>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18、投标截止</w:t>
      </w:r>
      <w:bookmarkEnd w:id="177"/>
      <w:r/>
      <w:bookmarkEnd w:id="178"/>
      <w:r/>
      <w:bookmarkEnd w:id="179"/>
      <w:r>
        <w:rPr>
          <w:rFonts w:hint="eastAsia"/>
          <w:b w:val="0"/>
          <w:bCs w:val="0"/>
          <w:color w:val="auto"/>
          <w:highlight w:val="none"/>
        </w:rPr>
        <w:t xml:space="preserve">时间</w:t>
      </w:r>
      <w:r/>
    </w:p>
    <w:p>
      <w:pPr>
        <w:ind w:firstLine="482"/>
        <w:spacing w:line="360" w:lineRule="auto"/>
        <w:rPr>
          <w:rFonts w:ascii="宋体" w:hAnsi="宋体"/>
          <w:color w:val="auto"/>
          <w:sz w:val="24"/>
          <w:highlight w:val="none"/>
        </w:rPr>
      </w:pPr>
      <w:r>
        <w:rPr>
          <w:rFonts w:hint="eastAsia" w:ascii="宋体" w:hAnsi="宋体"/>
          <w:b/>
          <w:bCs/>
          <w:color w:val="auto"/>
          <w:sz w:val="24"/>
          <w:highlight w:val="none"/>
          <w:u w:val="single"/>
        </w:rPr>
        <w:t xml:space="preserve">18.1投标人上传电子投标文件的时间不得迟于招标公告中规定的投标截止时间</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投标人应充分考虑网络环境、网络带宽等风险因素，如因投标人自身原因造成的电子投标文件上传不成功的按照本招标文件第二章第26.1.2条规定做无效投标处理。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989"/>
        <w:ind w:firstLine="420"/>
        <w:spacing w:before="0" w:after="0" w:line="360" w:lineRule="auto"/>
        <w:rPr>
          <w:b w:val="0"/>
          <w:bCs w:val="0"/>
          <w:color w:val="auto"/>
          <w:highlight w:val="none"/>
        </w:rPr>
      </w:pPr>
      <w:r/>
      <w:bookmarkStart w:id="180" w:name="_Toc20823299"/>
      <w:r/>
      <w:bookmarkStart w:id="181" w:name="_Toc16938543"/>
      <w:r/>
      <w:bookmarkStart w:id="182" w:name="_Toc513029227"/>
      <w:r>
        <w:rPr>
          <w:rFonts w:hint="eastAsia"/>
          <w:b w:val="0"/>
          <w:bCs w:val="0"/>
          <w:color w:val="auto"/>
          <w:highlight w:val="none"/>
        </w:rPr>
        <w:t xml:space="preserve">19、投标文件</w:t>
      </w:r>
      <w:bookmarkEnd w:id="180"/>
      <w:r/>
      <w:bookmarkEnd w:id="181"/>
      <w:r/>
      <w:bookmarkEnd w:id="182"/>
      <w:r>
        <w:rPr>
          <w:rFonts w:hint="eastAsia"/>
          <w:b w:val="0"/>
          <w:bCs w:val="0"/>
          <w:color w:val="auto"/>
          <w:highlight w:val="none"/>
        </w:rPr>
        <w:t xml:space="preserve">的拒收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19.1采购人或采购代理机构拒绝接收在其规定的投标截止时间后上传的任何投标文件。</w:t>
      </w:r>
      <w:r/>
    </w:p>
    <w:p>
      <w:pPr>
        <w:pStyle w:val="989"/>
        <w:ind w:firstLine="420"/>
        <w:spacing w:before="0" w:after="0" w:line="360" w:lineRule="auto"/>
        <w:rPr>
          <w:b w:val="0"/>
          <w:bCs w:val="0"/>
          <w:color w:val="auto"/>
          <w:highlight w:val="none"/>
        </w:rPr>
      </w:pPr>
      <w:r/>
      <w:bookmarkStart w:id="183" w:name="_Toc513029228"/>
      <w:r/>
      <w:bookmarkStart w:id="184" w:name="_Toc20823300"/>
      <w:r/>
      <w:bookmarkStart w:id="185" w:name="_Toc16938544"/>
      <w:r>
        <w:rPr>
          <w:rFonts w:hint="eastAsia"/>
          <w:b w:val="0"/>
          <w:bCs w:val="0"/>
          <w:color w:val="auto"/>
          <w:highlight w:val="none"/>
        </w:rPr>
        <w:t xml:space="preserve">20、投标文件的撤回和修改</w:t>
      </w:r>
      <w:bookmarkEnd w:id="183"/>
      <w:r/>
      <w:bookmarkEnd w:id="184"/>
      <w:r/>
      <w:bookmarkEnd w:id="1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 投标人撤回电子投标文件，则认为其不再参与本项目投标活动。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 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 在投标截止时间之后，投标人不得对其电子投标文件作任何修改。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20.3在投标截止时间至招标文件中规定的投标有效期满之间的这段时间内，投标人不得撤回其投标。</w:t>
      </w:r>
      <w:r/>
    </w:p>
    <w:p>
      <w:pPr>
        <w:pStyle w:val="987"/>
        <w:ind w:firstLine="482"/>
        <w:spacing w:before="0" w:after="0" w:line="360" w:lineRule="auto"/>
        <w:rPr>
          <w:color w:val="auto"/>
          <w:highlight w:val="none"/>
        </w:rPr>
      </w:pPr>
      <w:r/>
      <w:bookmarkStart w:id="186" w:name="_Toc109"/>
      <w:r/>
      <w:bookmarkStart w:id="187" w:name="_Toc26916"/>
      <w:r/>
      <w:bookmarkStart w:id="188" w:name="_Toc120614218"/>
      <w:r/>
      <w:bookmarkStart w:id="189" w:name="_Toc16938545"/>
      <w:r/>
      <w:bookmarkStart w:id="190" w:name="_Toc513029229"/>
      <w:r/>
      <w:bookmarkStart w:id="191" w:name="_Toc9761"/>
      <w:r/>
      <w:bookmarkStart w:id="192" w:name="_Toc20823301"/>
      <w:r>
        <w:rPr>
          <w:rFonts w:hint="eastAsia"/>
          <w:color w:val="auto"/>
          <w:highlight w:val="none"/>
        </w:rPr>
        <w:t xml:space="preserve">五、开标与评标</w:t>
      </w:r>
      <w:bookmarkEnd w:id="186"/>
      <w:r/>
      <w:bookmarkEnd w:id="187"/>
      <w:r/>
      <w:bookmarkEnd w:id="188"/>
      <w:r/>
      <w:bookmarkEnd w:id="189"/>
      <w:r/>
      <w:bookmarkEnd w:id="190"/>
      <w:r/>
      <w:bookmarkEnd w:id="191"/>
      <w:r/>
      <w:bookmarkEnd w:id="192"/>
      <w:r/>
      <w:r/>
    </w:p>
    <w:p>
      <w:pPr>
        <w:pStyle w:val="989"/>
        <w:ind w:firstLine="420"/>
        <w:spacing w:before="0" w:after="0" w:line="360" w:lineRule="auto"/>
        <w:rPr>
          <w:b w:val="0"/>
          <w:bCs w:val="0"/>
          <w:color w:val="auto"/>
          <w:highlight w:val="none"/>
        </w:rPr>
      </w:pPr>
      <w:r/>
      <w:bookmarkStart w:id="193" w:name="_Toc513029230"/>
      <w:r/>
      <w:bookmarkStart w:id="194" w:name="_Toc20823302"/>
      <w:r/>
      <w:bookmarkStart w:id="195" w:name="_Toc16938546"/>
      <w:r>
        <w:rPr>
          <w:rFonts w:hint="eastAsia"/>
          <w:b w:val="0"/>
          <w:bCs w:val="0"/>
          <w:color w:val="auto"/>
          <w:highlight w:val="none"/>
        </w:rPr>
        <w:t xml:space="preserve">21、开标</w:t>
      </w:r>
      <w:bookmarkEnd w:id="193"/>
      <w:r/>
      <w:bookmarkEnd w:id="194"/>
      <w:r/>
      <w:bookmarkEnd w:id="1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989"/>
        <w:ind w:firstLine="420"/>
        <w:spacing w:before="0" w:after="0" w:line="360" w:lineRule="auto"/>
        <w:rPr>
          <w:b w:val="0"/>
          <w:bCs w:val="0"/>
          <w:color w:val="auto"/>
          <w:highlight w:val="none"/>
        </w:rPr>
      </w:pPr>
      <w:r/>
      <w:bookmarkStart w:id="196" w:name="_Toc20823303"/>
      <w:r/>
      <w:bookmarkStart w:id="197" w:name="_Toc513029231"/>
      <w:r/>
      <w:bookmarkStart w:id="198" w:name="_Toc16938547"/>
      <w:r>
        <w:rPr>
          <w:rFonts w:hint="eastAsia"/>
          <w:b w:val="0"/>
          <w:bCs w:val="0"/>
          <w:color w:val="auto"/>
          <w:highlight w:val="none"/>
        </w:rPr>
        <w:t xml:space="preserve">22、评标委员会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开标后，采购人将立即组织评标委员会（以下简称评委会）进行评标。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评委会由采购人代表和有关技术、经济等方面的专家组成，且人员构成符合政府采购有关规定。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22.3评委会独立工作，负责评审所有投标文件并确定中标候选人。</w:t>
      </w:r>
      <w:r/>
    </w:p>
    <w:p>
      <w:pPr>
        <w:pStyle w:val="989"/>
        <w:ind w:firstLine="420"/>
        <w:spacing w:before="0" w:after="0" w:line="360" w:lineRule="auto"/>
        <w:rPr>
          <w:rFonts w:ascii="黑体"/>
          <w:b w:val="0"/>
          <w:bCs w:val="0"/>
          <w:color w:val="auto"/>
          <w:highlight w:val="none"/>
        </w:rPr>
      </w:pPr>
      <w:r>
        <w:rPr>
          <w:rFonts w:hint="eastAsia" w:ascii="黑体"/>
          <w:b w:val="0"/>
          <w:bCs w:val="0"/>
          <w:color w:val="auto"/>
          <w:highlight w:val="none"/>
        </w:rPr>
        <w:t xml:space="preserve">23、评标过程的保密与公正</w:t>
      </w:r>
      <w:bookmarkEnd w:id="196"/>
      <w:r/>
      <w:bookmarkEnd w:id="197"/>
      <w:r/>
      <w:bookmarkEnd w:id="1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 采购人、采购代理机构和评标委员会不向未中标的投标人解释未中标原因，也不公布评标过程中的相关细节。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23.4 采用综合评分法的项目，未中标的投标人可于中标结果公告期限届满之日起通过苏采云系统查看自己的评审得分及排序情况。</w:t>
      </w:r>
      <w:r/>
    </w:p>
    <w:p>
      <w:pPr>
        <w:pStyle w:val="989"/>
        <w:ind w:firstLine="420"/>
        <w:spacing w:before="0" w:after="0" w:line="360" w:lineRule="auto"/>
        <w:rPr>
          <w:b w:val="0"/>
          <w:bCs w:val="0"/>
          <w:color w:val="auto"/>
          <w:highlight w:val="none"/>
        </w:rPr>
      </w:pPr>
      <w:r/>
      <w:bookmarkStart w:id="199" w:name="_Toc20823304"/>
      <w:r/>
      <w:bookmarkStart w:id="200" w:name="_Toc513029232"/>
      <w:r/>
      <w:bookmarkStart w:id="201" w:name="_Toc16938548"/>
      <w:r>
        <w:rPr>
          <w:rFonts w:hint="eastAsia"/>
          <w:b w:val="0"/>
          <w:bCs w:val="0"/>
          <w:color w:val="auto"/>
          <w:highlight w:val="none"/>
        </w:rPr>
        <w:t xml:space="preserve">24、投标文件的澄清</w:t>
      </w:r>
      <w:bookmarkEnd w:id="199"/>
      <w:r/>
      <w:bookmarkEnd w:id="200"/>
      <w:r/>
      <w:bookmarkEnd w:id="20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接到评委会澄清、说明和补正要求的投标人如未按规定作出澄清、说明和补正，其风险由投标人自行承担。</w:t>
      </w:r>
      <w:r/>
    </w:p>
    <w:p>
      <w:pPr>
        <w:pStyle w:val="989"/>
        <w:ind w:firstLine="420"/>
        <w:spacing w:before="0" w:after="0" w:line="360" w:lineRule="auto"/>
        <w:rPr>
          <w:b w:val="0"/>
          <w:bCs w:val="0"/>
          <w:color w:val="auto"/>
          <w:highlight w:val="none"/>
        </w:rPr>
      </w:pPr>
      <w:r/>
      <w:bookmarkStart w:id="202" w:name="_Toc513029233"/>
      <w:r/>
      <w:bookmarkStart w:id="203" w:name="_Toc20823305"/>
      <w:r/>
      <w:bookmarkStart w:id="204" w:name="_Toc16938549"/>
      <w:r>
        <w:rPr>
          <w:rFonts w:hint="eastAsia"/>
          <w:b w:val="0"/>
          <w:bCs w:val="0"/>
          <w:color w:val="auto"/>
          <w:highlight w:val="none"/>
        </w:rPr>
        <w:t xml:space="preserve">25、对投标文件的初审</w:t>
      </w:r>
      <w:bookmarkEnd w:id="202"/>
      <w:r/>
      <w:bookmarkEnd w:id="203"/>
      <w:r/>
      <w:bookmarkEnd w:id="2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25.1投标文件初审分为资格审查和符合性审查。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360" w:lineRule="auto"/>
        <w:rPr>
          <w:rFonts w:ascii="宋体" w:hAnsi="宋体" w:cs="宋体"/>
          <w:b/>
          <w:color w:val="auto"/>
          <w:sz w:val="24"/>
          <w:szCs w:val="24"/>
          <w:highlight w:val="none"/>
        </w:rPr>
      </w:pPr>
      <w:r>
        <w:rPr>
          <w:rFonts w:hint="eastAsia" w:ascii="宋体" w:hAnsi="宋体"/>
          <w:color w:val="auto"/>
          <w:sz w:val="24"/>
          <w:highlight w:val="none"/>
        </w:rPr>
        <w:t xml:space="preserve">25.1.4</w:t>
      </w:r>
      <w:r>
        <w:rPr>
          <w:rFonts w:hint="eastAsia" w:ascii="宋体" w:hAnsi="宋体" w:cs="宋体"/>
          <w:b/>
          <w:color w:val="auto"/>
          <w:sz w:val="24"/>
          <w:szCs w:val="24"/>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2"/>
        <w:spacing w:line="360" w:lineRule="auto"/>
        <w:rPr>
          <w:rFonts w:ascii="宋体" w:hAnsi="宋体"/>
          <w:color w:val="auto"/>
          <w:sz w:val="24"/>
          <w:highlight w:val="none"/>
        </w:rPr>
      </w:pPr>
      <w:r>
        <w:rPr>
          <w:rFonts w:hint="eastAsia" w:ascii="宋体" w:hAnsi="宋体" w:cs="宋体"/>
          <w:b/>
          <w:color w:val="auto"/>
          <w:sz w:val="24"/>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w:t>
      </w:r>
      <w:r>
        <w:rPr>
          <w:rFonts w:hint="eastAsia" w:ascii="宋体" w:hAnsi="宋体"/>
          <w:color w:val="auto"/>
          <w:sz w:val="24"/>
          <w:szCs w:val="24"/>
          <w:highlight w:val="none"/>
        </w:rPr>
        <w:t xml:space="preserve">与招标文件规定的主要技术指标或重要的商务条款或除上述以外的多项指标要求存在负偏离，或者在实质上与招标文件不一致，</w:t>
      </w:r>
      <w:r>
        <w:rPr>
          <w:rFonts w:hint="eastAsia" w:ascii="宋体" w:hAnsi="宋体"/>
          <w:color w:val="auto"/>
          <w:sz w:val="24"/>
          <w:highlight w:val="none"/>
        </w:rPr>
        <w:t xml:space="preserve">而且限制了合同中买方和</w:t>
      </w:r>
      <w:r>
        <w:rPr>
          <w:rFonts w:hint="eastAsia" w:ascii="宋体" w:hAnsi="宋体"/>
          <w:color w:val="auto"/>
          <w:sz w:val="24"/>
          <w:szCs w:val="24"/>
          <w:highlight w:val="none"/>
        </w:rPr>
        <w:t xml:space="preserve">采购人</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olor w:val="auto"/>
          <w:sz w:val="24"/>
          <w:highlight w:val="none"/>
        </w:rPr>
      </w:pPr>
      <w:r/>
      <w:bookmarkStart w:id="205" w:name="_Toc16938550"/>
      <w:r/>
      <w:bookmarkStart w:id="206" w:name="_Toc513029234"/>
      <w:r/>
      <w:bookmarkStart w:id="207" w:name="_Toc20823306"/>
      <w:r>
        <w:rPr>
          <w:rFonts w:hint="eastAsia" w:ascii="宋体" w:hAnsi="宋体"/>
          <w:color w:val="auto"/>
          <w:sz w:val="24"/>
          <w:highlight w:val="none"/>
        </w:rPr>
        <w:t xml:space="preserve">25.6投标人在开、评标全过程中应保持通讯畅通，及时登录苏采云系统查阅、答复相关信息，并安排专人与采购人、采购代理机构及评标委员会联系。</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26、</w:t>
      </w:r>
      <w:bookmarkEnd w:id="205"/>
      <w:r/>
      <w:bookmarkEnd w:id="206"/>
      <w:r/>
      <w:bookmarkEnd w:id="207"/>
      <w:r>
        <w:rPr>
          <w:rFonts w:hint="eastAsia"/>
          <w:b w:val="0"/>
          <w:bCs w:val="0"/>
          <w:color w:val="auto"/>
          <w:highlight w:val="none"/>
        </w:rPr>
        <w:t xml:space="preserve">无效投标条款和废标条款</w:t>
      </w:r>
      <w:r/>
    </w:p>
    <w:p>
      <w:pPr>
        <w:ind w:firstLine="480"/>
        <w:spacing w:line="360" w:lineRule="auto"/>
        <w:rPr>
          <w:rFonts w:ascii="宋体" w:hAnsi="宋体"/>
          <w:color w:val="auto"/>
          <w:sz w:val="24"/>
          <w:highlight w:val="none"/>
        </w:rPr>
      </w:pPr>
      <w:r/>
      <w:bookmarkStart w:id="208" w:name="_Toc20823307"/>
      <w:r/>
      <w:bookmarkStart w:id="209" w:name="_Toc513029235"/>
      <w:r/>
      <w:bookmarkStart w:id="210" w:name="_Toc16938551"/>
      <w:r>
        <w:rPr>
          <w:rFonts w:hint="eastAsia" w:ascii="宋体" w:hAnsi="宋体"/>
          <w:color w:val="auto"/>
          <w:sz w:val="24"/>
          <w:highlight w:val="none"/>
        </w:rPr>
        <w:t xml:space="preserve">26.1无效投标条款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 投标人在苏采云系统规定的时间内未成功解密电子投标文件的。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26.1.2 投标人未按照招标文件要求上传电子投标文件的。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26.1.3同一投标人提交两个（含两个）以上不同的投标报价的。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26.1.4投标人不具备招标文件中规定资格要求的。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26.1.5投标人的报价超过了采购预算或最高限价的。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26.1.6未通过符合性审查的。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26.1.7不符合招标文件中规定的实质性要求和条件的。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26.1.9投标文件含有采购人不能接受的附加条件的。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26.1.11投标文件未按照招标文件要求加盖CA电子公章的。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26.1.12其他法律、法规及本招标文件规定的属无效投标的情形。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26.2废标条款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26.2.1符合专业条件的供应商或者对招标文件做实质响应的供应商不足三家的。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26.2.2出现影响采购公正的违法、违规行为的。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26.2.3因重大变故，采购任务取消的。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26.2.4评标委员会认定招标文件存在歧义、重大缺陷导致评审工作无法进行。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26.2.5 因苏采云系统故障原因造成开标不成功的。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87"/>
        <w:ind w:firstLine="482"/>
        <w:spacing w:before="0" w:after="0" w:line="360" w:lineRule="auto"/>
        <w:rPr>
          <w:color w:val="auto"/>
          <w:highlight w:val="none"/>
        </w:rPr>
      </w:pPr>
      <w:r/>
      <w:bookmarkStart w:id="211" w:name="_Toc120614219"/>
      <w:r/>
      <w:bookmarkStart w:id="212" w:name="_Toc16384"/>
      <w:r/>
      <w:bookmarkStart w:id="213" w:name="_Toc3443"/>
      <w:r/>
      <w:bookmarkStart w:id="214" w:name="_Toc31095"/>
      <w:r>
        <w:rPr>
          <w:rFonts w:hint="eastAsia"/>
          <w:color w:val="auto"/>
          <w:highlight w:val="none"/>
        </w:rPr>
        <w:t xml:space="preserve">六、</w:t>
      </w:r>
      <w:bookmarkEnd w:id="208"/>
      <w:r/>
      <w:bookmarkEnd w:id="209"/>
      <w:r/>
      <w:bookmarkEnd w:id="210"/>
      <w:r>
        <w:rPr>
          <w:rFonts w:hint="eastAsia"/>
          <w:color w:val="auto"/>
          <w:highlight w:val="none"/>
        </w:rPr>
        <w:t xml:space="preserve">定标</w:t>
      </w:r>
      <w:bookmarkEnd w:id="211"/>
      <w:r/>
      <w:bookmarkEnd w:id="212"/>
      <w:r/>
      <w:bookmarkEnd w:id="213"/>
      <w:r/>
      <w:bookmarkEnd w:id="214"/>
      <w:r/>
      <w:r/>
    </w:p>
    <w:p>
      <w:pPr>
        <w:pStyle w:val="989"/>
        <w:ind w:firstLine="600"/>
        <w:spacing w:before="0" w:after="0" w:line="360" w:lineRule="auto"/>
        <w:rPr>
          <w:rFonts w:ascii="黑体" w:hAnsi="宋体" w:cs="Times New Roman"/>
          <w:b w:val="0"/>
          <w:color w:val="auto"/>
          <w:sz w:val="30"/>
          <w:szCs w:val="30"/>
          <w:highlight w:val="none"/>
        </w:rPr>
      </w:pPr>
      <w:r/>
      <w:bookmarkStart w:id="215" w:name="_Toc513029238"/>
      <w:r/>
      <w:bookmarkStart w:id="216" w:name="_Toc20823310"/>
      <w:r/>
      <w:bookmarkStart w:id="217" w:name="_Toc16938554"/>
      <w:r>
        <w:rPr>
          <w:rFonts w:hint="eastAsia" w:ascii="黑体" w:hAnsi="宋体" w:cs="Times New Roman"/>
          <w:b w:val="0"/>
          <w:color w:val="auto"/>
          <w:sz w:val="30"/>
          <w:szCs w:val="30"/>
          <w:highlight w:val="none"/>
        </w:rPr>
        <w:t xml:space="preserve">27、</w:t>
      </w:r>
      <w:bookmarkEnd w:id="215"/>
      <w:r>
        <w:rPr>
          <w:rFonts w:hint="eastAsia" w:ascii="黑体" w:hAnsi="宋体" w:cs="Times New Roman"/>
          <w:b w:val="0"/>
          <w:color w:val="auto"/>
          <w:sz w:val="30"/>
          <w:szCs w:val="30"/>
          <w:highlight w:val="none"/>
        </w:rPr>
        <w:t xml:space="preserve">确定</w:t>
      </w:r>
      <w:bookmarkEnd w:id="216"/>
      <w:r/>
      <w:bookmarkEnd w:id="217"/>
      <w:r>
        <w:rPr>
          <w:rFonts w:hint="eastAsia" w:ascii="黑体" w:hAnsi="宋体" w:cs="Times New Roman"/>
          <w:b w:val="0"/>
          <w:color w:val="auto"/>
          <w:sz w:val="30"/>
          <w:szCs w:val="30"/>
          <w:highlight w:val="none"/>
        </w:rPr>
        <w:t xml:space="preserve">中标单位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27.1中标候选人的选取原则和数量见招标文件第五章规定。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采购人应根据评委会推荐的中标候选人确定中标人。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27.3 采购人或采购代理机构将在“江苏政府采购网”发布中标公告，公告期限为1个工作日。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  若有充分证据证明，中标人出现下列情况之一的，一经查实，将被取消中标资格：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27.4.2向采购人、采购代理机构行贿或者提供其他不正当利益的。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spacing w:line="360" w:lineRule="auto"/>
        <w:rPr>
          <w:rFonts w:ascii="宋体" w:hAnsi="宋体"/>
          <w:color w:val="auto"/>
          <w:sz w:val="24"/>
          <w:highlight w:val="none"/>
        </w:rPr>
      </w:pPr>
      <w:r/>
      <w:bookmarkStart w:id="218" w:name="_Toc200451960"/>
      <w:r>
        <w:rPr>
          <w:rFonts w:hint="eastAsia" w:ascii="宋体" w:hAnsi="宋体"/>
          <w:color w:val="auto"/>
          <w:sz w:val="24"/>
          <w:highlight w:val="none"/>
        </w:rPr>
        <w:t xml:space="preserve">27.5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27.5.4不同投标人的投标文件异常一致或者投标报价呈规律性差异。</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21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28.2.2对采购过程提出质疑的，为各采购程序环节结束之日；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28.2.3对中标或者成交结果提出质疑的，为中标或者成交结果公告期限届满之日。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color w:val="auto"/>
          <w:sz w:val="24"/>
          <w:szCs w:val="24"/>
          <w:highlight w:val="none"/>
        </w:rPr>
      </w:pPr>
      <w:r>
        <w:rPr>
          <w:rFonts w:hint="eastAsia" w:ascii="宋体" w:hAnsi="宋体"/>
          <w:color w:val="auto"/>
          <w:sz w:val="24"/>
          <w:highlight w:val="none"/>
        </w:rPr>
        <w:t xml:space="preserve">采购人及采购代理机构只接收以纸质原件形式送达的质疑，供应商可以通过现场递交或邮寄方式提交质疑。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采购代理机构质疑接收部门为</w:t>
      </w:r>
      <w:r>
        <w:rPr>
          <w:rFonts w:hint="eastAsia" w:ascii="宋体" w:hAnsi="宋体"/>
          <w:color w:val="auto"/>
          <w:sz w:val="24"/>
          <w:highlight w:val="none"/>
          <w:lang w:eastAsia="zh-CN"/>
        </w:rPr>
        <w:t xml:space="preserve">江苏中诚工程管理有限公司</w:t>
      </w:r>
      <w:r>
        <w:rPr>
          <w:rFonts w:hint="eastAsia" w:ascii="宋体" w:hAnsi="宋体"/>
          <w:color w:val="auto"/>
          <w:sz w:val="24"/>
          <w:highlight w:val="none"/>
        </w:rPr>
        <w:t xml:space="preserve">招标代理部，联系地址：</w:t>
      </w:r>
      <w:r>
        <w:rPr>
          <w:rFonts w:hint="eastAsia" w:ascii="宋体" w:hAnsi="宋体"/>
          <w:color w:val="auto"/>
          <w:sz w:val="24"/>
          <w:highlight w:val="none"/>
          <w:lang w:eastAsia="zh-CN"/>
        </w:rPr>
        <w:t xml:space="preserve">连云港市海州区通灌南路102号建院观筑大厦B座</w:t>
      </w:r>
      <w:r>
        <w:rPr>
          <w:rFonts w:hint="eastAsia" w:ascii="宋体" w:hAnsi="宋体"/>
          <w:color w:val="auto"/>
          <w:sz w:val="24"/>
          <w:highlight w:val="none"/>
        </w:rPr>
        <w:t xml:space="preserve">，联系电话：</w:t>
      </w:r>
      <w:r>
        <w:rPr>
          <w:rFonts w:hint="eastAsia" w:ascii="宋体" w:hAnsi="宋体"/>
          <w:color w:val="auto"/>
          <w:sz w:val="24"/>
          <w:highlight w:val="none"/>
          <w:lang w:eastAsia="zh-CN"/>
        </w:rPr>
        <w:t xml:space="preserve">0518-81887004</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采购人质疑接收人及联系方式见招标文件第一章。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w:t>
      </w:r>
      <w:r>
        <w:rPr>
          <w:rFonts w:hint="eastAsia" w:ascii="宋体" w:hAnsi="宋体"/>
          <w:b/>
          <w:bCs/>
          <w:color w:val="auto"/>
          <w:sz w:val="24"/>
          <w:szCs w:val="24"/>
          <w:highlight w:val="none"/>
        </w:rPr>
        <w:t xml:space="preserve">中标供应商在领取中标通知书时，需提供五份与电子投标文件一致的纸质打印投标文件，须封面、骑缝加盖公章。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87"/>
        <w:spacing w:before="0" w:after="0" w:line="360" w:lineRule="auto"/>
        <w:rPr>
          <w:color w:val="auto"/>
          <w:highlight w:val="none"/>
        </w:rPr>
      </w:pPr>
      <w:r/>
      <w:bookmarkStart w:id="219" w:name="_Toc12848"/>
      <w:r/>
      <w:bookmarkStart w:id="220" w:name="_Toc120614220"/>
      <w:r/>
      <w:bookmarkStart w:id="221" w:name="_Toc513029236"/>
      <w:r/>
      <w:bookmarkStart w:id="222" w:name="_Toc25986"/>
      <w:r/>
      <w:bookmarkStart w:id="223" w:name="_Toc20823308"/>
      <w:r/>
      <w:bookmarkStart w:id="224" w:name="_Toc16938552"/>
      <w:r/>
      <w:bookmarkStart w:id="225" w:name="_Toc31566"/>
      <w:r>
        <w:rPr>
          <w:rFonts w:hint="eastAsia"/>
          <w:color w:val="auto"/>
          <w:highlight w:val="none"/>
        </w:rPr>
        <w:t xml:space="preserve">七、授予合同</w:t>
      </w:r>
      <w:bookmarkEnd w:id="219"/>
      <w:r/>
      <w:bookmarkEnd w:id="220"/>
      <w:r/>
      <w:bookmarkEnd w:id="221"/>
      <w:r/>
      <w:bookmarkEnd w:id="222"/>
      <w:r/>
      <w:bookmarkEnd w:id="223"/>
      <w:r/>
      <w:bookmarkEnd w:id="224"/>
      <w:r/>
      <w:bookmarkEnd w:id="225"/>
      <w:r/>
      <w:r/>
    </w:p>
    <w:p>
      <w:pPr>
        <w:pStyle w:val="989"/>
        <w:ind w:firstLine="600"/>
        <w:spacing w:before="0" w:after="0" w:line="360" w:lineRule="auto"/>
        <w:rPr>
          <w:rFonts w:ascii="黑体" w:hAnsi="宋体" w:cs="Times New Roman"/>
          <w:b w:val="0"/>
          <w:color w:val="auto"/>
          <w:sz w:val="30"/>
          <w:szCs w:val="30"/>
          <w:highlight w:val="none"/>
        </w:rPr>
      </w:pPr>
      <w:r/>
      <w:bookmarkStart w:id="226" w:name="_Toc16938553"/>
      <w:r/>
      <w:bookmarkStart w:id="227" w:name="_Toc20823309"/>
      <w:r/>
      <w:bookmarkStart w:id="228" w:name="_Toc513029237"/>
      <w:r>
        <w:rPr>
          <w:rFonts w:hint="eastAsia" w:ascii="黑体" w:hAnsi="宋体" w:cs="Times New Roman"/>
          <w:b w:val="0"/>
          <w:color w:val="auto"/>
          <w:sz w:val="30"/>
          <w:szCs w:val="30"/>
          <w:highlight w:val="none"/>
        </w:rPr>
        <w:t xml:space="preserve">30.签订合同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30.2招标文件、中标人的投标文件及招标过程中有关澄清、承诺文件均应作为合同附件。</w:t>
      </w:r>
      <w:r/>
    </w:p>
    <w:p>
      <w:pPr>
        <w:ind w:firstLine="600"/>
        <w:spacing w:line="360" w:lineRule="auto"/>
        <w:rPr>
          <w:rFonts w:ascii="宋体" w:hAnsi="宋体"/>
          <w:color w:val="auto"/>
          <w:sz w:val="24"/>
          <w:highlight w:val="none"/>
        </w:rPr>
      </w:pPr>
      <w:r>
        <w:rPr>
          <w:rFonts w:hint="eastAsia" w:ascii="宋体" w:hAnsi="宋体"/>
          <w:color w:val="auto"/>
          <w:sz w:val="24"/>
          <w:szCs w:val="24"/>
          <w:highlight w:val="none"/>
        </w:rPr>
        <w:t xml:space="preserve">30.3签订合同后，</w:t>
      </w:r>
      <w:r>
        <w:rPr>
          <w:rFonts w:hint="eastAsia" w:ascii="宋体" w:hAnsi="宋体"/>
          <w:b/>
          <w:bCs/>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w:t>
      </w:r>
      <w:r>
        <w:rPr>
          <w:rFonts w:hint="eastAsia" w:ascii="宋体" w:hAnsi="宋体"/>
          <w:color w:val="auto"/>
          <w:sz w:val="24"/>
          <w:highlight w:val="none"/>
        </w:rPr>
        <w:t xml:space="preserve">也不得采用分包的形式履行合同，否则采购人有权终止合同。转包或分包造成采购人损失的，中标人应承担相应赔偿责任。</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r/>
      <w:bookmarkEnd w:id="227"/>
      <w:r/>
      <w:bookmarkEnd w:id="228"/>
      <w:r/>
      <w:r/>
    </w:p>
    <w:p>
      <w:pPr>
        <w:pStyle w:val="989"/>
        <w:ind w:firstLine="600"/>
        <w:spacing w:before="0" w:after="0" w:line="360" w:lineRule="auto"/>
        <w:rPr>
          <w:rFonts w:ascii="黑体" w:hAnsi="宋体" w:cs="Times New Roman"/>
          <w:b w:val="0"/>
          <w:color w:val="auto"/>
          <w:sz w:val="30"/>
          <w:szCs w:val="30"/>
          <w:highlight w:val="none"/>
        </w:rPr>
      </w:pPr>
      <w:r/>
      <w:bookmarkStart w:id="229" w:name="_Toc20823314"/>
      <w:r/>
      <w:bookmarkStart w:id="230" w:name="_Toc16938558"/>
      <w:r/>
      <w:bookmarkStart w:id="231" w:name="_Toc513029242"/>
      <w:r/>
      <w:bookmarkStart w:id="232" w:name="_Toc120614221"/>
      <w:r/>
      <w:bookmarkStart w:id="233" w:name="_Toc479757207"/>
      <w:r>
        <w:rPr>
          <w:rFonts w:hint="eastAsia" w:ascii="黑体" w:hAnsi="宋体" w:cs="Times New Roman"/>
          <w:b w:val="0"/>
          <w:color w:val="auto"/>
          <w:sz w:val="30"/>
          <w:szCs w:val="30"/>
          <w:highlight w:val="none"/>
        </w:rPr>
        <w:t xml:space="preserve">32、政府采购履约资金扶持政策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中标人可凭政府采购合同办理融资贷款，详情请见江苏政府采购网“政采贷”专栏。</w:t>
      </w:r>
      <w:r/>
    </w:p>
    <w:p>
      <w:pPr>
        <w:keepLines/>
        <w:keepNext/>
        <w:spacing w:line="360" w:lineRule="auto"/>
        <w:rPr>
          <w:b/>
          <w:bCs/>
          <w:color w:val="auto"/>
          <w:sz w:val="32"/>
          <w:szCs w:val="32"/>
          <w:highlight w:val="none"/>
        </w:rPr>
        <w:outlineLvl w:val="2"/>
      </w:pPr>
      <w:r/>
      <w:bookmarkStart w:id="234" w:name="_Toc19843"/>
      <w:r/>
      <w:bookmarkStart w:id="235" w:name="_Toc27845"/>
      <w:r/>
      <w:bookmarkStart w:id="236" w:name="_Toc32228"/>
      <w:r/>
      <w:bookmarkStart w:id="237" w:name="_Toc23014"/>
      <w:r>
        <w:rPr>
          <w:rFonts w:hint="eastAsia"/>
          <w:b/>
          <w:bCs/>
          <w:color w:val="auto"/>
          <w:sz w:val="32"/>
          <w:szCs w:val="32"/>
          <w:highlight w:val="none"/>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33、落实的政府采购政策</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color w:val="auto"/>
          <w:sz w:val="24"/>
          <w:highlight w:val="none"/>
          <w:lang w:val="en-US" w:eastAsia="zh-CN"/>
        </w:rPr>
        <w:t xml:space="preserve">33.1</w:t>
      </w: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中小企业参加政府采购活动，应当出具本办法规定的《中小企业声明函》，否则不得享受相关中小企业扶持政策。</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文件中提供《中小企业声明函》，否则不予认可。</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lang w:eastAsia="zh-CN"/>
        </w:rPr>
        <w:t xml:space="preserve">本项目专门面向中型企业、小型企业、微型企业、残疾人福利性单位、监狱企业进行采购，</w:t>
      </w:r>
      <w:r>
        <w:rPr>
          <w:rFonts w:hint="eastAsia" w:ascii="宋体" w:hAnsi="宋体" w:eastAsia="宋体" w:cs="Times New Roman"/>
          <w:b/>
          <w:bCs/>
          <w:color w:val="auto"/>
          <w:sz w:val="24"/>
          <w:szCs w:val="24"/>
          <w:highlight w:val="none"/>
          <w:shd w:val="clear" w:color="auto" w:fill="auto"/>
          <w:lang w:val="en-US" w:eastAsia="zh-CN"/>
        </w:rPr>
        <w:t xml:space="preserve">无需扣除。</w:t>
      </w:r>
      <w:r>
        <w:rPr>
          <w:rFonts w:hint="eastAsia" w:ascii="宋体" w:hAnsi="宋体" w:eastAsia="宋体" w:cs="Times New Roman"/>
          <w:b/>
          <w:bCs/>
          <w:color w:val="auto"/>
          <w:sz w:val="24"/>
          <w:szCs w:val="24"/>
          <w:highlight w:val="none"/>
          <w:lang w:eastAsia="zh-CN"/>
        </w:rPr>
        <w:t xml:space="preserve">符合文件要求的供应商</w:t>
      </w:r>
      <w:r>
        <w:rPr>
          <w:rFonts w:hint="eastAsia" w:ascii="宋体" w:hAnsi="宋体" w:eastAsia="宋体" w:cs="Times New Roman"/>
          <w:b/>
          <w:bCs/>
          <w:color w:val="auto"/>
          <w:sz w:val="24"/>
          <w:szCs w:val="24"/>
          <w:highlight w:val="none"/>
          <w:lang w:val="en-US" w:eastAsia="zh-CN"/>
        </w:rPr>
        <w:t xml:space="preserve">应当提供的材料：</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（1）供应商为中型企业、小型企业、微型企业的，提供《中小企业声明函》（第六章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（2）为残疾人福利性单位的，符合财库〔2017〕141号文件规定条件的残疾人福利性单位视同小型、微型企业，提供《残疾人福利性单位声明函》（第六章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（4）供应商按照本办法规定提供声明函内容不实的，属于提供虚假材料谋取中标、成交，依照《中华人民共和国政府采购法》等国家有关规定追究相应责任。</w:t>
      </w:r>
      <w:r/>
    </w:p>
    <w:p>
      <w:pPr>
        <w:rPr>
          <w:rFonts w:hint="eastAsia"/>
          <w:color w:val="auto"/>
          <w:highlight w:val="none"/>
        </w:rPr>
      </w:pPr>
      <w:r>
        <w:rPr>
          <w:rFonts w:hint="eastAsia"/>
          <w:color w:val="auto"/>
          <w:highlight w:val="none"/>
        </w:rPr>
      </w:r>
      <w:r/>
    </w:p>
    <w:p>
      <w:pPr>
        <w:pStyle w:val="1103"/>
        <w:ind w:firstLine="562"/>
        <w:jc w:val="left"/>
        <w:spacing w:before="0" w:after="0" w:line="360" w:lineRule="auto"/>
        <w:rPr>
          <w:color w:val="auto"/>
          <w:sz w:val="28"/>
          <w:szCs w:val="28"/>
          <w:highlight w:val="none"/>
        </w:rPr>
      </w:pPr>
      <w:r>
        <w:rPr>
          <w:rFonts w:hint="eastAsia" w:ascii="黑体" w:hAnsi="宋体" w:eastAsia="黑体"/>
          <w:bCs/>
          <w:color w:val="auto"/>
          <w:sz w:val="30"/>
          <w:szCs w:val="30"/>
          <w:highlight w:val="none"/>
        </w:rPr>
        <w:t xml:space="preserve">34、</w:t>
      </w:r>
      <w:r>
        <w:rPr>
          <w:rFonts w:hint="eastAsia" w:ascii="黑体" w:hAnsi="宋体" w:eastAsia="黑体"/>
          <w:bCs/>
          <w:color w:val="auto"/>
          <w:sz w:val="30"/>
          <w:szCs w:val="30"/>
          <w:highlight w:val="none"/>
          <w:shd w:val="clear" w:color="auto" w:fill="auto"/>
          <w:lang w:val="en-US" w:eastAsia="zh-CN"/>
        </w:rPr>
        <w:t xml:space="preserve">采购本国产品的支持政策</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keepLines/>
        <w:keepNext/>
        <w:spacing w:line="360" w:lineRule="auto"/>
        <w:rPr>
          <w:rFonts w:hint="eastAsia" w:ascii="Calibri" w:hAnsi="Calibri" w:eastAsia="宋体" w:cs="Times New Roman"/>
          <w:color w:val="auto"/>
          <w:sz w:val="24"/>
          <w:szCs w:val="24"/>
          <w:highlight w:val="none"/>
        </w:rPr>
        <w:outlineLvl w:val="3"/>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w:t>
      </w:r>
      <w:r>
        <w:rPr>
          <w:rFonts w:hint="eastAsia" w:ascii="Calibri" w:hAnsi="Calibri" w:eastAsia="宋体" w:cs="Times New Roman"/>
          <w:color w:val="auto"/>
          <w:sz w:val="24"/>
          <w:szCs w:val="24"/>
          <w:highlight w:val="none"/>
          <w:shd w:val="clear" w:color="auto" w:fill="auto"/>
          <w:lang w:eastAsia="zh-CN"/>
        </w:rPr>
        <w:t xml:space="preserve">合同</w:t>
      </w:r>
      <w:r>
        <w:rPr>
          <w:rFonts w:hint="eastAsia" w:ascii="宋体" w:hAnsi="宋体" w:eastAsia="宋体" w:cs="Times New Roman"/>
          <w:color w:val="auto"/>
          <w:sz w:val="24"/>
          <w:highlight w:val="none"/>
          <w:shd w:val="clear" w:color="auto" w:fill="auto"/>
          <w:lang w:eastAsia="zh-CN"/>
        </w:rPr>
        <w:t xml:space="preserve">条款。</w:t>
      </w:r>
      <w:r/>
    </w:p>
    <w:p>
      <w:pPr>
        <w:ind w:left="0" w:right="0" w:firstLine="480"/>
        <w:jc w:val="left"/>
        <w:keepLines w:val="0"/>
        <w:keepNext w:val="0"/>
        <w:pageBreakBefore w:val="0"/>
        <w:spacing w:line="360" w:lineRule="auto"/>
        <w:widowControl/>
        <w:rPr>
          <w:rFonts w:hint="eastAsia" w:ascii="Calibri" w:hAnsi="Calibri" w:eastAsia="宋体" w:cs="Times New Roman"/>
          <w:bCs w:val="0"/>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r/>
    </w:p>
    <w:p>
      <w:pPr>
        <w:ind w:firstLine="480"/>
        <w:jc w:val="left"/>
        <w:keepLines w:val="0"/>
        <w:keepNext w:val="0"/>
        <w:spacing w:line="360" w:lineRule="auto"/>
        <w:rPr>
          <w:rFonts w:hint="eastAsia" w:ascii="黑体" w:hAnsi="黑体" w:eastAsia="黑体"/>
          <w:bCs/>
          <w:color w:val="auto"/>
          <w:sz w:val="44"/>
          <w:szCs w:val="44"/>
          <w:highlight w:val="none"/>
        </w:rPr>
        <w:outlineLvl w:val="9"/>
      </w:pPr>
      <w:r/>
      <w:bookmarkStart w:id="238" w:name="_Toc27373"/>
      <w:r/>
      <w:bookmarkStart w:id="239" w:name="_Toc11280"/>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auto"/>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29"/>
      <w:r/>
      <w:bookmarkEnd w:id="230"/>
      <w:r/>
      <w:bookmarkEnd w:id="231"/>
      <w:r/>
      <w:bookmarkEnd w:id="232"/>
      <w:r/>
      <w:bookmarkEnd w:id="233"/>
      <w:r/>
      <w:bookmarkEnd w:id="238"/>
      <w:r/>
      <w:bookmarkEnd w:id="239"/>
      <w:r/>
      <w:bookmarkStart w:id="240" w:name="_Toc165205796"/>
      <w:r/>
      <w:bookmarkStart w:id="241" w:name="_Toc581"/>
      <w:r/>
      <w:bookmarkStart w:id="242" w:name="_Hlt16619350"/>
      <w:r/>
      <w:bookmarkStart w:id="243" w:name="_Toc120614244"/>
      <w:r/>
      <w:bookmarkStart w:id="244" w:name="_Toc20823346"/>
      <w:r/>
      <w:bookmarkStart w:id="245" w:name="_Toc16938590"/>
      <w:r/>
      <w:bookmarkStart w:id="246" w:name="_Toc462564139"/>
      <w:r/>
      <w:bookmarkStart w:id="247" w:name="_Toc479757211"/>
      <w:r>
        <w:rPr>
          <w:rFonts w:hint="eastAsia" w:ascii="黑体" w:hAnsi="黑体" w:eastAsia="黑体"/>
          <w:bCs/>
          <w:color w:val="auto"/>
          <w:sz w:val="44"/>
          <w:szCs w:val="44"/>
          <w:highlight w:val="none"/>
        </w:rPr>
        <w:br w:type="page" w:clear="all"/>
      </w:r>
      <w:r/>
    </w:p>
    <w:p>
      <w:pPr>
        <w:jc w:val="center"/>
        <w:keepLines/>
        <w:keepNext/>
        <w:spacing w:line="360" w:lineRule="auto"/>
        <w:rPr>
          <w:rFonts w:ascii="黑体" w:hAnsi="黑体" w:eastAsia="黑体"/>
          <w:bCs/>
          <w:color w:val="auto"/>
          <w:sz w:val="44"/>
          <w:szCs w:val="44"/>
          <w:highlight w:val="none"/>
        </w:rPr>
        <w:outlineLvl w:val="0"/>
      </w:pPr>
      <w:r>
        <w:rPr>
          <w:rFonts w:hint="eastAsia" w:ascii="黑体" w:hAnsi="黑体" w:eastAsia="黑体"/>
          <w:bCs/>
          <w:color w:val="auto"/>
          <w:sz w:val="44"/>
          <w:szCs w:val="44"/>
          <w:highlight w:val="none"/>
        </w:rPr>
        <w:t xml:space="preserve">第三章  合同文本</w:t>
      </w:r>
      <w:bookmarkEnd w:id="240"/>
      <w:r/>
      <w:bookmarkEnd w:id="241"/>
      <w:r/>
      <w:r/>
    </w:p>
    <w:p>
      <w:pPr>
        <w:jc w:val="center"/>
        <w:spacing w:line="360" w:lineRule="auto"/>
        <w:rPr>
          <w:rFonts w:hint="eastAsia" w:ascii="宋体" w:hAnsi="宋体" w:cs="Times New Roman"/>
          <w:b/>
          <w:bCs/>
          <w:color w:val="auto"/>
          <w:sz w:val="52"/>
          <w:szCs w:val="24"/>
          <w:highlight w:val="none"/>
        </w:rPr>
      </w:pPr>
      <w:r/>
      <w:bookmarkStart w:id="248" w:name="_Toc4663"/>
      <w:r/>
      <w:r/>
    </w:p>
    <w:p>
      <w:pPr>
        <w:ind w:firstLine="2078"/>
        <w:spacing w:line="360" w:lineRule="auto"/>
        <w:rPr>
          <w:rFonts w:hint="eastAsia" w:ascii="宋体" w:hAnsi="宋体" w:cs="Times New Roman"/>
          <w:b/>
          <w:bCs/>
          <w:color w:val="auto"/>
          <w:sz w:val="52"/>
          <w:szCs w:val="24"/>
          <w:highlight w:val="none"/>
        </w:rPr>
      </w:pPr>
      <w:r>
        <w:rPr>
          <w:rFonts w:hint="eastAsia" w:ascii="宋体" w:hAnsi="宋体" w:cs="Times New Roman"/>
          <w:b/>
          <w:bCs/>
          <w:color w:val="auto"/>
          <w:sz w:val="52"/>
          <w:szCs w:val="24"/>
          <w:highlight w:val="none"/>
        </w:rPr>
        <w:t xml:space="preserve">连 云 港 市 政 府 采 购</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t xml:space="preserve">                                                 </w:t>
      </w:r>
      <w:r/>
    </w:p>
    <w:p>
      <w:pPr>
        <w:jc w:val="center"/>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u w:val="single"/>
        </w:rPr>
        <w:t xml:space="preserve">                    </w:t>
      </w:r>
      <w:r>
        <w:rPr>
          <w:rFonts w:hint="eastAsia" w:ascii="宋体" w:hAnsi="宋体" w:cs="Times New Roman"/>
          <w:b/>
          <w:bCs/>
          <w:color w:val="auto"/>
          <w:sz w:val="44"/>
          <w:szCs w:val="24"/>
          <w:highlight w:val="none"/>
        </w:rPr>
        <w:t xml:space="preserve">合同</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3070"/>
        <w:spacing w:line="360" w:lineRule="auto"/>
        <w:rPr>
          <w:rFonts w:hint="eastAsia" w:ascii="宋体" w:hAnsi="宋体" w:cs="Times New Roman"/>
          <w:b/>
          <w:bCs/>
          <w:color w:val="auto"/>
          <w:sz w:val="44"/>
          <w:szCs w:val="44"/>
          <w:highlight w:val="none"/>
        </w:rPr>
      </w:pPr>
      <w:r>
        <w:rPr>
          <w:rFonts w:hint="eastAsia" w:ascii="宋体" w:hAnsi="宋体" w:cs="Times New Roman"/>
          <w:b/>
          <w:bCs/>
          <w:color w:val="auto"/>
          <w:sz w:val="44"/>
          <w:szCs w:val="44"/>
          <w:highlight w:val="none"/>
        </w:rPr>
      </w:r>
      <w:r/>
    </w:p>
    <w:p>
      <w:pPr>
        <w:ind w:firstLine="880"/>
        <w:spacing w:line="360" w:lineRule="auto"/>
        <w:rPr>
          <w:rFonts w:hint="eastAsia" w:ascii="宋体" w:hAnsi="宋体" w:cs="Times New Roman"/>
          <w:color w:val="auto"/>
          <w:sz w:val="44"/>
          <w:szCs w:val="44"/>
          <w:highlight w:val="none"/>
        </w:rPr>
      </w:pPr>
      <w:r>
        <w:rPr>
          <w:rFonts w:hint="eastAsia" w:ascii="宋体" w:hAnsi="宋体" w:cs="Times New Roman"/>
          <w:color w:val="auto"/>
          <w:sz w:val="44"/>
          <w:szCs w:val="44"/>
          <w:highlight w:val="none"/>
        </w:rPr>
      </w:r>
      <w:r/>
    </w:p>
    <w:p>
      <w:pPr>
        <w:ind w:firstLine="1966"/>
        <w:spacing w:line="360" w:lineRule="auto"/>
        <w:rPr>
          <w:rFonts w:hint="eastAsia" w:ascii="宋体" w:hAnsi="宋体" w:cs="Times New Roman"/>
          <w:b/>
          <w:bCs/>
          <w:color w:val="auto"/>
          <w:sz w:val="44"/>
          <w:szCs w:val="44"/>
          <w:highlight w:val="none"/>
        </w:rPr>
      </w:pPr>
      <w:r>
        <w:rPr>
          <w:rFonts w:hint="eastAsia" w:ascii="宋体" w:hAnsi="宋体" w:cs="Times New Roman"/>
          <w:b/>
          <w:bCs/>
          <w:color w:val="auto"/>
          <w:sz w:val="44"/>
          <w:szCs w:val="44"/>
          <w:highlight w:val="none"/>
        </w:rPr>
        <w:t xml:space="preserve">合同编号：</w:t>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1758"/>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rPr>
        <w:t xml:space="preserve">采购人：</w:t>
      </w:r>
      <w:r/>
    </w:p>
    <w:p>
      <w:pPr>
        <w:ind w:firstLine="1758"/>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rPr>
        <w:t xml:space="preserve">中标人：</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420"/>
        <w:spacing w:line="360" w:lineRule="auto"/>
        <w:rPr>
          <w:rFonts w:hint="eastAsia" w:ascii="宋体" w:hAnsi="宋体" w:cs="Times New Roman"/>
          <w:color w:val="auto"/>
          <w:sz w:val="28"/>
          <w:szCs w:val="24"/>
          <w:highlight w:val="none"/>
        </w:rPr>
      </w:pPr>
      <w:r>
        <w:rPr>
          <w:rFonts w:hint="default" w:ascii="宋体" w:hAnsi="宋体" w:cs="Times New Roman"/>
          <w:color w:val="auto"/>
          <w:szCs w:val="24"/>
          <w:highlight w:val="none"/>
        </w:rPr>
        <w:br w:type="page" w:clear="all"/>
      </w:r>
      <w:r/>
    </w:p>
    <w:p>
      <w:pPr>
        <w:ind w:left="359" w:firstLine="198"/>
        <w:jc w:val="center"/>
        <w:rPr>
          <w:rFonts w:hint="eastAsia" w:ascii="宋体" w:hAnsi="宋体" w:cs="Times New Roman"/>
          <w:color w:val="auto"/>
          <w:sz w:val="28"/>
          <w:szCs w:val="24"/>
          <w:highlight w:val="none"/>
        </w:rPr>
      </w:pPr>
      <w:r>
        <w:rPr>
          <w:rFonts w:hint="eastAsia" w:ascii="宋体" w:hAnsi="宋体" w:cs="Times New Roman"/>
          <w:color w:val="auto"/>
          <w:sz w:val="28"/>
          <w:szCs w:val="24"/>
          <w:highlight w:val="none"/>
        </w:rPr>
        <w:t xml:space="preserve">目  录</w:t>
      </w:r>
      <w:r/>
    </w:p>
    <w:p>
      <w:pPr>
        <w:ind w:left="359" w:firstLine="198"/>
        <w:spacing w:line="360" w:lineRule="auto"/>
        <w:tabs>
          <w:tab w:val="left" w:pos="1170" w:leader="none"/>
        </w:tabs>
        <w:rPr>
          <w:rFonts w:hint="eastAsia" w:ascii="宋体" w:hAnsi="宋体" w:cs="Times New Roman"/>
          <w:color w:val="auto"/>
          <w:sz w:val="28"/>
          <w:szCs w:val="24"/>
          <w:highlight w:val="none"/>
        </w:rPr>
      </w:pPr>
      <w:r>
        <w:rPr>
          <w:rFonts w:hint="default" w:ascii="宋体" w:hAnsi="宋体" w:cs="Times New Roman"/>
          <w:color w:val="auto"/>
          <w:sz w:val="28"/>
          <w:szCs w:val="24"/>
          <w:highlight w:val="none"/>
        </w:rPr>
        <w:tab/>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1、</w:t>
      </w:r>
      <w:r>
        <w:rPr>
          <w:rFonts w:hint="eastAsia" w:ascii="宋体" w:hAnsi="宋体" w:cs="Times New Roman"/>
          <w:color w:val="auto"/>
          <w:sz w:val="28"/>
          <w:szCs w:val="24"/>
          <w:highlight w:val="none"/>
        </w:rPr>
        <w:t xml:space="preserve">合同书</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2、</w:t>
      </w:r>
      <w:r>
        <w:rPr>
          <w:rFonts w:hint="eastAsia" w:ascii="宋体" w:hAnsi="宋体" w:cs="Times New Roman"/>
          <w:color w:val="auto"/>
          <w:sz w:val="28"/>
          <w:szCs w:val="24"/>
          <w:highlight w:val="none"/>
        </w:rPr>
        <w:t xml:space="preserve">中标通知书</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3、</w:t>
      </w:r>
      <w:r>
        <w:rPr>
          <w:rFonts w:hint="eastAsia" w:ascii="宋体" w:hAnsi="宋体" w:cs="Times New Roman"/>
          <w:color w:val="auto"/>
          <w:sz w:val="28"/>
          <w:szCs w:val="24"/>
          <w:highlight w:val="none"/>
        </w:rPr>
        <w:t xml:space="preserve">履约保证金缴纳证明</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4、</w:t>
      </w:r>
      <w:r>
        <w:rPr>
          <w:rFonts w:hint="eastAsia" w:ascii="宋体" w:hAnsi="宋体" w:cs="Times New Roman"/>
          <w:color w:val="auto"/>
          <w:sz w:val="28"/>
          <w:szCs w:val="24"/>
          <w:highlight w:val="none"/>
        </w:rPr>
        <w:t xml:space="preserve">项目更改及补充文件</w:t>
      </w:r>
      <w:r/>
    </w:p>
    <w:p>
      <w:pPr>
        <w:numPr>
          <w:ilvl w:val="0"/>
          <w:numId w:val="0"/>
        </w:numPr>
        <w:ind w:left="360"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5、</w:t>
      </w:r>
      <w:r>
        <w:rPr>
          <w:rFonts w:hint="eastAsia" w:ascii="宋体" w:hAnsi="宋体" w:cs="Times New Roman"/>
          <w:color w:val="auto"/>
          <w:sz w:val="28"/>
          <w:szCs w:val="24"/>
          <w:highlight w:val="none"/>
        </w:rPr>
        <w:t xml:space="preserve">投标报价表</w:t>
      </w:r>
      <w:r/>
    </w:p>
    <w:p>
      <w:pPr>
        <w:numPr>
          <w:ilvl w:val="0"/>
          <w:numId w:val="0"/>
        </w:numPr>
        <w:ind w:left="360"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6、</w:t>
      </w:r>
      <w:r>
        <w:rPr>
          <w:rFonts w:hint="eastAsia" w:ascii="宋体" w:hAnsi="宋体" w:cs="Times New Roman"/>
          <w:color w:val="auto"/>
          <w:sz w:val="28"/>
          <w:szCs w:val="24"/>
          <w:highlight w:val="none"/>
        </w:rPr>
        <w:t xml:space="preserve">中标单位澄清函</w:t>
      </w:r>
      <w:r/>
    </w:p>
    <w:p>
      <w:pPr>
        <w:ind w:firstLine="420"/>
        <w:jc w:val="left"/>
        <w:spacing w:line="560" w:lineRule="exact"/>
        <w:rPr>
          <w:rFonts w:hint="eastAsia" w:ascii="宋体" w:hAnsi="宋体" w:cs="Times New Roman"/>
          <w:bCs/>
          <w:color w:val="auto"/>
          <w:sz w:val="24"/>
          <w:szCs w:val="24"/>
          <w:highlight w:val="none"/>
        </w:rPr>
      </w:pPr>
      <w:r>
        <w:rPr>
          <w:rFonts w:hint="default" w:ascii="Times New Roman" w:hAnsi="Times New Roman" w:cs="Times New Roman"/>
          <w:color w:val="auto"/>
          <w:szCs w:val="24"/>
          <w:highlight w:val="none"/>
        </w:rPr>
        <w:br w:type="page" w:clear="all"/>
      </w:r>
      <w:r>
        <w:rPr>
          <w:rFonts w:hint="eastAsia" w:ascii="宋体" w:hAnsi="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rPr>
      </w:r>
      <w:r/>
    </w:p>
    <w:p>
      <w:pPr>
        <w:jc w:val="center"/>
        <w:spacing w:line="560" w:lineRule="exact"/>
        <w:rPr>
          <w:rFonts w:hint="default" w:ascii="宋体" w:hAnsi="宋体" w:cs="Times New Roman"/>
          <w:bCs/>
          <w:color w:val="auto"/>
          <w:sz w:val="24"/>
          <w:szCs w:val="24"/>
          <w:highlight w:val="none"/>
        </w:rPr>
      </w:pPr>
      <w:r>
        <w:rPr>
          <w:rFonts w:hint="eastAsia" w:ascii="Times New Roman" w:hAnsi="Times New Roman" w:cs="Times New Roman"/>
          <w:b/>
          <w:color w:val="auto"/>
          <w:sz w:val="32"/>
          <w:szCs w:val="32"/>
          <w:highlight w:val="none"/>
        </w:rPr>
        <w:t xml:space="preserve">政府采购合同</w:t>
      </w:r>
      <w:r/>
    </w:p>
    <w:p>
      <w:pPr>
        <w:pStyle w:val="793"/>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b w:val="0"/>
          <w:bCs/>
          <w:color w:val="auto"/>
          <w:sz w:val="24"/>
          <w:szCs w:val="24"/>
          <w:highlight w:val="none"/>
        </w:rPr>
        <w:t xml:space="preserve">连云港市第一人民医院</w:t>
      </w:r>
      <w:r/>
    </w:p>
    <w:p>
      <w:pPr>
        <w:pStyle w:val="793"/>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p>
    <w:p>
      <w:pPr>
        <w:pStyle w:val="793"/>
        <w:ind w:left="0"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rPr>
          <w:rFonts w:hint="eastAsia" w:hAnsi="宋体" w:cs="宋体"/>
          <w:b w:val="0"/>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采购包</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招标的结果，签订本合同。</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贰年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eastAsia="宋体" w:cs="宋体"/>
          <w:color w:val="auto"/>
          <w:sz w:val="24"/>
          <w:szCs w:val="24"/>
          <w:highlight w:val="none"/>
          <w:u w:val="single"/>
        </w:rPr>
        <w:t xml:space="preserve">人民币</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），价格含税</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本合同价款包含</w:t>
      </w:r>
      <w:r>
        <w:rPr>
          <w:rFonts w:hint="eastAsia" w:ascii="宋体" w:hAnsi="宋体" w:eastAsia="宋体" w:cs="宋体"/>
          <w:bCs/>
          <w:color w:val="auto"/>
          <w:sz w:val="24"/>
          <w:szCs w:val="24"/>
          <w:highlight w:val="none"/>
        </w:rPr>
        <w:t xml:space="preserve">管理人员和服务人员的工资、五险、</w:t>
      </w:r>
      <w:r>
        <w:rPr>
          <w:rFonts w:hint="eastAsia" w:ascii="宋体" w:hAnsi="宋体" w:eastAsia="宋体" w:cs="宋体"/>
          <w:bCs/>
          <w:color w:val="auto"/>
          <w:sz w:val="24"/>
          <w:szCs w:val="24"/>
          <w:highlight w:val="none"/>
          <w:lang w:val="en-US" w:eastAsia="zh-CN"/>
        </w:rPr>
        <w:t xml:space="preserve">防暑降温费、</w:t>
      </w:r>
      <w:r>
        <w:rPr>
          <w:rFonts w:hint="eastAsia" w:ascii="宋体" w:hAnsi="宋体" w:eastAsia="宋体" w:cs="宋体"/>
          <w:color w:val="auto"/>
          <w:sz w:val="24"/>
          <w:szCs w:val="24"/>
          <w:highlight w:val="none"/>
        </w:rPr>
        <w:t xml:space="preserve">超过法定工时的工作日加班、周末加班、法定休假日加班等费用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福利、耗材、服装、税费、合理利润等费用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五险不能低于连云港市最低标准等规定）。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合同履约期内不因国家提高最低工资标准、保险金比例等政策调整因素而调整合同价。</w:t>
      </w:r>
      <w:r>
        <w:rPr>
          <w:rFonts w:hint="eastAsia" w:ascii="宋体" w:hAnsi="宋体" w:eastAsia="宋体" w:cs="宋体"/>
          <w:color w:val="auto"/>
          <w:sz w:val="24"/>
          <w:szCs w:val="24"/>
          <w:highlight w:val="none"/>
        </w:rPr>
        <w:t xml:space="preserve">甲方在上述合同价款之外不再向乙方支付其他任何费用。</w:t>
      </w:r>
      <w:r>
        <w:rPr>
          <w:color w:val="auto"/>
        </w:rPr>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三、服务范围</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color w:val="auto"/>
          <w:sz w:val="24"/>
          <w:szCs w:val="24"/>
          <w:highlight w:val="none"/>
        </w:rPr>
        <w:t xml:space="preserve">连云港市第一人民医院高新区院区、通灌院区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含口腔医院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的门卫值守、防火防盗巡查、建筑消防设施巡检、应急处突、消防控制室值守、纠纷处置、安检门值守等服务</w:t>
      </w:r>
      <w:r>
        <w:rPr>
          <w:rFonts w:hint="eastAsia" w:ascii="宋体" w:hAnsi="宋体" w:eastAsia="宋体" w:cs="宋体"/>
          <w:bCs/>
          <w:color w:val="auto"/>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四、服务标准：</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全天候24小时对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各区域进行治安巡查、消防监控及参与突发事件的处理（主要为门卫、巡逻、车辆管理、火灾的预警、报警、初起火灾的扑救、火灾救援、消控室值守、诊疗秩序维持、治安突发事件处置、疫情应急病区的警戒及看守、自然灾害救援等事件）</w:t>
      </w:r>
      <w:bookmarkStart w:id="249" w:name="_Toc18910"/>
      <w:r/>
      <w:bookmarkStart w:id="250" w:name="_Toc7556"/>
      <w:r/>
      <w:bookmarkStart w:id="251" w:name="_Toc29004"/>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维护</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的正常医疗秩序，保障</w:t>
      </w:r>
      <w:r>
        <w:rPr>
          <w:rFonts w:hint="eastAsia" w:ascii="宋体" w:hAnsi="宋体" w:eastAsia="宋体" w:cs="宋体"/>
          <w:bCs/>
          <w:color w:val="auto"/>
          <w:sz w:val="24"/>
          <w:szCs w:val="24"/>
          <w:highlight w:val="none"/>
          <w:lang w:eastAsia="zh-CN"/>
        </w:rPr>
        <w:t xml:space="preserve">甲方院内</w:t>
      </w:r>
      <w:r>
        <w:rPr>
          <w:rFonts w:hint="eastAsia" w:ascii="宋体" w:hAnsi="宋体" w:eastAsia="宋体" w:cs="宋体"/>
          <w:bCs/>
          <w:color w:val="auto"/>
          <w:sz w:val="24"/>
          <w:szCs w:val="24"/>
          <w:highlight w:val="none"/>
        </w:rPr>
        <w:t xml:space="preserve">所有人员的人身和财产安全，保护</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的设施和设备及各类财产不受损失，预防各类政治、刑事案件、治安事件和火灾事故的发生。</w:t>
      </w:r>
      <w:bookmarkEnd w:id="249"/>
      <w:r/>
      <w:bookmarkEnd w:id="250"/>
      <w:r/>
      <w:bookmarkEnd w:id="25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252" w:name="_Toc27131"/>
      <w:r/>
      <w:bookmarkStart w:id="253" w:name="_Toc8497"/>
      <w:r/>
      <w:bookmarkStart w:id="254" w:name="_Toc4119"/>
      <w:r>
        <w:rPr>
          <w:rFonts w:hint="eastAsia" w:ascii="宋体" w:hAnsi="宋体" w:eastAsia="宋体" w:cs="宋体"/>
          <w:bCs/>
          <w:color w:val="auto"/>
          <w:sz w:val="24"/>
          <w:szCs w:val="24"/>
          <w:highlight w:val="none"/>
        </w:rPr>
        <w:t xml:space="preserve">3.配合公安机关、</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保卫部门做好信息的收集工作，防止各类敌对势力的破坏和渗透，对发现的可疑情况和线索应及时向</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保卫部门报告。</w:t>
      </w:r>
      <w:bookmarkEnd w:id="252"/>
      <w:r/>
      <w:bookmarkEnd w:id="253"/>
      <w:r/>
      <w:bookmarkEnd w:id="25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255" w:name="_Toc6272"/>
      <w:r/>
      <w:bookmarkStart w:id="256" w:name="_Toc12691"/>
      <w:r/>
      <w:bookmarkStart w:id="257" w:name="_Toc106"/>
      <w:r>
        <w:rPr>
          <w:rFonts w:hint="eastAsia" w:ascii="宋体" w:hAnsi="宋体" w:eastAsia="宋体" w:cs="宋体"/>
          <w:bCs/>
          <w:color w:val="auto"/>
          <w:sz w:val="24"/>
          <w:szCs w:val="24"/>
          <w:highlight w:val="none"/>
        </w:rPr>
        <w:t xml:space="preserve">4.负责</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财务收费款及重要物资押送途中的安全，确保不发生任何事故。</w:t>
      </w:r>
      <w:bookmarkEnd w:id="255"/>
      <w:r/>
      <w:bookmarkEnd w:id="256"/>
      <w:r/>
      <w:bookmarkEnd w:id="25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5.组织人员对</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院内安全存在的隐患进行查找，及时报告不安全因素，并配合</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保卫部门进行整改。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6.全体保安员均为义务消防员，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应对保安员进行岗前培训，特别是消防技能的培训，使保安员具有一定的业务素质，消防监控室值班人员应按消防法规要求持证（建构筑物消防员</w:t>
      </w:r>
      <w:r>
        <w:rPr>
          <w:rFonts w:hint="eastAsia" w:ascii="宋体" w:hAnsi="宋体" w:eastAsia="宋体" w:cs="宋体"/>
          <w:bCs/>
          <w:color w:val="auto"/>
          <w:sz w:val="24"/>
          <w:szCs w:val="24"/>
          <w:highlight w:val="none"/>
          <w:lang w:val="en-US" w:eastAsia="zh-CN"/>
        </w:rPr>
        <w:t xml:space="preserve">中级或消防操作员中级及以上证书</w:t>
      </w:r>
      <w:r>
        <w:rPr>
          <w:rFonts w:hint="eastAsia" w:ascii="宋体" w:hAnsi="宋体" w:eastAsia="宋体" w:cs="宋体"/>
          <w:bCs/>
          <w:color w:val="auto"/>
          <w:sz w:val="24"/>
          <w:szCs w:val="24"/>
          <w:highlight w:val="none"/>
        </w:rPr>
        <w:t xml:space="preserve">）上岗。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7.全体保安员均为应急救援队员，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应对保安员进行培训，特别是快速反应应急救援培训，当发生火灾、恶性治安案件、重大疫情应急病区的警戒</w:t>
      </w:r>
      <w:r>
        <w:rPr>
          <w:rFonts w:hint="eastAsia" w:ascii="宋体" w:hAnsi="宋体" w:eastAsia="宋体" w:cs="宋体"/>
          <w:bCs/>
          <w:color w:val="auto"/>
          <w:sz w:val="24"/>
          <w:szCs w:val="24"/>
          <w:highlight w:val="none"/>
          <w:lang w:eastAsia="zh-CN"/>
        </w:rPr>
        <w:t xml:space="preserve">及其他自然灾害</w:t>
      </w:r>
      <w:r>
        <w:rPr>
          <w:rFonts w:hint="eastAsia" w:ascii="宋体" w:hAnsi="宋体" w:eastAsia="宋体" w:cs="宋体"/>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8.建立完善的各项应急救援方案（火警、爆炸、投毒、群体性事件、</w:t>
      </w:r>
      <w:r>
        <w:rPr>
          <w:rFonts w:hint="eastAsia" w:ascii="宋体" w:hAnsi="宋体" w:eastAsia="宋体" w:cs="宋体"/>
          <w:bCs/>
          <w:color w:val="auto"/>
          <w:sz w:val="24"/>
          <w:szCs w:val="24"/>
          <w:highlight w:val="none"/>
          <w:lang w:eastAsia="zh-CN"/>
        </w:rPr>
        <w:t xml:space="preserve">其他破坏</w:t>
      </w:r>
      <w:r>
        <w:rPr>
          <w:rFonts w:hint="eastAsia" w:ascii="宋体" w:hAnsi="宋体" w:eastAsia="宋体" w:cs="宋体"/>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区域内重大火灾、治安、交通、刑事等事件发生。</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保卫部门提供一份详细年度计划，做好</w:t>
      </w:r>
      <w:r>
        <w:rPr>
          <w:rFonts w:hint="eastAsia" w:ascii="宋体" w:hAnsi="宋体" w:eastAsia="宋体" w:cs="宋体"/>
          <w:bCs/>
          <w:color w:val="auto"/>
          <w:sz w:val="24"/>
          <w:szCs w:val="24"/>
          <w:highlight w:val="none"/>
          <w:lang w:eastAsia="zh-CN"/>
        </w:rPr>
        <w:t xml:space="preserve">台账</w:t>
      </w:r>
      <w:r>
        <w:rPr>
          <w:rFonts w:hint="eastAsia" w:ascii="宋体" w:hAnsi="宋体" w:eastAsia="宋体" w:cs="宋体"/>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10.按要求派出持证（建构筑物消防员）人员在消防控制室实行24小时值班，严密监控，发现情况立即报告和处理并做好登记，本岗位人员不得随意更换。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11.保安员应熟悉</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整体地理环境及监控范围，熟练操作、维护使用监控系统设备。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12.积极配合</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做好与安全生产相关的宣传工作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服务公司必须保证每年有一次对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开展安全宣传教育的活动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13.每月把</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所发生的一些重要情况如实以书面形式汇报到</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保卫部门，每月、季度、半年、年终分别做好事件记录及总结，并交到</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保卫部门备案。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14.按时按岗位安排保安到岗，不得随意减少岗位，因服务改造和岗位调整，</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可根据岗位实际需要在允许的范围内增减保安员数量，每个保安员增减的费用，按照合同</w:t>
      </w:r>
      <w:r>
        <w:rPr>
          <w:rFonts w:hint="eastAsia" w:ascii="宋体" w:hAnsi="宋体" w:eastAsia="宋体" w:cs="宋体"/>
          <w:bCs/>
          <w:color w:val="auto"/>
          <w:sz w:val="24"/>
          <w:szCs w:val="24"/>
          <w:highlight w:val="none"/>
          <w:lang w:val="en-US" w:eastAsia="zh-CN"/>
        </w:rPr>
        <w:t xml:space="preserve">价格均价</w:t>
      </w:r>
      <w:r>
        <w:rPr>
          <w:rFonts w:hint="eastAsia" w:ascii="宋体" w:hAnsi="宋体" w:eastAsia="宋体" w:cs="宋体"/>
          <w:bCs/>
          <w:color w:val="auto"/>
          <w:sz w:val="24"/>
          <w:szCs w:val="24"/>
          <w:highlight w:val="none"/>
        </w:rPr>
        <w:t xml:space="preserve">计算。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lang w:eastAsia="zh-CN"/>
        </w:rPr>
        <w:t xml:space="preserve">确保</w:t>
      </w:r>
      <w:r>
        <w:rPr>
          <w:rFonts w:hint="eastAsia" w:ascii="宋体" w:hAnsi="宋体" w:eastAsia="宋体" w:cs="宋体"/>
          <w:bCs/>
          <w:color w:val="auto"/>
          <w:sz w:val="24"/>
          <w:szCs w:val="24"/>
          <w:highlight w:val="none"/>
        </w:rPr>
        <w:t xml:space="preserve">每年至少开展1次涉医违法犯罪应急演练、1次消防应急演练。</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、履约保证金</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乙方提交人民币</w:t>
      </w:r>
      <w:r>
        <w:rPr>
          <w:rFonts w:hint="eastAsia" w:ascii="宋体" w:hAnsi="宋体" w:cs="宋体"/>
          <w:color w:val="auto"/>
          <w:sz w:val="24"/>
          <w:szCs w:val="24"/>
          <w:highlight w:val="none"/>
          <w:lang w:val="en-US" w:eastAsia="zh-CN"/>
        </w:rPr>
        <w:t xml:space="preserve">10万</w:t>
      </w:r>
      <w:r>
        <w:rPr>
          <w:rFonts w:hint="eastAsia" w:ascii="宋体" w:hAnsi="宋体" w:eastAsia="宋体" w:cs="宋体"/>
          <w:color w:val="auto"/>
          <w:sz w:val="24"/>
          <w:szCs w:val="24"/>
          <w:highlight w:val="none"/>
        </w:rPr>
        <w:t xml:space="preserve">元作为本合同的履约保证金。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应当以支票、汇票、本票或者金融机构、担保机构出具的保函等非现金形式在合同签订前提交。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履约保证金自合同生效之日起至合同约定的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主要义务履行完毕止，</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按合同约定退还履约保证金。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违约的，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将按照合同约定扣除其全部或部分履约保证金。如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违约给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造成的损失超过履约保证金的，应当依法赔偿超过部分的损失。</w:t>
      </w:r>
      <w:r/>
    </w:p>
    <w:p>
      <w:pPr>
        <w:ind w:left="0"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甲方的权利和义务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甲方有权对保安员的各项工作进行监督、检查和具体指导，有权对工作不合格保安员提出处理意见。</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甲方建立健全“三防”等各种安全防范措施和规章制度，以便于保安员依章执行，同时应教育本单位全体员工认真执行安全防范规定和支持配合保安员的工作。</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乙方的保安员为甲方抢险救灾和与违法犯罪作斗争而发生的伤残，甲方有提供抢救的义务，并视情给予一定的经济奖励。</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甲方应按合同约定按时向乙方支付保安服务费。</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甲方主管部门负责对乙方的保安服务质量进行考核，对达不到服务标准的行为，甲方有权提出限期整改意见和措施，如乙方不能如期整改到位，甲方依据考核标准进行处罚。</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如甲方需要乙方保安员承担合同规定以外的服务项目，应经甲乙双方商定后实施。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保安员因婚、丧、病等方面请假的甲方应于准予，但乙方应安排相应人员替班，确保甲方安全保卫工作不受影响。</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甲方对所聘用保安人员有管理、监督和批评教育的权利，有权向乙方建议对所聘用保安人员奖、惩、交流、更换，有权向乙方提出改进保安工作的要求和建议。</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乙方服务过程中因工作失误、失职等原因，造成甲方重大经济、名誉损失或造成甲方工作被动的，甲方有权要求乙方按实际损失承担赔偿责任。</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甲方按照协议约定提出交流、更换保安人员，乙方不能按约定时间交流更换，给甲方工作造成损失的，由乙方承担责任。</w:t>
      </w:r>
      <w:r/>
    </w:p>
    <w:p>
      <w:pPr>
        <w:ind w:left="0"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乙方的权利和义务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根据行业标准及甲方管理规定与服务要求，制订切实可行的安全保卫服务整体方案及应急预案，保证做到突发事件反应迅速、预案处置有力。</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依法办事，文明值勤，严格管理，保障甲方公共财产不受侵害，保障甲方医务人员人身安全。</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乙方全面负责服务范围内的正常医疗秩序，积极处置医疗纠纷等突发性事件。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乙方必须向甲方提供</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合同约定的</w:t>
      </w:r>
      <w:r>
        <w:rPr>
          <w:rFonts w:hint="eastAsia" w:ascii="宋体" w:hAnsi="宋体" w:eastAsia="宋体" w:cs="宋体"/>
          <w:color w:val="auto"/>
          <w:sz w:val="24"/>
          <w:szCs w:val="24"/>
          <w:highlight w:val="none"/>
        </w:rPr>
        <w:t xml:space="preserve">保安人员，保安具体岗位安排见附件1</w:t>
      </w:r>
      <w:r>
        <w:rPr>
          <w:rFonts w:hint="eastAsia" w:ascii="宋体" w:hAnsi="宋体" w:eastAsia="宋体" w:cs="宋体"/>
          <w:color w:val="auto"/>
          <w:sz w:val="24"/>
          <w:szCs w:val="24"/>
          <w:highlight w:val="none"/>
          <w:lang w:val="en-US" w:eastAsia="zh-CN"/>
        </w:rPr>
        <w:t xml:space="preserve">,甲方可根据实际需求调整岗位</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保安员在合同规定时间和范围内为甲方服务而造成的人身伤害由乙方负责，甲方不负任何责任。</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甲方的财产、设备、设施等公用物资、停车场内的车辆、物品被盗、损坏，由于保安员失职造成的，经双方查证</w:t>
      </w:r>
      <w:r>
        <w:rPr>
          <w:rFonts w:hint="eastAsia" w:ascii="宋体" w:hAnsi="宋体" w:cs="宋体"/>
          <w:color w:val="auto"/>
          <w:sz w:val="24"/>
          <w:szCs w:val="24"/>
          <w:highlight w:val="none"/>
          <w:lang w:eastAsia="zh-CN"/>
        </w:rPr>
        <w:t xml:space="preserve">属实</w:t>
      </w:r>
      <w:r>
        <w:rPr>
          <w:rFonts w:hint="eastAsia" w:ascii="宋体" w:hAnsi="宋体" w:eastAsia="宋体" w:cs="宋体"/>
          <w:color w:val="auto"/>
          <w:sz w:val="24"/>
          <w:szCs w:val="24"/>
          <w:highlight w:val="none"/>
        </w:rPr>
        <w:t xml:space="preserve">，由乙方承担相应的责任，并依法依规处理。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接受甲方主管部门监督管理，服从安排，听从指挥。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保安大队每天必须组织交接班，即：每至换班时，上一班所有保安必须在规定地点集合，向队长汇报班上事宜，严禁换班后私自离院。每月组织1次（体能或技能）考核。</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每年至少联合病区组织2次反恐防暴、医闹处置演练和2次消防演练。</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维护服务区域内不出现医托、号贩子，巡查驱赶外来推销药品、食品等闲散人员。</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开展甲方辖区内防盗巡逻工作，保证规定区域每2小时至少巡逻1次。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甲方规定的区域内出现“医闹”如堵大门、拉横幅、烧纸钱、摆花圈等违法行为，自接到报警处置电话起，处置反应时间不得超过50分钟，病房内不得出现冰棺。</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根据甲方要求，所有保安的年龄不能超过</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除（人员配备要求）已有的要求以外，其余派驻人员年龄≤55岁（以身份证出生日期为准），具备初中以上学历，</w:t>
      </w:r>
      <w:r>
        <w:rPr>
          <w:rFonts w:hint="eastAsia" w:ascii="宋体" w:hAnsi="宋体" w:eastAsia="宋体" w:cs="宋体"/>
          <w:color w:val="auto"/>
          <w:sz w:val="24"/>
          <w:szCs w:val="24"/>
          <w:highlight w:val="none"/>
        </w:rPr>
        <w:t xml:space="preserve">保安持有保安证，消防控制室上岗人员持有保安证及建构筑物消防员证；新进保安必须进行岗前培训，到岗即能胜任岗位要求。</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制定保安员工作奖惩制度，充分调动保安员工作积极性。</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乙方处置突发事件产生加班、误餐等费用由乙方承担。（甲方安排乙方工作，超出乙方服务范围的，甲方可酌情解决）</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配合甲方清查黑护工。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乙方负责对保安员进行治安、保卫、防火、防盗技能等岗前培训，且培训合格，定期对保安员进行岗位再培训，不定期进行督查。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乙方向甲方派遣保安员，须经甲方主管部门和警务室审核及备案许可，保安人员的招聘与劳动关系等相关事宜由乙方负责。</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乙方为保安人员投保人身意外险。如乙方保安人员在工作期间遭受意外伤害，由乙方负责向保险公司索赔，甲方在举证等程序上给予配合。</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严格按照招标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中的规定招聘保安，保安大队需按照三级甲等</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评审标准集成相关资料台账，以备检查。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乙方保安负责人应根据</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的实际情况，制定保安奖惩、激励制度，并根据实际情况不断完善，随保安服务费一同，按月上交</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保安队伍奖惩情况。</w:t>
      </w:r>
      <w:r/>
    </w:p>
    <w:p>
      <w:pPr>
        <w:ind w:left="0"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其余未尽事项按照乙方的投标书及投标承诺执行。</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保安员岗位具体职责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1.安检岗位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 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2.急诊大厅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cs="Times New Roman"/>
          <w:b/>
          <w:bCs w:val="0"/>
          <w:color w:val="auto"/>
          <w:sz w:val="24"/>
          <w:szCs w:val="24"/>
          <w:highlight w:val="none"/>
          <w:u w:val="none"/>
          <w:lang w:val="en-US" w:eastAsia="zh-CN" w:bidi="ar-SA"/>
        </w:rPr>
        <w:t xml:space="preserve">3.</w:t>
      </w: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4.</w:t>
      </w: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5.</w:t>
      </w: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6.</w:t>
      </w: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7.</w:t>
      </w: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、合同款支付</w:t>
      </w:r>
      <w:r/>
    </w:p>
    <w:p>
      <w:pPr>
        <w:pStyle w:val="793"/>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付款方式：按月考核，根据考核结果支付上月服务费。</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付款之前</w:t>
      </w:r>
      <w:r>
        <w:rPr>
          <w:rFonts w:hint="eastAsia"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应向</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开具正规发票，</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自收到发票后将资金支付至</w:t>
      </w:r>
      <w:r>
        <w:rPr>
          <w:rFonts w:hint="eastAsia"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账户。</w:t>
      </w:r>
      <w:r>
        <w:rPr>
          <w:rFonts w:hint="eastAsia" w:ascii="宋体" w:hAnsi="宋体" w:eastAsia="宋体" w:cs="宋体"/>
          <w:color w:val="auto"/>
          <w:sz w:val="24"/>
          <w:szCs w:val="24"/>
          <w:highlight w:val="none"/>
          <w:lang w:val="en-US" w:eastAsia="zh-CN"/>
        </w:rPr>
        <w:t xml:space="preserve">付款前，</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需向</w:t>
      </w:r>
      <w:r>
        <w:rPr>
          <w:rFonts w:hint="eastAsia" w:ascii="宋体" w:hAnsi="宋体" w:eastAsia="宋体" w:cs="宋体"/>
          <w:color w:val="auto"/>
          <w:sz w:val="24"/>
          <w:szCs w:val="24"/>
          <w:highlight w:val="none"/>
        </w:rPr>
        <w:t xml:space="preserve">甲方开具正规发票，</w:t>
      </w:r>
      <w:r>
        <w:rPr>
          <w:rFonts w:hint="eastAsia" w:ascii="宋体" w:hAnsi="宋体" w:eastAsia="宋体" w:cs="宋体"/>
          <w:color w:val="auto"/>
          <w:sz w:val="24"/>
          <w:szCs w:val="24"/>
          <w:highlight w:val="none"/>
          <w:lang w:val="en-US" w:eastAsia="zh-CN"/>
        </w:rPr>
        <w:t xml:space="preserve">否则自行承担延迟付款的责任</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当采购数量与实际使用数量不一致时，乙方根据实际使用量提供产品和服务，合同的最终结算金额按实际使用量乘以中标单价进行计算。</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十、税费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本合同执行中相关的一切税费均由乙方负担。</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社会保险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乙方根据国家和本地有关规定为录用保安员缴纳基本社会保险，并承担相关费用和责任。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基本社会保险应包括基本养老保险、基本医疗保险、失业保险、工伤保险、生育保险，甲方保留监督权。</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安员享受患职业病、工伤、工亡等待遇，乙方应支付保安员职业病、工伤、工亡等相关费用，并负责垫付医疗费。工伤认定申请和劳动能力鉴定申请结束后，除社会保险机构按政策规定支付外，由用人单位承担的费用应由乙方承担，甲方依法依规按照相关程序，以实事求是为原则配合乙方办理相关举证手续。</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十二、</w:t>
      </w:r>
      <w:r>
        <w:rPr>
          <w:rFonts w:hint="eastAsia" w:ascii="宋体" w:hAnsi="宋体" w:eastAsia="宋体" w:cs="宋体"/>
          <w:b/>
          <w:color w:val="auto"/>
          <w:sz w:val="24"/>
          <w:szCs w:val="24"/>
          <w:highlight w:val="none"/>
        </w:rPr>
        <w:t xml:space="preserve">考核条款与执行</w:t>
      </w:r>
      <w:r>
        <w:rPr>
          <w:rFonts w:hint="eastAsia" w:ascii="宋体" w:hAnsi="宋体" w:eastAsia="宋体" w:cs="宋体"/>
          <w:color w:val="auto"/>
          <w:sz w:val="24"/>
          <w:szCs w:val="24"/>
          <w:highlight w:val="none"/>
        </w:rPr>
        <w:t xml:space="preserve">：</w:t>
      </w:r>
      <w:r/>
    </w:p>
    <w:p>
      <w:pPr>
        <w:ind w:firstLine="482"/>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pStyle w:val="836"/>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考核表详见附件</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甲方</w:t>
      </w:r>
      <w:r>
        <w:rPr>
          <w:rFonts w:hint="eastAsia" w:ascii="宋体" w:hAnsi="宋体" w:cs="宋体"/>
          <w:b w:val="0"/>
          <w:bCs/>
          <w:color w:val="auto"/>
          <w:sz w:val="24"/>
          <w:szCs w:val="24"/>
          <w:highlight w:val="none"/>
        </w:rPr>
        <w:t xml:space="preserve">每月对</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（1）月度累计扣分≤10分：仅按单条违规累计扣款，从10%绩效池扣除，无一次性扣减服务费；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（2）10分＜月度累计扣分≤15分：累计扣款+一次性扣减服务费2000元，下发书面整改警告；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（3）15分＜月度累计扣分≤20分：累计扣款+一次性扣减服务费5000元，约谈外包公司项目负责人，7日内提交专项整改方案；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（4）20分＜月度累计扣分≤25分：累计扣款+一次性扣减服务费10000元，约谈外包单位总部负责人，限期更换现场安保主管；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宋体" w:hAnsi="宋体" w:eastAsia="宋体" w:cs="宋体"/>
          <w:color w:val="000000"/>
          <w:sz w:val="24"/>
        </w:rPr>
        <w:t xml:space="preserve">（5）月度累计扣分＞25分：累计扣款+一次性扣减服务费30000元，医院有权单方面提前解除保安服务合同，全部损失由中标单位承担。</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 3 个工作日；逾期未整改或复查不合格，同类问题扣款标准上浮 2 倍；</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拒不整改的，或一周内整改没有成效的，</w:t>
      </w:r>
      <w:r>
        <w:rPr>
          <w:rFonts w:hint="eastAsia" w:ascii="宋体" w:hAnsi="宋体" w:cs="宋体"/>
          <w:b w:val="0"/>
          <w:bCs/>
          <w:color w:val="auto"/>
          <w:sz w:val="24"/>
          <w:szCs w:val="24"/>
          <w:highlight w:val="none"/>
          <w:lang w:eastAsia="zh-CN"/>
        </w:rPr>
        <w:t xml:space="preserve">甲方</w:t>
      </w:r>
      <w:r>
        <w:rPr>
          <w:rFonts w:hint="eastAsia" w:ascii="宋体" w:hAnsi="宋体" w:cs="宋体"/>
          <w:b w:val="0"/>
          <w:bCs/>
          <w:color w:val="auto"/>
          <w:sz w:val="24"/>
          <w:szCs w:val="24"/>
          <w:highlight w:val="none"/>
        </w:rPr>
        <w:t xml:space="preserve">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在履约过程中提供虚假证书（如建构筑物消防员、保安员证书等），造成上级管理部门（消防、公安）对医院的处罚的，由</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承担相应后果。</w:t>
      </w:r>
      <w:r/>
    </w:p>
    <w:p>
      <w:pPr>
        <w:numPr>
          <w:ilvl w:val="0"/>
          <w:numId w:val="0"/>
        </w:num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月自查自纠问题总数的30%≥医院主管部门督查发现问题起数件次数＞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月自查自纠问题总数的20%，按照考核办法的扣罚标准的1倍/起对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月自查自纠问题总数的50%≥医院主管部门督查发现问题起数件次数＞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月自查自纠问题总数的30%，按照考核办法的扣罚标准的1.5倍/起对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月自查自纠问题总数的50%，按照考核办法的扣罚标准的2倍/起对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十三、</w:t>
      </w:r>
      <w:r>
        <w:rPr>
          <w:rFonts w:hint="eastAsia" w:ascii="宋体" w:hAnsi="宋体" w:eastAsia="宋体" w:cs="宋体"/>
          <w:b/>
          <w:color w:val="auto"/>
          <w:sz w:val="24"/>
          <w:szCs w:val="24"/>
          <w:highlight w:val="none"/>
        </w:rPr>
        <w:t xml:space="preserve">违约责任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本协议期内，任何一方违反本协议约定给对方利益造成损失的，违约方依法承担相应的经济赔偿责任和法律责任。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甲方不能按照协议约定期限向乙方支付保安服务费，拖欠达50日以上的，由甲方向乙方支付违约金人民币10000元，并支付保安服务费用和利息</w:t>
      </w:r>
      <w:r>
        <w:rPr>
          <w:rFonts w:hint="eastAsia" w:ascii="宋体" w:hAnsi="宋体" w:eastAsia="宋体" w:cs="宋体"/>
          <w:color w:val="auto"/>
          <w:sz w:val="24"/>
          <w:szCs w:val="24"/>
          <w:highlight w:val="none"/>
          <w:lang w:eastAsia="zh-CN"/>
        </w:rPr>
        <w:t xml:space="preserve">，但乙方原因导致甲方不能按时支付的除外</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val="en-US" w:eastAsia="zh-CN"/>
        </w:rPr>
        <w:t xml:space="preserve">由于</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主观的故意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导致合同无法履行，提前终止，乙方</w:t>
      </w:r>
      <w:r>
        <w:rPr>
          <w:rFonts w:hint="eastAsia" w:ascii="宋体" w:hAnsi="宋体" w:eastAsia="宋体" w:cs="宋体"/>
          <w:color w:val="auto"/>
          <w:sz w:val="24"/>
          <w:szCs w:val="24"/>
          <w:highlight w:val="none"/>
        </w:rPr>
        <w:t xml:space="preserve">需按合同总价的</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向甲方支付违约金。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甲方按照协议约定提出交流、更换保安人员，乙方不能按约定时间交流更换，给甲方工作造成损失的，由乙方承担责任。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5.如乙方提供的服务人数低于</w:t>
      </w:r>
      <w:r>
        <w:rPr>
          <w:rFonts w:hint="eastAsia" w:ascii="宋体" w:hAnsi="宋体" w:cs="宋体"/>
          <w:color w:val="auto"/>
          <w:sz w:val="24"/>
          <w:szCs w:val="24"/>
          <w:highlight w:val="none"/>
          <w:lang w:val="en-US" w:eastAsia="zh-CN"/>
        </w:rPr>
        <w:t xml:space="preserve">合同约定</w:t>
      </w:r>
      <w:r>
        <w:rPr>
          <w:rFonts w:hint="eastAsia" w:ascii="宋体" w:hAnsi="宋体" w:eastAsia="宋体" w:cs="宋体"/>
          <w:color w:val="auto"/>
          <w:sz w:val="24"/>
          <w:szCs w:val="24"/>
          <w:highlight w:val="none"/>
          <w:lang w:val="en-US" w:eastAsia="zh-CN"/>
        </w:rPr>
        <w:t xml:space="preserve">，则甲方结算时按</w:t>
      </w:r>
      <w:r>
        <w:rPr>
          <w:rFonts w:hint="eastAsia" w:ascii="宋体" w:hAnsi="宋体" w:cs="宋体"/>
          <w:color w:val="auto"/>
          <w:sz w:val="24"/>
          <w:szCs w:val="24"/>
          <w:highlight w:val="none"/>
          <w:lang w:val="en-US" w:eastAsia="zh-CN"/>
        </w:rPr>
        <w:t xml:space="preserve">岗位费用</w:t>
      </w:r>
      <w:r>
        <w:rPr>
          <w:rFonts w:hint="eastAsia" w:ascii="宋体" w:hAnsi="宋体" w:eastAsia="宋体" w:cs="宋体"/>
          <w:color w:val="auto"/>
          <w:sz w:val="24"/>
          <w:szCs w:val="24"/>
          <w:highlight w:val="none"/>
          <w:lang w:val="en-US" w:eastAsia="zh-CN"/>
        </w:rPr>
        <w:t xml:space="preserve">扣减，同时乙方须按甲方要求在约定时间内整改到位。</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合同解除</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（一）甲乙双方可以协议解除本合同。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（二）乙方有如下情况之一，甲方可解除合同。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1.保安员被依法追究刑事责任，经甲方提请，乙方拒不更换的。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2.保安员严重违反劳动纪律或者甲方的相关规章制度，经甲方提请，乙方拒不更换的。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3.严重失职（责）、营私舞弊、监守自盗，给甲方利益造成重大损害的。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4.保安员工作态度恶劣，严重影响甲方安全保卫工作，经甲方提请，乙方拒不更换的。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5.甲方提出合法合理要求开展日常工作和突发事件处置，乙方借故推诿、阳奉阴违、拒不履行职责的。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6.未经甲方允许，擅自抽调甲方保安员至第三方从事安保工作或其他商业活动的。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7.乙方有本合同“第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条：甲方的权利和义务第（九）”款所述行为及后果的。</w:t>
      </w:r>
      <w:r/>
    </w:p>
    <w:p>
      <w:pPr>
        <w:pStyle w:val="78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合同约定岗位上</w:t>
      </w:r>
      <w:r>
        <w:rPr>
          <w:rFonts w:hint="eastAsia" w:ascii="宋体" w:hAnsi="宋体" w:eastAsia="宋体" w:cs="宋体"/>
          <w:color w:val="auto"/>
          <w:sz w:val="24"/>
          <w:szCs w:val="24"/>
          <w:highlight w:val="none"/>
        </w:rPr>
        <w:t xml:space="preserve">连续3天未派保安员履行维护甲方秩序职责的。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9.发生法律、法规禁止或严重损害甲方利益的行为的；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10.发生其他比较严重足以导致合同必须终止的情况的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（三）甲方存在如下情况之一，乙方可解除合同：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1.甲方存在重大安全隐患，经乙方书面提出，甲方拒不整改的。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2.甲方提供的保安工作条件不符合有关要求的，经乙方提出，甲方拒不改进的。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3.甲方未按合同给付保安服务费，超过50天的。</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、不可抗力事件处理</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在合同有效期内，任何一方因不可抗力事件导致不能履行合同，则合同履行期延长，其延长期与不可抗力影响期相同。</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、争议解决</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双方在执行合同中所发生的一切争议，应通过协商解决。如协商不成，向合同签订地法院起诉，合同签订地在此约定为连云港市。</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、合同生效及其它</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合同经双方法定代表人或委托代理人签字并加盖单位公章后生效。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下述合同附件为本合同不可分割的部分并与本合同具有同等效力：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（3）乙方报价函的内容及其澄清内容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（4）其他与本合同相关的资料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（5）本合同适用的特殊条款</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本合同未尽事宜，遵照《中华人民共和国民法典》有关条文执行。</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本合同正本一式</w:t>
      </w:r>
      <w:r>
        <w:rPr>
          <w:rFonts w:hint="eastAsia" w:hAnsi="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份，乙方执一份。</w:t>
      </w:r>
      <w:r/>
    </w:p>
    <w:p>
      <w:pPr>
        <w:pStyle w:val="793"/>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附件：一、</w:t>
      </w:r>
      <w:r>
        <w:rPr>
          <w:rFonts w:hint="eastAsia" w:ascii="宋体" w:hAnsi="宋体" w:eastAsia="宋体" w:cs="宋体"/>
          <w:b w:val="0"/>
          <w:bCs/>
          <w:color w:val="auto"/>
          <w:sz w:val="24"/>
          <w:szCs w:val="24"/>
          <w:highlight w:val="none"/>
        </w:rPr>
        <w:t xml:space="preserve">人员配备</w:t>
      </w:r>
      <w:r/>
    </w:p>
    <w:p>
      <w:pPr>
        <w:pStyle w:val="793"/>
        <w:numPr>
          <w:ilvl w:val="0"/>
          <w:numId w:val="5"/>
        </w:num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安防物资配备</w:t>
      </w:r>
      <w:r/>
    </w:p>
    <w:p>
      <w:pPr>
        <w:pStyle w:val="793"/>
        <w:numPr>
          <w:ilvl w:val="0"/>
          <w:numId w:val="5"/>
        </w:num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考核表</w:t>
      </w:r>
      <w:r/>
    </w:p>
    <w:p>
      <w:pPr>
        <w:pStyle w:val="793"/>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甲方：连云港市第一人民医院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乙方：                   </w:t>
      </w:r>
      <w:r/>
    </w:p>
    <w:p>
      <w:pPr>
        <w:pStyle w:val="793"/>
        <w:ind w:left="5040" w:hanging="5040"/>
        <w:jc w:val="left"/>
        <w:spacing w:line="560" w:lineRule="exact"/>
        <w:rPr>
          <w:rFonts w:hAnsi="宋体"/>
          <w:color w:val="auto"/>
          <w:sz w:val="24"/>
          <w:szCs w:val="24"/>
          <w:highlight w:val="none"/>
        </w:rPr>
      </w:pPr>
      <w:r>
        <w:rPr>
          <w:rFonts w:hint="eastAsia" w:hAnsi="宋体"/>
          <w:color w:val="auto"/>
          <w:sz w:val="24"/>
          <w:szCs w:val="24"/>
          <w:highlight w:val="none"/>
        </w:rPr>
        <w:t xml:space="preserve">地址：</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地址：           </w:t>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法定</w:t>
      </w:r>
      <w:r>
        <w:rPr>
          <w:rFonts w:hint="eastAsia" w:hAnsi="宋体"/>
          <w:color w:val="auto"/>
          <w:sz w:val="24"/>
          <w:szCs w:val="24"/>
          <w:highlight w:val="none"/>
          <w:lang w:val="en-US" w:eastAsia="zh-CN"/>
        </w:rPr>
        <w:t xml:space="preserve">/</w:t>
      </w:r>
      <w:r>
        <w:rPr>
          <w:rFonts w:hint="eastAsia" w:hAnsi="宋体"/>
          <w:color w:val="auto"/>
          <w:sz w:val="24"/>
          <w:szCs w:val="24"/>
          <w:highlight w:val="none"/>
        </w:rPr>
        <w:t xml:space="preserve">委托代理人：                   法定</w:t>
      </w:r>
      <w:r>
        <w:rPr>
          <w:rFonts w:hint="eastAsia" w:hAnsi="宋体"/>
          <w:color w:val="auto"/>
          <w:sz w:val="24"/>
          <w:szCs w:val="24"/>
          <w:highlight w:val="none"/>
          <w:lang w:val="en-US" w:eastAsia="zh-CN"/>
        </w:rPr>
        <w:t xml:space="preserve">/</w:t>
      </w:r>
      <w:r>
        <w:rPr>
          <w:rFonts w:hint="eastAsia" w:hAnsi="宋体"/>
          <w:color w:val="auto"/>
          <w:sz w:val="24"/>
          <w:szCs w:val="24"/>
          <w:highlight w:val="none"/>
        </w:rPr>
        <w:t xml:space="preserve">委托代理人：           </w:t>
      </w:r>
      <w:r/>
    </w:p>
    <w:p>
      <w:pPr>
        <w:pStyle w:val="793"/>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电话： </w:t>
      </w:r>
      <w:r>
        <w:rPr>
          <w:rFonts w:hint="eastAsia" w:hAnsi="宋体"/>
          <w:color w:val="auto"/>
          <w:sz w:val="24"/>
          <w:szCs w:val="24"/>
          <w:highlight w:val="none"/>
          <w:lang w:val="en-US" w:eastAsia="zh-CN"/>
        </w:rPr>
        <w:t xml:space="preserve">0518-85767868</w:t>
      </w:r>
      <w:r>
        <w:rPr>
          <w:rFonts w:hint="eastAsia" w:hAnsi="宋体"/>
          <w:color w:val="auto"/>
          <w:sz w:val="24"/>
          <w:szCs w:val="24"/>
          <w:highlight w:val="none"/>
        </w:rPr>
        <w:t xml:space="preserve">                电话：                     </w:t>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传真：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传真：                     </w:t>
      </w:r>
      <w:r/>
    </w:p>
    <w:p>
      <w:pPr>
        <w:pStyle w:val="793"/>
        <w:jc w:val="left"/>
        <w:spacing w:line="560" w:lineRule="exact"/>
        <w:rPr>
          <w:rFonts w:hint="eastAsia"/>
          <w:color w:val="auto"/>
          <w:highlight w:val="none"/>
          <w:lang w:eastAsia="zh-CN"/>
        </w:rPr>
      </w:pPr>
      <w:r>
        <w:rPr>
          <w:rFonts w:hint="eastAsia" w:hAnsi="宋体"/>
          <w:color w:val="auto"/>
          <w:sz w:val="24"/>
          <w:szCs w:val="24"/>
          <w:highlight w:val="none"/>
        </w:rPr>
        <w:t xml:space="preserve">签订日期：      年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jc w:val="left"/>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rPr>
          <w:rFonts w:hint="eastAsia"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r>
      <w:r>
        <w:rPr>
          <w:rFonts w:hint="eastAsia" w:ascii="黑体" w:hAnsi="Times New Roman" w:eastAsia="黑体" w:cs="Times New Roman"/>
          <w:color w:val="auto"/>
          <w:sz w:val="44"/>
          <w:szCs w:val="44"/>
          <w:highlight w:val="none"/>
        </w:rPr>
      </w:r>
    </w:p>
    <w:p>
      <w:pPr>
        <w:rPr>
          <w:rFonts w:hint="eastAsia"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r>
      <w:r/>
    </w:p>
    <w:p>
      <w:pPr>
        <w:pStyle w:val="1022"/>
        <w:jc w:val="center"/>
        <w:spacing w:line="360" w:lineRule="auto"/>
        <w:rPr>
          <w:rFonts w:hAnsi="宋体"/>
          <w:color w:val="auto"/>
          <w:sz w:val="24"/>
          <w:szCs w:val="24"/>
          <w:highlight w:val="none"/>
        </w:rPr>
        <w:outlineLvl w:val="0"/>
      </w:pPr>
      <w:r>
        <w:rPr>
          <w:highlight w:val="none"/>
        </w:rPr>
      </w:r>
      <w:r>
        <w:rPr>
          <w:highlight w:val="none"/>
        </w:rPr>
      </w:r>
      <w:r/>
    </w:p>
    <w:p>
      <w:pPr>
        <w:pStyle w:val="1022"/>
        <w:jc w:val="center"/>
        <w:spacing w:line="360" w:lineRule="auto"/>
        <w:rPr>
          <w:highlight w:val="none"/>
        </w:rPr>
        <w:outlineLvl w:val="0"/>
      </w:pPr>
      <w:r>
        <w:rPr>
          <w:rFonts w:hint="eastAsia" w:ascii="黑体" w:hAnsi="Times New Roman" w:eastAsia="黑体" w:cs="Times New Roman"/>
          <w:color w:val="auto"/>
          <w:sz w:val="44"/>
          <w:szCs w:val="44"/>
          <w:highlight w:val="none"/>
        </w:rPr>
        <w:t xml:space="preserve">第</w:t>
      </w:r>
      <w:bookmarkEnd w:id="242"/>
      <w:r>
        <w:rPr>
          <w:rFonts w:hint="eastAsia" w:ascii="黑体" w:hAnsi="Times New Roman" w:eastAsia="黑体" w:cs="Times New Roman"/>
          <w:color w:val="auto"/>
          <w:sz w:val="44"/>
          <w:szCs w:val="44"/>
          <w:highlight w:val="none"/>
        </w:rPr>
        <w:t xml:space="preserve">四章 采购需求</w:t>
      </w:r>
      <w:bookmarkEnd w:id="243"/>
      <w:r/>
      <w:bookmarkEnd w:id="244"/>
      <w:r/>
      <w:bookmarkEnd w:id="245"/>
      <w:r/>
      <w:bookmarkEnd w:id="248"/>
      <w:r/>
      <w:r/>
    </w:p>
    <w:p>
      <w:pPr>
        <w:ind w:firstLine="482"/>
        <w:spacing w:line="360" w:lineRule="auto"/>
        <w:rPr>
          <w:rFonts w:hint="default" w:ascii="宋体" w:hAnsi="宋体" w:cs="Times New Roman"/>
          <w:b/>
          <w:bCs/>
          <w:color w:val="auto"/>
          <w:sz w:val="24"/>
          <w:szCs w:val="24"/>
          <w:highlight w:val="none"/>
        </w:rPr>
      </w:pPr>
      <w:r/>
      <w:bookmarkStart w:id="258" w:name="_Toc49090575"/>
      <w:r/>
      <w:bookmarkStart w:id="259" w:name="_Toc26554093"/>
      <w:r>
        <w:rPr>
          <w:rFonts w:hint="eastAsia" w:ascii="宋体" w:hAnsi="宋体" w:cs="Times New Roman"/>
          <w:b/>
          <w:color w:val="auto"/>
          <w:sz w:val="24"/>
          <w:szCs w:val="24"/>
          <w:highlight w:val="none"/>
        </w:rPr>
        <w:t xml:space="preserve">说明：</w:t>
      </w:r>
      <w:r>
        <w:rPr>
          <w:rFonts w:hint="eastAsia" w:ascii="宋体" w:hAnsi="宋体" w:cs="Times New Roman"/>
          <w:b/>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本项目采购方式为公开招标，项目属性为服务，采购标的对应的中小企业划分标准所属行业为</w:t>
      </w:r>
      <w:r>
        <w:rPr>
          <w:rFonts w:hint="eastAsia" w:ascii="Times New Roman" w:hAnsi="Times New Roman" w:cs="Times New Roman"/>
          <w:b/>
          <w:bCs/>
          <w:color w:val="auto"/>
          <w:sz w:val="24"/>
          <w:szCs w:val="24"/>
          <w:highlight w:val="none"/>
          <w:u w:val="single"/>
        </w:rPr>
        <w:t xml:space="preserve">　</w:t>
      </w:r>
      <w:r>
        <w:rPr>
          <w:rFonts w:hint="eastAsia" w:ascii="宋体" w:hAnsi="宋体" w:cs="Times New Roman"/>
          <w:b/>
          <w:bCs/>
          <w:color w:val="auto"/>
          <w:sz w:val="24"/>
          <w:szCs w:val="24"/>
          <w:highlight w:val="none"/>
          <w:u w:val="single"/>
        </w:rPr>
        <w:t xml:space="preserve">租赁和商务服务业</w:t>
      </w:r>
      <w:r>
        <w:rPr>
          <w:rFonts w:hint="eastAsia" w:ascii="Times New Roman" w:hAnsi="Times New Roman" w:cs="Times New Roman"/>
          <w:b/>
          <w:bCs/>
          <w:color w:val="auto"/>
          <w:sz w:val="24"/>
          <w:szCs w:val="24"/>
          <w:highlight w:val="none"/>
          <w:u w:val="single"/>
        </w:rPr>
        <w:t xml:space="preserve">　</w:t>
      </w:r>
      <w:r>
        <w:rPr>
          <w:rFonts w:hint="eastAsia" w:ascii="宋体" w:hAnsi="宋体" w:cs="Times New Roman"/>
          <w:color w:val="auto"/>
          <w:sz w:val="24"/>
          <w:szCs w:val="24"/>
          <w:highlight w:val="none"/>
        </w:rPr>
        <w:t xml:space="preserve">。</w:t>
      </w:r>
      <w:r/>
    </w:p>
    <w:p>
      <w:pPr>
        <w:numPr>
          <w:ilvl w:val="0"/>
          <w:numId w:val="0"/>
        </w:numPr>
        <w:ind w:firstLine="482"/>
        <w:jc w:val="both"/>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80"/>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3、本项目划分为2个采购包（采购包1、采购包2），投标人可根据自身资质及履约能力，同时参与本项目一个或多个采购包的投标，并按所投采购包分别编制、递交投标文件。</w:t>
      </w:r>
      <w:r/>
    </w:p>
    <w:p>
      <w:pPr>
        <w:ind w:firstLine="480"/>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4.本项目实行“</w:t>
      </w:r>
      <w:r>
        <w:rPr>
          <w:rFonts w:hint="eastAsia" w:cs="Times New Roman" w:asciiTheme="minorEastAsia" w:hAnsiTheme="minorEastAsia"/>
          <w:b/>
          <w:bCs/>
          <w:color w:val="auto"/>
          <w:sz w:val="24"/>
          <w:szCs w:val="24"/>
          <w:highlight w:val="none"/>
          <w:lang w:val="en-US" w:eastAsia="zh-CN"/>
        </w:rPr>
        <w:t xml:space="preserve">兼投兼中</w:t>
      </w:r>
      <w:r>
        <w:rPr>
          <w:rFonts w:hint="eastAsia" w:cs="Times New Roman" w:asciiTheme="minorEastAsia" w:hAnsiTheme="minorEastAsia"/>
          <w:color w:val="auto"/>
          <w:sz w:val="24"/>
          <w:szCs w:val="24"/>
          <w:highlight w:val="none"/>
          <w:lang w:val="en-US" w:eastAsia="zh-CN"/>
        </w:rPr>
        <w:t xml:space="preserve">”原则。每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r/>
    </w:p>
    <w:p>
      <w:pPr>
        <w:ind w:firstLine="420"/>
        <w:spacing w:line="360" w:lineRule="auto"/>
        <w:rPr>
          <w:rFonts w:hint="eastAsia" w:ascii="宋体" w:hAnsi="宋体" w:cs="Times New Roman"/>
          <w:bCs/>
          <w:color w:val="auto"/>
          <w:sz w:val="24"/>
          <w:szCs w:val="24"/>
          <w:highlight w:val="none"/>
        </w:rPr>
      </w:pPr>
      <w:r>
        <w:rPr>
          <w:rFonts w:hint="eastAsia" w:cs="Times New Roman" w:asciiTheme="minorEastAsia" w:hAnsiTheme="minorEastAsia"/>
          <w:color w:val="auto"/>
          <w:sz w:val="24"/>
          <w:szCs w:val="24"/>
          <w:highlight w:val="none"/>
          <w:lang w:val="en-US" w:eastAsia="zh-CN"/>
        </w:rPr>
        <w:t xml:space="preserve">5.中标多个采购包的投标人，必须具备同时履约所有中标采购包的人员、设备及资金能力，并严格按各采购包合同约定履行服务义务，不得因中标包数较多而降低任一采购包的履约质量。</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1</w:t>
      </w:r>
      <w:r>
        <w:rPr>
          <w:rFonts w:hint="eastAsia" w:ascii="宋体" w:hAnsi="宋体" w:eastAsia="宋体" w:cs="宋体"/>
          <w:b/>
          <w:bCs w:val="0"/>
          <w:color w:val="auto"/>
          <w:sz w:val="24"/>
          <w:szCs w:val="24"/>
          <w:highlight w:val="none"/>
          <w:vertAlign w:val="baseline"/>
          <w:lang w:val="en-US" w:eastAsia="zh-CN"/>
        </w:rPr>
        <w:t xml:space="preserve">：连云港市第一人民医院高新院区保安服务（专门面向中小企业）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一、项目背景：</w:t>
      </w:r>
      <w:r/>
    </w:p>
    <w:p>
      <w:pPr>
        <w:ind w:firstLine="480"/>
        <w:keepLines w:val="0"/>
        <w:keepNext w:val="0"/>
        <w:pageBreakBefore w:val="0"/>
        <w:spacing w:line="36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连云港市第一人民医院始建于1951年10月，经过几代人的艰苦创业，现已发展成为徐淮东部地区规模最大的三级甲等综合医院，医院服务人口80多万、一院三区建筑面积60万平方米，其中，高新院区位于振华东路6号，建筑面积约30万平方米。</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二、项目概况：</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落实平安医院建设，包含门卫看护、</w:t>
      </w:r>
      <w:r>
        <w:rPr>
          <w:rFonts w:hint="eastAsia" w:ascii="宋体" w:hAnsi="宋体" w:cs="Times New Roman"/>
          <w:bCs/>
          <w:color w:val="auto"/>
          <w:sz w:val="24"/>
          <w:szCs w:val="24"/>
          <w:highlight w:val="none"/>
          <w:lang w:val="en-US" w:eastAsia="zh-CN"/>
        </w:rPr>
        <w:t xml:space="preserve">巡逻巡更、</w:t>
      </w:r>
      <w:r>
        <w:rPr>
          <w:rFonts w:hint="eastAsia" w:ascii="宋体" w:hAnsi="宋体" w:cs="Times New Roman"/>
          <w:bCs/>
          <w:color w:val="auto"/>
          <w:sz w:val="24"/>
          <w:szCs w:val="24"/>
          <w:highlight w:val="none"/>
        </w:rPr>
        <w:t xml:space="preserve">消防控制室值守、</w:t>
      </w:r>
      <w:r>
        <w:rPr>
          <w:rFonts w:hint="eastAsia" w:ascii="宋体" w:hAnsi="宋体" w:cs="Times New Roman"/>
          <w:bCs/>
          <w:color w:val="auto"/>
          <w:sz w:val="24"/>
          <w:szCs w:val="24"/>
          <w:highlight w:val="none"/>
          <w:lang w:val="en-US" w:eastAsia="zh-CN"/>
        </w:rPr>
        <w:t xml:space="preserve">突发事件应急处置、车辆管理等，</w:t>
      </w:r>
      <w:r>
        <w:rPr>
          <w:rFonts w:hint="eastAsia" w:ascii="宋体" w:hAnsi="宋体" w:cs="Times New Roman"/>
          <w:bCs/>
          <w:color w:val="auto"/>
          <w:sz w:val="24"/>
          <w:szCs w:val="24"/>
          <w:highlight w:val="none"/>
        </w:rPr>
        <w:t xml:space="preserve">防范盗窃、火灾、医闹、</w:t>
      </w:r>
      <w:r>
        <w:rPr>
          <w:rFonts w:hint="eastAsia" w:ascii="宋体" w:hAnsi="宋体" w:cs="Times New Roman"/>
          <w:bCs/>
          <w:color w:val="auto"/>
          <w:sz w:val="24"/>
          <w:szCs w:val="24"/>
          <w:highlight w:val="none"/>
          <w:lang w:val="en-US" w:eastAsia="zh-CN"/>
        </w:rPr>
        <w:t xml:space="preserve">医托、</w:t>
      </w:r>
      <w:r>
        <w:rPr>
          <w:rFonts w:hint="eastAsia" w:ascii="宋体" w:hAnsi="宋体" w:cs="Times New Roman"/>
          <w:bCs/>
          <w:color w:val="auto"/>
          <w:sz w:val="24"/>
          <w:szCs w:val="24"/>
          <w:highlight w:val="none"/>
        </w:rPr>
        <w:t xml:space="preserve">伤医、寻衅滋事、车辆事故、违禁品流入；保障医患、职工人身财产安全，维持正常诊疗秩序</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院区交通秩序</w:t>
      </w:r>
      <w:r>
        <w:rPr>
          <w:rFonts w:hint="eastAsia" w:ascii="宋体" w:hAnsi="宋体" w:cs="Times New Roman"/>
          <w:bCs/>
          <w:color w:val="auto"/>
          <w:sz w:val="24"/>
          <w:szCs w:val="24"/>
          <w:highlight w:val="none"/>
        </w:rPr>
        <w:t xml:space="preserve">，快速处置各类突发事件，落实治安、消防、反恐防暴全流程管控。</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三、服务技术要求及其他：</w:t>
      </w:r>
      <w:r/>
    </w:p>
    <w:p>
      <w:pPr>
        <w:ind w:firstLine="482"/>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一</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服务范围</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连云港市第一人民医院</w:t>
      </w:r>
      <w:r>
        <w:rPr>
          <w:rFonts w:hint="eastAsia" w:ascii="宋体" w:hAnsi="宋体" w:cs="Times New Roman"/>
          <w:bCs/>
          <w:color w:val="auto"/>
          <w:sz w:val="24"/>
          <w:szCs w:val="24"/>
          <w:highlight w:val="none"/>
          <w:lang w:val="en-US" w:eastAsia="zh-CN"/>
        </w:rPr>
        <w:t xml:space="preserve">高新</w:t>
      </w:r>
      <w:r>
        <w:rPr>
          <w:rFonts w:hint="eastAsia" w:ascii="宋体" w:hAnsi="宋体" w:cs="Times New Roman"/>
          <w:bCs/>
          <w:color w:val="auto"/>
          <w:sz w:val="24"/>
          <w:szCs w:val="24"/>
          <w:highlight w:val="none"/>
        </w:rPr>
        <w:t xml:space="preserve">院区门卫值守、防火防盗巡查、建筑消防设施巡检、应急处突、消防控制室值守、纠纷处置、安检查验</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交通秩序维护</w:t>
      </w:r>
      <w:r>
        <w:rPr>
          <w:rFonts w:hint="eastAsia" w:ascii="宋体" w:hAnsi="宋体" w:cs="Times New Roman"/>
          <w:bCs/>
          <w:color w:val="auto"/>
          <w:sz w:val="24"/>
          <w:szCs w:val="24"/>
          <w:highlight w:val="none"/>
        </w:rPr>
        <w:t xml:space="preserve">等安全服务。</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二</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人员应持具保安员证书，熟悉医院建筑格局，遵守医院安全管理规定，知法，懂法，守法，依法办事，必须严格遵守保安员从业规范；身体健康，没有传染病，心脑血管疾病及精神病等疾病病史，体貌端正，有吃苦耐劳的精神和高度的责任感，受过专门的岗前培训。</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rPr>
        <w:t xml:space="preserve">★</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三</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服务期限：</w:t>
      </w:r>
      <w:r>
        <w:rPr>
          <w:rFonts w:hint="eastAsia" w:ascii="宋体" w:hAnsi="宋体" w:cs="Times New Roman"/>
          <w:b/>
          <w:bCs w:val="0"/>
          <w:color w:val="auto"/>
          <w:sz w:val="24"/>
          <w:szCs w:val="24"/>
          <w:highlight w:val="none"/>
          <w:lang w:val="en-US" w:eastAsia="zh-CN"/>
        </w:rPr>
        <w:t xml:space="preserve">贰</w:t>
      </w:r>
      <w:r>
        <w:rPr>
          <w:rFonts w:hint="eastAsia" w:ascii="宋体" w:hAnsi="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eastAsia="zh-CN"/>
        </w:rPr>
        <w:t xml:space="preserve">，2026年10月10日至2028年10月9日</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cs="Times New Roman"/>
          <w:b/>
          <w:bCs w:val="0"/>
          <w:color w:val="auto"/>
          <w:sz w:val="24"/>
          <w:szCs w:val="24"/>
          <w:highlight w:val="none"/>
        </w:rPr>
        <w:t xml:space="preserve">服务标准</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1.</w:t>
      </w:r>
      <w:r>
        <w:rPr>
          <w:rFonts w:hint="eastAsia" w:ascii="宋体" w:hAnsi="宋体" w:cs="Times New Roman"/>
          <w:b/>
          <w:bCs w:val="0"/>
          <w:color w:val="auto"/>
          <w:sz w:val="24"/>
          <w:szCs w:val="24"/>
          <w:highlight w:val="none"/>
        </w:rPr>
        <w:t xml:space="preserve">服务总体要求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全天候24小时对医院各区域进行治安巡查、消防监控及参与突发事件的处理（主要为门卫、巡逻、车辆管理、火灾的预警、报警、初起火灾的扑救、火灾救援、消控室值守、诊疗秩序维持、治安突发事件处置、</w:t>
      </w:r>
      <w:r>
        <w:rPr>
          <w:rFonts w:hint="eastAsia" w:ascii="宋体" w:hAnsi="宋体" w:cs="Times New Roman"/>
          <w:bCs/>
          <w:color w:val="auto"/>
          <w:sz w:val="24"/>
          <w:szCs w:val="24"/>
          <w:highlight w:val="none"/>
          <w:lang w:val="en-US" w:eastAsia="zh-CN"/>
        </w:rPr>
        <w:t xml:space="preserve">突发</w:t>
      </w:r>
      <w:r>
        <w:rPr>
          <w:rFonts w:hint="eastAsia" w:ascii="宋体" w:hAnsi="宋体" w:cs="Times New Roman"/>
          <w:bCs/>
          <w:color w:val="auto"/>
          <w:sz w:val="24"/>
          <w:szCs w:val="24"/>
          <w:highlight w:val="none"/>
        </w:rPr>
        <w:t xml:space="preserve">疫情应急病区的警戒及看守、自然灾害救援等事件）。</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维护医院的正常医疗秩序，保障医院内所有人员的人身和财产安全，保护医院的设施和设备及各类财产不受损失，预防各类政治、刑事案件、治安事件和火灾事故的发生。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配合公安机关、医院保卫部门做好信息的收集工作，防止各类敌对势力的破坏和渗透，对发现的可疑情况和线索应及时向医院保卫部门报告。</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组织人员对院内安全存在的隐患进行查找，及时报告不安全因素，并配合医院保卫部门进行整改。</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全体保安员均为义务消防员，中标人应对保安员进行岗前培训，特别是消防技能的培训，</w:t>
      </w:r>
      <w:r>
        <w:rPr>
          <w:rFonts w:hint="eastAsia" w:ascii="宋体" w:hAnsi="宋体" w:cs="Times New Roman"/>
          <w:bCs/>
          <w:color w:val="auto"/>
          <w:sz w:val="24"/>
          <w:szCs w:val="24"/>
          <w:highlight w:val="none"/>
          <w:lang w:val="en-US" w:eastAsia="zh-CN"/>
        </w:rPr>
        <w:t xml:space="preserve">确保</w:t>
      </w:r>
      <w:r>
        <w:rPr>
          <w:rFonts w:hint="eastAsia" w:ascii="宋体" w:hAnsi="宋体" w:cs="Times New Roman"/>
          <w:bCs/>
          <w:color w:val="auto"/>
          <w:sz w:val="24"/>
          <w:szCs w:val="24"/>
          <w:highlight w:val="none"/>
        </w:rPr>
        <w:t xml:space="preserve">保安员具有一定的业务素质，消防监控室值班人员应按消防法规要求持证（四级/中级消防设施操作员）上岗。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全体保安员均为应急救援队员，中标人应对保安员进行培训，特别是快速反应应急救援培训，当发生火灾、恶性治安案件、重大疫情应急病区的警戒</w:t>
      </w:r>
      <w:r>
        <w:rPr>
          <w:rFonts w:hint="eastAsia" w:ascii="宋体" w:hAnsi="宋体" w:cs="Times New Roman"/>
          <w:bCs/>
          <w:color w:val="auto"/>
          <w:sz w:val="24"/>
          <w:szCs w:val="24"/>
          <w:highlight w:val="none"/>
          <w:lang w:eastAsia="zh-CN"/>
        </w:rPr>
        <w:t xml:space="preserve">及其他自然灾害</w:t>
      </w:r>
      <w:r>
        <w:rPr>
          <w:rFonts w:hint="eastAsia" w:ascii="宋体" w:hAnsi="宋体" w:cs="Times New Roman"/>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建立完善的各项应急救援方案（火警、爆炸、投毒、群体性事件、</w:t>
      </w:r>
      <w:r>
        <w:rPr>
          <w:rFonts w:hint="eastAsia" w:ascii="宋体" w:hAnsi="宋体" w:cs="Times New Roman"/>
          <w:bCs/>
          <w:color w:val="auto"/>
          <w:sz w:val="24"/>
          <w:szCs w:val="24"/>
          <w:highlight w:val="none"/>
          <w:lang w:val="en-US" w:eastAsia="zh-CN"/>
        </w:rPr>
        <w:t xml:space="preserve">伤医滋事、</w:t>
      </w:r>
      <w:r>
        <w:rPr>
          <w:rFonts w:hint="eastAsia" w:ascii="宋体" w:hAnsi="宋体" w:cs="Times New Roman"/>
          <w:bCs/>
          <w:color w:val="auto"/>
          <w:sz w:val="24"/>
          <w:szCs w:val="24"/>
          <w:highlight w:val="none"/>
          <w:lang w:eastAsia="zh-CN"/>
        </w:rPr>
        <w:t xml:space="preserve">其他破坏</w:t>
      </w:r>
      <w:r>
        <w:rPr>
          <w:rFonts w:hint="eastAsia" w:ascii="宋体" w:hAnsi="宋体" w:cs="Times New Roman"/>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医院区域内重大火灾、治安、交通、刑事等事件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医院保卫部门提供一份详细年度计划，做好</w:t>
      </w:r>
      <w:r>
        <w:rPr>
          <w:rFonts w:hint="eastAsia" w:ascii="宋体" w:hAnsi="宋体" w:cs="Times New Roman"/>
          <w:bCs/>
          <w:color w:val="auto"/>
          <w:sz w:val="24"/>
          <w:szCs w:val="24"/>
          <w:highlight w:val="none"/>
          <w:lang w:eastAsia="zh-CN"/>
        </w:rPr>
        <w:t xml:space="preserve">台账</w:t>
      </w:r>
      <w:r>
        <w:rPr>
          <w:rFonts w:hint="eastAsia" w:ascii="宋体" w:hAnsi="宋体" w:cs="Times New Roman"/>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应按要求派出</w:t>
      </w:r>
      <w:r>
        <w:rPr>
          <w:rFonts w:hint="eastAsia" w:ascii="宋体" w:hAnsi="宋体" w:cs="Times New Roman"/>
          <w:bCs/>
          <w:color w:val="auto"/>
          <w:sz w:val="24"/>
          <w:szCs w:val="24"/>
          <w:highlight w:val="none"/>
          <w:lang w:val="en-US" w:eastAsia="zh-CN"/>
        </w:rPr>
        <w:t xml:space="preserve">持证（四级/中级消防设施操作员）人员在消防</w:t>
      </w:r>
      <w:r>
        <w:rPr>
          <w:rFonts w:hint="eastAsia" w:ascii="宋体" w:hAnsi="宋体" w:cs="Times New Roman"/>
          <w:bCs/>
          <w:color w:val="auto"/>
          <w:sz w:val="24"/>
          <w:szCs w:val="24"/>
          <w:highlight w:val="none"/>
        </w:rPr>
        <w:t xml:space="preserve">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10</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保安员应熟悉医院整体地理环境及监控范围，熟练操作、维护使用监控系统设备。</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积极配合医院</w:t>
      </w:r>
      <w:r>
        <w:rPr>
          <w:rFonts w:hint="eastAsia" w:ascii="宋体" w:hAnsi="宋体" w:cs="Times New Roman"/>
          <w:bCs/>
          <w:color w:val="auto"/>
          <w:sz w:val="24"/>
          <w:szCs w:val="24"/>
          <w:highlight w:val="none"/>
          <w:lang w:eastAsia="zh-CN"/>
        </w:rPr>
        <w:t xml:space="preserve">做好</w:t>
      </w:r>
      <w:r>
        <w:rPr>
          <w:rFonts w:hint="eastAsia" w:ascii="宋体" w:hAnsi="宋体" w:cs="Times New Roman"/>
          <w:bCs/>
          <w:color w:val="auto"/>
          <w:sz w:val="24"/>
          <w:szCs w:val="24"/>
          <w:highlight w:val="none"/>
        </w:rPr>
        <w:t xml:space="preserve">安全生产相关的宣传工作</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服务公司必须保证每年有一次对医院开展安全宣传教育的活动</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每月把医院所发生的一些重要情况如实以书面形式汇报到医院保卫部门，每月、季度、半年、年终分别做好事件记录及总结，并交到医院保卫部门备案。</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应按时按岗位安排保安到岗，不得随意减少岗位，因服务改造和岗位调整，医院可根据岗位实际需要在允许的范围内增减保安员数量，每个保安员增减的费用，按照中标合同计算。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14</w:t>
      </w:r>
      <w:r>
        <w:rPr>
          <w:rFonts w:hint="eastAsia" w:ascii="宋体" w:hAnsi="宋体" w:cs="Times New Roman"/>
          <w:bCs/>
          <w:color w:val="auto"/>
          <w:sz w:val="24"/>
          <w:szCs w:val="24"/>
          <w:highlight w:val="none"/>
          <w:lang w:eastAsia="zh-CN"/>
        </w:rPr>
        <w:t xml:space="preserve">）确保</w:t>
      </w:r>
      <w:r>
        <w:rPr>
          <w:rFonts w:hint="eastAsia" w:ascii="宋体" w:hAnsi="宋体" w:cs="Times New Roman"/>
          <w:bCs/>
          <w:color w:val="auto"/>
          <w:sz w:val="24"/>
          <w:szCs w:val="24"/>
          <w:highlight w:val="none"/>
        </w:rPr>
        <w:t xml:space="preserve">每年至少开展1次涉医违法犯罪应急演练、1次消防应急演练。</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rPr>
        <w:t xml:space="preserve">保安员岗位职责：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 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numPr>
          <w:ilvl w:val="0"/>
          <w:numId w:val="6"/>
        </w:num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人员配备：</w:t>
      </w:r>
      <w:r/>
    </w:p>
    <w:p>
      <w:pPr>
        <w:pStyle w:val="788"/>
        <w:ind w:left="420" w:firstLine="618"/>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1.基本年龄范围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所有保安人员上岗时年龄须在18周岁以上，身体健康，能胜任岗位工作。</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2.新进人员年龄限制</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新招聘的保安人员年龄不得超过5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周岁（即新进人员须小于5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岁）。已在队伍中、超过55周岁的现有保安人员可继续留用，不受本款限制。</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3.50周岁以下人员占比</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全体保安人员中，50周岁以下的人员占比不低于20%（即≥20%）。该比例为硬性达标条件，为《医院安全防范要求》新国标（GB/T31458-2026）要求条款，投标人须在响应文件中明确承诺并列出符合条件的人员清单。</w:t>
      </w:r>
      <w:r/>
    </w:p>
    <w:p>
      <w:pPr>
        <w:pStyle w:val="788"/>
        <w:ind w:left="420" w:firstLine="618"/>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机动队兼微型消防站队员年龄</w:t>
      </w:r>
      <w:r/>
    </w:p>
    <w:p>
      <w:pPr>
        <w:pStyle w:val="788"/>
        <w:ind w:left="420" w:firstLine="618"/>
        <w:spacing w:line="360" w:lineRule="auto"/>
        <w:rPr>
          <w:rFonts w:hint="eastAsia" w:ascii="宋体" w:hAnsi="宋体" w:eastAsia="宋体" w:cs="Times New Roman"/>
          <w:b/>
          <w:bCs w:val="0"/>
          <w:color w:val="auto"/>
          <w:sz w:val="24"/>
          <w:szCs w:val="24"/>
          <w:highlight w:val="none"/>
          <w:u w:val="none"/>
        </w:rPr>
      </w:pPr>
      <w:r>
        <w:rPr>
          <w:rFonts w:hint="eastAsia" w:ascii="宋体" w:hAnsi="宋体" w:eastAsia="宋体" w:cs="宋体"/>
          <w:b w:val="0"/>
          <w:bCs w:val="0"/>
          <w:color w:val="auto"/>
          <w:sz w:val="24"/>
          <w:szCs w:val="24"/>
          <w:highlight w:val="none"/>
        </w:rPr>
        <w:t xml:space="preserve">机动队及微型消防站队员的年龄不超过50周岁，以确保应急处突体能和反应速度。</w:t>
      </w:r>
      <w:r/>
    </w:p>
    <w:p>
      <w:pPr>
        <w:pStyle w:val="788"/>
        <w:ind w:firstLine="85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高新院区保安服务岗位配置</w:t>
      </w:r>
      <w:r/>
    </w:p>
    <w:tbl>
      <w:tblPr>
        <w:tblStyle w:val="783"/>
        <w:tblW w:w="9413" w:type="dxa"/>
        <w:tblInd w:w="-58" w:type="dxa"/>
        <w:tblLayout w:type="fixed"/>
        <w:tblCellMar>
          <w:left w:w="108" w:type="dxa"/>
          <w:top w:w="0" w:type="dxa"/>
          <w:right w:w="108" w:type="dxa"/>
          <w:bottom w:w="0" w:type="dxa"/>
        </w:tblCellMar>
        <w:tblLook w:val="04A0" w:firstRow="1" w:lastRow="0" w:firstColumn="1" w:lastColumn="0" w:noHBand="0" w:noVBand="1"/>
      </w:tblPr>
      <w:tblGrid>
        <w:gridCol w:w="612"/>
        <w:gridCol w:w="1454"/>
        <w:gridCol w:w="830"/>
        <w:gridCol w:w="1108"/>
        <w:gridCol w:w="762"/>
        <w:gridCol w:w="1984"/>
        <w:gridCol w:w="2663"/>
      </w:tblGrid>
      <w:tr>
        <w:trPr>
          <w:trHeight w:val="660"/>
        </w:trPr>
        <w:tc>
          <w:tcPr>
            <w:shd w:val="clear" w:color="auto" w:fill="auto"/>
            <w:tcBorders>
              <w:top w:val="single" w:color="000000" w:sz="8"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rPr>
                <w:color w:val="auto"/>
              </w:rPr>
            </w:r>
            <w:r/>
          </w:p>
        </w:tc>
        <w:tc>
          <w:tcPr>
            <w:shd w:val="clear" w:color="auto" w:fill="auto"/>
            <w:tcBorders>
              <w:top w:val="single" w:color="000000" w:sz="8"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岗位</w:t>
            </w:r>
            <w:r>
              <w:rPr>
                <w:color w:val="auto"/>
              </w:rPr>
            </w:r>
            <w:r/>
          </w:p>
        </w:tc>
        <w:tc>
          <w:tcPr>
            <w:shd w:val="clear" w:color="auto" w:fill="auto"/>
            <w:tcBorders>
              <w:top w:val="single" w:color="000000" w:sz="8" w:space="0"/>
              <w:left w:val="single" w:color="000000" w:sz="4" w:space="0"/>
              <w:bottom w:val="single" w:color="000000" w:sz="4" w:space="0"/>
              <w:right w:val="single" w:color="000000" w:sz="4" w:space="0"/>
            </w:tcBorders>
            <w:tcW w:w="830"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岗位数</w:t>
            </w:r>
            <w:r>
              <w:rPr>
                <w:color w:val="auto"/>
              </w:rPr>
            </w:r>
            <w:r/>
          </w:p>
        </w:tc>
        <w:tc>
          <w:tcPr>
            <w:shd w:val="clear" w:color="auto" w:fill="auto"/>
            <w:tcBorders>
              <w:top w:val="single" w:color="000000" w:sz="8" w:space="0"/>
              <w:left w:val="single" w:color="000000" w:sz="4" w:space="0"/>
              <w:bottom w:val="single" w:color="000000" w:sz="4" w:space="0"/>
              <w:right w:val="single" w:color="000000" w:sz="8" w:space="0"/>
            </w:tcBorders>
            <w:tcW w:w="1108"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排班制</w:t>
            </w:r>
            <w:r>
              <w:rPr>
                <w:color w:val="auto"/>
              </w:rPr>
            </w:r>
            <w:r/>
          </w:p>
        </w:tc>
        <w:tc>
          <w:tcPr>
            <w:shd w:val="clear" w:color="auto" w:fill="auto"/>
            <w:tcBorders>
              <w:top w:val="single" w:color="000000" w:sz="8" w:space="0"/>
              <w:left w:val="single" w:color="000000" w:sz="4" w:space="0"/>
              <w:bottom w:val="single" w:color="000000" w:sz="4" w:space="0"/>
              <w:right w:val="single" w:color="000000" w:sz="8" w:space="0"/>
            </w:tcBorders>
            <w:tcW w:w="762"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保安数量</w:t>
            </w:r>
            <w:r>
              <w:rPr>
                <w:color w:val="auto"/>
              </w:rPr>
            </w:r>
            <w:r/>
          </w:p>
        </w:tc>
        <w:tc>
          <w:tcPr>
            <w:shd w:val="clear" w:color="auto" w:fill="auto"/>
            <w:tcBorders>
              <w:top w:val="single" w:color="000000" w:sz="8"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rPr>
                <w:color w:val="auto"/>
              </w:rPr>
            </w:r>
            <w:r/>
          </w:p>
        </w:tc>
        <w:tc>
          <w:tcPr>
            <w:shd w:val="clear" w:color="auto" w:fill="auto"/>
            <w:tcBorders>
              <w:top w:val="single" w:color="000000" w:sz="8"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配置依据</w:t>
            </w:r>
            <w:r>
              <w:rPr>
                <w:color w:val="auto"/>
              </w:rPr>
            </w:r>
            <w:r/>
          </w:p>
        </w:tc>
      </w:tr>
      <w:tr>
        <w:trPr>
          <w:trHeight w:val="706"/>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项目负责人</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医院作息制度</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持有保卫管理员，年龄50岁以下。</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实际需要</w:t>
            </w:r>
            <w:r>
              <w:rPr>
                <w:color w:val="auto"/>
              </w:rPr>
            </w:r>
            <w:r/>
          </w:p>
        </w:tc>
      </w:tr>
      <w:tr>
        <w:trPr>
          <w:trHeight w:val="1172"/>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资料员（台账集成、内部考勤、巡查考核）</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医院作息制度</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color w:val="auto"/>
                <w:sz w:val="21"/>
                <w:szCs w:val="21"/>
                <w:highlight w:val="none"/>
              </w:rPr>
              <w:t xml:space="preserve">大专及以上学历，能熟练使用办公软件，具备2年以上文员或台账管理相关工作经验</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实际需要</w:t>
            </w:r>
            <w:r>
              <w:rPr>
                <w:color w:val="auto"/>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★带班队长</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男，年龄50</w:t>
            </w:r>
            <w:r>
              <w:rPr>
                <w:rStyle w:val="1108"/>
                <w:rFonts w:hint="eastAsia" w:ascii="宋体" w:hAnsi="宋体" w:eastAsia="宋体" w:cs="宋体"/>
                <w:color w:val="auto"/>
                <w:sz w:val="21"/>
                <w:szCs w:val="21"/>
                <w:highlight w:val="none"/>
                <w:lang w:bidi="ar"/>
              </w:rPr>
              <w:t xml:space="preserve">岁以下，工资实发≥</w:t>
            </w:r>
            <w:r>
              <w:rPr>
                <w:rStyle w:val="1109"/>
                <w:rFonts w:hint="eastAsia" w:ascii="宋体" w:hAnsi="宋体" w:eastAsia="宋体" w:cs="宋体"/>
                <w:color w:val="auto"/>
                <w:sz w:val="21"/>
                <w:szCs w:val="21"/>
                <w:highlight w:val="none"/>
                <w:lang w:bidi="ar"/>
              </w:rPr>
              <w:t xml:space="preserve">3</w:t>
            </w:r>
            <w:r>
              <w:rPr>
                <w:rStyle w:val="1109"/>
                <w:rFonts w:hint="eastAsia" w:ascii="宋体" w:hAnsi="宋体" w:cs="宋体"/>
                <w:color w:val="auto"/>
                <w:sz w:val="21"/>
                <w:szCs w:val="21"/>
                <w:highlight w:val="none"/>
                <w:lang w:val="en-US" w:eastAsia="zh-CN" w:bidi="ar"/>
              </w:rPr>
              <w:t xml:space="preserve">2</w:t>
            </w:r>
            <w:r>
              <w:rPr>
                <w:rStyle w:val="1109"/>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实际需要</w:t>
            </w:r>
            <w:r>
              <w:rPr>
                <w:color w:val="auto"/>
              </w:rPr>
            </w:r>
            <w:r/>
          </w:p>
        </w:tc>
      </w:tr>
      <w:tr>
        <w:trPr>
          <w:trHeight w:val="1654"/>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★宣教馆培训员（消防培训；宣教馆讲解员；内部消防安全培训）</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医院作息制度</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消防设施操作员四级及以上，年龄50岁以下，工资实发≥3</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00，大专及以上学历。</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实际需要</w:t>
            </w:r>
            <w:r>
              <w:rPr>
                <w:color w:val="auto"/>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★机动队兼微型消防站队员</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年龄</w:t>
            </w:r>
            <w:r>
              <w:rPr>
                <w:rStyle w:val="1111"/>
                <w:rFonts w:hint="eastAsia" w:ascii="宋体" w:hAnsi="宋体" w:eastAsia="宋体" w:cs="宋体"/>
                <w:color w:val="auto"/>
                <w:sz w:val="21"/>
                <w:szCs w:val="21"/>
                <w:highlight w:val="none"/>
                <w:lang w:bidi="ar"/>
              </w:rPr>
              <w:t xml:space="preserve">50周岁以下</w:t>
            </w:r>
            <w:r>
              <w:rPr>
                <w:rStyle w:val="1110"/>
                <w:rFonts w:hint="eastAsia" w:ascii="宋体" w:hAnsi="宋体" w:eastAsia="宋体" w:cs="宋体"/>
                <w:color w:val="auto"/>
                <w:sz w:val="21"/>
                <w:szCs w:val="21"/>
                <w:highlight w:val="none"/>
                <w:lang w:bidi="ar"/>
              </w:rPr>
              <w:t xml:space="preserve">；工资实发≥3</w:t>
            </w:r>
            <w:r>
              <w:rPr>
                <w:rStyle w:val="1110"/>
                <w:rFonts w:hint="eastAsia" w:ascii="宋体" w:hAnsi="宋体" w:cs="宋体"/>
                <w:color w:val="auto"/>
                <w:sz w:val="21"/>
                <w:szCs w:val="21"/>
                <w:highlight w:val="none"/>
                <w:lang w:val="en-US" w:eastAsia="zh-CN" w:bidi="ar"/>
              </w:rPr>
              <w:t xml:space="preserve">0</w:t>
            </w:r>
            <w:r>
              <w:rPr>
                <w:rStyle w:val="1110"/>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Style w:val="1110"/>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国家消防救援局文件要求：《社会单位微型消防站建设标准》（消防〔2025〕33号）第三部分“人员配备”中的第（二）条“微型消防站人数应满足初起火灾扑救、日常防火巡查的需要，原则上按照不少于6人配备”</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★消防控制室</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1人兼职消控室负责人</w:t>
            </w:r>
            <w:r>
              <w:rPr>
                <w:rFonts w:hint="eastAsia" w:ascii="宋体" w:hAnsi="宋体" w:cs="宋体"/>
                <w:color w:val="auto"/>
                <w:sz w:val="21"/>
                <w:szCs w:val="21"/>
                <w:highlight w:val="none"/>
                <w:lang w:eastAsia="zh-CN" w:bidi="ar"/>
              </w:rPr>
              <w:t xml:space="preserve">）</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消防设施操作员四级及以上；</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工资实发≥4500；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国标要求：《消防控制室通用技术要求》（GB 25506-2010）第4.2.1条：实行每日24小时专人值班制度，每班不应少于2人，值班人员应持有消防控制室操作职业资格证书。</w:t>
            </w:r>
            <w:r>
              <w:rPr>
                <w:color w:val="auto"/>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Style w:val="1109"/>
                <w:rFonts w:hint="eastAsia" w:ascii="宋体" w:hAnsi="宋体" w:eastAsia="宋体" w:cs="宋体"/>
                <w:color w:val="auto"/>
                <w:sz w:val="21"/>
                <w:szCs w:val="21"/>
                <w:highlight w:val="none"/>
              </w:rPr>
            </w:pPr>
            <w:r>
              <w:rPr>
                <w:rStyle w:val="1109"/>
                <w:rFonts w:hint="eastAsia" w:ascii="宋体" w:hAnsi="宋体" w:eastAsia="宋体" w:cs="宋体"/>
                <w:color w:val="auto"/>
                <w:sz w:val="21"/>
                <w:szCs w:val="21"/>
                <w:highlight w:val="none"/>
                <w:lang w:bidi="ar"/>
              </w:rPr>
              <w:t xml:space="preserve">门诊安检岗</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p>
            <w:pPr>
              <w:jc w:val="center"/>
              <w:widowControl/>
              <w:rPr>
                <w:rFonts w:hint="eastAsia" w:ascii="宋体" w:hAnsi="宋体" w:eastAsia="宋体" w:cs="宋体"/>
                <w:color w:val="auto"/>
                <w:sz w:val="21"/>
                <w:szCs w:val="21"/>
                <w:highlight w:val="none"/>
              </w:rPr>
            </w:pPr>
            <w:r>
              <w:rPr>
                <w:rStyle w:val="1109"/>
                <w:rFonts w:hint="eastAsia" w:ascii="宋体" w:hAnsi="宋体" w:eastAsia="宋体" w:cs="宋体"/>
                <w:color w:val="auto"/>
                <w:sz w:val="21"/>
                <w:szCs w:val="21"/>
                <w:highlight w:val="none"/>
                <w:lang w:bidi="ar"/>
              </w:rPr>
              <w:t xml:space="preserve">（履带式安检岗、手持式安检岗）</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Style w:val="1110"/>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国标要求：《医院安全防范要求》(GB/T31458-2026）：</w:t>
            </w:r>
            <w:r>
              <w:rPr>
                <w:color w:val="auto"/>
              </w:rPr>
            </w:r>
            <w:r/>
          </w:p>
          <w:p>
            <w:pPr>
              <w:jc w:val="center"/>
              <w:widowControl/>
              <w:rPr>
                <w:rStyle w:val="1110"/>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在医院主要入口、门诊部和急诊部入口设置安检区的，应配备微剂量X射线安全检查设备、通过式金属探测门和手持式金属探测器，宜配备液态危险化学品安全检查仪;</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09"/>
                <w:rFonts w:hint="eastAsia" w:ascii="宋体" w:hAnsi="宋体" w:eastAsia="宋体" w:cs="宋体"/>
                <w:color w:val="auto"/>
                <w:sz w:val="21"/>
                <w:szCs w:val="21"/>
                <w:highlight w:val="none"/>
                <w:lang w:bidi="ar"/>
              </w:rPr>
              <w:t xml:space="preserve">急诊安检岗</w:t>
            </w:r>
            <w:r>
              <w:rPr>
                <w:rStyle w:val="1113"/>
                <w:rFonts w:hint="eastAsia" w:ascii="宋体" w:hAnsi="宋体" w:eastAsia="宋体" w:cs="宋体"/>
                <w:color w:val="auto"/>
                <w:sz w:val="21"/>
                <w:szCs w:val="21"/>
                <w:highlight w:val="none"/>
                <w:lang w:bidi="ar"/>
              </w:rPr>
              <w:br/>
            </w:r>
            <w:r>
              <w:rPr>
                <w:rStyle w:val="1109"/>
                <w:rFonts w:hint="eastAsia" w:ascii="宋体" w:hAnsi="宋体" w:eastAsia="宋体" w:cs="宋体"/>
                <w:color w:val="auto"/>
                <w:sz w:val="21"/>
                <w:szCs w:val="21"/>
                <w:highlight w:val="none"/>
                <w:lang w:bidi="ar"/>
              </w:rPr>
              <w:t xml:space="preserve">（兼急诊代客泊车）</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Style w:val="1110"/>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国标要求：《医院安全防范要求》(GB/T31458-2026）：</w:t>
            </w:r>
            <w:r>
              <w:rPr>
                <w:color w:val="auto"/>
              </w:rPr>
            </w:r>
            <w:r/>
          </w:p>
          <w:p>
            <w:pPr>
              <w:jc w:val="center"/>
              <w:widowControl/>
              <w:rPr>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在医院主要入口、门诊部和急诊部入口设置安检区的，应配备微剂量X射线安全检查设备、通过式金属探测门和手持式金属探测器，宜配备液态危险化学品安全检查仪;</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Style w:val="1109"/>
                <w:rFonts w:hint="eastAsia" w:ascii="宋体" w:hAnsi="宋体" w:eastAsia="宋体" w:cs="宋体"/>
                <w:color w:val="auto"/>
                <w:sz w:val="21"/>
                <w:szCs w:val="21"/>
                <w:highlight w:val="none"/>
              </w:rPr>
            </w:pPr>
            <w:r>
              <w:rPr>
                <w:rStyle w:val="1109"/>
                <w:rFonts w:hint="eastAsia" w:ascii="宋体" w:hAnsi="宋体" w:eastAsia="宋体" w:cs="宋体"/>
                <w:color w:val="auto"/>
                <w:sz w:val="21"/>
                <w:szCs w:val="21"/>
                <w:highlight w:val="none"/>
                <w:lang w:bidi="ar"/>
              </w:rPr>
              <w:t xml:space="preserve">病区入口安检</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Style w:val="1113"/>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p>
            <w:pPr>
              <w:jc w:val="center"/>
              <w:widowControl/>
              <w:rPr>
                <w:rStyle w:val="1112"/>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4号楼1楼北侧住院入口、6号楼1楼北侧住院入口、7号楼1楼北侧住院楼入口；</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安检工作实际需求</w:t>
            </w:r>
            <w:r>
              <w:rPr>
                <w:color w:val="auto"/>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Style w:val="1109"/>
                <w:rFonts w:hint="eastAsia" w:ascii="宋体" w:hAnsi="宋体" w:eastAsia="宋体" w:cs="宋体"/>
                <w:color w:val="auto"/>
                <w:sz w:val="21"/>
                <w:szCs w:val="21"/>
                <w:highlight w:val="none"/>
              </w:rPr>
            </w:pPr>
            <w:r>
              <w:rPr>
                <w:rStyle w:val="1109"/>
                <w:rFonts w:hint="eastAsia" w:ascii="宋体" w:hAnsi="宋体" w:eastAsia="宋体" w:cs="宋体"/>
                <w:color w:val="auto"/>
                <w:sz w:val="21"/>
                <w:szCs w:val="21"/>
                <w:highlight w:val="none"/>
                <w:lang w:bidi="ar"/>
              </w:rPr>
              <w:t xml:space="preserve">门岗</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常夜班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年龄55以下</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4个出入口</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国标要求：《医院安全防范要求》(GB/T31458-2026）</w:t>
            </w:r>
            <w:r>
              <w:rPr>
                <w:rFonts w:hint="eastAsia" w:ascii="宋体" w:hAnsi="宋体" w:eastAsia="宋体" w:cs="宋体"/>
                <w:color w:val="auto"/>
                <w:sz w:val="21"/>
                <w:szCs w:val="21"/>
                <w:highlight w:val="none"/>
                <w:lang w:bidi="ar"/>
              </w:rPr>
              <w:t xml:space="preserve">：</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6.3医院主要出入口应设置保卫执勤岗位。</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Style w:val="1109"/>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w:t>
            </w:r>
            <w:r>
              <w:rPr>
                <w:rStyle w:val="1112"/>
                <w:rFonts w:ascii="宋体" w:hAnsi="宋体" w:cs="宋体"/>
                <w:color w:val="auto"/>
                <w:sz w:val="21"/>
                <w:szCs w:val="21"/>
                <w:highlight w:val="none"/>
                <w:lang w:bidi="ar"/>
              </w:rPr>
              <w:t xml:space="preserve">院区周边交通秩序维护岗</w:t>
            </w:r>
            <w:r>
              <w:rPr>
                <w:rStyle w:val="1112"/>
                <w:rFonts w:hint="eastAsia" w:ascii="宋体" w:hAnsi="宋体" w:eastAsia="宋体" w:cs="宋体"/>
                <w:color w:val="auto"/>
                <w:sz w:val="21"/>
                <w:szCs w:val="21"/>
                <w:highlight w:val="none"/>
                <w:lang w:bidi="ar"/>
              </w:rPr>
              <w:t xml:space="preserve">（振华路主路、科苑北路交通整治）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年龄50以下；工资实发≥3</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00；退役军人或公安系统辅警工作经历；</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警医共建需求：</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经协商我院招聘人员由交警一大队培训后，经一大队授权协助治理我院门外交通。</w:t>
            </w:r>
            <w:r>
              <w:rPr>
                <w:color w:val="auto"/>
              </w:rPr>
            </w:r>
            <w:r/>
          </w:p>
        </w:tc>
      </w:tr>
      <w:tr>
        <w:trPr>
          <w:trHeight w:val="276"/>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Style w:val="1109"/>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bidi="ar"/>
              </w:rPr>
              <w:t xml:space="preserve">治安巡逻协防岗</w:t>
            </w:r>
            <w:r>
              <w:rPr>
                <w:rFonts w:hint="eastAsia" w:ascii="宋体" w:hAnsi="宋体" w:eastAsia="宋体" w:cs="宋体"/>
                <w:color w:val="auto"/>
                <w:sz w:val="21"/>
                <w:szCs w:val="21"/>
                <w:highlight w:val="none"/>
                <w:lang w:bidi="ar"/>
              </w:rPr>
              <w:t xml:space="preserve">（兼门诊大厅巡逻）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年龄50以下；工资实发≥3</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00；退役军人或公安系统辅警工作经历；</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警医共建需求：</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经协商我院招聘人员由郁州派出所培训后，经派出所授权协助正式民警开展带队日常巡逻、治安整治、纠纷调处等工作。</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★急诊抢救室门前（兼急诊应急处突）</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Style w:val="1112"/>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年龄</w:t>
            </w:r>
            <w:r>
              <w:rPr>
                <w:rStyle w:val="1114"/>
                <w:rFonts w:hint="eastAsia" w:ascii="宋体" w:hAnsi="宋体" w:eastAsia="宋体" w:cs="宋体"/>
                <w:color w:val="auto"/>
                <w:sz w:val="21"/>
                <w:szCs w:val="21"/>
                <w:highlight w:val="none"/>
                <w:lang w:bidi="ar"/>
              </w:rPr>
              <w:t xml:space="preserve">50岁以下</w:t>
            </w:r>
            <w:r>
              <w:rPr>
                <w:rStyle w:val="1112"/>
                <w:rFonts w:hint="eastAsia" w:ascii="宋体" w:hAnsi="宋体" w:eastAsia="宋体" w:cs="宋体"/>
                <w:color w:val="auto"/>
                <w:sz w:val="21"/>
                <w:szCs w:val="21"/>
                <w:highlight w:val="none"/>
                <w:lang w:bidi="ar"/>
              </w:rPr>
              <w:t xml:space="preserve">；</w:t>
            </w:r>
            <w:r>
              <w:rPr>
                <w:color w:val="auto"/>
              </w:rPr>
            </w:r>
            <w:r/>
          </w:p>
          <w:p>
            <w:pPr>
              <w:jc w:val="center"/>
              <w:widowControl/>
              <w:rPr>
                <w:rStyle w:val="1112"/>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身高≥1.8米；</w:t>
            </w:r>
            <w:r>
              <w:rPr>
                <w:color w:val="auto"/>
              </w:rPr>
            </w:r>
            <w:r/>
          </w:p>
          <w:p>
            <w:pPr>
              <w:jc w:val="center"/>
              <w:widowControl/>
              <w:rPr>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工资实发≥3</w:t>
            </w:r>
            <w:r>
              <w:rPr>
                <w:rStyle w:val="1112"/>
                <w:rFonts w:hint="eastAsia" w:ascii="宋体" w:hAnsi="宋体" w:cs="宋体"/>
                <w:color w:val="auto"/>
                <w:sz w:val="21"/>
                <w:szCs w:val="21"/>
                <w:highlight w:val="none"/>
                <w:lang w:val="en-US" w:eastAsia="zh-CN" w:bidi="ar"/>
              </w:rPr>
              <w:t xml:space="preserve">0</w:t>
            </w:r>
            <w:r>
              <w:rPr>
                <w:rStyle w:val="1112"/>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实际需求：</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急诊区域各类醉酒、闹事等突发事件较多，医护人员安全风险高，协助急诊做好安全防范。</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行政楼一楼值守岗</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Style w:val="1112"/>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行政楼管理实际需求</w:t>
            </w:r>
            <w:r>
              <w:rPr>
                <w:color w:val="auto"/>
              </w:rPr>
            </w:r>
            <w:r/>
          </w:p>
        </w:tc>
      </w:tr>
      <w:tr>
        <w:trPr>
          <w:trHeight w:val="938"/>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行政楼七楼值守岗</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两班倒</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Style w:val="1112"/>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行政楼管理实际需求</w:t>
            </w:r>
            <w:r>
              <w:rPr>
                <w:color w:val="auto"/>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院内机动车辆管理</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年龄55以下；</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门诊门前、急诊门前、院内停车场南区、院内停车场北区、地下车库、非机动车停车场车辆管理；</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4号楼北大厅、6号</w:t>
            </w:r>
            <w:r>
              <w:rPr>
                <w:rFonts w:hint="eastAsia" w:ascii="宋体" w:hAnsi="宋体" w:cs="宋体"/>
                <w:color w:val="auto"/>
                <w:sz w:val="21"/>
                <w:szCs w:val="21"/>
                <w:highlight w:val="none"/>
                <w:lang w:eastAsia="zh-CN" w:bidi="ar"/>
              </w:rPr>
              <w:t xml:space="preserve">楼</w:t>
            </w:r>
            <w:r>
              <w:rPr>
                <w:rFonts w:hint="eastAsia" w:ascii="宋体" w:hAnsi="宋体" w:eastAsia="宋体" w:cs="宋体"/>
                <w:color w:val="auto"/>
                <w:sz w:val="21"/>
                <w:szCs w:val="21"/>
                <w:highlight w:val="none"/>
                <w:lang w:bidi="ar"/>
              </w:rPr>
              <w:t xml:space="preserve">北大厅接送出院患者车辆、药品、耗材货运车辆管理；</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车辆管理实际需求</w:t>
            </w:r>
            <w:r>
              <w:rPr>
                <w:color w:val="auto"/>
              </w:rPr>
            </w:r>
            <w:r/>
          </w:p>
        </w:tc>
      </w:tr>
      <w:tr>
        <w:trPr>
          <w:trHeight w:val="1233"/>
        </w:trPr>
        <w:tc>
          <w:tcPr>
            <w:shd w:val="clear" w:color="auto" w:fill="auto"/>
            <w:tcBorders>
              <w:top w:val="single" w:color="000000" w:sz="4" w:space="0"/>
              <w:left w:val="single" w:color="000000" w:sz="8"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血液净化中心</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10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7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198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年龄50以下；工资实发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rPr>
                <w:color w:val="auto"/>
              </w:rPr>
            </w:r>
            <w:r/>
          </w:p>
        </w:tc>
        <w:tc>
          <w:tcPr>
            <w:shd w:val="clear" w:color="auto" w:fill="auto"/>
            <w:tcBorders>
              <w:top w:val="single" w:color="000000" w:sz="4" w:space="0"/>
              <w:left w:val="single" w:color="000000" w:sz="4" w:space="0"/>
              <w:bottom w:val="single" w:color="000000" w:sz="4" w:space="0"/>
              <w:right w:val="single" w:color="000000" w:sz="8" w:space="0"/>
            </w:tcBorders>
            <w:tcW w:w="2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实际需求</w:t>
            </w:r>
            <w:r>
              <w:rPr>
                <w:color w:val="auto"/>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透析群体为社会特殊群体，管理难度大，医护人员安全风险高，协助病区做好安全防范</w:t>
            </w:r>
            <w:r>
              <w:rPr>
                <w:color w:val="auto"/>
              </w:rPr>
            </w:r>
            <w:r/>
          </w:p>
        </w:tc>
      </w:tr>
      <w:tr>
        <w:trPr>
          <w:trHeight w:val="615"/>
        </w:trPr>
        <w:tc>
          <w:tcPr>
            <w:gridSpan w:val="2"/>
            <w:shd w:val="clear" w:color="auto" w:fill="auto"/>
            <w:tcBorders>
              <w:top w:val="single" w:color="000000" w:sz="4" w:space="0"/>
              <w:left w:val="single" w:color="000000" w:sz="8" w:space="0"/>
              <w:bottom w:val="single" w:color="000000" w:sz="4" w:space="0"/>
              <w:right w:val="single" w:color="000000" w:sz="4" w:space="0"/>
            </w:tcBorders>
            <w:tcW w:w="20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rPr>
                <w:color w:val="auto"/>
              </w:rPr>
            </w:r>
            <w:r/>
          </w:p>
        </w:tc>
        <w:tc>
          <w:tcPr>
            <w:gridSpan w:val="5"/>
            <w:shd w:val="clear" w:color="auto" w:fill="auto"/>
            <w:tcBorders>
              <w:top w:val="single" w:color="000000" w:sz="4" w:space="0"/>
              <w:left w:val="single" w:color="000000" w:sz="4" w:space="0"/>
              <w:bottom w:val="single" w:color="000000" w:sz="4" w:space="0"/>
              <w:right w:val="single" w:color="000000" w:sz="8" w:space="0"/>
            </w:tcBorders>
            <w:tcW w:w="73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高新院区设置17个岗位，共需要保安员82人</w:t>
            </w:r>
            <w:r>
              <w:rPr>
                <w:rFonts w:hint="eastAsia" w:ascii="宋体" w:hAnsi="宋体" w:eastAsia="宋体" w:cs="宋体"/>
                <w:color w:val="auto"/>
                <w:sz w:val="21"/>
                <w:szCs w:val="21"/>
                <w:highlight w:val="none"/>
                <w:lang w:eastAsia="zh-CN" w:bidi="ar"/>
              </w:rPr>
              <w:t xml:space="preserve">。</w:t>
            </w:r>
            <w:r>
              <w:rPr>
                <w:color w:val="auto"/>
              </w:rPr>
            </w:r>
            <w:r/>
          </w:p>
        </w:tc>
      </w:tr>
    </w:tbl>
    <w:p>
      <w:pPr>
        <w:ind w:right="-512"/>
        <w:spacing w:line="460" w:lineRule="exact"/>
        <w:rPr>
          <w:rFonts w:hint="eastAsia" w:ascii="宋体" w:hAnsi="宋体" w:cs="Times New Roman"/>
          <w:color w:val="auto"/>
          <w:sz w:val="24"/>
          <w:szCs w:val="24"/>
          <w:highlight w:val="none"/>
        </w:rPr>
        <w:outlineLvl w:val="1"/>
      </w:pPr>
      <w:r>
        <w:rPr>
          <w:rFonts w:hint="eastAsia" w:ascii="宋体" w:hAnsi="宋体" w:cs="Times New Roman"/>
          <w:b/>
          <w:bCs/>
          <w:color w:val="auto"/>
          <w:sz w:val="24"/>
          <w:szCs w:val="24"/>
          <w:highlight w:val="none"/>
        </w:rPr>
        <w:t xml:space="preserve">注：</w:t>
      </w:r>
      <w:r>
        <w:rPr>
          <w:rFonts w:hint="eastAsia" w:ascii="宋体" w:hAnsi="宋体" w:cs="Times New Roman"/>
          <w:color w:val="auto"/>
          <w:sz w:val="24"/>
          <w:szCs w:val="24"/>
          <w:highlight w:val="none"/>
        </w:rPr>
        <w:t xml:space="preserve">1.以上岗位为常规岗位，配置人员数量为最低要求。若在合同履行期间因医院发展</w:t>
      </w:r>
      <w:r>
        <w:rPr>
          <w:rFonts w:hint="eastAsia" w:ascii="宋体" w:hAnsi="宋体" w:cs="Times New Roman"/>
          <w:color w:val="auto"/>
          <w:sz w:val="24"/>
          <w:szCs w:val="24"/>
          <w:highlight w:val="none"/>
          <w:lang w:eastAsia="zh-CN"/>
        </w:rPr>
        <w:t xml:space="preserve">或其他原因</w:t>
      </w:r>
      <w:r>
        <w:rPr>
          <w:rFonts w:hint="eastAsia" w:ascii="宋体" w:hAnsi="宋体" w:cs="Times New Roman"/>
          <w:color w:val="auto"/>
          <w:sz w:val="24"/>
          <w:szCs w:val="24"/>
          <w:highlight w:val="none"/>
        </w:rPr>
        <w:t xml:space="preserve">需要增加的岗位时，按照岗位报价的工资予以计算增加；</w:t>
      </w:r>
      <w:r/>
    </w:p>
    <w:p>
      <w:pPr>
        <w:ind w:left="-359" w:right="-512" w:firstLine="480"/>
        <w:spacing w:line="460" w:lineRule="exact"/>
        <w:rPr>
          <w:rFonts w:hint="eastAsia" w:ascii="宋体" w:hAnsi="宋体" w:eastAsia="宋体" w:cs="Times New Roman"/>
          <w:b/>
          <w:bCs/>
          <w:color w:val="auto"/>
          <w:sz w:val="24"/>
          <w:szCs w:val="24"/>
          <w:highlight w:val="none"/>
          <w:lang w:eastAsia="zh-CN"/>
        </w:rPr>
        <w:outlineLvl w:val="1"/>
      </w:pPr>
      <w:r>
        <w:rPr>
          <w:rFonts w:hint="eastAsia" w:ascii="宋体" w:hAnsi="宋体" w:cs="Times New Roman"/>
          <w:color w:val="auto"/>
          <w:sz w:val="24"/>
          <w:szCs w:val="24"/>
          <w:highlight w:val="none"/>
        </w:rPr>
        <w:t xml:space="preserve">2.合理调整人员劳动时长，依法缴纳社保，确保人员工作时长满足法定要求。因上述问题产生的劳动纠纷由中标人承担</w:t>
      </w:r>
      <w:r>
        <w:rPr>
          <w:rFonts w:hint="eastAsia" w:ascii="宋体" w:hAnsi="宋体" w:cs="Times New Roman"/>
          <w:color w:val="auto"/>
          <w:sz w:val="24"/>
          <w:szCs w:val="24"/>
          <w:highlight w:val="none"/>
          <w:lang w:eastAsia="zh-CN"/>
        </w:rPr>
        <w:t xml:space="preserve">。</w:t>
      </w:r>
      <w:r/>
    </w:p>
    <w:p>
      <w:pPr>
        <w:ind w:left="-359" w:right="-512" w:firstLine="482"/>
        <w:spacing w:line="460" w:lineRule="exact"/>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四、安防物资配备要求</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1.为保安项目部配备电脑、打印机、扫描仪、打印纸、签字笔、文件盒、文件夹、办公耗材等必要办公设备。</w:t>
      </w:r>
      <w:r/>
    </w:p>
    <w:p>
      <w:pPr>
        <w:spacing w:line="560" w:lineRule="exact"/>
        <w:rPr>
          <w:rFonts w:hint="eastAsia" w:eastAsia="宋体"/>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.提供以下安防物资供保安员开展执勤任务使用。</w:t>
      </w:r>
      <w:r/>
    </w:p>
    <w:p>
      <w:pPr>
        <w:pStyle w:val="836"/>
        <w:jc w:val="center"/>
        <w:rPr>
          <w:rFonts w:hint="eastAsia"/>
          <w:color w:val="auto"/>
          <w:sz w:val="24"/>
          <w:szCs w:val="24"/>
          <w:highlight w:val="none"/>
        </w:rPr>
      </w:pPr>
      <w:r>
        <w:rPr>
          <w:rFonts w:hint="eastAsia"/>
          <w:color w:val="auto"/>
          <w:sz w:val="24"/>
          <w:szCs w:val="24"/>
          <w:highlight w:val="none"/>
        </w:rPr>
        <w:t xml:space="preserve">高新区院区</w:t>
      </w:r>
      <w:r/>
    </w:p>
    <w:tbl>
      <w:tblPr>
        <w:tblStyle w:val="783"/>
        <w:tblW w:w="9688"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4"/>
        <w:gridCol w:w="757"/>
        <w:gridCol w:w="859"/>
        <w:gridCol w:w="5088"/>
      </w:tblGrid>
      <w:tr>
        <w:trPr>
          <w:trHeight w:val="572"/>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安防物资名称</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数量</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w:t>
            </w:r>
            <w:r/>
          </w:p>
        </w:tc>
        <w:tc>
          <w:tcPr>
            <w:tcW w:w="5088"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51"/>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4G网络对讲机（含电池）</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网络、流量型对讲机（与医院无线对讲系统匹配）</w:t>
            </w:r>
            <w:r/>
          </w:p>
        </w:tc>
      </w:tr>
      <w:tr>
        <w:trPr>
          <w:trHeight w:val="367"/>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对讲机备用电池</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87"/>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手持PDA巡查终端</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5088" w:type="dxa"/>
            <w:vAlign w:val="center"/>
            <w:vMerge w:val="restart"/>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1.用于江苏省社会单位消防安全管理系统中</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消防、治安重点部位的日常巡查扫描手持PDA。</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2.满足合同期内巡查所需的流量。</w:t>
            </w:r>
            <w:r/>
          </w:p>
        </w:tc>
      </w:tr>
      <w:tr>
        <w:trPr>
          <w:trHeight w:val="457"/>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流量卡</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张</w:t>
            </w:r>
            <w:r/>
          </w:p>
        </w:tc>
        <w:tc>
          <w:tcPr>
            <w:tcW w:w="5088" w:type="dxa"/>
            <w:vAlign w:val="center"/>
            <w:vMerge w:val="continue"/>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1489"/>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保安工作服</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1.每套服装包含夏季、春秋季、冬季制服、执勤鞋各</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一件。</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2.消防控制室、微型消防站、特勤队队员、</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安检人员工作服应区别于门卫等非核心岗位制服。</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3.每</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年更换</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1套服装。</w:t>
            </w:r>
            <w:r/>
          </w:p>
        </w:tc>
      </w:tr>
      <w:tr>
        <w:trPr>
          <w:trHeight w:val="478"/>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执勤记录仪</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具备录音、录像、存储功能</w:t>
            </w:r>
            <w:r/>
          </w:p>
        </w:tc>
      </w:tr>
      <w:tr>
        <w:trPr>
          <w:trHeight w:val="368"/>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强光手电筒</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98"/>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橡胶棍</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28"/>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防刺手套</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副</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防爆头盔</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防爆盾牌</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辣椒水</w:t>
            </w:r>
            <w:r/>
          </w:p>
        </w:tc>
        <w:tc>
          <w:tcPr>
            <w:tcW w:w="757"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瓶</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78"/>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两轮电动车违停清理车</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轮胎式</w:t>
            </w:r>
            <w:r/>
          </w:p>
        </w:tc>
      </w:tr>
      <w:tr>
        <w:trPr>
          <w:trHeight w:val="461"/>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2轮电动巡逻车</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12"/>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违停电动车辆清理车</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清理违规停放的电动车</w:t>
            </w:r>
            <w:r/>
          </w:p>
        </w:tc>
      </w:tr>
      <w:tr>
        <w:trPr>
          <w:trHeight w:val="427"/>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三轮车</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灭火器材、锥形桶、水马、闸机等物资转运</w:t>
            </w:r>
            <w:r/>
          </w:p>
        </w:tc>
      </w:tr>
      <w:tr>
        <w:trPr>
          <w:trHeight w:val="472"/>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新能源通勤汽车</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72"/>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巡逻无人机</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架</w:t>
            </w:r>
            <w:r/>
          </w:p>
        </w:tc>
        <w:tc>
          <w:tcPr>
            <w:tcW w:w="508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具备巡逻拍照、喊话功能</w:t>
            </w:r>
            <w:r/>
          </w:p>
        </w:tc>
      </w:tr>
      <w:tr>
        <w:trPr>
          <w:trHeight w:val="392"/>
        </w:trPr>
        <w:tc>
          <w:tcPr>
            <w:tcW w:w="29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反光背心</w:t>
            </w:r>
            <w:r/>
          </w:p>
        </w:tc>
        <w:tc>
          <w:tcPr>
            <w:tcW w:w="75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件</w:t>
            </w:r>
            <w:r/>
          </w:p>
        </w:tc>
        <w:tc>
          <w:tcPr>
            <w:tcW w:w="5088"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left="-359" w:right="-512" w:firstLine="480"/>
        <w:spacing w:line="460" w:lineRule="exact"/>
        <w:rPr>
          <w:rFonts w:hint="default" w:ascii="宋体" w:hAnsi="宋体" w:eastAsia="宋体" w:cs="Times New Roman"/>
          <w:color w:val="auto"/>
          <w:sz w:val="24"/>
          <w:szCs w:val="24"/>
          <w:highlight w:val="none"/>
          <w:lang w:val="en-US" w:eastAsia="zh-CN"/>
        </w:rPr>
        <w:outlineLvl w:val="1"/>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保安员服装每年换新≥1次</w:t>
      </w:r>
      <w:r>
        <w:rPr>
          <w:rFonts w:hint="eastAsia" w:ascii="宋体" w:hAnsi="宋体" w:cs="Times New Roman"/>
          <w:color w:val="auto"/>
          <w:sz w:val="24"/>
          <w:szCs w:val="24"/>
          <w:highlight w:val="none"/>
          <w:lang w:eastAsia="zh-CN"/>
        </w:rPr>
        <w:t xml:space="preserve">。保安员服装样式、</w:t>
      </w:r>
      <w:r>
        <w:rPr>
          <w:rFonts w:hint="eastAsia" w:ascii="宋体" w:hAnsi="宋体" w:cs="Times New Roman"/>
          <w:color w:val="auto"/>
          <w:sz w:val="24"/>
          <w:szCs w:val="24"/>
          <w:highlight w:val="none"/>
          <w:lang w:val="en-US" w:eastAsia="zh-CN"/>
        </w:rPr>
        <w:t xml:space="preserve">数量等要求如下：</w:t>
      </w:r>
      <w:r/>
    </w:p>
    <w:tbl>
      <w:tblPr>
        <w:tblStyle w:val="783"/>
        <w:tblW w:w="99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0"/>
        <w:gridCol w:w="2492"/>
        <w:gridCol w:w="2469"/>
        <w:gridCol w:w="1131"/>
        <w:gridCol w:w="2557"/>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面料参数</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数量（套/人）</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1964"/>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网格夏季短袖套装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158115</wp:posOffset>
                      </wp:positionH>
                      <wp:positionV relativeFrom="paragraph">
                        <wp:posOffset>88265</wp:posOffset>
                      </wp:positionV>
                      <wp:extent cx="1213485" cy="1150620"/>
                      <wp:effectExtent l="0" t="0" r="5715" b="11430"/>
                      <wp:wrapNone/>
                      <wp:docPr id="1"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19"/>
                              <a:stretch/>
                            </pic:blipFill>
                            <pic:spPr bwMode="auto">
                              <a:xfrm>
                                <a:off x="0" y="0"/>
                                <a:ext cx="1213485" cy="115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pt;mso-position-horizontal:absolute;mso-position-vertical-relative:text;margin-top:6.9pt;mso-position-vertical:absolute;width:95.5pt;height:90.6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含前胸后背魔术贴标志，含宽腰带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2182"/>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网格夏季长袖套装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75565</wp:posOffset>
                      </wp:positionV>
                      <wp:extent cx="1275080" cy="1122045"/>
                      <wp:effectExtent l="0" t="0" r="1270" b="1905"/>
                      <wp:wrapNone/>
                      <wp:docPr id="2" name="图片_5"/>
                      <wp:cNvGraphicFramePr/>
                      <a:graphic xmlns:a="http://schemas.openxmlformats.org/drawingml/2006/main">
                        <a:graphicData uri="http://schemas.openxmlformats.org/drawingml/2006/picture">
                          <pic:pic xmlns:pic="http://schemas.openxmlformats.org/drawingml/2006/picture">
                            <pic:nvPicPr>
                              <pic:cNvPr id="2" name="图片_5"/>
                              <pic:cNvPicPr/>
                              <pic:nvPr/>
                            </pic:nvPicPr>
                            <pic:blipFill>
                              <a:blip r:embed="rId20"/>
                              <a:stretch/>
                            </pic:blipFill>
                            <pic:spPr bwMode="auto">
                              <a:xfrm>
                                <a:off x="0" y="0"/>
                                <a:ext cx="1275080" cy="1122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8.2pt;mso-position-horizontal:absolute;mso-position-vertical-relative:text;margin-top:5.9pt;mso-position-vertical:absolute;width:100.4pt;height:88.3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含前胸后背魔术贴标志，含宽腰带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网格冬季上衣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wp:posOffset>
                      </wp:positionH>
                      <wp:positionV relativeFrom="paragraph">
                        <wp:posOffset>80010</wp:posOffset>
                      </wp:positionV>
                      <wp:extent cx="984885" cy="560705"/>
                      <wp:effectExtent l="0" t="0" r="5715" b="10795"/>
                      <wp:wrapNone/>
                      <wp:docPr id="3" name="图片_4"/>
                      <wp:cNvGraphicFramePr/>
                      <a:graphic xmlns:a="http://schemas.openxmlformats.org/drawingml/2006/main">
                        <a:graphicData uri="http://schemas.openxmlformats.org/drawingml/2006/picture">
                          <pic:pic xmlns:pic="http://schemas.openxmlformats.org/drawingml/2006/picture">
                            <pic:nvPicPr>
                              <pic:cNvPr id="3" name="图片_4"/>
                              <pic:cNvPicPr/>
                              <pic:nvPr/>
                            </pic:nvPicPr>
                            <pic:blipFill>
                              <a:blip r:embed="rId21"/>
                              <a:stretch/>
                            </pic:blipFill>
                            <pic:spPr bwMode="auto">
                              <a:xfrm>
                                <a:off x="0" y="0"/>
                                <a:ext cx="984885"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8pt;mso-position-horizontal:absolute;mso-position-vertical-relative:text;margin-top:6.3pt;mso-position-vertical:absolute;width:77.5pt;height:44.1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204"/>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390525</wp:posOffset>
                      </wp:positionH>
                      <wp:positionV relativeFrom="paragraph">
                        <wp:posOffset>47625</wp:posOffset>
                      </wp:positionV>
                      <wp:extent cx="895350" cy="609600"/>
                      <wp:effectExtent l="0" t="0" r="0" b="0"/>
                      <wp:wrapNone/>
                      <wp:docPr id="4" name="图片_13"/>
                      <wp:cNvGraphicFramePr/>
                      <a:graphic xmlns:a="http://schemas.openxmlformats.org/drawingml/2006/main">
                        <a:graphicData uri="http://schemas.openxmlformats.org/drawingml/2006/picture">
                          <pic:pic xmlns:pic="http://schemas.openxmlformats.org/drawingml/2006/picture">
                            <pic:nvPicPr>
                              <pic:cNvPr id="4" name="图片_13"/>
                              <pic:cNvPicPr/>
                              <pic:nvPr/>
                            </pic:nvPicPr>
                            <pic:blipFill>
                              <a:blip r:embed="rId22"/>
                              <a:stretch/>
                            </pic:blipFill>
                            <pic:spPr bwMode="auto">
                              <a:xfrm>
                                <a:off x="0" y="0"/>
                                <a:ext cx="89535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0.8pt;mso-position-horizontal:absolute;mso-position-vertical-relative:text;margin-top:3.8pt;mso-position-vertical:absolute;width:70.5pt;height:48.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老标装备腰带</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185420</wp:posOffset>
                      </wp:positionH>
                      <wp:positionV relativeFrom="paragraph">
                        <wp:posOffset>52705</wp:posOffset>
                      </wp:positionV>
                      <wp:extent cx="1054735" cy="544195"/>
                      <wp:effectExtent l="0" t="0" r="12065" b="8255"/>
                      <wp:wrapNone/>
                      <wp:docPr id="5"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23"/>
                              <a:stretch/>
                            </pic:blipFill>
                            <pic:spPr bwMode="auto">
                              <a:xfrm>
                                <a:off x="0" y="0"/>
                                <a:ext cx="1054735"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6pt;mso-position-horizontal:absolute;mso-position-vertical-relative:text;margin-top:4.1pt;mso-position-vertical:absolute;width:83.0pt;height:42.9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喷雾包，甩棍包，手电包，工作包，对讲机包</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97"/>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腰带</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236855</wp:posOffset>
                      </wp:positionH>
                      <wp:positionV relativeFrom="paragraph">
                        <wp:posOffset>-12700</wp:posOffset>
                      </wp:positionV>
                      <wp:extent cx="774065" cy="535940"/>
                      <wp:effectExtent l="0" t="0" r="6985" b="16510"/>
                      <wp:wrapNone/>
                      <wp:docPr id="6" name="图片_18"/>
                      <wp:cNvGraphicFramePr/>
                      <a:graphic xmlns:a="http://schemas.openxmlformats.org/drawingml/2006/main">
                        <a:graphicData uri="http://schemas.openxmlformats.org/drawingml/2006/picture">
                          <pic:pic xmlns:pic="http://schemas.openxmlformats.org/drawingml/2006/picture">
                            <pic:nvPicPr>
                              <pic:cNvPr id="6" name="图片_18"/>
                              <pic:cNvPicPr/>
                              <pic:nvPr/>
                            </pic:nvPicPr>
                            <pic:blipFill>
                              <a:blip r:embed="rId24"/>
                              <a:srcRect l="0" t="30024" r="0" b="33656"/>
                              <a:stretch/>
                            </pic:blipFill>
                            <pic:spPr bwMode="auto">
                              <a:xfrm>
                                <a:off x="0" y="0"/>
                                <a:ext cx="77406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8.6pt;mso-position-horizontal:absolute;mso-position-vertical-relative:text;margin-top:-1.0pt;mso-position-vertical:absolute;width:60.9pt;height:42.2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特勤外腰带，宽度5cm,长度125cm</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166370</wp:posOffset>
                      </wp:positionH>
                      <wp:positionV relativeFrom="paragraph">
                        <wp:posOffset>30480</wp:posOffset>
                      </wp:positionV>
                      <wp:extent cx="1127125" cy="1133475"/>
                      <wp:effectExtent l="0" t="0" r="15875" b="9525"/>
                      <wp:wrapNone/>
                      <wp:docPr id="7" name="图片_6"/>
                      <wp:cNvGraphicFramePr/>
                      <a:graphic xmlns:a="http://schemas.openxmlformats.org/drawingml/2006/main">
                        <a:graphicData uri="http://schemas.openxmlformats.org/drawingml/2006/picture">
                          <pic:pic xmlns:pic="http://schemas.openxmlformats.org/drawingml/2006/picture">
                            <pic:nvPicPr>
                              <pic:cNvPr id="7" name="图片_6"/>
                              <pic:cNvPicPr/>
                              <pic:nvPr/>
                            </pic:nvPicPr>
                            <pic:blipFill>
                              <a:blip r:embed="rId25"/>
                              <a:stretch/>
                            </pic:blipFill>
                            <pic:spPr bwMode="auto">
                              <a:xfrm>
                                <a:off x="0" y="0"/>
                                <a:ext cx="112712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3.1pt;mso-position-horizontal:absolute;mso-position-vertical-relative:text;margin-top:2.4pt;mso-position-vertical:absolute;width:88.8pt;height:89.2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鞋面：加厚耐磨帆布 + PU超纤皮革拼接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鞋垫：EVA缓冲鞋垫，久站减震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外底：加厚一体成型橡胶防滑大底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74"/>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服装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178435</wp:posOffset>
                      </wp:positionH>
                      <wp:positionV relativeFrom="paragraph">
                        <wp:posOffset>45720</wp:posOffset>
                      </wp:positionV>
                      <wp:extent cx="960755" cy="845820"/>
                      <wp:effectExtent l="0" t="0" r="10795" b="11430"/>
                      <wp:wrapNone/>
                      <wp:docPr id="8" name="图片_21"/>
                      <wp:cNvGraphicFramePr/>
                      <a:graphic xmlns:a="http://schemas.openxmlformats.org/drawingml/2006/main">
                        <a:graphicData uri="http://schemas.openxmlformats.org/drawingml/2006/picture">
                          <pic:pic xmlns:pic="http://schemas.openxmlformats.org/drawingml/2006/picture">
                            <pic:nvPicPr>
                              <pic:cNvPr id="8" name="图片_21"/>
                              <pic:cNvPicPr/>
                              <pic:nvPr/>
                            </pic:nvPicPr>
                            <pic:blipFill>
                              <a:blip r:embed="rId26"/>
                              <a:stretch/>
                            </pic:blipFill>
                            <pic:spPr bwMode="auto">
                              <a:xfrm>
                                <a:off x="0" y="0"/>
                                <a:ext cx="96075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4.0pt;mso-position-horizontal:absolute;mso-position-vertical-relative:text;margin-top:3.6pt;mso-position-vertical:absolute;width:75.6pt;height:66.6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面料：涤棉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功能：防静电</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胸前标识（圆标）：市一院应急救援+医院logo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方形臂章：控烟劝导员</w:t>
            </w:r>
            <w:r/>
          </w:p>
        </w:tc>
      </w:tr>
      <w:tr>
        <w:trPr>
          <w:jc w:val="center"/>
          <w:trHeight w:val="1168"/>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290830</wp:posOffset>
                      </wp:positionH>
                      <wp:positionV relativeFrom="paragraph">
                        <wp:posOffset>33020</wp:posOffset>
                      </wp:positionV>
                      <wp:extent cx="911225" cy="515620"/>
                      <wp:effectExtent l="0" t="0" r="3175" b="17780"/>
                      <wp:wrapNone/>
                      <wp:docPr id="9" name="图片_8"/>
                      <wp:cNvGraphicFramePr/>
                      <a:graphic xmlns:a="http://schemas.openxmlformats.org/drawingml/2006/main">
                        <a:graphicData uri="http://schemas.openxmlformats.org/drawingml/2006/picture">
                          <pic:pic xmlns:pic="http://schemas.openxmlformats.org/drawingml/2006/picture">
                            <pic:nvPicPr>
                              <pic:cNvPr id="9" name="图片_8"/>
                              <pic:cNvPicPr/>
                              <pic:nvPr/>
                            </pic:nvPicPr>
                            <pic:blipFill>
                              <a:blip r:embed="rId27"/>
                              <a:stretch/>
                            </pic:blipFill>
                            <pic:spPr bwMode="auto">
                              <a:xfrm>
                                <a:off x="0" y="0"/>
                                <a:ext cx="911225" cy="515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2.9pt;mso-position-horizontal:absolute;mso-position-vertical-relative:text;margin-top:2.6pt;mso-position-vertical:absolute;width:71.8pt;height:40.6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类别;平顶帽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尺码：均码，可调节</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497"/>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新式装备背心</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77470</wp:posOffset>
                      </wp:positionV>
                      <wp:extent cx="1032510" cy="769620"/>
                      <wp:effectExtent l="0" t="0" r="15240" b="11430"/>
                      <wp:wrapNone/>
                      <wp:docPr id="10" name="图片_15"/>
                      <wp:cNvGraphicFramePr/>
                      <a:graphic xmlns:a="http://schemas.openxmlformats.org/drawingml/2006/main">
                        <a:graphicData uri="http://schemas.openxmlformats.org/drawingml/2006/picture">
                          <pic:pic xmlns:pic="http://schemas.openxmlformats.org/drawingml/2006/picture">
                            <pic:nvPicPr>
                              <pic:cNvPr id="10" name="图片_15"/>
                              <pic:cNvPicPr/>
                              <pic:nvPr/>
                            </pic:nvPicPr>
                            <pic:blipFill>
                              <a:blip r:embed="rId28"/>
                              <a:stretch/>
                            </pic:blipFill>
                            <pic:spPr bwMode="auto">
                              <a:xfrm>
                                <a:off x="0" y="0"/>
                                <a:ext cx="1032510" cy="769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5.8pt;mso-position-horizontal:absolute;mso-position-vertical-relative:text;margin-top:6.1pt;mso-position-vertical:absolute;width:81.3pt;height:60.6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含催泪 甩棍，手电 手k套 对讲机，执法记录套，公文包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文字改为：应急处突</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179070</wp:posOffset>
                      </wp:positionH>
                      <wp:positionV relativeFrom="paragraph">
                        <wp:posOffset>5080</wp:posOffset>
                      </wp:positionV>
                      <wp:extent cx="1047750" cy="1174115"/>
                      <wp:effectExtent l="0" t="0" r="0" b="6985"/>
                      <wp:wrapNone/>
                      <wp:docPr id="11" name="图片_7"/>
                      <wp:cNvGraphicFramePr/>
                      <a:graphic xmlns:a="http://schemas.openxmlformats.org/drawingml/2006/main">
                        <a:graphicData uri="http://schemas.openxmlformats.org/drawingml/2006/picture">
                          <pic:pic xmlns:pic="http://schemas.openxmlformats.org/drawingml/2006/picture">
                            <pic:nvPicPr>
                              <pic:cNvPr id="11" name="图片_7"/>
                              <pic:cNvPicPr/>
                              <pic:nvPr/>
                            </pic:nvPicPr>
                            <pic:blipFill>
                              <a:blip r:embed="rId29"/>
                              <a:stretch/>
                            </pic:blipFill>
                            <pic:spPr bwMode="auto">
                              <a:xfrm>
                                <a:off x="0" y="0"/>
                                <a:ext cx="1047750"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1pt;mso-position-horizontal:absolute;mso-position-vertical-relative:text;margin-top:0.4pt;mso-position-vertical:absolute;width:82.5pt;height:92.4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鞋面：加厚耐磨帆布 + PU超纤皮革拼接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鞋垫：EVA缓冲鞋垫，久站减震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外底：加厚一体成型橡胶防滑大底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32"/>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短袖套装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43815</wp:posOffset>
                      </wp:positionV>
                      <wp:extent cx="722630" cy="898525"/>
                      <wp:effectExtent l="0" t="0" r="1270" b="15875"/>
                      <wp:wrapNone/>
                      <wp:docPr id="12" name="图片_10"/>
                      <wp:cNvGraphicFramePr/>
                      <a:graphic xmlns:a="http://schemas.openxmlformats.org/drawingml/2006/main">
                        <a:graphicData uri="http://schemas.openxmlformats.org/drawingml/2006/picture">
                          <pic:pic xmlns:pic="http://schemas.openxmlformats.org/drawingml/2006/picture">
                            <pic:nvPicPr>
                              <pic:cNvPr id="12" name="图片_10"/>
                              <pic:cNvPicPr/>
                              <pic:nvPr/>
                            </pic:nvPicPr>
                            <pic:blipFill>
                              <a:blip r:embed="rId30"/>
                              <a:stretch/>
                            </pic:blipFill>
                            <pic:spPr bwMode="auto">
                              <a:xfrm>
                                <a:off x="0" y="0"/>
                                <a:ext cx="722630" cy="89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6.2pt;mso-position-horizontal:absolute;mso-position-vertical-relative:text;margin-top:3.4pt;mso-position-vertical:absolute;width:56.9pt;height:70.8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冰凉抗皱天丝面料</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1443"/>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春秋长袖套装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343535</wp:posOffset>
                      </wp:positionH>
                      <wp:positionV relativeFrom="paragraph">
                        <wp:posOffset>-77470</wp:posOffset>
                      </wp:positionV>
                      <wp:extent cx="758190" cy="848995"/>
                      <wp:effectExtent l="0" t="0" r="3810" b="825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31"/>
                              <a:stretch/>
                            </pic:blipFill>
                            <pic:spPr bwMode="auto">
                              <a:xfrm>
                                <a:off x="0" y="0"/>
                                <a:ext cx="758190"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7.0pt;mso-position-horizontal:absolute;mso-position-vertical-relative:text;margin-top:-6.1pt;mso-position-vertical:absolute;width:59.7pt;height:66.8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70%羊毛外布，防静电涤丝绸里布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1536"/>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冬季大衣</w:t>
            </w:r>
            <w:r/>
          </w:p>
        </w:tc>
        <w:tc>
          <w:tcPr>
            <w:shd w:val="clear" w:color="auto" w:fill="auto"/>
            <w:tcBorders>
              <w:top w:val="single" w:color="000000" w:sz="4" w:space="0"/>
              <w:left w:val="single" w:color="000000" w:sz="4" w:space="0"/>
              <w:bottom w:val="none" w:color="000000" w:sz="4" w:space="0"/>
              <w:right w:val="single" w:color="000000" w:sz="4" w:space="0"/>
            </w:tcBorders>
            <w:tcW w:w="24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281940</wp:posOffset>
                      </wp:positionH>
                      <wp:positionV relativeFrom="paragraph">
                        <wp:posOffset>3175</wp:posOffset>
                      </wp:positionV>
                      <wp:extent cx="812800" cy="834390"/>
                      <wp:effectExtent l="0" t="0" r="6350" b="3810"/>
                      <wp:wrapNone/>
                      <wp:docPr id="14"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r/>
                            </pic:nvPicPr>
                            <pic:blipFill>
                              <a:blip r:embed="rId32"/>
                              <a:stretch/>
                            </pic:blipFill>
                            <pic:spPr bwMode="auto">
                              <a:xfrm>
                                <a:off x="0" y="0"/>
                                <a:ext cx="812800"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2.2pt;mso-position-horizontal:absolute;mso-position-vertical-relative:text;margin-top:0.2pt;mso-position-vertical:absolute;width:64.0pt;height:65.7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面料为加厚防静电涤丝绸</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1803"/>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26670</wp:posOffset>
                      </wp:positionV>
                      <wp:extent cx="923925" cy="901700"/>
                      <wp:effectExtent l="0" t="0" r="9525" b="12700"/>
                      <wp:wrapNone/>
                      <wp:docPr id="15" name="图片_9"/>
                      <wp:cNvGraphicFramePr/>
                      <a:graphic xmlns:a="http://schemas.openxmlformats.org/drawingml/2006/main">
                        <a:graphicData uri="http://schemas.openxmlformats.org/drawingml/2006/picture">
                          <pic:pic xmlns:pic="http://schemas.openxmlformats.org/drawingml/2006/picture">
                            <pic:nvPicPr>
                              <pic:cNvPr id="15" name="图片_9"/>
                              <pic:cNvPicPr/>
                              <pic:nvPr/>
                            </pic:nvPicPr>
                            <pic:blipFill>
                              <a:blip r:embed="rId33"/>
                              <a:stretch/>
                            </pic:blipFill>
                            <pic:spPr bwMode="auto">
                              <a:xfrm>
                                <a:off x="0" y="0"/>
                                <a:ext cx="923925"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1.8pt;mso-position-horizontal:absolute;mso-position-vertical-relative:text;margin-top:2.1pt;mso-position-vertical:absolute;width:72.8pt;height:71.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69"/>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212090</wp:posOffset>
                      </wp:positionH>
                      <wp:positionV relativeFrom="paragraph">
                        <wp:posOffset>17145</wp:posOffset>
                      </wp:positionV>
                      <wp:extent cx="933450" cy="927735"/>
                      <wp:effectExtent l="0" t="0" r="0" b="5715"/>
                      <wp:wrapNone/>
                      <wp:docPr id="16" name="图片_14"/>
                      <wp:cNvGraphicFramePr/>
                      <a:graphic xmlns:a="http://schemas.openxmlformats.org/drawingml/2006/main">
                        <a:graphicData uri="http://schemas.openxmlformats.org/drawingml/2006/picture">
                          <pic:pic xmlns:pic="http://schemas.openxmlformats.org/drawingml/2006/picture">
                            <pic:nvPicPr>
                              <pic:cNvPr id="16" name="图片_14"/>
                              <pic:cNvPicPr/>
                              <pic:nvPr/>
                            </pic:nvPicPr>
                            <pic:blipFill>
                              <a:blip r:embed="rId34"/>
                              <a:stretch/>
                            </pic:blipFill>
                            <pic:spPr bwMode="auto">
                              <a:xfrm>
                                <a:off x="0" y="0"/>
                                <a:ext cx="933450"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16.7pt;mso-position-horizontal:absolute;mso-position-vertical-relative:text;margin-top:1.3pt;mso-position-vertical:absolute;width:73.5pt;height:73.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15"/>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-48260</wp:posOffset>
                      </wp:positionV>
                      <wp:extent cx="933450" cy="970280"/>
                      <wp:effectExtent l="0" t="0" r="0" b="1270"/>
                      <wp:wrapNone/>
                      <wp:docPr id="17" name="图片_16"/>
                      <wp:cNvGraphicFramePr/>
                      <a:graphic xmlns:a="http://schemas.openxmlformats.org/drawingml/2006/main">
                        <a:graphicData uri="http://schemas.openxmlformats.org/drawingml/2006/picture">
                          <pic:pic xmlns:pic="http://schemas.openxmlformats.org/drawingml/2006/picture">
                            <pic:nvPicPr>
                              <pic:cNvPr id="17" name="图片_16"/>
                              <pic:cNvPicPr/>
                              <pic:nvPr/>
                            </pic:nvPicPr>
                            <pic:blipFill>
                              <a:blip r:embed="rId35"/>
                              <a:stretch/>
                            </pic:blipFill>
                            <pic:spPr bwMode="auto">
                              <a:xfrm>
                                <a:off x="0" y="0"/>
                                <a:ext cx="933450" cy="970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0.9pt;mso-position-horizontal:absolute;mso-position-vertical-relative:text;margin-top:-3.8pt;mso-position-vertical:absolute;width:73.5pt;height:76.4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37"/>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217170</wp:posOffset>
                      </wp:positionH>
                      <wp:positionV relativeFrom="paragraph">
                        <wp:posOffset>13970</wp:posOffset>
                      </wp:positionV>
                      <wp:extent cx="760730" cy="897255"/>
                      <wp:effectExtent l="0" t="0" r="1270" b="17145"/>
                      <wp:wrapNone/>
                      <wp:docPr id="18" name="图片_17"/>
                      <wp:cNvGraphicFramePr/>
                      <a:graphic xmlns:a="http://schemas.openxmlformats.org/drawingml/2006/main">
                        <a:graphicData uri="http://schemas.openxmlformats.org/drawingml/2006/picture">
                          <pic:pic xmlns:pic="http://schemas.openxmlformats.org/drawingml/2006/picture">
                            <pic:nvPicPr>
                              <pic:cNvPr id="18" name="图片_17"/>
                              <pic:cNvPicPr/>
                              <pic:nvPr/>
                            </pic:nvPicPr>
                            <pic:blipFill>
                              <a:blip r:embed="rId36"/>
                              <a:stretch/>
                            </pic:blipFill>
                            <pic:spPr bwMode="auto">
                              <a:xfrm>
                                <a:off x="0" y="0"/>
                                <a:ext cx="76073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7.1pt;mso-position-horizontal:absolute;mso-position-vertical-relative:text;margin-top:1.1pt;mso-position-vertical:absolute;width:59.9pt;height:70.6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12"/>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269240</wp:posOffset>
                      </wp:positionH>
                      <wp:positionV relativeFrom="paragraph">
                        <wp:posOffset>-68580</wp:posOffset>
                      </wp:positionV>
                      <wp:extent cx="934085" cy="1022350"/>
                      <wp:effectExtent l="0" t="0" r="18415" b="6350"/>
                      <wp:wrapNone/>
                      <wp:docPr id="19" name="图片_19"/>
                      <wp:cNvGraphicFramePr/>
                      <a:graphic xmlns:a="http://schemas.openxmlformats.org/drawingml/2006/main">
                        <a:graphicData uri="http://schemas.openxmlformats.org/drawingml/2006/picture">
                          <pic:pic xmlns:pic="http://schemas.openxmlformats.org/drawingml/2006/picture">
                            <pic:nvPicPr>
                              <pic:cNvPr id="19" name="图片_19"/>
                              <pic:cNvPicPr/>
                              <pic:nvPr/>
                            </pic:nvPicPr>
                            <pic:blipFill>
                              <a:blip r:embed="rId37"/>
                              <a:stretch/>
                            </pic:blipFill>
                            <pic:spPr bwMode="auto">
                              <a:xfrm>
                                <a:off x="0" y="0"/>
                                <a:ext cx="934085" cy="1022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1.2pt;mso-position-horizontal:absolute;mso-position-vertical-relative:text;margin-top:-5.4pt;mso-position-vertical:absolute;width:73.5pt;height:80.5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32"/>
        </w:trPr>
        <w:tc>
          <w:tcPr>
            <w:shd w:val="clear" w:color="auto" w:fill="auto"/>
            <w:tcBorders>
              <w:top w:val="single" w:color="000000" w:sz="4" w:space="0"/>
              <w:left w:val="single" w:color="000000" w:sz="4" w:space="0"/>
              <w:bottom w:val="non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311150</wp:posOffset>
                      </wp:positionH>
                      <wp:positionV relativeFrom="paragraph">
                        <wp:posOffset>-24765</wp:posOffset>
                      </wp:positionV>
                      <wp:extent cx="809625" cy="894715"/>
                      <wp:effectExtent l="0" t="0" r="9525" b="635"/>
                      <wp:wrapNone/>
                      <wp:docPr id="20" name="图片_20"/>
                      <wp:cNvGraphicFramePr/>
                      <a:graphic xmlns:a="http://schemas.openxmlformats.org/drawingml/2006/main">
                        <a:graphicData uri="http://schemas.openxmlformats.org/drawingml/2006/picture">
                          <pic:pic xmlns:pic="http://schemas.openxmlformats.org/drawingml/2006/picture">
                            <pic:nvPicPr>
                              <pic:cNvPr id="20" name="图片_20"/>
                              <pic:cNvPicPr/>
                              <pic:nvPr/>
                            </pic:nvPicPr>
                            <pic:blipFill>
                              <a:blip r:embed="rId38"/>
                              <a:stretch/>
                            </pic:blipFill>
                            <pic:spPr bwMode="auto">
                              <a:xfrm>
                                <a:off x="0" y="0"/>
                                <a:ext cx="809625" cy="894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4.5pt;mso-position-horizontal:absolute;mso-position-vertical-relative:text;margin-top:-1.9pt;mso-position-vertical:absolute;width:63.8pt;height:70.5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66"/>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92075</wp:posOffset>
                      </wp:positionH>
                      <wp:positionV relativeFrom="paragraph">
                        <wp:posOffset>17145</wp:posOffset>
                      </wp:positionV>
                      <wp:extent cx="1161415" cy="1019810"/>
                      <wp:effectExtent l="0" t="0" r="635" b="8890"/>
                      <wp:wrapNone/>
                      <wp:docPr id="21" name="图片_24"/>
                      <wp:cNvGraphicFramePr/>
                      <a:graphic xmlns:a="http://schemas.openxmlformats.org/drawingml/2006/main">
                        <a:graphicData uri="http://schemas.openxmlformats.org/drawingml/2006/picture">
                          <pic:pic xmlns:pic="http://schemas.openxmlformats.org/drawingml/2006/picture">
                            <pic:nvPicPr>
                              <pic:cNvPr id="21" name="图片_24"/>
                              <pic:cNvPicPr/>
                              <pic:nvPr/>
                            </pic:nvPicPr>
                            <pic:blipFill>
                              <a:blip r:embed="rId39"/>
                              <a:stretch/>
                            </pic:blipFill>
                            <pic:spPr bwMode="auto">
                              <a:xfrm>
                                <a:off x="0" y="0"/>
                                <a:ext cx="1161415"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7.2pt;mso-position-horizontal:absolute;mso-position-vertical-relative:text;margin-top:1.3pt;mso-position-vertical:absolute;width:91.4pt;height:80.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单件白色长/短袖衬衫+夏季黑裤 高质棉</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49"/>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春秋套装</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186055</wp:posOffset>
                      </wp:positionH>
                      <wp:positionV relativeFrom="paragraph">
                        <wp:posOffset>-60325</wp:posOffset>
                      </wp:positionV>
                      <wp:extent cx="890270" cy="776605"/>
                      <wp:effectExtent l="0" t="0" r="5080" b="4445"/>
                      <wp:wrapNone/>
                      <wp:docPr id="22" name="图片_25"/>
                      <wp:cNvGraphicFramePr/>
                      <a:graphic xmlns:a="http://schemas.openxmlformats.org/drawingml/2006/main">
                        <a:graphicData uri="http://schemas.openxmlformats.org/drawingml/2006/picture">
                          <pic:pic xmlns:pic="http://schemas.openxmlformats.org/drawingml/2006/picture">
                            <pic:nvPicPr>
                              <pic:cNvPr id="22" name="图片_25"/>
                              <pic:cNvPicPr/>
                              <pic:nvPr/>
                            </pic:nvPicPr>
                            <pic:blipFill>
                              <a:blip r:embed="rId40"/>
                              <a:stretch/>
                            </pic:blipFill>
                            <pic:spPr bwMode="auto">
                              <a:xfrm>
                                <a:off x="0" y="0"/>
                                <a:ext cx="89027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4.6pt;mso-position-horizontal:absolute;mso-position-vertical-relative:text;margin-top:-4.8pt;mso-position-vertical:absolute;width:70.1pt;height:61.1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上衣+下裤，主面料聚酯纤维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81"/>
        </w:trPr>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冬季大衣</w:t>
            </w:r>
            <w:r/>
          </w:p>
        </w:tc>
        <w:tc>
          <w:tcPr>
            <w:shd w:val="clear" w:color="auto" w:fill="auto"/>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-125730</wp:posOffset>
                      </wp:positionV>
                      <wp:extent cx="1037590" cy="783590"/>
                      <wp:effectExtent l="0" t="0" r="10160" b="16510"/>
                      <wp:wrapNone/>
                      <wp:docPr id="23" name="图片_26"/>
                      <wp:cNvGraphicFramePr/>
                      <a:graphic xmlns:a="http://schemas.openxmlformats.org/drawingml/2006/main">
                        <a:graphicData uri="http://schemas.openxmlformats.org/drawingml/2006/picture">
                          <pic:pic xmlns:pic="http://schemas.openxmlformats.org/drawingml/2006/picture">
                            <pic:nvPicPr>
                              <pic:cNvPr id="23" name="图片_26"/>
                              <pic:cNvPicPr/>
                              <pic:nvPr/>
                            </pic:nvPicPr>
                            <pic:blipFill>
                              <a:blip r:embed="rId41"/>
                              <a:stretch/>
                            </pic:blipFill>
                            <pic:spPr bwMode="auto">
                              <a:xfrm>
                                <a:off x="0" y="0"/>
                                <a:ext cx="1037590" cy="783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8.5pt;mso-position-horizontal:absolute;mso-position-vertical-relative:text;margin-top:-9.9pt;mso-position-vertical:absolute;width:81.7pt;height:61.7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单个大衣，主面料聚酯纤维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spacing w:line="560" w:lineRule="exact"/>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五、考核标准及考核办法：</w:t>
      </w:r>
      <w:r/>
    </w:p>
    <w:p>
      <w:pPr>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jc w:val="center"/>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lang w:eastAsia="zh-CN"/>
        </w:rPr>
        <w:t xml:space="preserve">连云港市第一人民医院保安服务</w:t>
      </w:r>
      <w:r>
        <w:rPr>
          <w:rFonts w:hint="eastAsia" w:ascii="宋体" w:hAnsi="宋体" w:cs="宋体"/>
          <w:b/>
          <w:color w:val="auto"/>
          <w:sz w:val="24"/>
          <w:szCs w:val="24"/>
          <w:highlight w:val="none"/>
        </w:rPr>
        <w:t xml:space="preserve">质量考核表</w:t>
      </w:r>
      <w:r/>
    </w:p>
    <w:tbl>
      <w:tblPr>
        <w:tblStyle w:val="783"/>
        <w:tblW w:w="9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8"/>
        <w:gridCol w:w="6404"/>
        <w:gridCol w:w="1920"/>
      </w:tblGrid>
      <w:tr>
        <w:trPr>
          <w:jc w:val="center"/>
          <w:trHeight w:val="685"/>
        </w:trPr>
        <w:tc>
          <w:tcPr>
            <w:tcW w:w="73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888"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类别</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具体情形或</w:t>
            </w:r>
            <w:r>
              <w:rPr>
                <w:rFonts w:hint="eastAsia" w:ascii="宋体" w:hAnsi="宋体" w:eastAsia="宋体" w:cs="宋体"/>
                <w:color w:val="auto"/>
                <w:sz w:val="24"/>
                <w:szCs w:val="24"/>
                <w:highlight w:val="none"/>
              </w:rPr>
              <w:t xml:space="preserve">内容</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扣分明细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1</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仪容仪表</w:t>
            </w:r>
            <w:r>
              <w:rPr>
                <w:rFonts w:hint="eastAsia"/>
                <w:color w:val="auto"/>
                <w:sz w:val="24"/>
                <w:szCs w:val="24"/>
                <w:highlight w:val="none"/>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未统一穿着全套保安制服、混穿便装、敞怀卷袖、挽裤腿、拖鞋上岗</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未按要求佩戴帽徽、肩章等穿戴标识</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含胸塌背、举止不端，值班岗位上背手、抱胸、插兜、倚靠墙面、桌椅、趴桌、躺座椅等行为</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外挂于制服上或佩戴的饰品、饰物外露于制服有损公益单位形象</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在公共场所和禁止吸烟的场所吸烟</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夜班或户外不按规定穿着反光背心</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7</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岗位纪律</w:t>
            </w:r>
            <w:r>
              <w:rPr>
                <w:rFonts w:hint="eastAsia"/>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值班人员迟到、早退</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漏打、代打、虚假打卡</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值班人员串岗、脱岗</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值班人员睡岗</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未按规定落实请销假制度，擅自休假、调班、换岗</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长时间玩手机、在岗期间与无关人员闲聊、围观</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值班人员在岗吃零食</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值班人员在岗干私活</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值班人员酒后上岗</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值班人员在岗期间饮酒</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65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值班人员不服从值班领导调度安排，存在顶撞、抵触、消极怠工行为</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18</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治安秩序管控</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人员、车辆、物资进出未落实核查登记制度</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治安巡更点漏检，擅自减少巡逻次数、漏巡点位</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shd w:val="clear" w:color="auto" w:fill="auto"/>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bidi="ar-SA"/>
              </w:rPr>
            </w:pPr>
            <w:r>
              <w:rPr>
                <w:rFonts w:hint="eastAsia"/>
                <w:color w:val="auto"/>
                <w:sz w:val="24"/>
                <w:szCs w:val="24"/>
                <w:highlight w:val="none"/>
              </w:rPr>
              <w:t xml:space="preserve">20</w:t>
            </w:r>
            <w:r/>
          </w:p>
        </w:tc>
        <w:tc>
          <w:tcPr>
            <w:shd w:val="clear" w:color="auto" w:fill="auto"/>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巡逻台账记录不规范、缺失有空项、漏项、涂改潦草</w:t>
            </w:r>
            <w:r/>
          </w:p>
        </w:tc>
        <w:tc>
          <w:tcPr>
            <w:shd w:val="clear" w:color="auto" w:fill="auto"/>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未及时制止院内争吵、纠纷、打闹、滋事、暴力滋事苗头</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巡逻不到位、履职失职造成医院财产、患者财物被盗、受损</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院区出现医托、散发传单、小广告，推销食品、药品者</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院内出现乞讨、闲散逗留人员</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院内出现占道摆摊、违规宣传行为</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擅自放行违禁物品、易燃易爆物品进入院区</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保安员在医患纠纷现场，医务人员遭殴打、围攻、控制人身自由</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“医闹” 中出现烧纸钱、摆花圈、拉横幅、堵大门等行为，保安员 50 分钟内未成功处置</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病房停尸体白天 3 小时、夜间 6 小时内未移入暂存间或殡仪馆</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载货车辆出门未查验出门证导致医院财物流失</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31</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应急处置与突发事件</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防汛、台风、雨雪恶劣天气、停水停电、应急疏散等专项安保或抢险救灾工作，履职不到位、推诿懈怠</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发生重大治安事件、安全事故、群体性纠纷未第一时间处置上报</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突发事件处置流程不规范，处置不当激化矛盾，引发舆情</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处置突发事件不力，出现畏缩不前、拈轻怕重、借故回避、临阵脱逃，袖手旁观、拒不服从命令等现象</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48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处置火灾流程不规范，造成重大损失</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805"/>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36</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车辆管理及院区交通秩序</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车辆管控不到位造成医患投诉</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862"/>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医院主要通道交通堵塞 10 分钟及以上的</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838"/>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院区车辆秩序混乱，车辆未按医院指定区域或指定方向停放</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39</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消防安全与设施管理</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医院消防制度、疏散路线、灭火器、消防栓等器材使用方法掌握不熟练</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火灾报警、初期火情处置流程不清楚</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未按规定对重点部位每 2 小时进行巡查或记录</w:t>
            </w:r>
            <w:r/>
          </w:p>
        </w:tc>
        <w:tc>
          <w:tcPr>
            <w:shd w:val="clear" w:color="auto" w:fill="auto"/>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消防设施、消防器材失效未及时发现上报处置</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消防通道、安全出口不畅通、堵塞锁闭、杂物堆放</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发现施工作业无动火证施工不及时劝阻</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发生烟雾、电器过热等异常情况，处置迟缓、推诿不作为</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院内违规用火、用电、私拉乱接、违规堆放易燃易爆物品，未及时发现隐患，排查处置不到位</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未主动阻止其他人员在公共场所吸烟</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358"/>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私自焚烧垃圾、私接消防栓、私拉乱接电线</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49</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服务医患</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服务生冷生硬、推诿群众求助</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与患者、家属、来访人员发生口角、争执</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医务人员咨询、求助处置不及时</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与医务人员发生口角、争执</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p>
        </w:tc>
        <w:tc>
          <w:tcPr>
            <w:tcW w:w="888" w:type="dxa"/>
            <w:vAlign w:val="center"/>
            <w:vMerge w:val="restart"/>
            <w:textDirection w:val="lrTb"/>
            <w:noWrap w:val="false"/>
          </w:tcPr>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rPr>
              <w:t xml:space="preserve">工作配合与综合评价</w:t>
            </w:r>
            <w:r/>
          </w:p>
        </w:tc>
        <w:tc>
          <w:tcPr>
            <w:tcW w:w="6404"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未按合同要求数量配备保安人员</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调整保安岗位设置、班次未及时向保卫处报备</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调整保安骨干未及时向保卫处报备</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辞退、新招录保安人员未及时向保卫处报备</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当面顶撞或背后软抵抗保卫处工作人员</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不配合医院专项检查、整治工作，消极应付</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院级层面及以上上级督查工作中发生、指出问题</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不爱护院内安防设备、巡逻器材、办公物资，损坏公物、私拿私占</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无故未完成交办的临时安保任务、值守任务、应急处置任务、专项整治任务</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有理投诉次数每月大于 3 次，有效投诉未 100% 处置完毕</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未按月开展医患满意度调查</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C 类 3 分</w:t>
            </w:r>
            <w:r/>
          </w:p>
        </w:tc>
      </w:tr>
      <w:tr>
        <w:trPr>
          <w:jc w:val="center"/>
          <w:trHeight w:val="575"/>
        </w:trPr>
        <w:tc>
          <w:tcPr>
            <w:tcW w:w="735"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64</w:t>
            </w:r>
            <w:r/>
          </w:p>
        </w:tc>
        <w:tc>
          <w:tcPr>
            <w:tcW w:w="888"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一般突发事件 3 分钟未到场处置</w:t>
            </w:r>
            <w:r/>
          </w:p>
        </w:tc>
        <w:tc>
          <w:tcPr>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577"/>
        </w:trPr>
        <w:tc>
          <w:tcPr>
            <w:tcW w:w="735"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65</w:t>
            </w:r>
            <w:r/>
          </w:p>
        </w:tc>
        <w:tc>
          <w:tcPr>
            <w:tcW w:w="888"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重大突发事件 15 分钟未到场处置</w:t>
            </w:r>
            <w:r/>
          </w:p>
        </w:tc>
        <w:tc>
          <w:tcPr>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620"/>
        </w:trPr>
        <w:tc>
          <w:tcPr>
            <w:tcW w:w="735"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w:t>
            </w:r>
            <w:r/>
          </w:p>
        </w:tc>
        <w:tc>
          <w:tcPr>
            <w:tcW w:w="888"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特大突发事件 30 分钟未到场处置</w:t>
            </w:r>
            <w:r/>
          </w:p>
        </w:tc>
        <w:tc>
          <w:tcPr>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385"/>
        </w:trPr>
        <w:tc>
          <w:tcPr>
            <w:tcW w:w="735"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67</w:t>
            </w:r>
            <w:r/>
          </w:p>
        </w:tc>
        <w:tc>
          <w:tcPr>
            <w:tcW w:w="888" w:type="dxa"/>
            <w:vAlign w:val="center"/>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w:t>
            </w:r>
            <w:r>
              <w:rPr>
                <w:rFonts w:hint="eastAsia"/>
                <w:color w:val="auto"/>
                <w:sz w:val="24"/>
                <w:szCs w:val="24"/>
                <w:highlight w:val="none"/>
                <w:lang w:val="en-US" w:eastAsia="zh-CN"/>
              </w:rPr>
              <w:t xml:space="preserve">跨</w:t>
            </w:r>
            <w:r>
              <w:rPr>
                <w:rFonts w:hint="eastAsia"/>
                <w:color w:val="auto"/>
                <w:sz w:val="24"/>
                <w:szCs w:val="24"/>
                <w:highlight w:val="none"/>
              </w:rPr>
              <w:t xml:space="preserve">点位支援需求无法及时满足</w:t>
            </w:r>
            <w:r/>
          </w:p>
        </w:tc>
        <w:tc>
          <w:tcPr>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68</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自身建设</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未制定各岗位的职责和考核制度，或制度空泛、无操作性和可行性，经常性检查监督缺失</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无故缺席、迟到医院消防演练、安防培训</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未制定日常培训计划，计划空泛，未落实计划</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未按要求定期联合病区开展反恐防暴、医闹及消防演练</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保安队员未持证上岗或从事岗位与所持证件不适配</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5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当值期间发现保安员有违法犯罪、监守自盗或参加打架斗殴等</w:t>
            </w:r>
            <w:r/>
          </w:p>
        </w:tc>
        <w:tc>
          <w:tcPr>
            <w:shd w:val="clear" w:color="auto" w:fill="auto"/>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458"/>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利用工作之便，从事未经医院许可的经营活动</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勾结医托、号贩子、小偷等非法人员从事非法盈利活动</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私拿、偷盗公共财物</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未按合同约定定期组织保安队伍各类训练、演练、培训</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78</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应知应会不掌握、不熟悉</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79</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不熟悉岗位职责</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未按合同约定配齐安保器材和其他办公用品</w:t>
            </w:r>
            <w:r/>
          </w:p>
        </w:tc>
        <w:tc>
          <w:tcPr>
            <w:shd w:val="clear" w:color="auto" w:fill="auto"/>
            <w:tcW w:w="192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404"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值班室卫生不干净、不整洁，室内有烟头、烟灰缸</w:t>
            </w:r>
            <w:r/>
          </w:p>
        </w:tc>
        <w:tc>
          <w:tcPr>
            <w:shd w:val="clear" w:color="auto" w:fill="auto"/>
            <w:tcW w:w="192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w:t>
            </w:r>
            <w:r/>
          </w:p>
        </w:tc>
        <w:tc>
          <w:tcPr>
            <w:tcW w:w="888"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重大违规问题</w:t>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酒后上岗、在岗饮酒、脱岗渎职造成较大安全事故</w:t>
            </w:r>
            <w:r/>
          </w:p>
        </w:tc>
        <w:tc>
          <w:tcPr>
            <w:tcW w:w="192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与患者、家属、医护人员发生肢体冲突、恶意争吵引发严重舆情</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履职严重不到位，导致院内发生盗窃、火灾、治安事故、暴力伤医等恶性事件</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隐瞒重大安全隐患、突发事件，迟报、瞒报、谎报造成事态扩大，产生严重后果</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监守自盗、内外勾结、纵容或参与违法犯罪行为，造成重大损失</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c>
          <w:tcPr>
            <w:tcW w:w="88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保安员违反纪律或处理事件不当，任由事件恶化，造成医院形象严重受损或产生较大经济损失</w:t>
            </w:r>
            <w:r/>
          </w:p>
        </w:tc>
        <w:tc>
          <w:tcPr>
            <w:tcW w:w="192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3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88</w:t>
            </w:r>
            <w:r/>
          </w:p>
        </w:tc>
        <w:tc>
          <w:tcPr>
            <w:tcW w:w="888" w:type="dxa"/>
            <w:vAlign w:val="center"/>
            <w:vMerge w:val="restart"/>
            <w:textDirection w:val="lrTb"/>
            <w:noWrap w:val="false"/>
          </w:tcPr>
          <w:p>
            <w:pPr>
              <w:jc w:val="center"/>
              <w:keepLines w:val="0"/>
              <w:keepNext w:val="0"/>
              <w:pageBreakBefore w:val="0"/>
              <w:spacing w:line="280" w:lineRule="exact"/>
              <w:widowControl w:val="off"/>
              <w:rPr>
                <w:rFonts w:hint="eastAsia"/>
                <w:color w:val="auto"/>
                <w:sz w:val="24"/>
                <w:szCs w:val="24"/>
                <w:highlight w:val="none"/>
                <w:lang w:val="en-US" w:eastAsia="zh-CN"/>
              </w:rPr>
            </w:pPr>
            <w:r>
              <w:rPr>
                <w:rFonts w:hint="eastAsia"/>
                <w:color w:val="auto"/>
                <w:sz w:val="24"/>
                <w:szCs w:val="24"/>
                <w:highlight w:val="none"/>
              </w:rPr>
              <w:t xml:space="preserve">其他</w:t>
            </w:r>
            <w:r/>
          </w:p>
        </w:tc>
        <w:tc>
          <w:tcPr>
            <w:tcW w:w="640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其他违反社会公德、家庭美德、人品道德事宜</w:t>
            </w:r>
            <w:r/>
          </w:p>
        </w:tc>
        <w:tc>
          <w:tcPr>
            <w:tcW w:w="1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 类 </w:t>
            </w:r>
            <w:r>
              <w:rPr>
                <w:rFonts w:hint="eastAsia"/>
                <w:color w:val="auto"/>
                <w:sz w:val="24"/>
                <w:szCs w:val="24"/>
                <w:highlight w:val="none"/>
                <w:lang w:val="en-US" w:eastAsia="zh-CN"/>
              </w:rPr>
              <w:t xml:space="preserve">1</w:t>
            </w:r>
            <w:r>
              <w:rPr>
                <w:rFonts w:hint="eastAsia"/>
                <w:color w:val="auto"/>
                <w:sz w:val="24"/>
                <w:szCs w:val="24"/>
                <w:highlight w:val="none"/>
              </w:rPr>
              <w:t xml:space="preserve">～C 类 3 分</w:t>
            </w:r>
            <w:r/>
          </w:p>
        </w:tc>
      </w:tr>
      <w:tr>
        <w:trPr>
          <w:jc w:val="center"/>
          <w:trHeight w:val="90"/>
        </w:trPr>
        <w:tc>
          <w:tcPr>
            <w:tcW w:w="73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tcW w:w="888"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bottom"/>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其他违反医院制度、工作要求、服务宗旨事宜</w:t>
            </w:r>
            <w:r/>
          </w:p>
        </w:tc>
        <w:tc>
          <w:tcPr>
            <w:tcW w:w="1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类 </w:t>
            </w:r>
            <w:r>
              <w:rPr>
                <w:rFonts w:hint="eastAsia"/>
                <w:color w:val="auto"/>
                <w:sz w:val="24"/>
                <w:szCs w:val="24"/>
                <w:highlight w:val="none"/>
                <w:lang w:val="en-US" w:eastAsia="zh-CN"/>
              </w:rPr>
              <w:t xml:space="preserve">1</w:t>
            </w:r>
            <w:r>
              <w:rPr>
                <w:rFonts w:hint="eastAsia"/>
                <w:color w:val="auto"/>
                <w:sz w:val="24"/>
                <w:szCs w:val="24"/>
                <w:highlight w:val="none"/>
              </w:rPr>
              <w:t xml:space="preserve">～D 类 5 分</w:t>
            </w:r>
            <w:r/>
          </w:p>
        </w:tc>
      </w:tr>
      <w:tr>
        <w:trPr>
          <w:jc w:val="center"/>
          <w:trHeight w:val="632"/>
        </w:trPr>
        <w:tc>
          <w:tcPr>
            <w:tcW w:w="73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p>
        </w:tc>
        <w:tc>
          <w:tcPr>
            <w:tcW w:w="888"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其他违反法律法规事宜</w:t>
            </w:r>
            <w:r/>
          </w:p>
        </w:tc>
        <w:tc>
          <w:tcPr>
            <w:tcW w:w="1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D 类 5～E 类 10 分</w:t>
            </w:r>
            <w:r/>
          </w:p>
        </w:tc>
      </w:tr>
    </w:tbl>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1.扣罚标准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采购人每月对中标人上月的服务质量按《连云港市第一人民医院保安服务质量考核表》进行考核，考评结果与保安服务费挂钩，每月累加计算，次月清零重新计算：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（1）月度累计扣分≤10分：仅按单条违规累计扣款，从10%绩效池扣除，无一次性扣减服务费；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（2）10分＜月度累计扣分≤15分：累计扣款+一次性扣减服务费2000元，下发书面整改警告；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（3）15分＜月度累计扣分≤20分：累计扣款+一次性扣减服务费5000元，约谈外包公司项目负责人，7日内提交专项整改方案；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（4）20分＜月度累计扣分≤25分：累计扣款+一次性扣减服务费10000元，约谈外包单位总部负责人，限期更换现场安保主管；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宋体" w:hAnsi="宋体" w:eastAsia="宋体" w:cs="宋体"/>
          <w:color w:val="000000"/>
          <w:sz w:val="24"/>
        </w:rPr>
        <w:t xml:space="preserve">（5）月度累计扣分＞25分：累计扣款+一次性扣减服务费30000元，医院有权单方面提前解除保安服务合同，全部损失由中标单位承担</w:t>
      </w:r>
      <w:r>
        <w:rPr>
          <w:rFonts w:hint="eastAsia" w:ascii="宋体" w:hAnsi="宋体" w:cs="宋体"/>
          <w:b w:val="0"/>
          <w:bCs/>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 3 个工作日；逾期未整改或复查不合格，同类问题扣款标准上浮 2 倍；中标人拒不整改的，或一周内整改没有成效的，采购人有权提前解除合同。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（2）因中标人在履约过程中提供虚假证书（如建构筑物消防员、保安员证书等），造成上级管理部门（消防、公安）对医院的处罚的，由中标人承担相应后果。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（1）中标人内部监管考核标准。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中标人月自查自纠问题总数的30%≥医院主管部门督查发现问题起数件次数＞中标人月自查自纠问题总数的20%，按照考核办法的扣罚标准的1倍/起对中标人予以扣款。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中标人月自查自纠问题总数的50%≥医院主管部门督查发现问题起数件次数＞中标人月自查自纠问题总数的30%，按照考核办法的扣罚标准的1.5倍/起对中标人予以扣款。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医院主管部门督查发现问题起数件次数＞中标人月自查自纠问题总数的50%，按照考核办法的扣罚标准的2倍/起对中标人予以扣款。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院级及以上部门督查发现问题起数件次数＞医院主管部门督查发现问题起数件次数的50%，按照考核办法的扣罚标准的2倍/起对中标人予以扣款。</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六、报价要求</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投标报价须包含管理人员和服务人员的工资、五险、</w:t>
      </w:r>
      <w:r>
        <w:rPr>
          <w:rFonts w:hint="eastAsia" w:ascii="宋体" w:hAnsi="宋体" w:eastAsia="宋体" w:cs="Times New Roman"/>
          <w:color w:val="auto"/>
          <w:sz w:val="24"/>
          <w:szCs w:val="24"/>
          <w:highlight w:val="none"/>
          <w:lang w:val="en-US" w:eastAsia="zh-CN"/>
        </w:rPr>
        <w:t xml:space="preserve">防暑降温费、</w:t>
      </w:r>
      <w:r>
        <w:rPr>
          <w:rFonts w:hint="eastAsia" w:ascii="宋体" w:hAnsi="宋体" w:eastAsia="宋体" w:cs="Times New Roman"/>
          <w:color w:val="auto"/>
          <w:sz w:val="24"/>
          <w:szCs w:val="24"/>
          <w:highlight w:val="none"/>
        </w:rPr>
        <w:t xml:space="preserve">超过法定工时的工作日加班、周末加班、法定休假日加班等费用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福利、耗材、服装、税费、合理利润等费用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五险不能低于连云港市最低标准等规定）。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合同履约期内不因国家提高最低工资标准、保险金比例等政策调整因素而调整合同价。</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七、付款方式与履约保证金</w:t>
      </w:r>
      <w:r/>
    </w:p>
    <w:p>
      <w:pPr>
        <w:numPr>
          <w:ilvl w:val="0"/>
          <w:numId w:val="0"/>
        </w:numPr>
        <w:ind w:firstLine="482"/>
        <w:jc w:val="left"/>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★1、付款方式：按月考核，根据考核结果支付上月服务费。采购人付款之前中标人应向采购人开具正规发票，采购人自收到发票后将资金支付至合同约定的中标人账户。</w:t>
      </w:r>
      <w:r/>
    </w:p>
    <w:p>
      <w:pPr>
        <w:ind w:firstLine="482"/>
        <w:keepLines w:val="0"/>
        <w:keepNext w:val="0"/>
        <w:pageBreakBefore w:val="0"/>
        <w:spacing w:line="360" w:lineRule="auto"/>
        <w:widowControl w:val="off"/>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2、履约保证金</w:t>
      </w:r>
      <w:r>
        <w:rPr>
          <w:rFonts w:hint="eastAsia" w:ascii="宋体" w:hAnsi="宋体" w:cs="Times New Roman"/>
          <w:b/>
          <w:bCs/>
          <w:color w:val="auto"/>
          <w:sz w:val="24"/>
          <w:szCs w:val="24"/>
          <w:highlight w:val="none"/>
          <w:lang w:eastAsia="zh-CN"/>
        </w:rPr>
        <w:t xml:space="preserve">：</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合同签订前上缴院方履约保证金10万元，到期无息退还经考核扣罚后的剩余总额</w:t>
      </w:r>
      <w:r>
        <w:rPr>
          <w:rFonts w:hint="eastAsia" w:ascii="宋体" w:hAnsi="宋体" w:eastAsia="宋体" w:cs="宋体"/>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中标人应当以支票、汇票、本票或者金融机构、担保机构出具的保函等非现金形式在合同签订前提交。</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cs="Times New Roman"/>
          <w:color w:val="auto"/>
          <w:sz w:val="24"/>
          <w:szCs w:val="24"/>
          <w:highlight w:val="none"/>
        </w:rPr>
        <w:t xml:space="preserve">履</w:t>
      </w:r>
      <w:r>
        <w:rPr>
          <w:rFonts w:hint="eastAsia" w:ascii="宋体" w:hAnsi="宋体" w:cs="Times New Roman"/>
          <w:color w:val="auto"/>
          <w:sz w:val="24"/>
          <w:szCs w:val="24"/>
          <w:highlight w:val="none"/>
        </w:rPr>
        <w:t xml:space="preserve">约保证金自合同生效之日起至合同约定的中标人主要义务履行完毕止，采购人按合同约定退还履</w:t>
      </w:r>
      <w:r>
        <w:rPr>
          <w:rFonts w:hint="eastAsia" w:ascii="宋体" w:hAnsi="宋体" w:eastAsia="宋体" w:cs="Times New Roman"/>
          <w:color w:val="auto"/>
          <w:sz w:val="24"/>
          <w:szCs w:val="24"/>
          <w:highlight w:val="none"/>
        </w:rPr>
        <w:t xml:space="preserve">约保证金。中标人违约的，采购人将按照合同约定扣除其全部或部分履约保证金。如中标人违约给采购人造成的损失超过履约保证金的，应当依法赔偿超过部分的损失。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2</w:t>
      </w:r>
      <w:r>
        <w:rPr>
          <w:rFonts w:hint="eastAsia" w:ascii="宋体" w:hAnsi="宋体" w:eastAsia="宋体" w:cs="宋体"/>
          <w:b/>
          <w:bCs w:val="0"/>
          <w:color w:val="auto"/>
          <w:sz w:val="24"/>
          <w:szCs w:val="24"/>
          <w:highlight w:val="none"/>
          <w:vertAlign w:val="baseline"/>
          <w:lang w:val="en-US" w:eastAsia="zh-CN"/>
        </w:rPr>
        <w:t xml:space="preserve">：连云港市第一人民医院通灌院区保安服务（专门面向中小企业）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一、项目背景：</w:t>
      </w:r>
      <w:r/>
    </w:p>
    <w:p>
      <w:pPr>
        <w:ind w:firstLine="480"/>
        <w:keepLines w:val="0"/>
        <w:keepNext w:val="0"/>
        <w:pageBreakBefore w:val="0"/>
        <w:spacing w:line="36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连云港市第一人民医院始建于1951年10月，经过几代人的艰苦创业，现已发展成为徐淮东部地区规模最大的三级甲等综合医院，医院服务人口80多万、一院三区建筑面积60万平方米，其中通灌院区位于通灌北路182号，建筑面积约14万平方米。</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二、项目概况：</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落实平安医院建设，包含门卫看护、</w:t>
      </w:r>
      <w:r>
        <w:rPr>
          <w:rFonts w:hint="eastAsia" w:ascii="宋体" w:hAnsi="宋体" w:cs="Times New Roman"/>
          <w:bCs/>
          <w:color w:val="auto"/>
          <w:sz w:val="24"/>
          <w:szCs w:val="24"/>
          <w:highlight w:val="none"/>
          <w:lang w:val="en-US" w:eastAsia="zh-CN"/>
        </w:rPr>
        <w:t xml:space="preserve">巡逻巡更、</w:t>
      </w:r>
      <w:r>
        <w:rPr>
          <w:rFonts w:hint="eastAsia" w:ascii="宋体" w:hAnsi="宋体" w:cs="Times New Roman"/>
          <w:bCs/>
          <w:color w:val="auto"/>
          <w:sz w:val="24"/>
          <w:szCs w:val="24"/>
          <w:highlight w:val="none"/>
        </w:rPr>
        <w:t xml:space="preserve">消防控制室值守、</w:t>
      </w:r>
      <w:r>
        <w:rPr>
          <w:rFonts w:hint="eastAsia" w:ascii="宋体" w:hAnsi="宋体" w:cs="Times New Roman"/>
          <w:bCs/>
          <w:color w:val="auto"/>
          <w:sz w:val="24"/>
          <w:szCs w:val="24"/>
          <w:highlight w:val="none"/>
          <w:lang w:val="en-US" w:eastAsia="zh-CN"/>
        </w:rPr>
        <w:t xml:space="preserve">突发事件应急处置、车辆管理等，</w:t>
      </w:r>
      <w:r>
        <w:rPr>
          <w:rFonts w:hint="eastAsia" w:ascii="宋体" w:hAnsi="宋体" w:cs="Times New Roman"/>
          <w:bCs/>
          <w:color w:val="auto"/>
          <w:sz w:val="24"/>
          <w:szCs w:val="24"/>
          <w:highlight w:val="none"/>
        </w:rPr>
        <w:t xml:space="preserve">防范盗窃、火灾、医闹、</w:t>
      </w:r>
      <w:r>
        <w:rPr>
          <w:rFonts w:hint="eastAsia" w:ascii="宋体" w:hAnsi="宋体" w:cs="Times New Roman"/>
          <w:bCs/>
          <w:color w:val="auto"/>
          <w:sz w:val="24"/>
          <w:szCs w:val="24"/>
          <w:highlight w:val="none"/>
          <w:lang w:val="en-US" w:eastAsia="zh-CN"/>
        </w:rPr>
        <w:t xml:space="preserve">医托、</w:t>
      </w:r>
      <w:r>
        <w:rPr>
          <w:rFonts w:hint="eastAsia" w:ascii="宋体" w:hAnsi="宋体" w:cs="Times New Roman"/>
          <w:bCs/>
          <w:color w:val="auto"/>
          <w:sz w:val="24"/>
          <w:szCs w:val="24"/>
          <w:highlight w:val="none"/>
        </w:rPr>
        <w:t xml:space="preserve">伤医、寻衅滋事、车辆事故、违禁品流入；保障医患、职工人身财产安全，维持正常诊疗秩序</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院区交通秩序</w:t>
      </w:r>
      <w:r>
        <w:rPr>
          <w:rFonts w:hint="eastAsia" w:ascii="宋体" w:hAnsi="宋体" w:cs="Times New Roman"/>
          <w:bCs/>
          <w:color w:val="auto"/>
          <w:sz w:val="24"/>
          <w:szCs w:val="24"/>
          <w:highlight w:val="none"/>
        </w:rPr>
        <w:t xml:space="preserve">，快速处置各类突发事件，落实治安、消防、反恐防暴全流程管控。</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三、服务技术要求及其他：</w:t>
      </w:r>
      <w:r/>
    </w:p>
    <w:p>
      <w:pPr>
        <w:ind w:firstLine="482"/>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一</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服务范围</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连云港市第一人民医院</w:t>
      </w:r>
      <w:r>
        <w:rPr>
          <w:rFonts w:hint="eastAsia" w:ascii="宋体" w:hAnsi="宋体" w:cs="Times New Roman"/>
          <w:bCs/>
          <w:color w:val="auto"/>
          <w:sz w:val="24"/>
          <w:szCs w:val="24"/>
          <w:highlight w:val="none"/>
          <w:lang w:val="en-US" w:eastAsia="zh-CN"/>
        </w:rPr>
        <w:t xml:space="preserve">通灌院区（含口腔医院）</w:t>
      </w:r>
      <w:r>
        <w:rPr>
          <w:rFonts w:hint="eastAsia" w:ascii="宋体" w:hAnsi="宋体" w:cs="Times New Roman"/>
          <w:bCs/>
          <w:color w:val="auto"/>
          <w:sz w:val="24"/>
          <w:szCs w:val="24"/>
          <w:highlight w:val="none"/>
        </w:rPr>
        <w:t xml:space="preserve">门卫值守、防火防盗巡查、建筑消防设施巡检、应急处突、消防控制室值守、纠纷处置、安检查验</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交通秩序维护</w:t>
      </w:r>
      <w:r>
        <w:rPr>
          <w:rFonts w:hint="eastAsia" w:ascii="宋体" w:hAnsi="宋体" w:cs="Times New Roman"/>
          <w:bCs/>
          <w:color w:val="auto"/>
          <w:sz w:val="24"/>
          <w:szCs w:val="24"/>
          <w:highlight w:val="none"/>
        </w:rPr>
        <w:t xml:space="preserve">等安全服务。</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二</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人员应持具保安员证书，熟悉医院建筑格局，遵守医院安全管理规定，知法，懂法，守法，依法办事，必须严格遵守保安员从业规范；身体健康，没有传染病，心脑血管疾病及精神病等疾病病史，体貌端正，有吃苦耐劳的精神和高度的责任感，受过专门的岗前培训。</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rPr>
        <w:t xml:space="preserve">★</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三</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服务期限：</w:t>
      </w:r>
      <w:r>
        <w:rPr>
          <w:rFonts w:hint="eastAsia" w:ascii="宋体" w:hAnsi="宋体" w:cs="Times New Roman"/>
          <w:b/>
          <w:bCs w:val="0"/>
          <w:color w:val="auto"/>
          <w:sz w:val="24"/>
          <w:szCs w:val="24"/>
          <w:highlight w:val="none"/>
          <w:lang w:val="en-US" w:eastAsia="zh-CN"/>
        </w:rPr>
        <w:t xml:space="preserve">贰</w:t>
      </w:r>
      <w:r>
        <w:rPr>
          <w:rFonts w:hint="eastAsia" w:ascii="宋体" w:hAnsi="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2026年10月1日至2028年9月30日</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cs="Times New Roman"/>
          <w:b/>
          <w:bCs w:val="0"/>
          <w:color w:val="auto"/>
          <w:sz w:val="24"/>
          <w:szCs w:val="24"/>
          <w:highlight w:val="none"/>
        </w:rPr>
        <w:t xml:space="preserve">服务标准</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1.</w:t>
      </w:r>
      <w:r>
        <w:rPr>
          <w:rFonts w:hint="eastAsia" w:ascii="宋体" w:hAnsi="宋体" w:cs="Times New Roman"/>
          <w:b/>
          <w:bCs w:val="0"/>
          <w:color w:val="auto"/>
          <w:sz w:val="24"/>
          <w:szCs w:val="24"/>
          <w:highlight w:val="none"/>
        </w:rPr>
        <w:t xml:space="preserve">服务总体要求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全天候24小时对医院各区域进行治安巡查、消防监控及参与突发事件的处理（主要为门卫、巡逻、车辆管理、火灾的预警、报警、初起火灾的扑救、火灾救援、消控室值守、诊疗秩序维持、治安突发事件处置、</w:t>
      </w:r>
      <w:r>
        <w:rPr>
          <w:rFonts w:hint="eastAsia" w:ascii="宋体" w:hAnsi="宋体" w:cs="Times New Roman"/>
          <w:bCs/>
          <w:color w:val="auto"/>
          <w:sz w:val="24"/>
          <w:szCs w:val="24"/>
          <w:highlight w:val="none"/>
          <w:lang w:val="en-US" w:eastAsia="zh-CN"/>
        </w:rPr>
        <w:t xml:space="preserve">突发</w:t>
      </w:r>
      <w:r>
        <w:rPr>
          <w:rFonts w:hint="eastAsia" w:ascii="宋体" w:hAnsi="宋体" w:cs="Times New Roman"/>
          <w:bCs/>
          <w:color w:val="auto"/>
          <w:sz w:val="24"/>
          <w:szCs w:val="24"/>
          <w:highlight w:val="none"/>
        </w:rPr>
        <w:t xml:space="preserve">疫情应急病区的警戒及看守、自然灾害救援等事件）。</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维护医院的正常医疗秩序，保障医院内所有人员的人身和财产安全，保护医院的设施和设备及各类财产不受损失，预防各类政治、刑事案件、治安事件和火灾事故的发生。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配合公安机关、医院保卫部门做好信息的收集工作，防止各类敌对势力的破坏和渗透，对发现的可疑情况和线索应及时向医院保卫部门报告。</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组织人员对院内安全存在的隐患进行查找，及时报告不安全因素，并配合医院保卫部门进行整改。</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全体保安员均为义务消防员，中标人应对保安员进行岗前培训，特别是消防技能的培训，</w:t>
      </w:r>
      <w:r>
        <w:rPr>
          <w:rFonts w:hint="eastAsia" w:ascii="宋体" w:hAnsi="宋体" w:cs="Times New Roman"/>
          <w:bCs/>
          <w:color w:val="auto"/>
          <w:sz w:val="24"/>
          <w:szCs w:val="24"/>
          <w:highlight w:val="none"/>
          <w:lang w:val="en-US" w:eastAsia="zh-CN"/>
        </w:rPr>
        <w:t xml:space="preserve">确保</w:t>
      </w:r>
      <w:r>
        <w:rPr>
          <w:rFonts w:hint="eastAsia" w:ascii="宋体" w:hAnsi="宋体" w:cs="Times New Roman"/>
          <w:bCs/>
          <w:color w:val="auto"/>
          <w:sz w:val="24"/>
          <w:szCs w:val="24"/>
          <w:highlight w:val="none"/>
        </w:rPr>
        <w:t xml:space="preserve">保安员具有一定的业务素质，消防监控室值班人员应按消防法规要求持证（四级/中级消防设施操作员）上岗。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全体保安员均为应急救援队员，中标人应对保安员进行培训，特别是快速反应应急救援培训，当发生火灾、恶性治安案件、重大疫情应急病区的警戒</w:t>
      </w:r>
      <w:r>
        <w:rPr>
          <w:rFonts w:hint="eastAsia" w:ascii="宋体" w:hAnsi="宋体" w:cs="Times New Roman"/>
          <w:bCs/>
          <w:color w:val="auto"/>
          <w:sz w:val="24"/>
          <w:szCs w:val="24"/>
          <w:highlight w:val="none"/>
          <w:lang w:eastAsia="zh-CN"/>
        </w:rPr>
        <w:t xml:space="preserve">及其他自然灾害</w:t>
      </w:r>
      <w:r>
        <w:rPr>
          <w:rFonts w:hint="eastAsia" w:ascii="宋体" w:hAnsi="宋体" w:cs="Times New Roman"/>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建立完善的各项应急救援方案（火警、爆炸、投毒、群体性事件、</w:t>
      </w:r>
      <w:r>
        <w:rPr>
          <w:rFonts w:hint="eastAsia" w:ascii="宋体" w:hAnsi="宋体" w:cs="Times New Roman"/>
          <w:bCs/>
          <w:color w:val="auto"/>
          <w:sz w:val="24"/>
          <w:szCs w:val="24"/>
          <w:highlight w:val="none"/>
          <w:lang w:val="en-US" w:eastAsia="zh-CN"/>
        </w:rPr>
        <w:t xml:space="preserve">伤医滋事、</w:t>
      </w:r>
      <w:r>
        <w:rPr>
          <w:rFonts w:hint="eastAsia" w:ascii="宋体" w:hAnsi="宋体" w:cs="Times New Roman"/>
          <w:bCs/>
          <w:color w:val="auto"/>
          <w:sz w:val="24"/>
          <w:szCs w:val="24"/>
          <w:highlight w:val="none"/>
          <w:lang w:eastAsia="zh-CN"/>
        </w:rPr>
        <w:t xml:space="preserve">其他破坏</w:t>
      </w:r>
      <w:r>
        <w:rPr>
          <w:rFonts w:hint="eastAsia" w:ascii="宋体" w:hAnsi="宋体" w:cs="Times New Roman"/>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医院区域内重大火灾、治安、交通、刑事等事件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医院保卫部门提供一份详细年度计划，做好</w:t>
      </w:r>
      <w:r>
        <w:rPr>
          <w:rFonts w:hint="eastAsia" w:ascii="宋体" w:hAnsi="宋体" w:cs="Times New Roman"/>
          <w:bCs/>
          <w:color w:val="auto"/>
          <w:sz w:val="24"/>
          <w:szCs w:val="24"/>
          <w:highlight w:val="none"/>
          <w:lang w:eastAsia="zh-CN"/>
        </w:rPr>
        <w:t xml:space="preserve">台账</w:t>
      </w:r>
      <w:r>
        <w:rPr>
          <w:rFonts w:hint="eastAsia" w:ascii="宋体" w:hAnsi="宋体" w:cs="Times New Roman"/>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应按要求派出</w:t>
      </w:r>
      <w:r>
        <w:rPr>
          <w:rFonts w:hint="eastAsia" w:ascii="宋体" w:hAnsi="宋体" w:cs="Times New Roman"/>
          <w:bCs/>
          <w:color w:val="auto"/>
          <w:sz w:val="24"/>
          <w:szCs w:val="24"/>
          <w:highlight w:val="none"/>
          <w:lang w:val="en-US" w:eastAsia="zh-CN"/>
        </w:rPr>
        <w:t xml:space="preserve">持证（四级/中级消防设施操作员）人员在消防</w:t>
      </w:r>
      <w:r>
        <w:rPr>
          <w:rFonts w:hint="eastAsia" w:ascii="宋体" w:hAnsi="宋体" w:cs="Times New Roman"/>
          <w:bCs/>
          <w:color w:val="auto"/>
          <w:sz w:val="24"/>
          <w:szCs w:val="24"/>
          <w:highlight w:val="none"/>
        </w:rPr>
        <w:t xml:space="preserve">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10</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保安员应熟悉医院整体地理环境及监控范围，熟练操作、维护使用监控系统设备。</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积极配合医院做好与安全生产相关的宣传工作</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服务公司必须保证每年有一次对医院开展安全宣传教育的活动</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每月把医院所发生的一些重要情况如实以书面形式汇报到医院保卫部门，每月、季度、半年、年终分别做好事件记录及总结，并交到医院保卫部门备案。</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应按时按岗位安排保安到岗，不得随意减少岗位，因服务改造和岗位调整，医院可根据岗位实际需要在允许的范围内增减保安员数量，每个保安员增减的费用，按照中标合同计算。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14</w:t>
      </w:r>
      <w:r>
        <w:rPr>
          <w:rFonts w:hint="eastAsia" w:ascii="宋体" w:hAnsi="宋体" w:cs="Times New Roman"/>
          <w:bCs/>
          <w:color w:val="auto"/>
          <w:sz w:val="24"/>
          <w:szCs w:val="24"/>
          <w:highlight w:val="none"/>
          <w:lang w:eastAsia="zh-CN"/>
        </w:rPr>
        <w:t xml:space="preserve">）确保</w:t>
      </w:r>
      <w:r>
        <w:rPr>
          <w:rFonts w:hint="eastAsia" w:ascii="宋体" w:hAnsi="宋体" w:cs="Times New Roman"/>
          <w:bCs/>
          <w:color w:val="auto"/>
          <w:sz w:val="24"/>
          <w:szCs w:val="24"/>
          <w:highlight w:val="none"/>
        </w:rPr>
        <w:t xml:space="preserve">每年至少开展1次涉医违法犯罪应急演练、1次消防应急演练。</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rPr>
        <w:t xml:space="preserve">保安员岗位职责：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numPr>
          <w:ilvl w:val="0"/>
          <w:numId w:val="6"/>
        </w:num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人员配备：</w:t>
      </w:r>
      <w:r/>
    </w:p>
    <w:p>
      <w:pPr>
        <w:pStyle w:val="788"/>
        <w:ind w:left="420" w:firstLine="618"/>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1.基本年龄范围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所有保安人员上岗时年龄须在18周岁以上，身体健康，能胜任岗位工作。</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2.新进人员年龄限制</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新招聘的保安人员年龄不得超过5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周岁（即新进人员须小于5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岁）。已在队伍中、超过55周岁的现有保安人员可继续留用，不受本款限制。</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3.50周岁以下人员占比</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全体保安人员中，50周岁以下的人员占比不低于20%（即≥20%）。该比例为硬性达标条件，为《医院安全防范要求》新国标（GB/T31458-2026）要求条款，投标人须在响应文件中明确承诺并列出符合条件的人员清单。</w:t>
      </w:r>
      <w:r/>
    </w:p>
    <w:p>
      <w:pPr>
        <w:pStyle w:val="788"/>
        <w:ind w:left="420" w:firstLine="618"/>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机动队兼微型消防站队员年龄</w:t>
      </w:r>
      <w:r/>
    </w:p>
    <w:p>
      <w:pPr>
        <w:pStyle w:val="788"/>
        <w:ind w:left="420" w:firstLine="618"/>
        <w:spacing w:line="360" w:lineRule="auto"/>
        <w:rPr>
          <w:rFonts w:hint="eastAsia" w:ascii="宋体" w:hAnsi="宋体" w:eastAsia="宋体" w:cs="宋体"/>
          <w:color w:val="auto"/>
          <w:sz w:val="24"/>
          <w:szCs w:val="24"/>
          <w:highlight w:val="none"/>
          <w:lang w:bidi="ar"/>
        </w:rPr>
      </w:pPr>
      <w:r>
        <w:rPr>
          <w:rFonts w:hint="eastAsia" w:ascii="宋体" w:hAnsi="宋体" w:eastAsia="宋体" w:cs="宋体"/>
          <w:b w:val="0"/>
          <w:bCs w:val="0"/>
          <w:color w:val="auto"/>
          <w:sz w:val="24"/>
          <w:szCs w:val="24"/>
          <w:highlight w:val="none"/>
        </w:rPr>
        <w:t xml:space="preserve">机动队及微型消防站队员的年龄不超过50周岁，以确保应急处突体能和反应速度。</w:t>
      </w:r>
      <w:r/>
    </w:p>
    <w:p>
      <w:pPr>
        <w:ind w:firstLine="480"/>
        <w:jc w:val="center"/>
        <w:spacing w:line="5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通灌院区保安服务岗位配置</w:t>
      </w:r>
      <w:r/>
    </w:p>
    <w:tbl>
      <w:tblPr>
        <w:tblStyle w:val="783"/>
        <w:tblW w:w="9485" w:type="dxa"/>
        <w:tblInd w:w="-12" w:type="dxa"/>
        <w:tblLayout w:type="fixed"/>
        <w:tblCellMar>
          <w:left w:w="108" w:type="dxa"/>
          <w:top w:w="0" w:type="dxa"/>
          <w:right w:w="108" w:type="dxa"/>
          <w:bottom w:w="0" w:type="dxa"/>
        </w:tblCellMar>
        <w:tblLook w:val="04A0" w:firstRow="1" w:lastRow="0" w:firstColumn="1" w:lastColumn="0" w:noHBand="0" w:noVBand="1"/>
      </w:tblPr>
      <w:tblGrid>
        <w:gridCol w:w="566"/>
        <w:gridCol w:w="1430"/>
        <w:gridCol w:w="727"/>
        <w:gridCol w:w="970"/>
        <w:gridCol w:w="750"/>
        <w:gridCol w:w="2434"/>
        <w:gridCol w:w="2608"/>
      </w:tblGrid>
      <w:tr>
        <w:trPr>
          <w:trHeight w:val="520"/>
        </w:trPr>
        <w:tc>
          <w:tcPr>
            <w:shd w:val="clear" w:color="auto" w:fill="auto"/>
            <w:tcBorders>
              <w:top w:val="single" w:color="000000" w:sz="8"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岗位</w:t>
            </w:r>
            <w:r/>
          </w:p>
        </w:tc>
        <w:tc>
          <w:tcPr>
            <w:shd w:val="clear" w:color="auto" w:fill="auto"/>
            <w:tcBorders>
              <w:top w:val="single" w:color="000000" w:sz="8" w:space="0"/>
              <w:left w:val="single" w:color="000000" w:sz="4" w:space="0"/>
              <w:bottom w:val="single" w:color="000000" w:sz="4" w:space="0"/>
              <w:right w:val="single" w:color="000000" w:sz="4" w:space="0"/>
            </w:tcBorders>
            <w:tcW w:w="727"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岗位数</w:t>
            </w:r>
            <w:r/>
          </w:p>
        </w:tc>
        <w:tc>
          <w:tcPr>
            <w:shd w:val="clear" w:color="auto" w:fill="auto"/>
            <w:tcBorders>
              <w:top w:val="single" w:color="000000" w:sz="8" w:space="0"/>
              <w:left w:val="single" w:color="000000" w:sz="4" w:space="0"/>
              <w:bottom w:val="single" w:color="000000" w:sz="4" w:space="0"/>
              <w:right w:val="single" w:color="000000" w:sz="4" w:space="0"/>
            </w:tcBorders>
            <w:tcW w:w="970"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排班制</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保安数量</w:t>
            </w:r>
            <w:r/>
          </w:p>
        </w:tc>
        <w:tc>
          <w:tcPr>
            <w:shd w:val="clear" w:color="auto" w:fill="auto"/>
            <w:tcBorders>
              <w:top w:val="single" w:color="000000" w:sz="8"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c>
          <w:tcPr>
            <w:shd w:val="clear" w:color="auto" w:fill="auto"/>
            <w:tcBorders>
              <w:top w:val="single" w:color="000000" w:sz="8"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配置依据</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持有保卫管理员，年龄50岁以下。</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实际需要</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资料员（台账集成、内部考勤、巡查考核）</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bidi="ar"/>
              </w:rPr>
              <w:t xml:space="preserve">大专及以上学历，能熟练使用办公软件，具备2年以上文员或台账管理相关工作经验</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实际需要</w:t>
            </w:r>
            <w:r/>
          </w:p>
        </w:tc>
      </w:tr>
      <w:tr>
        <w:trPr>
          <w:trHeight w:val="757"/>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★带班队长</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男，年龄50岁以下，工资实发≥3</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实际需要</w:t>
            </w:r>
            <w:r/>
          </w:p>
        </w:tc>
      </w:tr>
      <w:tr>
        <w:trPr>
          <w:trHeight w:val="251"/>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★机动队兼微型消防站队员</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rPr>
            </w:pPr>
            <w:r>
              <w:rPr>
                <w:rStyle w:val="1110"/>
                <w:rFonts w:hint="eastAsia" w:ascii="宋体" w:hAnsi="宋体" w:eastAsia="宋体" w:cs="宋体"/>
                <w:color w:val="auto"/>
                <w:sz w:val="21"/>
                <w:szCs w:val="21"/>
                <w:highlight w:val="none"/>
                <w:lang w:bidi="ar"/>
              </w:rPr>
              <w:t xml:space="preserve">年龄</w:t>
            </w:r>
            <w:r>
              <w:rPr>
                <w:rStyle w:val="1111"/>
                <w:rFonts w:hint="eastAsia" w:ascii="宋体" w:hAnsi="宋体" w:eastAsia="宋体" w:cs="宋体"/>
                <w:color w:val="auto"/>
                <w:sz w:val="21"/>
                <w:szCs w:val="21"/>
                <w:highlight w:val="none"/>
                <w:lang w:bidi="ar"/>
              </w:rPr>
              <w:t xml:space="preserve">50周岁以下</w:t>
            </w:r>
            <w:r>
              <w:rPr>
                <w:rStyle w:val="1110"/>
                <w:rFonts w:hint="eastAsia" w:ascii="宋体" w:hAnsi="宋体" w:eastAsia="宋体" w:cs="宋体"/>
                <w:color w:val="auto"/>
                <w:sz w:val="21"/>
                <w:szCs w:val="21"/>
                <w:highlight w:val="none"/>
                <w:lang w:bidi="ar"/>
              </w:rPr>
              <w:t xml:space="preserve">；工资实发≥3</w:t>
            </w:r>
            <w:r>
              <w:rPr>
                <w:rStyle w:val="1110"/>
                <w:rFonts w:hint="eastAsia" w:ascii="宋体" w:hAnsi="宋体" w:cs="宋体"/>
                <w:color w:val="auto"/>
                <w:sz w:val="21"/>
                <w:szCs w:val="21"/>
                <w:highlight w:val="none"/>
                <w:lang w:val="en-US" w:eastAsia="zh-CN" w:bidi="ar"/>
              </w:rPr>
              <w:t xml:space="preserve">0</w:t>
            </w:r>
            <w:r>
              <w:rPr>
                <w:rStyle w:val="1110"/>
                <w:rFonts w:hint="eastAsia" w:ascii="宋体" w:hAnsi="宋体" w:eastAsia="宋体" w:cs="宋体"/>
                <w:color w:val="auto"/>
                <w:sz w:val="21"/>
                <w:szCs w:val="21"/>
                <w:highlight w:val="none"/>
                <w:lang w:bidi="ar"/>
              </w:rPr>
              <w:t xml:space="preserve">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家消防救援局文件要求：《社会单位微型消防站建设标准》（消防〔2025〕33号）第三部分“人员配备”中的第（二）条“微型消防站人数应满足初起火灾扑救、日常防火巡查的需要，原则上按照不少于6人配备”</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★消防控制室</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1人兼职消控室负责人</w:t>
            </w:r>
            <w:r>
              <w:rPr>
                <w:rFonts w:hint="eastAsia" w:ascii="宋体" w:hAnsi="宋体" w:cs="宋体"/>
                <w:color w:val="auto"/>
                <w:sz w:val="21"/>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消防设施操作员四级及以上；</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工资实发≥4500；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国标要求：《消防控制室通用技术要求》（GB 25506-2010）第4.2.1条：实行每日24小时专人值班制度，每班不应少于2人，值班人员应持有消防控制室操作职业资格证书。</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Style w:val="1109"/>
                <w:rFonts w:hint="eastAsia" w:ascii="宋体" w:hAnsi="宋体" w:eastAsia="宋体" w:cs="宋体"/>
                <w:color w:val="auto"/>
                <w:sz w:val="21"/>
                <w:szCs w:val="21"/>
                <w:highlight w:val="none"/>
                <w:lang w:bidi="ar"/>
              </w:rPr>
            </w:pPr>
            <w:r>
              <w:rPr>
                <w:rStyle w:val="1109"/>
                <w:rFonts w:hint="eastAsia" w:ascii="宋体" w:hAnsi="宋体" w:eastAsia="宋体" w:cs="宋体"/>
                <w:color w:val="auto"/>
                <w:sz w:val="21"/>
                <w:szCs w:val="21"/>
                <w:highlight w:val="none"/>
                <w:lang w:bidi="ar"/>
              </w:rPr>
              <w:t xml:space="preserve">门诊安检岗</w:t>
            </w:r>
            <w:r/>
          </w:p>
          <w:p>
            <w:pPr>
              <w:jc w:val="center"/>
              <w:widowControl/>
              <w:rPr>
                <w:rFonts w:hint="eastAsia" w:ascii="宋体" w:hAnsi="宋体" w:eastAsia="宋体" w:cs="宋体"/>
                <w:color w:val="auto"/>
                <w:sz w:val="21"/>
                <w:szCs w:val="21"/>
                <w:highlight w:val="none"/>
                <w:lang w:bidi="ar"/>
              </w:rPr>
            </w:pPr>
            <w:r>
              <w:rPr>
                <w:rStyle w:val="1109"/>
                <w:rFonts w:hint="eastAsia" w:ascii="宋体" w:hAnsi="宋体" w:eastAsia="宋体" w:cs="宋体"/>
                <w:color w:val="auto"/>
                <w:sz w:val="21"/>
                <w:szCs w:val="21"/>
                <w:highlight w:val="none"/>
                <w:lang w:bidi="ar"/>
              </w:rPr>
              <w:t xml:space="preserve">（履带式安检岗、手持式安检岗）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Style w:val="1110"/>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国标要求：《医院安全防范要求》(GB/T31458-2026）：</w:t>
            </w:r>
            <w:r/>
          </w:p>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在医院主要入口、门诊部和急诊部入口设置安检区的，应配备微剂量X射线安全检查设备、通过式金属探测门和手持式金属探测器，宜配备液态危险化学品安全检查仪;</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09"/>
                <w:rFonts w:hint="eastAsia" w:ascii="宋体" w:hAnsi="宋体" w:eastAsia="宋体" w:cs="宋体"/>
                <w:color w:val="auto"/>
                <w:sz w:val="21"/>
                <w:szCs w:val="21"/>
                <w:highlight w:val="none"/>
                <w:lang w:bidi="ar"/>
              </w:rPr>
              <w:t xml:space="preserve">急诊安检岗</w:t>
            </w:r>
            <w:r>
              <w:rPr>
                <w:rStyle w:val="1113"/>
                <w:rFonts w:hint="eastAsia" w:ascii="宋体" w:hAnsi="宋体" w:eastAsia="宋体" w:cs="宋体"/>
                <w:color w:val="auto"/>
                <w:sz w:val="21"/>
                <w:szCs w:val="21"/>
                <w:highlight w:val="none"/>
                <w:lang w:bidi="ar"/>
              </w:rPr>
              <w:br/>
            </w:r>
            <w:r>
              <w:rPr>
                <w:rStyle w:val="1109"/>
                <w:rFonts w:hint="eastAsia" w:ascii="宋体" w:hAnsi="宋体" w:eastAsia="宋体" w:cs="宋体"/>
                <w:color w:val="auto"/>
                <w:sz w:val="21"/>
                <w:szCs w:val="21"/>
                <w:highlight w:val="none"/>
                <w:lang w:bidi="ar"/>
              </w:rPr>
              <w:t xml:space="preserve">（兼急诊代客泊车）</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标要求：《医院安全防范要求》(GB/T31458-2026）：在医院主要入口、门诊部和急诊部入口设置安检区的，应配备微剂量X射线安全检查设备、通过式金属探测门和手持式金属探测器，宜配备液态危险化学品安全检查仪</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09"/>
                <w:rFonts w:hint="eastAsia" w:ascii="宋体" w:hAnsi="宋体" w:eastAsia="宋体" w:cs="宋体"/>
                <w:color w:val="auto"/>
                <w:sz w:val="21"/>
                <w:szCs w:val="21"/>
                <w:highlight w:val="none"/>
                <w:lang w:bidi="ar"/>
              </w:rPr>
              <w:t xml:space="preserve">病区入口安检</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Style w:val="1113"/>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工资实发</w:t>
            </w:r>
            <w:r>
              <w:rPr>
                <w:rStyle w:val="1113"/>
                <w:rFonts w:hint="eastAsia" w:ascii="宋体" w:hAnsi="宋体" w:eastAsia="宋体" w:cs="宋体"/>
                <w:color w:val="auto"/>
                <w:sz w:val="21"/>
                <w:szCs w:val="21"/>
                <w:highlight w:val="none"/>
                <w:lang w:bidi="ar"/>
              </w:rPr>
              <w:t xml:space="preserve">≥2</w:t>
            </w:r>
            <w:r>
              <w:rPr>
                <w:rStyle w:val="1113"/>
                <w:rFonts w:hint="eastAsia" w:ascii="宋体" w:hAnsi="宋体" w:cs="宋体"/>
                <w:color w:val="auto"/>
                <w:sz w:val="21"/>
                <w:szCs w:val="21"/>
                <w:highlight w:val="none"/>
                <w:lang w:val="en-US" w:eastAsia="zh-CN" w:bidi="ar"/>
              </w:rPr>
              <w:t xml:space="preserve">0</w:t>
            </w:r>
            <w:r>
              <w:rPr>
                <w:rStyle w:val="1113"/>
                <w:rFonts w:hint="eastAsia" w:ascii="宋体" w:hAnsi="宋体" w:eastAsia="宋体" w:cs="宋体"/>
                <w:color w:val="auto"/>
                <w:sz w:val="21"/>
                <w:szCs w:val="21"/>
                <w:highlight w:val="none"/>
                <w:lang w:bidi="ar"/>
              </w:rPr>
              <w:t xml:space="preserve">00；</w:t>
            </w:r>
            <w:r/>
          </w:p>
          <w:p>
            <w:pPr>
              <w:jc w:val="center"/>
              <w:widowControl/>
              <w:rPr>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4号楼1楼北侧住院入口、1号楼1楼北侧住院入口；</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安检工作实际需求</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09"/>
                <w:rFonts w:hint="eastAsia" w:ascii="宋体" w:hAnsi="宋体" w:eastAsia="宋体" w:cs="宋体"/>
                <w:color w:val="auto"/>
                <w:sz w:val="21"/>
                <w:szCs w:val="21"/>
                <w:highlight w:val="none"/>
                <w:lang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常白班</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常夜班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年龄55以下</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4个出入口</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国标要求：《医院安全防范要求》(GB/T31458-2026）</w:t>
            </w:r>
            <w:r>
              <w:rPr>
                <w:rFonts w:hint="eastAsia" w:ascii="宋体" w:hAnsi="宋体" w:eastAsia="宋体" w:cs="宋体"/>
                <w:color w:val="auto"/>
                <w:sz w:val="21"/>
                <w:szCs w:val="21"/>
                <w:highlight w:val="none"/>
                <w:lang w:bidi="ar"/>
              </w:rPr>
              <w:t xml:space="preserve">：6.3医院主要出入口应设置保卫执勤岗位。</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w:t>
            </w:r>
            <w:r>
              <w:rPr>
                <w:rStyle w:val="1112"/>
                <w:rFonts w:ascii="宋体" w:hAnsi="宋体" w:cs="宋体"/>
                <w:color w:val="auto"/>
                <w:sz w:val="21"/>
                <w:szCs w:val="21"/>
                <w:highlight w:val="none"/>
                <w:lang w:bidi="ar"/>
              </w:rPr>
              <w:t xml:space="preserve">院区周边交通秩序维护岗</w:t>
            </w:r>
            <w:r>
              <w:rPr>
                <w:rStyle w:val="1112"/>
                <w:rFonts w:hint="eastAsia" w:ascii="宋体" w:hAnsi="宋体" w:eastAsia="宋体" w:cs="宋体"/>
                <w:color w:val="auto"/>
                <w:sz w:val="21"/>
                <w:szCs w:val="21"/>
                <w:highlight w:val="none"/>
                <w:lang w:bidi="ar"/>
              </w:rPr>
              <w:t xml:space="preserve">（通灌北路、龙河北路）</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年龄50以下；工资实发≥3</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警医共建需求：经协商我院招聘人员由交警一大队培训后，经一大队授权协助治理我院门外交通。</w:t>
            </w:r>
            <w:r/>
          </w:p>
        </w:tc>
      </w:tr>
      <w:tr>
        <w:trPr>
          <w:trHeight w:val="874"/>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bidi="ar"/>
              </w:rPr>
              <w:t xml:space="preserve">治安巡逻协防岗</w:t>
            </w:r>
            <w:r>
              <w:rPr>
                <w:rFonts w:hint="eastAsia" w:ascii="宋体" w:hAnsi="宋体" w:eastAsia="宋体" w:cs="宋体"/>
                <w:color w:val="auto"/>
                <w:sz w:val="21"/>
                <w:szCs w:val="21"/>
                <w:highlight w:val="none"/>
                <w:lang w:bidi="ar"/>
              </w:rPr>
              <w:t xml:space="preserve">（兼门诊大厅巡逻）</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年龄50以下；工资实发≥3</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警医共建需求：</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经协商我院招聘人员由郁州派出所培训后，经派出所授权协助正式民警开展带队日常巡逻、治安整治、纠纷调处等工作。</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★急诊抢救室门前（兼急诊应急处突）</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Style w:val="1112"/>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年龄</w:t>
            </w:r>
            <w:r>
              <w:rPr>
                <w:rStyle w:val="1114"/>
                <w:rFonts w:hint="eastAsia" w:ascii="宋体" w:hAnsi="宋体" w:eastAsia="宋体" w:cs="宋体"/>
                <w:color w:val="auto"/>
                <w:sz w:val="21"/>
                <w:szCs w:val="21"/>
                <w:highlight w:val="none"/>
                <w:lang w:bidi="ar"/>
              </w:rPr>
              <w:t xml:space="preserve">50岁以下</w:t>
            </w:r>
            <w:r>
              <w:rPr>
                <w:rStyle w:val="1112"/>
                <w:rFonts w:hint="eastAsia" w:ascii="宋体" w:hAnsi="宋体" w:eastAsia="宋体" w:cs="宋体"/>
                <w:color w:val="auto"/>
                <w:sz w:val="21"/>
                <w:szCs w:val="21"/>
                <w:highlight w:val="none"/>
                <w:lang w:bidi="ar"/>
              </w:rPr>
              <w:t xml:space="preserve">；</w:t>
            </w:r>
            <w:r/>
          </w:p>
          <w:p>
            <w:pPr>
              <w:jc w:val="center"/>
              <w:widowControl/>
              <w:rPr>
                <w:rStyle w:val="1112"/>
                <w:rFonts w:hint="eastAsia" w:ascii="宋体" w:hAnsi="宋体" w:eastAsia="宋体" w:cs="宋体"/>
                <w:color w:val="auto"/>
                <w:sz w:val="21"/>
                <w:szCs w:val="21"/>
                <w:highlight w:val="none"/>
                <w:lang w:bidi="ar"/>
              </w:rPr>
            </w:pPr>
            <w:r>
              <w:rPr>
                <w:rStyle w:val="1112"/>
                <w:rFonts w:hint="eastAsia" w:ascii="宋体" w:hAnsi="宋体" w:eastAsia="宋体" w:cs="宋体"/>
                <w:color w:val="auto"/>
                <w:sz w:val="21"/>
                <w:szCs w:val="21"/>
                <w:highlight w:val="none"/>
                <w:lang w:bidi="ar"/>
              </w:rPr>
              <w:t xml:space="preserve">身高≥1.8米；</w:t>
            </w:r>
            <w:r/>
          </w:p>
          <w:p>
            <w:pPr>
              <w:jc w:val="center"/>
              <w:widowControl/>
              <w:rPr>
                <w:rFonts w:hint="eastAsia" w:ascii="宋体" w:hAnsi="宋体" w:eastAsia="宋体" w:cs="宋体"/>
                <w:color w:val="auto"/>
                <w:sz w:val="21"/>
                <w:szCs w:val="21"/>
                <w:highlight w:val="none"/>
              </w:rPr>
            </w:pPr>
            <w:r>
              <w:rPr>
                <w:rStyle w:val="1112"/>
                <w:rFonts w:hint="eastAsia" w:ascii="宋体" w:hAnsi="宋体" w:eastAsia="宋体" w:cs="宋体"/>
                <w:color w:val="auto"/>
                <w:sz w:val="21"/>
                <w:szCs w:val="21"/>
                <w:highlight w:val="none"/>
                <w:lang w:bidi="ar"/>
              </w:rPr>
              <w:t xml:space="preserve">工资实发≥3</w:t>
            </w:r>
            <w:r>
              <w:rPr>
                <w:rStyle w:val="1112"/>
                <w:rFonts w:hint="eastAsia" w:ascii="宋体" w:hAnsi="宋体" w:cs="宋体"/>
                <w:color w:val="auto"/>
                <w:sz w:val="21"/>
                <w:szCs w:val="21"/>
                <w:highlight w:val="none"/>
                <w:lang w:val="en-US" w:eastAsia="zh-CN" w:bidi="ar"/>
              </w:rPr>
              <w:t xml:space="preserve">0</w:t>
            </w:r>
            <w:r>
              <w:rPr>
                <w:rStyle w:val="1112"/>
                <w:rFonts w:hint="eastAsia" w:ascii="宋体" w:hAnsi="宋体" w:eastAsia="宋体" w:cs="宋体"/>
                <w:color w:val="auto"/>
                <w:sz w:val="21"/>
                <w:szCs w:val="21"/>
                <w:highlight w:val="none"/>
                <w:lang w:bidi="ar"/>
              </w:rPr>
              <w:t xml:space="preserve">00</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实际需求：</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急诊区域各类醉酒、闹事等突发事件较多，医护人员安全风险高，协助急诊做好安全防范。</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院内机动车辆管理</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年龄55以下；门发热门诊、急诊门前、二道门、院内停车场北区、地下车库、非机动车停车场车辆管理；</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车辆管理实际需求</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6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口腔医院门卫室、大厅、夜门诊</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常白班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常夜班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43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年龄55以下；门诊大厅、门卫室、夜门诊</w:t>
            </w:r>
            <w:r/>
          </w:p>
        </w:tc>
        <w:tc>
          <w:tcPr>
            <w:shd w:val="clear" w:color="auto" w:fill="auto"/>
            <w:tcBorders>
              <w:top w:val="single" w:color="000000" w:sz="4" w:space="0"/>
              <w:left w:val="single" w:color="000000" w:sz="4" w:space="0"/>
              <w:bottom w:val="single" w:color="000000" w:sz="4" w:space="0"/>
              <w:right w:val="single" w:color="000000" w:sz="8" w:space="0"/>
            </w:tcBorders>
            <w:tcW w:w="260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Style w:val="1110"/>
                <w:rFonts w:hint="eastAsia" w:ascii="宋体" w:hAnsi="宋体" w:eastAsia="宋体" w:cs="宋体"/>
                <w:color w:val="auto"/>
                <w:sz w:val="21"/>
                <w:szCs w:val="21"/>
                <w:highlight w:val="none"/>
                <w:lang w:bidi="ar"/>
              </w:rPr>
              <w:t xml:space="preserve">国标要求：《医院安全防范要求》(GB/T31458-2026）</w:t>
            </w:r>
            <w:r>
              <w:rPr>
                <w:rFonts w:hint="eastAsia" w:ascii="宋体" w:hAnsi="宋体" w:eastAsia="宋体" w:cs="宋体"/>
                <w:color w:val="auto"/>
                <w:sz w:val="21"/>
                <w:szCs w:val="21"/>
                <w:highlight w:val="none"/>
                <w:lang w:bidi="ar"/>
              </w:rPr>
              <w:t xml:space="preserve">：6.3医院主要出入口应设置保卫执勤岗位。</w:t>
            </w:r>
            <w:r/>
          </w:p>
        </w:tc>
      </w:tr>
      <w:tr>
        <w:trPr>
          <w:trHeight w:val="545"/>
        </w:trPr>
        <w:tc>
          <w:tcPr>
            <w:gridSpan w:val="2"/>
            <w:shd w:val="clear" w:color="auto" w:fill="auto"/>
            <w:tcBorders>
              <w:top w:val="single" w:color="000000" w:sz="4" w:space="0"/>
              <w:left w:val="single" w:color="000000" w:sz="8" w:space="0"/>
              <w:bottom w:val="single" w:color="000000" w:sz="4" w:space="0"/>
              <w:right w:val="single" w:color="000000" w:sz="4" w:space="0"/>
            </w:tcBorders>
            <w:tcW w:w="199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备注</w:t>
            </w:r>
            <w:r/>
          </w:p>
        </w:tc>
        <w:tc>
          <w:tcPr>
            <w:gridSpan w:val="5"/>
            <w:shd w:val="clear" w:color="auto" w:fill="ffffff"/>
            <w:tcBorders>
              <w:top w:val="single" w:color="000000" w:sz="4" w:space="0"/>
              <w:left w:val="single" w:color="000000" w:sz="4" w:space="0"/>
              <w:bottom w:val="single" w:color="000000" w:sz="4" w:space="0"/>
              <w:right w:val="single" w:color="000000" w:sz="8" w:space="0"/>
            </w:tcBorders>
            <w:tcW w:w="7489" w:type="dxa"/>
            <w:vAlign w:val="center"/>
            <w:textDirection w:val="lrTb"/>
            <w:noWrap w:val="false"/>
          </w:tcPr>
          <w:p>
            <w:pPr>
              <w:jc w:val="center"/>
              <w:widowControl/>
              <w:rPr>
                <w:rStyle w:val="1112"/>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通灌</w:t>
            </w:r>
            <w:r>
              <w:rPr>
                <w:rFonts w:hint="eastAsia" w:ascii="宋体" w:hAnsi="宋体" w:eastAsia="宋体" w:cs="宋体"/>
                <w:color w:val="auto"/>
                <w:sz w:val="21"/>
                <w:szCs w:val="21"/>
                <w:highlight w:val="none"/>
                <w:lang w:bidi="ar"/>
              </w:rPr>
              <w:t xml:space="preserve">院区设置14个岗位，共需要保安员66人</w:t>
            </w:r>
            <w:r>
              <w:rPr>
                <w:rFonts w:hint="eastAsia" w:ascii="宋体" w:hAnsi="宋体" w:eastAsia="宋体" w:cs="宋体"/>
                <w:color w:val="auto"/>
                <w:sz w:val="21"/>
                <w:szCs w:val="21"/>
                <w:highlight w:val="none"/>
                <w:lang w:eastAsia="zh-CN" w:bidi="ar"/>
              </w:rPr>
              <w:t xml:space="preserve">。</w:t>
            </w:r>
            <w:r/>
          </w:p>
        </w:tc>
      </w:tr>
    </w:tbl>
    <w:p>
      <w:pPr>
        <w:ind w:left="0" w:right="-512" w:firstLine="0"/>
        <w:spacing w:line="460" w:lineRule="exact"/>
        <w:rPr>
          <w:rFonts w:hint="eastAsia" w:ascii="宋体" w:hAnsi="宋体" w:cs="Times New Roman"/>
          <w:color w:val="auto"/>
          <w:sz w:val="24"/>
          <w:szCs w:val="24"/>
          <w:highlight w:val="none"/>
        </w:rPr>
        <w:outlineLvl w:val="1"/>
      </w:pPr>
      <w:r>
        <w:rPr>
          <w:rFonts w:hint="eastAsia" w:ascii="宋体" w:hAnsi="宋体" w:cs="Times New Roman"/>
          <w:b/>
          <w:bCs/>
          <w:color w:val="auto"/>
          <w:sz w:val="24"/>
          <w:szCs w:val="24"/>
          <w:highlight w:val="none"/>
        </w:rPr>
        <w:t xml:space="preserve">注：</w:t>
      </w:r>
      <w:r>
        <w:rPr>
          <w:rFonts w:hint="eastAsia" w:ascii="宋体" w:hAnsi="宋体" w:cs="Times New Roman"/>
          <w:color w:val="auto"/>
          <w:sz w:val="24"/>
          <w:szCs w:val="24"/>
          <w:highlight w:val="none"/>
        </w:rPr>
        <w:t xml:space="preserve">1.以上岗位为常规岗位，配置人员数量为最低要求。若在合同履行期间因医院发展</w:t>
      </w:r>
      <w:r>
        <w:rPr>
          <w:rFonts w:hint="eastAsia" w:ascii="宋体" w:hAnsi="宋体" w:cs="Times New Roman"/>
          <w:color w:val="auto"/>
          <w:sz w:val="24"/>
          <w:szCs w:val="24"/>
          <w:highlight w:val="none"/>
          <w:lang w:eastAsia="zh-CN"/>
        </w:rPr>
        <w:t xml:space="preserve">或其他原因</w:t>
      </w:r>
      <w:r>
        <w:rPr>
          <w:rFonts w:hint="eastAsia" w:ascii="宋体" w:hAnsi="宋体" w:cs="Times New Roman"/>
          <w:color w:val="auto"/>
          <w:sz w:val="24"/>
          <w:szCs w:val="24"/>
          <w:highlight w:val="none"/>
        </w:rPr>
        <w:t xml:space="preserve">需要增加的岗位时，按照岗位报价的工资予以计算增加；</w:t>
      </w:r>
      <w:r/>
    </w:p>
    <w:p>
      <w:pPr>
        <w:ind w:left="-359" w:right="-512" w:firstLine="480"/>
        <w:spacing w:line="460" w:lineRule="exact"/>
        <w:rPr>
          <w:rFonts w:hint="eastAsia" w:ascii="宋体" w:hAnsi="宋体" w:eastAsia="宋体" w:cs="Times New Roman"/>
          <w:b/>
          <w:bCs/>
          <w:color w:val="auto"/>
          <w:sz w:val="24"/>
          <w:szCs w:val="24"/>
          <w:highlight w:val="none"/>
          <w:lang w:eastAsia="zh-CN"/>
        </w:rPr>
        <w:outlineLvl w:val="1"/>
      </w:pPr>
      <w:r>
        <w:rPr>
          <w:rFonts w:hint="eastAsia" w:ascii="宋体" w:hAnsi="宋体" w:cs="Times New Roman"/>
          <w:color w:val="auto"/>
          <w:sz w:val="24"/>
          <w:szCs w:val="24"/>
          <w:highlight w:val="none"/>
        </w:rPr>
        <w:t xml:space="preserve">2.合理调整人员劳动时长，依法缴纳社保，确保人员工作时长满足法定要求。因上述问题产生的劳动纠纷由中标人承担</w:t>
      </w:r>
      <w:r>
        <w:rPr>
          <w:rFonts w:hint="eastAsia" w:ascii="宋体" w:hAnsi="宋体" w:cs="Times New Roman"/>
          <w:color w:val="auto"/>
          <w:sz w:val="24"/>
          <w:szCs w:val="24"/>
          <w:highlight w:val="none"/>
          <w:lang w:eastAsia="zh-CN"/>
        </w:rPr>
        <w:t xml:space="preserve">。</w:t>
      </w:r>
      <w:r/>
    </w:p>
    <w:p>
      <w:pPr>
        <w:ind w:left="-359" w:right="-512" w:firstLine="482"/>
        <w:spacing w:line="460" w:lineRule="exact"/>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四、安防物资配备要求</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1.为保安项目部配备电脑、打印机、扫描仪、打印纸、签字笔、文件盒、文件夹、办公耗材等必要办公设备。</w:t>
      </w:r>
      <w:r/>
    </w:p>
    <w:p>
      <w:pPr>
        <w:spacing w:line="560" w:lineRule="exact"/>
        <w:rPr>
          <w:rFonts w:hint="eastAsia"/>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.提供以下安防物资供保安员开展执勤任务使用。</w:t>
      </w:r>
      <w:r/>
    </w:p>
    <w:p>
      <w:pPr>
        <w:pStyle w:val="836"/>
        <w:jc w:val="center"/>
        <w:rPr>
          <w:rFonts w:hint="eastAsia"/>
          <w:color w:val="auto"/>
          <w:sz w:val="24"/>
          <w:szCs w:val="24"/>
          <w:highlight w:val="none"/>
        </w:rPr>
      </w:pPr>
      <w:r>
        <w:rPr>
          <w:rFonts w:hint="eastAsia"/>
          <w:color w:val="auto"/>
          <w:sz w:val="24"/>
          <w:szCs w:val="24"/>
          <w:highlight w:val="none"/>
          <w:lang w:val="en-US" w:eastAsia="zh-CN"/>
        </w:rPr>
        <w:t xml:space="preserve">通灌</w:t>
      </w:r>
      <w:r>
        <w:rPr>
          <w:rFonts w:hint="eastAsia"/>
          <w:color w:val="auto"/>
          <w:sz w:val="24"/>
          <w:szCs w:val="24"/>
          <w:highlight w:val="none"/>
        </w:rPr>
        <w:t xml:space="preserve">院区</w:t>
      </w:r>
      <w:r/>
    </w:p>
    <w:tbl>
      <w:tblPr>
        <w:tblStyle w:val="783"/>
        <w:tblW w:w="957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2"/>
        <w:gridCol w:w="859"/>
        <w:gridCol w:w="859"/>
        <w:gridCol w:w="4973"/>
      </w:tblGrid>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安防物资名称</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数量</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备注</w:t>
            </w:r>
            <w:r/>
          </w:p>
        </w:tc>
      </w:tr>
      <w:tr>
        <w:trPr>
          <w:trHeight w:val="451"/>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4G网络对讲机（含电池）</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网络、流量型对讲机（与医院无线对讲系统匹配）</w:t>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对讲机备用电池</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26</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块</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手持PDA巡查终端</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4973" w:type="dxa"/>
            <w:vAlign w:val="center"/>
            <w:vMerge w:val="restart"/>
            <w:textDirection w:val="lrTb"/>
            <w:noWrap w:val="false"/>
          </w:tcPr>
          <w:p>
            <w:pPr>
              <w:jc w:val="both"/>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1.用于江苏省社会单位消防安全管理系统中</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消防、治安重点部位的日常巡查扫描手持PDA。</w:t>
            </w:r>
            <w:r/>
          </w:p>
          <w:p>
            <w:pPr>
              <w:jc w:val="both"/>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2.满足合同期内巡查所需的流量。</w:t>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流量卡</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张</w:t>
            </w:r>
            <w:r/>
          </w:p>
        </w:tc>
        <w:tc>
          <w:tcPr>
            <w:tcW w:w="4973"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1489"/>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保安工作服</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66</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W w:w="4973" w:type="dxa"/>
            <w:vAlign w:val="center"/>
            <w:textDirection w:val="lrTb"/>
            <w:noWrap w:val="false"/>
          </w:tcPr>
          <w:p>
            <w:pPr>
              <w:jc w:val="both"/>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1.每套服装包含夏季、春秋季、冬季制服、执勤鞋各一件。</w:t>
            </w:r>
            <w:r/>
          </w:p>
          <w:p>
            <w:pPr>
              <w:jc w:val="both"/>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2.消防控制室、微型消防站、特勤队队员、</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安检人员工作服应区别于门卫等非核心岗位制服。</w:t>
            </w:r>
            <w:r/>
          </w:p>
          <w:p>
            <w:pPr>
              <w:jc w:val="both"/>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3.每</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年更换</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1套服装。</w:t>
            </w:r>
            <w:r/>
          </w:p>
        </w:tc>
      </w:tr>
      <w:tr>
        <w:trPr>
          <w:trHeight w:val="478"/>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执勤记录仪</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部</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具备录音、录像、存储功能</w:t>
            </w:r>
            <w:r/>
          </w:p>
        </w:tc>
      </w:tr>
      <w:tr>
        <w:trPr>
          <w:trHeight w:val="468"/>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强光手电筒</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528"/>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橡胶棍</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66</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28"/>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防刺手套</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44</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副</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防爆头盔</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25</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防爆盾牌</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25</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46"/>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辣椒水</w:t>
            </w:r>
            <w:r/>
          </w:p>
        </w:tc>
        <w:tc>
          <w:tcPr>
            <w:tcW w:w="859"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66</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瓶</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78"/>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违停汽车移车器</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轮胎式</w:t>
            </w:r>
            <w:r/>
          </w:p>
        </w:tc>
      </w:tr>
      <w:tr>
        <w:trPr>
          <w:trHeight w:val="461"/>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2轮电动巡逻车</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两轮电动车违停清理车</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清理违规停放的电动车</w:t>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三轮车</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灭火器材、锥形桶、水马、闸机等物资转运</w:t>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新能源通勤汽车</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辆</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巡逻无人机</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架</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具备巡逻拍照、喊话功能</w:t>
            </w:r>
            <w:r/>
          </w:p>
        </w:tc>
      </w:tr>
      <w:tr>
        <w:trPr>
          <w:trHeight w:val="572"/>
        </w:trPr>
        <w:tc>
          <w:tcPr>
            <w:tcW w:w="2882"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反光背心</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85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件</w:t>
            </w:r>
            <w:r/>
          </w:p>
        </w:tc>
        <w:tc>
          <w:tcPr>
            <w:tcW w:w="497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ind w:left="-359" w:right="-512" w:firstLine="480"/>
        <w:spacing w:line="460" w:lineRule="exact"/>
        <w:rPr>
          <w:rFonts w:hint="default" w:ascii="宋体" w:hAnsi="宋体" w:eastAsia="宋体" w:cs="Times New Roman"/>
          <w:color w:val="auto"/>
          <w:sz w:val="24"/>
          <w:szCs w:val="24"/>
          <w:highlight w:val="none"/>
          <w:lang w:val="en-US" w:eastAsia="zh-CN"/>
        </w:rPr>
        <w:outlineLvl w:val="1"/>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保安员服装每年换新≥1次</w:t>
      </w:r>
      <w:r>
        <w:rPr>
          <w:rFonts w:hint="eastAsia" w:ascii="宋体" w:hAnsi="宋体" w:cs="Times New Roman"/>
          <w:color w:val="auto"/>
          <w:sz w:val="24"/>
          <w:szCs w:val="24"/>
          <w:highlight w:val="none"/>
          <w:lang w:eastAsia="zh-CN"/>
        </w:rPr>
        <w:t xml:space="preserve">。保安员服装样式、</w:t>
      </w:r>
      <w:r>
        <w:rPr>
          <w:rFonts w:hint="eastAsia" w:ascii="宋体" w:hAnsi="宋体" w:cs="Times New Roman"/>
          <w:color w:val="auto"/>
          <w:sz w:val="24"/>
          <w:szCs w:val="24"/>
          <w:highlight w:val="none"/>
          <w:lang w:val="en-US" w:eastAsia="zh-CN"/>
        </w:rPr>
        <w:t xml:space="preserve">数量等要求如下：</w:t>
      </w:r>
      <w:r/>
    </w:p>
    <w:tbl>
      <w:tblPr>
        <w:tblStyle w:val="783"/>
        <w:tblW w:w="97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7"/>
        <w:gridCol w:w="2850"/>
        <w:gridCol w:w="2192"/>
        <w:gridCol w:w="1177"/>
        <w:gridCol w:w="2261"/>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面料参数</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数量（套/人）</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2202"/>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普通保安员网格夏季短袖套装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304165</wp:posOffset>
                      </wp:positionH>
                      <wp:positionV relativeFrom="paragraph">
                        <wp:posOffset>-153035</wp:posOffset>
                      </wp:positionV>
                      <wp:extent cx="1316355" cy="1099185"/>
                      <wp:effectExtent l="0" t="0" r="17145" b="5715"/>
                      <wp:wrapNone/>
                      <wp:docPr id="24" name="图片_1"/>
                      <wp:cNvGraphicFramePr/>
                      <a:graphic xmlns:a="http://schemas.openxmlformats.org/drawingml/2006/main">
                        <a:graphicData uri="http://schemas.openxmlformats.org/drawingml/2006/picture">
                          <pic:pic xmlns:pic="http://schemas.openxmlformats.org/drawingml/2006/picture">
                            <pic:nvPicPr>
                              <pic:cNvPr id="24" name="图片_1"/>
                              <pic:cNvPicPr/>
                              <pic:nvPr/>
                            </pic:nvPicPr>
                            <pic:blipFill>
                              <a:blip r:embed="rId19"/>
                              <a:stretch/>
                            </pic:blipFill>
                            <pic:spPr bwMode="auto">
                              <a:xfrm>
                                <a:off x="0" y="0"/>
                                <a:ext cx="1316355" cy="1099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23.9pt;mso-position-horizontal:absolute;mso-position-vertical-relative:text;margin-top:-12.0pt;mso-position-vertical:absolute;width:103.6pt;height:86.5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含前胸后背魔术贴标志，含宽腰带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2941"/>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网格夏季长袖套装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104775</wp:posOffset>
                      </wp:positionH>
                      <wp:positionV relativeFrom="paragraph">
                        <wp:posOffset>75565</wp:posOffset>
                      </wp:positionV>
                      <wp:extent cx="1413510" cy="1480820"/>
                      <wp:effectExtent l="0" t="0" r="15240" b="5080"/>
                      <wp:wrapNone/>
                      <wp:docPr id="25" name="图片_5"/>
                      <wp:cNvGraphicFramePr/>
                      <a:graphic xmlns:a="http://schemas.openxmlformats.org/drawingml/2006/main">
                        <a:graphicData uri="http://schemas.openxmlformats.org/drawingml/2006/picture">
                          <pic:pic xmlns:pic="http://schemas.openxmlformats.org/drawingml/2006/picture">
                            <pic:nvPicPr>
                              <pic:cNvPr id="25" name="图片_5"/>
                              <pic:cNvPicPr/>
                              <pic:nvPr/>
                            </pic:nvPicPr>
                            <pic:blipFill>
                              <a:blip r:embed="rId20"/>
                              <a:stretch/>
                            </pic:blipFill>
                            <pic:spPr bwMode="auto">
                              <a:xfrm>
                                <a:off x="0" y="0"/>
                                <a:ext cx="1413510" cy="1480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8.2pt;mso-position-horizontal:absolute;mso-position-vertical-relative:text;margin-top:5.9pt;mso-position-vertical:absolute;width:111.3pt;height:116.6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含前胸后背魔术贴标志，含宽腰带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2424"/>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网格冬季上衣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163830</wp:posOffset>
                      </wp:positionH>
                      <wp:positionV relativeFrom="paragraph">
                        <wp:posOffset>219075</wp:posOffset>
                      </wp:positionV>
                      <wp:extent cx="1217930" cy="1240155"/>
                      <wp:effectExtent l="0" t="0" r="1270" b="17145"/>
                      <wp:wrapNone/>
                      <wp:docPr id="26" name="图片_4"/>
                      <wp:cNvGraphicFramePr/>
                      <a:graphic xmlns:a="http://schemas.openxmlformats.org/drawingml/2006/main">
                        <a:graphicData uri="http://schemas.openxmlformats.org/drawingml/2006/picture">
                          <pic:pic xmlns:pic="http://schemas.openxmlformats.org/drawingml/2006/picture">
                            <pic:nvPicPr>
                              <pic:cNvPr id="26" name="图片_4"/>
                              <pic:cNvPicPr/>
                              <pic:nvPr/>
                            </pic:nvPicPr>
                            <pic:blipFill>
                              <a:blip r:embed="rId21"/>
                              <a:stretch/>
                            </pic:blipFill>
                            <pic:spPr bwMode="auto">
                              <a:xfrm>
                                <a:off x="0" y="0"/>
                                <a:ext cx="1217930" cy="1240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12.9pt;mso-position-horizontal:absolute;mso-position-vertical-relative:text;margin-top:17.2pt;mso-position-vertical:absolute;width:95.9pt;height:97.6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衣服背后文字：市一院内保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胸前标识（圆标）：内保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臂章：控烟劝导员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肩章：硬质肩章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47625</wp:posOffset>
                      </wp:positionV>
                      <wp:extent cx="895350" cy="901700"/>
                      <wp:effectExtent l="0" t="0" r="0" b="12700"/>
                      <wp:wrapNone/>
                      <wp:docPr id="27" name="图片_13"/>
                      <wp:cNvGraphicFramePr/>
                      <a:graphic xmlns:a="http://schemas.openxmlformats.org/drawingml/2006/main">
                        <a:graphicData uri="http://schemas.openxmlformats.org/drawingml/2006/picture">
                          <pic:pic xmlns:pic="http://schemas.openxmlformats.org/drawingml/2006/picture">
                            <pic:nvPicPr>
                              <pic:cNvPr id="27" name="图片_13"/>
                              <pic:cNvPicPr/>
                              <pic:nvPr/>
                            </pic:nvPicPr>
                            <pic:blipFill>
                              <a:blip r:embed="rId22"/>
                              <a:stretch/>
                            </pic:blipFill>
                            <pic:spPr bwMode="auto">
                              <a:xfrm>
                                <a:off x="0" y="0"/>
                                <a:ext cx="89535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30.8pt;mso-position-horizontal:absolute;mso-position-vertical-relative:text;margin-top:3.8pt;mso-position-vertical:absolute;width:70.5pt;height:71.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面料：防撕裂65涤纶/35棉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颜色：藏青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848"/>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老标装备腰带</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59690</wp:posOffset>
                      </wp:positionV>
                      <wp:extent cx="1237615" cy="990600"/>
                      <wp:effectExtent l="0" t="0" r="635" b="0"/>
                      <wp:wrapNone/>
                      <wp:docPr id="28" name="图片_3"/>
                      <wp:cNvGraphicFramePr/>
                      <a:graphic xmlns:a="http://schemas.openxmlformats.org/drawingml/2006/main">
                        <a:graphicData uri="http://schemas.openxmlformats.org/drawingml/2006/picture">
                          <pic:pic xmlns:pic="http://schemas.openxmlformats.org/drawingml/2006/picture">
                            <pic:nvPicPr>
                              <pic:cNvPr id="28" name="图片_3"/>
                              <pic:cNvPicPr/>
                              <pic:nvPr/>
                            </pic:nvPicPr>
                            <pic:blipFill>
                              <a:blip r:embed="rId23"/>
                              <a:stretch/>
                            </pic:blipFill>
                            <pic:spPr bwMode="auto">
                              <a:xfrm>
                                <a:off x="0" y="0"/>
                                <a:ext cx="1237615"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8.8pt;mso-position-horizontal:absolute;mso-position-vertical-relative:text;margin-top:4.7pt;mso-position-vertical:absolute;width:97.4pt;height:78.0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喷雾包，甩棍包，手电包，工作包，对讲机包</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58"/>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腰带</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237490</wp:posOffset>
                      </wp:positionH>
                      <wp:positionV relativeFrom="paragraph">
                        <wp:posOffset>50800</wp:posOffset>
                      </wp:positionV>
                      <wp:extent cx="1199515" cy="640080"/>
                      <wp:effectExtent l="0" t="0" r="635" b="7620"/>
                      <wp:wrapNone/>
                      <wp:docPr id="29" name="图片_18"/>
                      <wp:cNvGraphicFramePr/>
                      <a:graphic xmlns:a="http://schemas.openxmlformats.org/drawingml/2006/main">
                        <a:graphicData uri="http://schemas.openxmlformats.org/drawingml/2006/picture">
                          <pic:pic xmlns:pic="http://schemas.openxmlformats.org/drawingml/2006/picture">
                            <pic:nvPicPr>
                              <pic:cNvPr id="29" name="图片_18"/>
                              <pic:cNvPicPr/>
                              <pic:nvPr/>
                            </pic:nvPicPr>
                            <pic:blipFill>
                              <a:blip r:embed="rId24"/>
                              <a:stretch/>
                            </pic:blipFill>
                            <pic:spPr bwMode="auto">
                              <a:xfrm>
                                <a:off x="0" y="0"/>
                                <a:ext cx="119951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18.7pt;mso-position-horizontal:absolute;mso-position-vertical-relative:text;margin-top:4.0pt;mso-position-vertical:absolute;width:94.4pt;height:50.4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特勤外腰带，宽度5cm,长度125cm</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普通保安员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166370</wp:posOffset>
                      </wp:positionH>
                      <wp:positionV relativeFrom="paragraph">
                        <wp:posOffset>30480</wp:posOffset>
                      </wp:positionV>
                      <wp:extent cx="1456690" cy="1456055"/>
                      <wp:effectExtent l="0" t="0" r="10160" b="10795"/>
                      <wp:wrapNone/>
                      <wp:docPr id="30" name="图片_6"/>
                      <wp:cNvGraphicFramePr/>
                      <a:graphic xmlns:a="http://schemas.openxmlformats.org/drawingml/2006/main">
                        <a:graphicData uri="http://schemas.openxmlformats.org/drawingml/2006/picture">
                          <pic:pic xmlns:pic="http://schemas.openxmlformats.org/drawingml/2006/picture">
                            <pic:nvPicPr>
                              <pic:cNvPr id="30" name="图片_6"/>
                              <pic:cNvPicPr/>
                              <pic:nvPr/>
                            </pic:nvPicPr>
                            <pic:blipFill>
                              <a:blip r:embed="rId25"/>
                              <a:stretch/>
                            </pic:blipFill>
                            <pic:spPr bwMode="auto">
                              <a:xfrm>
                                <a:off x="0" y="0"/>
                                <a:ext cx="1456690" cy="1456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13.1pt;mso-position-horizontal:absolute;mso-position-vertical-relative:text;margin-top:2.4pt;mso-position-vertical:absolute;width:114.7pt;height:114.6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鞋面：加厚耐磨帆布 + PU超纤皮革拼接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鞋垫：EVA缓冲鞋垫，久站减震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外底：加厚一体成型橡胶防滑大底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48"/>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服装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46355</wp:posOffset>
                      </wp:positionH>
                      <wp:positionV relativeFrom="paragraph">
                        <wp:posOffset>111760</wp:posOffset>
                      </wp:positionV>
                      <wp:extent cx="1378585" cy="998855"/>
                      <wp:effectExtent l="0" t="0" r="12065" b="10795"/>
                      <wp:wrapNone/>
                      <wp:docPr id="31" name="图片_21"/>
                      <wp:cNvGraphicFramePr/>
                      <a:graphic xmlns:a="http://schemas.openxmlformats.org/drawingml/2006/main">
                        <a:graphicData uri="http://schemas.openxmlformats.org/drawingml/2006/picture">
                          <pic:pic xmlns:pic="http://schemas.openxmlformats.org/drawingml/2006/picture">
                            <pic:nvPicPr>
                              <pic:cNvPr id="31" name="图片_21"/>
                              <pic:cNvPicPr/>
                              <pic:nvPr/>
                            </pic:nvPicPr>
                            <pic:blipFill>
                              <a:blip r:embed="rId26"/>
                              <a:stretch/>
                            </pic:blipFill>
                            <pic:spPr bwMode="auto">
                              <a:xfrm>
                                <a:off x="0" y="0"/>
                                <a:ext cx="1378585" cy="998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6pt;mso-position-horizontal:absolute;mso-position-vertical-relative:text;margin-top:8.8pt;mso-position-vertical:absolute;width:108.5pt;height:78.6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面料：涤棉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功能：防静电</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胸前标识（圆标）：市一院应急救援+医院logo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方形臂章：控烟劝导员</w:t>
            </w:r>
            <w:r/>
          </w:p>
        </w:tc>
      </w:tr>
      <w:tr>
        <w:trPr>
          <w:jc w:val="center"/>
          <w:trHeight w:val="1352"/>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290830</wp:posOffset>
                      </wp:positionH>
                      <wp:positionV relativeFrom="paragraph">
                        <wp:posOffset>33020</wp:posOffset>
                      </wp:positionV>
                      <wp:extent cx="1057910" cy="706755"/>
                      <wp:effectExtent l="0" t="0" r="8890" b="17145"/>
                      <wp:wrapNone/>
                      <wp:docPr id="32" name="图片_8"/>
                      <wp:cNvGraphicFramePr/>
                      <a:graphic xmlns:a="http://schemas.openxmlformats.org/drawingml/2006/main">
                        <a:graphicData uri="http://schemas.openxmlformats.org/drawingml/2006/picture">
                          <pic:pic xmlns:pic="http://schemas.openxmlformats.org/drawingml/2006/picture">
                            <pic:nvPicPr>
                              <pic:cNvPr id="32" name="图片_8"/>
                              <pic:cNvPicPr/>
                              <pic:nvPr/>
                            </pic:nvPicPr>
                            <pic:blipFill>
                              <a:blip r:embed="rId27"/>
                              <a:stretch/>
                            </pic:blipFill>
                            <pic:spPr bwMode="auto">
                              <a:xfrm>
                                <a:off x="0" y="0"/>
                                <a:ext cx="1057910" cy="706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22.9pt;mso-position-horizontal:absolute;mso-position-vertical-relative:text;margin-top:2.6pt;mso-position-vertical:absolute;width:83.3pt;height:55.6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类别;平</w:t>
            </w:r>
            <w:r>
              <w:rPr>
                <w:rFonts w:hint="eastAsia" w:ascii="宋体" w:hAnsi="宋体" w:cs="宋体"/>
                <w:i w:val="0"/>
                <w:iCs w:val="0"/>
                <w:color w:val="auto"/>
                <w:sz w:val="21"/>
                <w:szCs w:val="21"/>
                <w:highlight w:val="none"/>
                <w:u w:val="none"/>
                <w:lang w:val="en-US" w:eastAsia="zh-CN" w:bidi="ar"/>
              </w:rPr>
              <w:t xml:space="preserve">顶</w:t>
            </w:r>
            <w:r>
              <w:rPr>
                <w:rFonts w:hint="eastAsia" w:ascii="宋体" w:hAnsi="宋体" w:eastAsia="宋体" w:cs="宋体"/>
                <w:i w:val="0"/>
                <w:iCs w:val="0"/>
                <w:color w:val="auto"/>
                <w:sz w:val="21"/>
                <w:szCs w:val="21"/>
                <w:highlight w:val="none"/>
                <w:u w:val="none"/>
                <w:lang w:val="en-US" w:eastAsia="zh-CN" w:bidi="ar"/>
              </w:rPr>
              <w:t xml:space="preserve">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w:t>
            </w:r>
            <w:r>
              <w:rPr>
                <w:rFonts w:hint="eastAsia" w:ascii="宋体" w:hAnsi="宋体" w:cs="宋体"/>
                <w:i w:val="0"/>
                <w:iCs w:val="0"/>
                <w:color w:val="auto"/>
                <w:sz w:val="21"/>
                <w:szCs w:val="21"/>
                <w:highlight w:val="none"/>
                <w:u w:val="none"/>
                <w:lang w:val="en-US" w:eastAsia="zh-CN" w:bidi="ar"/>
              </w:rPr>
              <w:t xml:space="preserve">码</w:t>
            </w:r>
            <w:r>
              <w:rPr>
                <w:rFonts w:hint="eastAsia" w:ascii="宋体" w:hAnsi="宋体" w:eastAsia="宋体" w:cs="宋体"/>
                <w:i w:val="0"/>
                <w:iCs w:val="0"/>
                <w:color w:val="auto"/>
                <w:sz w:val="21"/>
                <w:szCs w:val="21"/>
                <w:highlight w:val="none"/>
                <w:u w:val="none"/>
                <w:lang w:val="en-US" w:eastAsia="zh-CN" w:bidi="ar"/>
              </w:rPr>
              <w:t xml:space="preserve">：均码，可调节</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新式装备背心</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74295</wp:posOffset>
                      </wp:positionH>
                      <wp:positionV relativeFrom="paragraph">
                        <wp:posOffset>77470</wp:posOffset>
                      </wp:positionV>
                      <wp:extent cx="1258570" cy="821055"/>
                      <wp:effectExtent l="0" t="0" r="17780" b="17145"/>
                      <wp:wrapNone/>
                      <wp:docPr id="33" name="图片_15"/>
                      <wp:cNvGraphicFramePr/>
                      <a:graphic xmlns:a="http://schemas.openxmlformats.org/drawingml/2006/main">
                        <a:graphicData uri="http://schemas.openxmlformats.org/drawingml/2006/picture">
                          <pic:pic xmlns:pic="http://schemas.openxmlformats.org/drawingml/2006/picture">
                            <pic:nvPicPr>
                              <pic:cNvPr id="33" name="图片_15"/>
                              <pic:cNvPicPr/>
                              <pic:nvPr/>
                            </pic:nvPicPr>
                            <pic:blipFill>
                              <a:blip r:embed="rId28"/>
                              <a:stretch/>
                            </pic:blipFill>
                            <pic:spPr bwMode="auto">
                              <a:xfrm>
                                <a:off x="0" y="0"/>
                                <a:ext cx="1258570"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5.8pt;mso-position-horizontal:absolute;mso-position-vertical-relative:text;margin-top:6.1pt;mso-position-vertical:absolute;width:99.1pt;height:64.6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含催泪 甩棍，手电 手k套 对讲机，执法记录套，公文包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文字改为：应急处突</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179070</wp:posOffset>
                      </wp:positionH>
                      <wp:positionV relativeFrom="paragraph">
                        <wp:posOffset>5080</wp:posOffset>
                      </wp:positionV>
                      <wp:extent cx="1355725" cy="1562735"/>
                      <wp:effectExtent l="0" t="0" r="15875" b="18415"/>
                      <wp:wrapNone/>
                      <wp:docPr id="34" name="图片_7"/>
                      <wp:cNvGraphicFramePr/>
                      <a:graphic xmlns:a="http://schemas.openxmlformats.org/drawingml/2006/main">
                        <a:graphicData uri="http://schemas.openxmlformats.org/drawingml/2006/picture">
                          <pic:pic xmlns:pic="http://schemas.openxmlformats.org/drawingml/2006/picture">
                            <pic:nvPicPr>
                              <pic:cNvPr id="34" name="图片_7"/>
                              <pic:cNvPicPr/>
                              <pic:nvPr/>
                            </pic:nvPicPr>
                            <pic:blipFill>
                              <a:blip r:embed="rId29"/>
                              <a:stretch/>
                            </pic:blipFill>
                            <pic:spPr bwMode="auto">
                              <a:xfrm>
                                <a:off x="0" y="0"/>
                                <a:ext cx="1355725" cy="156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14.1pt;mso-position-horizontal:absolute;mso-position-vertical-relative:text;margin-top:0.4pt;mso-position-vertical:absolute;width:106.8pt;height:123.0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鞋面：加厚耐磨帆布 + PU超纤皮革拼接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鞋垫：EVA缓冲鞋垫，久站减震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外底：加厚一体成型橡胶防滑大底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11"/>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短袖套装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128270</wp:posOffset>
                      </wp:positionH>
                      <wp:positionV relativeFrom="paragraph">
                        <wp:posOffset>-95250</wp:posOffset>
                      </wp:positionV>
                      <wp:extent cx="1256665" cy="1132840"/>
                      <wp:effectExtent l="0" t="0" r="635" b="10160"/>
                      <wp:wrapNone/>
                      <wp:docPr id="35" name="图片_10"/>
                      <wp:cNvGraphicFramePr/>
                      <a:graphic xmlns:a="http://schemas.openxmlformats.org/drawingml/2006/main">
                        <a:graphicData uri="http://schemas.openxmlformats.org/drawingml/2006/picture">
                          <pic:pic xmlns:pic="http://schemas.openxmlformats.org/drawingml/2006/picture">
                            <pic:nvPicPr>
                              <pic:cNvPr id="35" name="图片_10"/>
                              <pic:cNvPicPr/>
                              <pic:nvPr/>
                            </pic:nvPicPr>
                            <pic:blipFill>
                              <a:blip r:embed="rId30"/>
                              <a:stretch/>
                            </pic:blipFill>
                            <pic:spPr bwMode="auto">
                              <a:xfrm>
                                <a:off x="0" y="0"/>
                                <a:ext cx="1256664"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10.1pt;mso-position-horizontal:absolute;mso-position-vertical-relative:text;margin-top:-7.5pt;mso-position-vertical:absolute;width:98.9pt;height:89.2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冰凉抗皱天丝面料</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春秋长袖套装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32385</wp:posOffset>
                      </wp:positionV>
                      <wp:extent cx="911860" cy="1149350"/>
                      <wp:effectExtent l="0" t="0" r="2540" b="12700"/>
                      <wp:wrapNone/>
                      <wp:docPr id="36" name="图片_11"/>
                      <wp:cNvGraphicFramePr/>
                      <a:graphic xmlns:a="http://schemas.openxmlformats.org/drawingml/2006/main">
                        <a:graphicData uri="http://schemas.openxmlformats.org/drawingml/2006/picture">
                          <pic:pic xmlns:pic="http://schemas.openxmlformats.org/drawingml/2006/picture">
                            <pic:nvPicPr>
                              <pic:cNvPr id="36" name="图片_11"/>
                              <pic:cNvPicPr/>
                              <pic:nvPr/>
                            </pic:nvPicPr>
                            <pic:blipFill>
                              <a:blip r:embed="rId31"/>
                              <a:stretch/>
                            </pic:blipFill>
                            <pic:spPr bwMode="auto">
                              <a:xfrm>
                                <a:off x="0" y="0"/>
                                <a:ext cx="911860" cy="1149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27.0pt;mso-position-horizontal:absolute;mso-position-vertical-relative:text;margin-top:2.5pt;mso-position-vertical:absolute;width:71.8pt;height:90.5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70%羊毛外布，防静电涤丝绸里布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2114"/>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冬季大衣</w:t>
            </w:r>
            <w:r/>
          </w:p>
        </w:tc>
        <w:tc>
          <w:tcPr>
            <w:shd w:val="clear" w:color="auto" w:fill="auto"/>
            <w:tcBorders>
              <w:top w:val="single" w:color="000000" w:sz="4" w:space="0"/>
              <w:left w:val="single" w:color="000000" w:sz="4" w:space="0"/>
              <w:bottom w:val="non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149860</wp:posOffset>
                      </wp:positionH>
                      <wp:positionV relativeFrom="paragraph">
                        <wp:posOffset>-11430</wp:posOffset>
                      </wp:positionV>
                      <wp:extent cx="1076325" cy="1171575"/>
                      <wp:effectExtent l="0" t="0" r="9525" b="9525"/>
                      <wp:wrapNone/>
                      <wp:docPr id="37"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r/>
                            </pic:nvPicPr>
                            <pic:blipFill>
                              <a:blip r:embed="rId32"/>
                              <a:stretch/>
                            </pic:blipFill>
                            <pic:spPr bwMode="auto">
                              <a:xfrm>
                                <a:off x="0" y="0"/>
                                <a:ext cx="1076325"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1.8pt;mso-position-horizontal:absolute;mso-position-vertical-relative:text;margin-top:-0.9pt;mso-position-vertical:absolute;width:84.8pt;height:92.2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面料为加厚防静电涤丝绸</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帽徽：连云港市一医院logo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臂章：消控室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圆形胸标：消控室</w:t>
            </w:r>
            <w:r/>
          </w:p>
        </w:tc>
      </w:tr>
      <w:tr>
        <w:trPr>
          <w:jc w:val="center"/>
          <w:trHeight w:val="260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378460</wp:posOffset>
                      </wp:positionH>
                      <wp:positionV relativeFrom="paragraph">
                        <wp:posOffset>26670</wp:posOffset>
                      </wp:positionV>
                      <wp:extent cx="974725" cy="1437005"/>
                      <wp:effectExtent l="0" t="0" r="15875" b="10795"/>
                      <wp:wrapNone/>
                      <wp:docPr id="38" name="图片_9"/>
                      <wp:cNvGraphicFramePr/>
                      <a:graphic xmlns:a="http://schemas.openxmlformats.org/drawingml/2006/main">
                        <a:graphicData uri="http://schemas.openxmlformats.org/drawingml/2006/picture">
                          <pic:pic xmlns:pic="http://schemas.openxmlformats.org/drawingml/2006/picture">
                            <pic:nvPicPr>
                              <pic:cNvPr id="38" name="图片_9"/>
                              <pic:cNvPicPr/>
                              <pic:nvPr/>
                            </pic:nvPicPr>
                            <pic:blipFill>
                              <a:blip r:embed="rId33"/>
                              <a:stretch/>
                            </pic:blipFill>
                            <pic:spPr bwMode="auto">
                              <a:xfrm>
                                <a:off x="0" y="0"/>
                                <a:ext cx="974725" cy="143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29.8pt;mso-position-horizontal:absolute;mso-position-vertical-relative:text;margin-top:2.1pt;mso-position-vertical:absolute;width:76.8pt;height:113.1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527050</wp:posOffset>
                      </wp:positionH>
                      <wp:positionV relativeFrom="paragraph">
                        <wp:posOffset>17145</wp:posOffset>
                      </wp:positionV>
                      <wp:extent cx="933450" cy="1455420"/>
                      <wp:effectExtent l="0" t="0" r="0" b="11430"/>
                      <wp:wrapNone/>
                      <wp:docPr id="39" name="图片_14"/>
                      <wp:cNvGraphicFramePr/>
                      <a:graphic xmlns:a="http://schemas.openxmlformats.org/drawingml/2006/main">
                        <a:graphicData uri="http://schemas.openxmlformats.org/drawingml/2006/picture">
                          <pic:pic xmlns:pic="http://schemas.openxmlformats.org/drawingml/2006/picture">
                            <pic:nvPicPr>
                              <pic:cNvPr id="39" name="图片_14"/>
                              <pic:cNvPicPr/>
                              <pic:nvPr/>
                            </pic:nvPicPr>
                            <pic:blipFill>
                              <a:blip r:embed="rId34"/>
                              <a:stretch/>
                            </pic:blipFill>
                            <pic:spPr bwMode="auto">
                              <a:xfrm>
                                <a:off x="0" y="0"/>
                                <a:ext cx="933450" cy="1455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41.5pt;mso-position-horizontal:absolute;mso-position-vertical-relative:text;margin-top:1.3pt;mso-position-vertical:absolute;width:73.5pt;height:114.6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院区周边交通秩序维护岗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358775</wp:posOffset>
                      </wp:positionH>
                      <wp:positionV relativeFrom="paragraph">
                        <wp:posOffset>53975</wp:posOffset>
                      </wp:positionV>
                      <wp:extent cx="933450" cy="1424305"/>
                      <wp:effectExtent l="0" t="0" r="0" b="4445"/>
                      <wp:wrapNone/>
                      <wp:docPr id="40" name="图片_16"/>
                      <wp:cNvGraphicFramePr/>
                      <a:graphic xmlns:a="http://schemas.openxmlformats.org/drawingml/2006/main">
                        <a:graphicData uri="http://schemas.openxmlformats.org/drawingml/2006/picture">
                          <pic:pic xmlns:pic="http://schemas.openxmlformats.org/drawingml/2006/picture">
                            <pic:nvPicPr>
                              <pic:cNvPr id="40" name="图片_16"/>
                              <pic:cNvPicPr/>
                              <pic:nvPr/>
                            </pic:nvPicPr>
                            <pic:blipFill>
                              <a:blip r:embed="rId35"/>
                              <a:stretch/>
                            </pic:blipFill>
                            <pic:spPr bwMode="auto">
                              <a:xfrm>
                                <a:off x="0" y="0"/>
                                <a:ext cx="933450" cy="1424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28.2pt;mso-position-horizontal:absolute;mso-position-vertical-relative:text;margin-top:4.2pt;mso-position-vertical:absolute;width:73.5pt;height:112.1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8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407670</wp:posOffset>
                      </wp:positionH>
                      <wp:positionV relativeFrom="paragraph">
                        <wp:posOffset>57785</wp:posOffset>
                      </wp:positionV>
                      <wp:extent cx="760730" cy="1123315"/>
                      <wp:effectExtent l="0" t="0" r="1270" b="635"/>
                      <wp:wrapNone/>
                      <wp:docPr id="41" name="图片_17"/>
                      <wp:cNvGraphicFramePr/>
                      <a:graphic xmlns:a="http://schemas.openxmlformats.org/drawingml/2006/main">
                        <a:graphicData uri="http://schemas.openxmlformats.org/drawingml/2006/picture">
                          <pic:pic xmlns:pic="http://schemas.openxmlformats.org/drawingml/2006/picture">
                            <pic:nvPicPr>
                              <pic:cNvPr id="41" name="图片_17"/>
                              <pic:cNvPicPr/>
                              <pic:nvPr/>
                            </pic:nvPicPr>
                            <pic:blipFill>
                              <a:blip r:embed="rId36"/>
                              <a:stretch/>
                            </pic:blipFill>
                            <pic:spPr bwMode="auto">
                              <a:xfrm>
                                <a:off x="0" y="0"/>
                                <a:ext cx="760730" cy="11233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32.1pt;mso-position-horizontal:absolute;mso-position-vertical-relative:text;margin-top:4.5pt;mso-position-vertical:absolute;width:59.9pt;height:88.4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42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430530</wp:posOffset>
                      </wp:positionH>
                      <wp:positionV relativeFrom="paragraph">
                        <wp:posOffset>48895</wp:posOffset>
                      </wp:positionV>
                      <wp:extent cx="934085" cy="1453515"/>
                      <wp:effectExtent l="0" t="0" r="18415" b="13335"/>
                      <wp:wrapNone/>
                      <wp:docPr id="42" name="图片_19"/>
                      <wp:cNvGraphicFramePr/>
                      <a:graphic xmlns:a="http://schemas.openxmlformats.org/drawingml/2006/main">
                        <a:graphicData uri="http://schemas.openxmlformats.org/drawingml/2006/picture">
                          <pic:pic xmlns:pic="http://schemas.openxmlformats.org/drawingml/2006/picture">
                            <pic:nvPicPr>
                              <pic:cNvPr id="42" name="图片_19"/>
                              <pic:cNvPicPr/>
                              <pic:nvPr/>
                            </pic:nvPicPr>
                            <pic:blipFill>
                              <a:blip r:embed="rId37"/>
                              <a:stretch/>
                            </pic:blipFill>
                            <pic:spPr bwMode="auto">
                              <a:xfrm>
                                <a:off x="0" y="0"/>
                                <a:ext cx="934085" cy="1453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33.9pt;mso-position-horizontal:absolute;mso-position-vertical-relative:text;margin-top:3.8pt;mso-position-vertical:absolute;width:73.5pt;height:114.4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20"/>
        </w:trPr>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治安巡逻协防岗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436245</wp:posOffset>
                      </wp:positionH>
                      <wp:positionV relativeFrom="paragraph">
                        <wp:posOffset>55880</wp:posOffset>
                      </wp:positionV>
                      <wp:extent cx="809625" cy="1231900"/>
                      <wp:effectExtent l="0" t="0" r="9525" b="6350"/>
                      <wp:wrapNone/>
                      <wp:docPr id="43" name="图片_20"/>
                      <wp:cNvGraphicFramePr/>
                      <a:graphic xmlns:a="http://schemas.openxmlformats.org/drawingml/2006/main">
                        <a:graphicData uri="http://schemas.openxmlformats.org/drawingml/2006/picture">
                          <pic:pic xmlns:pic="http://schemas.openxmlformats.org/drawingml/2006/picture">
                            <pic:nvPicPr>
                              <pic:cNvPr id="43" name="图片_20"/>
                              <pic:cNvPicPr/>
                              <pic:nvPr/>
                            </pic:nvPicPr>
                            <pic:blipFill>
                              <a:blip r:embed="rId38"/>
                              <a:stretch/>
                            </pic:blipFill>
                            <pic:spPr bwMode="auto">
                              <a:xfrm>
                                <a:off x="0" y="0"/>
                                <a:ext cx="809625" cy="1231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34.4pt;mso-position-horizontal:absolute;mso-position-vertical-relative:text;margin-top:4.4pt;mso-position-vertical:absolute;width:63.8pt;height:97.0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夏季套装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355600</wp:posOffset>
                      </wp:positionH>
                      <wp:positionV relativeFrom="paragraph">
                        <wp:posOffset>76835</wp:posOffset>
                      </wp:positionV>
                      <wp:extent cx="1161415" cy="1561465"/>
                      <wp:effectExtent l="0" t="0" r="635" b="635"/>
                      <wp:wrapNone/>
                      <wp:docPr id="44" name="图片_24"/>
                      <wp:cNvGraphicFramePr/>
                      <a:graphic xmlns:a="http://schemas.openxmlformats.org/drawingml/2006/main">
                        <a:graphicData uri="http://schemas.openxmlformats.org/drawingml/2006/picture">
                          <pic:pic xmlns:pic="http://schemas.openxmlformats.org/drawingml/2006/picture">
                            <pic:nvPicPr>
                              <pic:cNvPr id="44" name="图片_24"/>
                              <pic:cNvPicPr/>
                              <pic:nvPr/>
                            </pic:nvPicPr>
                            <pic:blipFill>
                              <a:blip r:embed="rId39"/>
                              <a:stretch/>
                            </pic:blipFill>
                            <pic:spPr bwMode="auto">
                              <a:xfrm>
                                <a:off x="0" y="0"/>
                                <a:ext cx="1161415" cy="156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28.0pt;mso-position-horizontal:absolute;mso-position-vertical-relative:text;margin-top:6.0pt;mso-position-vertical:absolute;width:91.4pt;height:122.9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单件白色长/短</w:t>
            </w:r>
            <w:r>
              <w:rPr>
                <w:rFonts w:hint="eastAsia" w:ascii="宋体" w:hAnsi="宋体" w:cs="宋体"/>
                <w:i w:val="0"/>
                <w:iCs w:val="0"/>
                <w:color w:val="auto"/>
                <w:sz w:val="21"/>
                <w:szCs w:val="21"/>
                <w:highlight w:val="none"/>
                <w:u w:val="none"/>
                <w:lang w:val="en-US" w:eastAsia="zh-CN" w:bidi="ar"/>
              </w:rPr>
              <w:t xml:space="preserve">袖</w:t>
            </w:r>
            <w:r>
              <w:rPr>
                <w:rFonts w:hint="eastAsia" w:ascii="宋体" w:hAnsi="宋体" w:eastAsia="宋体" w:cs="宋体"/>
                <w:i w:val="0"/>
                <w:iCs w:val="0"/>
                <w:color w:val="auto"/>
                <w:sz w:val="21"/>
                <w:szCs w:val="21"/>
                <w:highlight w:val="none"/>
                <w:u w:val="none"/>
                <w:lang w:val="en-US" w:eastAsia="zh-CN" w:bidi="ar"/>
              </w:rPr>
              <w:t xml:space="preserve">衬衫+夏季黑裤 高质棉</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春秋套装</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530225</wp:posOffset>
                      </wp:positionH>
                      <wp:positionV relativeFrom="paragraph">
                        <wp:posOffset>20320</wp:posOffset>
                      </wp:positionV>
                      <wp:extent cx="890270" cy="1325245"/>
                      <wp:effectExtent l="0" t="0" r="5080" b="8255"/>
                      <wp:wrapNone/>
                      <wp:docPr id="45" name="图片_25"/>
                      <wp:cNvGraphicFramePr/>
                      <a:graphic xmlns:a="http://schemas.openxmlformats.org/drawingml/2006/main">
                        <a:graphicData uri="http://schemas.openxmlformats.org/drawingml/2006/picture">
                          <pic:pic xmlns:pic="http://schemas.openxmlformats.org/drawingml/2006/picture">
                            <pic:nvPicPr>
                              <pic:cNvPr id="45" name="图片_25"/>
                              <pic:cNvPicPr/>
                              <pic:nvPr/>
                            </pic:nvPicPr>
                            <pic:blipFill>
                              <a:blip r:embed="rId40"/>
                              <a:stretch/>
                            </pic:blipFill>
                            <pic:spPr bwMode="auto">
                              <a:xfrm>
                                <a:off x="0" y="0"/>
                                <a:ext cx="890270" cy="1325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41.8pt;mso-position-horizontal:absolute;mso-position-vertical-relative:text;margin-top:1.6pt;mso-position-vertical:absolute;width:70.1pt;height:104.3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上衣+下裤，主面料聚酯纤维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冬季大衣</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372110</wp:posOffset>
                      </wp:positionH>
                      <wp:positionV relativeFrom="paragraph">
                        <wp:posOffset>13335</wp:posOffset>
                      </wp:positionV>
                      <wp:extent cx="1037590" cy="1348105"/>
                      <wp:effectExtent l="0" t="0" r="10160" b="4445"/>
                      <wp:wrapNone/>
                      <wp:docPr id="46" name="图片_26"/>
                      <wp:cNvGraphicFramePr/>
                      <a:graphic xmlns:a="http://schemas.openxmlformats.org/drawingml/2006/main">
                        <a:graphicData uri="http://schemas.openxmlformats.org/drawingml/2006/picture">
                          <pic:pic xmlns:pic="http://schemas.openxmlformats.org/drawingml/2006/picture">
                            <pic:nvPicPr>
                              <pic:cNvPr id="46" name="图片_26"/>
                              <pic:cNvPicPr/>
                              <pic:nvPr/>
                            </pic:nvPicPr>
                            <pic:blipFill>
                              <a:blip r:embed="rId41"/>
                              <a:stretch/>
                            </pic:blipFill>
                            <pic:spPr bwMode="auto">
                              <a:xfrm>
                                <a:off x="0" y="0"/>
                                <a:ext cx="1037590" cy="1348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29.3pt;mso-position-horizontal:absolute;mso-position-vertical-relative:text;margin-top:1.1pt;mso-position-vertical:absolute;width:81.7pt;height:106.1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192"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单个大衣，主面料聚酯纤维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6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spacing w:line="560" w:lineRule="exact"/>
        <w:rPr>
          <w:rFonts w:hint="eastAsia" w:ascii="宋体" w:hAnsi="宋体" w:cs="Times New Roman"/>
          <w:b/>
          <w:bCs/>
          <w:color w:val="auto"/>
          <w:sz w:val="24"/>
          <w:szCs w:val="24"/>
          <w:highlight w:val="none"/>
        </w:rPr>
      </w:pPr>
      <w:r/>
      <w:bookmarkStart w:id="295" w:name="_GoBack"/>
      <w:r/>
      <w:bookmarkEnd w:id="295"/>
      <w:r>
        <w:rPr>
          <w:rFonts w:hint="eastAsia" w:ascii="宋体" w:hAnsi="宋体" w:cs="Times New Roman"/>
          <w:b/>
          <w:bCs/>
          <w:color w:val="auto"/>
          <w:sz w:val="24"/>
          <w:szCs w:val="24"/>
          <w:highlight w:val="none"/>
        </w:rPr>
        <w:t xml:space="preserve">五、考核标准及考核办法：</w:t>
      </w:r>
      <w:r/>
    </w:p>
    <w:p>
      <w:pPr>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jc w:val="center"/>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lang w:eastAsia="zh-CN"/>
        </w:rPr>
        <w:t xml:space="preserve">连云港市第一人民医院保安服务</w:t>
      </w:r>
      <w:r>
        <w:rPr>
          <w:rFonts w:hint="eastAsia" w:ascii="宋体" w:hAnsi="宋体" w:cs="宋体"/>
          <w:b/>
          <w:color w:val="auto"/>
          <w:sz w:val="24"/>
          <w:szCs w:val="24"/>
          <w:highlight w:val="none"/>
        </w:rPr>
        <w:t xml:space="preserve">质量考核表</w:t>
      </w:r>
      <w:r/>
    </w:p>
    <w:tbl>
      <w:tblPr>
        <w:tblStyle w:val="783"/>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713"/>
        <w:gridCol w:w="5760"/>
        <w:gridCol w:w="2424"/>
      </w:tblGrid>
      <w:tr>
        <w:trPr>
          <w:jc w:val="center"/>
          <w:trHeight w:val="685"/>
        </w:trPr>
        <w:tc>
          <w:tcPr>
            <w:tcW w:w="713"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序号</w:t>
            </w:r>
            <w:r/>
          </w:p>
        </w:tc>
        <w:tc>
          <w:tcPr>
            <w:tcW w:w="713"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类别</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具体情形或</w:t>
            </w:r>
            <w:r>
              <w:rPr>
                <w:rFonts w:hint="eastAsia" w:ascii="宋体" w:hAnsi="宋体" w:eastAsia="宋体" w:cs="宋体"/>
                <w:color w:val="auto"/>
                <w:sz w:val="21"/>
                <w:szCs w:val="21"/>
                <w:highlight w:val="none"/>
              </w:rPr>
              <w:t xml:space="preserve">内容</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扣分明细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仪容仪表</w:t>
            </w:r>
            <w:r/>
          </w:p>
          <w:p>
            <w:pPr>
              <w:jc w:val="center"/>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未统一穿着全套保安制服、混穿便装、敞怀卷袖、挽裤腿、拖鞋上岗</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未按要求佩戴帽徽、肩章等穿戴标识</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含胸塌背、举止不端，值班岗位上背手、抱胸、插兜、倚靠墙面、桌椅、趴桌、躺座椅等行为</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外挂于制服上或佩戴的饰品、饰物外露于制服有损公益单位形象</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在公共场所和禁止吸烟的场所吸烟</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cs="宋体"/>
                <w:color w:val="auto"/>
                <w:sz w:val="21"/>
                <w:szCs w:val="21"/>
                <w:highlight w:val="none"/>
                <w:lang w:val="en-US" w:eastAsia="zh-CN"/>
              </w:rPr>
            </w:pPr>
            <w:r>
              <w:rPr>
                <w:rFonts w:hint="eastAsia"/>
                <w:color w:val="auto"/>
                <w:sz w:val="21"/>
                <w:szCs w:val="21"/>
                <w:highlight w:val="none"/>
              </w:rPr>
              <w:t xml:space="preserve">夜班或户外不按规定穿着反光背心</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7</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岗位纪律</w:t>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值班人员迟到、早退</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cs="宋体"/>
                <w:color w:val="auto"/>
                <w:sz w:val="21"/>
                <w:szCs w:val="21"/>
                <w:highlight w:val="none"/>
                <w:lang w:val="en-US" w:eastAsia="zh-CN"/>
              </w:rPr>
            </w:pPr>
            <w:r>
              <w:rPr>
                <w:rFonts w:hint="eastAsia"/>
                <w:color w:val="auto"/>
                <w:sz w:val="21"/>
                <w:szCs w:val="21"/>
                <w:highlight w:val="none"/>
              </w:rPr>
              <w:t xml:space="preserve">漏打、代打、虚假打卡</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值班人员串岗、脱岗</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rPr>
            </w:pPr>
            <w:r>
              <w:rPr>
                <w:rFonts w:hint="eastAsia"/>
                <w:color w:val="auto"/>
                <w:sz w:val="21"/>
                <w:szCs w:val="21"/>
                <w:highlight w:val="none"/>
              </w:rPr>
              <w:t xml:space="preserve">值班人员睡岗</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未按规定落实请销假制度，擅自休假、调班、换岗</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长时间玩手机、在岗期间与无关人员闲聊、围观</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值班人员在岗吃零食</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值班人员在岗干私活</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值班人员酒后上岗</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值班人员在岗期间饮酒</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值班人员不服从值班领导调度安排，存在顶撞、抵触、消极怠工行为</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治安秩序管控</w:t>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both"/>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人员、车辆、物资进出未落实核查登记制度</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19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eastAsia="zh-CN"/>
              </w:rPr>
            </w:pPr>
            <w:r>
              <w:rPr>
                <w:rFonts w:hint="eastAsia"/>
                <w:color w:val="auto"/>
                <w:sz w:val="21"/>
                <w:szCs w:val="21"/>
                <w:highlight w:val="none"/>
              </w:rPr>
              <w:t xml:space="preserve">治安巡更点漏检，擅自减少巡逻次数、漏巡点位</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shd w:val="clear" w:color="auto" w:fill="auto"/>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color w:val="auto"/>
                <w:sz w:val="21"/>
                <w:szCs w:val="21"/>
                <w:highlight w:val="none"/>
              </w:rPr>
              <w:t xml:space="preserve">20</w:t>
            </w:r>
            <w:r/>
          </w:p>
        </w:tc>
        <w:tc>
          <w:tcPr>
            <w:shd w:val="clear" w:color="auto" w:fill="auto"/>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巡逻台账记录不规范、缺失有空项、漏项、涂改潦草</w:t>
            </w:r>
            <w:r/>
          </w:p>
        </w:tc>
        <w:tc>
          <w:tcPr>
            <w:shd w:val="clear" w:color="auto" w:fill="auto"/>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未及时制止院内争吵、纠纷、打闹、滋事、暴力滋事苗头</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巡逻不到位、履职失职造成医院财产、患者财物被盗、受损</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院区出现医托、散发传单、小广告，推销食品、药品者</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院内出现乞讨、闲散逗留人员</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院内出现占道摆摊、违规宣传行为</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擅自放行违禁物品、易燃易爆物品进入院区</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保安员在医患纠纷现场，医务人员遭殴打、围攻、控制人身自由</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“医闹” 中出现烧纸钱、摆花圈、拉横幅、堵大门等行为，保安员 50 分钟内未成功处置</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29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病房停尸体白天 3 小时、夜间 6 小时内未移入暂存间或殡仪馆</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载货车辆出门未查验出门证导致医院财物流失</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应急处置与突发事件</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防汛、台风、雨雪恶劣天气、停水停电、应急疏散等专项安保或抢险救灾工作，履职不到位、推诿懈怠</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发生重大治安事件、安全事故、群体性纠纷未第一时间处置上报</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突发事件处置流程不规范，处置不当激化矛盾，引发舆情</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处置突发事件不力，出现畏缩不前、拈轻怕重、借故回避、临阵脱逃，袖手旁观、拒不服从命令等现象</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D 类 5 分</w:t>
            </w:r>
            <w:r/>
          </w:p>
        </w:tc>
      </w:tr>
      <w:tr>
        <w:trPr>
          <w:jc w:val="center"/>
          <w:trHeight w:val="563"/>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处置火灾流程不规范，造成重大损失</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758"/>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36</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车辆管理及院区交通秩序</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车辆管控不到位造成医患投诉</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72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医院主要通道交通堵塞 10 分钟及以上的</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283"/>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38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院区车辆秩序混乱，车辆未按医院指定区域或指定方向停放</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lang w:val="en-US" w:eastAsia="zh-CN"/>
              </w:rPr>
              <w:t xml:space="preserve">39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消防安全与设施管理</w:t>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default"/>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医院消防制度、疏散路线、灭火器、消防栓等器材使用方法掌握不熟练</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火灾报警、初期火情处置流程不清楚</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未按规定对重点部位每 2 小时进行巡查或记录</w:t>
            </w:r>
            <w:r/>
          </w:p>
        </w:tc>
        <w:tc>
          <w:tcPr>
            <w:shd w:val="clear" w:color="auto" w:fill="auto"/>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rPr>
            </w:pPr>
            <w:r>
              <w:rPr>
                <w:rFonts w:hint="eastAsia"/>
                <w:color w:val="auto"/>
                <w:sz w:val="21"/>
                <w:szCs w:val="21"/>
                <w:highlight w:val="none"/>
              </w:rPr>
              <w:t xml:space="preserve">消防设施、消防器材失效未及时发现上报处置</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消防通道、安全出口不畅通、堵塞锁闭、杂物堆放</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发现施工作业无动火证施工不及时劝阻</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发生烟雾、电器过热等异常情况，处置迟缓、推诿不作为</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院内违规用火、用电、私拉乱接、违规堆放易燃易爆物品，未及时发现隐患，排查处置不到位</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未主动阻止其他人员在公共场所吸烟</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A 类 0.5 分</w:t>
            </w:r>
            <w:r/>
          </w:p>
        </w:tc>
      </w:tr>
      <w:tr>
        <w:trPr>
          <w:jc w:val="center"/>
          <w:trHeight w:val="358"/>
        </w:trPr>
        <w:tc>
          <w:tcPr>
            <w:tcW w:w="7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4</w:t>
            </w:r>
            <w:r>
              <w:rPr>
                <w:rFonts w:hint="eastAsia"/>
                <w:color w:val="auto"/>
                <w:sz w:val="21"/>
                <w:szCs w:val="21"/>
                <w:highlight w:val="none"/>
                <w:lang w:val="en-US" w:eastAsia="zh-CN"/>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私自焚烧垃圾、私接消防栓、私拉乱接电线</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lang w:val="en-US" w:eastAsia="zh-CN"/>
              </w:rPr>
              <w:t xml:space="preserve">49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服务医患</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服务生冷生硬、推诿群众求助</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与患者、家属、来访人员发生口角、争执</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医务人员咨询、求助处置不及时</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471"/>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与医务人员发生口角、争执</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53</w:t>
            </w:r>
            <w:r/>
          </w:p>
        </w:tc>
        <w:tc>
          <w:tcPr>
            <w:tcW w:w="713" w:type="dxa"/>
            <w:vAlign w:val="center"/>
            <w:vMerge w:val="restart"/>
            <w:textDirection w:val="lrTb"/>
            <w:noWrap w:val="false"/>
          </w:tcPr>
          <w:p>
            <w:pPr>
              <w:jc w:val="center"/>
              <w:keepLines w:val="0"/>
              <w:keepNext w:val="0"/>
              <w:pageBreakBefore w:val="0"/>
              <w:spacing w:line="240" w:lineRule="exact"/>
              <w:widowControl w:val="off"/>
              <w:rPr>
                <w:rFonts w:hint="eastAsia"/>
                <w:color w:val="auto"/>
                <w:sz w:val="21"/>
                <w:szCs w:val="21"/>
                <w:highlight w:val="none"/>
              </w:rPr>
            </w:pPr>
            <w:r>
              <w:rPr>
                <w:rFonts w:hint="eastAsia"/>
                <w:color w:val="auto"/>
                <w:sz w:val="21"/>
                <w:szCs w:val="21"/>
                <w:highlight w:val="none"/>
              </w:rPr>
              <w:t xml:space="preserve">工作配合与综合评价</w:t>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keepLines w:val="0"/>
              <w:keepNext w:val="0"/>
              <w:pageBreakBefore w:val="0"/>
              <w:spacing w:line="24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1"/>
                <w:szCs w:val="21"/>
                <w:highlight w:val="none"/>
                <w:lang w:val="en-US" w:eastAsia="zh-CN"/>
              </w:rPr>
            </w:pPr>
            <w:r>
              <w:rPr>
                <w:rFonts w:hint="eastAsia"/>
                <w:color w:val="auto"/>
                <w:sz w:val="21"/>
                <w:szCs w:val="21"/>
                <w:highlight w:val="none"/>
              </w:rPr>
              <w:t xml:space="preserve">未按合同要求数量配备保安人员</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1"/>
                <w:szCs w:val="21"/>
                <w:highlight w:val="none"/>
                <w:lang w:val="en-US" w:eastAsia="zh-CN"/>
              </w:rPr>
            </w:pPr>
            <w:r>
              <w:rPr>
                <w:rFonts w:hint="eastAsia"/>
                <w:color w:val="auto"/>
                <w:sz w:val="21"/>
                <w:szCs w:val="21"/>
                <w:highlight w:val="none"/>
              </w:rPr>
              <w:t xml:space="preserve">调整保安岗位设置、班次未及时向保卫处报备</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1"/>
                <w:szCs w:val="21"/>
                <w:highlight w:val="none"/>
                <w:lang w:val="en-US" w:eastAsia="zh-CN"/>
              </w:rPr>
            </w:pPr>
            <w:r>
              <w:rPr>
                <w:rFonts w:hint="eastAsia"/>
                <w:color w:val="auto"/>
                <w:sz w:val="21"/>
                <w:szCs w:val="21"/>
                <w:highlight w:val="none"/>
              </w:rPr>
              <w:t xml:space="preserve">调整保安骨干未及时向保卫处报备</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1"/>
                <w:szCs w:val="21"/>
                <w:highlight w:val="none"/>
                <w:lang w:val="en-US" w:eastAsia="zh-CN"/>
              </w:rPr>
            </w:pPr>
            <w:r>
              <w:rPr>
                <w:rFonts w:hint="eastAsia"/>
                <w:color w:val="auto"/>
                <w:sz w:val="21"/>
                <w:szCs w:val="21"/>
                <w:highlight w:val="none"/>
              </w:rPr>
              <w:t xml:space="preserve">辞退、新招录保安人员未及时向保卫处报备</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cs="宋体"/>
                <w:color w:val="auto"/>
                <w:sz w:val="21"/>
                <w:szCs w:val="21"/>
                <w:highlight w:val="none"/>
                <w:lang w:val="en-US" w:eastAsia="zh-CN"/>
              </w:rPr>
            </w:pPr>
            <w:r>
              <w:rPr>
                <w:rFonts w:hint="eastAsia"/>
                <w:color w:val="auto"/>
                <w:sz w:val="21"/>
                <w:szCs w:val="21"/>
                <w:highlight w:val="none"/>
              </w:rPr>
              <w:t xml:space="preserve">当面顶撞或背后软抵抗保卫处工作人员</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不配合医院专项检查、整治工作，消极应付</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院级层面及以上上级督查工作中发生、指出问题</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不爱护院内安防设备、巡逻器材、办公物资，损坏公物、私拿私占</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eastAsia="zh-CN"/>
              </w:rPr>
            </w:pPr>
            <w:r>
              <w:rPr>
                <w:rFonts w:hint="eastAsia"/>
                <w:color w:val="auto"/>
                <w:sz w:val="21"/>
                <w:szCs w:val="21"/>
                <w:highlight w:val="none"/>
              </w:rPr>
              <w:t xml:space="preserve">无故未完成交办的临时安保任务、值守任务、应急处置任务、专项整治任务</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有理投诉次数每月大于 3 次，有效投诉未 100% 处置完毕</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未按月开展医患满意度调查</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lang w:eastAsia="zh-CN"/>
              </w:rPr>
            </w:pPr>
            <w:r>
              <w:rPr>
                <w:rFonts w:hint="eastAsia"/>
                <w:color w:val="auto"/>
                <w:sz w:val="21"/>
                <w:szCs w:val="21"/>
                <w:highlight w:val="none"/>
              </w:rPr>
              <w:t xml:space="preserve">C 类 3 分</w:t>
            </w:r>
            <w:r/>
          </w:p>
        </w:tc>
      </w:tr>
      <w:tr>
        <w:trPr>
          <w:jc w:val="center"/>
          <w:trHeight w:val="508"/>
        </w:trPr>
        <w:tc>
          <w:tcPr>
            <w:tcW w:w="713" w:type="dxa"/>
            <w:vAlign w:val="center"/>
            <w:textDirection w:val="lrTb"/>
            <w:noWrap w:val="false"/>
          </w:tcPr>
          <w:p>
            <w:pPr>
              <w:jc w:val="center"/>
              <w:spacing w:line="2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64</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一般突发事件 3 分钟未到场处置</w:t>
            </w:r>
            <w:r/>
          </w:p>
        </w:tc>
        <w:tc>
          <w:tcPr>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490"/>
        </w:trPr>
        <w:tc>
          <w:tcPr>
            <w:tcW w:w="713" w:type="dxa"/>
            <w:vAlign w:val="center"/>
            <w:textDirection w:val="lrTb"/>
            <w:noWrap w:val="false"/>
          </w:tcPr>
          <w:p>
            <w:pPr>
              <w:jc w:val="center"/>
              <w:spacing w:line="2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65</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重大突发事件 15 分钟未到场处置</w:t>
            </w:r>
            <w:r/>
          </w:p>
        </w:tc>
        <w:tc>
          <w:tcPr>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418"/>
        </w:trPr>
        <w:tc>
          <w:tcPr>
            <w:tcW w:w="713" w:type="dxa"/>
            <w:vAlign w:val="center"/>
            <w:textDirection w:val="lrTb"/>
            <w:noWrap w:val="false"/>
          </w:tcPr>
          <w:p>
            <w:pPr>
              <w:jc w:val="center"/>
              <w:spacing w:line="2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66</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特大突发事件 30 分钟未到场处置</w:t>
            </w:r>
            <w:r/>
          </w:p>
        </w:tc>
        <w:tc>
          <w:tcPr>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385"/>
        </w:trPr>
        <w:tc>
          <w:tcPr>
            <w:tcW w:w="713" w:type="dxa"/>
            <w:vAlign w:val="center"/>
            <w:textDirection w:val="lrTb"/>
            <w:noWrap w:val="false"/>
          </w:tcPr>
          <w:p>
            <w:pPr>
              <w:jc w:val="center"/>
              <w:spacing w:line="2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67</w:t>
            </w:r>
            <w:r/>
          </w:p>
        </w:tc>
        <w:tc>
          <w:tcPr>
            <w:tcW w:w="713" w:type="dxa"/>
            <w:vAlign w:val="center"/>
            <w:textDirection w:val="lrTb"/>
            <w:noWrap w:val="false"/>
          </w:tcPr>
          <w:p>
            <w:pPr>
              <w:jc w:val="center"/>
              <w:keepLines w:val="0"/>
              <w:keepNext w:val="0"/>
              <w:pageBreakBefore w:val="0"/>
              <w:spacing w:line="2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院内</w:t>
            </w:r>
            <w:r>
              <w:rPr>
                <w:rFonts w:hint="eastAsia"/>
                <w:color w:val="auto"/>
                <w:sz w:val="21"/>
                <w:szCs w:val="21"/>
                <w:highlight w:val="none"/>
                <w:lang w:val="en-US" w:eastAsia="zh-CN"/>
              </w:rPr>
              <w:t xml:space="preserve">跨</w:t>
            </w:r>
            <w:r>
              <w:rPr>
                <w:rFonts w:hint="eastAsia"/>
                <w:color w:val="auto"/>
                <w:sz w:val="21"/>
                <w:szCs w:val="21"/>
                <w:highlight w:val="none"/>
              </w:rPr>
              <w:t xml:space="preserve">点位支援需求无法及时满足</w:t>
            </w:r>
            <w:r/>
          </w:p>
        </w:tc>
        <w:tc>
          <w:tcPr>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eastAsia"/>
                <w:color w:val="auto"/>
                <w:sz w:val="21"/>
                <w:szCs w:val="21"/>
                <w:highlight w:val="none"/>
              </w:rPr>
              <w:t xml:space="preserve">自身建设</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未制定各岗位的职责和考核制度，或制度空泛、无操作性和可行性，经常性检查监督缺失</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无故缺席、迟到医院消防演练、安防培训</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rPr>
            </w:pPr>
            <w:r>
              <w:rPr>
                <w:rFonts w:hint="eastAsia"/>
                <w:color w:val="auto"/>
                <w:sz w:val="21"/>
                <w:szCs w:val="21"/>
                <w:highlight w:val="none"/>
              </w:rPr>
              <w:t xml:space="preserve">未制定日常培训计划，计划空泛，未落实计划</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top"/>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未按要求定期联合病区开展反恐防暴、医闹及消防演练</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保安队员未持证上岗或从事岗位与所持证件不适配</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D 类 5 分</w:t>
            </w:r>
            <w:r/>
          </w:p>
        </w:tc>
      </w:tr>
      <w:tr>
        <w:trPr>
          <w:jc w:val="center"/>
          <w:trHeight w:val="5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当值期间发现保安员有违法犯罪、监守自盗或参加打架斗殴等</w:t>
            </w:r>
            <w:r/>
          </w:p>
        </w:tc>
        <w:tc>
          <w:tcPr>
            <w:shd w:val="clear" w:color="auto" w:fill="auto"/>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458"/>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利用工作之便，从事未经医院许可的经营活动</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勾结医托、号贩子、小偷等非法人员从事非法盈利活动</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私拿、偷盗公共财物</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未按合同约定定期组织保安队伍各类训练、演练、培训</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应知应会不掌握、不熟悉</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不熟悉岗位职责</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未按合同约定配齐安保器材和其他办公用品</w:t>
            </w:r>
            <w:r/>
          </w:p>
        </w:tc>
        <w:tc>
          <w:tcPr>
            <w:shd w:val="clear" w:color="auto" w:fill="auto"/>
            <w:tcW w:w="242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760"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值班室卫生不干净、不整洁，室内有烟头、烟灰缸</w:t>
            </w:r>
            <w:r/>
          </w:p>
        </w:tc>
        <w:tc>
          <w:tcPr>
            <w:shd w:val="clear" w:color="auto" w:fill="auto"/>
            <w:tcW w:w="2424" w:type="dxa"/>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default"/>
                <w:color w:val="auto"/>
                <w:sz w:val="21"/>
                <w:szCs w:val="21"/>
                <w:highlight w:val="none"/>
                <w:lang w:val="en-US" w:eastAsia="zh-CN"/>
              </w:rPr>
            </w:pPr>
            <w:r>
              <w:rPr>
                <w:rFonts w:hint="eastAsia"/>
                <w:color w:val="auto"/>
                <w:sz w:val="21"/>
                <w:szCs w:val="21"/>
                <w:highlight w:val="none"/>
              </w:rPr>
              <w:t xml:space="preserve">重大违规问题</w:t>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lang w:eastAsia="zh-CN"/>
              </w:rPr>
            </w:pPr>
            <w:r>
              <w:rPr>
                <w:rFonts w:hint="eastAsia"/>
                <w:color w:val="auto"/>
                <w:sz w:val="21"/>
                <w:szCs w:val="21"/>
                <w:highlight w:val="none"/>
              </w:rPr>
              <w:t xml:space="preserve">酒后上岗、在岗饮酒、脱岗渎职造成较大安全事故</w:t>
            </w:r>
            <w:r/>
          </w:p>
        </w:tc>
        <w:tc>
          <w:tcPr>
            <w:tcW w:w="2424"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与患者、家属、医护人员发生肢体冲突、恶意争吵引发严重舆情</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履职严重不到位，导致院内发生盗窃、火灾、治安事故、暴力伤医等恶性事件</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隐瞒重大安全隐患、突发事件，迟报、瞒报、谎报造成事态扩大，产生严重后果</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监守自盗、内外勾结、纵容或参与违法犯罪行为，造成重大损失</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保安员违反纪律或处理事件不当，任由事件恶化，造成医院形象严重受损或产生较大经济损失</w:t>
            </w:r>
            <w:r/>
          </w:p>
        </w:tc>
        <w:tc>
          <w:tcPr>
            <w:tcW w:w="242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color w:val="auto"/>
                <w:sz w:val="21"/>
                <w:szCs w:val="21"/>
                <w:highlight w:val="none"/>
              </w:rPr>
              <w:t xml:space="preserve">E 类 10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88</w:t>
            </w:r>
            <w:r/>
          </w:p>
        </w:tc>
        <w:tc>
          <w:tcPr>
            <w:tcW w:w="713" w:type="dxa"/>
            <w:vAlign w:val="center"/>
            <w:vMerge w:val="restart"/>
            <w:textDirection w:val="lrTb"/>
            <w:noWrap w:val="false"/>
          </w:tcPr>
          <w:p>
            <w:pPr>
              <w:jc w:val="center"/>
              <w:keepLines w:val="0"/>
              <w:keepNext w:val="0"/>
              <w:pageBreakBefore w:val="0"/>
              <w:spacing w:line="280" w:lineRule="exact"/>
              <w:widowControl w:val="off"/>
              <w:rPr>
                <w:rFonts w:hint="eastAsia"/>
                <w:color w:val="auto"/>
                <w:sz w:val="21"/>
                <w:szCs w:val="21"/>
                <w:highlight w:val="none"/>
              </w:rPr>
            </w:pPr>
            <w:r>
              <w:rPr>
                <w:rFonts w:hint="eastAsia"/>
                <w:color w:val="auto"/>
                <w:sz w:val="21"/>
                <w:szCs w:val="21"/>
                <w:highlight w:val="none"/>
              </w:rPr>
              <w:t xml:space="preserve">其他</w:t>
            </w:r>
            <w:r/>
          </w:p>
          <w:p>
            <w:pPr>
              <w:jc w:val="center"/>
              <w:keepLines w:val="0"/>
              <w:keepNext w:val="0"/>
              <w:pageBreakBefore w:val="0"/>
              <w:spacing w:line="280" w:lineRule="exact"/>
              <w:widowControl w:val="off"/>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5760"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color w:val="auto"/>
                <w:sz w:val="21"/>
                <w:szCs w:val="21"/>
                <w:highlight w:val="none"/>
              </w:rPr>
              <w:t xml:space="preserve">其他违反社会公德、家庭美德、人品道德事宜</w:t>
            </w:r>
            <w:r/>
          </w:p>
        </w:tc>
        <w:tc>
          <w:tcPr>
            <w:tcW w:w="24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color w:val="auto"/>
                <w:sz w:val="21"/>
                <w:szCs w:val="21"/>
                <w:highlight w:val="none"/>
              </w:rPr>
              <w:t xml:space="preserve">视情节 </w:t>
            </w:r>
            <w:r>
              <w:rPr>
                <w:rFonts w:hint="eastAsia"/>
                <w:color w:val="auto"/>
                <w:sz w:val="21"/>
                <w:szCs w:val="21"/>
                <w:highlight w:val="none"/>
                <w:lang w:val="en-US" w:eastAsia="zh-CN"/>
              </w:rPr>
              <w:t xml:space="preserve">B</w:t>
            </w:r>
            <w:r>
              <w:rPr>
                <w:rFonts w:hint="eastAsia"/>
                <w:color w:val="auto"/>
                <w:sz w:val="21"/>
                <w:szCs w:val="21"/>
                <w:highlight w:val="none"/>
              </w:rPr>
              <w:t xml:space="preserve"> 类 </w:t>
            </w:r>
            <w:r>
              <w:rPr>
                <w:rFonts w:hint="eastAsia"/>
                <w:color w:val="auto"/>
                <w:sz w:val="21"/>
                <w:szCs w:val="21"/>
                <w:highlight w:val="none"/>
                <w:lang w:val="en-US" w:eastAsia="zh-CN"/>
              </w:rPr>
              <w:t xml:space="preserve">1</w:t>
            </w:r>
            <w:r>
              <w:rPr>
                <w:rFonts w:hint="eastAsia"/>
                <w:color w:val="auto"/>
                <w:sz w:val="21"/>
                <w:szCs w:val="21"/>
                <w:highlight w:val="none"/>
              </w:rPr>
              <w:t xml:space="preserve">～C 类 3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89</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bottom"/>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其他违反医院制度、工作要求、服务宗旨事宜</w:t>
            </w:r>
            <w:r/>
          </w:p>
        </w:tc>
        <w:tc>
          <w:tcPr>
            <w:tcW w:w="24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color w:val="auto"/>
                <w:sz w:val="21"/>
                <w:szCs w:val="21"/>
                <w:highlight w:val="none"/>
              </w:rPr>
              <w:t xml:space="preserve">视情节 </w:t>
            </w:r>
            <w:r>
              <w:rPr>
                <w:rFonts w:hint="eastAsia"/>
                <w:color w:val="auto"/>
                <w:sz w:val="21"/>
                <w:szCs w:val="21"/>
                <w:highlight w:val="none"/>
                <w:lang w:val="en-US" w:eastAsia="zh-CN"/>
              </w:rPr>
              <w:t xml:space="preserve">B</w:t>
            </w:r>
            <w:r>
              <w:rPr>
                <w:rFonts w:hint="eastAsia"/>
                <w:color w:val="auto"/>
                <w:sz w:val="21"/>
                <w:szCs w:val="21"/>
                <w:highlight w:val="none"/>
              </w:rPr>
              <w:t xml:space="preserve">类 </w:t>
            </w:r>
            <w:r>
              <w:rPr>
                <w:rFonts w:hint="eastAsia"/>
                <w:color w:val="auto"/>
                <w:sz w:val="21"/>
                <w:szCs w:val="21"/>
                <w:highlight w:val="none"/>
                <w:lang w:val="en-US" w:eastAsia="zh-CN"/>
              </w:rPr>
              <w:t xml:space="preserve">1</w:t>
            </w:r>
            <w:r>
              <w:rPr>
                <w:rFonts w:hint="eastAsia"/>
                <w:color w:val="auto"/>
                <w:sz w:val="21"/>
                <w:szCs w:val="21"/>
                <w:highlight w:val="none"/>
              </w:rPr>
              <w:t xml:space="preserve">～D 类 5 分</w:t>
            </w:r>
            <w:r/>
          </w:p>
        </w:tc>
      </w:tr>
      <w:tr>
        <w:trPr>
          <w:jc w:val="center"/>
          <w:trHeight w:val="186"/>
        </w:trPr>
        <w:tc>
          <w:tcPr>
            <w:tcW w:w="713" w:type="dxa"/>
            <w:vAlign w:val="center"/>
            <w:textDirection w:val="lrTb"/>
            <w:noWrap w:val="false"/>
          </w:tcPr>
          <w:p>
            <w:pPr>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90</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60"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color w:val="auto"/>
                <w:sz w:val="21"/>
                <w:szCs w:val="21"/>
                <w:highlight w:val="none"/>
              </w:rPr>
              <w:t xml:space="preserve">其他违反法律法规事宜</w:t>
            </w:r>
            <w:r/>
          </w:p>
        </w:tc>
        <w:tc>
          <w:tcPr>
            <w:tcW w:w="24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color w:val="auto"/>
                <w:sz w:val="21"/>
                <w:szCs w:val="21"/>
                <w:highlight w:val="none"/>
              </w:rPr>
              <w:t xml:space="preserve">视情节 D 类 5～E 类 10 分</w:t>
            </w:r>
            <w:r/>
          </w:p>
        </w:tc>
      </w:tr>
    </w:tbl>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1.扣罚标准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采购人每月对中标人上月的服务质量按《连云港市第一人民医院保安服务质量考核表》进行考核，考评结果与保安服务费挂钩，每月累加计算，次月清零重新计算：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（1）月度累计扣分≤10分：仅按单条违规累计扣款，从10%绩效池扣除，无一次性扣减服务费；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（2）10分＜月度累计扣分≤15分：累计扣款+一次性扣减服务费2000元，下发书面整改警告；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（3）15分＜月度累计扣分≤20分：累计扣款+一次性扣减服务费5000元，约谈外包公司项目负责人，7日内提交专项整改方案；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（4）20分＜月度累计扣分≤25分：累计扣款+一次性扣减服务费10000元，约谈外包单位总部负责人，限期更换现场安保主管；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宋体" w:hAnsi="宋体" w:eastAsia="宋体" w:cs="宋体"/>
          <w:color w:val="000000"/>
          <w:sz w:val="24"/>
        </w:rPr>
        <w:t xml:space="preserve">（5）月度累计扣分＞25分：累计扣款+一次性扣减服务费30000元，医院有权单方面提前解除保安服务合同，全部损失由中标单位承担</w:t>
      </w:r>
      <w:r>
        <w:rPr>
          <w:rFonts w:hint="eastAsia" w:ascii="宋体" w:hAnsi="宋体" w:cs="宋体"/>
          <w:b w:val="0"/>
          <w:bCs/>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（1）保卫处出具整改通知书，整改时限3个工作日；逾期未整改或复查不合格，同类问题扣款标准上浮2倍；中标人拒不整改的，或一周内整改没有成效的，采购人有权提前解除合同。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（2）因中标人在履约过程中提供虚假证书（如建构筑物消防员、保安员证书等），造成上级管理部门（消防、公安）对医院的处罚的，由中标人承担相应后果。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（1）中标人内部监管考核标准。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中标人月自查自纠问题总数的30%≥医院主管部门督查发现问题起数件次数＞中标人月自查自纠问题总数的20%，按照考核办法的扣罚标准的1倍/起对中标人予以扣款。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中标人月自查自纠问题总数的50%≥医院主管部门督查发现问题起数件次数＞中标人月自查自纠问题总数的30%，按照考核办法的扣罚标准的1.5倍/起对中标人予以扣款。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医院主管部门督查发现问题起数件次数＞中标人月自查自纠问题总数的50%，按照考核办法的扣罚标准的2倍/起对中标人予以扣款。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院级及以上部门督查发现问题起数件次数＞医院主管部门督查发现问题起数件次数的50%，按照考核办法的扣罚标准的2倍/起对中标人予以扣款。</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六、报价要求</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投标报价须包含管理人员和服务人员的工资、五险、</w:t>
      </w:r>
      <w:r>
        <w:rPr>
          <w:rFonts w:hint="eastAsia" w:ascii="宋体" w:hAnsi="宋体" w:eastAsia="宋体" w:cs="Times New Roman"/>
          <w:color w:val="auto"/>
          <w:sz w:val="24"/>
          <w:szCs w:val="24"/>
          <w:highlight w:val="none"/>
          <w:lang w:val="en-US" w:eastAsia="zh-CN"/>
        </w:rPr>
        <w:t xml:space="preserve">防暑降温费、</w:t>
      </w:r>
      <w:r>
        <w:rPr>
          <w:rFonts w:hint="eastAsia" w:ascii="宋体" w:hAnsi="宋体" w:eastAsia="宋体" w:cs="Times New Roman"/>
          <w:color w:val="auto"/>
          <w:sz w:val="24"/>
          <w:szCs w:val="24"/>
          <w:highlight w:val="none"/>
        </w:rPr>
        <w:t xml:space="preserve">超过法定工时的工作日加班、周末加班、法定休假日加班等费用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福利、耗材、服装、税费、合理利润等费用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五险不能低于连云港市最低标准等规定）。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合同履约期内不因国家提高最低工资标准、保险金比例等政策调整因素而调整合同价。</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七、付款方式与履约保证金</w:t>
      </w:r>
      <w:r/>
    </w:p>
    <w:p>
      <w:pPr>
        <w:numPr>
          <w:ilvl w:val="0"/>
          <w:numId w:val="0"/>
        </w:numPr>
        <w:ind w:firstLine="482"/>
        <w:jc w:val="left"/>
        <w:keepLines w:val="0"/>
        <w:keepNext w:val="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★1、付款方式：</w:t>
      </w:r>
      <w:r>
        <w:rPr>
          <w:rFonts w:hint="eastAsia" w:ascii="宋体" w:hAnsi="宋体" w:eastAsia="宋体" w:cs="Times New Roman"/>
          <w:b w:val="0"/>
          <w:bCs w:val="0"/>
          <w:color w:val="auto"/>
          <w:sz w:val="24"/>
          <w:szCs w:val="24"/>
          <w:highlight w:val="none"/>
          <w:lang w:val="en-US" w:eastAsia="zh-CN" w:bidi="ar-SA"/>
        </w:rPr>
        <w:t xml:space="preserve">按月考核，根据考核结果支付上月服务费。采购人付款之前中标人应向采购人开具正规发票，采购人自收到发票后将资金支付至合同约定的中标人账户。</w:t>
      </w:r>
      <w:r/>
    </w:p>
    <w:p>
      <w:pPr>
        <w:numPr>
          <w:ilvl w:val="0"/>
          <w:numId w:val="0"/>
        </w:numPr>
        <w:ind w:firstLine="480"/>
        <w:jc w:val="left"/>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付款前，</w:t>
      </w:r>
      <w:r>
        <w:rPr>
          <w:rFonts w:hint="eastAsia" w:ascii="宋体" w:hAnsi="宋体" w:eastAsia="宋体" w:cs="Times New Roman"/>
          <w:b w:val="0"/>
          <w:bCs w:val="0"/>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val="en-US" w:eastAsia="zh-CN"/>
        </w:rPr>
        <w:t xml:space="preserve">需向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开具正规发票，</w:t>
      </w:r>
      <w:r>
        <w:rPr>
          <w:rFonts w:hint="eastAsia" w:ascii="宋体" w:hAnsi="宋体" w:eastAsia="宋体" w:cs="宋体"/>
          <w:color w:val="auto"/>
          <w:sz w:val="24"/>
          <w:szCs w:val="24"/>
          <w:highlight w:val="none"/>
          <w:lang w:val="en-US" w:eastAsia="zh-CN"/>
        </w:rPr>
        <w:t xml:space="preserve">否则自行承担延迟付款的责任</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2、履约保证金</w:t>
      </w:r>
      <w:r>
        <w:rPr>
          <w:rFonts w:hint="eastAsia" w:ascii="宋体" w:hAnsi="宋体" w:cs="Times New Roman"/>
          <w:b/>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合同签订前上缴院方履约保证金10万元，到期无息退还经考核扣罚后的剩余总额</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中标人应当以支票、汇票、本票或者金融机构、担保机构出具的保函等非现金形式在合同签订前提交。</w:t>
      </w:r>
      <w:r/>
    </w:p>
    <w:p>
      <w:pPr>
        <w:numPr>
          <w:ilvl w:val="0"/>
          <w:numId w:val="0"/>
        </w:numPr>
        <w:ind w:left="0" w:right="0" w:firstLine="480"/>
        <w:jc w:val="left"/>
        <w:keepLines w:val="0"/>
        <w:keepNext w:val="0"/>
        <w:pageBreakBefore w:val="0"/>
        <w:spacing w:line="360" w:lineRule="auto"/>
        <w:widowControl w:val="off"/>
        <w:rPr>
          <w:rFonts w:ascii="Arial" w:hAnsi="Arial" w:cs="Arial"/>
          <w:b/>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cs="Times New Roman"/>
          <w:color w:val="auto"/>
          <w:sz w:val="24"/>
          <w:szCs w:val="24"/>
          <w:highlight w:val="none"/>
        </w:rPr>
        <w:t xml:space="preserve">履</w:t>
      </w:r>
      <w:r>
        <w:rPr>
          <w:rFonts w:hint="eastAsia" w:ascii="宋体" w:hAnsi="宋体" w:cs="Times New Roman"/>
          <w:color w:val="auto"/>
          <w:sz w:val="24"/>
          <w:szCs w:val="24"/>
          <w:highlight w:val="none"/>
        </w:rPr>
        <w:t xml:space="preserve">约保证金自合同生效之日起至合同约定的中标人主要义务履行完毕止，采购人按合同约定退还履</w:t>
      </w:r>
      <w:r>
        <w:rPr>
          <w:rFonts w:hint="eastAsia" w:ascii="宋体" w:hAnsi="宋体" w:eastAsia="宋体" w:cs="Times New Roman"/>
          <w:color w:val="auto"/>
          <w:sz w:val="24"/>
          <w:szCs w:val="24"/>
          <w:highlight w:val="none"/>
        </w:rPr>
        <w:t xml:space="preserve">约保证金。中标人违约的，采购人将按照合同约定扣除其全部或部分履约保证金。如中标人违约给采购人造成的损失超过履约保证金的，应当依法赔偿超过部分的损失。</w:t>
      </w:r>
      <w:r>
        <w:rPr>
          <w:rFonts w:ascii="Arial" w:hAnsi="Arial" w:cs="Arial"/>
          <w:b/>
          <w:color w:val="auto"/>
          <w:sz w:val="24"/>
          <w:szCs w:val="24"/>
          <w:highlight w:val="none"/>
        </w:rPr>
        <w:br w:type="page" w:clear="all"/>
      </w:r>
      <w:r/>
    </w:p>
    <w:p>
      <w:pPr>
        <w:numPr>
          <w:ilvl w:val="-1"/>
          <w:numId w:val="0"/>
        </w:numPr>
        <w:ind w:firstLine="0"/>
        <w:jc w:val="center"/>
        <w:keepLines w:val="0"/>
        <w:keepNext w:val="0"/>
        <w:pageBreakBefore w:val="0"/>
        <w:spacing w:line="360" w:lineRule="auto"/>
        <w:widowControl w:val="off"/>
        <w:rPr>
          <w:rFonts w:ascii="黑体" w:eastAsia="黑体"/>
          <w:bCs/>
          <w:color w:val="auto"/>
          <w:sz w:val="44"/>
          <w:highlight w:val="none"/>
        </w:rPr>
      </w:pPr>
      <w:r/>
      <w:bookmarkStart w:id="260" w:name="_Toc19583"/>
      <w:r/>
      <w:bookmarkStart w:id="261" w:name="_Toc3139"/>
      <w:r/>
      <w:bookmarkStart w:id="262" w:name="_Toc120614281"/>
      <w:r>
        <w:rPr>
          <w:rFonts w:hint="eastAsia" w:ascii="黑体" w:eastAsia="黑体"/>
          <w:color w:val="auto"/>
          <w:sz w:val="44"/>
          <w:szCs w:val="44"/>
          <w:highlight w:val="none"/>
        </w:rPr>
        <w:t xml:space="preserve">第五章  评标方法与评标标准</w:t>
      </w:r>
      <w:bookmarkEnd w:id="260"/>
      <w:r/>
      <w:bookmarkEnd w:id="261"/>
      <w:r/>
      <w:r/>
    </w:p>
    <w:p>
      <w:pPr>
        <w:spacing w:line="360" w:lineRule="auto"/>
        <w:rPr>
          <w:color w:val="auto"/>
          <w:highlight w:val="none"/>
        </w:rPr>
      </w:pPr>
      <w:r>
        <w:rPr>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color w:val="auto"/>
          <w:sz w:val="24"/>
          <w:highlight w:val="none"/>
          <w:lang w:val="en-US" w:eastAsia="zh-CN"/>
        </w:rPr>
        <w:t xml:space="preserve">两个采购包均</w:t>
      </w:r>
      <w:r>
        <w:rPr>
          <w:rFonts w:hint="eastAsia" w:ascii="宋体" w:hAnsi="宋体"/>
          <w:color w:val="auto"/>
          <w:sz w:val="24"/>
          <w:highlight w:val="none"/>
        </w:rPr>
        <w:t xml:space="preserve">选取1名中标候选人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兼投兼中</w:t>
      </w:r>
      <w:r>
        <w:rPr>
          <w:rFonts w:hint="eastAsia" w:ascii="宋体" w:hAnsi="宋体"/>
          <w:color w:val="auto"/>
          <w:sz w:val="24"/>
          <w:highlight w:val="none"/>
        </w:rPr>
        <w:t xml:space="preserve">。</w:t>
      </w:r>
      <w:r/>
    </w:p>
    <w:p>
      <w:pPr>
        <w:pStyle w:val="1046"/>
        <w:ind w:hanging="343"/>
        <w:jc w:val="center"/>
        <w:spacing w:line="360" w:lineRule="auto"/>
        <w:tabs>
          <w:tab w:val="left" w:pos="720" w:leader="none"/>
        </w:tabs>
        <w:rPr>
          <w:rFonts w:hint="eastAsia" w:eastAsia="宋体"/>
          <w:b/>
          <w:color w:val="auto"/>
          <w:sz w:val="28"/>
          <w:szCs w:val="28"/>
          <w:highlight w:val="none"/>
          <w:lang w:eastAsia="zh-CN"/>
        </w:rPr>
      </w:pPr>
      <w:r>
        <w:rPr>
          <w:rFonts w:hint="eastAsia"/>
          <w:b/>
          <w:color w:val="auto"/>
          <w:sz w:val="28"/>
          <w:szCs w:val="28"/>
          <w:highlight w:val="none"/>
        </w:rPr>
        <w:t xml:space="preserve">综合评分法</w:t>
      </w:r>
      <w:r>
        <w:rPr>
          <w:rFonts w:hint="eastAsia"/>
          <w:b/>
          <w:color w:val="auto"/>
          <w:sz w:val="28"/>
          <w:szCs w:val="28"/>
          <w:highlight w:val="none"/>
          <w:lang w:eastAsia="zh-CN"/>
        </w:rPr>
        <w:t xml:space="preserve">（采购包一及采购包二）</w:t>
      </w:r>
      <w:r/>
    </w:p>
    <w:p>
      <w:pPr>
        <w:ind w:left="42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价格分：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w:t>
      </w:r>
      <w:r>
        <w:rPr>
          <w:rFonts w:hint="eastAsia" w:ascii="宋体" w:hAnsi="宋体" w:eastAsia="宋体" w:cs="宋体"/>
          <w:color w:val="auto"/>
          <w:sz w:val="24"/>
          <w:szCs w:val="24"/>
          <w:highlight w:val="none"/>
        </w:rPr>
        <w:t xml:space="preserve">要求且价格最低的</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报价为评标基准价，其价格分为满分。其他</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的价格分统一按照下列公式计算：</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报价得分=（基准价/</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报价）X</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numPr>
          <w:ilvl w:val="0"/>
          <w:numId w:val="7"/>
        </w:numPr>
        <w:ind w:left="42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商务技术分：</w:t>
      </w:r>
      <w:r>
        <w:rPr>
          <w:rFonts w:hint="eastAsia" w:ascii="宋体" w:hAnsi="宋体" w:cs="宋体"/>
          <w:b/>
          <w:color w:val="auto"/>
          <w:sz w:val="24"/>
          <w:szCs w:val="24"/>
          <w:highlight w:val="none"/>
          <w:lang w:val="en-US" w:eastAsia="zh-CN"/>
        </w:rPr>
        <w:t xml:space="preserve">90</w:t>
      </w:r>
      <w:r>
        <w:rPr>
          <w:rFonts w:hint="eastAsia" w:ascii="宋体" w:hAnsi="宋体" w:eastAsia="宋体" w:cs="宋体"/>
          <w:b/>
          <w:color w:val="auto"/>
          <w:sz w:val="24"/>
          <w:szCs w:val="24"/>
          <w:highlight w:val="none"/>
        </w:rPr>
        <w:t xml:space="preserve">分</w:t>
      </w:r>
      <w:r/>
    </w:p>
    <w:tbl>
      <w:tblPr>
        <w:tblStyle w:val="783"/>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7740"/>
      </w:tblGrid>
      <w:tr>
        <w:trPr>
          <w:cantSplit/>
          <w:jc w:val="center"/>
          <w:trHeight w:val="760"/>
        </w:trPr>
        <w:tc>
          <w:tcPr>
            <w:tcW w:w="1719"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740"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教育培训</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为提升保安员安防业务能力，投标人需编制教育培训服务方案。内容包含但不限于</w:t>
            </w:r>
            <w:r>
              <w:rPr>
                <w:rFonts w:hint="eastAsia" w:ascii="宋体" w:hAnsi="宋体" w:eastAsia="宋体" w:cs="宋体"/>
                <w:color w:val="auto"/>
                <w:sz w:val="24"/>
                <w:szCs w:val="24"/>
                <w:highlight w:val="none"/>
                <w:lang w:eastAsia="zh-CN"/>
              </w:rPr>
              <w:t xml:space="preserve">日常服务培训、技能培训、</w:t>
            </w:r>
            <w:r>
              <w:rPr>
                <w:rFonts w:hint="eastAsia" w:ascii="宋体" w:hAnsi="宋体" w:eastAsia="宋体" w:cs="宋体"/>
                <w:color w:val="auto"/>
                <w:sz w:val="24"/>
                <w:szCs w:val="24"/>
                <w:highlight w:val="none"/>
              </w:rPr>
              <w:t xml:space="preserve">疫情防控</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、进阶培训、交流学习、继续教育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礼仪、应急处突</w:t>
            </w:r>
            <w:r>
              <w:rPr>
                <w:rFonts w:hint="eastAsia" w:ascii="宋体" w:hAnsi="宋体" w:eastAsia="宋体" w:cs="宋体"/>
                <w:color w:val="auto"/>
                <w:sz w:val="24"/>
                <w:szCs w:val="24"/>
                <w:highlight w:val="none"/>
              </w:rPr>
              <w:t xml:space="preserve">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36"/>
              <w:jc w:val="both"/>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b/>
                <w:bCs/>
                <w:color w:val="auto"/>
                <w:sz w:val="24"/>
                <w:szCs w:val="24"/>
                <w:highlight w:val="none"/>
              </w:rPr>
              <w:t xml:space="preserve">未见阐述不得分</w:t>
            </w:r>
            <w:r>
              <w:rPr>
                <w:rFonts w:hint="eastAsia" w:asciiTheme="minorEastAsia" w:hAnsiTheme="minorEastAsia" w:eastAsiaTheme="minorEastAsia"/>
                <w:color w:val="auto"/>
                <w:sz w:val="24"/>
                <w:szCs w:val="24"/>
                <w:highlight w:val="none"/>
              </w:rPr>
              <w:t xml:space="preserve">。</w:t>
            </w:r>
            <w:r/>
          </w:p>
        </w:tc>
      </w:tr>
      <w:tr>
        <w:trPr>
          <w:jc w:val="center"/>
          <w:trHeight w:val="2046"/>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治安工作实施方案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投标人提供详细的治安工作实施方案。</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一般偷、盗、抢案（事）件处置、</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医托处置、</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病区一键报警处置、</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涉医伤害事件处置、涉医违法犯罪演练、</w:t>
            </w: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特勤队业务训练计划、重点部位巡逻、</w:t>
            </w:r>
            <w:r>
              <w:rPr>
                <w:rFonts w:hint="eastAsia" w:ascii="宋体" w:hAnsi="宋体" w:eastAsia="宋体" w:cs="宋体"/>
                <w:color w:val="auto"/>
                <w:sz w:val="24"/>
                <w:szCs w:val="24"/>
                <w:highlight w:val="none"/>
                <w:lang w:val="en-US" w:eastAsia="zh-CN"/>
              </w:rPr>
              <w:t xml:space="preserve">安检门管理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车辆管理、疫情常态化人员防控处置等方案等内容：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669"/>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消防工作实施方案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投标人提供详细的消防工作实施方案，主要包括建筑消防设施报警处置方案、微型消防站业务训练计划、消防室值班员业务培训方案、建筑消防设施巡更等方案等内容：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2002"/>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信息化考勤、督查方案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精准信息化考勤方案和</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信息化督查方案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包含人员定位、人脸识别、指纹识别等有效信息化防作弊考勤措施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需具备信息化管理平台技术等。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奖励机制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投标人提供奖励机制方案。</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需包含每月对先进个人或先进集体</w:t>
            </w:r>
            <w:r>
              <w:rPr>
                <w:rFonts w:hint="eastAsia" w:ascii="宋体" w:hAnsi="宋体" w:eastAsia="宋体" w:cs="宋体"/>
                <w:color w:val="auto"/>
                <w:sz w:val="24"/>
                <w:szCs w:val="24"/>
                <w:highlight w:val="none"/>
                <w:lang w:eastAsia="zh-CN"/>
              </w:rPr>
              <w:t xml:space="preserve">（如见义勇为、拾金不昧、应急处突及省市检查表现优异等）</w:t>
            </w:r>
            <w:r>
              <w:rPr>
                <w:rFonts w:hint="eastAsia" w:ascii="宋体" w:hAnsi="宋体" w:eastAsia="宋体" w:cs="宋体"/>
                <w:color w:val="auto"/>
                <w:sz w:val="24"/>
                <w:szCs w:val="24"/>
                <w:highlight w:val="none"/>
              </w:rPr>
              <w:t xml:space="preserve">进行物质奖励</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明确奖励金额，能够</w:t>
            </w:r>
            <w:r>
              <w:rPr>
                <w:rFonts w:hint="eastAsia" w:ascii="宋体" w:hAnsi="宋体" w:eastAsia="宋体" w:cs="宋体"/>
                <w:color w:val="auto"/>
                <w:sz w:val="24"/>
                <w:szCs w:val="24"/>
                <w:highlight w:val="none"/>
              </w:rPr>
              <w:t xml:space="preserve">提高工作集体积极性</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情形的奖励举措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突发事件应急联动方案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突发事件应急联动方案</w:t>
            </w:r>
            <w:r>
              <w:rPr>
                <w:rFonts w:hint="eastAsia" w:ascii="宋体" w:hAnsi="宋体" w:eastAsia="宋体" w:cs="宋体"/>
                <w:color w:val="auto"/>
                <w:sz w:val="24"/>
                <w:szCs w:val="24"/>
                <w:highlight w:val="none"/>
              </w:rPr>
              <w:t xml:space="preserve">。需包括</w:t>
            </w:r>
            <w:r>
              <w:rPr>
                <w:rFonts w:hint="eastAsia" w:ascii="宋体" w:hAnsi="宋体" w:eastAsia="宋体" w:cs="宋体"/>
                <w:color w:val="auto"/>
                <w:sz w:val="24"/>
                <w:szCs w:val="24"/>
                <w:highlight w:val="none"/>
                <w:lang w:val="en-US" w:eastAsia="zh-CN"/>
              </w:rPr>
              <w:t xml:space="preserve">突发医闹、火灾等事件，需增加保安联动开展维稳、灭火、救援的增援联动方式、应对不同数量违法医闹人员的应急反应时间</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应急保障预案6分</w:t>
            </w:r>
            <w:r/>
          </w:p>
        </w:tc>
        <w:tc>
          <w:tcPr>
            <w:tcW w:w="774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制定完善的应急保障预案、应急物资、应急人才储备等。应急保障预案内容至少包含病区一键报警应急预案、医托治理预案、医闹处置预案、火灾</w:t>
            </w:r>
            <w:r>
              <w:rPr>
                <w:rFonts w:hint="eastAsia" w:ascii="宋体" w:hAnsi="宋体" w:cs="宋体"/>
                <w:color w:val="auto"/>
                <w:sz w:val="24"/>
                <w:szCs w:val="24"/>
                <w:highlight w:val="none"/>
                <w:lang w:eastAsia="zh-CN"/>
              </w:rPr>
              <w:t xml:space="preserve">应急</w:t>
            </w:r>
            <w:r>
              <w:rPr>
                <w:rFonts w:hint="eastAsia" w:ascii="宋体" w:hAnsi="宋体" w:eastAsia="宋体" w:cs="宋体"/>
                <w:color w:val="auto"/>
                <w:sz w:val="24"/>
                <w:szCs w:val="24"/>
                <w:highlight w:val="none"/>
              </w:rPr>
              <w:t xml:space="preserve">方案包含以上</w:t>
            </w:r>
            <w:r>
              <w:rPr>
                <w:rFonts w:hint="default"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1385"/>
        </w:trPr>
        <w:tc>
          <w:tcPr>
            <w:tcW w:w="171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综合实力</w:t>
            </w:r>
            <w:r/>
          </w:p>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7740" w:type="dxa"/>
            <w:vAlign w:val="center"/>
            <w:textDirection w:val="lrTb"/>
            <w:noWrap w:val="false"/>
          </w:tcPr>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eastAsia="zh-CN"/>
              </w:rPr>
              <w:t xml:space="preserve">在满足招标文件的基础上，</w:t>
            </w:r>
            <w:r>
              <w:rPr>
                <w:rFonts w:hint="eastAsia" w:ascii="宋体" w:hAnsi="宋体" w:eastAsia="宋体" w:cs="宋体"/>
                <w:color w:val="auto"/>
                <w:sz w:val="24"/>
                <w:szCs w:val="24"/>
                <w:highlight w:val="none"/>
              </w:rPr>
              <w:t xml:space="preserve">具有本科及以上学历的</w:t>
            </w:r>
            <w:r>
              <w:rPr>
                <w:rFonts w:hint="eastAsia" w:ascii="宋体" w:hAnsi="宋体" w:eastAsia="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身份证和</w:t>
            </w:r>
            <w:r>
              <w:rPr>
                <w:rFonts w:hint="eastAsia" w:ascii="宋体" w:hAnsi="宋体" w:eastAsia="宋体" w:cs="宋体"/>
                <w:b/>
                <w:bCs/>
                <w:color w:val="auto"/>
                <w:sz w:val="24"/>
                <w:szCs w:val="24"/>
                <w:highlight w:val="none"/>
              </w:rPr>
              <w:t xml:space="preserve">学历证书</w:t>
            </w:r>
            <w:r>
              <w:rPr>
                <w:rFonts w:hint="eastAsia" w:ascii="宋体" w:hAnsi="宋体" w:eastAsia="宋体" w:cs="宋体"/>
                <w:b/>
                <w:bCs/>
                <w:color w:val="auto"/>
                <w:sz w:val="24"/>
                <w:szCs w:val="24"/>
                <w:highlight w:val="none"/>
                <w:lang w:val="en-US" w:eastAsia="zh-CN" w:bidi="ar-SA"/>
              </w:rPr>
              <w:t xml:space="preserve">及投标人自202</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年1月至今任意</w:t>
            </w: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个月为其缴纳的社保证明材料</w:t>
            </w:r>
            <w:r>
              <w:rPr>
                <w:rFonts w:hint="eastAsia" w:ascii="宋体" w:hAnsi="宋体" w:eastAsia="宋体" w:cs="宋体"/>
                <w:b/>
                <w:bCs/>
                <w:color w:val="auto"/>
                <w:sz w:val="24"/>
                <w:szCs w:val="24"/>
                <w:highlight w:val="none"/>
              </w:rPr>
              <w:t xml:space="preserve">原件扫描件并加盖公章。</w:t>
            </w:r>
            <w:r/>
          </w:p>
        </w:tc>
      </w:tr>
      <w:tr>
        <w:trPr>
          <w:jc w:val="center"/>
          <w:trHeight w:val="1278"/>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36"/>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val="en-US" w:eastAsia="zh-CN" w:bidi="ar-SA"/>
              </w:rPr>
              <w:t xml:space="preserve">具有中级保安员（四级）证书的得1分，高级保安员（三级）及以上等级证书的得2分，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提供证书原件扫描件并加盖公章。</w:t>
            </w:r>
            <w:r/>
          </w:p>
        </w:tc>
      </w:tr>
      <w:tr>
        <w:trPr>
          <w:jc w:val="center"/>
          <w:trHeight w:val="718"/>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47"/>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val="en-US" w:eastAsia="zh-CN" w:bidi="ar-SA"/>
              </w:rPr>
              <w:t xml:space="preserve">具有3年以上保安服务项目负责人管理经验的，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rPr>
              <w:t xml:space="preserve">扫描件并加盖公章</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lang w:val="en-US" w:eastAsia="zh-CN"/>
              </w:rPr>
              <w:t xml:space="preserve">证明材料</w:t>
            </w:r>
            <w:r>
              <w:rPr>
                <w:rFonts w:hint="eastAsia" w:ascii="宋体" w:hAnsi="宋体" w:eastAsia="宋体" w:cs="宋体"/>
                <w:b/>
                <w:bCs/>
                <w:color w:val="auto"/>
                <w:sz w:val="24"/>
                <w:szCs w:val="24"/>
                <w:highlight w:val="none"/>
              </w:rPr>
              <w:t xml:space="preserve">。</w:t>
            </w:r>
            <w:r/>
          </w:p>
        </w:tc>
      </w:tr>
      <w:tr>
        <w:trPr>
          <w:jc w:val="center"/>
          <w:trHeight w:val="253"/>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36"/>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级建（构）筑物消防员（国家职业资格</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以上证书</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没有不得分。</w:t>
            </w:r>
            <w:r/>
          </w:p>
        </w:tc>
      </w:tr>
      <w:tr>
        <w:trPr>
          <w:jc w:val="center"/>
          <w:trHeight w:val="253"/>
        </w:trPr>
        <w:tc>
          <w:tcPr>
            <w:tcW w:w="1719" w:type="dxa"/>
            <w:vAlign w:val="center"/>
            <w:textDirection w:val="lrTb"/>
            <w:noWrap w:val="false"/>
          </w:tcPr>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带班队长</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3分</w:t>
            </w:r>
            <w:r>
              <w:rPr>
                <w:rFonts w:hint="eastAsia" w:ascii="宋体" w:hAnsi="宋体" w:cs="宋体"/>
                <w:color w:val="auto"/>
                <w:sz w:val="24"/>
                <w:szCs w:val="24"/>
                <w:highlight w:val="none"/>
                <w:lang w:eastAsia="zh-CN" w:bidi="ar"/>
              </w:rPr>
              <w:t xml:space="preserve">）</w:t>
            </w:r>
            <w:r/>
          </w:p>
        </w:tc>
        <w:tc>
          <w:tcPr>
            <w:tcW w:w="7740" w:type="dxa"/>
            <w:vAlign w:val="center"/>
            <w:textDirection w:val="lrTb"/>
            <w:noWrap w:val="false"/>
          </w:tcPr>
          <w:p>
            <w:pPr>
              <w:pStyle w:val="836"/>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带班队长</w:t>
            </w:r>
            <w:r>
              <w:rPr>
                <w:rFonts w:hint="eastAsia" w:ascii="宋体" w:hAnsi="宋体" w:cs="宋体"/>
                <w:color w:val="auto"/>
                <w:sz w:val="24"/>
                <w:szCs w:val="24"/>
                <w:highlight w:val="none"/>
                <w:lang w:val="en-US" w:eastAsia="zh-CN" w:bidi="ar-SA"/>
              </w:rPr>
              <w:t xml:space="preserve">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级）及以上或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w:t>
            </w:r>
            <w:r>
              <w:rPr>
                <w:rFonts w:hint="eastAsia" w:ascii="宋体" w:hAnsi="宋体" w:eastAsia="宋体" w:cs="宋体"/>
                <w:color w:val="auto"/>
                <w:sz w:val="24"/>
                <w:szCs w:val="24"/>
                <w:highlight w:val="none"/>
              </w:rPr>
              <w:t xml:space="preserve">筑物消防员</w:t>
            </w:r>
            <w:r>
              <w:rPr>
                <w:rFonts w:hint="eastAsia" w:ascii="宋体" w:hAnsi="宋体" w:eastAsia="宋体" w:cs="宋体"/>
                <w:color w:val="auto"/>
                <w:sz w:val="24"/>
                <w:szCs w:val="24"/>
                <w:highlight w:val="none"/>
                <w:shd w:val="clear" w:color="auto"/>
              </w:rPr>
              <w:t xml:space="preserve">（国家职业资格</w:t>
            </w:r>
            <w:r>
              <w:rPr>
                <w:rFonts w:hint="eastAsia" w:ascii="宋体" w:hAnsi="宋体" w:cs="宋体"/>
                <w:color w:val="auto"/>
                <w:sz w:val="24"/>
                <w:szCs w:val="24"/>
                <w:highlight w:val="none"/>
                <w:shd w:val="clear" w:color="auto"/>
                <w:lang w:val="en-US" w:eastAsia="zh-CN"/>
              </w:rPr>
              <w:t xml:space="preserve">四</w:t>
            </w:r>
            <w:r>
              <w:rPr>
                <w:rFonts w:hint="eastAsia" w:ascii="宋体" w:hAnsi="宋体" w:eastAsia="宋体" w:cs="宋体"/>
                <w:color w:val="auto"/>
                <w:sz w:val="24"/>
                <w:szCs w:val="24"/>
                <w:highlight w:val="none"/>
                <w:shd w:val="clear" w:color="auto"/>
              </w:rPr>
              <w:t xml:space="preserve">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的，每有一个得1分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最高加3分</w:t>
            </w:r>
            <w:r>
              <w:rPr>
                <w:color w:val="auto"/>
              </w:rPr>
            </w:r>
            <w:r/>
          </w:p>
        </w:tc>
      </w:tr>
      <w:tr>
        <w:trPr>
          <w:jc w:val="center"/>
          <w:trHeight w:val="2803"/>
        </w:trPr>
        <w:tc>
          <w:tcPr>
            <w:tcW w:w="1719" w:type="dxa"/>
            <w:vAlign w:val="center"/>
            <w:textDirection w:val="lrTb"/>
            <w:noWrap w:val="false"/>
          </w:tcPr>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7740"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除消控室值班员外，</w:t>
            </w:r>
            <w:r>
              <w:rPr>
                <w:rFonts w:hint="eastAsia" w:ascii="宋体" w:hAnsi="宋体" w:eastAsia="宋体" w:cs="宋体"/>
                <w:color w:val="auto"/>
                <w:sz w:val="24"/>
                <w:szCs w:val="24"/>
                <w:highlight w:val="none"/>
              </w:rPr>
              <w:t xml:space="preserve">拟派</w:t>
            </w:r>
            <w:r>
              <w:rPr>
                <w:rFonts w:hint="eastAsia" w:ascii="宋体" w:hAnsi="宋体" w:eastAsia="宋体" w:cs="宋体"/>
                <w:color w:val="auto"/>
                <w:sz w:val="24"/>
                <w:szCs w:val="24"/>
                <w:highlight w:val="none"/>
                <w:lang w:val="en-US" w:eastAsia="zh-CN"/>
              </w:rPr>
              <w:t xml:space="preserve">其他岗位人员中</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级）及以上或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级建（构）筑物消防员（国家职业资格</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的，每有一个得1分，</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color w:val="auto"/>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除项目经理外，</w:t>
            </w:r>
            <w:r>
              <w:rPr>
                <w:rFonts w:hint="eastAsia" w:ascii="宋体" w:hAnsi="宋体" w:eastAsia="宋体" w:cs="宋体"/>
                <w:color w:val="auto"/>
                <w:sz w:val="24"/>
                <w:szCs w:val="24"/>
                <w:highlight w:val="none"/>
              </w:rPr>
              <w:t xml:space="preserve">拟派保安</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中，具有高级保安员（三级）及以上等级证书的，每有一个得1分，</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color w:val="auto"/>
              </w:rPr>
            </w:r>
            <w:r/>
          </w:p>
          <w:p>
            <w:pPr>
              <w:pStyle w:val="78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拟派保安员中具有红十字会发放的《红十字救护员》证书的，每有一个得1分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rPr>
                <w:color w:val="auto"/>
              </w:rPr>
            </w:r>
            <w:r/>
          </w:p>
          <w:p>
            <w:pPr>
              <w:rPr>
                <w:rFonts w:hint="eastAsia" w:eastAsia="宋体"/>
                <w:color w:val="auto"/>
                <w:highlight w:val="none"/>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机动队及微型消防站队</w:t>
            </w:r>
            <w:r>
              <w:rPr>
                <w:rFonts w:hint="eastAsia" w:ascii="宋体" w:hAnsi="宋体" w:cs="宋体"/>
                <w:b w:val="0"/>
                <w:bCs/>
                <w:color w:val="auto"/>
                <w:sz w:val="24"/>
                <w:szCs w:val="24"/>
                <w:highlight w:val="none"/>
              </w:rPr>
              <w:t xml:space="preserve">每配备1名退役军人加1分，最高得6分</w:t>
            </w:r>
            <w:r>
              <w:rPr>
                <w:rFonts w:hint="eastAsia" w:ascii="宋体" w:hAnsi="宋体" w:cs="宋体"/>
                <w:b w:val="0"/>
                <w:bCs/>
                <w:color w:val="auto"/>
                <w:sz w:val="24"/>
                <w:szCs w:val="24"/>
                <w:highlight w:val="none"/>
                <w:lang w:eastAsia="zh-CN"/>
              </w:rPr>
              <w:t xml:space="preserve">。</w:t>
            </w:r>
            <w:r>
              <w:rPr>
                <w:color w:val="auto"/>
              </w:rPr>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（上述1-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项投标文件中提供有效相关证书及202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年1月至今任意</w:t>
            </w:r>
            <w:r>
              <w:rPr>
                <w:rFonts w:hint="eastAsia" w:ascii="宋体" w:hAnsi="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个月由投标人为其缴纳社保证明材料扫描件并加盖投标人公章，否则不得分）</w:t>
            </w:r>
            <w:r>
              <w:rPr>
                <w:color w:val="auto"/>
              </w:rPr>
            </w:r>
            <w:r/>
          </w:p>
        </w:tc>
      </w:tr>
      <w:tr>
        <w:trPr>
          <w:jc w:val="center"/>
          <w:trHeight w:val="171"/>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体系认证</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0" w:type="dxa"/>
            <w:vAlign w:val="center"/>
            <w:textDirection w:val="lrTb"/>
            <w:noWrap w:val="false"/>
          </w:tcPr>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投标人通过质量管理体系认证的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投标人通过环境管理体系认证的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投标人通过职业健康安全管理体系认证的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本项最高得6分。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注：投标文件中提供证书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在有效期内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原件扫描件并加盖公章。</w:t>
            </w:r>
            <w:r/>
          </w:p>
        </w:tc>
      </w:tr>
      <w:tr>
        <w:trPr>
          <w:jc w:val="center"/>
          <w:trHeight w:val="2863"/>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0" w:type="dxa"/>
            <w:vAlign w:val="center"/>
            <w:textDirection w:val="lrTb"/>
            <w:noWrap w:val="false"/>
          </w:tcPr>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年1月1日起至今投标人具有</w:t>
            </w:r>
            <w:r>
              <w:rPr>
                <w:rFonts w:hint="eastAsia" w:asciiTheme="minorEastAsia" w:hAnsiTheme="minorEastAsia" w:eastAsiaTheme="minorEastAsia"/>
                <w:b/>
                <w:bCs/>
                <w:color w:val="auto"/>
                <w:sz w:val="24"/>
                <w:highlight w:val="none"/>
              </w:rPr>
              <w:t xml:space="preserve">医院保安服务项目</w:t>
            </w:r>
            <w:r>
              <w:rPr>
                <w:rFonts w:hint="eastAsia" w:ascii="宋体" w:hAnsi="宋体" w:eastAsia="宋体" w:cs="宋体"/>
                <w:color w:val="auto"/>
                <w:sz w:val="24"/>
                <w:szCs w:val="24"/>
                <w:highlight w:val="none"/>
              </w:rPr>
              <w:t xml:space="preserve">业绩的，每有一个得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最高得</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年1月1日起至今投标人具有</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保安服务项目业绩的，每有一个得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最高得</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注：投标文件中提供合同原件扫描件并加盖公章，时间、</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以合同签订为准，否则不得分。</w:t>
            </w:r>
            <w:r/>
          </w:p>
        </w:tc>
      </w:tr>
    </w:tbl>
    <w:p>
      <w:pPr>
        <w:pStyle w:val="1046"/>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r>
      <w:r/>
    </w:p>
    <w:p>
      <w:pPr>
        <w:ind w:firstLine="482"/>
        <w:spacing w:line="360" w:lineRule="auto"/>
        <w:rPr>
          <w:b/>
          <w:bCs/>
          <w:color w:val="auto"/>
          <w:sz w:val="24"/>
          <w:szCs w:val="24"/>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bookmarkStart w:id="263" w:name="_Toc19647"/>
      <w:r/>
      <w:bookmarkStart w:id="264" w:name="_Toc25769"/>
      <w:r>
        <w:rPr>
          <w:rFonts w:hint="eastAsia" w:ascii="黑体" w:eastAsia="黑体"/>
          <w:color w:val="auto"/>
          <w:sz w:val="44"/>
          <w:szCs w:val="44"/>
          <w:highlight w:val="none"/>
        </w:rPr>
        <w:br w:type="page" w:clear="all"/>
      </w:r>
      <w:r/>
    </w:p>
    <w:p>
      <w:pPr>
        <w:pStyle w:val="985"/>
        <w:spacing w:line="360" w:lineRule="auto"/>
        <w:rPr>
          <w:rFonts w:ascii="黑体" w:eastAsia="黑体"/>
          <w:bCs/>
          <w:color w:val="auto"/>
          <w:sz w:val="44"/>
          <w:highlight w:val="none"/>
        </w:rPr>
      </w:pPr>
      <w:r>
        <w:rPr>
          <w:rFonts w:hint="eastAsia" w:ascii="黑体" w:eastAsia="黑体"/>
          <w:color w:val="auto"/>
          <w:sz w:val="44"/>
          <w:szCs w:val="44"/>
          <w:highlight w:val="none"/>
        </w:rPr>
        <w:t xml:space="preserve">第六章  投标</w:t>
      </w:r>
      <w:bookmarkEnd w:id="258"/>
      <w:r/>
      <w:bookmarkEnd w:id="259"/>
      <w:r/>
      <w:bookmarkEnd w:id="262"/>
      <w:r>
        <w:rPr>
          <w:rFonts w:hint="eastAsia" w:ascii="黑体" w:eastAsia="黑体"/>
          <w:color w:val="auto"/>
          <w:sz w:val="44"/>
          <w:szCs w:val="44"/>
          <w:highlight w:val="none"/>
        </w:rPr>
        <w:t xml:space="preserve">文件格式</w:t>
      </w:r>
      <w:bookmarkEnd w:id="263"/>
      <w:r/>
      <w:bookmarkEnd w:id="264"/>
      <w:r/>
      <w:r/>
    </w:p>
    <w:p>
      <w:pPr>
        <w:jc w:val="center"/>
        <w:rPr>
          <w:rFonts w:ascii="宋体" w:hAnsi="宋体"/>
          <w:b/>
          <w:color w:val="auto"/>
          <w:sz w:val="72"/>
          <w:highlight w:val="none"/>
        </w:rPr>
      </w:pPr>
      <w:r/>
      <w:bookmarkStart w:id="265" w:name="_Hlt26671244"/>
      <w:r/>
      <w:bookmarkEnd w:id="265"/>
      <w:r/>
      <w:bookmarkStart w:id="266" w:name="_Hlt26955039"/>
      <w:r/>
      <w:bookmarkEnd w:id="266"/>
      <w:r/>
      <w:bookmarkStart w:id="267" w:name="_Toc49090576"/>
      <w:r/>
      <w:bookmarkStart w:id="268" w:name="_Toc120614282"/>
      <w:r/>
      <w:bookmarkStart w:id="269" w:name="_Toc26554094"/>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color w:val="auto"/>
          <w:highlight w:val="none"/>
        </w:rPr>
      </w:pPr>
      <w:r>
        <w:rPr>
          <w:rFonts w:hint="eastAsia" w:ascii="宋体" w:hAnsi="宋体"/>
          <w:b/>
          <w:color w:val="auto"/>
          <w:sz w:val="36"/>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四、具备履行合同所必需的设备和专业技术能力的书面声明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六、其他资格要求的证明文件</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七、法人授权书</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八、投标函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九、中小微企业声明函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一</w:t>
      </w:r>
      <w:r>
        <w:rPr>
          <w:rFonts w:hint="eastAsia" w:ascii="宋体" w:hAnsi="宋体"/>
          <w:iCs/>
          <w:color w:val="auto"/>
          <w:sz w:val="24"/>
          <w:highlight w:val="none"/>
        </w:rPr>
        <w:t xml:space="preserve">、投标分项报价表</w:t>
      </w:r>
      <w:r/>
    </w:p>
    <w:p>
      <w:pPr>
        <w:ind w:firstLine="480"/>
        <w:spacing w:line="360" w:lineRule="auto"/>
        <w:rPr>
          <w:color w:val="auto"/>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二</w:t>
      </w:r>
      <w:r>
        <w:rPr>
          <w:rFonts w:hint="eastAsia" w:ascii="宋体" w:hAnsi="宋体"/>
          <w:iCs/>
          <w:color w:val="auto"/>
          <w:sz w:val="24"/>
          <w:highlight w:val="none"/>
        </w:rPr>
        <w:t xml:space="preserve">、商务、技术要求响应及偏离表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三</w:t>
      </w:r>
      <w:r>
        <w:rPr>
          <w:rFonts w:hint="eastAsia" w:ascii="宋体" w:hAnsi="宋体"/>
          <w:iCs/>
          <w:color w:val="auto"/>
          <w:sz w:val="24"/>
          <w:highlight w:val="none"/>
        </w:rPr>
        <w:t xml:space="preserve">、开标一览表</w:t>
      </w:r>
      <w:r/>
    </w:p>
    <w:p>
      <w:pPr>
        <w:numPr>
          <w:ilvl w:val="0"/>
          <w:numId w:val="0"/>
        </w:numPr>
        <w:ind w:firstLine="480"/>
        <w:spacing w:line="360" w:lineRule="auto"/>
        <w:rPr>
          <w:rFonts w:hint="eastAsia" w:ascii="宋体" w:hAnsi="宋体"/>
          <w:iCs/>
          <w:color w:val="auto"/>
          <w:sz w:val="24"/>
          <w:highlight w:val="none"/>
        </w:rPr>
      </w:pPr>
      <w:r>
        <w:rPr>
          <w:rFonts w:hint="eastAsia" w:ascii="宋体" w:hAnsi="宋体" w:eastAsia="宋体" w:cs="Times New Roman"/>
          <w:iCs/>
          <w:color w:val="auto"/>
          <w:sz w:val="24"/>
          <w:szCs w:val="21"/>
          <w:highlight w:val="none"/>
          <w:lang w:val="en-US" w:eastAsia="zh-CN" w:bidi="ar-SA"/>
        </w:rPr>
        <w:t xml:space="preserve">十四、</w:t>
      </w:r>
      <w:r>
        <w:rPr>
          <w:rFonts w:hint="eastAsia" w:ascii="宋体" w:hAnsi="宋体"/>
          <w:iCs/>
          <w:color w:val="auto"/>
          <w:sz w:val="24"/>
          <w:highlight w:val="none"/>
        </w:rPr>
        <w:t xml:space="preserve">财务状况报告及税收、社会保障资金缴纳情况承诺函</w:t>
      </w:r>
      <w:r/>
    </w:p>
    <w:p>
      <w:pPr>
        <w:numPr>
          <w:ilvl w:val="0"/>
          <w:numId w:val="0"/>
        </w:numPr>
        <w:ind w:firstLine="480"/>
        <w:spacing w:line="360" w:lineRule="auto"/>
        <w:rPr>
          <w:rFonts w:ascii="宋体" w:hAnsi="宋体"/>
          <w:iCs/>
          <w:color w:val="auto"/>
          <w:sz w:val="24"/>
          <w:highlight w:val="none"/>
        </w:rPr>
      </w:pPr>
      <w:r>
        <w:rPr>
          <w:rFonts w:hint="eastAsia" w:ascii="宋体" w:hAnsi="宋体" w:eastAsia="宋体" w:cs="Times New Roman"/>
          <w:iCs/>
          <w:color w:val="auto"/>
          <w:sz w:val="24"/>
          <w:szCs w:val="21"/>
          <w:highlight w:val="none"/>
          <w:lang w:val="en-US" w:eastAsia="zh-CN" w:bidi="ar-SA"/>
        </w:rPr>
        <w:t xml:space="preserve">十五、</w:t>
      </w:r>
      <w:r>
        <w:rPr>
          <w:rFonts w:hint="eastAsia" w:ascii="宋体" w:hAnsi="宋体"/>
          <w:iCs/>
          <w:color w:val="auto"/>
          <w:sz w:val="24"/>
          <w:highlight w:val="none"/>
        </w:rPr>
        <w:t xml:space="preserve">关于符合本国产品标准的声明函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六</w:t>
      </w:r>
      <w:r>
        <w:rPr>
          <w:rFonts w:hint="eastAsia" w:ascii="宋体" w:hAnsi="宋体"/>
          <w:iCs/>
          <w:color w:val="auto"/>
          <w:sz w:val="24"/>
          <w:highlight w:val="none"/>
        </w:rPr>
        <w:t xml:space="preserve">、类似项目业绩一览表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七</w:t>
      </w:r>
      <w:r>
        <w:rPr>
          <w:rFonts w:hint="eastAsia" w:ascii="宋体" w:hAnsi="宋体"/>
          <w:iCs/>
          <w:color w:val="auto"/>
          <w:sz w:val="24"/>
          <w:highlight w:val="none"/>
        </w:rPr>
        <w:t xml:space="preserve">、项目团队人员一览表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根据连财购〔2023〕4号、连财购（2023）9号文件精神，可以提供《财务状况报告及税收、社会保障资金缴纳情况承诺函》。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67"/>
      <w:r/>
      <w:bookmarkEnd w:id="268"/>
      <w:r/>
      <w:bookmarkEnd w:id="269"/>
      <w:r/>
      <w:r/>
    </w:p>
    <w:p>
      <w:pPr>
        <w:ind w:firstLine="480"/>
        <w:rPr>
          <w:rFonts w:ascii="宋体" w:hAnsi="宋体"/>
          <w:bCs/>
          <w:color w:val="auto"/>
          <w:sz w:val="24"/>
          <w:highlight w:val="none"/>
        </w:rPr>
      </w:pPr>
      <w:r/>
      <w:bookmarkStart w:id="270" w:name="_Toc120614284"/>
      <w:r>
        <w:rPr>
          <w:rFonts w:hint="eastAsia" w:ascii="宋体" w:hAnsi="宋体"/>
          <w:bCs/>
          <w:color w:val="auto"/>
          <w:sz w:val="24"/>
          <w:highlight w:val="none"/>
        </w:rPr>
        <w:t xml:space="preserve">根据连财购〔2023〕4号、连财购（2023）9号文件精神，可以提供《财务状况报告及税收、社会保障资金缴纳情况承诺函》。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988"/>
        <w:ind w:firstLine="480"/>
        <w:rPr>
          <w:rFonts w:ascii="宋体" w:hAnsi="宋体"/>
          <w:bCs/>
          <w:color w:val="auto"/>
          <w:sz w:val="24"/>
          <w:highlight w:val="none"/>
        </w:rPr>
      </w:pPr>
      <w:r>
        <w:rPr>
          <w:rFonts w:hint="eastAsia" w:ascii="宋体" w:hAnsi="宋体"/>
          <w:bCs/>
          <w:color w:val="auto"/>
          <w:sz w:val="24"/>
          <w:highlight w:val="none"/>
        </w:rPr>
        <w:t xml:space="preserve">日期：    年     月     日</w:t>
      </w:r>
      <w:r/>
    </w:p>
    <w:p>
      <w:pPr>
        <w:pStyle w:val="988"/>
        <w:ind w:firstLine="482"/>
        <w:rPr>
          <w:rFonts w:ascii="宋体" w:hAnsi="宋体"/>
          <w:b/>
          <w:color w:val="auto"/>
          <w:sz w:val="24"/>
          <w:highlight w:val="none"/>
        </w:rPr>
      </w:pPr>
      <w:r>
        <w:rPr>
          <w:rFonts w:ascii="宋体" w:hAnsi="宋体"/>
          <w:b/>
          <w:color w:val="auto"/>
          <w:sz w:val="24"/>
          <w:highlight w:val="none"/>
        </w:rPr>
      </w:r>
      <w:r/>
    </w:p>
    <w:p>
      <w:pPr>
        <w:pStyle w:val="988"/>
        <w:ind w:firstLine="482"/>
        <w:rPr>
          <w:rFonts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pStyle w:val="988"/>
        <w:ind w:firstLine="482"/>
        <w:rPr>
          <w:rFonts w:ascii="宋体" w:hAnsi="宋体"/>
          <w:b/>
          <w:color w:val="auto"/>
          <w:sz w:val="24"/>
          <w:highlight w:val="none"/>
        </w:rPr>
      </w:pPr>
      <w:r>
        <w:rPr>
          <w:rFonts w:ascii="宋体" w:hAnsi="宋体"/>
          <w:b/>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六、其他资格要求的证明文件</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r/>
    </w:p>
    <w:p>
      <w:pPr>
        <w:jc w:val="center"/>
        <w:rPr>
          <w:rFonts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本人（姓名）系（投标人名称）的法定代表人（单位负责人），现委托（姓名）为我方代理人。代理人根据授权，以我方名义签署、澄清确认、递交、撤回、修改项目（分包号：）投标文件和处理有关事宜，其法律后果由我方承担。</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委托代理人（签字/签章）：</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日期：年月日</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auto"/>
          <w:highlight w:val="none"/>
        </w:rPr>
      </w:pPr>
      <w:r>
        <w:rPr>
          <w:rFonts w:hint="eastAsia" w:ascii="宋体" w:hAnsi="宋体"/>
          <w:bCs/>
          <w:color w:val="auto"/>
          <w:sz w:val="24"/>
          <w:highlight w:val="none"/>
        </w:rPr>
        <w:t xml:space="preserve">3、供应商为自然人的情形，可不提供本《授权委托书》。</w:t>
      </w:r>
      <w:r>
        <w:rPr>
          <w:rFonts w:hint="eastAsia" w:ascii="宋体" w:hAnsi="宋体"/>
          <w:bCs/>
          <w:color w:val="auto"/>
          <w:sz w:val="24"/>
          <w:highlight w:val="none"/>
        </w:rPr>
        <w:br w:type="page" w:clear="all"/>
      </w:r>
      <w:r/>
    </w:p>
    <w:p>
      <w:pPr>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兹证明，</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姓名：性别：年龄：职务：</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系（投标人名称）的法定代表人（单位负责人）。</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楷体" w:hAnsi="楷体" w:eastAsia="楷体"/>
          <w:color w:val="auto"/>
          <w:sz w:val="24"/>
          <w:szCs w:val="24"/>
          <w:highlight w:val="none"/>
        </w:rPr>
      </w:pPr>
      <w:r>
        <w:rPr>
          <w:rFonts w:hint="eastAsia" w:ascii="宋体" w:hAnsi="宋体"/>
          <w:bCs/>
          <w:color w:val="auto"/>
          <w:sz w:val="24"/>
          <w:highlight w:val="none"/>
        </w:rPr>
        <w:t xml:space="preserve">日期：年月日</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86"/>
        <w:ind w:firstLine="3390"/>
        <w:jc w:val="both"/>
        <w:rPr>
          <w:rFonts w:ascii="黑体" w:hAnsi="黑体" w:eastAsia="黑体" w:cs="Times New Roman"/>
          <w:bCs w:val="0"/>
          <w:i/>
          <w:color w:val="auto"/>
          <w:sz w:val="32"/>
          <w:szCs w:val="32"/>
          <w:highlight w:val="none"/>
        </w:rPr>
      </w:pPr>
      <w:r>
        <w:rPr>
          <w:rFonts w:ascii="宋体" w:hAnsi="宋体"/>
          <w:bCs w:val="0"/>
          <w:color w:val="auto"/>
          <w:sz w:val="24"/>
          <w:highlight w:val="none"/>
        </w:rPr>
        <w:br w:type="page" w:clear="all"/>
      </w:r>
      <w:bookmarkStart w:id="271" w:name="_Toc27332"/>
      <w:r/>
      <w:bookmarkStart w:id="272" w:name="_Toc13921"/>
      <w:r/>
      <w:bookmarkStart w:id="273" w:name="_Toc10385"/>
      <w:r>
        <w:rPr>
          <w:rFonts w:hint="eastAsia" w:ascii="黑体" w:hAnsi="黑体" w:eastAsia="黑体" w:cs="Times New Roman"/>
          <w:b w:val="0"/>
          <w:bCs w:val="0"/>
          <w:iCs/>
          <w:color w:val="auto"/>
          <w:sz w:val="32"/>
          <w:szCs w:val="32"/>
          <w:highlight w:val="none"/>
          <w:u w:val="single"/>
        </w:rPr>
        <w:t xml:space="preserve">八、投标函</w:t>
      </w:r>
      <w:bookmarkEnd w:id="271"/>
      <w:r/>
      <w:bookmarkEnd w:id="272"/>
      <w:r/>
      <w:bookmarkEnd w:id="273"/>
      <w:r/>
      <w:r/>
    </w:p>
    <w:p>
      <w:pPr>
        <w:pStyle w:val="1071"/>
        <w:ind w:firstLine="0"/>
        <w:spacing w:before="0" w:after="0"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连云港市第一人民医院</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招标文件，正式授权下述签字人______(姓名)代表我方______________（投标人的名称），全权处理本次项目投标的有关事宜。</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w:t>
      </w:r>
      <w:r>
        <w:rPr>
          <w:rFonts w:hint="eastAsia" w:ascii="宋体" w:hAnsi="宋体"/>
          <w:color w:val="auto"/>
          <w:szCs w:val="21"/>
          <w:highlight w:val="none"/>
          <w:lang w:eastAsia="zh-CN"/>
        </w:rPr>
        <w:t xml:space="preserve">间内</w:t>
      </w:r>
      <w:r>
        <w:rPr>
          <w:rFonts w:hint="eastAsia" w:ascii="宋体" w:hAnsi="宋体"/>
          <w:color w:val="auto"/>
          <w:szCs w:val="21"/>
          <w:highlight w:val="none"/>
        </w:rPr>
        <w:t xml:space="preserve">完成项目，交付买方验收、使用。</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地          址：</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邮          编：</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电          话：</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传          真：</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投标人开户行：</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账          号： </w:t>
      </w:r>
      <w:r/>
    </w:p>
    <w:p>
      <w:pPr>
        <w:pStyle w:val="1071"/>
        <w:ind w:left="420"/>
        <w:spacing w:before="0" w:after="0" w:line="360" w:lineRule="auto"/>
        <w:rPr>
          <w:rFonts w:ascii="宋体" w:hAnsi="宋体"/>
          <w:color w:val="auto"/>
          <w:szCs w:val="21"/>
          <w:highlight w:val="none"/>
        </w:rPr>
      </w:pPr>
      <w:r>
        <w:rPr>
          <w:rFonts w:ascii="宋体" w:hAnsi="宋体"/>
          <w:color w:val="auto"/>
          <w:szCs w:val="21"/>
          <w:highlight w:val="none"/>
        </w:rPr>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投标人（盖章）：</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九、中小微企业声明函（服务）</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strike w:val="0"/>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w:t>
      </w:r>
      <w:r>
        <w:rPr>
          <w:rFonts w:hint="eastAsia" w:ascii="宋体" w:hAnsi="宋体"/>
          <w:color w:val="auto"/>
          <w:sz w:val="24"/>
          <w:szCs w:val="24"/>
          <w:highlight w:val="none"/>
          <w:u w:val="single"/>
        </w:rPr>
        <w:t xml:space="preserve">型企业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2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备注2：中标供应商的《中小企业声明函》随中标结果公开。</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十一、投标分项报价表</w:t>
      </w:r>
      <w:r/>
    </w:p>
    <w:p>
      <w:pPr>
        <w:pStyle w:val="836"/>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项目名称：      项目编号：      分包号： </w:t>
      </w:r>
      <w:r/>
    </w:p>
    <w:p>
      <w:pPr>
        <w:pStyle w:val="836"/>
        <w:ind w:firstLine="7680"/>
        <w:spacing w:line="360" w:lineRule="auto"/>
        <w:rPr>
          <w:color w:val="auto"/>
          <w:highlight w:val="none"/>
        </w:rPr>
      </w:pPr>
      <w:r>
        <w:rPr>
          <w:rFonts w:hint="eastAsia" w:ascii="宋体" w:hAnsi="宋体" w:cs="宋体"/>
          <w:color w:val="auto"/>
          <w:sz w:val="24"/>
          <w:highlight w:val="none"/>
          <w:lang w:val="zh-TW"/>
        </w:rPr>
        <w:t xml:space="preserve">单位：元</w:t>
      </w:r>
      <w:r/>
    </w:p>
    <w:tbl>
      <w:tblPr>
        <w:tblStyle w:val="783"/>
        <w:tblW w:w="53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8"/>
        <w:gridCol w:w="2762"/>
        <w:gridCol w:w="1126"/>
        <w:gridCol w:w="1402"/>
        <w:gridCol w:w="1500"/>
        <w:gridCol w:w="2175"/>
      </w:tblGrid>
      <w:tr>
        <w:trPr>
          <w:jc w:val="center"/>
          <w:trHeight w:val="649"/>
        </w:trPr>
        <w:tc>
          <w:tcPr>
            <w:tcW w:w="819"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序号</w:t>
            </w:r>
            <w:r/>
          </w:p>
        </w:tc>
        <w:tc>
          <w:tcPr>
            <w:tcW w:w="2762"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服务项目</w:t>
            </w:r>
            <w:r/>
          </w:p>
        </w:tc>
        <w:tc>
          <w:tcPr>
            <w:tcW w:w="1126"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单位</w:t>
            </w:r>
            <w:r/>
          </w:p>
        </w:tc>
        <w:tc>
          <w:tcPr>
            <w:tcW w:w="1402"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数量</w:t>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单价</w:t>
            </w:r>
            <w:r/>
          </w:p>
        </w:tc>
        <w:tc>
          <w:tcPr>
            <w:tcW w:w="2175" w:type="dxa"/>
            <w:vAlign w:val="center"/>
            <w:textDirection w:val="lrTb"/>
            <w:noWrap/>
          </w:tcPr>
          <w:p>
            <w:pPr>
              <w:pStyle w:val="83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88"/>
        </w:trPr>
        <w:tc>
          <w:tcPr>
            <w:gridSpan w:val="5"/>
            <w:tcW w:w="7609" w:type="dxa"/>
            <w:vAlign w:val="center"/>
            <w:textDirection w:val="lrTb"/>
            <w:noWrap/>
          </w:tcPr>
          <w:p>
            <w:pPr>
              <w:pStyle w:val="83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总计（元）</w:t>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bl>
    <w:p>
      <w:pPr>
        <w:ind w:firstLine="480"/>
        <w:jc w:val="left"/>
        <w:spacing w:line="420" w:lineRule="exact"/>
        <w:rPr>
          <w:rFonts w:ascii="宋体" w:hAnsi="宋体"/>
          <w:bCs/>
          <w:color w:val="auto"/>
          <w:sz w:val="24"/>
          <w:highlight w:val="none"/>
        </w:rPr>
      </w:pPr>
      <w:r>
        <w:rPr>
          <w:rFonts w:ascii="宋体" w:hAnsi="宋体"/>
          <w:bCs/>
          <w:color w:val="auto"/>
          <w:sz w:val="24"/>
          <w:highlight w:val="none"/>
        </w:rPr>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20" w:lineRule="exact"/>
        <w:rPr>
          <w:rFonts w:ascii="黑体" w:hAnsi="黑体" w:eastAsia="黑体"/>
          <w:b/>
          <w:color w:val="auto"/>
          <w:sz w:val="32"/>
          <w:szCs w:val="32"/>
          <w:highlight w:val="none"/>
        </w:rPr>
      </w:pPr>
      <w:r>
        <w:rPr>
          <w:rFonts w:hint="eastAsia" w:ascii="宋体" w:hAnsi="宋体"/>
          <w:bCs/>
          <w:color w:val="auto"/>
          <w:sz w:val="24"/>
          <w:highlight w:val="none"/>
        </w:rPr>
        <w:t xml:space="preserve">日期：    年     月     日</w:t>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70"/>
      <w:r/>
      <w:bookmarkStart w:id="274" w:name="_Hlt26955054"/>
      <w:r/>
      <w:bookmarkEnd w:id="274"/>
      <w:r>
        <w:rPr>
          <w:rFonts w:hint="eastAsia" w:ascii="黑体" w:hAnsi="黑体" w:eastAsia="黑体"/>
          <w:iCs/>
          <w:color w:val="auto"/>
          <w:sz w:val="32"/>
          <w:szCs w:val="32"/>
          <w:highlight w:val="none"/>
          <w:u w:val="single"/>
        </w:rPr>
        <w:t xml:space="preserve">十二、商务、技术要求响应及偏离表（分包号：**）</w:t>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请</w:t>
      </w:r>
      <w:r>
        <w:rPr>
          <w:rFonts w:hint="eastAsia" w:ascii="宋体" w:hAnsi="宋体" w:cs="宋体"/>
          <w:b/>
          <w:bCs w:val="0"/>
          <w:color w:val="auto"/>
          <w:sz w:val="24"/>
          <w:szCs w:val="24"/>
          <w:highlight w:val="none"/>
        </w:rPr>
        <w:t xml:space="preserve">逐条</w:t>
      </w:r>
      <w:r>
        <w:rPr>
          <w:rFonts w:hint="eastAsia" w:ascii="宋体" w:hAnsi="宋体" w:cs="宋体"/>
          <w:bCs/>
          <w:color w:val="auto"/>
          <w:sz w:val="24"/>
          <w:szCs w:val="24"/>
          <w:highlight w:val="none"/>
        </w:rPr>
        <w:t xml:space="preserve">对应采购文件“项目需求”等内容要求的商务、技术条件，填写该表</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tcPr>
          <w:p>
            <w:pPr>
              <w:jc w:val="center"/>
              <w:spacing w:line="360" w:lineRule="auto"/>
              <w:rPr>
                <w:rFonts w:ascii="宋体" w:hAnsi="宋体"/>
                <w:color w:val="auto"/>
                <w:sz w:val="24"/>
                <w:szCs w:val="24"/>
                <w:highlight w:val="none"/>
              </w:rPr>
            </w:pPr>
            <w:r/>
            <w:bookmarkStart w:id="275" w:name="_Hlt26671372"/>
            <w:r/>
            <w:bookmarkEnd w:id="275"/>
            <w:r/>
            <w:bookmarkStart w:id="276" w:name="_Hlt26955064"/>
            <w:r/>
            <w:bookmarkEnd w:id="276"/>
            <w:r/>
            <w:bookmarkStart w:id="277" w:name="_Hlt26955056"/>
            <w:r/>
            <w:bookmarkEnd w:id="277"/>
            <w:r/>
            <w:bookmarkStart w:id="278" w:name="_Hlt26671343"/>
            <w:r/>
            <w:bookmarkEnd w:id="278"/>
            <w:r/>
            <w:bookmarkStart w:id="279" w:name="_Hlt24879081"/>
            <w:r/>
            <w:bookmarkEnd w:id="279"/>
            <w:r/>
            <w:bookmarkStart w:id="280" w:name="_Hlt26609391"/>
            <w:r/>
            <w:bookmarkEnd w:id="280"/>
            <w:r/>
            <w:bookmarkStart w:id="281" w:name="_Hlt26782999"/>
            <w:r/>
            <w:bookmarkEnd w:id="281"/>
            <w:r/>
            <w:bookmarkStart w:id="282" w:name="_Hlt26580838"/>
            <w:r/>
            <w:bookmarkEnd w:id="282"/>
            <w:r>
              <w:rPr>
                <w:rFonts w:hint="eastAsia" w:ascii="宋体" w:hAnsi="宋体"/>
                <w:color w:val="auto"/>
                <w:sz w:val="24"/>
                <w:szCs w:val="24"/>
                <w:highlight w:val="none"/>
              </w:rPr>
              <w:t xml:space="preserve">序号</w:t>
            </w:r>
            <w:r/>
          </w:p>
        </w:tc>
        <w:tc>
          <w:tcPr>
            <w:tcW w:w="2419"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360" w:lineRule="auto"/>
        <w:rPr>
          <w:rFonts w:ascii="仿宋_GB2312" w:hAnsi="Arial"/>
          <w:color w:val="auto"/>
          <w:sz w:val="30"/>
          <w:highlight w:val="none"/>
        </w:rPr>
      </w:pPr>
      <w:r>
        <w:rPr>
          <w:rFonts w:hint="eastAsia" w:ascii="宋体" w:hAnsi="宋体"/>
          <w:color w:val="auto"/>
          <w:sz w:val="24"/>
          <w:highlight w:val="none"/>
        </w:rPr>
        <w:t xml:space="preserve">日期：    年     月     日</w:t>
      </w:r>
      <w:bookmarkEnd w:id="246"/>
      <w:r/>
      <w:bookmarkEnd w:id="247"/>
      <w:r/>
      <w:r/>
    </w:p>
    <w:p>
      <w:pPr>
        <w:pStyle w:val="988"/>
        <w:ind w:firstLine="0"/>
        <w:rPr>
          <w:rFonts w:ascii="宋体" w:hAnsi="宋体"/>
          <w:color w:val="auto"/>
          <w:sz w:val="24"/>
          <w:highlight w:val="none"/>
        </w:rPr>
      </w:pPr>
      <w:r/>
      <w:bookmarkStart w:id="283" w:name="_Toc462564146"/>
      <w:r/>
      <w:bookmarkEnd w:id="283"/>
      <w:r/>
      <w:bookmarkStart w:id="284" w:name="_Hlt26609389"/>
      <w:r/>
      <w:bookmarkEnd w:id="284"/>
      <w:r/>
      <w:bookmarkStart w:id="285" w:name="_Hlt26955066"/>
      <w:r/>
      <w:bookmarkEnd w:id="285"/>
      <w:r/>
      <w:bookmarkStart w:id="286" w:name="_Hlt26671374"/>
      <w:r/>
      <w:bookmarkEnd w:id="286"/>
      <w:r/>
      <w:r/>
    </w:p>
    <w:p>
      <w:pPr>
        <w:jc w:val="center"/>
        <w:rPr>
          <w:rFonts w:ascii="黑体" w:hAnsi="黑体" w:eastAsia="黑体"/>
          <w:b/>
          <w:color w:val="auto"/>
          <w:sz w:val="32"/>
          <w:szCs w:val="32"/>
          <w:highlight w:val="none"/>
        </w:rPr>
      </w:pPr>
      <w:r/>
      <w:bookmarkStart w:id="287" w:name="_格式2__法定代表人授权书"/>
      <w:r/>
      <w:bookmarkEnd w:id="287"/>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十三、开标一览表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项目编号：项目编号</w:t>
      </w:r>
      <w:r/>
    </w:p>
    <w:p>
      <w:pPr>
        <w:ind w:firstLine="480"/>
        <w:spacing w:line="360" w:lineRule="auto"/>
        <w:rPr>
          <w:color w:val="auto"/>
          <w:sz w:val="24"/>
          <w:szCs w:val="24"/>
          <w:highlight w:val="none"/>
        </w:rPr>
      </w:pPr>
      <w:r>
        <w:rPr>
          <w:color w:val="auto"/>
          <w:sz w:val="24"/>
          <w:szCs w:val="24"/>
          <w:highlight w:val="none"/>
        </w:rPr>
        <w:t xml:space="preserve">货币单位：人民币元</w:t>
      </w:r>
      <w:r/>
    </w:p>
    <w:tbl>
      <w:tblPr>
        <w:tblStyle w:val="10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057" w:type="dxa"/>
            <w:textDirection w:val="lrTb"/>
            <w:noWrap/>
          </w:tcPr>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总价</w:t>
            </w:r>
            <w:r>
              <w:rPr>
                <w:rFonts w:ascii="宋体" w:hAnsi="宋体" w:cs="宋体"/>
                <w:color w:val="auto"/>
                <w:sz w:val="24"/>
                <w:szCs w:val="24"/>
                <w:highlight w:val="none"/>
              </w:rPr>
              <w:t xml:space="preserve">（小写）</w:t>
            </w:r>
            <w:r/>
          </w:p>
        </w:tc>
      </w:tr>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textDirection w:val="lrTb"/>
            <w:noWrap/>
          </w:tcPr>
          <w:p>
            <w:pPr>
              <w:spacing w:line="360" w:lineRule="auto"/>
              <w:rPr>
                <w:rFonts w:ascii="宋体" w:hAnsi="宋体"/>
                <w:color w:val="auto"/>
                <w:sz w:val="24"/>
                <w:szCs w:val="24"/>
                <w:highlight w:val="none"/>
              </w:rPr>
            </w:pPr>
            <w:r>
              <w:rPr>
                <w:rFonts w:ascii="宋体" w:hAnsi="宋体" w:cs="宋体"/>
                <w:color w:val="auto"/>
                <w:sz w:val="24"/>
                <w:szCs w:val="24"/>
                <w:highlight w:val="none"/>
              </w:rPr>
              <w:t xml:space="preserve">详见投标文件</w:t>
            </w:r>
            <w:r/>
          </w:p>
        </w:tc>
        <w:tc>
          <w:tcPr>
            <w:tcW w:w="3057"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元</w:t>
            </w:r>
            <w:r/>
          </w:p>
        </w:tc>
      </w:tr>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113"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投标人公章：</w:t>
      </w:r>
      <w:r>
        <w:rPr>
          <w:rFonts w:ascii="宋体" w:hAnsi="宋体" w:cs="宋体"/>
          <w:color w:val="auto"/>
          <w:sz w:val="24"/>
          <w:szCs w:val="24"/>
          <w:highlight w:val="none"/>
        </w:rPr>
        <w:t xml:space="preserve">（电子签章）</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r>
        <w:rPr>
          <w:rFonts w:hint="eastAsia" w:ascii="黑体" w:hAnsi="黑体" w:eastAsia="黑体"/>
          <w:iCs/>
          <w:color w:val="auto"/>
          <w:sz w:val="32"/>
          <w:szCs w:val="32"/>
          <w:highlight w:val="none"/>
          <w:u w:val="single"/>
        </w:rPr>
        <w:t xml:space="preserve">十四、财务状况报告及税收、社会保障资金缴纳情况承诺函</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致：</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参加（项目编号：）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3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pStyle w:val="836"/>
        <w:jc w:val="center"/>
        <w:rPr>
          <w:rFonts w:hint="eastAsia" w:ascii="宋体" w:hAnsi="宋体" w:eastAsia="宋体" w:cs="宋体"/>
          <w:iCs/>
          <w:color w:val="auto"/>
          <w:sz w:val="32"/>
          <w:szCs w:val="32"/>
          <w:highlight w:val="none"/>
          <w:u w:val="single"/>
        </w:rPr>
      </w:pPr>
      <w:r>
        <w:rPr>
          <w:rFonts w:hint="eastAsia" w:ascii="宋体" w:hAnsi="宋体" w:cs="仿宋"/>
          <w:b/>
          <w:bCs/>
          <w:color w:val="auto"/>
          <w:sz w:val="32"/>
          <w:szCs w:val="32"/>
          <w:highlight w:val="none"/>
        </w:rPr>
        <w:br w:type="page" w:clear="all"/>
      </w:r>
      <w:bookmarkStart w:id="288" w:name="_Toc29464"/>
      <w:r/>
      <w:bookmarkStart w:id="289" w:name="_Toc31871"/>
      <w:r/>
      <w:bookmarkStart w:id="290" w:name="_Toc25466"/>
      <w:r>
        <w:rPr>
          <w:rFonts w:hint="eastAsia" w:ascii="黑体" w:hAnsi="黑体" w:eastAsia="黑体"/>
          <w:iCs/>
          <w:color w:val="auto"/>
          <w:sz w:val="32"/>
          <w:szCs w:val="32"/>
          <w:highlight w:val="none"/>
          <w:u w:val="single"/>
        </w:rPr>
        <w:t xml:space="preserve">十五、关于符合本国产品标准的声明函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808"/>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814"/>
          <w:rFonts w:hint="eastAsia" w:ascii="宋体" w:hAnsi="宋体" w:eastAsia="宋体" w:cs="宋体"/>
          <w:i w:val="0"/>
          <w:color w:val="auto"/>
          <w:sz w:val="24"/>
          <w:szCs w:val="24"/>
          <w:highlight w:val="none"/>
          <w:u w:val="single"/>
          <w:shd w:val="clear" w:color="auto" w:fill="ffffff"/>
        </w:rPr>
        <w:t xml:space="preserve">（产品名称1）</w:t>
      </w:r>
      <w:r>
        <w:rPr>
          <w:rStyle w:val="81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14"/>
          <w:rFonts w:hint="eastAsia" w:ascii="宋体" w:hAnsi="宋体" w:eastAsia="宋体" w:cs="宋体"/>
          <w:i w:val="0"/>
          <w:color w:val="auto"/>
          <w:sz w:val="24"/>
          <w:szCs w:val="24"/>
          <w:highlight w:val="none"/>
          <w:u w:val="single"/>
          <w:shd w:val="clear" w:color="auto" w:fill="ffffff"/>
        </w:rPr>
        <w:t xml:space="preserve">（厂名）</w:t>
      </w:r>
      <w:r>
        <w:rPr>
          <w:rStyle w:val="81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1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14"/>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4"/>
          <w:rFonts w:hint="eastAsia" w:ascii="宋体" w:hAnsi="宋体" w:eastAsia="宋体" w:cs="宋体"/>
          <w:i w:val="0"/>
          <w:strike/>
          <w:color w:val="auto"/>
          <w:sz w:val="24"/>
          <w:szCs w:val="24"/>
          <w:highlight w:val="none"/>
          <w:u w:val="single"/>
          <w:shd w:val="clear" w:color="auto" w:fill="ffffff"/>
        </w:rPr>
        <w:t xml:space="preserve">（规定比例）</w:t>
      </w:r>
      <w:r>
        <w:rPr>
          <w:rStyle w:val="814"/>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（关键组件）</w:t>
      </w:r>
      <w:r>
        <w:rPr>
          <w:rStyle w:val="81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（关键工序）</w:t>
      </w:r>
      <w:r>
        <w:rPr>
          <w:rStyle w:val="81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81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1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1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4"/>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pStyle w:val="836"/>
        <w:jc w:val="center"/>
        <w:spacing w:line="360" w:lineRule="auto"/>
        <w:rPr>
          <w:rFonts w:ascii="宋体" w:hAnsi="宋体" w:cs="仿宋"/>
          <w:b/>
          <w:bCs/>
          <w:color w:val="auto"/>
          <w:sz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pStyle w:val="986"/>
        <w:spacing w:before="0" w:after="0" w:line="360" w:lineRule="auto"/>
        <w:tabs>
          <w:tab w:val="left" w:pos="1021" w:leader="none"/>
        </w:tabs>
        <w:rPr>
          <w:rFonts w:ascii="宋体" w:hAnsi="宋体"/>
          <w:color w:val="auto"/>
          <w:sz w:val="28"/>
          <w:highlight w:val="none"/>
        </w:rPr>
      </w:pPr>
      <w:r>
        <w:rPr>
          <w:rFonts w:hint="eastAsia" w:ascii="宋体" w:hAnsi="宋体" w:cs="仿宋"/>
          <w:b w:val="0"/>
          <w:bCs w:val="0"/>
          <w:color w:val="auto"/>
          <w:sz w:val="32"/>
          <w:szCs w:val="32"/>
          <w:highlight w:val="none"/>
        </w:rPr>
        <w:br w:type="page" w:clear="all"/>
      </w:r>
      <w:bookmarkStart w:id="291" w:name="_Toc4935"/>
      <w:r>
        <w:rPr>
          <w:rFonts w:hint="eastAsia" w:ascii="黑体" w:hAnsi="黑体" w:eastAsia="黑体" w:cs="Times New Roman"/>
          <w:b w:val="0"/>
          <w:bCs w:val="0"/>
          <w:iCs/>
          <w:color w:val="auto"/>
          <w:sz w:val="32"/>
          <w:szCs w:val="32"/>
          <w:highlight w:val="none"/>
          <w:u w:val="single"/>
        </w:rPr>
        <w:t xml:space="preserve">十六、类似项目业绩一览表</w:t>
      </w:r>
      <w:bookmarkEnd w:id="288"/>
      <w:r/>
      <w:bookmarkEnd w:id="289"/>
      <w:r/>
      <w:bookmarkEnd w:id="290"/>
      <w:r/>
      <w:bookmarkEnd w:id="291"/>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986"/>
        <w:spacing w:before="0" w:after="0" w:line="360" w:lineRule="auto"/>
        <w:rPr>
          <w:rFonts w:hAnsi="宋体"/>
          <w:color w:val="auto"/>
          <w:szCs w:val="21"/>
          <w:highlight w:val="none"/>
        </w:rPr>
        <w:outlineLvl w:val="0"/>
      </w:pPr>
      <w:r>
        <w:rPr>
          <w:rFonts w:hint="eastAsia" w:ascii="宋体" w:hAnsi="宋体" w:cs="仿宋"/>
          <w:b w:val="0"/>
          <w:bCs w:val="0"/>
          <w:color w:val="auto"/>
          <w:sz w:val="32"/>
          <w:szCs w:val="32"/>
          <w:highlight w:val="none"/>
        </w:rPr>
        <w:br w:type="page" w:clear="all"/>
      </w:r>
      <w:bookmarkStart w:id="292" w:name="_Toc25700"/>
      <w:r/>
      <w:bookmarkStart w:id="293" w:name="_Toc9559"/>
      <w:r/>
      <w:bookmarkStart w:id="294" w:name="_Toc16041"/>
      <w:r>
        <w:rPr>
          <w:rFonts w:hint="eastAsia" w:ascii="黑体" w:hAnsi="黑体" w:eastAsia="黑体" w:cs="Times New Roman"/>
          <w:b w:val="0"/>
          <w:bCs w:val="0"/>
          <w:iCs/>
          <w:color w:val="auto"/>
          <w:sz w:val="32"/>
          <w:szCs w:val="32"/>
          <w:highlight w:val="none"/>
          <w:u w:val="single"/>
        </w:rPr>
        <w:t xml:space="preserve">十七、项目团队人员一览表</w:t>
      </w:r>
      <w:bookmarkEnd w:id="292"/>
      <w:r/>
      <w:bookmarkEnd w:id="293"/>
      <w:r/>
      <w:bookmarkEnd w:id="294"/>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83"/>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本项目拟任</w:t>
            </w:r>
            <w:r/>
          </w:p>
          <w:p>
            <w:pPr>
              <w:jc w:val="center"/>
              <w:spacing w:line="360" w:lineRule="auto"/>
              <w:rPr>
                <w:rFonts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技术</w:t>
            </w:r>
            <w:r/>
          </w:p>
          <w:p>
            <w:pPr>
              <w:jc w:val="center"/>
              <w:spacing w:line="360" w:lineRule="auto"/>
              <w:rPr>
                <w:rFonts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bl>
    <w:p>
      <w:pPr>
        <w:spacing w:line="360" w:lineRule="auto"/>
        <w:rPr>
          <w:rFonts w:ascii="宋体" w:hAnsi="宋体"/>
          <w:b/>
          <w:color w:val="auto"/>
          <w:sz w:val="28"/>
          <w:szCs w:val="30"/>
          <w:highlight w:val="none"/>
        </w:rPr>
      </w:pPr>
      <w:r>
        <w:rPr>
          <w:rFonts w:ascii="宋体" w:hAnsi="宋体"/>
          <w:b/>
          <w:color w:val="auto"/>
          <w:sz w:val="28"/>
          <w:szCs w:val="30"/>
          <w:highlight w:val="none"/>
        </w:rPr>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643"/>
        <w:jc w:val="center"/>
        <w:spacing w:line="360"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360" w:lineRule="auto"/>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988"/>
        <w:rPr>
          <w:color w:val="auto"/>
          <w:sz w:val="24"/>
          <w:szCs w:val="24"/>
          <w:highlight w:val="none"/>
        </w:rPr>
      </w:pPr>
      <w:r>
        <w:rPr>
          <w:color w:val="auto"/>
          <w:sz w:val="24"/>
          <w:szCs w:val="24"/>
          <w:highlight w:val="none"/>
        </w:rPr>
      </w:r>
      <w:r/>
    </w:p>
    <w:p>
      <w:pPr>
        <w:pStyle w:val="988"/>
        <w:rPr>
          <w:color w:val="auto"/>
          <w:sz w:val="24"/>
          <w:szCs w:val="24"/>
          <w:highlight w:val="none"/>
        </w:rPr>
      </w:pPr>
      <w:r>
        <w:rPr>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Fonts w:ascii="宋体" w:hAnsi="宋体" w:cs="宋体"/>
      </w:rPr>
      <w:framePr w:wrap="around" w:vAnchor="text" w:hAnchor="margin" w:xAlign="center" w:y="1"/>
    </w:pPr>
    <w:r>
      <w:rPr>
        <w:rFonts w:hint="eastAsia" w:ascii="宋体" w:hAnsi="宋体" w:cs="宋体"/>
      </w:rPr>
      <w:fldChar w:fldCharType="begin"/>
    </w:r>
    <w:r>
      <w:rPr>
        <w:rStyle w:val="1057"/>
        <w:rFonts w:hint="eastAsia" w:ascii="宋体" w:hAnsi="宋体" w:cs="宋体"/>
      </w:rPr>
      <w:instrText xml:space="preserve">PAGE  </w:instrText>
    </w:r>
    <w:r>
      <w:rPr>
        <w:rFonts w:hint="eastAsia" w:ascii="宋体" w:hAnsi="宋体" w:cs="宋体"/>
      </w:rPr>
      <w:fldChar w:fldCharType="separate"/>
    </w:r>
    <w:r>
      <w:rPr>
        <w:rStyle w:val="1057"/>
        <w:rFonts w:hint="eastAsia" w:ascii="宋体" w:hAnsi="宋体" w:cs="宋体"/>
      </w:rPr>
      <w:t xml:space="preserve">３５</w:t>
    </w:r>
    <w:r>
      <w:rPr>
        <w:rFonts w:hint="eastAsia" w:ascii="宋体" w:hAnsi="宋体" w:cs="宋体"/>
      </w:rPr>
      <w:fldChar w:fldCharType="end"/>
    </w:r>
    <w:r/>
  </w:p>
  <w:p>
    <w:pPr>
      <w:pStyle w:val="103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Fonts w:ascii="宋体" w:hAnsi="宋体" w:cs="宋体"/>
      </w:rPr>
      <w:framePr w:wrap="around" w:vAnchor="text" w:hAnchor="margin" w:xAlign="center" w:y="1"/>
    </w:pPr>
    <w:r>
      <w:rPr>
        <w:rFonts w:hint="eastAsia" w:ascii="宋体" w:hAnsi="宋体" w:cs="宋体"/>
      </w:rPr>
      <w:fldChar w:fldCharType="begin"/>
    </w:r>
    <w:r>
      <w:rPr>
        <w:rStyle w:val="1057"/>
        <w:rFonts w:hint="eastAsia" w:ascii="宋体" w:hAnsi="宋体" w:cs="宋体"/>
      </w:rPr>
      <w:instrText xml:space="preserve">PAGE  </w:instrText>
    </w:r>
    <w:r>
      <w:rPr>
        <w:rFonts w:hint="eastAsia" w:ascii="宋体" w:hAnsi="宋体" w:cs="宋体"/>
      </w:rPr>
      <w:fldChar w:fldCharType="separate"/>
    </w:r>
    <w:r>
      <w:rPr>
        <w:rStyle w:val="1057"/>
        <w:rFonts w:ascii="宋体" w:hAnsi="宋体" w:cs="宋体"/>
      </w:rPr>
      <w:t xml:space="preserve">37</w:t>
    </w:r>
    <w:r>
      <w:rPr>
        <w:rFonts w:hint="eastAsia" w:ascii="宋体" w:hAnsi="宋体" w:cs="宋体"/>
      </w:rPr>
      <w:fldChar w:fldCharType="end"/>
    </w:r>
    <w:r/>
  </w:p>
  <w:p>
    <w:pPr>
      <w:pStyle w:val="1031"/>
      <w:jc w:val="center"/>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62"/>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3">
    <w:name w:val="Heading 1"/>
    <w:basedOn w:val="772"/>
    <w:next w:val="772"/>
    <w:link w:val="837"/>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38"/>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39"/>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40"/>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41"/>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4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44"/>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45"/>
    <w:uiPriority w:val="9"/>
    <w:unhideWhenUsed/>
    <w:qFormat/>
    <w:pPr>
      <w:keepLines/>
      <w:keepNext/>
      <w:spacing w:before="320" w:after="200"/>
      <w:outlineLvl w:val="8"/>
    </w:pPr>
    <w:rPr>
      <w:rFonts w:ascii="Arial" w:hAnsi="Arial" w:eastAsia="Arial" w:cs="Arial"/>
      <w:i/>
      <w:iCs/>
    </w:rPr>
  </w:style>
  <w:style w:type="character" w:styleId="782" w:default="1">
    <w:name w:val="Default Paragraph Font"/>
    <w:uiPriority w:val="1"/>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table of authorities"/>
    <w:basedOn w:val="772"/>
    <w:next w:val="772"/>
    <w:uiPriority w:val="0"/>
    <w:qFormat/>
    <w:pPr>
      <w:ind w:left="420"/>
    </w:p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annotation text"/>
    <w:basedOn w:val="772"/>
    <w:uiPriority w:val="0"/>
    <w:semiHidden/>
    <w:qFormat/>
    <w:pPr>
      <w:jc w:val="left"/>
    </w:pPr>
    <w:rPr>
      <w:szCs w:val="20"/>
    </w:rPr>
  </w:style>
  <w:style w:type="paragraph" w:styleId="788">
    <w:name w:val="Body Text"/>
    <w:basedOn w:val="772"/>
    <w:uiPriority w:val="1"/>
    <w:unhideWhenUsed/>
    <w:qFormat/>
    <w:pPr>
      <w:ind w:left="400"/>
      <w:jc w:val="left"/>
    </w:pPr>
    <w:rPr>
      <w:rFonts w:hint="eastAsia" w:ascii="楷体" w:hAnsi="楷体" w:eastAsia="楷体" w:cs="楷体"/>
      <w:sz w:val="24"/>
      <w:szCs w:val="24"/>
      <w:lang w:val="zh-CN"/>
    </w:rPr>
  </w:style>
  <w:style w:type="paragraph" w:styleId="789">
    <w:name w:val="Body Text Indent"/>
    <w:basedOn w:val="772"/>
    <w:next w:val="790"/>
    <w:uiPriority w:val="0"/>
    <w:qFormat/>
    <w:pPr>
      <w:ind w:firstLine="600"/>
    </w:pPr>
    <w:rPr>
      <w:rFonts w:eastAsia="仿宋_GB2312"/>
      <w:sz w:val="30"/>
      <w:szCs w:val="30"/>
    </w:rPr>
  </w:style>
  <w:style w:type="paragraph" w:styleId="790" w:customStyle="1">
    <w:name w:val="样式 正文文本缩进 + 左  0 字符"/>
    <w:basedOn w:val="772"/>
    <w:uiPriority w:val="0"/>
    <w:qFormat/>
    <w:pPr>
      <w:ind w:firstLine="250"/>
    </w:pPr>
    <w:rPr>
      <w:rFonts w:cs="宋体"/>
      <w:szCs w:val="20"/>
    </w:rPr>
  </w:style>
  <w:style w:type="paragraph" w:styleId="791">
    <w:name w:val="toc 5"/>
    <w:basedOn w:val="772"/>
    <w:next w:val="772"/>
    <w:uiPriority w:val="39"/>
    <w:unhideWhenUsed/>
    <w:qFormat/>
    <w:pPr>
      <w:ind w:left="1134"/>
      <w:spacing w:after="57"/>
    </w:pPr>
  </w:style>
  <w:style w:type="paragraph" w:styleId="792">
    <w:name w:val="toc 3"/>
    <w:basedOn w:val="772"/>
    <w:next w:val="772"/>
    <w:uiPriority w:val="39"/>
    <w:unhideWhenUsed/>
    <w:qFormat/>
    <w:pPr>
      <w:ind w:left="567"/>
      <w:spacing w:after="57"/>
    </w:pPr>
  </w:style>
  <w:style w:type="paragraph" w:styleId="793">
    <w:name w:val="Plain Text"/>
    <w:basedOn w:val="772"/>
    <w:uiPriority w:val="99"/>
    <w:qFormat/>
    <w:pPr>
      <w:spacing w:line="400" w:lineRule="exact"/>
    </w:pPr>
    <w:rPr>
      <w:rFonts w:ascii="宋体" w:hAnsi="Courier New"/>
      <w:sz w:val="24"/>
      <w:szCs w:val="20"/>
    </w:rPr>
  </w:style>
  <w:style w:type="paragraph" w:styleId="794">
    <w:name w:val="toc 8"/>
    <w:basedOn w:val="772"/>
    <w:next w:val="772"/>
    <w:uiPriority w:val="39"/>
    <w:unhideWhenUsed/>
    <w:qFormat/>
    <w:pPr>
      <w:ind w:left="1984"/>
      <w:spacing w:after="57"/>
    </w:pPr>
  </w:style>
  <w:style w:type="paragraph" w:styleId="795">
    <w:name w:val="endnote text"/>
    <w:basedOn w:val="772"/>
    <w:link w:val="983"/>
    <w:uiPriority w:val="99"/>
    <w:semiHidden/>
    <w:unhideWhenUsed/>
    <w:qFormat/>
    <w:rPr>
      <w:sz w:val="20"/>
    </w:rPr>
  </w:style>
  <w:style w:type="paragraph" w:styleId="796">
    <w:name w:val="Balloon Text"/>
    <w:basedOn w:val="772"/>
    <w:link w:val="1107"/>
    <w:uiPriority w:val="99"/>
    <w:semiHidden/>
    <w:unhideWhenUsed/>
    <w:qFormat/>
    <w:rPr>
      <w:sz w:val="18"/>
      <w:szCs w:val="18"/>
    </w:rPr>
  </w:style>
  <w:style w:type="paragraph" w:styleId="797">
    <w:name w:val="Footer"/>
    <w:basedOn w:val="772"/>
    <w:link w:val="856"/>
    <w:uiPriority w:val="99"/>
    <w:unhideWhenUsed/>
    <w:qFormat/>
    <w:pPr>
      <w:tabs>
        <w:tab w:val="center" w:pos="7143" w:leader="none"/>
        <w:tab w:val="right" w:pos="14287" w:leader="none"/>
      </w:tabs>
    </w:pPr>
  </w:style>
  <w:style w:type="paragraph" w:styleId="798">
    <w:name w:val="Header"/>
    <w:basedOn w:val="772"/>
    <w:link w:val="854"/>
    <w:uiPriority w:val="99"/>
    <w:unhideWhenUsed/>
    <w:qFormat/>
    <w:pPr>
      <w:tabs>
        <w:tab w:val="center" w:pos="7143" w:leader="none"/>
        <w:tab w:val="right" w:pos="14287" w:leader="none"/>
      </w:tabs>
    </w:pPr>
  </w:style>
  <w:style w:type="paragraph" w:styleId="799">
    <w:name w:val="toc 1"/>
    <w:basedOn w:val="772"/>
    <w:next w:val="772"/>
    <w:uiPriority w:val="39"/>
    <w:unhideWhenUsed/>
    <w:qFormat/>
    <w:pPr>
      <w:spacing w:after="57"/>
    </w:pPr>
  </w:style>
  <w:style w:type="paragraph" w:styleId="800">
    <w:name w:val="toc 4"/>
    <w:basedOn w:val="772"/>
    <w:next w:val="772"/>
    <w:uiPriority w:val="39"/>
    <w:unhideWhenUsed/>
    <w:qFormat/>
    <w:pPr>
      <w:ind w:left="850"/>
      <w:spacing w:after="57"/>
    </w:pPr>
  </w:style>
  <w:style w:type="paragraph" w:styleId="801">
    <w:name w:val="Subtitle"/>
    <w:basedOn w:val="772"/>
    <w:next w:val="772"/>
    <w:link w:val="849"/>
    <w:uiPriority w:val="11"/>
    <w:qFormat/>
    <w:pPr>
      <w:spacing w:before="200" w:after="200"/>
    </w:pPr>
    <w:rPr>
      <w:sz w:val="24"/>
      <w:szCs w:val="24"/>
    </w:rPr>
  </w:style>
  <w:style w:type="paragraph" w:styleId="802">
    <w:name w:val="footnote text"/>
    <w:basedOn w:val="772"/>
    <w:link w:val="982"/>
    <w:uiPriority w:val="99"/>
    <w:semiHidden/>
    <w:unhideWhenUsed/>
    <w:qFormat/>
    <w:pPr>
      <w:spacing w:after="40"/>
    </w:pPr>
    <w:rPr>
      <w:sz w:val="18"/>
    </w:rPr>
  </w:style>
  <w:style w:type="paragraph" w:styleId="803">
    <w:name w:val="toc 6"/>
    <w:basedOn w:val="772"/>
    <w:next w:val="772"/>
    <w:uiPriority w:val="39"/>
    <w:unhideWhenUsed/>
    <w:qFormat/>
    <w:pPr>
      <w:ind w:left="1417"/>
      <w:spacing w:after="57"/>
    </w:p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Body Text 2"/>
    <w:basedOn w:val="772"/>
    <w:uiPriority w:val="0"/>
    <w:qFormat/>
    <w:pPr>
      <w:jc w:val="center"/>
    </w:pPr>
  </w:style>
  <w:style w:type="paragraph" w:styleId="808">
    <w:name w:val="Normal (Web)"/>
    <w:basedOn w:val="77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09">
    <w:name w:val="Title"/>
    <w:basedOn w:val="772"/>
    <w:next w:val="772"/>
    <w:link w:val="848"/>
    <w:uiPriority w:val="10"/>
    <w:qFormat/>
    <w:pPr>
      <w:contextualSpacing/>
      <w:spacing w:before="300" w:after="200"/>
    </w:pPr>
    <w:rPr>
      <w:sz w:val="48"/>
      <w:szCs w:val="48"/>
    </w:rPr>
  </w:style>
  <w:style w:type="paragraph" w:styleId="810">
    <w:name w:val="Body Text First Indent"/>
    <w:basedOn w:val="788"/>
    <w:next w:val="811"/>
    <w:uiPriority w:val="0"/>
    <w:qFormat/>
    <w:pPr>
      <w:ind w:firstLine="420"/>
      <w:spacing w:after="120"/>
    </w:pPr>
    <w:rPr>
      <w:rFonts w:eastAsia="宋体"/>
      <w:sz w:val="21"/>
    </w:rPr>
  </w:style>
  <w:style w:type="paragraph" w:styleId="811">
    <w:name w:val="Body Text First Indent 2"/>
    <w:basedOn w:val="789"/>
    <w:next w:val="772"/>
    <w:uiPriority w:val="0"/>
    <w:qFormat/>
    <w:pPr>
      <w:ind w:left="420" w:firstLine="420"/>
      <w:spacing w:after="120"/>
      <w:tabs>
        <w:tab w:val="left" w:pos="675" w:leader="none"/>
      </w:tabs>
    </w:pPr>
    <w:rPr>
      <w:sz w:val="21"/>
      <w:szCs w:val="24"/>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Emphasis"/>
    <w:uiPriority w:val="0"/>
    <w:qFormat/>
    <w:rPr>
      <w:i/>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annotation reference"/>
    <w:uiPriority w:val="0"/>
    <w:qFormat/>
    <w:rPr>
      <w:sz w:val="21"/>
      <w:szCs w:val="21"/>
    </w:rPr>
  </w:style>
  <w:style w:type="character" w:styleId="817">
    <w:name w:val="footnote reference"/>
    <w:uiPriority w:val="99"/>
    <w:unhideWhenUsed/>
    <w:qFormat/>
    <w:rPr>
      <w:vertAlign w:val="superscript"/>
    </w:rPr>
  </w:style>
  <w:style w:type="character" w:styleId="818" w:customStyle="1">
    <w:name w:val="Heading 1 Char"/>
    <w:basedOn w:val="782"/>
    <w:uiPriority w:val="9"/>
    <w:qFormat/>
    <w:rPr>
      <w:rFonts w:ascii="Arial" w:hAnsi="Arial" w:eastAsia="Arial" w:cs="Arial"/>
      <w:sz w:val="40"/>
      <w:szCs w:val="40"/>
    </w:rPr>
  </w:style>
  <w:style w:type="character" w:styleId="819" w:customStyle="1">
    <w:name w:val="Heading 2 Char"/>
    <w:basedOn w:val="782"/>
    <w:uiPriority w:val="9"/>
    <w:qFormat/>
    <w:rPr>
      <w:rFonts w:ascii="Arial" w:hAnsi="Arial" w:eastAsia="Arial" w:cs="Arial"/>
      <w:sz w:val="34"/>
    </w:rPr>
  </w:style>
  <w:style w:type="character" w:styleId="820" w:customStyle="1">
    <w:name w:val="Heading 3 Char"/>
    <w:basedOn w:val="782"/>
    <w:uiPriority w:val="9"/>
    <w:qFormat/>
    <w:rPr>
      <w:rFonts w:ascii="Arial" w:hAnsi="Arial" w:eastAsia="Arial" w:cs="Arial"/>
      <w:sz w:val="30"/>
      <w:szCs w:val="30"/>
    </w:rPr>
  </w:style>
  <w:style w:type="character" w:styleId="821" w:customStyle="1">
    <w:name w:val="Heading 4 Char"/>
    <w:basedOn w:val="782"/>
    <w:uiPriority w:val="9"/>
    <w:qFormat/>
    <w:rPr>
      <w:rFonts w:ascii="Arial" w:hAnsi="Arial" w:eastAsia="Arial" w:cs="Arial"/>
      <w:b/>
      <w:bCs/>
      <w:sz w:val="26"/>
      <w:szCs w:val="26"/>
    </w:rPr>
  </w:style>
  <w:style w:type="character" w:styleId="822" w:customStyle="1">
    <w:name w:val="Heading 5 Char"/>
    <w:basedOn w:val="782"/>
    <w:uiPriority w:val="9"/>
    <w:qFormat/>
    <w:rPr>
      <w:rFonts w:ascii="Arial" w:hAnsi="Arial" w:eastAsia="Arial" w:cs="Arial"/>
      <w:b/>
      <w:bCs/>
      <w:sz w:val="24"/>
      <w:szCs w:val="24"/>
    </w:rPr>
  </w:style>
  <w:style w:type="character" w:styleId="823" w:customStyle="1">
    <w:name w:val="Heading 6 Char"/>
    <w:basedOn w:val="782"/>
    <w:uiPriority w:val="9"/>
    <w:qFormat/>
    <w:rPr>
      <w:rFonts w:ascii="Arial" w:hAnsi="Arial" w:eastAsia="Arial" w:cs="Arial"/>
      <w:b/>
      <w:bCs/>
      <w:sz w:val="22"/>
      <w:szCs w:val="22"/>
    </w:rPr>
  </w:style>
  <w:style w:type="character" w:styleId="824" w:customStyle="1">
    <w:name w:val="Heading 7 Char"/>
    <w:basedOn w:val="782"/>
    <w:uiPriority w:val="9"/>
    <w:qFormat/>
    <w:rPr>
      <w:rFonts w:ascii="Arial" w:hAnsi="Arial" w:eastAsia="Arial" w:cs="Arial"/>
      <w:b/>
      <w:bCs/>
      <w:i/>
      <w:iCs/>
      <w:sz w:val="22"/>
      <w:szCs w:val="22"/>
    </w:rPr>
  </w:style>
  <w:style w:type="character" w:styleId="825" w:customStyle="1">
    <w:name w:val="Heading 8 Char"/>
    <w:basedOn w:val="782"/>
    <w:uiPriority w:val="9"/>
    <w:qFormat/>
    <w:rPr>
      <w:rFonts w:ascii="Arial" w:hAnsi="Arial" w:eastAsia="Arial" w:cs="Arial"/>
      <w:i/>
      <w:iCs/>
      <w:sz w:val="22"/>
      <w:szCs w:val="22"/>
    </w:rPr>
  </w:style>
  <w:style w:type="character" w:styleId="826" w:customStyle="1">
    <w:name w:val="Heading 9 Char"/>
    <w:basedOn w:val="782"/>
    <w:uiPriority w:val="9"/>
    <w:qFormat/>
    <w:rPr>
      <w:rFonts w:ascii="Arial" w:hAnsi="Arial" w:eastAsia="Arial" w:cs="Arial"/>
      <w:i/>
      <w:iCs/>
      <w:sz w:val="21"/>
      <w:szCs w:val="21"/>
    </w:rPr>
  </w:style>
  <w:style w:type="character" w:styleId="827" w:customStyle="1">
    <w:name w:val="Title Char"/>
    <w:basedOn w:val="782"/>
    <w:uiPriority w:val="10"/>
    <w:qFormat/>
    <w:rPr>
      <w:sz w:val="48"/>
      <w:szCs w:val="48"/>
    </w:rPr>
  </w:style>
  <w:style w:type="character" w:styleId="828" w:customStyle="1">
    <w:name w:val="Subtitle Char"/>
    <w:basedOn w:val="782"/>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82"/>
    <w:uiPriority w:val="99"/>
    <w:qFormat/>
  </w:style>
  <w:style w:type="character" w:styleId="832" w:customStyle="1">
    <w:name w:val="Caption Char"/>
    <w:uiPriority w:val="99"/>
    <w:qFormat/>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37" w:customStyle="1">
    <w:name w:val="标题 1 Char1"/>
    <w:link w:val="773"/>
    <w:uiPriority w:val="9"/>
    <w:qFormat/>
    <w:rPr>
      <w:rFonts w:ascii="Arial" w:hAnsi="Arial" w:eastAsia="Arial" w:cs="Arial"/>
      <w:sz w:val="40"/>
      <w:szCs w:val="40"/>
    </w:rPr>
  </w:style>
  <w:style w:type="character" w:styleId="838" w:customStyle="1">
    <w:name w:val="标题 2 Char1"/>
    <w:link w:val="774"/>
    <w:uiPriority w:val="9"/>
    <w:qFormat/>
    <w:rPr>
      <w:rFonts w:ascii="Arial" w:hAnsi="Arial" w:eastAsia="Arial" w:cs="Arial"/>
      <w:sz w:val="34"/>
    </w:rPr>
  </w:style>
  <w:style w:type="character" w:styleId="839" w:customStyle="1">
    <w:name w:val="标题 3 Char1"/>
    <w:link w:val="775"/>
    <w:uiPriority w:val="9"/>
    <w:qFormat/>
    <w:rPr>
      <w:rFonts w:ascii="Arial" w:hAnsi="Arial" w:eastAsia="Arial" w:cs="Arial"/>
      <w:sz w:val="30"/>
      <w:szCs w:val="30"/>
    </w:rPr>
  </w:style>
  <w:style w:type="character" w:styleId="840" w:customStyle="1">
    <w:name w:val="标题 4 Char1"/>
    <w:link w:val="776"/>
    <w:uiPriority w:val="9"/>
    <w:qFormat/>
    <w:rPr>
      <w:rFonts w:ascii="Arial" w:hAnsi="Arial" w:eastAsia="Arial" w:cs="Arial"/>
      <w:b/>
      <w:bCs/>
      <w:sz w:val="26"/>
      <w:szCs w:val="26"/>
    </w:rPr>
  </w:style>
  <w:style w:type="character" w:styleId="841" w:customStyle="1">
    <w:name w:val="标题 5 Char1"/>
    <w:link w:val="777"/>
    <w:uiPriority w:val="9"/>
    <w:qFormat/>
    <w:rPr>
      <w:rFonts w:ascii="Arial" w:hAnsi="Arial" w:eastAsia="Arial" w:cs="Arial"/>
      <w:b/>
      <w:bCs/>
      <w:sz w:val="24"/>
      <w:szCs w:val="24"/>
    </w:rPr>
  </w:style>
  <w:style w:type="character" w:styleId="842" w:customStyle="1">
    <w:name w:val="标题 6 Char1"/>
    <w:link w:val="778"/>
    <w:uiPriority w:val="9"/>
    <w:qFormat/>
    <w:rPr>
      <w:rFonts w:ascii="Arial" w:hAnsi="Arial" w:eastAsia="Arial" w:cs="Arial"/>
      <w:b/>
      <w:bCs/>
      <w:sz w:val="22"/>
      <w:szCs w:val="22"/>
    </w:rPr>
  </w:style>
  <w:style w:type="character" w:styleId="843" w:customStyle="1">
    <w:name w:val="标题 7 Char1"/>
    <w:link w:val="779"/>
    <w:uiPriority w:val="9"/>
    <w:qFormat/>
    <w:rPr>
      <w:rFonts w:ascii="Arial" w:hAnsi="Arial" w:eastAsia="Arial" w:cs="Arial"/>
      <w:b/>
      <w:bCs/>
      <w:i/>
      <w:iCs/>
      <w:sz w:val="22"/>
      <w:szCs w:val="22"/>
    </w:rPr>
  </w:style>
  <w:style w:type="character" w:styleId="844" w:customStyle="1">
    <w:name w:val="标题 8 Char1"/>
    <w:link w:val="780"/>
    <w:uiPriority w:val="9"/>
    <w:qFormat/>
    <w:rPr>
      <w:rFonts w:ascii="Arial" w:hAnsi="Arial" w:eastAsia="Arial" w:cs="Arial"/>
      <w:i/>
      <w:iCs/>
      <w:sz w:val="22"/>
      <w:szCs w:val="22"/>
    </w:rPr>
  </w:style>
  <w:style w:type="character" w:styleId="845" w:customStyle="1">
    <w:name w:val="标题 9 Char1"/>
    <w:link w:val="781"/>
    <w:uiPriority w:val="9"/>
    <w:qFormat/>
    <w:rPr>
      <w:rFonts w:ascii="Arial" w:hAnsi="Arial" w:eastAsia="Arial" w:cs="Arial"/>
      <w:i/>
      <w:iCs/>
      <w:sz w:val="21"/>
      <w:szCs w:val="21"/>
    </w:rPr>
  </w:style>
  <w:style w:type="paragraph" w:styleId="846">
    <w:name w:val="List Paragraph"/>
    <w:basedOn w:val="772"/>
    <w:uiPriority w:val="34"/>
    <w:qFormat/>
    <w:pPr>
      <w:contextualSpacing/>
      <w:ind w:left="720"/>
    </w:pPr>
  </w:style>
  <w:style w:type="paragraph" w:styleId="847">
    <w:name w:val="No Spacing"/>
    <w:uiPriority w:val="1"/>
    <w:qFormat/>
    <w:rPr>
      <w:rFonts w:hint="default" w:ascii="Times New Roman" w:hAnsi="Times New Roman" w:eastAsia="宋体" w:cs="Times New Roman"/>
      <w:lang w:val="en-US" w:eastAsia="zh-CN" w:bidi="ar-SA"/>
    </w:rPr>
  </w:style>
  <w:style w:type="character" w:styleId="848" w:customStyle="1">
    <w:name w:val="标题 Char"/>
    <w:link w:val="809"/>
    <w:uiPriority w:val="10"/>
    <w:qFormat/>
    <w:rPr>
      <w:sz w:val="48"/>
      <w:szCs w:val="48"/>
    </w:rPr>
  </w:style>
  <w:style w:type="character" w:styleId="849" w:customStyle="1">
    <w:name w:val="副标题 Char"/>
    <w:link w:val="801"/>
    <w:uiPriority w:val="11"/>
    <w:qFormat/>
    <w:rPr>
      <w:sz w:val="24"/>
      <w:szCs w:val="24"/>
    </w:rPr>
  </w:style>
  <w:style w:type="paragraph" w:styleId="850">
    <w:name w:val="Quote"/>
    <w:basedOn w:val="772"/>
    <w:next w:val="772"/>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72"/>
    <w:next w:val="772"/>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1"/>
    <w:link w:val="798"/>
    <w:uiPriority w:val="99"/>
    <w:qFormat/>
  </w:style>
  <w:style w:type="character" w:styleId="855" w:customStyle="1">
    <w:name w:val="Footer Char"/>
    <w:link w:val="797"/>
    <w:uiPriority w:val="99"/>
    <w:qFormat/>
  </w:style>
  <w:style w:type="character" w:styleId="856" w:customStyle="1">
    <w:name w:val="页脚 Char1"/>
    <w:link w:val="797"/>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802"/>
    <w:uiPriority w:val="99"/>
    <w:qFormat/>
    <w:rPr>
      <w:sz w:val="18"/>
    </w:rPr>
  </w:style>
  <w:style w:type="character" w:styleId="983" w:customStyle="1">
    <w:name w:val="尾注文本 Char"/>
    <w:link w:val="795"/>
    <w:uiPriority w:val="99"/>
    <w:qFormat/>
    <w:rPr>
      <w:sz w:val="20"/>
    </w:r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
    <w:basedOn w:val="772"/>
    <w:next w:val="772"/>
    <w:link w:val="997"/>
    <w:uiPriority w:val="0"/>
    <w:qFormat/>
    <w:pPr>
      <w:jc w:val="center"/>
      <w:keepNext/>
      <w:outlineLvl w:val="0"/>
    </w:pPr>
    <w:rPr>
      <w:rFonts w:ascii="楷体_GB2312" w:eastAsia="楷体_GB2312"/>
      <w:sz w:val="28"/>
      <w:szCs w:val="28"/>
    </w:rPr>
  </w:style>
  <w:style w:type="paragraph" w:styleId="986" w:customStyle="1">
    <w:name w:val="标题 21"/>
    <w:basedOn w:val="772"/>
    <w:next w:val="772"/>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标题 311"/>
    <w:basedOn w:val="772"/>
    <w:next w:val="988"/>
    <w:link w:val="999"/>
    <w:uiPriority w:val="0"/>
    <w:qFormat/>
    <w:pPr>
      <w:keepLines/>
      <w:keepNext/>
      <w:spacing w:before="260" w:after="260" w:line="416" w:lineRule="auto"/>
      <w:outlineLvl w:val="2"/>
    </w:pPr>
    <w:rPr>
      <w:b/>
      <w:bCs/>
      <w:sz w:val="32"/>
      <w:szCs w:val="32"/>
    </w:rPr>
  </w:style>
  <w:style w:type="paragraph" w:styleId="988" w:customStyle="1">
    <w:name w:val="正文缩进1"/>
    <w:basedOn w:val="772"/>
    <w:link w:val="1000"/>
    <w:uiPriority w:val="0"/>
    <w:qFormat/>
    <w:pPr>
      <w:ind w:firstLine="420"/>
    </w:pPr>
  </w:style>
  <w:style w:type="paragraph" w:styleId="989" w:customStyle="1">
    <w:name w:val="标题 41"/>
    <w:basedOn w:val="772"/>
    <w:next w:val="988"/>
    <w:link w:val="1001"/>
    <w:uiPriority w:val="0"/>
    <w:qFormat/>
    <w:pPr>
      <w:keepLines/>
      <w:keepNext/>
      <w:spacing w:before="280" w:after="290" w:line="376" w:lineRule="auto"/>
      <w:outlineLvl w:val="3"/>
    </w:pPr>
    <w:rPr>
      <w:rFonts w:ascii="Arial" w:hAnsi="Arial" w:eastAsia="黑体" w:cs="Arial"/>
      <w:b/>
      <w:bCs/>
      <w:sz w:val="28"/>
      <w:szCs w:val="28"/>
    </w:rPr>
  </w:style>
  <w:style w:type="paragraph" w:styleId="990" w:customStyle="1">
    <w:name w:val="标题 51"/>
    <w:basedOn w:val="772"/>
    <w:next w:val="988"/>
    <w:link w:val="1002"/>
    <w:uiPriority w:val="0"/>
    <w:qFormat/>
    <w:pPr>
      <w:keepNext/>
      <w:outlineLvl w:val="4"/>
    </w:pPr>
    <w:rPr>
      <w:rFonts w:ascii="宋体"/>
      <w:color w:val="000000"/>
      <w:sz w:val="28"/>
      <w:szCs w:val="28"/>
    </w:rPr>
  </w:style>
  <w:style w:type="paragraph" w:styleId="991" w:customStyle="1">
    <w:name w:val="标题 61"/>
    <w:basedOn w:val="772"/>
    <w:next w:val="772"/>
    <w:link w:val="10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customStyle="1">
    <w:name w:val="标题 71"/>
    <w:basedOn w:val="772"/>
    <w:next w:val="772"/>
    <w:link w:val="1004"/>
    <w:uiPriority w:val="0"/>
    <w:qFormat/>
    <w:pPr>
      <w:numPr>
        <w:ilvl w:val="6"/>
        <w:numId w:val="1"/>
      </w:numPr>
      <w:keepLines/>
      <w:keepNext/>
      <w:spacing w:before="240" w:after="64" w:line="320" w:lineRule="auto"/>
      <w:outlineLvl w:val="6"/>
    </w:pPr>
    <w:rPr>
      <w:b/>
      <w:bCs/>
      <w:sz w:val="24"/>
      <w:szCs w:val="24"/>
    </w:rPr>
  </w:style>
  <w:style w:type="paragraph" w:styleId="993" w:customStyle="1">
    <w:name w:val="标题 81"/>
    <w:basedOn w:val="772"/>
    <w:next w:val="772"/>
    <w:link w:val="10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4" w:customStyle="1">
    <w:name w:val="标题 91"/>
    <w:basedOn w:val="772"/>
    <w:next w:val="772"/>
    <w:link w:val="1006"/>
    <w:uiPriority w:val="0"/>
    <w:qFormat/>
    <w:pPr>
      <w:numPr>
        <w:ilvl w:val="8"/>
        <w:numId w:val="1"/>
      </w:numPr>
      <w:keepLines/>
      <w:keepNext/>
      <w:spacing w:before="240" w:after="64" w:line="320" w:lineRule="auto"/>
      <w:outlineLvl w:val="8"/>
    </w:pPr>
    <w:rPr>
      <w:rFonts w:ascii="Arial" w:hAnsi="Arial" w:eastAsia="黑体"/>
    </w:rPr>
  </w:style>
  <w:style w:type="character" w:styleId="995" w:customStyle="1">
    <w:name w:val="默认段落字体1"/>
    <w:uiPriority w:val="1"/>
    <w:unhideWhenUsed/>
    <w:qFormat/>
  </w:style>
  <w:style w:type="table" w:styleId="996" w:customStyle="1">
    <w:name w:val="普通表格1"/>
    <w:uiPriority w:val="99"/>
    <w:unhideWhenUsed/>
    <w:qFormat/>
    <w:tblPr>
      <w:tblCellMar>
        <w:left w:w="0" w:type="dxa"/>
        <w:top w:w="0" w:type="dxa"/>
        <w:right w:w="0" w:type="dxa"/>
        <w:bottom w:w="0" w:type="dxa"/>
      </w:tblCellMar>
    </w:tblPr>
  </w:style>
  <w:style w:type="character" w:styleId="997" w:customStyle="1">
    <w:name w:val="标题 1 Char"/>
    <w:link w:val="985"/>
    <w:uiPriority w:val="0"/>
    <w:qFormat/>
    <w:rPr>
      <w:rFonts w:ascii="楷体_GB2312" w:hAnsi="Times New Roman" w:eastAsia="楷体_GB2312" w:cs="Times New Roman"/>
      <w:sz w:val="28"/>
      <w:szCs w:val="28"/>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标题 3 Char"/>
    <w:link w:val="987"/>
    <w:uiPriority w:val="0"/>
    <w:qFormat/>
    <w:rPr>
      <w:rFonts w:ascii="Times New Roman" w:hAnsi="Times New Roman" w:eastAsia="宋体" w:cs="Times New Roman"/>
      <w:b/>
      <w:bCs/>
      <w:sz w:val="32"/>
      <w:szCs w:val="32"/>
    </w:rPr>
  </w:style>
  <w:style w:type="character" w:styleId="1000" w:customStyle="1">
    <w:name w:val="正文缩进 Char"/>
    <w:link w:val="988"/>
    <w:uiPriority w:val="0"/>
    <w:qFormat/>
    <w:rPr>
      <w:rFonts w:ascii="Times New Roman" w:hAnsi="Times New Roman" w:eastAsia="宋体" w:cs="Times New Roman"/>
      <w:szCs w:val="21"/>
    </w:rPr>
  </w:style>
  <w:style w:type="character" w:styleId="1001" w:customStyle="1">
    <w:name w:val="标题 4 Char"/>
    <w:link w:val="989"/>
    <w:uiPriority w:val="0"/>
    <w:qFormat/>
    <w:rPr>
      <w:rFonts w:ascii="Arial" w:hAnsi="Arial" w:eastAsia="黑体" w:cs="Arial"/>
      <w:b/>
      <w:bCs/>
      <w:sz w:val="28"/>
      <w:szCs w:val="28"/>
    </w:rPr>
  </w:style>
  <w:style w:type="character" w:styleId="1002" w:customStyle="1">
    <w:name w:val="标题 5 Char"/>
    <w:link w:val="990"/>
    <w:uiPriority w:val="0"/>
    <w:qFormat/>
    <w:rPr>
      <w:rFonts w:ascii="宋体" w:hAnsi="Times New Roman" w:eastAsia="宋体" w:cs="Times New Roman"/>
      <w:color w:val="000000"/>
      <w:sz w:val="28"/>
      <w:szCs w:val="28"/>
    </w:rPr>
  </w:style>
  <w:style w:type="character" w:styleId="1003" w:customStyle="1">
    <w:name w:val="标题 6 Char"/>
    <w:link w:val="991"/>
    <w:uiPriority w:val="0"/>
    <w:qFormat/>
    <w:rPr>
      <w:rFonts w:ascii="Arial" w:hAnsi="Arial" w:eastAsia="黑体" w:cs="Times New Roman"/>
      <w:b/>
      <w:bCs/>
      <w:sz w:val="24"/>
      <w:szCs w:val="24"/>
    </w:rPr>
  </w:style>
  <w:style w:type="character" w:styleId="1004" w:customStyle="1">
    <w:name w:val="标题 7 Char"/>
    <w:link w:val="992"/>
    <w:uiPriority w:val="0"/>
    <w:qFormat/>
    <w:rPr>
      <w:rFonts w:ascii="Times New Roman" w:hAnsi="Times New Roman" w:eastAsia="宋体" w:cs="Times New Roman"/>
      <w:b/>
      <w:bCs/>
      <w:sz w:val="24"/>
      <w:szCs w:val="24"/>
    </w:rPr>
  </w:style>
  <w:style w:type="character" w:styleId="1005" w:customStyle="1">
    <w:name w:val="标题 8 Char"/>
    <w:link w:val="993"/>
    <w:uiPriority w:val="0"/>
    <w:qFormat/>
    <w:rPr>
      <w:rFonts w:ascii="Arial" w:hAnsi="Arial" w:eastAsia="黑体" w:cs="Times New Roman"/>
      <w:sz w:val="24"/>
      <w:szCs w:val="24"/>
    </w:rPr>
  </w:style>
  <w:style w:type="character" w:styleId="1006" w:customStyle="1">
    <w:name w:val="标题 9 Char"/>
    <w:link w:val="994"/>
    <w:uiPriority w:val="0"/>
    <w:qFormat/>
    <w:rPr>
      <w:rFonts w:ascii="Arial" w:hAnsi="Arial" w:eastAsia="黑体" w:cs="Times New Roman"/>
      <w:szCs w:val="21"/>
    </w:rPr>
  </w:style>
  <w:style w:type="paragraph" w:styleId="1007" w:customStyle="1">
    <w:name w:val="列表 31"/>
    <w:basedOn w:val="772"/>
    <w:uiPriority w:val="0"/>
    <w:qFormat/>
    <w:pPr>
      <w:ind w:left="100" w:hanging="200"/>
    </w:pPr>
  </w:style>
  <w:style w:type="paragraph" w:styleId="1008" w:customStyle="1">
    <w:name w:val="目录 71"/>
    <w:basedOn w:val="772"/>
    <w:next w:val="772"/>
    <w:uiPriority w:val="0"/>
    <w:semiHidden/>
    <w:qFormat/>
    <w:pPr>
      <w:ind w:left="1260"/>
      <w:jc w:val="left"/>
    </w:pPr>
  </w:style>
  <w:style w:type="paragraph" w:styleId="1009" w:customStyle="1">
    <w:name w:val="文档结构图1"/>
    <w:basedOn w:val="772"/>
    <w:link w:val="1010"/>
    <w:uiPriority w:val="0"/>
    <w:semiHidden/>
    <w:qFormat/>
    <w:pPr>
      <w:shd w:val="clear" w:color="auto" w:fill="000080"/>
    </w:pPr>
  </w:style>
  <w:style w:type="character" w:styleId="1010" w:customStyle="1">
    <w:name w:val="文档结构图 Char"/>
    <w:link w:val="1009"/>
    <w:uiPriority w:val="0"/>
    <w:semiHidden/>
    <w:qFormat/>
    <w:rPr>
      <w:rFonts w:ascii="Times New Roman" w:hAnsi="Times New Roman" w:eastAsia="宋体" w:cs="Times New Roman"/>
      <w:szCs w:val="21"/>
      <w:shd w:val="clear" w:color="auto" w:fill="000080"/>
    </w:rPr>
  </w:style>
  <w:style w:type="paragraph" w:styleId="1011" w:customStyle="1">
    <w:name w:val="批注文字1"/>
    <w:basedOn w:val="772"/>
    <w:link w:val="1012"/>
    <w:uiPriority w:val="0"/>
    <w:semiHidden/>
    <w:qFormat/>
    <w:pPr>
      <w:jc w:val="left"/>
    </w:pPr>
  </w:style>
  <w:style w:type="character" w:styleId="1012" w:customStyle="1">
    <w:name w:val="批注文字 Char"/>
    <w:link w:val="1011"/>
    <w:uiPriority w:val="0"/>
    <w:semiHidden/>
    <w:qFormat/>
    <w:rPr>
      <w:rFonts w:ascii="Times New Roman" w:hAnsi="Times New Roman" w:eastAsia="宋体" w:cs="Times New Roman"/>
      <w:szCs w:val="21"/>
    </w:rPr>
  </w:style>
  <w:style w:type="paragraph" w:styleId="1013" w:customStyle="1">
    <w:name w:val="正文文本 31"/>
    <w:basedOn w:val="772"/>
    <w:link w:val="1014"/>
    <w:uiPriority w:val="0"/>
    <w:qFormat/>
    <w:rPr>
      <w:rFonts w:ascii="仿宋_GB2312" w:hAnsi="Arial" w:eastAsia="仿宋_GB2312"/>
      <w:sz w:val="32"/>
      <w:szCs w:val="32"/>
    </w:rPr>
  </w:style>
  <w:style w:type="character" w:styleId="1014" w:customStyle="1">
    <w:name w:val="正文文本 3 Char"/>
    <w:link w:val="1013"/>
    <w:uiPriority w:val="0"/>
    <w:qFormat/>
    <w:rPr>
      <w:rFonts w:ascii="仿宋_GB2312" w:hAnsi="Arial" w:eastAsia="仿宋_GB2312" w:cs="Times New Roman"/>
      <w:sz w:val="32"/>
      <w:szCs w:val="32"/>
    </w:rPr>
  </w:style>
  <w:style w:type="paragraph" w:styleId="1015" w:customStyle="1">
    <w:name w:val="正文文本1"/>
    <w:basedOn w:val="772"/>
    <w:link w:val="1016"/>
    <w:uiPriority w:val="0"/>
    <w:qFormat/>
    <w:rPr>
      <w:rFonts w:ascii="楷体_GB2312" w:hAnsi="Arial" w:eastAsia="楷体_GB2312"/>
      <w:sz w:val="28"/>
      <w:szCs w:val="28"/>
    </w:rPr>
  </w:style>
  <w:style w:type="character" w:styleId="1016" w:customStyle="1">
    <w:name w:val="正文文本 Char"/>
    <w:link w:val="1015"/>
    <w:uiPriority w:val="0"/>
    <w:qFormat/>
    <w:rPr>
      <w:rFonts w:ascii="楷体_GB2312" w:hAnsi="Arial" w:eastAsia="楷体_GB2312" w:cs="Times New Roman"/>
      <w:sz w:val="28"/>
      <w:szCs w:val="28"/>
    </w:rPr>
  </w:style>
  <w:style w:type="paragraph" w:styleId="1017" w:customStyle="1">
    <w:name w:val="正文文本缩进1"/>
    <w:basedOn w:val="772"/>
    <w:link w:val="1018"/>
    <w:uiPriority w:val="0"/>
    <w:qFormat/>
    <w:pPr>
      <w:ind w:firstLine="645"/>
    </w:pPr>
    <w:rPr>
      <w:rFonts w:ascii="楷体_GB2312" w:eastAsia="楷体_GB2312"/>
      <w:sz w:val="32"/>
      <w:szCs w:val="32"/>
    </w:rPr>
  </w:style>
  <w:style w:type="character" w:styleId="1018" w:customStyle="1">
    <w:name w:val="正文文本缩进 Char"/>
    <w:link w:val="1017"/>
    <w:uiPriority w:val="0"/>
    <w:qFormat/>
    <w:rPr>
      <w:rFonts w:ascii="楷体_GB2312" w:hAnsi="Times New Roman" w:eastAsia="楷体_GB2312" w:cs="Times New Roman"/>
      <w:sz w:val="32"/>
      <w:szCs w:val="32"/>
    </w:rPr>
  </w:style>
  <w:style w:type="paragraph" w:styleId="1019" w:customStyle="1">
    <w:name w:val="列表 21"/>
    <w:basedOn w:val="772"/>
    <w:uiPriority w:val="0"/>
    <w:qFormat/>
    <w:pPr>
      <w:ind w:left="100" w:hanging="200"/>
    </w:pPr>
  </w:style>
  <w:style w:type="paragraph" w:styleId="1020" w:customStyle="1">
    <w:name w:val="目录 51"/>
    <w:basedOn w:val="772"/>
    <w:next w:val="772"/>
    <w:uiPriority w:val="0"/>
    <w:semiHidden/>
    <w:qFormat/>
    <w:pPr>
      <w:ind w:left="840"/>
      <w:jc w:val="left"/>
    </w:pPr>
  </w:style>
  <w:style w:type="paragraph" w:styleId="1021" w:customStyle="1">
    <w:name w:val="目录 31"/>
    <w:basedOn w:val="772"/>
    <w:next w:val="772"/>
    <w:uiPriority w:val="0"/>
    <w:semiHidden/>
    <w:qFormat/>
    <w:pPr>
      <w:ind w:left="420"/>
      <w:jc w:val="left"/>
    </w:pPr>
    <w:rPr>
      <w:i/>
      <w:iCs/>
      <w:szCs w:val="24"/>
    </w:rPr>
  </w:style>
  <w:style w:type="paragraph" w:styleId="1022" w:customStyle="1">
    <w:name w:val="纯文本11"/>
    <w:basedOn w:val="772"/>
    <w:link w:val="1023"/>
    <w:uiPriority w:val="0"/>
    <w:qFormat/>
    <w:rPr>
      <w:rFonts w:ascii="宋体" w:hAnsi="Courier New" w:cs="Courier New"/>
    </w:rPr>
  </w:style>
  <w:style w:type="character" w:styleId="1023" w:customStyle="1">
    <w:name w:val="纯文本 Char"/>
    <w:link w:val="1022"/>
    <w:uiPriority w:val="0"/>
    <w:qFormat/>
    <w:rPr>
      <w:rFonts w:ascii="宋体" w:hAnsi="Courier New" w:eastAsia="宋体" w:cs="Courier New"/>
      <w:szCs w:val="21"/>
    </w:rPr>
  </w:style>
  <w:style w:type="paragraph" w:styleId="1024" w:customStyle="1">
    <w:name w:val="目录 81"/>
    <w:basedOn w:val="772"/>
    <w:next w:val="772"/>
    <w:uiPriority w:val="0"/>
    <w:semiHidden/>
    <w:qFormat/>
    <w:pPr>
      <w:ind w:left="1470"/>
      <w:jc w:val="left"/>
    </w:pPr>
  </w:style>
  <w:style w:type="paragraph" w:styleId="1025" w:customStyle="1">
    <w:name w:val="日期1"/>
    <w:basedOn w:val="772"/>
    <w:next w:val="772"/>
    <w:link w:val="1026"/>
    <w:uiPriority w:val="0"/>
    <w:qFormat/>
    <w:rPr>
      <w:sz w:val="24"/>
      <w:szCs w:val="24"/>
    </w:rPr>
  </w:style>
  <w:style w:type="character" w:styleId="1026" w:customStyle="1">
    <w:name w:val="日期 Char"/>
    <w:link w:val="1025"/>
    <w:uiPriority w:val="0"/>
    <w:qFormat/>
    <w:rPr>
      <w:rFonts w:ascii="Times New Roman" w:hAnsi="Times New Roman" w:eastAsia="宋体" w:cs="Times New Roman"/>
      <w:sz w:val="24"/>
      <w:szCs w:val="24"/>
    </w:rPr>
  </w:style>
  <w:style w:type="paragraph" w:styleId="1027" w:customStyle="1">
    <w:name w:val="正文文本缩进 21"/>
    <w:basedOn w:val="772"/>
    <w:link w:val="1028"/>
    <w:uiPriority w:val="0"/>
    <w:qFormat/>
    <w:pPr>
      <w:ind w:left="630" w:firstLine="645"/>
    </w:pPr>
    <w:rPr>
      <w:rFonts w:ascii="Arial" w:hAnsi="Arial" w:eastAsia="仿宋_GB2312" w:cs="Arial"/>
      <w:sz w:val="32"/>
      <w:szCs w:val="32"/>
    </w:rPr>
  </w:style>
  <w:style w:type="character" w:styleId="1028" w:customStyle="1">
    <w:name w:val="正文文本缩进 2 Char"/>
    <w:link w:val="1027"/>
    <w:uiPriority w:val="0"/>
    <w:qFormat/>
    <w:rPr>
      <w:rFonts w:ascii="Arial" w:hAnsi="Arial" w:eastAsia="仿宋_GB2312" w:cs="Arial"/>
      <w:sz w:val="32"/>
      <w:szCs w:val="32"/>
    </w:rPr>
  </w:style>
  <w:style w:type="paragraph" w:styleId="1029" w:customStyle="1">
    <w:name w:val="批注框文本1"/>
    <w:basedOn w:val="772"/>
    <w:link w:val="1030"/>
    <w:uiPriority w:val="0"/>
    <w:semiHidden/>
    <w:qFormat/>
    <w:rPr>
      <w:sz w:val="18"/>
      <w:szCs w:val="18"/>
    </w:rPr>
  </w:style>
  <w:style w:type="character" w:styleId="1030" w:customStyle="1">
    <w:name w:val="批注框文本 Char"/>
    <w:link w:val="1029"/>
    <w:uiPriority w:val="0"/>
    <w:semiHidden/>
    <w:qFormat/>
    <w:rPr>
      <w:rFonts w:ascii="Times New Roman" w:hAnsi="Times New Roman" w:eastAsia="宋体" w:cs="Times New Roman"/>
      <w:sz w:val="18"/>
      <w:szCs w:val="18"/>
    </w:rPr>
  </w:style>
  <w:style w:type="paragraph" w:styleId="1031" w:customStyle="1">
    <w:name w:val="页脚1"/>
    <w:basedOn w:val="772"/>
    <w:link w:val="1032"/>
    <w:uiPriority w:val="0"/>
    <w:qFormat/>
    <w:pPr>
      <w:jc w:val="left"/>
      <w:tabs>
        <w:tab w:val="center" w:pos="4153" w:leader="none"/>
        <w:tab w:val="right" w:pos="8306" w:leader="none"/>
      </w:tabs>
    </w:pPr>
    <w:rPr>
      <w:sz w:val="18"/>
      <w:szCs w:val="18"/>
    </w:rPr>
  </w:style>
  <w:style w:type="character" w:styleId="1032" w:customStyle="1">
    <w:name w:val="页脚 Char"/>
    <w:link w:val="1031"/>
    <w:uiPriority w:val="0"/>
    <w:qFormat/>
    <w:rPr>
      <w:rFonts w:ascii="Times New Roman" w:hAnsi="Times New Roman" w:eastAsia="宋体" w:cs="Times New Roman"/>
      <w:sz w:val="18"/>
      <w:szCs w:val="18"/>
    </w:rPr>
  </w:style>
  <w:style w:type="paragraph" w:styleId="1033" w:customStyle="1">
    <w:name w:val="页眉1"/>
    <w:basedOn w:val="772"/>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Char"/>
    <w:link w:val="1033"/>
    <w:uiPriority w:val="0"/>
    <w:qFormat/>
    <w:rPr>
      <w:rFonts w:ascii="Times New Roman" w:hAnsi="Times New Roman" w:eastAsia="宋体" w:cs="Times New Roman"/>
      <w:sz w:val="18"/>
      <w:szCs w:val="18"/>
    </w:rPr>
  </w:style>
  <w:style w:type="paragraph" w:styleId="1035"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目录 41"/>
    <w:basedOn w:val="772"/>
    <w:next w:val="772"/>
    <w:uiPriority w:val="0"/>
    <w:semiHidden/>
    <w:qFormat/>
    <w:pPr>
      <w:ind w:left="630"/>
      <w:jc w:val="left"/>
    </w:pPr>
  </w:style>
  <w:style w:type="paragraph" w:styleId="1037" w:customStyle="1">
    <w:name w:val="列表1"/>
    <w:basedOn w:val="772"/>
    <w:uiPriority w:val="0"/>
    <w:qFormat/>
    <w:pPr>
      <w:ind w:left="200" w:hanging="200"/>
    </w:pPr>
  </w:style>
  <w:style w:type="paragraph" w:styleId="1038" w:customStyle="1">
    <w:name w:val="目录 61"/>
    <w:basedOn w:val="772"/>
    <w:next w:val="772"/>
    <w:uiPriority w:val="0"/>
    <w:semiHidden/>
    <w:qFormat/>
    <w:pPr>
      <w:ind w:left="1050"/>
      <w:jc w:val="left"/>
    </w:pPr>
  </w:style>
  <w:style w:type="paragraph" w:styleId="1039" w:customStyle="1">
    <w:name w:val="正文文本缩进 31"/>
    <w:basedOn w:val="772"/>
    <w:link w:val="1040"/>
    <w:uiPriority w:val="0"/>
    <w:qFormat/>
    <w:pPr>
      <w:ind w:left="645" w:firstLine="645"/>
    </w:pPr>
    <w:rPr>
      <w:rFonts w:ascii="Arial" w:hAnsi="Arial" w:eastAsia="仿宋_GB2312" w:cs="Arial"/>
      <w:color w:val="ffff00"/>
      <w:sz w:val="32"/>
      <w:szCs w:val="32"/>
    </w:rPr>
  </w:style>
  <w:style w:type="character" w:styleId="1040" w:customStyle="1">
    <w:name w:val="正文文本缩进 3 Char"/>
    <w:link w:val="1039"/>
    <w:uiPriority w:val="0"/>
    <w:qFormat/>
    <w:rPr>
      <w:rFonts w:ascii="Arial" w:hAnsi="Arial" w:eastAsia="仿宋_GB2312" w:cs="Arial"/>
      <w:color w:val="ffff00"/>
      <w:sz w:val="32"/>
      <w:szCs w:val="32"/>
    </w:rPr>
  </w:style>
  <w:style w:type="paragraph" w:styleId="1041" w:customStyle="1">
    <w:name w:val="图表目录1"/>
    <w:basedOn w:val="772"/>
    <w:next w:val="772"/>
    <w:uiPriority w:val="0"/>
    <w:semiHidden/>
    <w:qFormat/>
    <w:pPr>
      <w:ind w:left="840" w:hanging="420"/>
    </w:pPr>
  </w:style>
  <w:style w:type="paragraph" w:styleId="1042" w:customStyle="1">
    <w:name w:val="目录 21"/>
    <w:basedOn w:val="772"/>
    <w:next w:val="772"/>
    <w:uiPriority w:val="0"/>
    <w:semiHidden/>
    <w:qFormat/>
    <w:pPr>
      <w:ind w:left="210"/>
      <w:jc w:val="left"/>
    </w:pPr>
    <w:rPr>
      <w:smallCaps/>
      <w:szCs w:val="24"/>
    </w:rPr>
  </w:style>
  <w:style w:type="paragraph" w:styleId="1043" w:customStyle="1">
    <w:name w:val="目录 91"/>
    <w:basedOn w:val="772"/>
    <w:next w:val="772"/>
    <w:uiPriority w:val="0"/>
    <w:semiHidden/>
    <w:qFormat/>
    <w:pPr>
      <w:ind w:left="1680"/>
      <w:jc w:val="left"/>
    </w:pPr>
  </w:style>
  <w:style w:type="paragraph" w:styleId="1044" w:customStyle="1">
    <w:name w:val="正文文本 21"/>
    <w:basedOn w:val="772"/>
    <w:link w:val="1045"/>
    <w:uiPriority w:val="0"/>
    <w:qFormat/>
    <w:pPr>
      <w:jc w:val="center"/>
      <w:widowControl/>
    </w:pPr>
    <w:rPr>
      <w:rFonts w:ascii="楷体_GB2312" w:eastAsia="楷体_GB2312"/>
      <w:sz w:val="28"/>
      <w:szCs w:val="28"/>
    </w:rPr>
  </w:style>
  <w:style w:type="character" w:styleId="1045" w:customStyle="1">
    <w:name w:val="正文文本 2 Char"/>
    <w:link w:val="1044"/>
    <w:uiPriority w:val="0"/>
    <w:qFormat/>
    <w:rPr>
      <w:rFonts w:ascii="楷体_GB2312" w:hAnsi="Times New Roman" w:eastAsia="楷体_GB2312" w:cs="Times New Roman"/>
      <w:sz w:val="28"/>
      <w:szCs w:val="28"/>
    </w:rPr>
  </w:style>
  <w:style w:type="paragraph" w:styleId="1046" w:customStyle="1">
    <w:name w:val="HTML 预设格式1"/>
    <w:basedOn w:val="7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7"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48" w:customStyle="1">
    <w:name w:val="索引 11"/>
    <w:basedOn w:val="772"/>
    <w:next w:val="772"/>
    <w:uiPriority w:val="0"/>
    <w:semiHidden/>
    <w:qFormat/>
    <w:pPr>
      <w:spacing w:line="240" w:lineRule="atLeast"/>
    </w:pPr>
    <w:rPr>
      <w:b/>
      <w:bCs/>
    </w:rPr>
  </w:style>
  <w:style w:type="paragraph" w:styleId="1049" w:customStyle="1">
    <w:name w:val="批注主题1"/>
    <w:basedOn w:val="1011"/>
    <w:next w:val="1011"/>
    <w:link w:val="1050"/>
    <w:uiPriority w:val="0"/>
    <w:semiHidden/>
    <w:qFormat/>
    <w:rPr>
      <w:b/>
      <w:bCs/>
    </w:rPr>
  </w:style>
  <w:style w:type="character" w:styleId="1050" w:customStyle="1">
    <w:name w:val="批注主题 Char"/>
    <w:link w:val="1049"/>
    <w:uiPriority w:val="0"/>
    <w:semiHidden/>
    <w:qFormat/>
    <w:rPr>
      <w:rFonts w:ascii="Times New Roman" w:hAnsi="Times New Roman" w:eastAsia="宋体" w:cs="Times New Roman"/>
      <w:b/>
      <w:bCs/>
      <w:szCs w:val="21"/>
    </w:rPr>
  </w:style>
  <w:style w:type="paragraph" w:styleId="1051" w:customStyle="1">
    <w:name w:val="正文首行缩进1"/>
    <w:basedOn w:val="772"/>
    <w:link w:val="1052"/>
    <w:uiPriority w:val="0"/>
    <w:qFormat/>
    <w:pPr>
      <w:ind w:firstLine="200"/>
      <w:spacing w:line="360" w:lineRule="auto"/>
    </w:pPr>
    <w:rPr>
      <w:rFonts w:ascii="仿宋_GB2312" w:eastAsia="仿宋_GB2312"/>
      <w:sz w:val="30"/>
      <w:szCs w:val="30"/>
    </w:rPr>
  </w:style>
  <w:style w:type="character" w:styleId="1052" w:customStyle="1">
    <w:name w:val="正文首行缩进 Char"/>
    <w:link w:val="1051"/>
    <w:uiPriority w:val="0"/>
    <w:qFormat/>
    <w:rPr>
      <w:rFonts w:ascii="仿宋_GB2312" w:hAnsi="Times New Roman" w:eastAsia="仿宋_GB2312" w:cs="Times New Roman"/>
      <w:sz w:val="30"/>
      <w:szCs w:val="30"/>
    </w:rPr>
  </w:style>
  <w:style w:type="paragraph" w:styleId="1053" w:customStyle="1">
    <w:name w:val="正文首行缩进 21"/>
    <w:basedOn w:val="1017"/>
    <w:link w:val="1054"/>
    <w:uiPriority w:val="0"/>
    <w:qFormat/>
    <w:pPr>
      <w:ind w:firstLine="420"/>
      <w:spacing w:line="360" w:lineRule="auto"/>
    </w:pPr>
    <w:rPr>
      <w:rFonts w:ascii="宋体" w:hAnsi="宋体" w:eastAsia="宋体"/>
      <w:sz w:val="21"/>
      <w:szCs w:val="20"/>
    </w:rPr>
  </w:style>
  <w:style w:type="character" w:styleId="1054" w:customStyle="1">
    <w:name w:val="正文首行缩进 2 Char"/>
    <w:link w:val="1053"/>
    <w:uiPriority w:val="0"/>
    <w:qFormat/>
    <w:rPr>
      <w:rFonts w:ascii="宋体" w:hAnsi="宋体" w:eastAsia="宋体" w:cs="Times New Roman"/>
      <w:sz w:val="32"/>
      <w:szCs w:val="20"/>
    </w:rPr>
  </w:style>
  <w:style w:type="table" w:styleId="1055" w:customStyle="1">
    <w:name w:val="网格型1"/>
    <w:basedOn w:val="996"/>
    <w:uiPriority w:val="0"/>
    <w:qFormat/>
    <w:pPr>
      <w:jc w:val="both"/>
      <w:widowControl w:val="off"/>
    </w:pPr>
    <w:tblPr>
      <w:tblCellMar>
        <w:left w:w="0" w:type="dxa"/>
        <w:top w:w="0" w:type="dxa"/>
        <w:right w:w="0" w:type="dxa"/>
        <w:bottom w:w="0" w:type="dxa"/>
      </w:tblCellMar>
    </w:tblPr>
  </w:style>
  <w:style w:type="character" w:styleId="1056" w:customStyle="1">
    <w:name w:val="要点1"/>
    <w:uiPriority w:val="0"/>
    <w:qFormat/>
    <w:rPr>
      <w:b/>
      <w:bCs/>
    </w:r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basedOn w:val="995"/>
    <w:uiPriority w:val="20"/>
    <w:qFormat/>
    <w:rPr>
      <w:i/>
    </w:rPr>
  </w:style>
  <w:style w:type="character" w:styleId="1060" w:customStyle="1">
    <w:name w:val="超链接1"/>
    <w:uiPriority w:val="0"/>
    <w:qFormat/>
    <w:rPr>
      <w:color w:val="0000ff"/>
      <w:u w:val="single"/>
    </w:rPr>
  </w:style>
  <w:style w:type="character" w:styleId="1061" w:customStyle="1">
    <w:name w:val="批注引用1"/>
    <w:uiPriority w:val="0"/>
    <w:semiHidden/>
    <w:qFormat/>
    <w:rPr>
      <w:sz w:val="21"/>
      <w:szCs w:val="21"/>
    </w:rPr>
  </w:style>
  <w:style w:type="paragraph" w:styleId="1062" w:customStyle="1">
    <w:name w:val="标题 5（有编号）（绿盟科技）"/>
    <w:basedOn w:val="772"/>
    <w:next w:val="1063"/>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63"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64" w:customStyle="1">
    <w:name w:val="二级目录 Char"/>
    <w:link w:val="1065"/>
    <w:uiPriority w:val="0"/>
    <w:qFormat/>
    <w:rPr>
      <w:b/>
      <w:sz w:val="30"/>
      <w:szCs w:val="28"/>
    </w:rPr>
  </w:style>
  <w:style w:type="paragraph" w:styleId="1065" w:customStyle="1">
    <w:name w:val="二级目录"/>
    <w:next w:val="772"/>
    <w:link w:val="106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772"/>
    <w:link w:val="1067"/>
    <w:uiPriority w:val="0"/>
    <w:qFormat/>
    <w:pPr>
      <w:contextualSpacing/>
      <w:ind w:left="720"/>
      <w:jc w:val="left"/>
      <w:widowControl/>
    </w:pPr>
    <w:rPr>
      <w:rFonts w:ascii="Calibri" w:hAnsi="Calibri"/>
      <w:sz w:val="24"/>
      <w:szCs w:val="24"/>
      <w:lang w:eastAsia="en-US" w:bidi="en-US"/>
    </w:rPr>
  </w:style>
  <w:style w:type="character" w:styleId="1069"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70" w:customStyle="1">
    <w:name w:val="table_lines"/>
    <w:basedOn w:val="772"/>
    <w:uiPriority w:val="0"/>
    <w:qFormat/>
    <w:pPr>
      <w:jc w:val="left"/>
      <w:widowControl/>
    </w:pPr>
    <w:rPr>
      <w:sz w:val="20"/>
      <w:szCs w:val="20"/>
      <w:lang w:val="de-DE" w:eastAsia="de-DE"/>
    </w:rPr>
  </w:style>
  <w:style w:type="paragraph" w:styleId="1071"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072"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5"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076"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Char Char Char Char"/>
    <w:basedOn w:val="1009"/>
    <w:uiPriority w:val="0"/>
    <w:qFormat/>
    <w:pPr>
      <w:spacing w:line="360" w:lineRule="auto"/>
    </w:pPr>
    <w:rPr>
      <w:rFonts w:ascii="Tahoma" w:hAnsi="Tahoma"/>
      <w:sz w:val="24"/>
      <w:szCs w:val="24"/>
    </w:rPr>
  </w:style>
  <w:style w:type="paragraph" w:styleId="107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9"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80" w:customStyle="1">
    <w:name w:val="列出段落2"/>
    <w:basedOn w:val="772"/>
    <w:uiPriority w:val="0"/>
    <w:qFormat/>
    <w:pPr>
      <w:ind w:firstLine="200"/>
    </w:pPr>
    <w:rPr>
      <w:szCs w:val="20"/>
    </w:rPr>
  </w:style>
  <w:style w:type="paragraph" w:styleId="1081"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Body Text(ch)"/>
    <w:basedOn w:val="772"/>
    <w:next w:val="1015"/>
    <w:uiPriority w:val="0"/>
    <w:qFormat/>
    <w:pPr>
      <w:spacing w:after="120"/>
    </w:pPr>
    <w:rPr>
      <w:rFonts w:ascii="宋体" w:hAnsi="Arial"/>
      <w:bCs/>
      <w:iCs/>
      <w:szCs w:val="24"/>
    </w:rPr>
  </w:style>
  <w:style w:type="paragraph" w:styleId="1083"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084"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customStyle="1">
    <w:name w:val="Char Char Char Char1"/>
    <w:basedOn w:val="1009"/>
    <w:uiPriority w:val="0"/>
    <w:qFormat/>
    <w:pPr>
      <w:spacing w:line="360" w:lineRule="auto"/>
    </w:pPr>
    <w:rPr>
      <w:rFonts w:ascii="Tahoma" w:hAnsi="Tahoma"/>
      <w:sz w:val="24"/>
      <w:szCs w:val="24"/>
    </w:rPr>
  </w:style>
  <w:style w:type="paragraph" w:styleId="1086" w:customStyle="1">
    <w:name w:val="Char"/>
    <w:basedOn w:val="772"/>
    <w:uiPriority w:val="0"/>
    <w:qFormat/>
    <w:pPr>
      <w:ind w:firstLine="200"/>
      <w:tabs>
        <w:tab w:val="left" w:pos="360" w:leader="none"/>
      </w:tabs>
    </w:pPr>
    <w:rPr>
      <w:sz w:val="28"/>
      <w:szCs w:val="30"/>
    </w:rPr>
  </w:style>
  <w:style w:type="paragraph" w:styleId="1087"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Char1"/>
    <w:basedOn w:val="1009"/>
    <w:uiPriority w:val="0"/>
    <w:qFormat/>
    <w:rPr>
      <w:rFonts w:ascii="Tahoma" w:hAnsi="Tahoma"/>
      <w:sz w:val="24"/>
      <w:szCs w:val="24"/>
    </w:rPr>
  </w:style>
  <w:style w:type="paragraph" w:styleId="1089" w:customStyle="1">
    <w:name w:val="列出段落3"/>
    <w:basedOn w:val="772"/>
    <w:uiPriority w:val="0"/>
    <w:qFormat/>
    <w:pPr>
      <w:contextualSpacing/>
      <w:ind w:left="720"/>
      <w:jc w:val="left"/>
      <w:widowControl/>
    </w:pPr>
    <w:rPr>
      <w:rFonts w:ascii="Calibri" w:hAnsi="Calibri"/>
      <w:sz w:val="24"/>
      <w:szCs w:val="24"/>
      <w:lang w:eastAsia="en-US" w:bidi="en-US"/>
    </w:rPr>
  </w:style>
  <w:style w:type="paragraph" w:styleId="1090" w:customStyle="1">
    <w:name w:val="4"/>
    <w:basedOn w:val="772"/>
    <w:next w:val="1039"/>
    <w:uiPriority w:val="0"/>
    <w:qFormat/>
    <w:pPr>
      <w:ind w:firstLine="420"/>
      <w:spacing w:line="360" w:lineRule="auto"/>
    </w:pPr>
    <w:rPr>
      <w:color w:val="ff0000"/>
      <w:sz w:val="24"/>
      <w:szCs w:val="24"/>
    </w:rPr>
  </w:style>
  <w:style w:type="paragraph" w:styleId="1091"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092" w:customStyle="1">
    <w:name w:val="Char Char Char Char Char Char Char Char Char Char"/>
    <w:basedOn w:val="772"/>
    <w:uiPriority w:val="0"/>
    <w:qFormat/>
    <w:pPr>
      <w:spacing w:line="360" w:lineRule="auto"/>
    </w:pPr>
    <w:rPr>
      <w:sz w:val="24"/>
      <w:szCs w:val="20"/>
    </w:rPr>
  </w:style>
  <w:style w:type="paragraph" w:styleId="1093" w:customStyle="1">
    <w:name w:val="样式1"/>
    <w:basedOn w:val="772"/>
    <w:uiPriority w:val="0"/>
    <w:qFormat/>
    <w:pPr>
      <w:numPr>
        <w:ilvl w:val="0"/>
        <w:numId w:val="4"/>
      </w:numPr>
    </w:pPr>
    <w:rPr>
      <w:rFonts w:ascii="宋体" w:hAnsi="宋体"/>
    </w:rPr>
  </w:style>
  <w:style w:type="paragraph" w:styleId="109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5"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7"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098"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100" w:customStyle="1">
    <w:name w:val="table_1stline"/>
    <w:basedOn w:val="772"/>
    <w:uiPriority w:val="0"/>
    <w:qFormat/>
    <w:pPr>
      <w:jc w:val="left"/>
      <w:spacing w:before="120"/>
      <w:widowControl/>
    </w:pPr>
    <w:rPr>
      <w:bCs/>
      <w:sz w:val="20"/>
      <w:szCs w:val="20"/>
      <w:lang w:val="de-DE" w:eastAsia="de-DE"/>
    </w:rPr>
  </w:style>
  <w:style w:type="paragraph" w:styleId="1101"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102" w:customStyle="1">
    <w:name w:val="纯文本1"/>
    <w:basedOn w:val="772"/>
    <w:uiPriority w:val="0"/>
    <w:qFormat/>
    <w:rPr>
      <w:rFonts w:ascii="宋体" w:hAnsi="Courier New" w:cs="Courier New"/>
    </w:rPr>
  </w:style>
  <w:style w:type="paragraph" w:styleId="1103" w:customStyle="1">
    <w:name w:val="标题 31"/>
    <w:basedOn w:val="772"/>
    <w:next w:val="772"/>
    <w:uiPriority w:val="9"/>
    <w:qFormat/>
    <w:pPr>
      <w:keepLines/>
      <w:keepNext/>
      <w:spacing w:before="260" w:after="260" w:line="416" w:lineRule="auto"/>
      <w:outlineLvl w:val="2"/>
    </w:pPr>
    <w:rPr>
      <w:b/>
      <w:bCs/>
      <w:sz w:val="32"/>
      <w:szCs w:val="32"/>
    </w:rPr>
  </w:style>
  <w:style w:type="character" w:styleId="1104" w:customStyle="1">
    <w:name w:val="NormalCharacter"/>
    <w:uiPriority w:val="0"/>
    <w:qFormat/>
  </w:style>
  <w:style w:type="paragraph" w:styleId="1105" w:customStyle="1">
    <w:name w:val=".o.a"/>
    <w:basedOn w:val="836"/>
    <w:next w:val="836"/>
    <w:uiPriority w:val="0"/>
    <w:qFormat/>
    <w:rPr>
      <w:rFonts w:ascii="宋体"/>
      <w:color w:val="auto"/>
    </w:rPr>
  </w:style>
  <w:style w:type="paragraph" w:styleId="1106" w:customStyle="1">
    <w:name w:val="Table Paragraph"/>
    <w:basedOn w:val="772"/>
    <w:uiPriority w:val="1"/>
    <w:unhideWhenUsed/>
    <w:qFormat/>
    <w:pPr>
      <w:jc w:val="center"/>
    </w:pPr>
    <w:rPr>
      <w:rFonts w:hint="eastAsia" w:ascii="楷体" w:hAnsi="楷体" w:eastAsia="楷体" w:cs="楷体"/>
      <w:sz w:val="22"/>
      <w:lang w:val="zh-CN"/>
    </w:rPr>
  </w:style>
  <w:style w:type="character" w:styleId="1107" w:customStyle="1">
    <w:name w:val="批注框文本 Char1"/>
    <w:basedOn w:val="782"/>
    <w:link w:val="796"/>
    <w:uiPriority w:val="99"/>
    <w:semiHidden/>
    <w:qFormat/>
    <w:rPr>
      <w:sz w:val="18"/>
      <w:szCs w:val="18"/>
    </w:rPr>
  </w:style>
  <w:style w:type="character" w:styleId="1108" w:customStyle="1">
    <w:name w:val="font81"/>
    <w:basedOn w:val="782"/>
    <w:uiPriority w:val="0"/>
    <w:qFormat/>
    <w:rPr>
      <w:rFonts w:hint="eastAsia" w:ascii="宋体" w:hAnsi="宋体" w:eastAsia="宋体" w:cs="宋体"/>
      <w:color w:val="000000"/>
      <w:sz w:val="24"/>
      <w:szCs w:val="24"/>
      <w:u w:val="none"/>
    </w:rPr>
  </w:style>
  <w:style w:type="character" w:styleId="1109" w:customStyle="1">
    <w:name w:val="font61"/>
    <w:basedOn w:val="782"/>
    <w:uiPriority w:val="0"/>
    <w:qFormat/>
    <w:rPr>
      <w:rFonts w:hint="eastAsia" w:ascii="仿宋_GB2312" w:eastAsia="仿宋_GB2312" w:cs="仿宋_GB2312"/>
      <w:color w:val="000000"/>
      <w:sz w:val="24"/>
      <w:szCs w:val="24"/>
      <w:u w:val="none"/>
    </w:rPr>
  </w:style>
  <w:style w:type="character" w:styleId="1110" w:customStyle="1">
    <w:name w:val="font71"/>
    <w:basedOn w:val="782"/>
    <w:uiPriority w:val="0"/>
    <w:qFormat/>
    <w:rPr>
      <w:rFonts w:hint="eastAsia" w:ascii="仿宋_GB2312" w:eastAsia="仿宋_GB2312" w:cs="仿宋_GB2312"/>
      <w:color w:val="000000"/>
      <w:sz w:val="24"/>
      <w:szCs w:val="24"/>
      <w:u w:val="none"/>
    </w:rPr>
  </w:style>
  <w:style w:type="character" w:styleId="1111" w:customStyle="1">
    <w:name w:val="font21"/>
    <w:basedOn w:val="782"/>
    <w:uiPriority w:val="0"/>
    <w:qFormat/>
    <w:rPr>
      <w:rFonts w:hint="default" w:ascii="Times New Roman" w:hAnsi="Times New Roman" w:cs="Times New Roman"/>
      <w:color w:val="000000"/>
      <w:sz w:val="24"/>
      <w:szCs w:val="24"/>
      <w:u w:val="none"/>
    </w:rPr>
  </w:style>
  <w:style w:type="character" w:styleId="1112" w:customStyle="1">
    <w:name w:val="font91"/>
    <w:basedOn w:val="782"/>
    <w:uiPriority w:val="0"/>
    <w:qFormat/>
    <w:rPr>
      <w:rFonts w:hint="eastAsia" w:ascii="仿宋_GB2312" w:eastAsia="仿宋_GB2312" w:cs="仿宋_GB2312"/>
      <w:color w:val="000000"/>
      <w:sz w:val="24"/>
      <w:szCs w:val="24"/>
      <w:u w:val="none"/>
    </w:rPr>
  </w:style>
  <w:style w:type="character" w:styleId="1113" w:customStyle="1">
    <w:name w:val="font51"/>
    <w:basedOn w:val="782"/>
    <w:uiPriority w:val="0"/>
    <w:qFormat/>
    <w:rPr>
      <w:rFonts w:hint="default" w:ascii="Times New Roman" w:hAnsi="Times New Roman" w:cs="Times New Roman"/>
      <w:color w:val="000000"/>
      <w:sz w:val="24"/>
      <w:szCs w:val="24"/>
      <w:u w:val="none"/>
    </w:rPr>
  </w:style>
  <w:style w:type="character" w:styleId="1114" w:customStyle="1">
    <w:name w:val="font11"/>
    <w:basedOn w:val="782"/>
    <w:uiPriority w:val="0"/>
    <w:qFormat/>
    <w:rPr>
      <w:rFonts w:hint="default" w:ascii="Times New Roman" w:hAnsi="Times New Roman" w:cs="Times New Roman"/>
      <w:color w:val="000000"/>
      <w:sz w:val="24"/>
      <w:szCs w:val="24"/>
      <w:u w:val="none"/>
    </w:rPr>
  </w:style>
  <w:style w:type="paragraph" w:styleId="1115" w:customStyle="1">
    <w:name w:val="样式 行距: 固定值 28.9 磅"/>
    <w:basedOn w:val="772"/>
    <w:uiPriority w:val="0"/>
    <w:qFormat/>
    <w:pPr>
      <w:spacing w:line="578" w:lineRule="exact"/>
    </w:pPr>
    <w:rPr>
      <w:rFonts w:cs="宋体"/>
      <w:szCs w:val="20"/>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纪婷婷</cp:lastModifiedBy>
  <cp:revision>12</cp:revision>
  <dcterms:created xsi:type="dcterms:W3CDTF">2025-09-30T04:12:00Z</dcterms:created>
  <dcterms:modified xsi:type="dcterms:W3CDTF">2026-09-02T04:17:03Z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2052-12.1.0.28043</vt:lpwstr>
  </property>
  <property fmtid="{D5CDD505-2E9C-101B-9397-08002B2CF9AE}" pid="4" name="ICV">
    <vt:lpwstr>A2E02C63D7A94DF1BA9BA77F09E37FE8_13</vt:lpwstr>
  </property>
</Properties>
</file>