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0"/>
        <w:rPr>
          <w:rFonts w:hint="eastAsia" w:eastAsia="黑体"/>
          <w:b/>
          <w:bCs/>
          <w:sz w:val="84"/>
        </w:rPr>
      </w:pPr>
      <w:r>
        <w:rPr>
          <w:rFonts w:hint="eastAsia" w:eastAsia="黑体"/>
          <w:b/>
          <w:bCs/>
          <w:sz w:val="84"/>
        </w:rPr>
      </w:r>
      <w:r/>
    </w:p>
    <w:p>
      <w:pPr>
        <w:pStyle w:val="1046"/>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招　标　文　件</w:t>
      </w:r>
      <w:r>
        <w:rPr>
          <w:rFonts w:hint="eastAsia" w:ascii="方正小标宋_GBK" w:hAnsi="方正小标宋_GBK" w:eastAsia="方正小标宋_GBK" w:cs="方正小标宋_GBK"/>
          <w:sz w:val="36"/>
          <w:szCs w:val="36"/>
        </w:rPr>
      </w:r>
      <w:r/>
    </w:p>
    <w:p>
      <w:pPr>
        <w:pStyle w:val="1046"/>
        <w:ind w:firstLine="1968"/>
        <w:spacing w:line="400" w:lineRule="exact"/>
        <w:rPr>
          <w:rFonts w:hint="eastAsia"/>
          <w:b/>
          <w:bCs/>
          <w:sz w:val="28"/>
          <w:szCs w:val="28"/>
        </w:rPr>
      </w:pPr>
      <w:r>
        <w:rPr>
          <w:rFonts w:hint="eastAsia"/>
          <w:b/>
          <w:bCs/>
          <w:sz w:val="28"/>
          <w:szCs w:val="28"/>
        </w:rPr>
      </w:r>
      <w:r/>
    </w:p>
    <w:p>
      <w:pPr>
        <w:pStyle w:val="959"/>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9"/>
        <w:ind w:firstLine="560"/>
        <w:jc w:val="center"/>
        <w:spacing w:before="120" w:after="120" w:line="400" w:lineRule="exact"/>
        <w:rPr>
          <w:rFonts w:ascii="Segoe UI" w:hAnsi="Segoe UI" w:eastAsia="Segoe UI" w:cs="Segoe UI"/>
          <w:shd w:val="clear" w:color="auto" w:fill="fafafa"/>
        </w:rPr>
      </w:pPr>
      <w:r>
        <w:rPr>
          <w:rFonts w:hint="eastAsia" w:ascii="方正黑体_GBK" w:hAnsi="方正黑体_GBK" w:eastAsia="方正黑体_GBK" w:cs="方正黑体_GBK"/>
          <w:color w:val="000000"/>
          <w:sz w:val="28"/>
          <w:szCs w:val="28"/>
        </w:rPr>
        <w:t xml:space="preserve">项目名称：江苏省人民医院人力资源系统职称评审模块升级项目</w:t>
      </w:r>
      <w:r>
        <w:rPr>
          <w:rFonts w:ascii="Segoe UI" w:hAnsi="Segoe UI" w:eastAsia="Segoe UI" w:cs="Segoe UI"/>
          <w:shd w:val="clear" w:color="auto" w:fill="fafafa"/>
        </w:rPr>
      </w:r>
      <w:r/>
    </w:p>
    <w:p>
      <w:pPr>
        <w:pStyle w:val="959"/>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959"/>
        <w:ind w:firstLine="560"/>
        <w:jc w:val="center"/>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采购编号：JSZC-320000-SCZX-G2026-0402</w:t>
      </w:r>
      <w:r>
        <w:rPr>
          <w:rFonts w:hint="eastAsia"/>
          <w:b/>
          <w:color w:val="ff0000"/>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959"/>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59"/>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2026年8月</w:t>
      </w:r>
      <w:r>
        <w:rPr>
          <w:rFonts w:hint="eastAsia" w:ascii="方正黑体_GBK" w:hAnsi="方正黑体_GBK" w:eastAsia="方正黑体_GBK" w:cs="方正黑体_GBK"/>
          <w:color w:val="000000"/>
          <w:sz w:val="28"/>
          <w:szCs w:val="28"/>
        </w:rPr>
      </w:r>
      <w:r/>
    </w:p>
    <w:p>
      <w:pPr>
        <w:pStyle w:val="1046"/>
        <w:ind w:firstLine="0"/>
        <w:rPr>
          <w:rFonts w:hint="eastAsia"/>
          <w:u w:val="single"/>
        </w:rPr>
      </w:pPr>
      <w:r>
        <w:rPr>
          <w:rFonts w:hint="eastAsia"/>
        </w:rPr>
        <w:t xml:space="preserve">                        </w:t>
      </w:r>
      <w:r>
        <w:rPr>
          <w:rFonts w:hint="eastAsia"/>
          <w:u w:val="single"/>
        </w:rPr>
      </w:r>
      <w:r/>
    </w:p>
    <w:p>
      <w:pPr>
        <w:pStyle w:val="1046"/>
        <w:ind w:firstLine="0"/>
        <w:jc w:val="center"/>
        <w:rPr>
          <w:rFonts w:hint="eastAsia"/>
        </w:rPr>
      </w:pPr>
      <w:r>
        <w:rPr>
          <w:rFonts w:hint="eastAsia"/>
        </w:rPr>
      </w:r>
      <w:r/>
    </w:p>
    <w:p>
      <w:pPr>
        <w:pStyle w:val="959"/>
        <w:jc w:val="center"/>
        <w:spacing w:line="400" w:lineRule="exact"/>
        <w:rPr>
          <w:rFonts w:hint="eastAsia" w:ascii="黑体" w:hAnsi="Arial" w:eastAsia="黑体"/>
          <w:b/>
          <w:sz w:val="28"/>
          <w:szCs w:val="28"/>
        </w:rPr>
        <w:outlineLvl w:val="0"/>
      </w:pPr>
      <w: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59"/>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rPr>
          <w:rFonts w:hint="eastAsia" w:ascii="方正黑体_GBK" w:hAnsi="方正黑体_GBK" w:eastAsia="方正黑体_GBK" w:cs="方正黑体_GBK"/>
          <w:color w:val="000000"/>
          <w:sz w:val="28"/>
          <w:szCs w:val="28"/>
        </w:rPr>
      </w:r>
      <w:r/>
    </w:p>
    <w:p>
      <w:pPr>
        <w:pStyle w:val="959"/>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rPr>
          <w:rFonts w:hint="eastAsia" w:ascii="方正黑体_GBK" w:hAnsi="方正黑体_GBK" w:eastAsia="方正黑体_GBK" w:cs="方正黑体_GBK"/>
          <w:color w:val="000000"/>
          <w:sz w:val="28"/>
          <w:szCs w:val="28"/>
        </w:rPr>
      </w:r>
      <w:r/>
    </w:p>
    <w:p>
      <w:pPr>
        <w:pStyle w:val="959"/>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 第三章 合同文本……………………………………16</w:t>
      </w:r>
      <w:r>
        <w:rPr>
          <w:rFonts w:ascii="方正黑体_GBK" w:hAnsi="方正黑体_GBK" w:eastAsia="方正黑体_GBK" w:cs="方正黑体_GBK"/>
          <w:color w:val="000000"/>
          <w:sz w:val="28"/>
          <w:szCs w:val="28"/>
        </w:rPr>
      </w:r>
      <w:r/>
    </w:p>
    <w:p>
      <w:pPr>
        <w:pStyle w:val="959"/>
        <w:ind w:firstLine="1400"/>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采购需求……………………………………21</w:t>
      </w:r>
      <w:r>
        <w:rPr>
          <w:rFonts w:hint="eastAsia" w:ascii="方正黑体_GBK" w:hAnsi="方正黑体_GBK" w:eastAsia="方正黑体_GBK" w:cs="方正黑体_GBK"/>
          <w:color w:val="000000"/>
          <w:sz w:val="28"/>
          <w:szCs w:val="28"/>
        </w:rPr>
      </w:r>
      <w:r/>
    </w:p>
    <w:p>
      <w:pPr>
        <w:pStyle w:val="959"/>
        <w:ind w:firstLine="1400"/>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评标方法与评标标准………………………28</w:t>
      </w:r>
      <w:r>
        <w:rPr>
          <w:rFonts w:hint="eastAsia" w:ascii="方正黑体_GBK" w:hAnsi="方正黑体_GBK" w:eastAsia="方正黑体_GBK" w:cs="方正黑体_GBK"/>
          <w:color w:val="000000"/>
          <w:sz w:val="28"/>
          <w:szCs w:val="28"/>
        </w:rPr>
      </w:r>
      <w:r/>
    </w:p>
    <w:p>
      <w:pPr>
        <w:pStyle w:val="959"/>
        <w:ind w:firstLine="1400"/>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rPr>
        <w:t xml:space="preserve">33</w:t>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受江苏省人民医院的委托，江苏省政府采购中心就江苏省人民医院人力资源系统职称评审模块升级项目(JSZC-320000-SCZX-G2026-0402)项目进行公开招标采购，欢迎符合条件的供应商投标。</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9"/>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(江苏省人民医院人力资源系统职称评审模块升级项目)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年9</w:t>
      </w:r>
      <w:r>
        <w:rPr>
          <w:rFonts w:hint="eastAsia" w:ascii="方正仿宋_GBK" w:hAnsi="方正仿宋_GBK" w:eastAsia="方正仿宋_GBK" w:cs="方正仿宋_GBK"/>
          <w:bCs/>
          <w:color w:val="000000"/>
          <w:sz w:val="28"/>
          <w:szCs w:val="28"/>
        </w:rPr>
        <w:t xml:space="preserve">月11</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：JSZC-320000-SCZX-G2026-0402 </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ascii="方正仿宋_GBK" w:hAnsi="方正仿宋_GBK" w:eastAsia="方正仿宋_GBK" w:cs="方正仿宋_GBK"/>
          <w:color w:val="000000"/>
          <w:sz w:val="28"/>
          <w:szCs w:val="28"/>
        </w:rPr>
        <w:t xml:space="preserve">江苏省人民医院人力资源系统职称评审模块升级项目</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9"/>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9"/>
              <w:ind w:firstLine="140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10</w:t>
            </w:r>
            <w:r>
              <w:rPr>
                <w:rFonts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59"/>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10</w:t>
            </w:r>
            <w:r>
              <w:rPr>
                <w:rFonts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sz w:val="28"/>
          <w:szCs w:val="28"/>
          <w:u w:val="single"/>
        </w:rPr>
      </w:pPr>
      <w:r/>
      <w:bookmarkStart w:id="12" w:name="_Toc35393622"/>
      <w:r/>
      <w:bookmarkStart w:id="13" w:name="_Toc28359003"/>
      <w:r/>
      <w:bookmarkStart w:id="14" w:name="_Toc35393791"/>
      <w:r/>
      <w:bookmarkStart w:id="15" w:name="_Toc38985264"/>
      <w:r/>
      <w:bookmarkStart w:id="16" w:name="_Toc28359080"/>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楷体_GBK" w:hAnsi="方正楷体_GBK" w:eastAsia="方正楷体_GBK" w:cs="方正楷体_GBK"/>
          <w:color w:val="000000"/>
          <w:sz w:val="28"/>
          <w:szCs w:val="28"/>
        </w:rPr>
      </w:pPr>
      <w:r/>
      <w:bookmarkStart w:id="17" w:name="_Toc28359081"/>
      <w:r/>
      <w:bookmarkStart w:id="18" w:name="_Toc35393792"/>
      <w:r/>
      <w:bookmarkStart w:id="19" w:name="_Toc38985265"/>
      <w:r/>
      <w:bookmarkStart w:id="20" w:name="_Toc35393623"/>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9"/>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r>
            <w:r/>
          </w:p>
        </w:tc>
      </w:tr>
    </w:tbl>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35393625"/>
      <w:r/>
      <w:bookmarkStart w:id="24" w:name="_Toc38985267"/>
      <w:r/>
      <w:bookmarkStart w:id="25" w:name="_Toc28359084"/>
      <w:r/>
      <w:bookmarkStart w:id="26" w:name="_Toc35393794"/>
      <w:r/>
      <w:bookmarkStart w:id="27" w:name="_Toc28359082"/>
      <w:r/>
      <w:bookmarkStart w:id="28" w:name="_Toc28359005"/>
      <w:r/>
      <w:bookmarkStart w:id="29" w:name="_Toc35393624"/>
      <w:r/>
      <w:bookmarkStart w:id="30" w:name="_Toc35393793"/>
      <w:r/>
      <w:bookmarkStart w:id="31" w:name="_Toc3898526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11</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85"/>
      <w:r/>
      <w:bookmarkStart w:id="36" w:name="_Toc35393627"/>
      <w:r/>
      <w:bookmarkStart w:id="37" w:name="_Toc35393796"/>
      <w:r/>
      <w:bookmarkStart w:id="38" w:name="_Toc28359008"/>
      <w:r/>
      <w:bookmarkStart w:id="39"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9"/>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江苏省人民医院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南京市广州路300号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戴老师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025-68303780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时富荣、许滢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025-83668559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9"/>
        <w:ind w:right="840"/>
        <w:rPr>
          <w:rFonts w:hint="eastAsia" w:ascii="宋体" w:hAnsi="宋体"/>
          <w:color w:val="000000"/>
          <w:sz w:val="24"/>
          <w:szCs w:val="24"/>
        </w:rPr>
      </w:pPr>
      <w:r>
        <w:rPr>
          <w:rFonts w:hint="eastAsia" w:ascii="宋体" w:hAnsi="宋体"/>
          <w:color w:val="000000"/>
          <w:sz w:val="24"/>
          <w:szCs w:val="24"/>
        </w:rPr>
      </w:r>
      <w:r/>
    </w:p>
    <w:p>
      <w:pPr>
        <w:pStyle w:val="959"/>
        <w:ind w:right="839"/>
        <w:jc w:val="center"/>
        <w:spacing w:line="400" w:lineRule="exact"/>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7" w:name="_Toc16938529"/>
      <w:r/>
      <w:bookmarkStart w:id="48" w:name="_Toc120614216"/>
      <w:r/>
      <w:bookmarkStart w:id="49" w:name="_Toc20823285"/>
      <w:r/>
      <w:bookmarkStart w:id="50" w:name="_Toc513029213"/>
      <w:r/>
      <w:bookmarkStart w:id="51" w:name="_Toc462564072"/>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63"/>
        <w:ind w:firstLine="560"/>
        <w:spacing w:before="0" w:after="0" w:line="400" w:lineRule="exact"/>
        <w:rPr>
          <w:rFonts w:hint="eastAsia" w:ascii="方正仿宋_GBK" w:hAnsi="方正仿宋_GBK" w:eastAsia="方正仿宋_GBK" w:cs="方正仿宋_GBK"/>
          <w:bCs w:val="0"/>
        </w:rPr>
      </w:pPr>
      <w:r/>
      <w:bookmarkStart w:id="52" w:name="_Toc513029214"/>
      <w:r/>
      <w:bookmarkStart w:id="53" w:name="_Toc462564073"/>
      <w:r/>
      <w:bookmarkStart w:id="54" w:name="_Toc20823286"/>
      <w:r/>
      <w:bookmarkStart w:id="55" w:name="_Toc16938530"/>
      <w:r>
        <w:rPr>
          <w:rFonts w:hint="eastAsia" w:ascii="方正仿宋_GBK" w:hAnsi="方正仿宋_GBK" w:eastAsia="方正仿宋_GBK" w:cs="方正仿宋_GBK"/>
          <w:b w:val="0"/>
          <w:bCs w:val="0"/>
        </w:rPr>
        <w:t xml:space="preserve">8.投标文件的语言及度量衡单位</w:t>
      </w:r>
      <w:bookmarkEnd w:id="52"/>
      <w:r/>
      <w:bookmarkEnd w:id="53"/>
      <w:r/>
      <w:bookmarkEnd w:id="54"/>
      <w:r/>
      <w:bookmarkEnd w:id="55"/>
      <w:r>
        <w:rPr>
          <w:rFonts w:hint="eastAsia" w:ascii="方正仿宋_GBK" w:hAnsi="方正仿宋_GBK" w:eastAsia="方正仿宋_GBK" w:cs="方正仿宋_GBK"/>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56" w:name="_Toc16938531"/>
      <w:r/>
      <w:bookmarkStart w:id="57" w:name="_Toc20823287"/>
      <w:r/>
      <w:bookmarkStart w:id="58" w:name="_Toc462564074"/>
      <w:r/>
      <w:bookmarkStart w:id="59" w:name="_Toc513029215"/>
      <w:r>
        <w:rPr>
          <w:rFonts w:hint="eastAsia" w:ascii="方正仿宋_GBK" w:hAnsi="方正仿宋_GBK" w:eastAsia="方正仿宋_GBK" w:cs="方正仿宋_GBK"/>
          <w:b w:val="0"/>
          <w:bCs w:val="0"/>
        </w:rPr>
        <w:t xml:space="preserve">9.投标文件构成</w:t>
      </w:r>
      <w:bookmarkEnd w:id="56"/>
      <w:r/>
      <w:bookmarkEnd w:id="57"/>
      <w:r/>
      <w:bookmarkEnd w:id="58"/>
      <w:r/>
      <w:bookmarkEnd w:id="59"/>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60" w:name="_Hlt26670360"/>
      <w:r/>
      <w:bookmarkEnd w:id="60"/>
      <w:r/>
      <w:bookmarkStart w:id="61" w:name="_Hlt26668975"/>
      <w:r/>
      <w:bookmarkEnd w:id="61"/>
      <w:r/>
      <w:bookmarkStart w:id="62" w:name="_Hlt26954838"/>
      <w:r/>
      <w:bookmarkEnd w:id="62"/>
      <w:r/>
      <w:bookmarkStart w:id="63" w:name="_Toc14577357"/>
      <w:r/>
      <w:bookmarkStart w:id="64" w:name="_Toc49090509"/>
      <w:r/>
      <w:bookmarkStart w:id="65" w:name="_Toc513029219"/>
      <w:r/>
      <w:bookmarkStart w:id="66" w:name="_Toc513029216"/>
      <w:r/>
      <w:bookmarkStart w:id="67" w:name="_Toc49090507"/>
      <w:r/>
      <w:bookmarkStart w:id="68" w:name="_Toc14577354"/>
      <w:r>
        <w:rPr>
          <w:rFonts w:hint="eastAsia" w:ascii="方正仿宋_GBK" w:hAnsi="方正仿宋_GBK" w:eastAsia="方正仿宋_GBK" w:cs="方正仿宋_GBK"/>
          <w:b w:val="0"/>
          <w:bCs w:val="0"/>
        </w:rPr>
        <w:t xml:space="preserve">10.证明投标人及投标标的符合招标文件规定的文件</w:t>
      </w:r>
      <w:bookmarkEnd w:id="63"/>
      <w:r/>
      <w:bookmarkEnd w:id="64"/>
      <w:r/>
      <w:bookmarkEnd w:id="65"/>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69"/>
      <w:r/>
      <w:bookmarkStart w:id="71" w:name="_Hlt26670373"/>
      <w:r/>
      <w:bookmarkEnd w:id="71"/>
      <w:r>
        <w:rPr>
          <w:rFonts w:hint="eastAsia" w:ascii="方正仿宋_GBK" w:hAnsi="方正仿宋_GBK" w:eastAsia="方正仿宋_GBK" w:cs="方正仿宋_GBK"/>
          <w:b w:val="0"/>
          <w:bCs w:val="0"/>
        </w:rPr>
        <w:t xml:space="preserve">表</w:t>
      </w:r>
      <w:bookmarkEnd w:id="70"/>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74" w:name="_Hlt26670403"/>
      <w:r/>
      <w:bookmarkEnd w:id="74"/>
      <w:r/>
      <w:bookmarkStart w:id="75" w:name="_Hlt26954844"/>
      <w:r/>
      <w:bookmarkEnd w:id="75"/>
      <w:r/>
      <w:bookmarkStart w:id="76" w:name="_Hlt26954842"/>
      <w:r/>
      <w:bookmarkEnd w:id="76"/>
      <w:r/>
      <w:bookmarkStart w:id="77" w:name="_Hlt26954848"/>
      <w:r/>
      <w:bookmarkEnd w:id="77"/>
      <w:r/>
      <w:bookmarkStart w:id="78" w:name="_Hlt26670425"/>
      <w:r/>
      <w:bookmarkEnd w:id="78"/>
      <w:r/>
      <w:bookmarkStart w:id="79" w:name="_Hlt26670482"/>
      <w:r/>
      <w:bookmarkEnd w:id="79"/>
      <w:r/>
      <w:bookmarkStart w:id="80" w:name="_Hlt26954846"/>
      <w:r/>
      <w:bookmarkEnd w:id="80"/>
      <w:r/>
      <w:bookmarkStart w:id="81" w:name="_Hlt26668983"/>
      <w:r/>
      <w:bookmarkEnd w:id="81"/>
      <w:r/>
      <w:bookmarkStart w:id="82" w:name="_Hlt26954731"/>
      <w:r/>
      <w:bookmarkEnd w:id="82"/>
      <w:r/>
      <w:bookmarkStart w:id="83" w:name="_Hlt26670486"/>
      <w:r/>
      <w:bookmarkEnd w:id="83"/>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9"/>
        <w:ind w:firstLine="560"/>
        <w:spacing w:line="400" w:lineRule="exact"/>
        <w:rPr>
          <w:rFonts w:hint="eastAsia" w:ascii="方正仿宋_GBK" w:hAnsi="方正仿宋_GBK" w:eastAsia="方正仿宋_GBK" w:cs="方正仿宋_GBK"/>
          <w:sz w:val="28"/>
          <w:szCs w:val="28"/>
          <w:lang w:val="zh-CN"/>
        </w:rPr>
      </w:pPr>
      <w:r/>
      <w:bookmarkStart w:id="84" w:name="_Toc49090510"/>
      <w:r/>
      <w:bookmarkStart w:id="85"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14577360"/>
      <w:r/>
      <w:bookmarkStart w:id="90" w:name="_Toc49090511"/>
      <w:r>
        <w:rPr>
          <w:rFonts w:hint="eastAsia" w:ascii="方正仿宋_GBK" w:hAnsi="方正仿宋_GBK" w:eastAsia="方正仿宋_GBK" w:cs="方正仿宋_GBK"/>
          <w:b w:val="0"/>
          <w:bCs w:val="0"/>
        </w:rPr>
        <w:t xml:space="preserve">14.投标有效期</w:t>
      </w:r>
      <w:bookmarkEnd w:id="89"/>
      <w:r/>
      <w:bookmarkEnd w:id="90"/>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16938540"/>
      <w:r/>
      <w:bookmarkStart w:id="94" w:name="_Toc20823296"/>
      <w:r/>
      <w:bookmarkStart w:id="95" w:name="_Toc513029224"/>
      <w:r/>
      <w:bookmarkStart w:id="96"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97" w:name="_Toc462564084"/>
      <w:r/>
      <w:bookmarkStart w:id="98" w:name="_Toc20823297"/>
      <w:r/>
      <w:bookmarkStart w:id="99" w:name="_Toc513029225"/>
      <w:r/>
      <w:bookmarkStart w:id="100" w:name="_Toc16938541"/>
      <w:r>
        <w:rPr>
          <w:rFonts w:hint="eastAsia" w:ascii="方正仿宋_GBK" w:hAnsi="方正仿宋_GBK" w:eastAsia="方正仿宋_GBK" w:cs="方正仿宋_GBK"/>
          <w:b w:val="0"/>
          <w:bCs w:val="0"/>
        </w:rPr>
        <w:t xml:space="preserve">16.投标文件</w:t>
      </w:r>
      <w:bookmarkEnd w:id="97"/>
      <w:r/>
      <w:bookmarkEnd w:id="98"/>
      <w:r/>
      <w:bookmarkEnd w:id="99"/>
      <w:r/>
      <w:bookmarkEnd w:id="100"/>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1"/>
      <w:r/>
      <w:bookmarkEnd w:id="102"/>
      <w:r/>
      <w:bookmarkEnd w:id="103"/>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104" w:name="_Toc16938543"/>
      <w:r/>
      <w:bookmarkStart w:id="105" w:name="_Toc513029227"/>
      <w:r/>
      <w:bookmarkStart w:id="106" w:name="_Toc20823299"/>
      <w:r>
        <w:rPr>
          <w:rFonts w:hint="eastAsia" w:ascii="方正仿宋_GBK" w:hAnsi="方正仿宋_GBK" w:eastAsia="方正仿宋_GBK" w:cs="方正仿宋_GBK"/>
          <w:b w:val="0"/>
          <w:bCs w:val="0"/>
        </w:rPr>
        <w:t xml:space="preserve">18.投标文件</w:t>
      </w:r>
      <w:bookmarkEnd w:id="104"/>
      <w:r/>
      <w:bookmarkEnd w:id="105"/>
      <w:r/>
      <w:bookmarkEnd w:id="106"/>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rPr>
        <w:t xml:space="preserve">19.投标文件的撤回和修改</w:t>
      </w:r>
      <w:bookmarkEnd w:id="107"/>
      <w:r/>
      <w:bookmarkEnd w:id="108"/>
      <w:r/>
      <w:bookmarkEnd w:id="109"/>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0" w:name="_Toc16938545"/>
      <w:r/>
      <w:bookmarkStart w:id="111" w:name="_Toc20823301"/>
      <w:r/>
      <w:bookmarkStart w:id="112" w:name="_Toc120614218"/>
      <w:r/>
      <w:bookmarkStart w:id="113" w:name="_Toc513029229"/>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14" w:name="_Toc513029230"/>
      <w:r/>
      <w:bookmarkStart w:id="115" w:name="_Toc20823302"/>
      <w:r/>
      <w:bookmarkStart w:id="116" w:name="_Toc16938546"/>
      <w:r>
        <w:rPr>
          <w:rFonts w:hint="eastAsia" w:ascii="方正仿宋_GBK" w:hAnsi="方正仿宋_GBK" w:eastAsia="方正仿宋_GBK" w:cs="方正仿宋_GBK"/>
          <w:sz w:val="28"/>
          <w:szCs w:val="28"/>
        </w:rPr>
        <w:t xml:space="preserve">20.开标</w:t>
      </w:r>
      <w:bookmarkEnd w:id="114"/>
      <w:r/>
      <w:bookmarkEnd w:id="115"/>
      <w:r/>
      <w:bookmarkEnd w:id="116"/>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17" w:name="_Toc16938547"/>
      <w:r/>
      <w:bookmarkStart w:id="118" w:name="_Toc513029231"/>
      <w:r/>
      <w:bookmarkStart w:id="119" w:name="_Toc20823303"/>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0" w:name="_Toc16938548"/>
      <w:r/>
      <w:bookmarkStart w:id="121" w:name="_Toc513029232"/>
      <w:r/>
      <w:bookmarkStart w:id="122" w:name="_Toc20823304"/>
      <w:r>
        <w:rPr>
          <w:rFonts w:hint="eastAsia" w:ascii="方正仿宋_GBK" w:hAnsi="方正仿宋_GBK" w:eastAsia="方正仿宋_GBK" w:cs="方正仿宋_GBK"/>
          <w:sz w:val="28"/>
          <w:szCs w:val="28"/>
        </w:rPr>
        <w:t xml:space="preserve">23.投标文件的澄清</w:t>
      </w:r>
      <w:bookmarkEnd w:id="120"/>
      <w:r/>
      <w:bookmarkEnd w:id="121"/>
      <w:r/>
      <w:bookmarkEnd w:id="122"/>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3" w:name="_Toc20823305"/>
      <w:r/>
      <w:bookmarkStart w:id="124" w:name="_Toc16938549"/>
      <w:r/>
      <w:bookmarkStart w:id="125" w:name="_Toc513029233"/>
      <w:r>
        <w:rPr>
          <w:rFonts w:hint="eastAsia" w:ascii="方正仿宋_GBK" w:hAnsi="方正仿宋_GBK" w:eastAsia="方正仿宋_GBK" w:cs="方正仿宋_GBK"/>
          <w:sz w:val="28"/>
          <w:szCs w:val="28"/>
        </w:rPr>
        <w:t xml:space="preserve">24.对投标文件的初审</w:t>
      </w:r>
      <w:bookmarkEnd w:id="123"/>
      <w:r/>
      <w:bookmarkEnd w:id="124"/>
      <w:r/>
      <w:bookmarkEnd w:id="125"/>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6" w:name="_Toc20823306"/>
      <w:r/>
      <w:bookmarkStart w:id="127" w:name="_Toc16938550"/>
      <w:r/>
      <w:bookmarkStart w:id="128"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6"/>
      <w:r/>
      <w:bookmarkEnd w:id="127"/>
      <w:r/>
      <w:bookmarkEnd w:id="128"/>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9" w:name="_Toc513029235"/>
      <w:r/>
      <w:bookmarkStart w:id="130" w:name="_Toc20823307"/>
      <w:r/>
      <w:bookmarkStart w:id="131" w:name="_Toc16938551"/>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rPr>
        <w:t xml:space="preserve">26</w:t>
      </w:r>
      <w:bookmarkEnd w:id="133"/>
      <w:r>
        <w:rPr>
          <w:rFonts w:hint="eastAsia" w:ascii="方正仿宋_GBK" w:hAnsi="方正仿宋_GBK" w:eastAsia="方正仿宋_GBK" w:cs="方正仿宋_GBK"/>
          <w:sz w:val="28"/>
          <w:szCs w:val="28"/>
        </w:rPr>
        <w:t xml:space="preserve">.确定</w:t>
      </w:r>
      <w:bookmarkEnd w:id="134"/>
      <w:r/>
      <w:bookmarkEnd w:id="135"/>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36"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6"/>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7" w:name="_Toc120614220"/>
      <w:r/>
      <w:bookmarkStart w:id="138" w:name="_Toc513029236"/>
      <w:r/>
      <w:bookmarkStart w:id="139" w:name="_Toc20823308"/>
      <w:r/>
      <w:bookmarkStart w:id="140" w:name="_Toc16938552"/>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38"/>
      <w:r/>
      <w:bookmarkEnd w:id="139"/>
      <w:r/>
      <w:bookmarkEnd w:id="140"/>
      <w:r/>
      <w:bookmarkStart w:id="141" w:name="_Toc20823309"/>
      <w:r/>
      <w:bookmarkStart w:id="142" w:name="_Toc513029237"/>
      <w:r/>
      <w:bookmarkStart w:id="143" w:name="_Toc16938553"/>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41"/>
      <w:r/>
      <w:bookmarkEnd w:id="142"/>
      <w:r/>
      <w:bookmarkEnd w:id="143"/>
      <w:r/>
      <w:bookmarkStart w:id="144" w:name="_Toc479757207"/>
      <w:r/>
      <w:bookmarkStart w:id="145" w:name="_Toc20823314"/>
      <w:r/>
      <w:bookmarkStart w:id="146" w:name="_Toc513029242"/>
      <w:r/>
      <w:bookmarkStart w:id="147" w:name="_Toc120614221"/>
      <w:r/>
      <w:bookmarkStart w:id="148" w:name="_Toc16938558"/>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73"/>
        <w:spacing w:line="400" w:lineRule="exact"/>
        <w:rPr>
          <w:rFonts w:hint="eastAsia" w:ascii="宋体" w:hAnsi="宋体"/>
          <w:bCs/>
          <w:sz w:val="24"/>
        </w:rPr>
      </w:pPr>
      <w:r>
        <w:rPr>
          <w:rFonts w:hint="eastAsia" w:ascii="宋体" w:hAnsi="宋体"/>
          <w:bCs/>
          <w:sz w:val="24"/>
        </w:rPr>
      </w:r>
      <w:r/>
    </w:p>
    <w:p>
      <w:pPr>
        <w:pStyle w:val="959"/>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bCs/>
          <w:sz w:val="28"/>
          <w:szCs w:val="28"/>
          <w:highlight w:val="yellow"/>
        </w:rPr>
      </w:pPr>
      <w:r/>
      <w:bookmarkStart w:id="149" w:name="_Toc513029243"/>
      <w:r/>
      <w:bookmarkStart w:id="150" w:name="_Toc16938559"/>
      <w:r/>
      <w:bookmarkStart w:id="151" w:name="_Toc20823315"/>
      <w:r>
        <w:rPr>
          <w:rFonts w:hint="eastAsia" w:ascii="方正仿宋_GBK" w:hAnsi="方正仿宋_GBK" w:eastAsia="方正仿宋_GBK" w:cs="方正仿宋_GBK"/>
          <w:bCs/>
          <w:sz w:val="28"/>
          <w:szCs w:val="28"/>
          <w:highlight w:val="yellow"/>
        </w:rPr>
      </w:r>
      <w:r/>
    </w:p>
    <w:p>
      <w:pPr>
        <w:pStyle w:val="990"/>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90"/>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59"/>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6.1 乙方交纳人民币_________元作为本合同的履约保证金。（合同金额的10%）</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收取履约保证金形式：保函</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6.2.1履约保证金退还方式：按照相关规定和流程无息退还</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6.2.2履约保证金退还时间：验收合格满半年后</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6.2.3履约保证金退还条件：按照合同要求履约完好</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6.2.4履约保证金不予退还的情形：未按合同要求履约</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8.1.1预付款支付时间：</w:t>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8.1.2尾款支付时间：</w:t>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7"/>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7"/>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7"/>
        <w:jc w:val="center"/>
        <w:spacing w:before="120" w:after="120" w:line="400" w:lineRule="exact"/>
        <w:rPr>
          <w:sz w:val="28"/>
          <w:szCs w:val="28"/>
        </w:rPr>
      </w:pPr>
      <w:r>
        <w:rPr>
          <w:rFonts w:hint="eastAsia"/>
          <w:sz w:val="28"/>
          <w:szCs w:val="28"/>
        </w:rPr>
        <w:t xml:space="preserve">                                         </w:t>
      </w:r>
      <w:r>
        <w:rPr>
          <w:sz w:val="28"/>
          <w:szCs w:val="28"/>
        </w:rPr>
      </w:r>
      <w:r/>
    </w:p>
    <w:p>
      <w:pPr>
        <w:pStyle w:val="997"/>
        <w:jc w:val="right"/>
        <w:spacing w:before="120" w:after="120" w:line="400" w:lineRule="exact"/>
        <w:rPr>
          <w:sz w:val="28"/>
          <w:szCs w:val="28"/>
        </w:rPr>
      </w:pPr>
      <w:r>
        <w:rPr>
          <w:rFonts w:hint="eastAsia"/>
          <w:sz w:val="28"/>
          <w:szCs w:val="28"/>
        </w:rPr>
        <w:t xml:space="preserve"> </w:t>
      </w:r>
      <w:r>
        <w:rPr>
          <w:sz w:val="28"/>
          <w:szCs w:val="28"/>
        </w:rPr>
      </w:r>
      <w:r/>
    </w:p>
    <w:p>
      <w:pPr>
        <w:pStyle w:val="997"/>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6938590"/>
      <w:r/>
      <w:bookmarkStart w:id="155" w:name="_Toc120614244"/>
      <w:r/>
      <w:bookmarkStart w:id="156" w:name="_Toc20823346"/>
      <w:r/>
      <w:bookmarkStart w:id="157" w:name="_Toc462564139"/>
      <w:r/>
      <w:bookmarkStart w:id="158"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3"/>
      <w:r>
        <w:rPr>
          <w:rFonts w:hint="eastAsia" w:ascii="方正黑体_GBK" w:hAnsi="方正黑体_GBK" w:eastAsia="方正黑体_GBK" w:cs="方正黑体_GBK"/>
          <w:color w:val="000000"/>
          <w:sz w:val="28"/>
          <w:szCs w:val="28"/>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959"/>
        <w:spacing w:line="0" w:lineRule="atLeast"/>
        <w:rPr>
          <w:rFonts w:hint="eastAsia" w:ascii="宋体" w:hAnsi="宋体"/>
          <w:b/>
          <w:sz w:val="24"/>
          <w:szCs w:val="24"/>
        </w:rPr>
      </w:pPr>
      <w:r/>
      <w:bookmarkStart w:id="159" w:name="_Toc49090575"/>
      <w:r/>
      <w:bookmarkStart w:id="160" w:name="_Toc26554093"/>
      <w:r/>
      <w:bookmarkStart w:id="161" w:name="_Toc120614281"/>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2852" w:type="dxa"/>
            <w:vAlign w:val="center"/>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545"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291" w:type="dxa"/>
            <w:vAlign w:val="top"/>
            <w:textDirection w:val="lrTb"/>
            <w:noWrap w:val="false"/>
          </w:tcPr>
          <w:p>
            <w:pPr>
              <w:pStyle w:val="959"/>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人力资源系统职称评审模块升级项目</w:t>
            </w:r>
            <w:r>
              <w:rPr>
                <w:rFonts w:hint="eastAsia" w:ascii="宋体" w:hAnsi="宋体"/>
                <w:sz w:val="24"/>
                <w:szCs w:val="24"/>
              </w:rPr>
            </w:r>
            <w:r/>
          </w:p>
        </w:tc>
        <w:tc>
          <w:tcPr>
            <w:tcW w:w="2852" w:type="dxa"/>
            <w:vAlign w:val="top"/>
            <w:textDirection w:val="lrTb"/>
            <w:noWrap w:val="false"/>
          </w:tcPr>
          <w:p>
            <w:pPr>
              <w:pStyle w:val="959"/>
              <w:jc w:val="center"/>
              <w:spacing w:line="0" w:lineRule="atLeast"/>
              <w:rPr>
                <w:rFonts w:hint="eastAsia" w:ascii="宋体" w:hAnsi="宋体"/>
                <w:sz w:val="24"/>
                <w:szCs w:val="24"/>
              </w:rPr>
            </w:pPr>
            <w:r>
              <w:rPr>
                <w:rFonts w:hint="eastAsia" w:ascii="宋体" w:hAnsi="宋体"/>
                <w:sz w:val="24"/>
                <w:szCs w:val="24"/>
              </w:rPr>
              <w:t xml:space="preserve">软件和信息技术服务业</w:t>
            </w:r>
            <w:r>
              <w:rPr>
                <w:rFonts w:hint="eastAsia" w:ascii="宋体" w:hAnsi="宋体"/>
                <w:sz w:val="24"/>
                <w:szCs w:val="24"/>
              </w:rPr>
            </w:r>
            <w:r/>
          </w:p>
        </w:tc>
      </w:tr>
    </w:tbl>
    <w:p>
      <w:pPr>
        <w:pStyle w:val="959"/>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59"/>
        <w:spacing w:line="0" w:lineRule="atLeast"/>
        <w:rPr>
          <w:rFonts w:hint="eastAsia" w:ascii="宋体" w:hAnsi="宋体"/>
          <w:b/>
          <w:sz w:val="24"/>
          <w:szCs w:val="24"/>
        </w:rPr>
      </w:pPr>
      <w:r>
        <w:rPr>
          <w:rFonts w:hint="eastAsia" w:ascii="宋体" w:hAnsi="宋体"/>
          <w:b/>
          <w:sz w:val="24"/>
          <w:szCs w:val="24"/>
        </w:rPr>
      </w:r>
      <w:r/>
    </w:p>
    <w:p>
      <w:pPr>
        <w:pStyle w:val="959"/>
        <w:spacing w:line="0" w:lineRule="atLeast"/>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rPr>
          <w:rFonts w:hint="eastAsia" w:ascii="宋体" w:hAnsi="宋体"/>
          <w:b/>
          <w:sz w:val="24"/>
          <w:szCs w:val="24"/>
        </w:rPr>
      </w:r>
      <w:r/>
    </w:p>
    <w:p>
      <w:pPr>
        <w:pStyle w:val="959"/>
        <w:numPr>
          <w:ilvl w:val="0"/>
          <w:numId w:val="4"/>
        </w:numPr>
        <w:ind w:firstLine="480"/>
        <w:rPr>
          <w:rFonts w:hint="eastAsia" w:ascii="宋体" w:hAnsi="宋体" w:cs="宋体"/>
          <w:iCs/>
          <w:sz w:val="24"/>
          <w:szCs w:val="24"/>
        </w:rPr>
      </w:pPr>
      <w:r>
        <w:rPr>
          <w:rFonts w:hint="eastAsia" w:ascii="宋体" w:hAnsi="宋体" w:cs="宋体"/>
          <w:iCs/>
          <w:sz w:val="24"/>
          <w:szCs w:val="24"/>
        </w:rPr>
        <w:t xml:space="preserve">功能清单</w:t>
      </w:r>
      <w:r>
        <w:rPr>
          <w:rFonts w:hint="eastAsia" w:ascii="宋体" w:hAnsi="宋体" w:cs="宋体"/>
          <w:iCs/>
          <w:sz w:val="24"/>
          <w:szCs w:val="24"/>
        </w:rPr>
      </w:r>
      <w:r/>
    </w:p>
    <w:tbl>
      <w:tblPr>
        <w:tblW w:w="9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76"/>
        <w:gridCol w:w="749"/>
        <w:gridCol w:w="1559"/>
        <w:gridCol w:w="4945"/>
      </w:tblGrid>
      <w:tr>
        <w:trPr>
          <w:trHeight w:val="400"/>
          <w:tblHeader/>
        </w:trPr>
        <w:tc>
          <w:tcPr>
            <w:tcW w:w="993"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分类</w:t>
            </w: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系统</w:t>
            </w:r>
            <w:r>
              <w:rPr>
                <w:rFonts w:hint="eastAsia" w:ascii="宋体" w:hAnsi="宋体" w:cs="宋体"/>
                <w:b/>
                <w:bCs/>
                <w:sz w:val="24"/>
                <w:szCs w:val="24"/>
              </w:rPr>
            </w:r>
            <w:r/>
          </w:p>
        </w:tc>
        <w:tc>
          <w:tcPr>
            <w:tcW w:w="749" w:type="dxa"/>
            <w:vAlign w:val="center"/>
            <w:textDirection w:val="lrTb"/>
            <w:noWrap w:val="false"/>
          </w:tcPr>
          <w:p>
            <w:pPr>
              <w:pStyle w:val="959"/>
              <w:jc w:val="center"/>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59"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功能项</w:t>
            </w:r>
            <w:r>
              <w:rPr>
                <w:rFonts w:hint="eastAsia" w:ascii="宋体" w:hAnsi="宋体" w:cs="宋体"/>
                <w:b/>
                <w:bCs/>
                <w:sz w:val="24"/>
                <w:szCs w:val="24"/>
              </w:rPr>
            </w:r>
            <w:r/>
          </w:p>
        </w:tc>
        <w:tc>
          <w:tcPr>
            <w:tcW w:w="4945" w:type="dxa"/>
            <w:vAlign w:val="center"/>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说明</w:t>
            </w:r>
            <w:r>
              <w:rPr>
                <w:rFonts w:hint="eastAsia" w:ascii="宋体" w:hAnsi="宋体" w:cs="宋体"/>
                <w:b/>
                <w:bCs/>
                <w:sz w:val="24"/>
                <w:szCs w:val="24"/>
              </w:rPr>
            </w:r>
            <w:r/>
          </w:p>
        </w:tc>
      </w:tr>
      <w:tr>
        <w:trPr>
          <w:trHeight w:val="400"/>
        </w:trPr>
        <w:tc>
          <w:tcPr>
            <w:tcW w:w="993" w:type="dxa"/>
            <w:vAlign w:val="center"/>
            <w:vMerge w:val="restart"/>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职称评审</w:t>
            </w: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sz w:val="24"/>
                <w:szCs w:val="24"/>
              </w:rPr>
              <w:t xml:space="preserve">界面改造</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1</w:t>
            </w:r>
            <w:r/>
          </w:p>
        </w:tc>
        <w:tc>
          <w:tcPr>
            <w:tcW w:w="1559" w:type="dxa"/>
            <w:vAlign w:val="center"/>
            <w:textDirection w:val="lrTb"/>
            <w:noWrap/>
          </w:tcPr>
          <w:p>
            <w:pPr>
              <w:pStyle w:val="959"/>
              <w:jc w:val="center"/>
              <w:rPr>
                <w:rFonts w:hint="eastAsia" w:ascii="宋体" w:hAnsi="宋体" w:cs="宋体"/>
                <w:b/>
                <w:bCs/>
              </w:rPr>
            </w:pPr>
            <w:r>
              <w:rPr>
                <w:rFonts w:hint="eastAsia"/>
              </w:rPr>
              <w:t xml:space="preserve">职称评审界面改造</w:t>
            </w:r>
            <w:r>
              <w:rPr>
                <w:rFonts w:hint="eastAsia" w:ascii="宋体" w:hAnsi="宋体" w:cs="宋体"/>
                <w:b/>
                <w:bCs/>
              </w:rPr>
            </w:r>
            <w:r/>
          </w:p>
        </w:tc>
        <w:tc>
          <w:tcPr>
            <w:tcW w:w="4945" w:type="dxa"/>
            <w:vAlign w:val="center"/>
            <w:textDirection w:val="lrTb"/>
            <w:noWrap/>
          </w:tcPr>
          <w:p>
            <w:pPr>
              <w:pStyle w:val="959"/>
              <w:rPr>
                <w:rFonts w:hint="eastAsia" w:ascii="宋体" w:hAnsi="宋体" w:cs="宋体"/>
                <w:b/>
                <w:bCs/>
              </w:rPr>
            </w:pPr>
            <w:r>
              <w:rPr>
                <w:rFonts w:hint="eastAsia"/>
              </w:rPr>
              <w:t xml:space="preserve">对申报界面和评审界面进行重构，原功能迁移升级到最新版，界面优化调整，使界面更加清晰、美观。</w:t>
            </w:r>
            <w:r>
              <w:rPr>
                <w:rFonts w:hint="eastAsia" w:ascii="宋体" w:hAnsi="宋体" w:cs="宋体"/>
                <w:b/>
                <w:bCs/>
              </w:rPr>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sz w:val="24"/>
                <w:szCs w:val="24"/>
              </w:rPr>
              <w:t xml:space="preserve">资格审查</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2</w:t>
            </w:r>
            <w:r/>
          </w:p>
        </w:tc>
        <w:tc>
          <w:tcPr>
            <w:tcW w:w="1559" w:type="dxa"/>
            <w:vAlign w:val="center"/>
            <w:textDirection w:val="lrTb"/>
            <w:noWrap/>
          </w:tcPr>
          <w:p>
            <w:pPr>
              <w:pStyle w:val="959"/>
              <w:jc w:val="center"/>
              <w:rPr>
                <w:rFonts w:hint="eastAsia" w:ascii="宋体" w:hAnsi="宋体" w:cs="宋体"/>
                <w:b/>
                <w:bCs/>
              </w:rPr>
            </w:pPr>
            <w:r>
              <w:rPr>
                <w:rFonts w:hint="eastAsia"/>
              </w:rPr>
              <w:t xml:space="preserve">材料独立审核</w:t>
            </w:r>
            <w:r>
              <w:rPr>
                <w:rFonts w:hint="eastAsia" w:ascii="宋体" w:hAnsi="宋体" w:cs="宋体"/>
                <w:b/>
                <w:bCs/>
              </w:rPr>
            </w:r>
            <w:r/>
          </w:p>
        </w:tc>
        <w:tc>
          <w:tcPr>
            <w:tcW w:w="4945" w:type="dxa"/>
            <w:vAlign w:val="center"/>
            <w:textDirection w:val="lrTb"/>
            <w:noWrap/>
          </w:tcPr>
          <w:p>
            <w:pPr>
              <w:pStyle w:val="959"/>
              <w:rPr>
                <w:rFonts w:hint="eastAsia" w:ascii="宋体" w:hAnsi="宋体" w:cs="宋体"/>
                <w:b/>
                <w:bCs/>
              </w:rPr>
            </w:pPr>
            <w:r>
              <w:rPr>
                <w:rFonts w:hint="eastAsia"/>
              </w:rPr>
              <w:t xml:space="preserve">每个页签独立设置“通过/退回修改”，退回时必填意见，记录退回人和时间。（已审核通过的模块，申报人不能再修改）</w:t>
            </w:r>
            <w:r>
              <w:rPr>
                <w:rFonts w:hint="eastAsia" w:ascii="宋体" w:hAnsi="宋体" w:cs="宋体"/>
                <w:b/>
                <w:bCs/>
              </w:rPr>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textDirection w:val="lrTb"/>
            <w:noWrap/>
          </w:tcPr>
          <w:p>
            <w:pPr>
              <w:pStyle w:val="959"/>
              <w:jc w:val="center"/>
              <w:rPr>
                <w:rFonts w:hint="eastAsia" w:ascii="宋体" w:hAnsi="宋体" w:cs="宋体"/>
                <w:b/>
                <w:bCs/>
                <w:sz w:val="24"/>
                <w:szCs w:val="24"/>
              </w:rPr>
            </w:pPr>
            <w:r>
              <w:rPr>
                <w:rFonts w:hint="eastAsia"/>
                <w:sz w:val="24"/>
                <w:szCs w:val="24"/>
              </w:rPr>
              <w:t xml:space="preserve">流程改造</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w:t>
            </w:r>
            <w:r/>
          </w:p>
        </w:tc>
        <w:tc>
          <w:tcPr>
            <w:tcW w:w="1559" w:type="dxa"/>
            <w:vAlign w:val="center"/>
            <w:textDirection w:val="lrTb"/>
            <w:noWrap/>
          </w:tcPr>
          <w:p>
            <w:pPr>
              <w:pStyle w:val="959"/>
              <w:jc w:val="center"/>
              <w:rPr>
                <w:rFonts w:hint="eastAsia" w:ascii="宋体" w:hAnsi="宋体" w:cs="宋体"/>
                <w:b/>
                <w:bCs/>
              </w:rPr>
            </w:pPr>
            <w:r>
              <w:rPr>
                <w:rFonts w:hint="eastAsia"/>
              </w:rPr>
              <w:t xml:space="preserve">流程架构改造</w:t>
            </w:r>
            <w:r>
              <w:rPr>
                <w:rFonts w:hint="eastAsia" w:ascii="宋体" w:hAnsi="宋体" w:cs="宋体"/>
                <w:b/>
                <w:bCs/>
              </w:rPr>
            </w:r>
            <w:r/>
          </w:p>
        </w:tc>
        <w:tc>
          <w:tcPr>
            <w:tcW w:w="4945" w:type="dxa"/>
            <w:vAlign w:val="center"/>
            <w:textDirection w:val="lrTb"/>
            <w:noWrap/>
          </w:tcPr>
          <w:p>
            <w:pPr>
              <w:pStyle w:val="959"/>
              <w:rPr>
                <w:rFonts w:hint="eastAsia" w:ascii="宋体" w:hAnsi="宋体" w:cs="宋体"/>
                <w:b/>
                <w:bCs/>
              </w:rPr>
            </w:pPr>
            <w:r>
              <w:rPr>
                <w:rFonts w:hint="eastAsia"/>
              </w:rPr>
              <w:t xml:space="preserve">开发状态流转逻辑，在现有流程基础上，上会前增加外审专家评议环节。</w:t>
            </w:r>
            <w:r>
              <w:rPr>
                <w:rFonts w:hint="eastAsia" w:ascii="宋体" w:hAnsi="宋体" w:cs="宋体"/>
                <w:b/>
                <w:bCs/>
              </w:rPr>
            </w:r>
            <w:r/>
          </w:p>
        </w:tc>
      </w:tr>
      <w:tr>
        <w:trPr>
          <w:trHeight w:val="400"/>
        </w:trPr>
        <w:tc>
          <w:tcPr>
            <w:tcW w:w="993" w:type="dxa"/>
            <w:vAlign w:val="center"/>
            <w:vMerge w:val="restart"/>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二三级岗报名审核</w:t>
            </w: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批次管理</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4</w:t>
            </w:r>
            <w:r/>
          </w:p>
        </w:tc>
        <w:tc>
          <w:tcPr>
            <w:tcW w:w="1559" w:type="dxa"/>
            <w:vAlign w:val="center"/>
            <w:textDirection w:val="lrTb"/>
            <w:noWrap/>
          </w:tcPr>
          <w:p>
            <w:pPr>
              <w:pStyle w:val="959"/>
              <w:jc w:val="center"/>
            </w:pPr>
            <w:r>
              <w:rPr>
                <w:rFonts w:hint="eastAsia"/>
              </w:rPr>
              <w:t xml:space="preserve">批次创建</w:t>
            </w:r>
            <w:r/>
          </w:p>
        </w:tc>
        <w:tc>
          <w:tcPr>
            <w:tcW w:w="4945" w:type="dxa"/>
            <w:vAlign w:val="center"/>
            <w:textDirection w:val="lrTb"/>
            <w:noWrap/>
          </w:tcPr>
          <w:p>
            <w:pPr>
              <w:pStyle w:val="959"/>
            </w:pPr>
            <w:r>
              <w:rPr>
                <w:rFonts w:hint="eastAsia"/>
              </w:rPr>
              <w:t xml:space="preserve">人事处创建报名批次。实现前后端校验，如开始时间、截止时间、批次名称唯一性校验等。</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rPr>
                <w:rFonts w:hint="eastAsia"/>
              </w:rPr>
            </w:pPr>
            <w:r>
              <w:rPr>
                <w:rFonts w:hint="eastAsia"/>
              </w:rPr>
              <w:t xml:space="preserve">5</w:t>
            </w:r>
            <w:r>
              <w:rPr>
                <w:rFonts w:hint="eastAsia"/>
              </w:rPr>
            </w:r>
            <w:r/>
          </w:p>
        </w:tc>
        <w:tc>
          <w:tcPr>
            <w:tcW w:w="1559" w:type="dxa"/>
            <w:vAlign w:val="center"/>
            <w:textDirection w:val="lrTb"/>
            <w:noWrap/>
          </w:tcPr>
          <w:p>
            <w:pPr>
              <w:pStyle w:val="959"/>
              <w:jc w:val="center"/>
              <w:rPr>
                <w:rFonts w:hint="eastAsia"/>
              </w:rPr>
            </w:pPr>
            <w:r>
              <w:rPr>
                <w:rFonts w:hint="eastAsia"/>
              </w:rPr>
              <w:t xml:space="preserve">批次发布</w:t>
            </w:r>
            <w:r>
              <w:rPr>
                <w:rFonts w:hint="eastAsia"/>
              </w:rPr>
            </w:r>
            <w:r/>
          </w:p>
        </w:tc>
        <w:tc>
          <w:tcPr>
            <w:tcW w:w="4945" w:type="dxa"/>
            <w:vAlign w:val="center"/>
            <w:textDirection w:val="lrTb"/>
            <w:noWrap/>
          </w:tcPr>
          <w:p>
            <w:pPr>
              <w:pStyle w:val="959"/>
              <w:rPr>
                <w:rFonts w:hint="eastAsia"/>
              </w:rPr>
            </w:pPr>
            <w:r>
              <w:rPr>
                <w:rFonts w:hint="eastAsia"/>
              </w:rPr>
              <w:t xml:space="preserve">批次发布后员工端可见；支持未发布、进行中、已截止状态流转；未发布状态可编辑删除，已发布不可删除。</w:t>
            </w:r>
            <w:r>
              <w:rPr>
                <w:rFonts w:hint="eastAsia"/>
              </w:rPr>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职工报名</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6</w:t>
            </w:r>
            <w:r/>
          </w:p>
        </w:tc>
        <w:tc>
          <w:tcPr>
            <w:tcW w:w="1559" w:type="dxa"/>
            <w:vAlign w:val="center"/>
            <w:textDirection w:val="lrTb"/>
            <w:noWrap/>
          </w:tcPr>
          <w:p>
            <w:pPr>
              <w:pStyle w:val="959"/>
              <w:jc w:val="center"/>
            </w:pPr>
            <w:r>
              <w:rPr>
                <w:rFonts w:hint="eastAsia"/>
              </w:rPr>
              <w:t xml:space="preserve">登录与权限控制</w:t>
            </w:r>
            <w:r/>
          </w:p>
        </w:tc>
        <w:tc>
          <w:tcPr>
            <w:tcW w:w="4945" w:type="dxa"/>
            <w:vAlign w:val="center"/>
            <w:textDirection w:val="lrTb"/>
            <w:noWrap/>
          </w:tcPr>
          <w:p>
            <w:pPr>
              <w:pStyle w:val="959"/>
            </w:pPr>
            <w:r>
              <w:rPr>
                <w:rFonts w:hint="eastAsia"/>
              </w:rPr>
              <w:t xml:space="preserve">工号登录、员工自助入口、报名权限校验，根据正高聘任年限不同进入不同申报路径，申报时根据符合的条件展示本人符合申报条件的成果，并进行勾选。</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7</w:t>
            </w:r>
            <w:r/>
          </w:p>
        </w:tc>
        <w:tc>
          <w:tcPr>
            <w:tcW w:w="1559" w:type="dxa"/>
            <w:vAlign w:val="center"/>
            <w:textDirection w:val="lrTb"/>
            <w:noWrap/>
          </w:tcPr>
          <w:p>
            <w:pPr>
              <w:pStyle w:val="959"/>
              <w:jc w:val="center"/>
            </w:pPr>
            <w:r>
              <w:rPr>
                <w:rFonts w:hint="eastAsia"/>
              </w:rPr>
              <w:t xml:space="preserve">报名首页</w:t>
            </w:r>
            <w:r/>
          </w:p>
        </w:tc>
        <w:tc>
          <w:tcPr>
            <w:tcW w:w="4945" w:type="dxa"/>
            <w:vAlign w:val="center"/>
            <w:textDirection w:val="lrTb"/>
            <w:noWrap/>
          </w:tcPr>
          <w:p>
            <w:pPr>
              <w:pStyle w:val="959"/>
            </w:pPr>
            <w:r>
              <w:rPr>
                <w:rFonts w:hint="eastAsia"/>
              </w:rPr>
              <w:t xml:space="preserve">报名主界面：校验专技四级身份、展示可报名批次、下载文件、进入报名流程。</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8</w:t>
            </w:r>
            <w:r/>
          </w:p>
        </w:tc>
        <w:tc>
          <w:tcPr>
            <w:tcW w:w="1559" w:type="dxa"/>
            <w:vAlign w:val="center"/>
            <w:textDirection w:val="lrTb"/>
            <w:noWrap/>
          </w:tcPr>
          <w:p>
            <w:pPr>
              <w:pStyle w:val="959"/>
              <w:jc w:val="center"/>
            </w:pPr>
            <w:r>
              <w:rPr>
                <w:rFonts w:hint="eastAsia"/>
              </w:rPr>
              <w:t xml:space="preserve">保存草稿</w:t>
            </w:r>
            <w:r/>
          </w:p>
        </w:tc>
        <w:tc>
          <w:tcPr>
            <w:tcW w:w="4945" w:type="dxa"/>
            <w:vAlign w:val="center"/>
            <w:textDirection w:val="lrTb"/>
            <w:noWrap/>
          </w:tcPr>
          <w:p>
            <w:pPr>
              <w:pStyle w:val="959"/>
            </w:pPr>
            <w:r>
              <w:rPr>
                <w:rFonts w:hint="eastAsia"/>
              </w:rPr>
              <w:t xml:space="preserve">员工随时保存拟申报信息为草稿，下次进入可继续填写。</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9</w:t>
            </w:r>
            <w:r/>
          </w:p>
        </w:tc>
        <w:tc>
          <w:tcPr>
            <w:tcW w:w="1559" w:type="dxa"/>
            <w:vAlign w:val="center"/>
            <w:textDirection w:val="lrTb"/>
            <w:noWrap/>
          </w:tcPr>
          <w:p>
            <w:pPr>
              <w:pStyle w:val="959"/>
              <w:jc w:val="center"/>
            </w:pPr>
            <w:r>
              <w:rPr>
                <w:rFonts w:hint="eastAsia"/>
              </w:rPr>
              <w:t xml:space="preserve">拟申报信息界面</w:t>
            </w:r>
            <w:r/>
          </w:p>
        </w:tc>
        <w:tc>
          <w:tcPr>
            <w:tcW w:w="4945" w:type="dxa"/>
            <w:vAlign w:val="center"/>
            <w:textDirection w:val="lrTb"/>
            <w:noWrap/>
          </w:tcPr>
          <w:p>
            <w:pPr>
              <w:pStyle w:val="959"/>
            </w:pPr>
            <w:r>
              <w:rPr>
                <w:rFonts w:hint="eastAsia"/>
              </w:rPr>
              <w:t xml:space="preserve">拟报名界面定制，基础模块数据与该模块进行同步。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10</w:t>
            </w:r>
            <w:r/>
          </w:p>
        </w:tc>
        <w:tc>
          <w:tcPr>
            <w:tcW w:w="1559" w:type="dxa"/>
            <w:vAlign w:val="center"/>
            <w:textDirection w:val="lrTb"/>
            <w:noWrap/>
          </w:tcPr>
          <w:p>
            <w:pPr>
              <w:pStyle w:val="959"/>
              <w:jc w:val="center"/>
            </w:pPr>
            <w:r>
              <w:rPr>
                <w:rFonts w:hint="eastAsia"/>
              </w:rPr>
              <w:t xml:space="preserve">个人承诺书生成</w:t>
            </w:r>
            <w:r/>
          </w:p>
        </w:tc>
        <w:tc>
          <w:tcPr>
            <w:tcW w:w="4945" w:type="dxa"/>
            <w:vAlign w:val="center"/>
            <w:textDirection w:val="lrTb"/>
            <w:noWrap/>
          </w:tcPr>
          <w:p>
            <w:pPr>
              <w:pStyle w:val="959"/>
            </w:pPr>
            <w:r>
              <w:rPr>
                <w:rFonts w:hint="eastAsia"/>
              </w:rPr>
              <w:t xml:space="preserve">在手机端签字提交后，同步至承诺书签名处，控制流程跳转。</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11</w:t>
            </w:r>
            <w:r/>
          </w:p>
        </w:tc>
        <w:tc>
          <w:tcPr>
            <w:tcW w:w="1559" w:type="dxa"/>
            <w:vAlign w:val="center"/>
            <w:textDirection w:val="lrTb"/>
            <w:noWrap/>
          </w:tcPr>
          <w:p>
            <w:pPr>
              <w:pStyle w:val="959"/>
              <w:jc w:val="center"/>
            </w:pPr>
            <w:r>
              <w:rPr>
                <w:rFonts w:hint="eastAsia"/>
              </w:rPr>
              <w:t xml:space="preserve">基本材料填写</w:t>
            </w:r>
            <w:r/>
          </w:p>
        </w:tc>
        <w:tc>
          <w:tcPr>
            <w:tcW w:w="4945" w:type="dxa"/>
            <w:vAlign w:val="center"/>
            <w:textDirection w:val="lrTb"/>
            <w:noWrap/>
          </w:tcPr>
          <w:p>
            <w:pPr>
              <w:pStyle w:val="959"/>
            </w:pPr>
            <w:r>
              <w:rPr>
                <w:rFonts w:hint="eastAsia"/>
              </w:rPr>
              <w:t xml:space="preserve">基本材料，包括：基本信息、资历情况、学历情况、培训情况、年度考核、工作经历，同时根据每项材料的取数逻辑，生成报名的数据。</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12</w:t>
            </w:r>
            <w:r/>
          </w:p>
        </w:tc>
        <w:tc>
          <w:tcPr>
            <w:tcW w:w="1559" w:type="dxa"/>
            <w:vAlign w:val="center"/>
            <w:textDirection w:val="lrTb"/>
            <w:noWrap/>
          </w:tcPr>
          <w:p>
            <w:pPr>
              <w:pStyle w:val="959"/>
              <w:jc w:val="center"/>
            </w:pPr>
            <w:r>
              <w:rPr>
                <w:rFonts w:hint="eastAsia"/>
              </w:rPr>
              <w:t xml:space="preserve">其他材料填写</w:t>
            </w:r>
            <w:r/>
          </w:p>
        </w:tc>
        <w:tc>
          <w:tcPr>
            <w:tcW w:w="4945" w:type="dxa"/>
            <w:vAlign w:val="center"/>
            <w:textDirection w:val="lrTb"/>
            <w:noWrap/>
          </w:tcPr>
          <w:p>
            <w:pPr>
              <w:pStyle w:val="959"/>
            </w:pPr>
            <w:r>
              <w:rPr>
                <w:rFonts w:hint="eastAsia"/>
              </w:rPr>
              <w:t xml:space="preserve">读取人才档案中论文、学术任职、其他成果等信息并进行勾选，填写其他情况说明。</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13</w:t>
            </w:r>
            <w:r/>
          </w:p>
        </w:tc>
        <w:tc>
          <w:tcPr>
            <w:tcW w:w="1559" w:type="dxa"/>
            <w:vAlign w:val="center"/>
            <w:textDirection w:val="lrTb"/>
            <w:noWrap/>
          </w:tcPr>
          <w:p>
            <w:pPr>
              <w:pStyle w:val="959"/>
              <w:jc w:val="center"/>
            </w:pPr>
            <w:r>
              <w:rPr>
                <w:rFonts w:hint="eastAsia"/>
              </w:rPr>
              <w:t xml:space="preserve">必填项校验</w:t>
            </w:r>
            <w:r/>
          </w:p>
        </w:tc>
        <w:tc>
          <w:tcPr>
            <w:tcW w:w="4945" w:type="dxa"/>
            <w:vAlign w:val="center"/>
            <w:textDirection w:val="lrTb"/>
            <w:noWrap/>
          </w:tcPr>
          <w:p>
            <w:pPr>
              <w:pStyle w:val="959"/>
            </w:pPr>
            <w:r>
              <w:rPr>
                <w:rFonts w:hint="eastAsia"/>
              </w:rPr>
              <w:t xml:space="preserve">开发必填材料校验功能，校验标记为“必填”的字段是否已填写，给出字段及错误提示。</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14</w:t>
            </w:r>
            <w:r/>
          </w:p>
        </w:tc>
        <w:tc>
          <w:tcPr>
            <w:tcW w:w="1559" w:type="dxa"/>
            <w:vAlign w:val="center"/>
            <w:textDirection w:val="lrTb"/>
            <w:noWrap/>
          </w:tcPr>
          <w:p>
            <w:pPr>
              <w:pStyle w:val="959"/>
              <w:jc w:val="center"/>
            </w:pPr>
            <w:r>
              <w:rPr>
                <w:rFonts w:hint="eastAsia"/>
              </w:rPr>
              <w:t xml:space="preserve">条件数量校验</w:t>
            </w:r>
            <w:r/>
          </w:p>
        </w:tc>
        <w:tc>
          <w:tcPr>
            <w:tcW w:w="4945" w:type="dxa"/>
            <w:vAlign w:val="center"/>
            <w:textDirection w:val="lrTb"/>
            <w:noWrap/>
          </w:tcPr>
          <w:p>
            <w:pPr>
              <w:pStyle w:val="959"/>
            </w:pPr>
            <w:r>
              <w:rPr>
                <w:rFonts w:hint="eastAsia"/>
              </w:rPr>
              <w:t xml:space="preserve">根据规则引擎要求，校验实际选择的申报条件数量是否符合路线要求。</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审核流程</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15</w:t>
            </w:r>
            <w:r/>
          </w:p>
        </w:tc>
        <w:tc>
          <w:tcPr>
            <w:tcW w:w="1559" w:type="dxa"/>
            <w:vAlign w:val="center"/>
            <w:textDirection w:val="lrTb"/>
            <w:noWrap/>
          </w:tcPr>
          <w:p>
            <w:pPr>
              <w:pStyle w:val="959"/>
              <w:jc w:val="center"/>
            </w:pPr>
            <w:r>
              <w:rPr>
                <w:rFonts w:hint="eastAsia"/>
              </w:rPr>
              <w:t xml:space="preserve">整体流程架构</w:t>
            </w:r>
            <w:r/>
          </w:p>
        </w:tc>
        <w:tc>
          <w:tcPr>
            <w:tcW w:w="4945" w:type="dxa"/>
            <w:vAlign w:val="center"/>
            <w:textDirection w:val="lrTb"/>
            <w:noWrap/>
          </w:tcPr>
          <w:p>
            <w:pPr>
              <w:pStyle w:val="959"/>
            </w:pPr>
            <w:r>
              <w:rPr>
                <w:rFonts w:hint="eastAsia"/>
              </w:rPr>
              <w:t xml:space="preserve">开发状态流转逻辑，主要包括：待初审→初审通过/退回→复审通过/退回→PPT确认→赋分→生成申报表→评审结果录入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16</w:t>
            </w:r>
            <w:r/>
          </w:p>
        </w:tc>
        <w:tc>
          <w:tcPr>
            <w:tcW w:w="1559" w:type="dxa"/>
            <w:vAlign w:val="center"/>
            <w:textDirection w:val="lrTb"/>
            <w:noWrap/>
          </w:tcPr>
          <w:p>
            <w:pPr>
              <w:pStyle w:val="959"/>
              <w:jc w:val="center"/>
            </w:pPr>
            <w:r>
              <w:rPr>
                <w:rFonts w:hint="eastAsia"/>
              </w:rPr>
              <w:t xml:space="preserve">主体界面构建</w:t>
            </w:r>
            <w:r/>
          </w:p>
        </w:tc>
        <w:tc>
          <w:tcPr>
            <w:tcW w:w="4945" w:type="dxa"/>
            <w:vAlign w:val="center"/>
            <w:textDirection w:val="lrTb"/>
            <w:noWrap/>
          </w:tcPr>
          <w:p>
            <w:pPr>
              <w:pStyle w:val="959"/>
            </w:pPr>
            <w:r>
              <w:rPr>
                <w:rFonts w:hint="eastAsia"/>
              </w:rPr>
              <w:t xml:space="preserve">定制组织人事处审核页面，支持筛选、搜索、分页等功能。</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17</w:t>
            </w:r>
            <w:r/>
          </w:p>
        </w:tc>
        <w:tc>
          <w:tcPr>
            <w:tcW w:w="1559" w:type="dxa"/>
            <w:vAlign w:val="center"/>
            <w:textDirection w:val="lrTb"/>
            <w:noWrap/>
          </w:tcPr>
          <w:p>
            <w:pPr>
              <w:pStyle w:val="959"/>
              <w:jc w:val="center"/>
            </w:pPr>
            <w:r>
              <w:rPr>
                <w:rFonts w:hint="eastAsia"/>
              </w:rPr>
              <w:t xml:space="preserve">申报材料展示</w:t>
            </w:r>
            <w:r/>
          </w:p>
        </w:tc>
        <w:tc>
          <w:tcPr>
            <w:tcW w:w="4945" w:type="dxa"/>
            <w:vAlign w:val="center"/>
            <w:textDirection w:val="lrTb"/>
            <w:noWrap/>
          </w:tcPr>
          <w:p>
            <w:pPr>
              <w:pStyle w:val="959"/>
            </w:pPr>
            <w:r>
              <w:rPr>
                <w:rFonts w:hint="eastAsia"/>
              </w:rPr>
              <w:t xml:space="preserve">对员工提交的申报材料进行展示，支持附件预览。</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rPr>
                <w:rFonts w:ascii="Segoe UI Emoji" w:hAnsi="Segoe UI Emoji" w:cs="Segoe UI Emoji"/>
              </w:rPr>
            </w:pPr>
            <w:r>
              <w:rPr>
                <w:rFonts w:hint="eastAsia"/>
              </w:rPr>
              <w:t xml:space="preserve">18</w:t>
            </w:r>
            <w:r>
              <w:rPr>
                <w:rFonts w:ascii="Segoe UI Emoji" w:hAnsi="Segoe UI Emoji" w:cs="Segoe UI Emoji"/>
              </w:rPr>
            </w:r>
            <w:r/>
          </w:p>
        </w:tc>
        <w:tc>
          <w:tcPr>
            <w:tcW w:w="1559" w:type="dxa"/>
            <w:vAlign w:val="center"/>
            <w:textDirection w:val="lrTb"/>
            <w:noWrap/>
          </w:tcPr>
          <w:p>
            <w:pPr>
              <w:pStyle w:val="959"/>
              <w:jc w:val="center"/>
            </w:pPr>
            <w:r>
              <w:rPr>
                <w:rFonts w:hint="eastAsia"/>
              </w:rPr>
              <w:t xml:space="preserve">材料独立审核</w:t>
            </w:r>
            <w:r/>
          </w:p>
        </w:tc>
        <w:tc>
          <w:tcPr>
            <w:tcW w:w="4945" w:type="dxa"/>
            <w:vAlign w:val="center"/>
            <w:textDirection w:val="lrTb"/>
            <w:noWrap/>
          </w:tcPr>
          <w:p>
            <w:pPr>
              <w:pStyle w:val="959"/>
            </w:pPr>
            <w:r>
              <w:rPr>
                <w:rFonts w:hint="eastAsia"/>
              </w:rPr>
              <w:t xml:space="preserve">每个页签独立设置“通过/退回修改”，退回时必填意见，记录退回人和时间。（已审核通过的模块，申报人不能再修改）</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PPT演示</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19</w:t>
            </w:r>
            <w:r/>
          </w:p>
        </w:tc>
        <w:tc>
          <w:tcPr>
            <w:tcW w:w="1559" w:type="dxa"/>
            <w:vAlign w:val="center"/>
            <w:textDirection w:val="lrTb"/>
            <w:noWrap/>
          </w:tcPr>
          <w:p>
            <w:pPr>
              <w:pStyle w:val="959"/>
              <w:jc w:val="center"/>
            </w:pPr>
            <w:r>
              <w:rPr>
                <w:rFonts w:hint="eastAsia"/>
              </w:rPr>
              <w:t xml:space="preserve">PPT后端取数</w:t>
            </w:r>
            <w:r/>
          </w:p>
        </w:tc>
        <w:tc>
          <w:tcPr>
            <w:tcW w:w="4945" w:type="dxa"/>
            <w:vAlign w:val="center"/>
            <w:textDirection w:val="lrTb"/>
            <w:noWrap/>
          </w:tcPr>
          <w:p>
            <w:pPr>
              <w:pStyle w:val="959"/>
            </w:pPr>
            <w:r>
              <w:rPr>
                <w:rFonts w:hint="eastAsia"/>
              </w:rPr>
              <w:t xml:space="preserve">根据每位员工的申报数据，动态填充PPT模板。</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20</w:t>
            </w:r>
            <w:r/>
          </w:p>
        </w:tc>
        <w:tc>
          <w:tcPr>
            <w:tcW w:w="1559" w:type="dxa"/>
            <w:vAlign w:val="center"/>
            <w:textDirection w:val="lrTb"/>
            <w:noWrap/>
          </w:tcPr>
          <w:p>
            <w:pPr>
              <w:pStyle w:val="959"/>
              <w:jc w:val="center"/>
            </w:pPr>
            <w:r>
              <w:rPr>
                <w:rFonts w:hint="eastAsia"/>
              </w:rPr>
              <w:t xml:space="preserve">PPT前端展示</w:t>
            </w:r>
            <w:r/>
          </w:p>
        </w:tc>
        <w:tc>
          <w:tcPr>
            <w:tcW w:w="4945" w:type="dxa"/>
            <w:vAlign w:val="center"/>
            <w:textDirection w:val="lrTb"/>
            <w:noWrap/>
          </w:tcPr>
          <w:p>
            <w:pPr>
              <w:pStyle w:val="959"/>
            </w:pPr>
            <w:r>
              <w:rPr>
                <w:rFonts w:hint="eastAsia"/>
              </w:rPr>
              <w:t xml:space="preserve">员工端PPT预览界面定制，支持根据二级、三级开发不同的个人述职PPT进行在线查看。</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21</w:t>
            </w:r>
            <w:r/>
          </w:p>
        </w:tc>
        <w:tc>
          <w:tcPr>
            <w:tcW w:w="1559" w:type="dxa"/>
            <w:vAlign w:val="center"/>
            <w:textDirection w:val="lrTb"/>
            <w:noWrap/>
          </w:tcPr>
          <w:p>
            <w:pPr>
              <w:pStyle w:val="959"/>
              <w:jc w:val="center"/>
            </w:pPr>
            <w:r>
              <w:rPr>
                <w:rFonts w:hint="eastAsia"/>
              </w:rPr>
              <w:t xml:space="preserve">PPT提交锁定</w:t>
            </w:r>
            <w:r/>
          </w:p>
        </w:tc>
        <w:tc>
          <w:tcPr>
            <w:tcW w:w="4945" w:type="dxa"/>
            <w:vAlign w:val="center"/>
            <w:textDirection w:val="lrTb"/>
            <w:noWrap/>
          </w:tcPr>
          <w:p>
            <w:pPr>
              <w:pStyle w:val="959"/>
            </w:pPr>
            <w:r>
              <w:rPr>
                <w:rFonts w:hint="eastAsia"/>
              </w:rPr>
              <w:t xml:space="preserve">员工PPT确认功能及确认后锁定PPT查看状态。</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22</w:t>
            </w:r>
            <w:r/>
          </w:p>
        </w:tc>
        <w:tc>
          <w:tcPr>
            <w:tcW w:w="1559" w:type="dxa"/>
            <w:vAlign w:val="center"/>
            <w:textDirection w:val="lrTb"/>
            <w:noWrap/>
          </w:tcPr>
          <w:p>
            <w:pPr>
              <w:pStyle w:val="959"/>
              <w:jc w:val="center"/>
            </w:pPr>
            <w:r>
              <w:rPr>
                <w:rFonts w:hint="eastAsia"/>
              </w:rPr>
              <w:t xml:space="preserve">查看PPT确认情况</w:t>
            </w:r>
            <w:r/>
          </w:p>
        </w:tc>
        <w:tc>
          <w:tcPr>
            <w:tcW w:w="4945" w:type="dxa"/>
            <w:vAlign w:val="center"/>
            <w:textDirection w:val="lrTb"/>
            <w:noWrap/>
          </w:tcPr>
          <w:p>
            <w:pPr>
              <w:pStyle w:val="959"/>
            </w:pPr>
            <w:r>
              <w:rPr>
                <w:rFonts w:hint="eastAsia"/>
              </w:rPr>
              <w:t xml:space="preserve">组织人事处确认情况查看功能，展示复审通过人员的PPT确认状态，支持筛选未确认员工。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评委会评审</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23</w:t>
            </w:r>
            <w:r/>
          </w:p>
        </w:tc>
        <w:tc>
          <w:tcPr>
            <w:tcW w:w="1559" w:type="dxa"/>
            <w:vAlign w:val="center"/>
            <w:textDirection w:val="lrTb"/>
            <w:noWrap/>
          </w:tcPr>
          <w:p>
            <w:pPr>
              <w:pStyle w:val="959"/>
              <w:jc w:val="center"/>
            </w:pPr>
            <w:r>
              <w:rPr>
                <w:rFonts w:hint="eastAsia"/>
              </w:rPr>
              <w:t xml:space="preserve">标记硬性条件</w:t>
            </w:r>
            <w:r/>
          </w:p>
        </w:tc>
        <w:tc>
          <w:tcPr>
            <w:tcW w:w="4945" w:type="dxa"/>
            <w:vAlign w:val="center"/>
            <w:textDirection w:val="lrTb"/>
            <w:noWrap/>
          </w:tcPr>
          <w:p>
            <w:pPr>
              <w:pStyle w:val="959"/>
            </w:pPr>
            <w:r>
              <w:rPr>
                <w:rFonts w:hint="eastAsia"/>
              </w:rPr>
              <w:t xml:space="preserve">能够标记申报人员“硬性条件是否满足”。</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24</w:t>
            </w:r>
            <w:r/>
          </w:p>
        </w:tc>
        <w:tc>
          <w:tcPr>
            <w:tcW w:w="1559" w:type="dxa"/>
            <w:vAlign w:val="center"/>
            <w:textDirection w:val="lrTb"/>
            <w:noWrap/>
          </w:tcPr>
          <w:p>
            <w:pPr>
              <w:pStyle w:val="959"/>
              <w:jc w:val="center"/>
            </w:pPr>
            <w:r>
              <w:rPr>
                <w:rFonts w:hint="eastAsia"/>
              </w:rPr>
              <w:t xml:space="preserve">《专家评议表》导出</w:t>
            </w:r>
            <w:r/>
          </w:p>
        </w:tc>
        <w:tc>
          <w:tcPr>
            <w:tcW w:w="4945" w:type="dxa"/>
            <w:vAlign w:val="center"/>
            <w:textDirection w:val="lrTb"/>
            <w:noWrap/>
          </w:tcPr>
          <w:p>
            <w:pPr>
              <w:pStyle w:val="959"/>
            </w:pPr>
            <w:r>
              <w:rPr>
                <w:rFonts w:hint="eastAsia"/>
              </w:rPr>
              <w:t xml:space="preserve">按照申报级别、人员类别、是否满足硬性条件分类导出《专家评议表》，开发导出配置逻辑。</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sz w:val="24"/>
                <w:szCs w:val="24"/>
              </w:rPr>
            </w:pP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25</w:t>
            </w:r>
            <w:r/>
          </w:p>
        </w:tc>
        <w:tc>
          <w:tcPr>
            <w:tcW w:w="1559" w:type="dxa"/>
            <w:vAlign w:val="center"/>
            <w:textDirection w:val="lrTb"/>
            <w:noWrap/>
          </w:tcPr>
          <w:p>
            <w:pPr>
              <w:pStyle w:val="959"/>
              <w:jc w:val="center"/>
            </w:pPr>
            <w:r>
              <w:rPr>
                <w:rFonts w:hint="eastAsia"/>
              </w:rPr>
              <w:t xml:space="preserve">评审结果录入</w:t>
            </w:r>
            <w:r/>
          </w:p>
        </w:tc>
        <w:tc>
          <w:tcPr>
            <w:tcW w:w="4945" w:type="dxa"/>
            <w:vAlign w:val="center"/>
            <w:textDirection w:val="lrTb"/>
            <w:noWrap/>
          </w:tcPr>
          <w:p>
            <w:pPr>
              <w:pStyle w:val="959"/>
            </w:pPr>
            <w:r>
              <w:rPr>
                <w:rFonts w:hint="eastAsia"/>
              </w:rPr>
              <w:t xml:space="preserve">评审结果录入功能，支持单个或批量操作。</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报表与导出</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26</w:t>
            </w:r>
            <w:r/>
          </w:p>
        </w:tc>
        <w:tc>
          <w:tcPr>
            <w:tcW w:w="1559" w:type="dxa"/>
            <w:vAlign w:val="center"/>
            <w:textDirection w:val="lrTb"/>
            <w:noWrap/>
          </w:tcPr>
          <w:p>
            <w:pPr>
              <w:pStyle w:val="959"/>
              <w:jc w:val="center"/>
            </w:pPr>
            <w:r>
              <w:rPr>
                <w:rFonts w:hint="eastAsia"/>
              </w:rPr>
              <w:t xml:space="preserve">人员取数</w:t>
            </w:r>
            <w:r/>
          </w:p>
        </w:tc>
        <w:tc>
          <w:tcPr>
            <w:tcW w:w="4945" w:type="dxa"/>
            <w:vAlign w:val="center"/>
            <w:textDirection w:val="lrTb"/>
            <w:noWrap/>
          </w:tcPr>
          <w:p>
            <w:pPr>
              <w:pStyle w:val="959"/>
            </w:pPr>
            <w:r>
              <w:rPr>
                <w:rFonts w:hint="eastAsia"/>
              </w:rPr>
              <w:t xml:space="preserve">各类统计报表的数据导出功能，包括《申报表》、《推荐汇总表》、《封面》、《目录》，包含复杂取数逻辑。</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27</w:t>
            </w:r>
            <w:r/>
          </w:p>
        </w:tc>
        <w:tc>
          <w:tcPr>
            <w:tcW w:w="1559" w:type="dxa"/>
            <w:vAlign w:val="center"/>
            <w:textDirection w:val="lrTb"/>
            <w:noWrap/>
          </w:tcPr>
          <w:p>
            <w:pPr>
              <w:pStyle w:val="959"/>
              <w:jc w:val="center"/>
            </w:pPr>
            <w:r>
              <w:rPr>
                <w:rFonts w:hint="eastAsia"/>
              </w:rPr>
              <w:t xml:space="preserve">报表人员排序</w:t>
            </w:r>
            <w:r/>
          </w:p>
        </w:tc>
        <w:tc>
          <w:tcPr>
            <w:tcW w:w="4945" w:type="dxa"/>
            <w:vAlign w:val="center"/>
            <w:textDirection w:val="lrTb"/>
            <w:noWrap/>
          </w:tcPr>
          <w:p>
            <w:pPr>
              <w:pStyle w:val="959"/>
            </w:pPr>
            <w:r>
              <w:rPr>
                <w:rFonts w:hint="eastAsia"/>
              </w:rPr>
              <w:t xml:space="preserve">各类导出报表中，实现复杂排序规则设置。</w:t>
            </w:r>
            <w:r/>
          </w:p>
        </w:tc>
      </w:tr>
      <w:tr>
        <w:trPr>
          <w:trHeight w:val="400"/>
        </w:trPr>
        <w:tc>
          <w:tcPr>
            <w:tcW w:w="993" w:type="dxa"/>
            <w:vAlign w:val="center"/>
            <w:vMerge w:val="restart"/>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t xml:space="preserve">异地评议</w:t>
            </w: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b/>
                <w:bCs/>
                <w:sz w:val="24"/>
                <w:szCs w:val="24"/>
              </w:rPr>
            </w:pPr>
            <w:r>
              <w:rPr>
                <w:rFonts w:hint="eastAsia"/>
                <w:sz w:val="24"/>
                <w:szCs w:val="24"/>
              </w:rPr>
              <w:t xml:space="preserve">异评管理</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ascii="Segoe UI Emoji" w:hAnsi="Segoe UI Emoji" w:cs="Segoe UI Emoji"/>
              </w:rPr>
              <w:t xml:space="preserve">28</w:t>
            </w:r>
            <w:r/>
          </w:p>
        </w:tc>
        <w:tc>
          <w:tcPr>
            <w:tcW w:w="1559" w:type="dxa"/>
            <w:vAlign w:val="center"/>
            <w:textDirection w:val="lrTb"/>
            <w:noWrap/>
          </w:tcPr>
          <w:p>
            <w:pPr>
              <w:pStyle w:val="959"/>
              <w:jc w:val="center"/>
            </w:pPr>
            <w:r>
              <w:rPr>
                <w:rFonts w:hint="eastAsia"/>
              </w:rPr>
              <w:t xml:space="preserve">主界面构建</w:t>
            </w:r>
            <w:r/>
          </w:p>
        </w:tc>
        <w:tc>
          <w:tcPr>
            <w:tcW w:w="4945" w:type="dxa"/>
            <w:vAlign w:val="center"/>
            <w:textDirection w:val="lrTb"/>
            <w:noWrap/>
          </w:tcPr>
          <w:p>
            <w:pPr>
              <w:pStyle w:val="959"/>
            </w:pPr>
            <w:r>
              <w:rPr>
                <w:rFonts w:hint="eastAsia"/>
              </w:rPr>
              <w:t xml:space="preserve">构建“异评管理”模块的主界面。</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rPr>
                <w:rFonts w:ascii="Segoe UI Emoji" w:hAnsi="Segoe UI Emoji" w:cs="Segoe UI Emoji"/>
              </w:rPr>
            </w:pPr>
            <w:r>
              <w:rPr>
                <w:rFonts w:hint="eastAsia"/>
              </w:rPr>
              <w:t xml:space="preserve">29</w:t>
            </w:r>
            <w:r>
              <w:rPr>
                <w:rFonts w:ascii="Segoe UI Emoji" w:hAnsi="Segoe UI Emoji" w:cs="Segoe UI Emoji"/>
              </w:rPr>
            </w:r>
            <w:r/>
          </w:p>
        </w:tc>
        <w:tc>
          <w:tcPr>
            <w:tcW w:w="1559" w:type="dxa"/>
            <w:vAlign w:val="center"/>
            <w:textDirection w:val="lrTb"/>
            <w:noWrap/>
          </w:tcPr>
          <w:p>
            <w:pPr>
              <w:pStyle w:val="959"/>
              <w:jc w:val="center"/>
            </w:pPr>
            <w:r>
              <w:rPr>
                <w:rFonts w:hint="eastAsia"/>
              </w:rPr>
              <w:t xml:space="preserve">批次设置</w:t>
            </w:r>
            <w:r/>
          </w:p>
        </w:tc>
        <w:tc>
          <w:tcPr>
            <w:tcW w:w="4945" w:type="dxa"/>
            <w:vAlign w:val="center"/>
            <w:textDirection w:val="lrTb"/>
            <w:noWrap/>
          </w:tcPr>
          <w:p>
            <w:pPr>
              <w:pStyle w:val="959"/>
            </w:pPr>
            <w:r>
              <w:rPr>
                <w:rFonts w:hint="eastAsia"/>
              </w:rPr>
              <w:t xml:space="preserve">批次创建/编辑/删除，设置起止时间，手动延长/关闭，关联职称批次，手动选择外审专家可以评审的信息页签。</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30</w:t>
            </w:r>
            <w:r/>
          </w:p>
        </w:tc>
        <w:tc>
          <w:tcPr>
            <w:tcW w:w="1559" w:type="dxa"/>
            <w:vAlign w:val="center"/>
            <w:textDirection w:val="lrTb"/>
            <w:noWrap/>
          </w:tcPr>
          <w:p>
            <w:pPr>
              <w:pStyle w:val="959"/>
              <w:jc w:val="center"/>
            </w:pPr>
            <w:r>
              <w:rPr>
                <w:rFonts w:hint="eastAsia"/>
              </w:rPr>
              <w:t xml:space="preserve">参评人员查看</w:t>
            </w:r>
            <w:r/>
          </w:p>
        </w:tc>
        <w:tc>
          <w:tcPr>
            <w:tcW w:w="4945" w:type="dxa"/>
            <w:vAlign w:val="center"/>
            <w:textDirection w:val="lrTb"/>
            <w:noWrap/>
          </w:tcPr>
          <w:p>
            <w:pPr>
              <w:pStyle w:val="959"/>
            </w:pPr>
            <w:r>
              <w:rPr>
                <w:rFonts w:hint="eastAsia"/>
              </w:rPr>
              <w:t xml:space="preserve">支持按申报资格、申报类别、申报级别、申报专业筛选参评人员，手动增删被评人，标记“需异地评议”状态。</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31</w:t>
            </w:r>
            <w:r/>
          </w:p>
        </w:tc>
        <w:tc>
          <w:tcPr>
            <w:tcW w:w="1559" w:type="dxa"/>
            <w:vAlign w:val="center"/>
            <w:textDirection w:val="lrTb"/>
            <w:noWrap/>
          </w:tcPr>
          <w:p>
            <w:pPr>
              <w:pStyle w:val="959"/>
              <w:jc w:val="center"/>
            </w:pPr>
            <w:r>
              <w:rPr>
                <w:rFonts w:hint="eastAsia"/>
              </w:rPr>
              <w:t xml:space="preserve">查看回避名单</w:t>
            </w:r>
            <w:r/>
          </w:p>
        </w:tc>
        <w:tc>
          <w:tcPr>
            <w:tcW w:w="4945" w:type="dxa"/>
            <w:vAlign w:val="center"/>
            <w:textDirection w:val="lrTb"/>
            <w:noWrap/>
          </w:tcPr>
          <w:p>
            <w:pPr>
              <w:pStyle w:val="959"/>
            </w:pPr>
            <w:r>
              <w:rPr>
                <w:rFonts w:hint="eastAsia"/>
              </w:rPr>
              <w:t xml:space="preserve">开发回避名单查看界面，读取员工填报的大文本回避信息。</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32</w:t>
            </w:r>
            <w:r/>
          </w:p>
        </w:tc>
        <w:tc>
          <w:tcPr>
            <w:tcW w:w="1559" w:type="dxa"/>
            <w:vAlign w:val="center"/>
            <w:textDirection w:val="lrTb"/>
            <w:noWrap/>
          </w:tcPr>
          <w:p>
            <w:pPr>
              <w:pStyle w:val="959"/>
              <w:jc w:val="center"/>
            </w:pPr>
            <w:r>
              <w:rPr>
                <w:rFonts w:hint="eastAsia"/>
              </w:rPr>
              <w:t xml:space="preserve">账号生成</w:t>
            </w:r>
            <w:r/>
          </w:p>
        </w:tc>
        <w:tc>
          <w:tcPr>
            <w:tcW w:w="4945" w:type="dxa"/>
            <w:vAlign w:val="center"/>
            <w:textDirection w:val="lrTb"/>
            <w:noWrap/>
          </w:tcPr>
          <w:p>
            <w:pPr>
              <w:pStyle w:val="959"/>
            </w:pPr>
            <w:r>
              <w:rPr>
                <w:rFonts w:hint="eastAsia"/>
              </w:rPr>
              <w:t xml:space="preserve">组织人事处能够配置外审专家账号。</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33</w:t>
            </w:r>
            <w:r/>
          </w:p>
        </w:tc>
        <w:tc>
          <w:tcPr>
            <w:tcW w:w="1559" w:type="dxa"/>
            <w:vAlign w:val="center"/>
            <w:textDirection w:val="lrTb"/>
            <w:noWrap/>
          </w:tcPr>
          <w:p>
            <w:pPr>
              <w:pStyle w:val="959"/>
              <w:jc w:val="center"/>
            </w:pPr>
            <w:r>
              <w:rPr>
                <w:rFonts w:hint="eastAsia"/>
              </w:rPr>
              <w:t xml:space="preserve">参评人员分配</w:t>
            </w:r>
            <w:r/>
          </w:p>
        </w:tc>
        <w:tc>
          <w:tcPr>
            <w:tcW w:w="4945" w:type="dxa"/>
            <w:vAlign w:val="center"/>
            <w:textDirection w:val="lrTb"/>
            <w:noWrap/>
          </w:tcPr>
          <w:p>
            <w:pPr>
              <w:pStyle w:val="959"/>
            </w:pPr>
            <w:r>
              <w:rPr>
                <w:rFonts w:hint="eastAsia"/>
              </w:rPr>
              <w:t xml:space="preserve">组织人事处将需异地评议的参评人员分配至外审专家账号，并支持被外审专家拒绝的参评人员重新分配专家。</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b/>
                <w:bCs/>
                <w:sz w:val="24"/>
                <w:szCs w:val="24"/>
              </w:rPr>
            </w:pPr>
            <w:r>
              <w:rPr>
                <w:rFonts w:hint="eastAsia"/>
                <w:sz w:val="24"/>
                <w:szCs w:val="24"/>
              </w:rPr>
              <w:t xml:space="preserve">异地专家评审</w:t>
            </w: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34</w:t>
            </w:r>
            <w:r/>
          </w:p>
        </w:tc>
        <w:tc>
          <w:tcPr>
            <w:tcW w:w="1559" w:type="dxa"/>
            <w:vAlign w:val="center"/>
            <w:textDirection w:val="lrTb"/>
            <w:noWrap/>
          </w:tcPr>
          <w:p>
            <w:pPr>
              <w:pStyle w:val="959"/>
              <w:jc w:val="center"/>
            </w:pPr>
            <w:r>
              <w:rPr>
                <w:rFonts w:hint="eastAsia"/>
              </w:rPr>
              <w:t xml:space="preserve">专家登录与个人信息校验</w:t>
            </w:r>
            <w:r/>
          </w:p>
        </w:tc>
        <w:tc>
          <w:tcPr>
            <w:tcW w:w="4945" w:type="dxa"/>
            <w:vAlign w:val="center"/>
            <w:textDirection w:val="lrTb"/>
            <w:noWrap/>
          </w:tcPr>
          <w:p>
            <w:pPr>
              <w:pStyle w:val="959"/>
            </w:pPr>
            <w:r>
              <w:rPr>
                <w:rFonts w:hint="eastAsia"/>
              </w:rPr>
              <w:t xml:space="preserve">对专家首次访问的权限进行控制，强制填写个人信息，并自动回填至存档专家信息。</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35</w:t>
            </w:r>
            <w:r/>
          </w:p>
        </w:tc>
        <w:tc>
          <w:tcPr>
            <w:tcW w:w="1559" w:type="dxa"/>
            <w:vAlign w:val="center"/>
            <w:textDirection w:val="lrTb"/>
            <w:noWrap/>
          </w:tcPr>
          <w:p>
            <w:pPr>
              <w:pStyle w:val="959"/>
              <w:jc w:val="center"/>
            </w:pPr>
            <w:r>
              <w:rPr>
                <w:rFonts w:hint="eastAsia"/>
              </w:rPr>
              <w:t xml:space="preserve">主界面构建</w:t>
            </w:r>
            <w:r/>
          </w:p>
        </w:tc>
        <w:tc>
          <w:tcPr>
            <w:tcW w:w="4945" w:type="dxa"/>
            <w:vAlign w:val="center"/>
            <w:textDirection w:val="lrTb"/>
            <w:noWrap/>
          </w:tcPr>
          <w:p>
            <w:pPr>
              <w:pStyle w:val="959"/>
            </w:pPr>
            <w:r>
              <w:rPr>
                <w:rFonts w:hint="eastAsia"/>
              </w:rPr>
              <w:t xml:space="preserve">展示操作指南、评审标准、技术支持联系方式。专家评议界面：展示被评人材料、打分项、评语输入框，提交后任务状态变更为“已完成”。</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36</w:t>
            </w:r>
            <w:r/>
          </w:p>
        </w:tc>
        <w:tc>
          <w:tcPr>
            <w:tcW w:w="1559" w:type="dxa"/>
            <w:vAlign w:val="center"/>
            <w:textDirection w:val="lrTb"/>
            <w:noWrap/>
          </w:tcPr>
          <w:p>
            <w:pPr>
              <w:pStyle w:val="959"/>
              <w:jc w:val="center"/>
            </w:pPr>
            <w:r>
              <w:rPr>
                <w:rFonts w:hint="eastAsia"/>
              </w:rPr>
              <w:t xml:space="preserve">任务大厅</w:t>
            </w:r>
            <w:r/>
          </w:p>
        </w:tc>
        <w:tc>
          <w:tcPr>
            <w:tcW w:w="4945" w:type="dxa"/>
            <w:vAlign w:val="center"/>
            <w:textDirection w:val="lrTb"/>
            <w:noWrap/>
          </w:tcPr>
          <w:p>
            <w:pPr>
              <w:pStyle w:val="959"/>
            </w:pPr>
            <w:r>
              <w:rPr>
                <w:rFonts w:hint="eastAsia"/>
              </w:rPr>
              <w:t xml:space="preserve">展示专家待评列表，支持拒绝任务，预览材料，填写评审意见。</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restart"/>
            <w:textDirection w:val="lrTb"/>
            <w:noWrap/>
          </w:tcPr>
          <w:p>
            <w:pPr>
              <w:pStyle w:val="959"/>
              <w:jc w:val="center"/>
              <w:rPr>
                <w:rFonts w:hint="eastAsia" w:ascii="宋体" w:hAnsi="宋体" w:cs="宋体"/>
                <w:sz w:val="24"/>
                <w:szCs w:val="24"/>
              </w:rPr>
            </w:pPr>
            <w:r>
              <w:rPr>
                <w:rFonts w:hint="eastAsia" w:ascii="宋体" w:hAnsi="宋体" w:cs="宋体"/>
                <w:sz w:val="24"/>
                <w:szCs w:val="24"/>
              </w:rPr>
              <w:t xml:space="preserve">监控与接口</w:t>
            </w:r>
            <w:r>
              <w:rPr>
                <w:rFonts w:hint="eastAsia" w:ascii="宋体" w:hAnsi="宋体" w:cs="宋体"/>
                <w:sz w:val="24"/>
                <w:szCs w:val="24"/>
              </w:rPr>
            </w:r>
            <w:r/>
          </w:p>
        </w:tc>
        <w:tc>
          <w:tcPr>
            <w:tcW w:w="749" w:type="dxa"/>
            <w:vAlign w:val="center"/>
            <w:textDirection w:val="lrTb"/>
            <w:noWrap w:val="false"/>
          </w:tcPr>
          <w:p>
            <w:pPr>
              <w:pStyle w:val="959"/>
              <w:jc w:val="center"/>
            </w:pPr>
            <w:r>
              <w:rPr>
                <w:rFonts w:hint="eastAsia"/>
              </w:rPr>
              <w:t xml:space="preserve">37</w:t>
            </w:r>
            <w:r/>
          </w:p>
        </w:tc>
        <w:tc>
          <w:tcPr>
            <w:tcW w:w="1559" w:type="dxa"/>
            <w:vAlign w:val="center"/>
            <w:textDirection w:val="lrTb"/>
            <w:noWrap/>
          </w:tcPr>
          <w:p>
            <w:pPr>
              <w:pStyle w:val="959"/>
              <w:jc w:val="center"/>
            </w:pPr>
            <w:r>
              <w:rPr>
                <w:rFonts w:hint="eastAsia"/>
              </w:rPr>
              <w:t xml:space="preserve">实时监控看板</w:t>
            </w:r>
            <w:r/>
          </w:p>
        </w:tc>
        <w:tc>
          <w:tcPr>
            <w:tcW w:w="4945" w:type="dxa"/>
            <w:vAlign w:val="center"/>
            <w:textDirection w:val="lrTb"/>
            <w:noWrap/>
          </w:tcPr>
          <w:p>
            <w:pPr>
              <w:pStyle w:val="959"/>
            </w:pPr>
            <w:r>
              <w:rPr>
                <w:rFonts w:hint="eastAsia"/>
              </w:rPr>
              <w:t xml:space="preserve">展示各外院进度（应评人数、已分配、已完成、完成率）、评议状态、临近截止预警。</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38</w:t>
            </w:r>
            <w:r/>
          </w:p>
        </w:tc>
        <w:tc>
          <w:tcPr>
            <w:tcW w:w="1559" w:type="dxa"/>
            <w:vAlign w:val="center"/>
            <w:textDirection w:val="lrTb"/>
            <w:noWrap/>
          </w:tcPr>
          <w:p>
            <w:pPr>
              <w:pStyle w:val="959"/>
              <w:jc w:val="center"/>
            </w:pPr>
            <w:r>
              <w:rPr>
                <w:rFonts w:hint="eastAsia"/>
              </w:rPr>
              <w:t xml:space="preserve">结果回填与归档</w:t>
            </w:r>
            <w:r/>
          </w:p>
        </w:tc>
        <w:tc>
          <w:tcPr>
            <w:tcW w:w="4945" w:type="dxa"/>
            <w:vAlign w:val="center"/>
            <w:textDirection w:val="lrTb"/>
            <w:noWrap/>
          </w:tcPr>
          <w:p>
            <w:pPr>
              <w:pStyle w:val="959"/>
            </w:pPr>
            <w:r>
              <w:rPr>
                <w:rFonts w:hint="eastAsia"/>
              </w:rPr>
              <w:t xml:space="preserve">专家提交后，评议结果实时回传至内部系统；管理员可查看详细评语及打分；支持导出汇总表用于上会汇报。</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pPr>
            <w:r>
              <w:rPr>
                <w:rFonts w:hint="eastAsia"/>
              </w:rPr>
              <w:t xml:space="preserve">39</w:t>
            </w:r>
            <w:r/>
          </w:p>
        </w:tc>
        <w:tc>
          <w:tcPr>
            <w:tcW w:w="1559" w:type="dxa"/>
            <w:vAlign w:val="center"/>
            <w:textDirection w:val="lrTb"/>
            <w:noWrap/>
          </w:tcPr>
          <w:p>
            <w:pPr>
              <w:pStyle w:val="959"/>
              <w:jc w:val="center"/>
            </w:pPr>
            <w:r>
              <w:rPr>
                <w:rFonts w:hint="eastAsia"/>
              </w:rPr>
              <w:t xml:space="preserve">异常干预</w:t>
            </w:r>
            <w:r/>
          </w:p>
        </w:tc>
        <w:tc>
          <w:tcPr>
            <w:tcW w:w="4945" w:type="dxa"/>
            <w:vAlign w:val="center"/>
            <w:textDirection w:val="lrTb"/>
            <w:noWrap/>
          </w:tcPr>
          <w:p>
            <w:pPr>
              <w:pStyle w:val="959"/>
            </w:pPr>
            <w:r>
              <w:rPr>
                <w:rFonts w:hint="eastAsia"/>
              </w:rPr>
              <w:t xml:space="preserve">支持被拒绝评审的参评人员重新分配评审专家。</w:t>
            </w:r>
            <w:r/>
          </w:p>
        </w:tc>
      </w:tr>
      <w:tr>
        <w:trPr>
          <w:trHeight w:val="400"/>
        </w:trPr>
        <w:tc>
          <w:tcPr>
            <w:tcW w:w="993"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1276" w:type="dxa"/>
            <w:vAlign w:val="center"/>
            <w:vMerge w:val="continue"/>
            <w:textDirection w:val="lrTb"/>
            <w:noWrap/>
          </w:tcPr>
          <w:p>
            <w:pPr>
              <w:pStyle w:val="959"/>
              <w:jc w:val="center"/>
              <w:rPr>
                <w:rFonts w:hint="eastAsia" w:ascii="宋体" w:hAnsi="宋体" w:cs="宋体"/>
                <w:b/>
                <w:bCs/>
                <w:sz w:val="24"/>
                <w:szCs w:val="24"/>
              </w:rPr>
            </w:pPr>
            <w:r>
              <w:rPr>
                <w:rFonts w:hint="eastAsia" w:ascii="宋体" w:hAnsi="宋体" w:cs="宋体"/>
                <w:b/>
                <w:bCs/>
                <w:sz w:val="24"/>
                <w:szCs w:val="24"/>
              </w:rPr>
            </w:r>
            <w:r/>
          </w:p>
        </w:tc>
        <w:tc>
          <w:tcPr>
            <w:tcW w:w="749" w:type="dxa"/>
            <w:vAlign w:val="center"/>
            <w:textDirection w:val="lrTb"/>
            <w:noWrap w:val="false"/>
          </w:tcPr>
          <w:p>
            <w:pPr>
              <w:pStyle w:val="959"/>
              <w:jc w:val="center"/>
              <w:rPr>
                <w:rFonts w:hint="eastAsia"/>
              </w:rPr>
            </w:pPr>
            <w:r>
              <w:rPr>
                <w:rFonts w:hint="eastAsia"/>
              </w:rPr>
              <w:t xml:space="preserve">40</w:t>
            </w:r>
            <w:r>
              <w:rPr>
                <w:rFonts w:hint="eastAsia"/>
              </w:rPr>
            </w:r>
            <w:r/>
          </w:p>
        </w:tc>
        <w:tc>
          <w:tcPr>
            <w:tcW w:w="1559" w:type="dxa"/>
            <w:vAlign w:val="center"/>
            <w:textDirection w:val="lrTb"/>
            <w:noWrap/>
          </w:tcPr>
          <w:p>
            <w:pPr>
              <w:pStyle w:val="959"/>
              <w:jc w:val="center"/>
            </w:pPr>
            <w:r>
              <w:rPr>
                <w:rFonts w:hint="eastAsia"/>
              </w:rPr>
              <w:t xml:space="preserve">登录与权限控制</w:t>
            </w:r>
            <w:r/>
          </w:p>
        </w:tc>
        <w:tc>
          <w:tcPr>
            <w:tcW w:w="4945" w:type="dxa"/>
            <w:vAlign w:val="center"/>
            <w:textDirection w:val="lrTb"/>
            <w:noWrap/>
          </w:tcPr>
          <w:p>
            <w:pPr>
              <w:pStyle w:val="959"/>
            </w:pPr>
            <w:r>
              <w:rPr>
                <w:rFonts w:hint="eastAsia"/>
              </w:rPr>
              <w:t xml:space="preserve">角色与权限控制：组织人事处管理员、外院专家</w:t>
            </w:r>
            <w:r/>
          </w:p>
        </w:tc>
      </w:tr>
    </w:tbl>
    <w:p>
      <w:pPr>
        <w:pStyle w:val="959"/>
        <w:rPr>
          <w:rFonts w:hint="eastAsia" w:ascii="宋体" w:hAnsi="宋体"/>
          <w:b/>
          <w:bCs/>
          <w:sz w:val="24"/>
        </w:rPr>
      </w:pPr>
      <w:r>
        <w:rPr>
          <w:rFonts w:hint="eastAsia" w:ascii="宋体" w:hAnsi="宋体"/>
          <w:b/>
          <w:bCs/>
          <w:sz w:val="24"/>
        </w:rPr>
      </w:r>
      <w:r/>
    </w:p>
    <w:p>
      <w:pPr>
        <w:pStyle w:val="959"/>
        <w:spacing w:line="400" w:lineRule="exact"/>
        <w:rPr>
          <w:rFonts w:hint="eastAsia" w:ascii="宋体" w:hAnsi="宋体"/>
          <w:b/>
          <w:sz w:val="24"/>
          <w:szCs w:val="24"/>
        </w:rPr>
        <w:outlineLvl w:val="1"/>
      </w:pPr>
      <w:r>
        <w:rPr>
          <w:rFonts w:hint="eastAsia" w:ascii="宋体" w:hAnsi="宋体"/>
          <w:b/>
          <w:bCs/>
          <w:sz w:val="24"/>
        </w:rPr>
        <w:t xml:space="preserve">（二）</w:t>
      </w:r>
      <w:r>
        <w:rPr>
          <w:rFonts w:hint="eastAsia" w:ascii="宋体" w:hAnsi="宋体"/>
          <w:b/>
          <w:sz w:val="24"/>
          <w:szCs w:val="24"/>
        </w:rPr>
        <w:t xml:space="preserve">项目升级与实施要求</w:t>
      </w:r>
      <w:r>
        <w:rPr>
          <w:rFonts w:hint="eastAsia" w:ascii="宋体" w:hAnsi="宋体"/>
          <w:b/>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项目实施周期：6个月。</w:t>
      </w:r>
      <w:r>
        <w:rPr>
          <w:rFonts w:hint="eastAsia" w:ascii="宋体" w:hAnsi="宋体"/>
          <w:sz w:val="24"/>
          <w:szCs w:val="24"/>
        </w:rPr>
      </w:r>
      <w:r/>
    </w:p>
    <w:p>
      <w:pPr>
        <w:pStyle w:val="1051"/>
        <w:numPr>
          <w:ilvl w:val="0"/>
          <w:numId w:val="5"/>
        </w:numPr>
        <w:spacing w:line="400" w:lineRule="exact"/>
        <w:rPr>
          <w:rFonts w:hint="eastAsia" w:ascii="宋体" w:hAnsi="宋体"/>
          <w:b/>
          <w:bCs/>
        </w:rPr>
      </w:pPr>
      <w:r>
        <w:rPr>
          <w:rFonts w:hint="eastAsia" w:ascii="宋体" w:hAnsi="宋体"/>
          <w:b/>
          <w:bCs/>
        </w:rPr>
        <w:t xml:space="preserve">软件开发方案要求</w:t>
      </w:r>
      <w:r>
        <w:rPr>
          <w:rFonts w:hint="eastAsia" w:ascii="宋体" w:hAnsi="宋体"/>
          <w:b/>
          <w:bCs/>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投标人须提交详细的软件开发技术方案，方案应切实响应本项目业务需求，并至少涵盖以下内容：</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（1）需求分析与设计响应</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对招标文件所述业务需求进行归纳与阐述，展现对项目目标与核心业务场景的理解。针对主要功能模块，提供具体实现思路与业务流程设计，对于关键复杂功能（如涉及多方流程、数据统计分析等功能），应提供流程图或示意图进行说明。</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（2）技术架构与详细设计</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提供系统总体技术架构图，清晰展示逻辑层次、技术组件及相互关系。说明拟采用的主要技术路线、开发框架、核心中间件与数据库选型。提供关键数据库表结构设计及核心模块的接口设计说明。</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（3）项目组织与实施保障</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说明项目团队组织架构，明确项目经理等核心角色的资历与职责。阐述软件开发质量保障体系，包括但不限于代码管理策略、测试计划（单元测试、集成测试、系统测试等）及交付文档清单。</w:t>
      </w:r>
      <w:r>
        <w:rPr>
          <w:rFonts w:hint="eastAsia" w:ascii="宋体" w:hAnsi="宋体"/>
          <w:sz w:val="24"/>
          <w:szCs w:val="24"/>
        </w:rPr>
      </w:r>
      <w:r/>
    </w:p>
    <w:p>
      <w:pPr>
        <w:pStyle w:val="1051"/>
        <w:numPr>
          <w:ilvl w:val="0"/>
          <w:numId w:val="5"/>
        </w:numPr>
        <w:spacing w:line="400" w:lineRule="exact"/>
        <w:rPr>
          <w:rFonts w:hint="eastAsia" w:ascii="宋体" w:hAnsi="宋体"/>
          <w:b/>
          <w:bCs/>
          <w:lang w:eastAsia="zh-CN"/>
        </w:rPr>
      </w:pPr>
      <w:r>
        <w:rPr>
          <w:rFonts w:hint="eastAsia" w:ascii="宋体" w:hAnsi="宋体"/>
          <w:b/>
          <w:bCs/>
          <w:lang w:eastAsia="zh-CN"/>
        </w:rPr>
        <w:t xml:space="preserve">系统集成和部署方案要求</w:t>
      </w:r>
      <w:r>
        <w:rPr>
          <w:rFonts w:ascii="宋体" w:hAnsi="宋体"/>
          <w:b/>
          <w:bCs/>
          <w:lang w:eastAsia="zh-CN"/>
        </w:rPr>
        <w:t xml:space="preserve"> </w:t>
      </w:r>
      <w:r>
        <w:rPr>
          <w:rFonts w:hint="eastAsia" w:ascii="宋体" w:hAnsi="宋体"/>
          <w:b/>
          <w:bCs/>
          <w:lang w:eastAsia="zh-CN"/>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投标人须提交详细的系统集成、部署及运维移交方案，该方案应确保系统平稳上线并与现有环境有效融合，至少涵盖以下内容：</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（1）系统集成方案</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明确列出所有需对接的外部系统，并针对每个集成点说明集成方式和接口协议。如涉及历史数据迁移，须提供迁移策略、数据清洗规则、验证与回退方案。</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（2）系统部署方案</w:t>
      </w:r>
      <w:r>
        <w:rPr>
          <w:rFonts w:hint="eastAsia" w:ascii="宋体" w:hAnsi="宋体"/>
          <w:sz w:val="24"/>
          <w:szCs w:val="24"/>
        </w:rPr>
      </w:r>
      <w:r/>
    </w:p>
    <w:p>
      <w:pPr>
        <w:pStyle w:val="959"/>
        <w:ind w:left="284" w:firstLine="480"/>
        <w:spacing w:line="400" w:lineRule="exact"/>
        <w:rPr>
          <w:rFonts w:hint="eastAsia" w:ascii="宋体" w:hAnsi="宋体"/>
          <w:sz w:val="24"/>
          <w:szCs w:val="24"/>
        </w:rPr>
      </w:pPr>
      <w:r>
        <w:rPr>
          <w:rFonts w:hint="eastAsia" w:ascii="宋体" w:hAnsi="宋体"/>
          <w:sz w:val="24"/>
          <w:szCs w:val="24"/>
        </w:rPr>
        <w:t xml:space="preserve">提供生产环境部署架构图，明确服务器、网络、存储及安全设备的规划与配置。详细说明系统的高可用性、负载均衡及容灾备份设计，包括数据备份策略与恢复流程。阐述系统上线发布的具体步骤、回滚预案及初期运行保障措施。</w:t>
      </w:r>
      <w:r>
        <w:rPr>
          <w:rFonts w:hint="eastAsia" w:ascii="宋体" w:hAnsi="宋体"/>
          <w:sz w:val="24"/>
          <w:szCs w:val="24"/>
        </w:rPr>
      </w:r>
      <w:r/>
    </w:p>
    <w:p>
      <w:pPr>
        <w:pStyle w:val="959"/>
        <w:ind w:left="284"/>
        <w:spacing w:line="520" w:lineRule="exact"/>
        <w:rPr>
          <w:rFonts w:hint="eastAsia" w:ascii="宋体" w:hAnsi="宋体"/>
          <w:b/>
          <w:bCs/>
          <w:sz w:val="24"/>
          <w:szCs w:val="24"/>
        </w:rPr>
      </w:pPr>
      <w:r>
        <w:rPr>
          <w:rFonts w:hint="eastAsia" w:ascii="宋体" w:hAnsi="宋体"/>
          <w:b/>
          <w:bCs/>
          <w:sz w:val="24"/>
        </w:rPr>
        <w:t xml:space="preserve">3</w:t>
      </w:r>
      <w:r>
        <w:rPr>
          <w:rFonts w:hint="eastAsia" w:ascii="宋体" w:hAnsi="宋体"/>
          <w:b/>
          <w:bCs/>
          <w:sz w:val="24"/>
          <w:szCs w:val="24"/>
        </w:rPr>
        <w:t xml:space="preserve">.项目进度管理方案要求</w:t>
      </w:r>
      <w:r>
        <w:rPr>
          <w:rFonts w:hint="eastAsia" w:ascii="宋体" w:hAnsi="宋体"/>
          <w:b/>
          <w:bCs/>
          <w:sz w:val="24"/>
          <w:szCs w:val="24"/>
        </w:rPr>
      </w:r>
      <w:r/>
    </w:p>
    <w:p>
      <w:pPr>
        <w:pStyle w:val="959"/>
        <w:ind w:firstLine="480"/>
        <w:spacing w:line="440" w:lineRule="exact"/>
        <w:rPr>
          <w:bCs/>
          <w:sz w:val="24"/>
          <w:szCs w:val="24"/>
        </w:rPr>
      </w:pPr>
      <w:r>
        <w:rPr>
          <w:rFonts w:hint="eastAsia"/>
          <w:bCs/>
          <w:sz w:val="24"/>
          <w:szCs w:val="24"/>
        </w:rPr>
        <w:t xml:space="preserve">投标人须根据项目建设目标和建设内容，提出详细的实施计划。提供切实有效的项目实施方案。</w:t>
      </w:r>
      <w:r>
        <w:rPr>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1</w:t>
      </w:r>
      <w:r>
        <w:rPr>
          <w:rFonts w:hint="eastAsia" w:ascii="宋体" w:hAnsi="宋体"/>
          <w:sz w:val="24"/>
          <w:szCs w:val="24"/>
        </w:rPr>
        <w:t xml:space="preserve">）</w:t>
      </w:r>
      <w:r>
        <w:rPr>
          <w:rFonts w:hint="eastAsia"/>
          <w:bCs/>
          <w:sz w:val="24"/>
          <w:szCs w:val="24"/>
        </w:rPr>
        <w:t xml:space="preserve">进度安排</w:t>
      </w:r>
      <w:r>
        <w:rPr>
          <w:bCs/>
          <w:sz w:val="24"/>
          <w:szCs w:val="24"/>
        </w:rPr>
      </w:r>
      <w:r/>
    </w:p>
    <w:p>
      <w:pPr>
        <w:pStyle w:val="959"/>
        <w:ind w:firstLine="480"/>
        <w:spacing w:line="520" w:lineRule="exact"/>
        <w:rPr>
          <w:rFonts w:hint="eastAsia"/>
          <w:bCs/>
          <w:sz w:val="24"/>
          <w:szCs w:val="24"/>
        </w:rPr>
      </w:pPr>
      <w:r>
        <w:rPr>
          <w:rFonts w:hint="eastAsia" w:ascii="宋体" w:hAnsi="宋体"/>
          <w:sz w:val="24"/>
          <w:szCs w:val="24"/>
        </w:rPr>
        <w:t xml:space="preserve">提供明确的项目开发计划，包括主要阶段划分、</w:t>
      </w:r>
      <w:r>
        <w:rPr>
          <w:rFonts w:hint="eastAsia"/>
          <w:bCs/>
          <w:sz w:val="24"/>
          <w:szCs w:val="24"/>
        </w:rPr>
        <w:t xml:space="preserve">各阶段起止时间、</w:t>
      </w:r>
      <w:r>
        <w:rPr>
          <w:rFonts w:hint="eastAsia" w:ascii="宋体" w:hAnsi="宋体"/>
          <w:sz w:val="24"/>
          <w:szCs w:val="24"/>
        </w:rPr>
        <w:t xml:space="preserve">里程碑节点及</w:t>
      </w:r>
      <w:r>
        <w:rPr>
          <w:rFonts w:hint="eastAsia"/>
          <w:bCs/>
          <w:sz w:val="24"/>
          <w:szCs w:val="24"/>
        </w:rPr>
        <w:t xml:space="preserve">及交付物</w:t>
      </w:r>
      <w:r>
        <w:rPr>
          <w:rFonts w:hint="eastAsia" w:ascii="宋体" w:hAnsi="宋体"/>
          <w:sz w:val="24"/>
          <w:szCs w:val="24"/>
        </w:rPr>
        <w:t xml:space="preserve">，建议以图表形式呈现。</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2</w:t>
      </w:r>
      <w:r>
        <w:rPr>
          <w:rFonts w:hint="eastAsia" w:ascii="宋体" w:hAnsi="宋体"/>
          <w:sz w:val="24"/>
          <w:szCs w:val="24"/>
        </w:rPr>
        <w:t xml:space="preserve">）</w:t>
      </w:r>
      <w:r>
        <w:rPr>
          <w:rFonts w:hint="eastAsia"/>
          <w:bCs/>
          <w:sz w:val="24"/>
          <w:szCs w:val="24"/>
        </w:rPr>
        <w:t xml:space="preserve">进度管理</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建立定期汇报制度，指定专职项目经理，出现进度滞后时须提前预警并提出纠偏方案，重大延期须书面报甲方审批。</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3</w:t>
      </w:r>
      <w:r>
        <w:rPr>
          <w:rFonts w:hint="eastAsia" w:ascii="宋体" w:hAnsi="宋体"/>
          <w:sz w:val="24"/>
          <w:szCs w:val="24"/>
        </w:rPr>
        <w:t xml:space="preserve">）</w:t>
      </w:r>
      <w:r>
        <w:rPr>
          <w:rFonts w:hint="eastAsia"/>
          <w:bCs/>
          <w:sz w:val="24"/>
          <w:szCs w:val="24"/>
        </w:rPr>
        <w:t xml:space="preserve">测试</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制定独立的测试方案，覆盖单元测试、集成测试、系统测试。</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4</w:t>
      </w:r>
      <w:r>
        <w:rPr>
          <w:rFonts w:hint="eastAsia" w:ascii="宋体" w:hAnsi="宋体"/>
          <w:sz w:val="24"/>
          <w:szCs w:val="24"/>
        </w:rPr>
        <w:t xml:space="preserve">）</w:t>
      </w:r>
      <w:r>
        <w:rPr>
          <w:rFonts w:hint="eastAsia"/>
          <w:bCs/>
          <w:sz w:val="24"/>
          <w:szCs w:val="24"/>
        </w:rPr>
        <w:t xml:space="preserve">试运行</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系统上线前须在真实环境下试运行不少于30天，期间派员驻场保障，收集问题并及时整改。</w:t>
      </w:r>
      <w:r>
        <w:rPr>
          <w:rFonts w:hint="eastAsia"/>
          <w:bCs/>
          <w:sz w:val="24"/>
          <w:szCs w:val="24"/>
        </w:rPr>
      </w:r>
      <w:r/>
    </w:p>
    <w:p>
      <w:pPr>
        <w:pStyle w:val="959"/>
        <w:ind w:firstLine="480"/>
        <w:spacing w:line="520" w:lineRule="exact"/>
        <w:rPr>
          <w:bCs/>
          <w:sz w:val="24"/>
          <w:szCs w:val="24"/>
        </w:rPr>
      </w:pPr>
      <w:r>
        <w:rPr>
          <w:rFonts w:hint="eastAsia" w:ascii="宋体" w:hAnsi="宋体"/>
          <w:sz w:val="24"/>
          <w:szCs w:val="24"/>
        </w:rPr>
        <w:t xml:space="preserve">（</w:t>
      </w:r>
      <w:r>
        <w:rPr>
          <w:rFonts w:hint="eastAsia"/>
          <w:bCs/>
          <w:sz w:val="24"/>
          <w:szCs w:val="24"/>
        </w:rPr>
        <w:t xml:space="preserve">5</w:t>
      </w:r>
      <w:r>
        <w:rPr>
          <w:rFonts w:hint="eastAsia" w:ascii="宋体" w:hAnsi="宋体"/>
          <w:sz w:val="24"/>
          <w:szCs w:val="24"/>
        </w:rPr>
        <w:t xml:space="preserve">）</w:t>
      </w:r>
      <w:r>
        <w:rPr>
          <w:rFonts w:hint="eastAsia"/>
          <w:bCs/>
          <w:sz w:val="24"/>
          <w:szCs w:val="24"/>
        </w:rPr>
        <w:t xml:space="preserve">验收</w:t>
      </w:r>
      <w:r>
        <w:rPr>
          <w:bCs/>
          <w:sz w:val="24"/>
          <w:szCs w:val="24"/>
        </w:rPr>
      </w:r>
      <w:r/>
    </w:p>
    <w:p>
      <w:pPr>
        <w:pStyle w:val="959"/>
        <w:ind w:firstLine="480"/>
        <w:spacing w:line="440" w:lineRule="exact"/>
        <w:rPr>
          <w:bCs/>
          <w:sz w:val="24"/>
          <w:szCs w:val="24"/>
        </w:rPr>
      </w:pPr>
      <w:r>
        <w:rPr>
          <w:rFonts w:hint="eastAsia"/>
          <w:bCs/>
          <w:sz w:val="24"/>
          <w:szCs w:val="24"/>
        </w:rPr>
        <w:t xml:space="preserve">提交完整文档（源码、设计文档、数据库表结构说明文档、用户手册等），配合甲方组织验收会议，验收合格后签署《项目验收报告》，进入质保期。</w:t>
      </w:r>
      <w:r>
        <w:rPr>
          <w:bCs/>
          <w:sz w:val="24"/>
          <w:szCs w:val="24"/>
        </w:rPr>
      </w:r>
      <w:r/>
    </w:p>
    <w:p>
      <w:pPr>
        <w:pStyle w:val="959"/>
        <w:ind w:left="284"/>
        <w:spacing w:line="520" w:lineRule="exact"/>
        <w:rPr>
          <w:rFonts w:hint="eastAsia" w:ascii="宋体" w:hAnsi="宋体"/>
          <w:b/>
          <w:bCs/>
          <w:sz w:val="24"/>
          <w:szCs w:val="24"/>
        </w:rPr>
      </w:pPr>
      <w:r>
        <w:rPr>
          <w:rFonts w:hint="eastAsia" w:ascii="宋体" w:hAnsi="宋体"/>
          <w:b/>
          <w:bCs/>
          <w:sz w:val="24"/>
          <w:szCs w:val="24"/>
        </w:rPr>
        <w:t xml:space="preserve">4.项目质量管理方案要求</w:t>
      </w:r>
      <w:r>
        <w:rPr>
          <w:rFonts w:hint="eastAsia" w:ascii="宋体" w:hAnsi="宋体"/>
          <w:b/>
          <w:bCs/>
          <w:sz w:val="24"/>
          <w:szCs w:val="24"/>
        </w:rPr>
      </w:r>
      <w:r/>
    </w:p>
    <w:p>
      <w:pPr>
        <w:pStyle w:val="959"/>
        <w:ind w:firstLine="480"/>
        <w:spacing w:line="440" w:lineRule="exact"/>
        <w:rPr>
          <w:bCs/>
          <w:sz w:val="24"/>
        </w:rPr>
      </w:pPr>
      <w:r>
        <w:rPr>
          <w:rFonts w:hint="eastAsia"/>
          <w:bCs/>
          <w:sz w:val="24"/>
        </w:rPr>
        <w:t xml:space="preserve">为确保项目的质量达到既定标准，投标人应详细阐述项目质量管理方案，包括质量标准、质量管理体系、质量控制措施以及风险管理等。</w:t>
      </w:r>
      <w:r>
        <w:rPr>
          <w:bCs/>
          <w:sz w:val="24"/>
        </w:rPr>
      </w:r>
      <w:r/>
    </w:p>
    <w:p>
      <w:pPr>
        <w:pStyle w:val="959"/>
        <w:ind w:firstLine="480"/>
        <w:spacing w:line="440" w:lineRule="exact"/>
        <w:rPr>
          <w:bCs/>
          <w:sz w:val="24"/>
        </w:rPr>
      </w:pPr>
      <w:r>
        <w:rPr>
          <w:rFonts w:hint="eastAsia"/>
          <w:bCs/>
          <w:sz w:val="24"/>
          <w:szCs w:val="24"/>
        </w:rPr>
        <w:t xml:space="preserve">（1）</w:t>
      </w:r>
      <w:r>
        <w:rPr>
          <w:rFonts w:hint="eastAsia"/>
          <w:bCs/>
          <w:sz w:val="24"/>
        </w:rPr>
        <w:t xml:space="preserve">质量标准：项目需严格遵守国家及行业关于临床数据管理、信息安全、软件开发等方面的相关法律法规、标准规范及最佳实践。</w:t>
      </w:r>
      <w:r>
        <w:rPr>
          <w:bCs/>
          <w:sz w:val="24"/>
        </w:rPr>
      </w:r>
      <w:r/>
    </w:p>
    <w:p>
      <w:pPr>
        <w:pStyle w:val="959"/>
        <w:ind w:firstLine="480"/>
        <w:spacing w:line="440" w:lineRule="exact"/>
        <w:rPr>
          <w:bCs/>
          <w:sz w:val="24"/>
        </w:rPr>
      </w:pPr>
      <w:r>
        <w:rPr>
          <w:rFonts w:hint="eastAsia"/>
          <w:bCs/>
          <w:sz w:val="24"/>
          <w:szCs w:val="24"/>
        </w:rPr>
        <w:t xml:space="preserve">（2）</w:t>
      </w:r>
      <w:r>
        <w:rPr>
          <w:rFonts w:hint="eastAsia"/>
          <w:bCs/>
          <w:sz w:val="24"/>
        </w:rPr>
        <w:t xml:space="preserve">质量管理体系：需建立完善的质量管理体系，包括质量控制、质量保证和质量改进等环节，确保项目全生命周期的质量管理。</w:t>
      </w:r>
      <w:r>
        <w:rPr>
          <w:bCs/>
          <w:sz w:val="24"/>
        </w:rPr>
      </w:r>
      <w:r/>
    </w:p>
    <w:p>
      <w:pPr>
        <w:pStyle w:val="959"/>
        <w:ind w:firstLine="480"/>
        <w:spacing w:line="440" w:lineRule="exact"/>
        <w:rPr>
          <w:bCs/>
          <w:sz w:val="24"/>
        </w:rPr>
      </w:pPr>
      <w:r>
        <w:rPr>
          <w:rFonts w:hint="eastAsia" w:ascii="宋体" w:hAnsi="宋体"/>
          <w:sz w:val="24"/>
          <w:szCs w:val="24"/>
        </w:rPr>
        <w:t xml:space="preserve">（</w:t>
      </w:r>
      <w:r>
        <w:rPr>
          <w:rFonts w:hint="eastAsia"/>
          <w:bCs/>
          <w:sz w:val="24"/>
          <w:szCs w:val="24"/>
        </w:rPr>
        <w:t xml:space="preserve">3</w:t>
      </w:r>
      <w:r>
        <w:rPr>
          <w:rFonts w:hint="eastAsia" w:ascii="宋体" w:hAnsi="宋体"/>
          <w:sz w:val="24"/>
          <w:szCs w:val="24"/>
        </w:rPr>
        <w:t xml:space="preserve">）</w:t>
      </w:r>
      <w:r>
        <w:rPr>
          <w:rFonts w:hint="eastAsia"/>
          <w:bCs/>
          <w:sz w:val="24"/>
        </w:rPr>
        <w:t xml:space="preserve">质量控制措施：在项目关键节点（如需求分析、设计、开发、测试等阶段）进行严格的评审与检查，确保各阶段输出物的质量符合预期。</w:t>
      </w:r>
      <w:r>
        <w:rPr>
          <w:bCs/>
          <w:sz w:val="24"/>
        </w:rPr>
      </w:r>
      <w:r/>
    </w:p>
    <w:p>
      <w:pPr>
        <w:pStyle w:val="959"/>
        <w:ind w:firstLine="480"/>
        <w:spacing w:line="440" w:lineRule="exact"/>
        <w:rPr>
          <w:bCs/>
          <w:sz w:val="24"/>
        </w:rPr>
      </w:pPr>
      <w:r>
        <w:rPr>
          <w:rFonts w:hint="eastAsia" w:ascii="宋体" w:hAnsi="宋体"/>
          <w:sz w:val="24"/>
          <w:szCs w:val="24"/>
        </w:rPr>
        <w:t xml:space="preserve">（</w:t>
      </w:r>
      <w:r>
        <w:rPr>
          <w:rFonts w:hint="eastAsia"/>
          <w:bCs/>
          <w:sz w:val="24"/>
          <w:szCs w:val="24"/>
        </w:rPr>
        <w:t xml:space="preserve">4</w:t>
      </w:r>
      <w:r>
        <w:rPr>
          <w:rFonts w:hint="eastAsia" w:ascii="宋体" w:hAnsi="宋体"/>
          <w:sz w:val="24"/>
          <w:szCs w:val="24"/>
        </w:rPr>
        <w:t xml:space="preserve">）</w:t>
      </w:r>
      <w:r>
        <w:rPr>
          <w:rFonts w:hint="eastAsia"/>
          <w:bCs/>
          <w:sz w:val="24"/>
        </w:rPr>
        <w:t xml:space="preserve">风险管理：需对项目可能面临的风险进行全面识别和评估，包括技术风险、管理风险、安全风险等识别项目潜在风险，制定风险应对策略和预案，降低风险对项目的影响。</w:t>
      </w:r>
      <w:r>
        <w:rPr>
          <w:bCs/>
          <w:sz w:val="24"/>
        </w:rPr>
      </w:r>
      <w:r/>
    </w:p>
    <w:p>
      <w:pPr>
        <w:pStyle w:val="959"/>
        <w:ind w:left="284"/>
        <w:spacing w:line="520" w:lineRule="exact"/>
        <w:rPr>
          <w:rFonts w:hint="eastAsia" w:ascii="宋体" w:hAnsi="宋体"/>
          <w:b/>
          <w:bCs/>
          <w:sz w:val="24"/>
          <w:szCs w:val="24"/>
        </w:rPr>
      </w:pPr>
      <w:r>
        <w:rPr>
          <w:rFonts w:hint="eastAsia" w:ascii="宋体" w:hAnsi="宋体"/>
          <w:b/>
          <w:bCs/>
          <w:sz w:val="24"/>
          <w:szCs w:val="24"/>
        </w:rPr>
        <w:t xml:space="preserve">5.项目应急和安全服务方案要求</w:t>
      </w:r>
      <w:r>
        <w:rPr>
          <w:rFonts w:hint="eastAsia" w:ascii="宋体" w:hAnsi="宋体"/>
          <w:b/>
          <w:bCs/>
          <w:sz w:val="24"/>
          <w:szCs w:val="24"/>
        </w:rPr>
      </w:r>
      <w:r/>
    </w:p>
    <w:p>
      <w:pPr>
        <w:pStyle w:val="959"/>
        <w:ind w:firstLine="480"/>
        <w:spacing w:line="520" w:lineRule="exact"/>
        <w:rPr>
          <w:bCs/>
          <w:sz w:val="24"/>
          <w:szCs w:val="24"/>
        </w:rPr>
      </w:pPr>
      <w:r>
        <w:rPr>
          <w:rFonts w:hint="eastAsia"/>
          <w:bCs/>
          <w:sz w:val="24"/>
          <w:szCs w:val="24"/>
        </w:rPr>
        <w:t xml:space="preserve">（1）应急管理</w:t>
      </w:r>
      <w:r>
        <w:rPr>
          <w:bCs/>
          <w:sz w:val="24"/>
          <w:szCs w:val="24"/>
        </w:rPr>
      </w:r>
      <w:r/>
    </w:p>
    <w:p>
      <w:pPr>
        <w:pStyle w:val="959"/>
        <w:ind w:firstLine="480"/>
        <w:spacing w:line="520" w:lineRule="exact"/>
        <w:rPr>
          <w:rFonts w:hint="eastAsia"/>
          <w:bCs/>
          <w:sz w:val="24"/>
          <w:szCs w:val="24"/>
        </w:rPr>
      </w:pPr>
      <w:r>
        <w:rPr>
          <w:rFonts w:hint="eastAsia"/>
          <w:bCs/>
          <w:sz w:val="24"/>
          <w:szCs w:val="24"/>
        </w:rPr>
        <w:t xml:space="preserve">制定全面的应急预案，明确故障分级响应机制、应急处理流程及恢复时限目标。</w:t>
      </w:r>
      <w:r>
        <w:rPr>
          <w:rFonts w:hint="eastAsia"/>
          <w:bCs/>
          <w:sz w:val="24"/>
          <w:szCs w:val="24"/>
        </w:rPr>
      </w:r>
      <w:r/>
    </w:p>
    <w:p>
      <w:pPr>
        <w:pStyle w:val="959"/>
        <w:ind w:firstLine="480"/>
        <w:spacing w:line="440" w:lineRule="exact"/>
        <w:rPr>
          <w:bCs/>
          <w:sz w:val="24"/>
          <w:szCs w:val="24"/>
        </w:rPr>
      </w:pPr>
      <w:r>
        <w:rPr>
          <w:rFonts w:hint="eastAsia"/>
          <w:bCs/>
          <w:sz w:val="24"/>
          <w:szCs w:val="24"/>
        </w:rPr>
        <w:t xml:space="preserve">（2）系统安全保障</w:t>
      </w:r>
      <w:r>
        <w:rPr>
          <w:bCs/>
          <w:sz w:val="24"/>
          <w:szCs w:val="24"/>
        </w:rPr>
      </w:r>
      <w:r/>
    </w:p>
    <w:p>
      <w:pPr>
        <w:pStyle w:val="959"/>
        <w:ind w:firstLine="480"/>
        <w:spacing w:line="440" w:lineRule="exact"/>
        <w:rPr>
          <w:bCs/>
          <w:sz w:val="24"/>
          <w:szCs w:val="24"/>
        </w:rPr>
      </w:pPr>
      <w:r>
        <w:rPr>
          <w:rFonts w:hint="eastAsia"/>
          <w:bCs/>
          <w:sz w:val="24"/>
          <w:szCs w:val="24"/>
        </w:rPr>
        <w:t xml:space="preserve">提供覆盖网络安全、数据安全、应用安全和访问控制的完整保障方案，提供积极有效的备份和恢复机制，保证系统的正常运行。</w:t>
      </w:r>
      <w:r>
        <w:rPr>
          <w:bCs/>
          <w:sz w:val="24"/>
          <w:szCs w:val="24"/>
        </w:rPr>
      </w:r>
      <w:r/>
    </w:p>
    <w:p>
      <w:pPr>
        <w:pStyle w:val="959"/>
        <w:ind w:left="284"/>
        <w:spacing w:line="520" w:lineRule="exact"/>
        <w:rPr>
          <w:rFonts w:hint="eastAsia" w:ascii="宋体" w:hAnsi="宋体"/>
          <w:b/>
          <w:bCs/>
          <w:sz w:val="24"/>
          <w:szCs w:val="24"/>
        </w:rPr>
      </w:pPr>
      <w:r>
        <w:rPr>
          <w:rFonts w:hint="eastAsia" w:ascii="宋体" w:hAnsi="宋体"/>
          <w:b/>
          <w:bCs/>
          <w:sz w:val="24"/>
          <w:szCs w:val="24"/>
        </w:rPr>
        <w:t xml:space="preserve">6.项目售后管理方案要求</w:t>
      </w:r>
      <w:r>
        <w:rPr>
          <w:rFonts w:hint="eastAsia" w:ascii="宋体" w:hAnsi="宋体"/>
          <w:b/>
          <w:bCs/>
          <w:sz w:val="24"/>
          <w:szCs w:val="24"/>
        </w:rPr>
      </w:r>
      <w:r/>
    </w:p>
    <w:p>
      <w:pPr>
        <w:pStyle w:val="959"/>
        <w:ind w:firstLine="480"/>
        <w:spacing w:line="360" w:lineRule="auto"/>
        <w:rPr>
          <w:rFonts w:hint="eastAsia"/>
          <w:bCs/>
          <w:sz w:val="24"/>
        </w:rPr>
      </w:pPr>
      <w:r>
        <w:rPr>
          <w:bCs/>
          <w:sz w:val="24"/>
        </w:rPr>
        <w:t xml:space="preserve">为了保障项目长期稳定运行，提供高效、专业的售后服务至关重要。</w:t>
      </w:r>
      <w:r>
        <w:rPr>
          <w:rFonts w:hint="eastAsia"/>
          <w:bCs/>
          <w:sz w:val="24"/>
        </w:rPr>
        <w:t xml:space="preserve">需</w:t>
      </w:r>
      <w:r>
        <w:rPr>
          <w:bCs/>
          <w:sz w:val="24"/>
        </w:rPr>
        <w:t xml:space="preserve">详细阐述项目售后管理方案的具体要求，包括售后时间、售后要求、售后内容以及售后人员</w:t>
      </w:r>
      <w:r>
        <w:rPr>
          <w:rFonts w:hint="eastAsia"/>
          <w:bCs/>
          <w:sz w:val="24"/>
        </w:rPr>
        <w:t xml:space="preserve">等</w:t>
      </w:r>
      <w:r>
        <w:rPr>
          <w:bCs/>
          <w:sz w:val="24"/>
        </w:rPr>
        <w:t xml:space="preserve">。</w:t>
      </w:r>
      <w:r>
        <w:rPr>
          <w:rFonts w:hint="eastAsia"/>
          <w:bCs/>
          <w:sz w:val="24"/>
        </w:rPr>
      </w:r>
      <w:r/>
    </w:p>
    <w:p>
      <w:pPr>
        <w:pStyle w:val="959"/>
        <w:ind w:firstLine="480"/>
        <w:spacing w:line="360" w:lineRule="auto"/>
        <w:rPr>
          <w:rFonts w:hint="eastAsia"/>
          <w:bCs/>
          <w:sz w:val="24"/>
        </w:rPr>
      </w:pPr>
      <w:r>
        <w:rPr>
          <w:rFonts w:hint="eastAsia"/>
          <w:bCs/>
          <w:sz w:val="24"/>
        </w:rPr>
        <w:t xml:space="preserve">（1）维保期：一年，报价中包含的自交货验收完毕之日起提供的维保期。</w:t>
      </w:r>
      <w:r>
        <w:rPr>
          <w:rFonts w:hint="eastAsia"/>
          <w:bCs/>
          <w:sz w:val="24"/>
        </w:rPr>
      </w:r>
      <w:r/>
    </w:p>
    <w:p>
      <w:pPr>
        <w:pStyle w:val="959"/>
        <w:ind w:firstLine="480"/>
        <w:spacing w:line="360" w:lineRule="auto"/>
        <w:rPr>
          <w:rFonts w:hint="eastAsia"/>
          <w:bCs/>
          <w:sz w:val="24"/>
        </w:rPr>
      </w:pPr>
      <w:r>
        <w:rPr>
          <w:rFonts w:hint="eastAsia"/>
          <w:bCs/>
          <w:sz w:val="24"/>
        </w:rPr>
        <w:t xml:space="preserve">（2）售后要求：投标供应商须承诺，7*24小时立即响应，2小时内到现场，4小时内解决。</w:t>
      </w:r>
      <w:r>
        <w:rPr>
          <w:rFonts w:hint="eastAsia"/>
          <w:bCs/>
          <w:sz w:val="24"/>
        </w:rPr>
      </w:r>
      <w:r/>
    </w:p>
    <w:p>
      <w:pPr>
        <w:pStyle w:val="959"/>
        <w:ind w:firstLine="480"/>
        <w:spacing w:line="360" w:lineRule="auto"/>
        <w:rPr>
          <w:rFonts w:hint="eastAsia"/>
          <w:bCs/>
          <w:sz w:val="24"/>
        </w:rPr>
      </w:pPr>
      <w:r>
        <w:rPr>
          <w:rFonts w:hint="eastAsia"/>
          <w:bCs/>
          <w:sz w:val="24"/>
        </w:rPr>
        <w:t xml:space="preserve">（3）售后内容：投标供应商须承诺提供该产品的技术培训、技术支持和维修巡检服务，并在投标文件中提供相应书面方案。</w:t>
      </w:r>
      <w:r>
        <w:rPr>
          <w:rFonts w:hint="eastAsia"/>
          <w:bCs/>
          <w:sz w:val="24"/>
        </w:rPr>
      </w:r>
      <w:r/>
    </w:p>
    <w:p>
      <w:pPr>
        <w:pStyle w:val="1006"/>
        <w:tabs>
          <w:tab w:val="center" w:pos="4153" w:leader="none"/>
          <w:tab w:val="right" w:pos="8306" w:leader="none"/>
        </w:tabs>
      </w:pPr>
      <w:r/>
      <w:r/>
    </w:p>
    <w:p>
      <w:pPr>
        <w:pStyle w:val="959"/>
        <w:spacing w:line="0" w:lineRule="atLeast"/>
        <w:rPr>
          <w:rFonts w:hint="eastAsia"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hint="eastAsia" w:ascii="宋体" w:hAnsi="宋体"/>
          <w:b/>
          <w:bCs/>
          <w:sz w:val="24"/>
          <w:szCs w:val="24"/>
        </w:rPr>
      </w:r>
      <w:r/>
    </w:p>
    <w:p>
      <w:pPr>
        <w:pStyle w:val="959"/>
        <w:spacing w:line="520" w:lineRule="exact"/>
        <w:rPr>
          <w:rFonts w:hint="eastAsia" w:ascii="宋体" w:hAnsi="宋体"/>
          <w:b/>
          <w:bCs/>
          <w:sz w:val="24"/>
          <w:szCs w:val="24"/>
        </w:rPr>
      </w:pPr>
      <w:r>
        <w:rPr>
          <w:rFonts w:hint="eastAsia" w:ascii="宋体" w:hAnsi="宋体"/>
          <w:b/>
          <w:bCs/>
          <w:sz w:val="24"/>
          <w:szCs w:val="24"/>
        </w:rPr>
        <w:t xml:space="preserve">（一）项目人员要求</w:t>
      </w:r>
      <w:r>
        <w:rPr>
          <w:rFonts w:hint="eastAsia" w:ascii="宋体" w:hAnsi="宋体"/>
          <w:b/>
          <w:bCs/>
          <w:sz w:val="24"/>
          <w:szCs w:val="24"/>
        </w:rPr>
      </w:r>
      <w:r/>
    </w:p>
    <w:p>
      <w:pPr>
        <w:pStyle w:val="959"/>
        <w:ind w:firstLine="480"/>
        <w:spacing w:line="520" w:lineRule="exact"/>
        <w:rPr>
          <w:rFonts w:hint="eastAsia" w:ascii="宋体" w:hAnsi="宋体"/>
          <w:sz w:val="24"/>
          <w:szCs w:val="24"/>
        </w:rPr>
      </w:pPr>
      <w:r>
        <w:rPr>
          <w:rFonts w:hint="eastAsia" w:ascii="宋体" w:hAnsi="宋体"/>
          <w:sz w:val="24"/>
          <w:szCs w:val="24"/>
        </w:rPr>
        <w:t xml:space="preserve">中标人应成立针对本项目的项目工作组，项目工作组不少于4人。</w:t>
      </w:r>
      <w:r>
        <w:rPr>
          <w:rFonts w:hint="eastAsia" w:ascii="宋体" w:hAnsi="宋体"/>
          <w:sz w:val="24"/>
          <w:szCs w:val="24"/>
        </w:rPr>
      </w:r>
      <w:r/>
    </w:p>
    <w:p>
      <w:pPr>
        <w:pStyle w:val="959"/>
        <w:numPr>
          <w:ilvl w:val="0"/>
          <w:numId w:val="6"/>
        </w:numPr>
        <w:ind w:firstLine="480"/>
        <w:spacing w:line="520" w:lineRule="exact"/>
        <w:rPr>
          <w:rFonts w:hint="eastAsia" w:ascii="宋体" w:hAnsi="宋体"/>
          <w:sz w:val="24"/>
          <w:szCs w:val="24"/>
        </w:rPr>
      </w:pPr>
      <w:r>
        <w:rPr>
          <w:rFonts w:hint="eastAsia" w:ascii="宋体" w:hAnsi="宋体"/>
          <w:b/>
          <w:bCs/>
          <w:sz w:val="24"/>
          <w:szCs w:val="24"/>
        </w:rPr>
        <w:t xml:space="preserve">项目配备项目经理一名；</w:t>
      </w:r>
      <w:r>
        <w:rPr>
          <w:rFonts w:hint="eastAsia" w:ascii="宋体" w:hAnsi="宋体" w:cs="宋体"/>
          <w:sz w:val="24"/>
          <w:szCs w:val="24"/>
        </w:rPr>
        <w:t xml:space="preserve">需要至少具备由人社部门和工信部门颁发的信息系统项目管理师、信息系统架构设计师、数据库系统工程师或计算机与网络工程师高级证书中的一个。具有相关系统建设经验。</w:t>
      </w:r>
      <w:r>
        <w:rPr>
          <w:rFonts w:hint="eastAsia" w:ascii="宋体" w:hAnsi="宋体"/>
          <w:sz w:val="24"/>
          <w:szCs w:val="24"/>
        </w:rPr>
      </w:r>
      <w:r/>
    </w:p>
    <w:p>
      <w:pPr>
        <w:pStyle w:val="959"/>
        <w:numPr>
          <w:ilvl w:val="0"/>
          <w:numId w:val="6"/>
        </w:numPr>
        <w:ind w:firstLine="480"/>
        <w:spacing w:line="520" w:lineRule="exact"/>
        <w:rPr>
          <w:rFonts w:hint="eastAsia" w:ascii="宋体" w:hAnsi="宋体"/>
          <w:sz w:val="24"/>
          <w:szCs w:val="24"/>
        </w:rPr>
      </w:pPr>
      <w:r>
        <w:rPr>
          <w:rFonts w:hint="eastAsia" w:ascii="宋体" w:hAnsi="宋体"/>
          <w:b/>
          <w:bCs/>
          <w:sz w:val="24"/>
          <w:szCs w:val="24"/>
        </w:rPr>
        <w:t xml:space="preserve">项目配备项目实施工程师三名：</w:t>
      </w:r>
      <w:r>
        <w:rPr>
          <w:rFonts w:hint="eastAsia" w:ascii="宋体" w:hAnsi="宋体" w:cs="宋体"/>
          <w:sz w:val="24"/>
          <w:szCs w:val="24"/>
        </w:rPr>
        <w:t xml:space="preserve">需要至少具备由人社部门和工信部门颁发的</w:t>
      </w:r>
      <w:r>
        <w:rPr>
          <w:rFonts w:ascii="宋体" w:hAnsi="宋体"/>
          <w:sz w:val="24"/>
          <w:szCs w:val="24"/>
        </w:rPr>
        <w:t xml:space="preserve">软件设计师、</w:t>
      </w:r>
      <w:r>
        <w:rPr>
          <w:rFonts w:hint="eastAsia" w:ascii="宋体" w:hAnsi="宋体"/>
          <w:sz w:val="24"/>
          <w:szCs w:val="24"/>
        </w:rPr>
        <w:t xml:space="preserve">软件工程专业工程师</w:t>
      </w:r>
      <w:r>
        <w:rPr>
          <w:rFonts w:ascii="宋体" w:hAnsi="宋体"/>
          <w:sz w:val="24"/>
          <w:szCs w:val="24"/>
        </w:rPr>
        <w:t xml:space="preserve">或计算机与网络工程师中级及以上证书</w:t>
      </w:r>
      <w:r>
        <w:rPr>
          <w:rFonts w:hint="eastAsia" w:ascii="宋体" w:hAnsi="宋体" w:cs="宋体"/>
          <w:sz w:val="24"/>
          <w:szCs w:val="24"/>
        </w:rPr>
        <w:t xml:space="preserve">中的一个，或具有三年以上研发、实施经验。</w:t>
      </w:r>
      <w:r>
        <w:rPr>
          <w:rFonts w:hint="eastAsia" w:ascii="宋体" w:hAnsi="宋体"/>
          <w:sz w:val="24"/>
          <w:szCs w:val="24"/>
        </w:rPr>
      </w:r>
      <w:r/>
    </w:p>
    <w:p>
      <w:pPr>
        <w:pStyle w:val="959"/>
        <w:numPr>
          <w:ilvl w:val="0"/>
          <w:numId w:val="7"/>
        </w:numPr>
        <w:ind w:firstLine="480"/>
        <w:spacing w:line="520" w:lineRule="exact"/>
        <w:rPr>
          <w:rFonts w:hint="eastAsia" w:ascii="宋体" w:hAnsi="宋体"/>
          <w:b/>
          <w:bCs/>
          <w:sz w:val="24"/>
          <w:szCs w:val="24"/>
        </w:rPr>
      </w:pPr>
      <w:r>
        <w:rPr>
          <w:rFonts w:hint="eastAsia" w:ascii="宋体" w:hAnsi="宋体"/>
          <w:b/>
          <w:bCs/>
          <w:sz w:val="24"/>
          <w:szCs w:val="24"/>
        </w:rPr>
        <w:t xml:space="preserve">相关业绩要求</w:t>
      </w:r>
      <w:r>
        <w:rPr>
          <w:rFonts w:hint="eastAsia" w:ascii="宋体" w:hAnsi="宋体"/>
          <w:b/>
          <w:bCs/>
          <w:sz w:val="24"/>
          <w:szCs w:val="24"/>
        </w:rPr>
      </w:r>
      <w:r/>
    </w:p>
    <w:p>
      <w:pPr>
        <w:pStyle w:val="959"/>
        <w:ind w:firstLine="480"/>
        <w:spacing w:line="520" w:lineRule="exact"/>
        <w:rPr>
          <w:rFonts w:hint="eastAsia" w:ascii="宋体" w:hAnsi="宋体"/>
          <w:sz w:val="24"/>
          <w:szCs w:val="24"/>
        </w:rPr>
      </w:pPr>
      <w:r>
        <w:rPr>
          <w:rFonts w:hint="eastAsia" w:ascii="宋体" w:hAnsi="宋体"/>
          <w:sz w:val="24"/>
          <w:szCs w:val="24"/>
        </w:rPr>
        <w:t xml:space="preserve">供应商提供自2023年1月1日（含）以来类似业绩案例合同。</w:t>
      </w:r>
      <w:r>
        <w:rPr>
          <w:rFonts w:hint="eastAsia" w:ascii="宋体" w:hAnsi="宋体"/>
          <w:sz w:val="24"/>
          <w:szCs w:val="24"/>
        </w:rPr>
      </w:r>
      <w:r/>
    </w:p>
    <w:p>
      <w:pPr>
        <w:pStyle w:val="959"/>
        <w:spacing w:line="520" w:lineRule="exact"/>
        <w:rPr>
          <w:rFonts w:hint="eastAsia" w:ascii="宋体" w:hAnsi="宋体"/>
          <w:b/>
          <w:bCs/>
          <w:sz w:val="24"/>
          <w:szCs w:val="24"/>
        </w:rPr>
      </w:pPr>
      <w:r>
        <w:rPr>
          <w:rFonts w:hint="eastAsia" w:ascii="宋体" w:hAnsi="宋体"/>
          <w:b/>
          <w:bCs/>
          <w:sz w:val="24"/>
          <w:szCs w:val="24"/>
        </w:rPr>
        <w:t xml:space="preserve">（二）付款方式</w:t>
      </w:r>
      <w:r>
        <w:rPr>
          <w:rFonts w:hint="eastAsia" w:ascii="宋体" w:hAnsi="宋体"/>
          <w:b/>
          <w:bCs/>
          <w:sz w:val="24"/>
          <w:szCs w:val="24"/>
        </w:rPr>
      </w:r>
      <w:r/>
    </w:p>
    <w:p>
      <w:pPr>
        <w:spacing w:line="520" w:lineRule="exact"/>
        <w:rPr>
          <w:rFonts w:hint="eastAsia" w:ascii="宋体" w:hAnsi="宋体"/>
          <w:b w:val="0"/>
          <w:bCs/>
          <w:i/>
          <w:sz w:val="24"/>
          <w:szCs w:val="24"/>
          <w:u w:val="single"/>
        </w:rPr>
      </w:pPr>
      <w:r>
        <w:rPr>
          <w:rFonts w:hint="eastAsia" w:ascii="宋体" w:hAnsi="宋体"/>
          <w:b w:val="0"/>
          <w:bCs w:val="0"/>
          <w:sz w:val="24"/>
          <w:szCs w:val="24"/>
          <w:highlight w:val="none"/>
        </w:rPr>
        <w:t xml:space="preserve"> </w:t>
      </w:r>
      <w:r>
        <w:rPr>
          <w:rFonts w:hint="eastAsia" w:ascii="宋体" w:hAnsi="宋体"/>
          <w:b w:val="0"/>
          <w:bCs w:val="0"/>
          <w:i/>
          <w:iCs/>
          <w:sz w:val="24"/>
          <w:szCs w:val="24"/>
          <w:highlight w:val="none"/>
          <w:u w:val="single"/>
        </w:rPr>
        <w:t xml:space="preserve">系统试运行阶段支付合同总金额的30%；系统验收合格且稳定运行30个工作日后10个工作日内支付合同总金额的70%</w:t>
      </w:r>
      <w:r>
        <w:rPr>
          <w:i/>
          <w:iCs/>
          <w:u w:val="single"/>
        </w:rPr>
      </w:r>
      <w:r/>
    </w:p>
    <w:p>
      <w:pPr>
        <w:pStyle w:val="959"/>
        <w:spacing w:line="520" w:lineRule="exact"/>
        <w:rPr>
          <w:rFonts w:hint="eastAsia" w:ascii="宋体" w:hAnsi="宋体"/>
          <w:b/>
          <w:bCs/>
          <w:sz w:val="24"/>
          <w:szCs w:val="24"/>
          <w:highlight w:val="none"/>
        </w:rPr>
      </w:pPr>
      <w:r>
        <w:rPr>
          <w:rFonts w:hint="eastAsia" w:ascii="宋体" w:hAnsi="宋体"/>
          <w:b/>
          <w:bCs/>
          <w:sz w:val="24"/>
          <w:szCs w:val="24"/>
        </w:rPr>
        <w:t xml:space="preserve">（三）维保费用</w:t>
      </w:r>
      <w:r>
        <w:rPr>
          <w:rFonts w:hint="eastAsia" w:ascii="宋体" w:hAnsi="宋体"/>
          <w:b/>
          <w:bCs/>
          <w:sz w:val="24"/>
          <w:szCs w:val="24"/>
        </w:rPr>
      </w:r>
      <w:r/>
    </w:p>
    <w:p>
      <w:pPr>
        <w:pStyle w:val="959"/>
        <w:ind w:firstLine="482"/>
        <w:spacing w:line="520" w:lineRule="exact"/>
        <w:rPr>
          <w:rFonts w:hint="eastAsia" w:ascii="宋体" w:hAnsi="宋体"/>
          <w:b/>
          <w:bCs/>
          <w:sz w:val="24"/>
          <w:szCs w:val="24"/>
        </w:rPr>
      </w:pPr>
      <w:r>
        <w:rPr>
          <w:rFonts w:hint="eastAsia" w:ascii="宋体" w:hAnsi="宋体"/>
          <w:b/>
          <w:bCs/>
          <w:sz w:val="24"/>
          <w:szCs w:val="24"/>
        </w:rPr>
        <w:t xml:space="preserve">1、维护期</w:t>
      </w:r>
      <w:r>
        <w:rPr>
          <w:rFonts w:hint="eastAsia" w:ascii="宋体" w:hAnsi="宋体"/>
          <w:b/>
          <w:bCs/>
          <w:sz w:val="24"/>
          <w:szCs w:val="24"/>
        </w:rPr>
      </w:r>
      <w:r/>
    </w:p>
    <w:p>
      <w:pPr>
        <w:pStyle w:val="959"/>
        <w:ind w:firstLine="480"/>
        <w:rPr>
          <w:rFonts w:hint="eastAsia" w:ascii="宋体" w:hAnsi="宋体"/>
          <w:i/>
          <w:iCs/>
          <w:sz w:val="24"/>
          <w:szCs w:val="24"/>
          <w:u w:val="single"/>
        </w:rPr>
      </w:pPr>
      <w:r>
        <w:rPr>
          <w:rFonts w:hint="eastAsia" w:ascii="宋体" w:hAnsi="宋体"/>
          <w:i/>
          <w:iCs/>
          <w:sz w:val="24"/>
          <w:szCs w:val="24"/>
          <w:u w:val="single"/>
        </w:rPr>
        <w:t xml:space="preserve">自项目最终验收合格之日起算，中标人须为所供软件提供一年及以上维护、技术支持与故障处理服务。投标文件中报价包含维护期内维保费，维保期间不另外收取任何费用。</w:t>
      </w:r>
      <w:r>
        <w:rPr>
          <w:rFonts w:hint="eastAsia" w:ascii="宋体" w:hAnsi="宋体"/>
          <w:i/>
          <w:iCs/>
          <w:sz w:val="24"/>
          <w:szCs w:val="24"/>
          <w:u w:val="single"/>
        </w:rPr>
      </w:r>
      <w:r/>
    </w:p>
    <w:p>
      <w:pPr>
        <w:pStyle w:val="959"/>
        <w:ind w:firstLine="482"/>
        <w:rPr>
          <w:rFonts w:hint="eastAsia" w:ascii="宋体" w:hAnsi="宋体"/>
          <w:b/>
          <w:bCs/>
          <w:sz w:val="24"/>
          <w:szCs w:val="24"/>
        </w:rPr>
      </w:pPr>
      <w:r>
        <w:rPr>
          <w:rFonts w:hint="eastAsia" w:ascii="宋体" w:hAnsi="宋体"/>
          <w:b/>
          <w:bCs/>
          <w:sz w:val="24"/>
          <w:szCs w:val="24"/>
        </w:rPr>
        <w:t xml:space="preserve">2、后续维保费用</w:t>
      </w:r>
      <w:r>
        <w:rPr>
          <w:rFonts w:hint="eastAsia" w:ascii="宋体" w:hAnsi="宋体"/>
          <w:b/>
          <w:bCs/>
          <w:sz w:val="24"/>
          <w:szCs w:val="24"/>
        </w:rPr>
      </w:r>
      <w:r/>
    </w:p>
    <w:p>
      <w:pPr>
        <w:pStyle w:val="959"/>
        <w:ind w:firstLine="480"/>
        <w:rPr>
          <w:i/>
          <w:iCs/>
        </w:rPr>
      </w:pPr>
      <w:r>
        <w:rPr>
          <w:rFonts w:hint="eastAsia" w:ascii="宋体" w:hAnsi="宋体"/>
          <w:i/>
          <w:iCs/>
          <w:sz w:val="24"/>
          <w:szCs w:val="24"/>
          <w:u w:val="single"/>
        </w:rPr>
        <w:t xml:space="preserve">维护期届满后，年度维保服务费率不得高于本项目中标金额的5%，具体服务标准由双方另行约定。</w:t>
      </w:r>
      <w:r>
        <w:rPr>
          <w:i/>
          <w:iCs/>
        </w:rPr>
      </w:r>
      <w:r/>
    </w:p>
    <w:p>
      <w:pPr>
        <w:pStyle w:val="959"/>
        <w:rPr>
          <w:rFonts w:hint="eastAsia" w:ascii="宋体" w:hAnsi="宋体"/>
          <w:b/>
          <w:bCs/>
          <w:sz w:val="24"/>
          <w:szCs w:val="24"/>
        </w:rPr>
      </w:pPr>
      <w:r>
        <w:rPr>
          <w:rFonts w:hint="eastAsia" w:ascii="宋体" w:hAnsi="宋体"/>
          <w:b/>
          <w:bCs/>
          <w:sz w:val="24"/>
          <w:szCs w:val="24"/>
        </w:rPr>
        <w:t xml:space="preserve">（四）保密要求</w:t>
      </w:r>
      <w:r>
        <w:rPr>
          <w:rFonts w:hint="eastAsia" w:ascii="宋体" w:hAnsi="宋体"/>
          <w:b/>
          <w:bCs/>
          <w:sz w:val="24"/>
          <w:szCs w:val="24"/>
        </w:rPr>
      </w:r>
      <w:r/>
    </w:p>
    <w:p>
      <w:pPr>
        <w:pStyle w:val="959"/>
        <w:ind w:firstLine="480"/>
        <w:rPr>
          <w:rFonts w:hint="eastAsia" w:ascii="宋体" w:hAnsi="宋体"/>
          <w:i/>
          <w:iCs/>
          <w:sz w:val="24"/>
          <w:szCs w:val="24"/>
        </w:rPr>
      </w:pPr>
      <w:r>
        <w:rPr>
          <w:rFonts w:hint="eastAsia" w:ascii="宋体" w:hAnsi="宋体"/>
          <w:i/>
          <w:iCs/>
          <w:sz w:val="24"/>
          <w:szCs w:val="24"/>
          <w:u w:val="single"/>
        </w:rPr>
        <w:t xml:space="preserve">投标供应商在参与本项目中，对于采购人披露和提供的所有信息应作为商业秘密对待并予以保护，未经采购人授权不得将任何信息泄漏给第三方，否则采购人有权追究供应商的责任。</w:t>
      </w:r>
      <w:r>
        <w:rPr>
          <w:rFonts w:hint="eastAsia" w:ascii="宋体" w:hAnsi="宋体"/>
          <w:i/>
          <w:iCs/>
          <w:sz w:val="24"/>
          <w:szCs w:val="24"/>
        </w:rPr>
      </w:r>
      <w:r/>
    </w:p>
    <w:p>
      <w:pPr>
        <w:pStyle w:val="959"/>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959"/>
        <w:spacing w:line="0" w:lineRule="atLeast"/>
        <w:rPr>
          <w:rFonts w:hint="eastAsia" w:ascii="宋体" w:hAnsi="宋体"/>
          <w:sz w:val="24"/>
          <w:szCs w:val="24"/>
        </w:rPr>
      </w:pPr>
      <w:r>
        <w:rPr>
          <w:rFonts w:hint="eastAsia" w:ascii="宋体" w:hAnsi="宋体"/>
          <w:sz w:val="24"/>
          <w:szCs w:val="24"/>
        </w:rPr>
        <w:t xml:space="preserve">1.项目属性:</w:t>
      </w:r>
      <w:r>
        <w:rPr>
          <w:rFonts w:hint="eastAsia" w:ascii="宋体" w:hAnsi="宋体"/>
          <w:b/>
          <w:bCs/>
          <w:sz w:val="24"/>
          <w:szCs w:val="24"/>
        </w:rPr>
        <w:t xml:space="preserve">软件开发类项目</w:t>
      </w:r>
      <w:r>
        <w:rPr>
          <w:rFonts w:hint="eastAsia" w:ascii="宋体" w:hAnsi="宋体"/>
          <w:sz w:val="24"/>
          <w:szCs w:val="24"/>
        </w:rPr>
        <w:t xml:space="preserve">。</w:t>
      </w:r>
      <w:r>
        <w:rPr>
          <w:rFonts w:hint="eastAsia" w:ascii="宋体" w:hAnsi="宋体"/>
          <w:sz w:val="24"/>
          <w:szCs w:val="24"/>
        </w:rPr>
      </w:r>
      <w:r/>
    </w:p>
    <w:p>
      <w:pPr>
        <w:pStyle w:val="959"/>
        <w:rPr>
          <w:rFonts w:hint="eastAsia" w:ascii="宋体" w:hAnsi="宋体"/>
          <w:sz w:val="24"/>
          <w:szCs w:val="24"/>
        </w:rPr>
      </w:pPr>
      <w:r>
        <w:rPr>
          <w:rFonts w:hint="eastAsia" w:ascii="宋体" w:hAnsi="宋体"/>
          <w:sz w:val="24"/>
          <w:szCs w:val="24"/>
        </w:rPr>
        <w:t xml:space="preserve">2.验收要求</w:t>
      </w:r>
      <w:r>
        <w:rPr>
          <w:rFonts w:hint="eastAsia" w:ascii="宋体" w:hAnsi="宋体"/>
          <w:sz w:val="24"/>
          <w:szCs w:val="24"/>
        </w:rPr>
      </w:r>
      <w:r/>
    </w:p>
    <w:p>
      <w:pPr>
        <w:pStyle w:val="959"/>
        <w:numPr>
          <w:ilvl w:val="0"/>
          <w:numId w:val="8"/>
        </w:numPr>
        <w:ind w:left="0" w:firstLine="480"/>
        <w:spacing w:line="440" w:lineRule="exact"/>
        <w:rPr>
          <w:sz w:val="24"/>
          <w:szCs w:val="24"/>
        </w:rPr>
      </w:pPr>
      <w:r>
        <w:rPr>
          <w:rFonts w:hint="eastAsia"/>
          <w:sz w:val="24"/>
          <w:szCs w:val="24"/>
        </w:rPr>
        <w:t xml:space="preserve">我院将依据招标文件上的技术规格要求和国家有关质量标准对项目进行现场初步验收，符合招标文件技术要求的，给予签收，初步验收不合格的不予签收。</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投标人应对项目做出全面检查，对验收文件进行整理，并列出清单，作为我院验收和使用的技术条件依据，检验的结果验收时交予我院。</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我院对投标人提供的产品在使用前进行调试时，投标人需提供用户使用手册、安装文档等相关资料，培养投标人工程师进行开发和维护，安装并培训我院的使用操作人员，并配合我院指定的系统集成方调试，直到符合技术要求，我院才做最终验收。</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对技术复杂的产品，我院可请国家认可的专业检测机构参与初步验收及最终验收，并由其出具质量检测报告。</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验收时投标人必须在现场，验收完毕后作出验收结果报告。</w:t>
      </w:r>
      <w:r>
        <w:rPr>
          <w:sz w:val="24"/>
          <w:szCs w:val="24"/>
        </w:rPr>
      </w:r>
      <w:r/>
    </w:p>
    <w:p>
      <w:pPr>
        <w:pStyle w:val="959"/>
        <w:numPr>
          <w:ilvl w:val="0"/>
          <w:numId w:val="8"/>
        </w:numPr>
        <w:ind w:left="0" w:firstLine="480"/>
        <w:spacing w:line="440" w:lineRule="exact"/>
        <w:rPr>
          <w:sz w:val="24"/>
          <w:szCs w:val="24"/>
        </w:rPr>
      </w:pPr>
      <w:r>
        <w:rPr>
          <w:rFonts w:hint="eastAsia"/>
          <w:sz w:val="24"/>
          <w:szCs w:val="24"/>
        </w:rPr>
        <w:t xml:space="preserve">投标人承诺软件的知识产权、源代码等归医院和投标人共同拥有。</w:t>
      </w:r>
      <w:r>
        <w:rPr>
          <w:sz w:val="24"/>
          <w:szCs w:val="24"/>
        </w:rPr>
      </w:r>
      <w:r/>
    </w:p>
    <w:p>
      <w:pPr>
        <w:pStyle w:val="960"/>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59"/>
        <w:rPr>
          <w:rFonts w:hint="eastAsia" w:ascii="黑体" w:eastAsia="黑体"/>
          <w:sz w:val="44"/>
          <w:szCs w:val="44"/>
        </w:rPr>
      </w:pPr>
      <w:r>
        <w:rPr>
          <w:rFonts w:hint="eastAsia" w:ascii="黑体" w:eastAsia="黑体"/>
          <w:bCs/>
          <w:sz w:val="44"/>
        </w:rPr>
      </w:r>
      <w:r/>
    </w:p>
    <w:p>
      <w:pPr>
        <w:pStyle w:val="961"/>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46"/>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46"/>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46"/>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46"/>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1046"/>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bl>
      <w:tblPr>
        <w:tblW w:w="94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29"/>
        <w:gridCol w:w="7318"/>
      </w:tblGrid>
      <w:tr>
        <w:trPr/>
        <w:tc>
          <w:tcPr>
            <w:tcW w:w="1271" w:type="dxa"/>
            <w:vAlign w:val="center"/>
            <w:textDirection w:val="lrTb"/>
            <w:noWrap w:val="false"/>
          </w:tcPr>
          <w:p>
            <w:pPr>
              <w:pStyle w:val="959"/>
              <w:spacing w:after="160" w:line="278" w:lineRule="auto"/>
              <w:rPr>
                <w:rFonts w:hint="eastAsia" w:ascii="宋体" w:hAnsi="宋体" w:cs="宋体"/>
                <w:b/>
                <w:bCs/>
                <w:sz w:val="24"/>
                <w:szCs w:val="24"/>
              </w:rPr>
            </w:pPr>
            <w:r/>
            <w:bookmarkStart w:id="162" w:name="_Hlk162472265"/>
            <w:r>
              <w:rPr>
                <w:rFonts w:hint="eastAsia" w:ascii="宋体" w:hAnsi="宋体" w:cs="宋体"/>
                <w:b/>
                <w:bCs/>
                <w:sz w:val="24"/>
                <w:szCs w:val="24"/>
              </w:rPr>
              <w:t xml:space="preserve">评分内容</w:t>
            </w:r>
            <w:r>
              <w:rPr>
                <w:rFonts w:hint="eastAsia" w:ascii="宋体" w:hAnsi="宋体" w:cs="宋体"/>
                <w:b/>
                <w:bCs/>
                <w:sz w:val="24"/>
                <w:szCs w:val="24"/>
              </w:rPr>
            </w:r>
            <w:r/>
          </w:p>
        </w:tc>
        <w:tc>
          <w:tcPr>
            <w:tcW w:w="829" w:type="dxa"/>
            <w:vAlign w:val="center"/>
            <w:textDirection w:val="lrTb"/>
            <w:noWrap w:val="false"/>
          </w:tcPr>
          <w:p>
            <w:pPr>
              <w:pStyle w:val="959"/>
              <w:jc w:val="center"/>
              <w:spacing w:after="160" w:line="278" w:lineRule="auto"/>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c>
          <w:tcPr>
            <w:tcW w:w="7318" w:type="dxa"/>
            <w:vAlign w:val="center"/>
            <w:textDirection w:val="lrTb"/>
            <w:noWrap w:val="false"/>
          </w:tcPr>
          <w:p>
            <w:pPr>
              <w:pStyle w:val="959"/>
              <w:jc w:val="center"/>
              <w:spacing w:after="160" w:line="278" w:lineRule="auto"/>
              <w:rPr>
                <w:rFonts w:hint="eastAsia" w:ascii="宋体" w:hAnsi="宋体" w:cs="宋体"/>
                <w:b/>
                <w:bCs/>
                <w:sz w:val="24"/>
                <w:szCs w:val="24"/>
              </w:rPr>
            </w:pPr>
            <w:r>
              <w:rPr>
                <w:rFonts w:hint="eastAsia" w:ascii="宋体" w:hAnsi="宋体" w:cs="宋体"/>
                <w:b/>
                <w:bCs/>
                <w:sz w:val="24"/>
                <w:szCs w:val="24"/>
              </w:rPr>
              <w:t xml:space="preserve">评分标准</w:t>
            </w:r>
            <w:r>
              <w:rPr>
                <w:rFonts w:hint="eastAsia" w:ascii="宋体" w:hAnsi="宋体" w:cs="宋体"/>
                <w:b/>
                <w:bCs/>
                <w:sz w:val="24"/>
                <w:szCs w:val="24"/>
              </w:rPr>
            </w:r>
            <w:r/>
          </w:p>
        </w:tc>
      </w:tr>
      <w:tr>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投标报价</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15</w:t>
            </w:r>
            <w:r>
              <w:rPr>
                <w:rFonts w:hint="eastAsia" w:ascii="宋体" w:hAnsi="宋体" w:cs="宋体"/>
                <w:sz w:val="22"/>
                <w:szCs w:val="22"/>
              </w:rPr>
            </w:r>
            <w:r/>
          </w:p>
        </w:tc>
        <w:tc>
          <w:tcPr>
            <w:tcW w:w="7318" w:type="dxa"/>
            <w:vAlign w:val="center"/>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价格分采用低价优先法计算，即满足招标文件要求且投标价格最低的投标报价为评标基准价，其价格分为满分。其他投标人的价格分统一按照下列公式计算：投标报价得分=(评标基准价／投标报价)×15（小数点保留两位）</w:t>
            </w:r>
            <w:r>
              <w:rPr>
                <w:rFonts w:hint="eastAsia" w:ascii="宋体" w:hAnsi="宋体" w:cs="宋体"/>
                <w:sz w:val="22"/>
                <w:szCs w:val="22"/>
              </w:rPr>
            </w:r>
            <w:r/>
          </w:p>
        </w:tc>
      </w:tr>
      <w:tr>
        <w:trPr>
          <w:trHeight w:val="90"/>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2.1技术指标响应</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40</w:t>
            </w:r>
            <w:r>
              <w:rPr>
                <w:rFonts w:hint="eastAsia" w:ascii="宋体" w:hAnsi="宋体" w:cs="宋体"/>
                <w:sz w:val="22"/>
                <w:szCs w:val="22"/>
              </w:rPr>
            </w:r>
            <w:r/>
          </w:p>
        </w:tc>
        <w:tc>
          <w:tcPr>
            <w:tcW w:w="7318" w:type="dxa"/>
            <w:vAlign w:val="center"/>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投标人对招标文件第四章采购需求中“二、技术要求” 的响应进行评分，总分40分。每有一项不满足要求的扣1分，扣完本项得分为止。</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注：①以上“技术要求”响应情况均须在投标文件《技术要求响应及偏离表》中表述清楚，如表述不清或未按要求提供相关证明材料的，则按不满足（负偏离）处理。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②《技术要求响应及偏离表》中的内容须是投标人投标产品的真实反映，投标人在投标时不得虚假响应和虚假承诺，否则将取消其投标资格；已中标的，将取消其中标资格，终止合同，对采购人造成损失的赔偿相应损失。</w:t>
            </w:r>
            <w:r>
              <w:rPr>
                <w:rFonts w:hint="eastAsia" w:ascii="宋体" w:hAnsi="宋体" w:cs="宋体"/>
                <w:sz w:val="22"/>
                <w:szCs w:val="22"/>
              </w:rPr>
            </w:r>
            <w:r/>
          </w:p>
        </w:tc>
      </w:tr>
      <w:tr>
        <w:trPr>
          <w:trHeight w:val="90"/>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2.2 软件开发方案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投标人根据项目的采购技术需求提供详细的“软件开发方案”：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（1）投标文件未提供“软件开发方案”或不符合“软件开发方案”中全部条款要求的，视为不符合招标文件，不得分；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（2）投标文件符合“软件开发方案”中全部条款要求的，得2分；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（3）经评委认定，投标文件对“软件开发方案”中“需求分析与设计响应”、“技术架构与详细设计”、“项目组织与实施保障”三项要求的响应内容全部优于招标文件要求的得4分。</w:t>
            </w:r>
            <w:r>
              <w:rPr>
                <w:rFonts w:hint="eastAsia" w:ascii="宋体" w:hAnsi="宋体" w:cs="宋体"/>
                <w:sz w:val="22"/>
                <w:szCs w:val="22"/>
              </w:rPr>
            </w:r>
            <w:r/>
          </w:p>
        </w:tc>
      </w:tr>
      <w:tr>
        <w:trPr>
          <w:trHeight w:val="90"/>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2.3 系统集成和部署要求</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投标人根据项目的采购技术需求提供详细的“系统集成和部署方案”：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（1）投标文件未提供“系统集成和部署方案”或不符合“系统集成和部署方案”中全部条款要求的，视为不符合招标文件，不得分；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（2）投标文件符合“系统集成和部署方案”中全部条款要求的，得2分；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（3）经评委认定，投标文件对“系统集成和部署方案”中“系统集成方案”、“</w:t>
            </w:r>
            <w:r>
              <w:rPr>
                <w:rFonts w:hint="eastAsia" w:ascii="宋体" w:hAnsi="宋体"/>
                <w:sz w:val="22"/>
                <w:szCs w:val="22"/>
              </w:rPr>
              <w:t xml:space="preserve">系统部署方案</w:t>
            </w:r>
            <w:r>
              <w:rPr>
                <w:rFonts w:hint="eastAsia" w:ascii="宋体" w:hAnsi="宋体" w:cs="宋体"/>
                <w:sz w:val="22"/>
                <w:szCs w:val="22"/>
              </w:rPr>
              <w:t xml:space="preserve">”两项要求的响应内容全部优于招标文件要求的得4分。</w:t>
            </w:r>
            <w:r>
              <w:rPr>
                <w:rFonts w:hint="eastAsia" w:ascii="宋体" w:hAnsi="宋体" w:cs="宋体"/>
                <w:sz w:val="22"/>
                <w:szCs w:val="22"/>
              </w:rPr>
            </w:r>
            <w:r/>
          </w:p>
        </w:tc>
      </w:tr>
      <w:tr>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2.4项目进度管理方案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投标人根据项目的采购技术需求提供详细的“项目进度管理方案”：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（1）投标文件未提供“项目进度管理方案”或不符合“项目进度管理方案”中全部条款要求的，视为不符合招标文件，不得分；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（2）投标文件符合“项目进度管理方案”中全部条款要求的，得2分；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（3）经评委认定，投标文件对“项目进度管理方案”中“进度安排”、“进度管理”、“测试”、“试运行”、“验收”五项要求的响应内容全部优于招标文件要求的得4分。</w:t>
            </w:r>
            <w:r>
              <w:rPr>
                <w:rFonts w:hint="eastAsia" w:ascii="宋体" w:hAnsi="宋体" w:cs="宋体"/>
                <w:sz w:val="22"/>
                <w:szCs w:val="22"/>
              </w:rPr>
            </w:r>
            <w:r/>
          </w:p>
        </w:tc>
      </w:tr>
      <w:tr>
        <w:trPr>
          <w:trHeight w:val="867"/>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2.5项目质量管理方案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投标人根据项目的采购技术需求提供详细的“项目质量管理方案”：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（1）投标文件未提供“项目质量管理方案”或不符合“项目质量管理方案”中全部条款要求的，视为不符合招标文件，不得分；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（2）投标文件符合“项目质量管理方案”中全部条款要求的，得2分；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（3）经评委认定，投标文件对“项目质量管理方案”中“质量标准”、“质量管理体系”、“</w:t>
            </w:r>
            <w:r>
              <w:rPr>
                <w:rFonts w:hint="eastAsia"/>
                <w:bCs/>
                <w:sz w:val="22"/>
                <w:szCs w:val="22"/>
              </w:rPr>
              <w:t xml:space="preserve">质量控制措施</w:t>
            </w:r>
            <w:r>
              <w:rPr>
                <w:rFonts w:hint="eastAsia" w:ascii="宋体" w:hAnsi="宋体" w:cs="宋体"/>
                <w:sz w:val="22"/>
                <w:szCs w:val="22"/>
              </w:rPr>
              <w:t xml:space="preserve">”、“风险管理”四项要求的响应内容全部优于招标文件要求的得4分。</w:t>
            </w:r>
            <w:r>
              <w:rPr>
                <w:rFonts w:hint="eastAsia" w:ascii="宋体" w:hAnsi="宋体" w:cs="宋体"/>
                <w:sz w:val="22"/>
                <w:szCs w:val="22"/>
              </w:rPr>
            </w:r>
            <w:r/>
          </w:p>
        </w:tc>
      </w:tr>
      <w:tr>
        <w:trPr>
          <w:trHeight w:val="482"/>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2.6项目应急和安全服务方案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投标人根据项目的采购技术需求提供详细的“项目应急和安全服务方案”：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（1）投标文件未提供“项目应急和安全服务方案”或不符合“项目应急和安全服务方案”中全部条款要求的，视为不符合招标文件，不得分；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（2）投标文件符合“项目应急和安全服务方案”中全部条款要求的，得2分；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（3）经评委认定，投标文件对“项目应急和安全服务方案”中“应急管理”、“系统安全保障”两项要求的响应内容全部优于招标文件要求的得4分。</w:t>
            </w:r>
            <w:r>
              <w:rPr>
                <w:rFonts w:hint="eastAsia" w:ascii="宋体" w:hAnsi="宋体" w:cs="宋体"/>
                <w:sz w:val="22"/>
                <w:szCs w:val="22"/>
              </w:rPr>
            </w:r>
            <w:r/>
          </w:p>
        </w:tc>
      </w:tr>
      <w:tr>
        <w:trPr>
          <w:trHeight w:val="897"/>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bookmarkEnd w:id="162"/>
            <w:r>
              <w:rPr>
                <w:rFonts w:hint="eastAsia" w:ascii="宋体" w:hAnsi="宋体" w:cs="宋体"/>
                <w:b/>
                <w:bCs/>
                <w:sz w:val="22"/>
                <w:szCs w:val="22"/>
              </w:rPr>
              <w:t xml:space="preserve">2.7项目售后服务方案</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W w:w="7318" w:type="dxa"/>
            <w:vAlign w:val="center"/>
            <w:textDirection w:val="lrTb"/>
            <w:noWrap w:val="false"/>
          </w:tcPr>
          <w:p>
            <w:pPr>
              <w:pStyle w:val="1073"/>
              <w:spacing w:after="160" w:line="279" w:lineRule="auto"/>
              <w:rPr>
                <w:rFonts w:hint="eastAsia" w:ascii="宋体" w:hAnsi="宋体" w:cs="宋体"/>
                <w:sz w:val="22"/>
                <w:szCs w:val="22"/>
              </w:rPr>
            </w:pPr>
            <w:r>
              <w:rPr>
                <w:rFonts w:hint="eastAsia" w:ascii="宋体" w:hAnsi="宋体" w:cs="宋体"/>
                <w:sz w:val="22"/>
                <w:szCs w:val="22"/>
              </w:rPr>
              <w:t xml:space="preserve">投标人根据项目的采购技术需求提供详细的“项目售后服务方案”：</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（1）投标文件未提供“项目售后服务方案”或不符合“项目售后服务方案”中全部条款要求的，视为不符合招标文件，不得分；</w:t>
            </w:r>
            <w:r>
              <w:rPr>
                <w:rFonts w:hint="eastAsia" w:ascii="宋体" w:hAnsi="宋体" w:cs="宋体"/>
                <w:sz w:val="22"/>
                <w:szCs w:val="22"/>
              </w:rPr>
            </w:r>
            <w:r/>
          </w:p>
          <w:p>
            <w:pPr>
              <w:pStyle w:val="1073"/>
              <w:spacing w:line="279" w:lineRule="auto"/>
              <w:rPr>
                <w:rFonts w:hint="eastAsia" w:ascii="宋体" w:hAnsi="宋体" w:cs="宋体"/>
                <w:sz w:val="22"/>
                <w:szCs w:val="22"/>
              </w:rPr>
            </w:pPr>
            <w:r>
              <w:rPr>
                <w:rFonts w:hint="eastAsia" w:ascii="宋体" w:hAnsi="宋体" w:cs="宋体"/>
                <w:sz w:val="22"/>
                <w:szCs w:val="22"/>
              </w:rPr>
              <w:t xml:space="preserve">（2）投标文件符合“项目售后服务方案”中全部条款要求的，得2分；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（3）经评委认定，投标文件对“项目售后服务方案”中“维保期”、“售后要求”、“售后内容”三项要求的响应内容全部优于招标文件要求的得4分。</w:t>
            </w:r>
            <w:r>
              <w:rPr>
                <w:rFonts w:hint="eastAsia" w:ascii="宋体" w:hAnsi="宋体" w:cs="宋体"/>
                <w:sz w:val="22"/>
                <w:szCs w:val="22"/>
              </w:rPr>
            </w:r>
            <w:r/>
          </w:p>
        </w:tc>
      </w:tr>
      <w:tr>
        <w:trPr>
          <w:trHeight w:val="983"/>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bookmarkStart w:id="163" w:name="_Hlk216438166"/>
            <w:r>
              <w:rPr>
                <w:rFonts w:hint="eastAsia" w:ascii="宋体" w:hAnsi="宋体" w:cs="宋体"/>
                <w:b/>
                <w:bCs/>
                <w:sz w:val="22"/>
                <w:szCs w:val="22"/>
              </w:rPr>
              <w:t xml:space="preserve">3.1人员配备</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W w:w="7318" w:type="dxa"/>
            <w:vAlign w:val="top"/>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3.1.1项目经理证书</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ascii="宋体" w:hAnsi="宋体"/>
              </w:rPr>
              <w:t xml:space="preserve">项目</w:t>
            </w:r>
            <w:r>
              <w:rPr>
                <w:rFonts w:hint="eastAsia" w:ascii="宋体" w:hAnsi="宋体"/>
              </w:rPr>
              <w:t xml:space="preserve">经理</w:t>
            </w:r>
            <w:r>
              <w:rPr>
                <w:rFonts w:ascii="宋体" w:hAnsi="宋体"/>
              </w:rPr>
              <w:t xml:space="preserve">具备由人社部门和工信部门颁发的信息系统项目管理师、信息系统架构设计师、数据库系统工程师或</w:t>
            </w:r>
            <w:bookmarkStart w:id="164" w:name="OLE_LINK3"/>
            <w:r/>
            <w:bookmarkStart w:id="165" w:name="OLE_LINK2"/>
            <w:r/>
            <w:bookmarkStart w:id="166" w:name="OLE_LINK1"/>
            <w:r/>
            <w:bookmarkStart w:id="167" w:name="OLE_LINK4"/>
            <w:r>
              <w:rPr>
                <w:rFonts w:ascii="宋体" w:hAnsi="宋体"/>
              </w:rPr>
              <w:t xml:space="preserve">计算机与网络工程师高级证书</w:t>
            </w:r>
            <w:bookmarkEnd w:id="164"/>
            <w:r/>
            <w:bookmarkEnd w:id="165"/>
            <w:r/>
            <w:bookmarkEnd w:id="166"/>
            <w:r/>
            <w:bookmarkEnd w:id="167"/>
            <w:r>
              <w:rPr>
                <w:rFonts w:ascii="宋体" w:hAnsi="宋体"/>
              </w:rPr>
              <w:t xml:space="preserve">的，有一个证书得</w:t>
            </w:r>
            <w:r>
              <w:rPr>
                <w:rFonts w:hint="eastAsia" w:ascii="宋体" w:hAnsi="宋体"/>
              </w:rPr>
              <w:t xml:space="preserve">2</w:t>
            </w:r>
            <w:r>
              <w:rPr>
                <w:rFonts w:ascii="宋体" w:hAnsi="宋体"/>
              </w:rPr>
              <w:t xml:space="preserve">分，</w:t>
            </w:r>
            <w:r>
              <w:rPr>
                <w:rFonts w:hint="eastAsia" w:ascii="宋体" w:hAnsi="宋体" w:cs="宋体"/>
                <w:sz w:val="22"/>
                <w:szCs w:val="22"/>
              </w:rPr>
              <w:t xml:space="preserve">本项最高得2分（提供证书扫描件或复印件并加盖投标人公章。）</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3.1.2项目经理经验</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项目经理具有相关系统建设经验的，每提供一份相关经验证明文件得1分，本项最高得2分。（注：本项须提供①项目经理曾参与建设的项目合同或项目验收报告，合同或验收报告需体现项目经理姓名，相关材料加盖投标人公章。②近三个月内任意一个月投标人为项目经理缴纳社保的证明文件并加盖投标人公章。上述两项需同时满足，否则不得分。）</w:t>
            </w:r>
            <w:r>
              <w:rPr>
                <w:rFonts w:hint="eastAsia" w:ascii="宋体" w:hAnsi="宋体" w:cs="宋体"/>
                <w:sz w:val="22"/>
                <w:szCs w:val="22"/>
              </w:rPr>
            </w:r>
            <w:r/>
          </w:p>
          <w:p>
            <w:pPr>
              <w:pStyle w:val="959"/>
              <w:spacing w:after="160" w:line="278" w:lineRule="auto"/>
              <w:rPr>
                <w:rFonts w:hint="eastAsia" w:ascii="宋体" w:hAnsi="宋体" w:cs="宋体"/>
                <w:sz w:val="22"/>
                <w:szCs w:val="22"/>
              </w:rPr>
            </w:pPr>
            <w:r>
              <w:rPr>
                <w:rFonts w:hint="eastAsia" w:ascii="宋体" w:hAnsi="宋体" w:cs="宋体"/>
                <w:sz w:val="22"/>
                <w:szCs w:val="22"/>
              </w:rPr>
              <w:t xml:space="preserve">3.1.3项目实施人员</w:t>
            </w:r>
            <w:r>
              <w:rPr>
                <w:rFonts w:hint="eastAsia" w:ascii="宋体" w:hAnsi="宋体" w:cs="宋体"/>
                <w:sz w:val="22"/>
                <w:szCs w:val="22"/>
              </w:rPr>
            </w:r>
            <w:r/>
          </w:p>
          <w:p>
            <w:pPr>
              <w:pStyle w:val="959"/>
              <w:spacing w:after="160" w:line="278" w:lineRule="auto"/>
              <w:rPr>
                <w:rFonts w:hint="eastAsia" w:ascii="宋体" w:hAnsi="宋体"/>
              </w:rPr>
            </w:pPr>
            <w:r>
              <w:rPr>
                <w:rFonts w:hint="eastAsia" w:ascii="宋体" w:hAnsi="宋体" w:cs="宋体"/>
                <w:sz w:val="22"/>
                <w:szCs w:val="22"/>
              </w:rPr>
              <w:t xml:space="preserve">需要具备</w:t>
            </w:r>
            <w:r>
              <w:rPr>
                <w:rFonts w:ascii="宋体" w:hAnsi="宋体"/>
              </w:rPr>
              <w:t xml:space="preserve">由人社部门和工信部门颁发的软件设计师、</w:t>
            </w:r>
            <w:r>
              <w:rPr>
                <w:rFonts w:hint="eastAsia" w:ascii="宋体" w:hAnsi="宋体"/>
              </w:rPr>
              <w:t xml:space="preserve">软件工程专业工程师</w:t>
            </w:r>
            <w:r>
              <w:rPr>
                <w:rFonts w:ascii="宋体" w:hAnsi="宋体"/>
              </w:rPr>
              <w:t xml:space="preserve">或计算机与网络工程师中级及以上证书</w:t>
            </w:r>
            <w:r>
              <w:rPr>
                <w:rFonts w:hint="eastAsia" w:ascii="宋体" w:hAnsi="宋体" w:cs="宋体"/>
                <w:sz w:val="22"/>
                <w:szCs w:val="22"/>
              </w:rPr>
              <w:t xml:space="preserve">等。每提供一个得2分,本项最高得2分（同一人仅算1项有效证书）。（注：须提供相关证书扫描件或复印件及近三个月内任意一个月投标人为实施人员缴纳社保的证明文件，上述材料加盖投标人公章。）</w:t>
            </w:r>
            <w:r>
              <w:rPr>
                <w:rFonts w:hint="eastAsia" w:ascii="宋体" w:hAnsi="宋体"/>
              </w:rPr>
            </w:r>
            <w:r/>
          </w:p>
        </w:tc>
      </w:tr>
      <w:tr>
        <w:trPr>
          <w:trHeight w:val="1303"/>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3.2业绩</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9</w:t>
            </w:r>
            <w:r>
              <w:rPr>
                <w:rFonts w:hint="eastAsia" w:ascii="宋体" w:hAnsi="宋体" w:cs="宋体"/>
                <w:sz w:val="22"/>
                <w:szCs w:val="22"/>
              </w:rPr>
            </w:r>
            <w:r/>
          </w:p>
        </w:tc>
        <w:tc>
          <w:tcPr>
            <w:tcW w:w="7318" w:type="dxa"/>
            <w:vAlign w:val="top"/>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供应商提供自2023年1月1日（含）以来类似业绩案例合同，</w:t>
            </w:r>
            <w:r>
              <w:rPr>
                <w:rFonts w:ascii="宋体" w:hAnsi="宋体" w:cs="宋体"/>
              </w:rPr>
              <w:t xml:space="preserve">每一案例</w:t>
            </w:r>
            <w:r>
              <w:rPr>
                <w:rFonts w:hint="eastAsia" w:ascii="宋体" w:hAnsi="宋体" w:cs="宋体"/>
                <w:sz w:val="22"/>
                <w:szCs w:val="22"/>
              </w:rPr>
              <w:t xml:space="preserve">得3分，本项最多得9分。（注∶须提供合同扫描件或复印件并加盖投标人公章。合同中需体现甲乙双方名称、合同签订时间、甲乙双方章印齐全、合同服务内容，否则不予认可。未提供或未按要求提供材料的均不得分。）</w:t>
            </w:r>
            <w:r>
              <w:rPr>
                <w:rFonts w:hint="eastAsia" w:ascii="宋体" w:hAnsi="宋体" w:cs="宋体"/>
                <w:sz w:val="22"/>
                <w:szCs w:val="22"/>
              </w:rPr>
            </w:r>
            <w:r/>
          </w:p>
        </w:tc>
      </w:tr>
      <w:tr>
        <w:trPr>
          <w:trHeight w:val="351"/>
        </w:trPr>
        <w:tc>
          <w:tcPr>
            <w:tcW w:w="1271" w:type="dxa"/>
            <w:vAlign w:val="center"/>
            <w:textDirection w:val="lrTb"/>
            <w:noWrap w:val="false"/>
          </w:tcPr>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3.3企业能力</w:t>
            </w:r>
            <w:r>
              <w:rPr>
                <w:rFonts w:hint="eastAsia" w:ascii="宋体" w:hAnsi="宋体" w:cs="宋体"/>
                <w:b/>
                <w:bCs/>
                <w:sz w:val="22"/>
                <w:szCs w:val="22"/>
              </w:rPr>
            </w:r>
            <w:r/>
          </w:p>
        </w:tc>
        <w:tc>
          <w:tcPr>
            <w:tcW w:w="829" w:type="dxa"/>
            <w:vAlign w:val="center"/>
            <w:textDirection w:val="lrTb"/>
            <w:noWrap w:val="false"/>
          </w:tcPr>
          <w:p>
            <w:pPr>
              <w:pStyle w:val="959"/>
              <w:jc w:val="center"/>
              <w:spacing w:after="160" w:line="278" w:lineRule="auto"/>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W w:w="7318" w:type="dxa"/>
            <w:vAlign w:val="top"/>
            <w:textDirection w:val="lrTb"/>
            <w:noWrap w:val="false"/>
          </w:tcPr>
          <w:p>
            <w:pPr>
              <w:pStyle w:val="959"/>
              <w:spacing w:after="160" w:line="278" w:lineRule="auto"/>
              <w:rPr>
                <w:rFonts w:hint="eastAsia" w:ascii="宋体" w:hAnsi="宋体" w:cs="宋体"/>
                <w:sz w:val="22"/>
                <w:szCs w:val="22"/>
              </w:rPr>
            </w:pPr>
            <w:r>
              <w:rPr>
                <w:rFonts w:hint="eastAsia" w:ascii="宋体" w:hAnsi="宋体" w:cs="宋体"/>
                <w:sz w:val="22"/>
                <w:szCs w:val="22"/>
              </w:rPr>
              <w:t xml:space="preserve">投标人每提供一个以下关键词（包括：医院人力资源管理系统、职称评审系统、人员招聘系统、医院招聘管理系统）的计算机软件著作权证书得2分，最高得6分。</w:t>
            </w:r>
            <w:r>
              <w:rPr>
                <w:rFonts w:hint="eastAsia" w:ascii="宋体" w:hAnsi="宋体" w:cs="宋体"/>
                <w:sz w:val="22"/>
                <w:szCs w:val="22"/>
              </w:rPr>
            </w:r>
            <w:r/>
          </w:p>
          <w:p>
            <w:pPr>
              <w:pStyle w:val="959"/>
              <w:spacing w:after="160" w:line="278" w:lineRule="auto"/>
              <w:rPr>
                <w:rFonts w:hint="eastAsia" w:ascii="宋体" w:hAnsi="宋体" w:cs="宋体"/>
                <w:b/>
                <w:bCs/>
                <w:sz w:val="22"/>
                <w:szCs w:val="22"/>
              </w:rPr>
            </w:pPr>
            <w:r>
              <w:rPr>
                <w:rFonts w:hint="eastAsia" w:ascii="宋体" w:hAnsi="宋体" w:cs="宋体"/>
                <w:b/>
                <w:bCs/>
                <w:sz w:val="22"/>
                <w:szCs w:val="22"/>
              </w:rPr>
              <w:t xml:space="preserve">注：须提供证书扫描件或复印件并加盖投标人公章。</w:t>
            </w:r>
            <w:r>
              <w:rPr>
                <w:rFonts w:hint="eastAsia" w:ascii="宋体" w:hAnsi="宋体"/>
                <w:b/>
                <w:bCs/>
              </w:rPr>
              <w:t xml:space="preserve">投标人提供的软件著作权登记证书必须为投标人所有或投标人持有由生产厂家签发的、针对本项目标的物的有效授权书。</w:t>
            </w:r>
            <w:r>
              <w:rPr>
                <w:rFonts w:hint="eastAsia" w:ascii="宋体" w:hAnsi="宋体" w:cs="宋体"/>
                <w:b/>
                <w:bCs/>
                <w:sz w:val="22"/>
                <w:szCs w:val="22"/>
              </w:rPr>
              <w:t xml:space="preserve">如响应文件中提供的著作权名称表述与评审标准描述的关键字段不一致，能够在响应文件中证明供应商拥有的著作权具有相同或相似功能和效果的，视同符合要求。</w:t>
            </w:r>
            <w:bookmarkEnd w:id="163"/>
            <w:r>
              <w:rPr>
                <w:rFonts w:hint="eastAsia" w:ascii="宋体" w:hAnsi="宋体" w:cs="宋体"/>
                <w:b/>
                <w:bCs/>
                <w:sz w:val="22"/>
                <w:szCs w:val="22"/>
              </w:rPr>
            </w:r>
            <w:r/>
          </w:p>
        </w:tc>
      </w:tr>
    </w:tbl>
    <w:p>
      <w:pPr>
        <w:pStyle w:val="959"/>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9"/>
        <w:rPr>
          <w:rFonts w:hint="eastAsia"/>
        </w:rPr>
      </w:pPr>
      <w:r>
        <w:rPr>
          <w:rFonts w:hint="eastAsia"/>
        </w:rPr>
      </w:r>
      <w:r/>
    </w:p>
    <w:p>
      <w:pPr>
        <w:pStyle w:val="959"/>
        <w:rPr>
          <w:rFonts w:hint="eastAsia"/>
        </w:rPr>
      </w:pPr>
      <w:r>
        <w:rPr>
          <w:rFonts w:hint="eastAsia"/>
        </w:rPr>
      </w:r>
      <w:r/>
    </w:p>
    <w:p>
      <w:pPr>
        <w:pStyle w:val="960"/>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1"/>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9"/>
        <w:jc w:val="center"/>
        <w:rPr>
          <w:rFonts w:hint="eastAsia" w:ascii="宋体" w:hAnsi="宋体"/>
          <w:b/>
          <w:sz w:val="28"/>
          <w:szCs w:val="28"/>
        </w:rPr>
      </w:pPr>
      <w:r/>
      <w:bookmarkStart w:id="168" w:name="_Hlt26955039"/>
      <w:r/>
      <w:bookmarkEnd w:id="168"/>
      <w:r/>
      <w:bookmarkStart w:id="169" w:name="_Hlt26671244"/>
      <w:r/>
      <w:bookmarkEnd w:id="169"/>
      <w:r/>
      <w:bookmarkStart w:id="170" w:name="_Toc49090576"/>
      <w:r/>
      <w:bookmarkStart w:id="171" w:name="_Toc120614282"/>
      <w:r/>
      <w:bookmarkStart w:id="172" w:name="_Toc26554094"/>
      <w:r>
        <w:rPr>
          <w:rFonts w:hint="eastAsia" w:ascii="宋体" w:hAnsi="宋体"/>
          <w:b/>
          <w:sz w:val="28"/>
          <w:szCs w:val="28"/>
        </w:rPr>
      </w:r>
      <w:r/>
    </w:p>
    <w:p>
      <w:pPr>
        <w:pStyle w:val="959"/>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59"/>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59"/>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5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9"/>
        <w:jc w:val="center"/>
        <w:spacing w:line="440" w:lineRule="exact"/>
        <w:rPr>
          <w:rFonts w:hint="eastAsia" w:ascii="宋体" w:hAnsi="宋体"/>
          <w:b/>
          <w:bCs/>
          <w:sz w:val="32"/>
          <w:szCs w:val="32"/>
        </w:rPr>
      </w:pPr>
      <w:r>
        <w:rPr>
          <w:rFonts w:hint="eastAsia" w:ascii="宋体" w:hAnsi="宋体"/>
          <w:b/>
          <w:bCs/>
          <w:sz w:val="32"/>
          <w:szCs w:val="32"/>
        </w:rPr>
      </w:r>
      <w:r/>
    </w:p>
    <w:p>
      <w:pPr>
        <w:pStyle w:val="959"/>
        <w:spacing w:line="440" w:lineRule="exact"/>
        <w:rPr>
          <w:rFonts w:ascii="宋体" w:hAnsi="宋体"/>
        </w:rPr>
      </w:pPr>
      <w:r>
        <w:rPr>
          <w:rFonts w:ascii="宋体" w:hAnsi="宋体"/>
        </w:rPr>
      </w:r>
      <w:r/>
    </w:p>
    <w:p>
      <w:pPr>
        <w:pStyle w:val="95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59"/>
        <w:jc w:val="center"/>
        <w:spacing w:line="400" w:lineRule="exact"/>
        <w:rPr>
          <w:rFonts w:hint="eastAsia" w:ascii="宋体" w:hAnsi="宋体"/>
          <w:b/>
          <w:bCs/>
          <w:sz w:val="28"/>
          <w:szCs w:val="28"/>
        </w:rPr>
      </w:pPr>
      <w:r>
        <w:rPr>
          <w:rFonts w:hint="eastAsia" w:ascii="宋体" w:hAnsi="宋体"/>
          <w:b/>
          <w:bCs/>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9"/>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9"/>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6"/>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9"/>
        <w:ind w:firstLine="480"/>
        <w:spacing w:line="400" w:lineRule="exact"/>
        <w:rPr>
          <w:rFonts w:hint="eastAsia" w:ascii="宋体" w:hAnsi="宋体"/>
          <w:sz w:val="28"/>
          <w:szCs w:val="28"/>
        </w:rPr>
      </w:pPr>
      <w:r>
        <w:rPr>
          <w:rFonts w:hint="eastAsia"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5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21"/>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5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59"/>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9"/>
        <w:spacing w:line="400" w:lineRule="exact"/>
        <w:rPr>
          <w:rFonts w:ascii="宋体" w:hAnsi="宋体"/>
          <w:sz w:val="28"/>
          <w:szCs w:val="28"/>
        </w:rPr>
      </w:pPr>
      <w:r>
        <w:rPr>
          <w:rFonts w:ascii="宋体" w:hAnsi="宋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9"/>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46"/>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6"/>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6"/>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59"/>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46"/>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bookmarkEnd w:id="170"/>
      <w:r/>
      <w:bookmarkEnd w:id="171"/>
      <w:r/>
      <w:bookmarkEnd w:id="172"/>
      <w:r/>
      <w:bookmarkStart w:id="173"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9"/>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5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9"/>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9"/>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9"/>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9"/>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spacing w:line="400" w:lineRule="exact"/>
        <w:rPr>
          <w:rFonts w:hint="eastAsia" w:ascii="黑体" w:hAnsi="黑体" w:eastAsia="黑体"/>
          <w:b/>
          <w:sz w:val="28"/>
          <w:szCs w:val="28"/>
        </w:rPr>
      </w:pPr>
      <w:r>
        <w:rPr>
          <w:rFonts w:hint="eastAsia" w:ascii="黑体" w:hAnsi="黑体" w:eastAsia="黑体"/>
          <w:b/>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9"/>
        <w:ind w:firstLine="645"/>
        <w:spacing w:line="400" w:lineRule="exact"/>
        <w:rPr>
          <w:rFonts w:hint="eastAsia" w:ascii="宋体" w:hAnsi="宋体"/>
          <w:sz w:val="28"/>
          <w:szCs w:val="28"/>
        </w:rPr>
      </w:pPr>
      <w:r>
        <w:rPr>
          <w:rFonts w:hint="eastAsia" w:ascii="宋体" w:hAnsi="宋体"/>
          <w:sz w:val="28"/>
          <w:szCs w:val="28"/>
        </w:rPr>
      </w:r>
      <w:r/>
    </w:p>
    <w:p>
      <w:pPr>
        <w:pStyle w:val="959"/>
        <w:spacing w:line="400" w:lineRule="exact"/>
        <w:rPr>
          <w:rFonts w:hint="eastAsia" w:ascii="宋体" w:hAnsi="宋体"/>
          <w:sz w:val="28"/>
          <w:szCs w:val="28"/>
        </w:rPr>
      </w:pPr>
      <w:r>
        <w:rPr>
          <w:rFonts w:hint="eastAsia" w:ascii="宋体" w:hAnsi="宋体"/>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59"/>
        <w:spacing w:line="400" w:lineRule="exact"/>
        <w:rPr>
          <w:rFonts w:hint="eastAsia" w:ascii="宋体" w:hAnsi="宋体"/>
          <w:color w:val="ff0000"/>
          <w:sz w:val="28"/>
          <w:szCs w:val="28"/>
        </w:rPr>
      </w:pPr>
      <w:r>
        <w:rPr>
          <w:rFonts w:hint="eastAsia" w:ascii="宋体" w:hAnsi="宋体"/>
          <w:color w:val="ff0000"/>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1021"/>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33"/>
          <w:rFonts w:hint="eastAsia" w:ascii="方正仿宋_GBK" w:hAnsi="方正仿宋_GBK" w:eastAsia="方正仿宋_GBK" w:cs="方正仿宋_GBK"/>
          <w:i w:val="0"/>
          <w:sz w:val="28"/>
          <w:szCs w:val="28"/>
          <w:u w:val="single"/>
          <w:shd w:val="clear" w:color="auto" w:fill="ffffff"/>
        </w:rPr>
        <w:t xml:space="preserve">（产品名称1）</w:t>
      </w:r>
      <w:r>
        <w:rPr>
          <w:rStyle w:val="103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33"/>
          <w:rFonts w:hint="eastAsia" w:ascii="方正仿宋_GBK" w:hAnsi="方正仿宋_GBK" w:eastAsia="方正仿宋_GBK" w:cs="方正仿宋_GBK"/>
          <w:i w:val="0"/>
          <w:sz w:val="28"/>
          <w:szCs w:val="28"/>
          <w:u w:val="single"/>
          <w:shd w:val="clear" w:color="auto" w:fill="ffffff"/>
        </w:rPr>
        <w:t xml:space="preserve">（厂名）</w:t>
      </w:r>
      <w:r>
        <w:rPr>
          <w:rStyle w:val="103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3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3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3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3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21"/>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21"/>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21"/>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3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59"/>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sz w:val="28"/>
          <w:szCs w:val="28"/>
        </w:rPr>
      </w:pPr>
      <w:r>
        <w:rPr>
          <w:rFonts w:hint="eastAsia"/>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ind w:firstLine="560"/>
        <w:jc w:val="center"/>
        <w:spacing w:line="400" w:lineRule="exact"/>
        <w:rPr>
          <w:rFonts w:hint="eastAsia" w:ascii="方正黑体_GBK" w:hAnsi="方正黑体_GBK" w:eastAsia="方正黑体_GBK" w:cs="方正黑体_GBK"/>
          <w:bCs/>
          <w:sz w:val="28"/>
          <w:szCs w:val="28"/>
        </w:rPr>
      </w:pPr>
      <w:r/>
      <w:bookmarkEnd w:id="157"/>
      <w:r/>
      <w:bookmarkEnd w:id="158"/>
      <w:r/>
      <w:bookmarkEnd w:id="173"/>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59"/>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73"/>
        <w:spacing w:line="400" w:lineRule="exact"/>
        <w:rPr>
          <w:rFonts w:hint="eastAsia"/>
          <w:sz w:val="28"/>
          <w:szCs w:val="28"/>
        </w:rPr>
      </w:pPr>
      <w:r>
        <w:rPr>
          <w:rFonts w:hint="eastAsia"/>
          <w:sz w:val="28"/>
          <w:szCs w:val="28"/>
        </w:rPr>
      </w:r>
      <w:r/>
    </w:p>
    <w:p>
      <w:pPr>
        <w:pStyle w:val="973"/>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v:textbox>
            </v:shape>
          </w:pict>
        </mc:Fallback>
      </mc:AlternateContent>
    </w:r>
    <w:r/>
  </w:p>
  <w:p>
    <w:pPr>
      <w:pStyle w:val="10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8"/>
      <w:isLgl w:val="false"/>
      <w:suff w:val="tab"/>
      <w:lvlText w:val="附录%1."/>
      <w:lvlJc w:val="left"/>
      <w:pPr>
        <w:pStyle w:val="9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9"/>
        <w:ind w:left="454" w:hanging="454"/>
      </w:p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59"/>
        <w:ind w:left="644" w:hanging="360"/>
      </w:pPr>
    </w:lvl>
    <w:lvl w:ilvl="1">
      <w:start w:val="1"/>
      <w:numFmt w:val="lowerLetter"/>
      <w:isLgl w:val="false"/>
      <w:suff w:val="tab"/>
      <w:lvlText w:val="%2)"/>
      <w:lvlJc w:val="left"/>
      <w:pPr>
        <w:pStyle w:val="959"/>
        <w:ind w:left="1164" w:hanging="440"/>
      </w:pPr>
    </w:lvl>
    <w:lvl w:ilvl="2">
      <w:start w:val="1"/>
      <w:numFmt w:val="lowerRoman"/>
      <w:isLgl w:val="false"/>
      <w:suff w:val="tab"/>
      <w:lvlText w:val="%3."/>
      <w:lvlJc w:val="right"/>
      <w:pPr>
        <w:pStyle w:val="959"/>
        <w:ind w:left="1604" w:hanging="440"/>
      </w:pPr>
    </w:lvl>
    <w:lvl w:ilvl="3">
      <w:start w:val="1"/>
      <w:numFmt w:val="decimal"/>
      <w:isLgl w:val="false"/>
      <w:suff w:val="tab"/>
      <w:lvlText w:val="%4."/>
      <w:lvlJc w:val="left"/>
      <w:pPr>
        <w:pStyle w:val="959"/>
        <w:ind w:left="2044" w:hanging="440"/>
      </w:pPr>
    </w:lvl>
    <w:lvl w:ilvl="4">
      <w:start w:val="1"/>
      <w:numFmt w:val="lowerLetter"/>
      <w:isLgl w:val="false"/>
      <w:suff w:val="tab"/>
      <w:lvlText w:val="%5)"/>
      <w:lvlJc w:val="left"/>
      <w:pPr>
        <w:pStyle w:val="959"/>
        <w:ind w:left="2484" w:hanging="440"/>
      </w:pPr>
    </w:lvl>
    <w:lvl w:ilvl="5">
      <w:start w:val="1"/>
      <w:numFmt w:val="lowerRoman"/>
      <w:isLgl w:val="false"/>
      <w:suff w:val="tab"/>
      <w:lvlText w:val="%6."/>
      <w:lvlJc w:val="right"/>
      <w:pPr>
        <w:pStyle w:val="959"/>
        <w:ind w:left="2924" w:hanging="440"/>
      </w:pPr>
    </w:lvl>
    <w:lvl w:ilvl="6">
      <w:start w:val="1"/>
      <w:numFmt w:val="decimal"/>
      <w:isLgl w:val="false"/>
      <w:suff w:val="tab"/>
      <w:lvlText w:val="%7."/>
      <w:lvlJc w:val="left"/>
      <w:pPr>
        <w:pStyle w:val="959"/>
        <w:ind w:left="3364" w:hanging="440"/>
      </w:pPr>
    </w:lvl>
    <w:lvl w:ilvl="7">
      <w:start w:val="1"/>
      <w:numFmt w:val="lowerLetter"/>
      <w:isLgl w:val="false"/>
      <w:suff w:val="tab"/>
      <w:lvlText w:val="%8)"/>
      <w:lvlJc w:val="left"/>
      <w:pPr>
        <w:pStyle w:val="959"/>
        <w:ind w:left="3804" w:hanging="440"/>
      </w:pPr>
    </w:lvl>
    <w:lvl w:ilvl="8">
      <w:start w:val="1"/>
      <w:numFmt w:val="lowerRoman"/>
      <w:isLgl w:val="false"/>
      <w:suff w:val="tab"/>
      <w:lvlText w:val="%9."/>
      <w:lvlJc w:val="right"/>
      <w:pPr>
        <w:pStyle w:val="959"/>
        <w:ind w:left="4244" w:hanging="440"/>
      </w:pPr>
    </w:lvl>
  </w:abstractNum>
  <w:abstractNum w:abstractNumId="4">
    <w:multiLevelType w:val="hybridMultilevel"/>
    <w:lvl w:ilvl="0">
      <w:start w:val="1"/>
      <w:numFmt w:val="decimal"/>
      <w:pStyle w:val="1055"/>
      <w:isLgl w:val="false"/>
      <w:suff w:val="tab"/>
      <w:lvlText w:val="%1."/>
      <w:lvlJc w:val="left"/>
      <w:pPr>
        <w:pStyle w:val="959"/>
        <w:ind w:left="709" w:hanging="709"/>
        <w:tabs>
          <w:tab w:val="num" w:pos="709" w:leader="none"/>
        </w:tabs>
      </w:pPr>
      <w:rPr>
        <w:rFonts w:hint="eastAsia"/>
      </w:rPr>
    </w:lvl>
    <w:lvl w:ilvl="1">
      <w:start w:val="1"/>
      <w:numFmt w:val="decimal"/>
      <w:isLgl w:val="false"/>
      <w:suff w:val="tab"/>
      <w:lvlText w:val="%1.%2"/>
      <w:lvlJc w:val="left"/>
      <w:pPr>
        <w:pStyle w:val="959"/>
        <w:ind w:left="709" w:hanging="709"/>
        <w:tabs>
          <w:tab w:val="num" w:pos="709" w:leader="none"/>
        </w:tabs>
      </w:pPr>
      <w:rPr>
        <w:rFonts w:hint="eastAsia"/>
      </w:rPr>
    </w:lvl>
    <w:lvl w:ilvl="2">
      <w:start w:val="1"/>
      <w:numFmt w:val="decimal"/>
      <w:isLgl w:val="false"/>
      <w:suff w:val="tab"/>
      <w:lvlText w:val="%1.%2.%3."/>
      <w:lvlJc w:val="left"/>
      <w:pPr>
        <w:pStyle w:val="959"/>
        <w:ind w:left="425" w:hanging="425"/>
        <w:tabs>
          <w:tab w:val="num" w:pos="425" w:leader="none"/>
        </w:tabs>
      </w:pPr>
      <w:rPr>
        <w:rFonts w:hint="eastAsia"/>
      </w:rPr>
    </w:lvl>
    <w:lvl w:ilvl="3">
      <w:start w:val="1"/>
      <w:numFmt w:val="decimal"/>
      <w:isLgl w:val="false"/>
      <w:suff w:val="tab"/>
      <w:lvlText w:val="%1.%2.%3.%4."/>
      <w:lvlJc w:val="left"/>
      <w:pPr>
        <w:pStyle w:val="959"/>
        <w:ind w:left="851" w:hanging="851"/>
        <w:tabs>
          <w:tab w:val="num" w:pos="851" w:leader="none"/>
        </w:tabs>
      </w:pPr>
      <w:rPr>
        <w:rFonts w:hint="eastAsia"/>
      </w:rPr>
    </w:lvl>
    <w:lvl w:ilvl="4">
      <w:start w:val="1"/>
      <w:numFmt w:val="decimal"/>
      <w:isLgl w:val="false"/>
      <w:suff w:val="tab"/>
      <w:lvlText w:val="%1.%2.%3.%4.%5."/>
      <w:lvlJc w:val="left"/>
      <w:pPr>
        <w:pStyle w:val="959"/>
        <w:ind w:left="992" w:hanging="992"/>
        <w:tabs>
          <w:tab w:val="num" w:pos="992" w:leader="none"/>
        </w:tabs>
      </w:pPr>
      <w:rPr>
        <w:rFonts w:hint="eastAsia"/>
      </w:rPr>
    </w:lvl>
    <w:lvl w:ilvl="5">
      <w:start w:val="1"/>
      <w:numFmt w:val="decimal"/>
      <w:isLgl w:val="false"/>
      <w:suff w:val="tab"/>
      <w:lvlText w:val="%1.%2.%3.%4.%5.%6."/>
      <w:lvlJc w:val="left"/>
      <w:pPr>
        <w:pStyle w:val="959"/>
        <w:ind w:left="1134" w:hanging="1134"/>
        <w:tabs>
          <w:tab w:val="num" w:pos="1134" w:leader="none"/>
        </w:tabs>
      </w:pPr>
      <w:rPr>
        <w:rFonts w:hint="eastAsia"/>
      </w:rPr>
    </w:lvl>
    <w:lvl w:ilvl="6">
      <w:start w:val="1"/>
      <w:numFmt w:val="decimal"/>
      <w:isLgl w:val="false"/>
      <w:suff w:val="tab"/>
      <w:lvlText w:val="%1.%2.%3.%4.%5.%6.%7."/>
      <w:lvlJc w:val="left"/>
      <w:pPr>
        <w:pStyle w:val="959"/>
        <w:ind w:left="1276" w:hanging="1276"/>
        <w:tabs>
          <w:tab w:val="num" w:pos="1276" w:leader="none"/>
        </w:tabs>
      </w:pPr>
      <w:rPr>
        <w:rFonts w:hint="eastAsia"/>
      </w:rPr>
    </w:lvl>
    <w:lvl w:ilvl="7">
      <w:start w:val="1"/>
      <w:numFmt w:val="decimal"/>
      <w:isLgl w:val="false"/>
      <w:suff w:val="tab"/>
      <w:lvlText w:val="%1.%2.%3.%4.%5.%6.%7.%8."/>
      <w:lvlJc w:val="left"/>
      <w:pPr>
        <w:pStyle w:val="959"/>
        <w:ind w:left="1418" w:hanging="1418"/>
        <w:tabs>
          <w:tab w:val="num" w:pos="1418" w:leader="none"/>
        </w:tabs>
      </w:pPr>
      <w:rPr>
        <w:rFonts w:hint="eastAsia"/>
      </w:rPr>
    </w:lvl>
    <w:lvl w:ilvl="8">
      <w:start w:val="1"/>
      <w:numFmt w:val="decimal"/>
      <w:isLgl w:val="false"/>
      <w:suff w:val="tab"/>
      <w:lvlText w:val="%1.%2.%3.%4.%5.%6.%7.%8.%9."/>
      <w:lvlJc w:val="left"/>
      <w:pPr>
        <w:pStyle w:val="959"/>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59"/>
        <w:ind w:left="0" w:firstLine="0"/>
      </w:pPr>
      <w:rPr>
        <w:rFonts w:hint="eastAsia"/>
      </w:rPr>
    </w:lvl>
    <w:lvl w:ilvl="1">
      <w:start w:val="1"/>
      <w:numFmt w:val="decimal"/>
      <w:isLgl w:val="false"/>
      <w:suff w:val="nothing"/>
      <w:lvlText w:val="%2、"/>
      <w:lvlJc w:val="left"/>
      <w:pPr>
        <w:pStyle w:val="959"/>
        <w:ind w:left="0" w:firstLine="0"/>
      </w:pPr>
      <w:rPr>
        <w:rFonts w:hint="eastAsia"/>
      </w:rPr>
    </w:lvl>
    <w:lvl w:ilvl="2">
      <w:start w:val="1"/>
      <w:numFmt w:val="decimal"/>
      <w:isLgl w:val="false"/>
      <w:suff w:val="nothing"/>
      <w:lvlText w:val="%2.%3 "/>
      <w:lvlJc w:val="left"/>
      <w:pPr>
        <w:pStyle w:val="959"/>
        <w:ind w:left="0" w:firstLine="0"/>
      </w:pPr>
      <w:rPr>
        <w:rFonts w:hint="eastAsia"/>
      </w:rPr>
    </w:lvl>
    <w:lvl w:ilvl="3">
      <w:start w:val="1"/>
      <w:numFmt w:val="decimal"/>
      <w:isLgl w:val="false"/>
      <w:suff w:val="nothing"/>
      <w:lvlText w:val="%2.%3.%4 "/>
      <w:lvlJc w:val="left"/>
      <w:pPr>
        <w:pStyle w:val="959"/>
        <w:ind w:left="0" w:firstLine="0"/>
      </w:pPr>
      <w:rPr>
        <w:rFonts w:hint="eastAsia"/>
      </w:rPr>
    </w:lvl>
    <w:lvl w:ilvl="4">
      <w:start w:val="1"/>
      <w:numFmt w:val="decimal"/>
      <w:isLgl w:val="false"/>
      <w:suff w:val="nothing"/>
      <w:lvlText w:val="%2.%3.%4.%5 "/>
      <w:lvlJc w:val="left"/>
      <w:pPr>
        <w:pStyle w:val="959"/>
        <w:ind w:left="0" w:firstLine="0"/>
      </w:pPr>
      <w:rPr>
        <w:rFonts w:hint="eastAsia"/>
      </w:rPr>
    </w:lvl>
    <w:lvl w:ilvl="5">
      <w:start w:val="1"/>
      <w:numFmt w:val="decimal"/>
      <w:pStyle w:val="965"/>
      <w:isLgl w:val="false"/>
      <w:suff w:val="nothing"/>
      <w:lvlText w:val=""/>
      <w:lvlJc w:val="left"/>
      <w:pPr>
        <w:pStyle w:val="959"/>
        <w:ind w:left="0" w:firstLine="0"/>
      </w:pPr>
      <w:rPr>
        <w:rFonts w:hint="eastAsia"/>
      </w:rPr>
    </w:lvl>
    <w:lvl w:ilvl="6">
      <w:start w:val="1"/>
      <w:numFmt w:val="decimal"/>
      <w:pStyle w:val="966"/>
      <w:isLgl w:val="false"/>
      <w:suff w:val="nothing"/>
      <w:lvlText w:val=""/>
      <w:lvlJc w:val="left"/>
      <w:pPr>
        <w:pStyle w:val="959"/>
        <w:ind w:left="0" w:firstLine="0"/>
      </w:pPr>
      <w:rPr>
        <w:rFonts w:hint="eastAsia"/>
      </w:rPr>
    </w:lvl>
    <w:lvl w:ilvl="7">
      <w:start w:val="1"/>
      <w:numFmt w:val="decimal"/>
      <w:pStyle w:val="967"/>
      <w:isLgl w:val="false"/>
      <w:suff w:val="nothing"/>
      <w:lvlText w:val=""/>
      <w:lvlJc w:val="left"/>
      <w:pPr>
        <w:pStyle w:val="959"/>
        <w:ind w:left="0" w:firstLine="0"/>
      </w:pPr>
      <w:rPr>
        <w:rFonts w:hint="eastAsia"/>
      </w:rPr>
    </w:lvl>
    <w:lvl w:ilvl="8">
      <w:start w:val="1"/>
      <w:numFmt w:val="decimal"/>
      <w:pStyle w:val="968"/>
      <w:isLgl w:val="false"/>
      <w:suff w:val="nothing"/>
      <w:lvlText w:val=""/>
      <w:lvlJc w:val="left"/>
      <w:pPr>
        <w:pStyle w:val="959"/>
        <w:ind w:left="0" w:firstLine="0"/>
      </w:pPr>
      <w:rPr>
        <w:rFonts w:hint="eastAsia"/>
      </w:rPr>
    </w:lvl>
  </w:abstractNum>
  <w:abstractNum w:abstractNumId="6">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59"/>
      </w:pPr>
      <w:rPr>
        <w:b/>
        <w:bCs/>
      </w:r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num w:numId="1">
    <w:abstractNumId w:val="5"/>
  </w:num>
  <w:num w:numId="2">
    <w:abstractNumId w:val="0"/>
  </w:num>
  <w:num w:numId="3">
    <w:abstractNumId w:val="4"/>
  </w:num>
  <w:num w:numId="4">
    <w:abstractNumId w:val="2"/>
  </w:num>
  <w:num w:numId="5">
    <w:abstractNumId w:val="3"/>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9"/>
    <w:next w:val="959"/>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959"/>
    <w:next w:val="959"/>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959"/>
    <w:next w:val="959"/>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959"/>
    <w:next w:val="959"/>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959"/>
    <w:next w:val="959"/>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59"/>
    <w:next w:val="959"/>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59"/>
    <w:next w:val="95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59"/>
    <w:next w:val="959"/>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59"/>
    <w:next w:val="959"/>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959"/>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959"/>
    <w:next w:val="959"/>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959"/>
    <w:next w:val="959"/>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959"/>
    <w:next w:val="959"/>
    <w:link w:val="806"/>
    <w:uiPriority w:val="29"/>
    <w:qFormat/>
    <w:pPr>
      <w:ind w:left="720" w:right="720"/>
    </w:pPr>
    <w:rPr>
      <w:i/>
    </w:rPr>
  </w:style>
  <w:style w:type="character" w:styleId="806">
    <w:name w:val="Quote Char"/>
    <w:link w:val="805"/>
    <w:uiPriority w:val="29"/>
    <w:rPr>
      <w:i/>
    </w:rPr>
  </w:style>
  <w:style w:type="paragraph" w:styleId="807">
    <w:name w:val="Intense Quote"/>
    <w:basedOn w:val="959"/>
    <w:next w:val="95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959"/>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959"/>
    <w:link w:val="814"/>
    <w:uiPriority w:val="99"/>
    <w:unhideWhenUsed/>
    <w:pPr>
      <w:spacing w:after="0" w:line="240" w:lineRule="auto"/>
      <w:tabs>
        <w:tab w:val="center" w:pos="7143" w:leader="none"/>
        <w:tab w:val="right" w:pos="14287" w:leader="none"/>
      </w:tabs>
    </w:pPr>
  </w:style>
  <w:style w:type="character" w:styleId="812">
    <w:name w:val="Footer Char"/>
    <w:link w:val="811"/>
    <w:uiPriority w:val="99"/>
  </w:style>
  <w:style w:type="paragraph" w:styleId="813">
    <w:name w:val="Caption"/>
    <w:basedOn w:val="959"/>
    <w:next w:val="959"/>
    <w:uiPriority w:val="35"/>
    <w:semiHidden/>
    <w:unhideWhenUsed/>
    <w:qFormat/>
    <w:pPr>
      <w:spacing w:line="276" w:lineRule="auto"/>
    </w:pPr>
    <w:rPr>
      <w:b/>
      <w:bCs/>
      <w:color w:val="4f81bd" w:themeColor="accent1"/>
      <w:sz w:val="18"/>
      <w:szCs w:val="18"/>
    </w:rPr>
  </w:style>
  <w:style w:type="character" w:styleId="814">
    <w:name w:val="Caption Char"/>
    <w:basedOn w:val="813"/>
    <w:link w:val="811"/>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9"/>
    <w:next w:val="959"/>
    <w:uiPriority w:val="39"/>
    <w:unhideWhenUsed/>
    <w:pPr>
      <w:ind w:left="0" w:right="0" w:firstLine="0"/>
      <w:spacing w:after="57"/>
    </w:pPr>
  </w:style>
  <w:style w:type="paragraph" w:styleId="949">
    <w:name w:val="toc 2"/>
    <w:basedOn w:val="959"/>
    <w:next w:val="959"/>
    <w:uiPriority w:val="39"/>
    <w:unhideWhenUsed/>
    <w:pPr>
      <w:ind w:left="283" w:right="0" w:firstLine="0"/>
      <w:spacing w:after="57"/>
    </w:p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59"/>
    <w:link w:val="959"/>
    <w:qFormat/>
    <w:pPr>
      <w:jc w:val="both"/>
      <w:widowControl w:val="off"/>
    </w:pPr>
    <w:rPr>
      <w:sz w:val="21"/>
      <w:szCs w:val="21"/>
      <w:lang w:val="en-US" w:eastAsia="zh-CN" w:bidi="ar-SA"/>
    </w:rPr>
  </w:style>
  <w:style w:type="paragraph" w:styleId="960">
    <w:name w:val="标题 1"/>
    <w:basedOn w:val="959"/>
    <w:next w:val="959"/>
    <w:link w:val="971"/>
    <w:qFormat/>
    <w:pPr>
      <w:jc w:val="center"/>
      <w:keepNext/>
      <w:outlineLvl w:val="0"/>
    </w:pPr>
    <w:rPr>
      <w:rFonts w:ascii="楷体_GB2312" w:eastAsia="楷体_GB2312"/>
      <w:sz w:val="28"/>
      <w:szCs w:val="28"/>
    </w:rPr>
  </w:style>
  <w:style w:type="paragraph" w:styleId="961">
    <w:name w:val="标题 2"/>
    <w:basedOn w:val="959"/>
    <w:next w:val="973"/>
    <w:link w:val="972"/>
    <w:qFormat/>
    <w:pPr>
      <w:jc w:val="center"/>
      <w:keepLines/>
      <w:keepNext/>
      <w:spacing w:before="260" w:after="260" w:line="416" w:lineRule="auto"/>
      <w:outlineLvl w:val="1"/>
    </w:pPr>
    <w:rPr>
      <w:rFonts w:ascii="Arial" w:hAnsi="Arial" w:eastAsia="幼圆" w:cs="Arial"/>
      <w:b/>
      <w:bCs/>
      <w:sz w:val="44"/>
      <w:szCs w:val="44"/>
    </w:rPr>
  </w:style>
  <w:style w:type="paragraph" w:styleId="962">
    <w:name w:val="标题 3"/>
    <w:basedOn w:val="959"/>
    <w:next w:val="973"/>
    <w:link w:val="975"/>
    <w:qFormat/>
    <w:pPr>
      <w:keepLines/>
      <w:keepNext/>
      <w:spacing w:before="260" w:after="260" w:line="416" w:lineRule="auto"/>
      <w:outlineLvl w:val="2"/>
    </w:pPr>
    <w:rPr>
      <w:b/>
      <w:bCs/>
      <w:sz w:val="32"/>
      <w:szCs w:val="32"/>
    </w:rPr>
  </w:style>
  <w:style w:type="paragraph" w:styleId="963">
    <w:name w:val="标题 4"/>
    <w:basedOn w:val="959"/>
    <w:next w:val="973"/>
    <w:link w:val="976"/>
    <w:qFormat/>
    <w:pPr>
      <w:keepLines/>
      <w:keepNext/>
      <w:spacing w:before="280" w:after="290" w:line="376" w:lineRule="auto"/>
      <w:outlineLvl w:val="3"/>
    </w:pPr>
    <w:rPr>
      <w:rFonts w:ascii="Arial" w:hAnsi="Arial" w:eastAsia="黑体" w:cs="Arial"/>
      <w:b/>
      <w:bCs/>
      <w:sz w:val="28"/>
      <w:szCs w:val="28"/>
    </w:rPr>
  </w:style>
  <w:style w:type="paragraph" w:styleId="964">
    <w:name w:val="标题 5"/>
    <w:basedOn w:val="959"/>
    <w:next w:val="973"/>
    <w:link w:val="977"/>
    <w:qFormat/>
    <w:pPr>
      <w:keepNext/>
      <w:outlineLvl w:val="4"/>
    </w:pPr>
    <w:rPr>
      <w:rFonts w:ascii="宋体"/>
      <w:color w:val="000000"/>
      <w:sz w:val="28"/>
      <w:szCs w:val="28"/>
    </w:rPr>
  </w:style>
  <w:style w:type="paragraph" w:styleId="965">
    <w:name w:val="标题 6"/>
    <w:basedOn w:val="959"/>
    <w:next w:val="959"/>
    <w:link w:val="978"/>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name w:val="标题 7"/>
    <w:basedOn w:val="959"/>
    <w:next w:val="959"/>
    <w:link w:val="979"/>
    <w:qFormat/>
    <w:pPr>
      <w:numPr>
        <w:ilvl w:val="6"/>
        <w:numId w:val="1"/>
      </w:numPr>
      <w:keepLines/>
      <w:keepNext/>
      <w:spacing w:before="240" w:after="64" w:line="320" w:lineRule="auto"/>
      <w:outlineLvl w:val="6"/>
    </w:pPr>
    <w:rPr>
      <w:b/>
      <w:bCs/>
      <w:sz w:val="24"/>
      <w:szCs w:val="24"/>
    </w:rPr>
  </w:style>
  <w:style w:type="paragraph" w:styleId="967">
    <w:name w:val="标题 8"/>
    <w:basedOn w:val="959"/>
    <w:next w:val="959"/>
    <w:link w:val="980"/>
    <w:qFormat/>
    <w:pPr>
      <w:numPr>
        <w:ilvl w:val="7"/>
        <w:numId w:val="1"/>
      </w:numPr>
      <w:keepLines/>
      <w:keepNext/>
      <w:spacing w:before="240" w:after="64" w:line="320" w:lineRule="auto"/>
      <w:outlineLvl w:val="7"/>
    </w:pPr>
    <w:rPr>
      <w:rFonts w:ascii="Arial" w:hAnsi="Arial" w:eastAsia="黑体"/>
      <w:sz w:val="24"/>
      <w:szCs w:val="24"/>
    </w:rPr>
  </w:style>
  <w:style w:type="paragraph" w:styleId="968">
    <w:name w:val="标题 9"/>
    <w:basedOn w:val="959"/>
    <w:next w:val="959"/>
    <w:link w:val="981"/>
    <w:qFormat/>
    <w:pPr>
      <w:numPr>
        <w:ilvl w:val="8"/>
        <w:numId w:val="1"/>
      </w:numPr>
      <w:keepLines/>
      <w:keepNext/>
      <w:spacing w:before="240" w:after="64" w:line="320" w:lineRule="auto"/>
      <w:outlineLvl w:val="8"/>
    </w:pPr>
    <w:rPr>
      <w:rFonts w:ascii="Arial" w:hAnsi="Arial" w:eastAsia="黑体"/>
    </w:rPr>
  </w:style>
  <w:style w:type="character" w:styleId="969">
    <w:name w:val="默认段落字体"/>
    <w:next w:val="969"/>
    <w:link w:val="959"/>
    <w:uiPriority w:val="1"/>
    <w:unhideWhenUsed/>
  </w:style>
  <w:style w:type="table" w:styleId="970">
    <w:name w:val="普通表格"/>
    <w:next w:val="970"/>
    <w:link w:val="959"/>
    <w:uiPriority w:val="99"/>
    <w:unhideWhenUsed/>
    <w:tblPr/>
  </w:style>
  <w:style w:type="character" w:styleId="971">
    <w:name w:val="标题 1 字符"/>
    <w:next w:val="971"/>
    <w:link w:val="960"/>
    <w:rPr>
      <w:rFonts w:ascii="楷体_GB2312" w:hAnsi="Times New Roman" w:eastAsia="楷体_GB2312" w:cs="Times New Roman"/>
      <w:sz w:val="28"/>
      <w:szCs w:val="28"/>
    </w:rPr>
  </w:style>
  <w:style w:type="character" w:styleId="972">
    <w:name w:val="标题 2 字符"/>
    <w:next w:val="972"/>
    <w:link w:val="961"/>
    <w:rPr>
      <w:rFonts w:ascii="Arial" w:hAnsi="Arial" w:eastAsia="幼圆" w:cs="Arial"/>
      <w:b/>
      <w:bCs/>
      <w:sz w:val="44"/>
      <w:szCs w:val="44"/>
    </w:rPr>
  </w:style>
  <w:style w:type="paragraph" w:styleId="973">
    <w:name w:val="正文缩进"/>
    <w:basedOn w:val="959"/>
    <w:next w:val="973"/>
    <w:link w:val="974"/>
    <w:pPr>
      <w:ind w:firstLine="420"/>
    </w:pPr>
  </w:style>
  <w:style w:type="character" w:styleId="974">
    <w:name w:val="正文缩进 字符"/>
    <w:next w:val="974"/>
    <w:link w:val="973"/>
    <w:rPr>
      <w:rFonts w:ascii="Times New Roman" w:hAnsi="Times New Roman" w:eastAsia="宋体" w:cs="Times New Roman"/>
      <w:szCs w:val="21"/>
    </w:rPr>
  </w:style>
  <w:style w:type="character" w:styleId="975">
    <w:name w:val="标题 3 字符"/>
    <w:next w:val="975"/>
    <w:link w:val="962"/>
    <w:rPr>
      <w:rFonts w:ascii="Times New Roman" w:hAnsi="Times New Roman" w:eastAsia="宋体" w:cs="Times New Roman"/>
      <w:b/>
      <w:bCs/>
      <w:sz w:val="32"/>
      <w:szCs w:val="32"/>
    </w:rPr>
  </w:style>
  <w:style w:type="character" w:styleId="976">
    <w:name w:val="标题 4 字符"/>
    <w:next w:val="976"/>
    <w:link w:val="963"/>
    <w:rPr>
      <w:rFonts w:ascii="Arial" w:hAnsi="Arial" w:eastAsia="黑体" w:cs="Arial"/>
      <w:b/>
      <w:bCs/>
      <w:sz w:val="28"/>
      <w:szCs w:val="28"/>
    </w:rPr>
  </w:style>
  <w:style w:type="character" w:styleId="977">
    <w:name w:val="标题 5 字符"/>
    <w:next w:val="977"/>
    <w:link w:val="964"/>
    <w:rPr>
      <w:rFonts w:ascii="宋体" w:hAnsi="Times New Roman" w:eastAsia="宋体" w:cs="Times New Roman"/>
      <w:color w:val="000000"/>
      <w:sz w:val="28"/>
      <w:szCs w:val="28"/>
    </w:rPr>
  </w:style>
  <w:style w:type="character" w:styleId="978">
    <w:name w:val="标题 6 字符"/>
    <w:next w:val="978"/>
    <w:link w:val="965"/>
    <w:rPr>
      <w:rFonts w:ascii="Arial" w:hAnsi="Arial" w:eastAsia="黑体" w:cs="Times New Roman"/>
      <w:b/>
      <w:bCs/>
      <w:sz w:val="24"/>
      <w:szCs w:val="24"/>
    </w:rPr>
  </w:style>
  <w:style w:type="character" w:styleId="979">
    <w:name w:val="标题 7 字符"/>
    <w:next w:val="979"/>
    <w:link w:val="966"/>
    <w:rPr>
      <w:rFonts w:ascii="Times New Roman" w:hAnsi="Times New Roman" w:eastAsia="宋体" w:cs="Times New Roman"/>
      <w:b/>
      <w:bCs/>
      <w:sz w:val="24"/>
      <w:szCs w:val="24"/>
    </w:rPr>
  </w:style>
  <w:style w:type="character" w:styleId="980">
    <w:name w:val="标题 8 字符"/>
    <w:next w:val="980"/>
    <w:link w:val="967"/>
    <w:rPr>
      <w:rFonts w:ascii="Arial" w:hAnsi="Arial" w:eastAsia="黑体" w:cs="Times New Roman"/>
      <w:sz w:val="24"/>
      <w:szCs w:val="24"/>
    </w:rPr>
  </w:style>
  <w:style w:type="character" w:styleId="981">
    <w:name w:val="标题 9 字符"/>
    <w:next w:val="981"/>
    <w:link w:val="968"/>
    <w:rPr>
      <w:rFonts w:ascii="Arial" w:hAnsi="Arial" w:eastAsia="黑体" w:cs="Times New Roman"/>
      <w:szCs w:val="21"/>
    </w:rPr>
  </w:style>
  <w:style w:type="paragraph" w:styleId="982">
    <w:name w:val="列表 3"/>
    <w:basedOn w:val="959"/>
    <w:next w:val="982"/>
    <w:link w:val="959"/>
    <w:pPr>
      <w:ind w:left="100" w:hanging="200"/>
    </w:pPr>
  </w:style>
  <w:style w:type="paragraph" w:styleId="983">
    <w:name w:val="目录 7"/>
    <w:basedOn w:val="959"/>
    <w:next w:val="959"/>
    <w:link w:val="959"/>
    <w:semiHidden/>
    <w:pPr>
      <w:ind w:left="1260"/>
      <w:jc w:val="left"/>
    </w:pPr>
  </w:style>
  <w:style w:type="paragraph" w:styleId="984">
    <w:name w:val="文档结构图"/>
    <w:basedOn w:val="959"/>
    <w:next w:val="984"/>
    <w:link w:val="985"/>
    <w:semiHidden/>
    <w:pPr>
      <w:shd w:val="clear" w:color="auto" w:fill="000080"/>
    </w:pPr>
  </w:style>
  <w:style w:type="character" w:styleId="985">
    <w:name w:val="文档结构图 字符"/>
    <w:next w:val="985"/>
    <w:link w:val="984"/>
    <w:semiHidden/>
    <w:rPr>
      <w:rFonts w:ascii="Times New Roman" w:hAnsi="Times New Roman" w:eastAsia="宋体" w:cs="Times New Roman"/>
      <w:szCs w:val="21"/>
      <w:shd w:val="clear" w:color="auto" w:fill="000080"/>
    </w:rPr>
  </w:style>
  <w:style w:type="paragraph" w:styleId="986">
    <w:name w:val="批注文字"/>
    <w:basedOn w:val="959"/>
    <w:next w:val="986"/>
    <w:link w:val="987"/>
    <w:semiHidden/>
    <w:pPr>
      <w:jc w:val="left"/>
    </w:pPr>
  </w:style>
  <w:style w:type="character" w:styleId="987">
    <w:name w:val="批注文字 字符"/>
    <w:next w:val="987"/>
    <w:link w:val="986"/>
    <w:semiHidden/>
    <w:rPr>
      <w:rFonts w:ascii="Times New Roman" w:hAnsi="Times New Roman" w:eastAsia="宋体" w:cs="Times New Roman"/>
      <w:szCs w:val="21"/>
    </w:rPr>
  </w:style>
  <w:style w:type="paragraph" w:styleId="988">
    <w:name w:val="正文文本 3"/>
    <w:basedOn w:val="959"/>
    <w:next w:val="988"/>
    <w:link w:val="989"/>
    <w:rPr>
      <w:rFonts w:ascii="仿宋_GB2312" w:hAnsi="Arial" w:eastAsia="仿宋_GB2312"/>
      <w:sz w:val="32"/>
      <w:szCs w:val="32"/>
    </w:rPr>
  </w:style>
  <w:style w:type="character" w:styleId="989">
    <w:name w:val="正文文本 3 字符"/>
    <w:next w:val="989"/>
    <w:link w:val="988"/>
    <w:rPr>
      <w:rFonts w:ascii="仿宋_GB2312" w:hAnsi="Arial" w:eastAsia="仿宋_GB2312" w:cs="Times New Roman"/>
      <w:sz w:val="32"/>
      <w:szCs w:val="32"/>
    </w:rPr>
  </w:style>
  <w:style w:type="paragraph" w:styleId="990">
    <w:name w:val="正文文本"/>
    <w:basedOn w:val="959"/>
    <w:next w:val="990"/>
    <w:link w:val="991"/>
    <w:rPr>
      <w:rFonts w:ascii="楷体_GB2312" w:hAnsi="Arial" w:eastAsia="楷体_GB2312"/>
      <w:sz w:val="28"/>
      <w:szCs w:val="28"/>
    </w:rPr>
  </w:style>
  <w:style w:type="character" w:styleId="991">
    <w:name w:val="正文文本 字符"/>
    <w:next w:val="991"/>
    <w:link w:val="990"/>
    <w:rPr>
      <w:rFonts w:ascii="楷体_GB2312" w:hAnsi="Arial" w:eastAsia="楷体_GB2312" w:cs="Times New Roman"/>
      <w:sz w:val="28"/>
      <w:szCs w:val="28"/>
    </w:rPr>
  </w:style>
  <w:style w:type="paragraph" w:styleId="992">
    <w:name w:val="正文文本缩进"/>
    <w:basedOn w:val="959"/>
    <w:next w:val="992"/>
    <w:link w:val="993"/>
    <w:pPr>
      <w:ind w:firstLine="645"/>
    </w:pPr>
    <w:rPr>
      <w:rFonts w:ascii="楷体_GB2312" w:eastAsia="楷体_GB2312"/>
      <w:sz w:val="32"/>
      <w:szCs w:val="32"/>
    </w:rPr>
  </w:style>
  <w:style w:type="character" w:styleId="993">
    <w:name w:val="正文文本缩进 字符"/>
    <w:next w:val="993"/>
    <w:link w:val="992"/>
    <w:rPr>
      <w:rFonts w:ascii="楷体_GB2312" w:hAnsi="Times New Roman" w:eastAsia="楷体_GB2312" w:cs="Times New Roman"/>
      <w:sz w:val="32"/>
      <w:szCs w:val="32"/>
    </w:rPr>
  </w:style>
  <w:style w:type="paragraph" w:styleId="994">
    <w:name w:val="列表 2"/>
    <w:basedOn w:val="959"/>
    <w:next w:val="994"/>
    <w:link w:val="959"/>
    <w:pPr>
      <w:ind w:left="100" w:hanging="200"/>
    </w:pPr>
  </w:style>
  <w:style w:type="paragraph" w:styleId="995">
    <w:name w:val="目录 5"/>
    <w:basedOn w:val="959"/>
    <w:next w:val="959"/>
    <w:link w:val="959"/>
    <w:semiHidden/>
    <w:pPr>
      <w:ind w:left="840"/>
      <w:jc w:val="left"/>
    </w:pPr>
  </w:style>
  <w:style w:type="paragraph" w:styleId="996">
    <w:name w:val="目录 3"/>
    <w:basedOn w:val="959"/>
    <w:next w:val="959"/>
    <w:link w:val="959"/>
    <w:semiHidden/>
    <w:pPr>
      <w:ind w:left="420"/>
      <w:jc w:val="left"/>
    </w:pPr>
    <w:rPr>
      <w:i/>
      <w:iCs/>
      <w:szCs w:val="24"/>
    </w:rPr>
  </w:style>
  <w:style w:type="paragraph" w:styleId="997">
    <w:name w:val="纯文本"/>
    <w:basedOn w:val="959"/>
    <w:next w:val="997"/>
    <w:link w:val="998"/>
    <w:rPr>
      <w:rFonts w:ascii="宋体" w:hAnsi="Courier New" w:cs="Courier New"/>
    </w:rPr>
  </w:style>
  <w:style w:type="character" w:styleId="998">
    <w:name w:val="纯文本 字符"/>
    <w:next w:val="998"/>
    <w:link w:val="997"/>
    <w:rPr>
      <w:rFonts w:ascii="宋体" w:hAnsi="Courier New" w:eastAsia="宋体" w:cs="Courier New"/>
      <w:szCs w:val="21"/>
    </w:rPr>
  </w:style>
  <w:style w:type="paragraph" w:styleId="999">
    <w:name w:val="目录 8"/>
    <w:basedOn w:val="959"/>
    <w:next w:val="959"/>
    <w:link w:val="959"/>
    <w:semiHidden/>
    <w:pPr>
      <w:ind w:left="1470"/>
      <w:jc w:val="left"/>
    </w:pPr>
  </w:style>
  <w:style w:type="paragraph" w:styleId="1000">
    <w:name w:val="日期"/>
    <w:basedOn w:val="959"/>
    <w:next w:val="959"/>
    <w:link w:val="1001"/>
    <w:rPr>
      <w:sz w:val="24"/>
      <w:szCs w:val="24"/>
    </w:rPr>
  </w:style>
  <w:style w:type="character" w:styleId="1001">
    <w:name w:val="日期 字符"/>
    <w:next w:val="1001"/>
    <w:link w:val="1000"/>
    <w:rPr>
      <w:rFonts w:ascii="Times New Roman" w:hAnsi="Times New Roman" w:eastAsia="宋体" w:cs="Times New Roman"/>
      <w:sz w:val="24"/>
      <w:szCs w:val="24"/>
    </w:rPr>
  </w:style>
  <w:style w:type="paragraph" w:styleId="1002">
    <w:name w:val="正文文本缩进 2"/>
    <w:basedOn w:val="959"/>
    <w:next w:val="1002"/>
    <w:link w:val="1003"/>
    <w:pPr>
      <w:ind w:left="630" w:firstLine="645"/>
    </w:pPr>
    <w:rPr>
      <w:rFonts w:ascii="Arial" w:hAnsi="Arial" w:eastAsia="仿宋_GB2312" w:cs="Arial"/>
      <w:sz w:val="32"/>
      <w:szCs w:val="32"/>
    </w:rPr>
  </w:style>
  <w:style w:type="character" w:styleId="1003">
    <w:name w:val="正文文本缩进 2 字符"/>
    <w:next w:val="1003"/>
    <w:link w:val="1002"/>
    <w:rPr>
      <w:rFonts w:ascii="Arial" w:hAnsi="Arial" w:eastAsia="仿宋_GB2312" w:cs="Arial"/>
      <w:sz w:val="32"/>
      <w:szCs w:val="32"/>
    </w:rPr>
  </w:style>
  <w:style w:type="paragraph" w:styleId="1004">
    <w:name w:val="批注框文本"/>
    <w:basedOn w:val="959"/>
    <w:next w:val="1004"/>
    <w:link w:val="1005"/>
    <w:semiHidden/>
    <w:rPr>
      <w:sz w:val="18"/>
      <w:szCs w:val="18"/>
    </w:rPr>
  </w:style>
  <w:style w:type="character" w:styleId="1005">
    <w:name w:val="批注框文本 字符"/>
    <w:next w:val="1005"/>
    <w:link w:val="1004"/>
    <w:semiHidden/>
    <w:rPr>
      <w:rFonts w:ascii="Times New Roman" w:hAnsi="Times New Roman" w:eastAsia="宋体" w:cs="Times New Roman"/>
      <w:sz w:val="18"/>
      <w:szCs w:val="18"/>
    </w:rPr>
  </w:style>
  <w:style w:type="paragraph" w:styleId="1006">
    <w:name w:val="页脚"/>
    <w:basedOn w:val="959"/>
    <w:next w:val="1006"/>
    <w:link w:val="1007"/>
    <w:uiPriority w:val="99"/>
    <w:pPr>
      <w:jc w:val="left"/>
      <w:tabs>
        <w:tab w:val="center" w:pos="4153" w:leader="none"/>
        <w:tab w:val="right" w:pos="8306" w:leader="none"/>
      </w:tabs>
    </w:pPr>
    <w:rPr>
      <w:sz w:val="18"/>
      <w:szCs w:val="18"/>
    </w:rPr>
  </w:style>
  <w:style w:type="character" w:styleId="1007">
    <w:name w:val="页脚 字符"/>
    <w:next w:val="1007"/>
    <w:link w:val="1006"/>
    <w:uiPriority w:val="99"/>
    <w:rPr>
      <w:rFonts w:ascii="Times New Roman" w:hAnsi="Times New Roman" w:eastAsia="宋体" w:cs="Times New Roman"/>
      <w:sz w:val="18"/>
      <w:szCs w:val="18"/>
    </w:rPr>
  </w:style>
  <w:style w:type="paragraph" w:styleId="1008">
    <w:name w:val="页眉"/>
    <w:basedOn w:val="959"/>
    <w:next w:val="1008"/>
    <w:link w:val="1009"/>
    <w:pPr>
      <w:jc w:val="center"/>
      <w:tabs>
        <w:tab w:val="center" w:pos="4153" w:leader="none"/>
        <w:tab w:val="right" w:pos="8306" w:leader="none"/>
      </w:tabs>
      <w:pBdr>
        <w:bottom w:val="single" w:color="000000" w:sz="6" w:space="1"/>
      </w:pBdr>
    </w:pPr>
    <w:rPr>
      <w:sz w:val="18"/>
      <w:szCs w:val="18"/>
    </w:rPr>
  </w:style>
  <w:style w:type="character" w:styleId="1009">
    <w:name w:val="页眉 字符"/>
    <w:next w:val="1009"/>
    <w:link w:val="1008"/>
    <w:rPr>
      <w:rFonts w:ascii="Times New Roman" w:hAnsi="Times New Roman" w:eastAsia="宋体" w:cs="Times New Roman"/>
      <w:sz w:val="18"/>
      <w:szCs w:val="18"/>
    </w:rPr>
  </w:style>
  <w:style w:type="paragraph" w:styleId="1010">
    <w:name w:val="目录 1"/>
    <w:basedOn w:val="959"/>
    <w:next w:val="959"/>
    <w:link w:val="959"/>
    <w:semiHidden/>
    <w:pPr>
      <w:jc w:val="left"/>
      <w:spacing w:before="120" w:after="120" w:line="400" w:lineRule="exact"/>
      <w:tabs>
        <w:tab w:val="right" w:pos="8720" w:leader="dot"/>
      </w:tabs>
    </w:pPr>
    <w:rPr>
      <w:rFonts w:ascii="宋体" w:hAnsi="宋体"/>
      <w:caps/>
      <w:sz w:val="24"/>
      <w:szCs w:val="24"/>
    </w:rPr>
  </w:style>
  <w:style w:type="paragraph" w:styleId="1011">
    <w:name w:val="目录 4"/>
    <w:basedOn w:val="959"/>
    <w:next w:val="959"/>
    <w:link w:val="959"/>
    <w:semiHidden/>
    <w:pPr>
      <w:ind w:left="630"/>
      <w:jc w:val="left"/>
    </w:pPr>
  </w:style>
  <w:style w:type="paragraph" w:styleId="1012">
    <w:name w:val="列表"/>
    <w:basedOn w:val="959"/>
    <w:next w:val="1012"/>
    <w:link w:val="959"/>
    <w:pPr>
      <w:ind w:left="200" w:hanging="200"/>
    </w:pPr>
  </w:style>
  <w:style w:type="paragraph" w:styleId="1013">
    <w:name w:val="目录 6"/>
    <w:basedOn w:val="959"/>
    <w:next w:val="959"/>
    <w:link w:val="959"/>
    <w:semiHidden/>
    <w:pPr>
      <w:ind w:left="1050"/>
      <w:jc w:val="left"/>
    </w:pPr>
  </w:style>
  <w:style w:type="paragraph" w:styleId="1014">
    <w:name w:val="正文文本缩进 3"/>
    <w:basedOn w:val="959"/>
    <w:next w:val="1014"/>
    <w:link w:val="1015"/>
    <w:pPr>
      <w:ind w:left="645" w:firstLine="645"/>
    </w:pPr>
    <w:rPr>
      <w:rFonts w:ascii="Arial" w:hAnsi="Arial" w:eastAsia="仿宋_GB2312" w:cs="Arial"/>
      <w:color w:val="ffff00"/>
      <w:sz w:val="32"/>
      <w:szCs w:val="32"/>
    </w:rPr>
  </w:style>
  <w:style w:type="character" w:styleId="1015">
    <w:name w:val="正文文本缩进 3 字符"/>
    <w:next w:val="1015"/>
    <w:link w:val="1014"/>
    <w:rPr>
      <w:rFonts w:ascii="Arial" w:hAnsi="Arial" w:eastAsia="仿宋_GB2312" w:cs="Arial"/>
      <w:color w:val="ffff00"/>
      <w:sz w:val="32"/>
      <w:szCs w:val="32"/>
    </w:rPr>
  </w:style>
  <w:style w:type="paragraph" w:styleId="1016">
    <w:name w:val="图表目录"/>
    <w:basedOn w:val="959"/>
    <w:next w:val="959"/>
    <w:link w:val="959"/>
    <w:semiHidden/>
    <w:pPr>
      <w:ind w:left="840" w:hanging="420"/>
    </w:pPr>
  </w:style>
  <w:style w:type="paragraph" w:styleId="1017">
    <w:name w:val="目录 2"/>
    <w:basedOn w:val="959"/>
    <w:next w:val="959"/>
    <w:link w:val="959"/>
    <w:semiHidden/>
    <w:pPr>
      <w:ind w:left="210"/>
      <w:jc w:val="left"/>
    </w:pPr>
    <w:rPr>
      <w:smallCaps/>
      <w:szCs w:val="24"/>
    </w:rPr>
  </w:style>
  <w:style w:type="paragraph" w:styleId="1018">
    <w:name w:val="目录 9"/>
    <w:basedOn w:val="959"/>
    <w:next w:val="959"/>
    <w:link w:val="959"/>
    <w:semiHidden/>
    <w:pPr>
      <w:ind w:left="1680"/>
      <w:jc w:val="left"/>
    </w:pPr>
  </w:style>
  <w:style w:type="paragraph" w:styleId="1019">
    <w:name w:val="正文文本 2"/>
    <w:basedOn w:val="959"/>
    <w:next w:val="1019"/>
    <w:link w:val="1020"/>
    <w:pPr>
      <w:jc w:val="center"/>
      <w:widowControl/>
    </w:pPr>
    <w:rPr>
      <w:rFonts w:ascii="楷体_GB2312" w:eastAsia="楷体_GB2312"/>
      <w:sz w:val="28"/>
      <w:szCs w:val="28"/>
    </w:rPr>
  </w:style>
  <w:style w:type="character" w:styleId="1020">
    <w:name w:val="正文文本 2 字符"/>
    <w:next w:val="1020"/>
    <w:link w:val="1019"/>
    <w:rPr>
      <w:rFonts w:ascii="楷体_GB2312" w:hAnsi="Times New Roman" w:eastAsia="楷体_GB2312" w:cs="Times New Roman"/>
      <w:sz w:val="28"/>
      <w:szCs w:val="28"/>
    </w:rPr>
  </w:style>
  <w:style w:type="paragraph" w:styleId="1021">
    <w:name w:val="普通(网站)"/>
    <w:basedOn w:val="959"/>
    <w:next w:val="1021"/>
    <w:link w:val="959"/>
    <w:uiPriority w:val="99"/>
    <w:pPr>
      <w:jc w:val="left"/>
      <w:spacing w:before="100" w:beforeAutospacing="1" w:after="100" w:afterAutospacing="1"/>
      <w:widowControl/>
    </w:pPr>
    <w:rPr>
      <w:rFonts w:ascii="宋体" w:hAnsi="宋体" w:cs="宋体"/>
      <w:sz w:val="24"/>
      <w:szCs w:val="24"/>
    </w:rPr>
  </w:style>
  <w:style w:type="paragraph" w:styleId="1022">
    <w:name w:val="索引 1"/>
    <w:basedOn w:val="959"/>
    <w:next w:val="959"/>
    <w:link w:val="959"/>
    <w:semiHidden/>
    <w:pPr>
      <w:spacing w:line="240" w:lineRule="atLeast"/>
    </w:pPr>
    <w:rPr>
      <w:b/>
      <w:bCs/>
    </w:rPr>
  </w:style>
  <w:style w:type="paragraph" w:styleId="1023">
    <w:name w:val="批注主题"/>
    <w:basedOn w:val="986"/>
    <w:next w:val="986"/>
    <w:link w:val="1024"/>
    <w:semiHidden/>
    <w:rPr>
      <w:b/>
      <w:bCs/>
    </w:rPr>
  </w:style>
  <w:style w:type="character" w:styleId="1024">
    <w:name w:val="批注主题 字符"/>
    <w:next w:val="1024"/>
    <w:link w:val="1023"/>
    <w:semiHidden/>
    <w:rPr>
      <w:rFonts w:ascii="Times New Roman" w:hAnsi="Times New Roman" w:eastAsia="宋体" w:cs="Times New Roman"/>
      <w:b/>
      <w:bCs/>
      <w:szCs w:val="21"/>
    </w:rPr>
  </w:style>
  <w:style w:type="paragraph" w:styleId="1025">
    <w:name w:val="正文首行缩进"/>
    <w:basedOn w:val="959"/>
    <w:next w:val="1025"/>
    <w:link w:val="1026"/>
    <w:pPr>
      <w:ind w:firstLine="200"/>
      <w:spacing w:line="360" w:lineRule="auto"/>
    </w:pPr>
    <w:rPr>
      <w:rFonts w:ascii="仿宋_GB2312" w:eastAsia="仿宋_GB2312"/>
      <w:sz w:val="30"/>
      <w:szCs w:val="30"/>
    </w:rPr>
  </w:style>
  <w:style w:type="character" w:styleId="1026">
    <w:name w:val="正文文本首行缩进 字符"/>
    <w:next w:val="1026"/>
    <w:link w:val="1025"/>
    <w:rPr>
      <w:rFonts w:ascii="仿宋_GB2312" w:hAnsi="Times New Roman" w:eastAsia="仿宋_GB2312" w:cs="Times New Roman"/>
      <w:sz w:val="30"/>
      <w:szCs w:val="30"/>
    </w:rPr>
  </w:style>
  <w:style w:type="paragraph" w:styleId="1027">
    <w:name w:val="正文首行缩进 2"/>
    <w:basedOn w:val="992"/>
    <w:next w:val="1027"/>
    <w:link w:val="1028"/>
    <w:pPr>
      <w:ind w:firstLine="420"/>
      <w:spacing w:line="360" w:lineRule="auto"/>
    </w:pPr>
    <w:rPr>
      <w:rFonts w:ascii="宋体" w:hAnsi="宋体" w:eastAsia="宋体"/>
      <w:sz w:val="21"/>
      <w:szCs w:val="20"/>
    </w:rPr>
  </w:style>
  <w:style w:type="character" w:styleId="1028">
    <w:name w:val="正文文本首行缩进 2 字符"/>
    <w:next w:val="1028"/>
    <w:link w:val="1027"/>
    <w:rPr>
      <w:rFonts w:ascii="宋体" w:hAnsi="宋体" w:eastAsia="宋体" w:cs="Times New Roman"/>
      <w:sz w:val="32"/>
      <w:szCs w:val="20"/>
    </w:rPr>
  </w:style>
  <w:style w:type="table" w:styleId="1029">
    <w:name w:val="网格型"/>
    <w:basedOn w:val="970"/>
    <w:next w:val="1029"/>
    <w:link w:val="959"/>
    <w:pPr>
      <w:jc w:val="both"/>
      <w:widowControl w:val="off"/>
    </w:pPr>
    <w:rPr>
      <w:rFonts w:ascii="Times New Roman" w:hAnsi="Times New Roman" w:eastAsia="宋体" w:cs="Times New Roman"/>
      <w:sz w:val="20"/>
      <w:szCs w:val="20"/>
    </w:rPr>
    <w:tblPr/>
  </w:style>
  <w:style w:type="character" w:styleId="1030">
    <w:name w:val="要点"/>
    <w:next w:val="1030"/>
    <w:link w:val="959"/>
    <w:qFormat/>
    <w:rPr>
      <w:b/>
      <w:bCs/>
    </w:rPr>
  </w:style>
  <w:style w:type="character" w:styleId="1031">
    <w:name w:val="页码"/>
    <w:next w:val="1031"/>
    <w:link w:val="959"/>
  </w:style>
  <w:style w:type="character" w:styleId="1032">
    <w:name w:val="已访问的超链接"/>
    <w:next w:val="1032"/>
    <w:link w:val="959"/>
    <w:rPr>
      <w:color w:val="800080"/>
      <w:u w:val="single"/>
    </w:rPr>
  </w:style>
  <w:style w:type="character" w:styleId="1033">
    <w:name w:val="强调"/>
    <w:next w:val="1033"/>
    <w:link w:val="959"/>
    <w:qFormat/>
    <w:rPr>
      <w:i/>
    </w:rPr>
  </w:style>
  <w:style w:type="character" w:styleId="1034">
    <w:name w:val="超链接"/>
    <w:next w:val="1034"/>
    <w:link w:val="959"/>
    <w:rPr>
      <w:color w:val="0000ff"/>
      <w:u w:val="single"/>
    </w:rPr>
  </w:style>
  <w:style w:type="character" w:styleId="1035">
    <w:name w:val="批注引用"/>
    <w:next w:val="1035"/>
    <w:link w:val="959"/>
    <w:semiHidden/>
    <w:rPr>
      <w:sz w:val="21"/>
      <w:szCs w:val="21"/>
    </w:rPr>
  </w:style>
  <w:style w:type="character" w:styleId="1036">
    <w:name w:val="font5 Char"/>
    <w:next w:val="1036"/>
    <w:link w:val="959"/>
    <w:rPr>
      <w:rFonts w:ascii="宋体" w:hAnsi="宋体" w:eastAsia="宋体"/>
      <w:sz w:val="28"/>
      <w:szCs w:val="28"/>
      <w:lang w:val="en-US" w:eastAsia="zh-CN" w:bidi="ar-SA"/>
    </w:rPr>
  </w:style>
  <w:style w:type="character" w:styleId="1037">
    <w:name w:val="二级目录 Char"/>
    <w:next w:val="1037"/>
    <w:link w:val="1038"/>
    <w:rPr>
      <w:b/>
      <w:sz w:val="30"/>
      <w:szCs w:val="28"/>
    </w:rPr>
  </w:style>
  <w:style w:type="paragraph" w:styleId="1038">
    <w:name w:val="二级目录"/>
    <w:next w:val="959"/>
    <w:link w:val="1037"/>
    <w:pPr>
      <w:numPr>
        <w:ilvl w:val="0"/>
        <w:numId w:val="2"/>
      </w:numPr>
      <w:tabs>
        <w:tab w:val="left" w:pos="907" w:leader="none"/>
        <w:tab w:val="left" w:pos="1145" w:leader="none"/>
      </w:tabs>
      <w:outlineLvl w:val="1"/>
    </w:pPr>
    <w:rPr>
      <w:b/>
      <w:sz w:val="30"/>
      <w:szCs w:val="28"/>
      <w:lang w:val="en-US" w:eastAsia="zh-CN" w:bidi="ar-SA"/>
    </w:rPr>
  </w:style>
  <w:style w:type="character" w:styleId="1039">
    <w:name w:val="列出段落 Char,Bullet List Char,numbered Char,FooterText Char,List Paragraph1 Char,Paragraphe de liste1 Char"/>
    <w:next w:val="1039"/>
    <w:link w:val="1040"/>
    <w:rPr>
      <w:rFonts w:ascii="Calibri" w:hAnsi="Calibri"/>
      <w:sz w:val="24"/>
      <w:szCs w:val="24"/>
      <w:lang w:eastAsia="en-US" w:bidi="en-US"/>
    </w:rPr>
  </w:style>
  <w:style w:type="paragraph" w:styleId="1040">
    <w:name w:val="列出段落1"/>
    <w:basedOn w:val="959"/>
    <w:next w:val="1040"/>
    <w:link w:val="1039"/>
    <w:qFormat/>
    <w:pPr>
      <w:contextualSpacing/>
      <w:ind w:left="720"/>
      <w:jc w:val="left"/>
      <w:widowControl/>
    </w:pPr>
    <w:rPr>
      <w:rFonts w:ascii="Calibri" w:hAnsi="Calibri" w:eastAsia="宋体" w:cs="Times New Roman"/>
      <w:sz w:val="24"/>
      <w:szCs w:val="24"/>
      <w:lang w:eastAsia="en-US" w:bidi="en-US"/>
    </w:rPr>
  </w:style>
  <w:style w:type="paragraph" w:styleId="1041">
    <w:name w:val="Body Text(ch)"/>
    <w:basedOn w:val="959"/>
    <w:next w:val="990"/>
    <w:link w:val="959"/>
    <w:pPr>
      <w:spacing w:after="120"/>
    </w:pPr>
    <w:rPr>
      <w:rFonts w:ascii="宋体" w:hAnsi="Arial"/>
      <w:bCs/>
      <w:iCs/>
      <w:szCs w:val="24"/>
    </w:rPr>
  </w:style>
  <w:style w:type="paragraph" w:styleId="1042">
    <w:name w:val="xl27"/>
    <w:basedOn w:val="959"/>
    <w:next w:val="1042"/>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6"/>
    <w:basedOn w:val="959"/>
    <w:next w:val="1043"/>
    <w:link w:val="9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4">
    <w:name w:val="Char"/>
    <w:basedOn w:val="959"/>
    <w:next w:val="1044"/>
    <w:link w:val="959"/>
    <w:pPr>
      <w:ind w:firstLine="200"/>
      <w:tabs>
        <w:tab w:val="left" w:pos="360" w:leader="none"/>
      </w:tabs>
    </w:pPr>
    <w:rPr>
      <w:sz w:val="28"/>
      <w:szCs w:val="30"/>
    </w:rPr>
  </w:style>
  <w:style w:type="paragraph" w:styleId="1045">
    <w:name w:val=" Char"/>
    <w:basedOn w:val="984"/>
    <w:next w:val="1045"/>
    <w:link w:val="959"/>
    <w:rPr>
      <w:rFonts w:ascii="Tahoma" w:hAnsi="Tahoma"/>
      <w:sz w:val="24"/>
      <w:szCs w:val="24"/>
    </w:rPr>
  </w:style>
  <w:style w:type="paragraph" w:styleId="1046">
    <w:name w:val="普通正文"/>
    <w:basedOn w:val="959"/>
    <w:next w:val="1046"/>
    <w:link w:val="959"/>
    <w:pPr>
      <w:ind w:firstLine="480"/>
      <w:jc w:val="left"/>
      <w:spacing w:before="120" w:after="120" w:line="360" w:lineRule="auto"/>
    </w:pPr>
    <w:rPr>
      <w:rFonts w:ascii="Arial" w:hAnsi="Arial"/>
      <w:sz w:val="24"/>
      <w:szCs w:val="24"/>
    </w:rPr>
  </w:style>
  <w:style w:type="paragraph" w:styleId="1047">
    <w:name w:val="table_lines"/>
    <w:basedOn w:val="959"/>
    <w:next w:val="1047"/>
    <w:link w:val="959"/>
    <w:pPr>
      <w:jc w:val="left"/>
      <w:widowControl/>
    </w:pPr>
    <w:rPr>
      <w:sz w:val="20"/>
      <w:szCs w:val="20"/>
      <w:lang w:val="de-DE" w:eastAsia="de-DE"/>
    </w:rPr>
  </w:style>
  <w:style w:type="paragraph" w:styleId="1048">
    <w:name w:val="附录1"/>
    <w:next w:val="1048"/>
    <w:link w:val="959"/>
    <w:pPr>
      <w:numPr>
        <w:ilvl w:val="0"/>
        <w:numId w:val="2"/>
      </w:numPr>
      <w:spacing w:before="240" w:line="600" w:lineRule="atLeast"/>
      <w:tabs>
        <w:tab w:val="left" w:pos="907" w:leader="none"/>
      </w:tabs>
    </w:pPr>
    <w:rPr>
      <w:b/>
      <w:i/>
      <w:sz w:val="28"/>
      <w:lang w:val="en-US" w:eastAsia="zh-CN" w:bidi="ar-SA"/>
    </w:rPr>
  </w:style>
  <w:style w:type="paragraph" w:styleId="1049">
    <w:name w:val="font7"/>
    <w:basedOn w:val="959"/>
    <w:next w:val="1049"/>
    <w:link w:val="959"/>
    <w:pPr>
      <w:jc w:val="left"/>
      <w:spacing w:before="100" w:beforeAutospacing="1" w:after="100" w:afterAutospacing="1"/>
      <w:widowControl/>
    </w:pPr>
    <w:rPr>
      <w:rFonts w:hint="eastAsia" w:ascii="宋体" w:hAnsi="宋体"/>
      <w:sz w:val="18"/>
      <w:szCs w:val="18"/>
    </w:rPr>
  </w:style>
  <w:style w:type="paragraph" w:styleId="1050">
    <w:name w:val=" Char Char Char Char"/>
    <w:basedOn w:val="984"/>
    <w:next w:val="1050"/>
    <w:link w:val="959"/>
    <w:pPr>
      <w:spacing w:line="360" w:lineRule="auto"/>
    </w:pPr>
    <w:rPr>
      <w:rFonts w:ascii="Tahoma" w:hAnsi="Tahoma"/>
      <w:sz w:val="24"/>
      <w:szCs w:val="24"/>
    </w:rPr>
  </w:style>
  <w:style w:type="paragraph" w:styleId="1051">
    <w:name w:val="列表段落"/>
    <w:basedOn w:val="959"/>
    <w:next w:val="1051"/>
    <w:link w:val="959"/>
    <w:qFormat/>
    <w:pPr>
      <w:contextualSpacing/>
      <w:ind w:left="720"/>
      <w:jc w:val="left"/>
      <w:widowControl/>
    </w:pPr>
    <w:rPr>
      <w:rFonts w:ascii="Calibri" w:hAnsi="Calibri"/>
      <w:sz w:val="24"/>
      <w:szCs w:val="24"/>
      <w:lang w:eastAsia="en-US" w:bidi="en-US"/>
    </w:rPr>
  </w:style>
  <w:style w:type="paragraph" w:styleId="1052">
    <w:name w:val="4"/>
    <w:basedOn w:val="959"/>
    <w:next w:val="1014"/>
    <w:link w:val="959"/>
    <w:pPr>
      <w:ind w:firstLine="420"/>
      <w:spacing w:line="360" w:lineRule="auto"/>
    </w:pPr>
    <w:rPr>
      <w:color w:val="ff0000"/>
      <w:sz w:val="24"/>
      <w:szCs w:val="24"/>
    </w:rPr>
  </w:style>
  <w:style w:type="paragraph" w:styleId="1053">
    <w:name w:val="普通 (Web)"/>
    <w:basedOn w:val="959"/>
    <w:next w:val="1053"/>
    <w:link w:val="959"/>
    <w:pPr>
      <w:jc w:val="left"/>
      <w:spacing w:before="100" w:beforeAutospacing="1" w:after="100" w:afterAutospacing="1"/>
      <w:widowControl/>
    </w:pPr>
    <w:rPr>
      <w:rFonts w:ascii="宋体" w:hAnsi="宋体"/>
      <w:sz w:val="24"/>
      <w:szCs w:val="24"/>
    </w:rPr>
  </w:style>
  <w:style w:type="paragraph" w:styleId="1054">
    <w:name w:val=" Char Char Char Char Char Char Char Char Char Char"/>
    <w:basedOn w:val="959"/>
    <w:next w:val="1054"/>
    <w:link w:val="959"/>
    <w:pPr>
      <w:spacing w:line="360" w:lineRule="auto"/>
    </w:pPr>
    <w:rPr>
      <w:sz w:val="24"/>
      <w:szCs w:val="20"/>
    </w:rPr>
  </w:style>
  <w:style w:type="paragraph" w:styleId="1055">
    <w:name w:val="样式1"/>
    <w:basedOn w:val="959"/>
    <w:next w:val="1055"/>
    <w:link w:val="959"/>
    <w:pPr>
      <w:numPr>
        <w:ilvl w:val="0"/>
        <w:numId w:val="3"/>
      </w:numPr>
      <w:tabs>
        <w:tab w:val="left" w:pos="709" w:leader="none"/>
      </w:tabs>
    </w:pPr>
    <w:rPr>
      <w:rFonts w:ascii="宋体" w:hAnsi="宋体"/>
    </w:rPr>
  </w:style>
  <w:style w:type="paragraph" w:styleId="1056">
    <w:name w:val="font6"/>
    <w:basedOn w:val="959"/>
    <w:next w:val="1056"/>
    <w:link w:val="959"/>
    <w:pPr>
      <w:jc w:val="left"/>
      <w:spacing w:before="100" w:beforeAutospacing="1" w:after="100" w:afterAutospacing="1"/>
      <w:widowControl/>
    </w:pPr>
    <w:rPr>
      <w:rFonts w:hint="eastAsia" w:ascii="宋体" w:hAnsi="宋体"/>
      <w:sz w:val="28"/>
      <w:szCs w:val="28"/>
      <w:u w:val="single"/>
    </w:rPr>
  </w:style>
  <w:style w:type="paragraph" w:styleId="1057">
    <w:name w:val="xl25"/>
    <w:basedOn w:val="959"/>
    <w:next w:val="1057"/>
    <w:link w:val="9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name w:val="图标"/>
    <w:basedOn w:val="959"/>
    <w:next w:val="959"/>
    <w:link w:val="95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name w:val="标题3"/>
    <w:basedOn w:val="959"/>
    <w:next w:val="959"/>
    <w:link w:val="959"/>
    <w:pPr>
      <w:ind w:firstLine="624"/>
      <w:spacing w:line="590" w:lineRule="atLeast"/>
    </w:pPr>
    <w:rPr>
      <w:rFonts w:ascii="方正黑体_GBK" w:eastAsia="方正黑体_GBK"/>
      <w:sz w:val="32"/>
      <w:szCs w:val="32"/>
    </w:rPr>
  </w:style>
  <w:style w:type="paragraph" w:styleId="1060">
    <w:name w:val="xl24"/>
    <w:basedOn w:val="959"/>
    <w:next w:val="1060"/>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name w:val="xl29"/>
    <w:basedOn w:val="959"/>
    <w:next w:val="1061"/>
    <w:link w:val="95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name w:val="Char Char Char Char Char Char Char Char"/>
    <w:basedOn w:val="959"/>
    <w:next w:val="1062"/>
    <w:link w:val="959"/>
    <w:pPr>
      <w:jc w:val="left"/>
      <w:spacing w:after="160" w:line="240" w:lineRule="exact"/>
      <w:widowControl/>
    </w:pPr>
    <w:rPr>
      <w:rFonts w:ascii="Verdana" w:hAnsi="Verdana"/>
      <w:sz w:val="20"/>
      <w:szCs w:val="20"/>
      <w:lang w:eastAsia="en-US"/>
    </w:rPr>
  </w:style>
  <w:style w:type="paragraph" w:styleId="1063">
    <w:name w:val="xl28"/>
    <w:basedOn w:val="959"/>
    <w:next w:val="1063"/>
    <w:link w:val="9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4">
    <w:name w:val=" Char Char Char Char Char Char Char Char"/>
    <w:basedOn w:val="959"/>
    <w:next w:val="1064"/>
    <w:link w:val="959"/>
    <w:pPr>
      <w:jc w:val="left"/>
      <w:spacing w:after="160" w:line="240" w:lineRule="exact"/>
      <w:widowControl/>
    </w:pPr>
    <w:rPr>
      <w:rFonts w:ascii="Verdana" w:hAnsi="Verdana"/>
      <w:sz w:val="20"/>
      <w:szCs w:val="20"/>
      <w:lang w:eastAsia="en-US"/>
    </w:rPr>
  </w:style>
  <w:style w:type="paragraph" w:styleId="1065">
    <w:name w:val="xl30"/>
    <w:basedOn w:val="959"/>
    <w:next w:val="1065"/>
    <w:link w:val="959"/>
    <w:pPr>
      <w:jc w:val="center"/>
      <w:spacing w:before="100" w:beforeAutospacing="1" w:after="100" w:afterAutospacing="1"/>
      <w:widowControl/>
    </w:pPr>
    <w:rPr>
      <w:rFonts w:ascii="宋体" w:hAnsi="宋体"/>
      <w:b/>
      <w:bCs/>
      <w:sz w:val="36"/>
      <w:szCs w:val="36"/>
    </w:rPr>
  </w:style>
  <w:style w:type="paragraph" w:styleId="1066">
    <w:name w:val="Char Char Char Char"/>
    <w:basedOn w:val="984"/>
    <w:next w:val="1066"/>
    <w:link w:val="959"/>
    <w:pPr>
      <w:spacing w:line="360" w:lineRule="auto"/>
    </w:pPr>
    <w:rPr>
      <w:rFonts w:ascii="Tahoma" w:hAnsi="Tahoma"/>
      <w:sz w:val="24"/>
      <w:szCs w:val="24"/>
    </w:rPr>
  </w:style>
  <w:style w:type="paragraph" w:styleId="1067">
    <w:name w:val="table_1stline"/>
    <w:basedOn w:val="959"/>
    <w:next w:val="1067"/>
    <w:link w:val="959"/>
    <w:pPr>
      <w:jc w:val="left"/>
      <w:spacing w:before="120"/>
      <w:widowControl/>
    </w:pPr>
    <w:rPr>
      <w:bCs/>
      <w:sz w:val="20"/>
      <w:szCs w:val="20"/>
      <w:lang w:val="de-DE" w:eastAsia="de-DE"/>
    </w:rPr>
  </w:style>
  <w:style w:type="paragraph" w:styleId="1068">
    <w:name w:val="font5"/>
    <w:basedOn w:val="959"/>
    <w:next w:val="1068"/>
    <w:link w:val="959"/>
    <w:pPr>
      <w:jc w:val="left"/>
      <w:spacing w:before="100" w:beforeAutospacing="1" w:after="100" w:afterAutospacing="1"/>
      <w:widowControl/>
    </w:pPr>
    <w:rPr>
      <w:rFonts w:hint="eastAsia" w:ascii="宋体" w:hAnsi="宋体"/>
      <w:sz w:val="28"/>
      <w:szCs w:val="28"/>
    </w:rPr>
  </w:style>
  <w:style w:type="paragraph" w:styleId="1069">
    <w:name w:val="标题1"/>
    <w:basedOn w:val="959"/>
    <w:next w:val="959"/>
    <w:link w:val="95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name w:val="修订"/>
    <w:next w:val="1070"/>
    <w:link w:val="959"/>
    <w:uiPriority w:val="99"/>
    <w:semiHidden/>
    <w:rPr>
      <w:sz w:val="21"/>
      <w:szCs w:val="21"/>
      <w:lang w:val="en-US" w:eastAsia="zh-CN" w:bidi="ar-SA"/>
    </w:rPr>
  </w:style>
  <w:style w:type="paragraph" w:styleId="1071">
    <w:name w:val="无间隔"/>
    <w:next w:val="1071"/>
    <w:link w:val="959"/>
    <w:uiPriority w:val="99"/>
    <w:qFormat/>
    <w:pPr>
      <w:jc w:val="both"/>
      <w:widowControl w:val="off"/>
    </w:pPr>
    <w:rPr>
      <w:sz w:val="21"/>
      <w:szCs w:val="21"/>
      <w:lang w:val="en-US" w:eastAsia="zh-CN" w:bidi="ar-SA"/>
    </w:rPr>
  </w:style>
  <w:style w:type="paragraph" w:styleId="1072">
    <w:name w:val="标题 21"/>
    <w:basedOn w:val="959"/>
    <w:next w:val="959"/>
    <w:link w:val="959"/>
    <w:qFormat/>
    <w:pPr>
      <w:jc w:val="center"/>
      <w:keepLines/>
      <w:keepNext/>
      <w:spacing w:before="260" w:after="260" w:line="416" w:lineRule="auto"/>
      <w:outlineLvl w:val="1"/>
    </w:pPr>
    <w:rPr>
      <w:rFonts w:ascii="Arial" w:hAnsi="Arial" w:eastAsia="幼圆" w:cs="Arial"/>
      <w:b/>
      <w:bCs/>
      <w:sz w:val="44"/>
      <w:szCs w:val="44"/>
    </w:rPr>
  </w:style>
  <w:style w:type="paragraph" w:styleId="1073">
    <w:name w:val="批注文字1"/>
    <w:basedOn w:val="959"/>
    <w:next w:val="1073"/>
    <w:link w:val="959"/>
    <w:unhideWhenUsed/>
    <w:qFormat/>
    <w:pPr>
      <w:jc w:val="left"/>
    </w:p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15</cp:revision>
  <dcterms:created xsi:type="dcterms:W3CDTF">2023-03-16T02:16:00Z</dcterms:created>
  <dcterms:modified xsi:type="dcterms:W3CDTF">2026-08-21T07:31:10Z</dcterms:modified>
</cp:coreProperties>
</file>