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 xml:space="preserve">南京鼓楼医院</w:t>
      </w:r>
      <w:r/>
    </w:p>
    <w:p>
      <w:pPr>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直线加速器及后装治疗机</w:t>
      </w:r>
      <w:r/>
    </w:p>
    <w:p>
      <w:pPr>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保修项目</w:t>
      </w:r>
      <w:r/>
    </w:p>
    <w:p>
      <w:pPr>
        <w:pStyle w:val="816"/>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16"/>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right="640"/>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JSZC-320100-JITC-G2026-0338</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二〇二六年九月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24"/>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24"/>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41"/>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41"/>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24"/>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841"/>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33"/>
        <w:ind w:firstLine="3213"/>
        <w:jc w:val="both"/>
        <w:rPr>
          <w:rFonts w:hint="eastAsia" w:ascii="宋体" w:hAnsi="宋体" w:cs="宋体"/>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33"/>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14:textFill>
            <w14:solidFill>
              <w14:schemeClr w14:val="tx1"/>
            </w14:solidFill>
          </w14:textFill>
        </w:rPr>
        <w:t xml:space="preserve">南京鼓楼医院</w:t>
      </w:r>
      <w:r>
        <w:rPr>
          <w:rFonts w:hint="eastAsia" w:ascii="宋体" w:hAnsi="宋体" w:cs="宋体"/>
          <w:bCs/>
          <w:color w:val="000000" w:themeColor="text1"/>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10</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13</w:t>
      </w:r>
      <w:r>
        <w:rPr>
          <w:rFonts w:hint="eastAsia" w:ascii="宋体" w:hAnsi="宋体" w:cs="宋体"/>
          <w:bCs/>
          <w:color w:val="000000" w:themeColor="text1"/>
          <w:szCs w:val="21"/>
          <w:highlight w:val="none"/>
          <w:u w:val="single"/>
          <w14:textFill>
            <w14:solidFill>
              <w14:schemeClr w14:val="tx1"/>
            </w14:solidFill>
          </w14:textFill>
        </w:rPr>
        <w:t xml:space="preserve">日14:30（北京时间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JSZC-320100-JITC-G2026-0338</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1.2项目名称：南京</w:t>
      </w:r>
      <w:bookmarkStart w:id="360" w:name="_GoBack"/>
      <w:r/>
      <w:bookmarkEnd w:id="360"/>
      <w:r>
        <w:rPr>
          <w:rFonts w:hint="eastAsia" w:ascii="宋体" w:hAnsi="宋体" w:cs="宋体"/>
          <w:bCs/>
          <w:color w:val="000000" w:themeColor="text1"/>
          <w:szCs w:val="21"/>
          <w:highlight w:val="none"/>
          <w14:textFill>
            <w14:solidFill>
              <w14:schemeClr w14:val="tx1"/>
            </w14:solidFill>
          </w14:textFill>
        </w:rPr>
        <w:t xml:space="preserve">鼓楼医院</w:t>
      </w:r>
      <w:r>
        <w:rPr>
          <w:rFonts w:hint="eastAsia" w:ascii="宋体" w:hAnsi="宋体" w:cs="宋体"/>
          <w:bCs/>
          <w:color w:val="000000" w:themeColor="text1"/>
          <w:szCs w:val="21"/>
          <w:highlight w:val="none"/>
          <w:lang w:eastAsia="zh-CN"/>
          <w14:textFill>
            <w14:solidFill>
              <w14:schemeClr w14:val="tx1"/>
            </w14:solidFill>
          </w14:textFill>
        </w:rPr>
        <w:t xml:space="preserve">直线加速器及后装治疗机保修项目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1.3预算金额：本项目三年预算366万元。</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w:t>
      </w:r>
      <w:sdt>
        <w:sdtPr>
          <w15:appearance w15:val="boundingBox"/>
          <w:id w:val="147480861"/>
          <w:placeholder>
            <w:docPart w:val="{293bd950-0d36-4f31-8531-3a305d7a1ad8}"/>
          </w:placeholder>
          <w:rPr>
            <w:rFonts w:hint="eastAsia" w:ascii="宋体" w:hAnsi="宋体" w:cs="宋体"/>
            <w:b/>
            <w:color w:val="000000" w:themeColor="text1"/>
            <w:szCs w:val="21"/>
            <w:highlight w:val="none"/>
            <w14:textFill>
              <w14:solidFill>
                <w14:schemeClr w14:val="tx1"/>
              </w14:solidFill>
            </w14:textFill>
          </w:rPr>
        </w:sdtPr>
        <w:sdtContent>
          <w:r>
            <w:rPr>
              <w:rFonts w:hint="eastAsia" w:ascii="宋体" w:hAnsi="宋体" w:cs="宋体"/>
              <w:b/>
              <w:color w:val="000000" w:themeColor="text1"/>
              <w:szCs w:val="21"/>
              <w:highlight w:val="none"/>
              <w14:textFill>
                <w14:solidFill>
                  <w14:schemeClr w14:val="tx1"/>
                </w14:solidFill>
              </w14:textFill>
            </w:rPr>
            <w:t xml:space="preserve">本项目投标总价不得高于人民币350万元/三年（投标人投标报价不得超过上述限价金额，否则将作无效标处理）。</w:t>
          </w:r>
        </w:sdtContent>
      </w:sd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1.5采购需求：采购医用直线加速器（品牌型号：医科达Axesse）、后装治疗机维保服务（品牌型号：医科达Flexitron HDR），具体要求详见招标文件第四章《采购需求》。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1.7合同履行期限：</w:t>
      </w:r>
      <w:r>
        <w:rPr>
          <w:rFonts w:hint="eastAsia" w:ascii="宋体" w:hAnsi="宋体" w:cs="宋体"/>
          <w:b/>
          <w:color w:val="000000" w:themeColor="text1"/>
          <w:szCs w:val="21"/>
          <w:highlight w:val="none"/>
          <w14:textFill>
            <w14:solidFill>
              <w14:schemeClr w14:val="tx1"/>
            </w14:solidFill>
          </w14:textFill>
        </w:rPr>
        <w:t xml:space="preserve">2026年11月13日起三年</w:t>
      </w:r>
      <w:r>
        <w:rPr>
          <w:rFonts w:hint="eastAsia"/>
          <w:b/>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93909067"/>
      <w:r/>
      <w:bookmarkStart w:id="14" w:name="_Toc80792690"/>
      <w:r/>
      <w:bookmarkStart w:id="15" w:name="_Toc96347853"/>
      <w:r/>
      <w:bookmarkStart w:id="16" w:name="_Toc80264699"/>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Style w:val="842"/>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bookmarkEnd w:id="18"/>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号）的规定，适用信用承诺的供应商，对于2.1.2至2.1.6款证明材料可使用《南京市政府采购供应商信用记录表暨信用承诺书》替代。（格</w:t>
      </w:r>
      <w:r>
        <w:rPr>
          <w:rFonts w:hint="eastAsia" w:ascii="宋体" w:hAnsi="宋体" w:cs="宋体"/>
          <w:bCs/>
          <w:color w:val="000000" w:themeColor="text1"/>
          <w:szCs w:val="21"/>
          <w:highlight w:val="none"/>
          <w14:textFill>
            <w14:solidFill>
              <w14:schemeClr w14:val="tx1"/>
            </w14:solidFill>
          </w14:textFill>
        </w:rPr>
        <w:t xml:space="preserve">式详见 第六章、投标文件格式 </w:t>
      </w:r>
      <w:r>
        <w:rPr>
          <w:rFonts w:hint="eastAsia" w:ascii="宋体" w:hAnsi="宋体" w:cs="宋体"/>
          <w:bCs/>
          <w:color w:val="000000" w:themeColor="text1"/>
          <w:szCs w:val="21"/>
          <w:highlight w:val="none"/>
          <w14:textFill>
            <w14:solidFill>
              <w14:schemeClr w14:val="tx1"/>
            </w14:solidFill>
          </w14:textFill>
        </w:rPr>
        <w:t xml:space="preserve">（7-2）南京市政</w:t>
      </w:r>
      <w:r>
        <w:rPr>
          <w:rFonts w:hint="eastAsia" w:ascii="宋体" w:hAnsi="宋体" w:cs="宋体"/>
          <w:bCs/>
          <w:color w:val="000000" w:themeColor="text1"/>
          <w:szCs w:val="21"/>
          <w:highlight w:val="none"/>
          <w14:textFill>
            <w14:solidFill>
              <w14:schemeClr w14:val="tx1"/>
            </w14:solidFill>
          </w14:textFill>
        </w:rPr>
        <w:t xml:space="preserve">府采购供应商信用记录表暨信用承诺书）供应商在成交后，应按采购文件要求，将上述由信用承诺书替代的证明材料提交采购人或采购代理机构核验。经核验无误后，由采购人或采购代理机构发出成交通知书。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2.2.1中小企业政策：■本项目不专门面向中小企业预留采购份额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2.3.1供应商须取得生态环境主管部门核发有效的《辐射安全许可证》，许可活动种类和范围须同时包含</w:t>
      </w:r>
      <w:r>
        <w:rPr>
          <w:rFonts w:hint="eastAsia" w:ascii="宋体" w:hAnsi="宋体" w:cs="宋体"/>
          <w:bCs/>
          <w:color w:val="000000" w:themeColor="text1"/>
          <w:szCs w:val="21"/>
          <w:highlight w:val="none"/>
          <w14:textFill>
            <w14:solidFill>
              <w14:schemeClr w14:val="tx1"/>
            </w14:solidFill>
          </w14:textFill>
        </w:rPr>
        <w:t xml:space="preserve">使用Ⅱ类射线装置和使用</w:t>
      </w:r>
      <w:r>
        <w:rPr>
          <w:rFonts w:hint="eastAsia" w:ascii="宋体" w:hAnsi="宋体" w:cs="宋体"/>
          <w:bCs/>
          <w:color w:val="000000" w:themeColor="text1"/>
          <w:szCs w:val="21"/>
          <w:highlight w:val="none"/>
          <w:lang w:val="en-US" w:eastAsia="zh-CN"/>
          <w14:textFill>
            <w14:solidFill>
              <w14:schemeClr w14:val="tx1"/>
            </w14:solidFill>
          </w14:textFill>
        </w:rPr>
        <w:t xml:space="preserve">Ⅲ</w:t>
      </w:r>
      <w:r>
        <w:rPr>
          <w:rFonts w:hint="eastAsia" w:ascii="宋体" w:hAnsi="宋体" w:cs="宋体"/>
          <w:bCs/>
          <w:color w:val="000000" w:themeColor="text1"/>
          <w:szCs w:val="21"/>
          <w:highlight w:val="none"/>
          <w14:textFill>
            <w14:solidFill>
              <w14:schemeClr w14:val="tx1"/>
            </w14:solidFill>
          </w14:textFill>
        </w:rPr>
        <w:t xml:space="preserve">类放射源</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通过“信用中国”网站（http://www.creditchina.gov.cn）、中国政府采购网（www.ccgp.gov.cn）查询供应商在响应截止时间前的信用记录，通过以上查询渠道，供应商被列入失信被执行人、重大税收违法失信主体、政府采购严重违法失信行为记录。</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themeColor="text1"/>
          <w:szCs w:val="21"/>
          <w:highlight w:val="none"/>
          <w14:textFill>
            <w14:solidFill>
              <w14:schemeClr w14:val="tx1"/>
            </w14:solidFill>
          </w14:textFill>
        </w:rPr>
      </w:pPr>
      <w:r/>
      <w:bookmarkStart w:id="19" w:name="_Toc80264700"/>
      <w:r>
        <w:rPr>
          <w:rFonts w:hint="eastAsia" w:ascii="宋体" w:hAnsi="宋体" w:cs="宋体"/>
          <w:bCs/>
          <w:color w:val="000000" w:themeColor="text1"/>
          <w:szCs w:val="21"/>
          <w:highlight w:val="none"/>
          <w14:textFill>
            <w14:solidFill>
              <w14:schemeClr w14:val="tx1"/>
            </w14:solidFill>
          </w14:textFill>
        </w:rPr>
        <w:t xml:space="preserve">时间：自招标文件公告发布之日起5个工作日。</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bookmarkStart w:id="20" w:name="_Toc80792691"/>
      <w:r/>
      <w:bookmarkStart w:id="21" w:name="_Toc93909068"/>
      <w:r/>
      <w:bookmarkStart w:id="22"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tabs>
          <w:tab w:val="left" w:pos="3990" w:leader="none"/>
        </w:tabs>
        <w:rPr>
          <w:rFonts w:hint="eastAsia" w:ascii="宋体" w:hAnsi="宋体" w:cs="宋体"/>
          <w:bCs/>
          <w:color w:val="000000" w:themeColor="text1"/>
          <w:szCs w:val="21"/>
          <w:highlight w:val="none"/>
          <w14:textFill>
            <w14:solidFill>
              <w14:schemeClr w14:val="tx1"/>
            </w14:solidFill>
          </w14:textFill>
        </w:rPr>
      </w:pPr>
      <w:r/>
      <w:bookmarkStart w:id="23" w:name="_Toc80792693"/>
      <w:r/>
      <w:bookmarkStart w:id="24" w:name="_Toc93909069"/>
      <w:r/>
      <w:bookmarkStart w:id="25" w:name="_Toc96347855"/>
      <w:r>
        <w:rPr>
          <w:rFonts w:hint="eastAsia" w:ascii="宋体" w:hAnsi="宋体" w:cs="宋体"/>
          <w:bCs/>
          <w:color w:val="000000" w:themeColor="text1"/>
          <w:szCs w:val="21"/>
          <w:highlight w:val="none"/>
          <w14:textFill>
            <w14:solidFill>
              <w14:schemeClr w14:val="tx1"/>
            </w14:solidFill>
          </w14:textFill>
        </w:rPr>
        <w:t xml:space="preserve">提交投标文件截止时间、开标时间：2026年</w:t>
      </w: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13</w:t>
      </w:r>
      <w:r>
        <w:rPr>
          <w:rFonts w:hint="eastAsia" w:ascii="宋体" w:hAnsi="宋体" w:cs="宋体"/>
          <w:bCs/>
          <w:color w:val="000000" w:themeColor="text1"/>
          <w:szCs w:val="21"/>
          <w:highlight w:val="none"/>
          <w14:textFill>
            <w14:solidFill>
              <w14:schemeClr w14:val="tx1"/>
            </w14:solidFill>
          </w14:textFill>
        </w:rPr>
        <w:t xml:space="preserve">日14：30（北京时间）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3909070"/>
      <w:r/>
      <w:bookmarkStart w:id="27" w:name="_Toc96347856"/>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792694"/>
      <w:r/>
      <w:bookmarkStart w:id="29" w:name="_Toc80264702"/>
      <w:r/>
      <w:bookmarkStart w:id="30" w:name="_Toc96347857"/>
      <w:r/>
      <w:bookmarkStart w:id="31"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联系人：成老师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联系方式：025-68182528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址：南京市雨花台区宁双路19号云密城C栋3楼305室</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联系人：马翊然、呼禹、宗超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联系方式：19720255784、18761879918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项目联系人：马翊然</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话：19720255784</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8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3"/>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0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578"/>
        </w:trPr>
        <w:tc>
          <w:tcPr>
            <w:tcW w:w="675" w:type="dxa"/>
            <w:vAlign w:val="center"/>
            <w:textDirection w:val="lrTb"/>
            <w:noWrap w:val="false"/>
          </w:tcPr>
          <w:p>
            <w:pPr>
              <w:pStyle w:val="1046"/>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46"/>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46"/>
              <w:ind w:firstLine="373"/>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46"/>
              <w:ind w:firstLine="373"/>
              <w:jc w:val="center"/>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43"/>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43"/>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43"/>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联系人：成老师</w:t>
            </w:r>
            <w:r/>
          </w:p>
          <w:p>
            <w:pPr>
              <w:pStyle w:val="1043"/>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Cs w:val="21"/>
                <w:highlight w:val="none"/>
                <w14:textFill>
                  <w14:solidFill>
                    <w14:schemeClr w14:val="tx1"/>
                  </w14:solidFill>
                </w14:textFill>
              </w:rPr>
              <w:t xml:space="preserve">025-68182528</w:t>
            </w:r>
            <w:r/>
          </w:p>
        </w:tc>
      </w:tr>
      <w:tr>
        <w:trPr>
          <w:jc w:val="center"/>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43"/>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43"/>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1043"/>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联系人：马翊然、呼禹、宗超</w:t>
            </w:r>
            <w:r/>
          </w:p>
          <w:p>
            <w:pPr>
              <w:pStyle w:val="1043"/>
              <w:spacing w:before="160" w:line="276"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话：19720255784、18761879918</w:t>
            </w:r>
            <w:r/>
          </w:p>
        </w:tc>
      </w:tr>
      <w:tr>
        <w:trPr>
          <w:jc w:val="center"/>
          <w:trHeight w:val="510"/>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46"/>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10"/>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46"/>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46"/>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46"/>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46"/>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57"/>
              <w:contextualSpacing/>
              <w:ind w:firstLine="0"/>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投标报价的其他要求：无。</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46"/>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46"/>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46"/>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46"/>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46"/>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46"/>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46"/>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■服务类，本项目不涉及核心产品。</w:t>
            </w:r>
            <w:r/>
          </w:p>
        </w:tc>
      </w:tr>
      <w:tr>
        <w:trPr>
          <w:jc w:val="center"/>
          <w:trHeight w:val="922"/>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46"/>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46"/>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46"/>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46"/>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■不要求提供</w:t>
            </w:r>
            <w:r/>
          </w:p>
        </w:tc>
      </w:tr>
      <w:tr>
        <w:trPr>
          <w:jc w:val="center"/>
          <w:trHeight w:val="65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16"/>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16"/>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86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16"/>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526"/>
        </w:trPr>
        <w:tc>
          <w:tcPr>
            <w:tcW w:w="675"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2.为优化采购资金使用效率，依据《政府采购代理机构管理暂行办法》(财库(2018)2号)第十五条规定，本项目代理服务费由成交供应商支付。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3.收取标准及方式:成交供应商在领取成交通知书前按下表中货物类型标准的40%一次性足额向采购代理机构缴纳采购代理服务费用。</w:t>
            </w:r>
            <w:r/>
          </w:p>
          <w:tbl>
            <w:tblPr>
              <w:tblStyle w:val="8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收款人：江苏省招标中心有限公司</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人民币帐号为：7321810182600023404</w:t>
            </w:r>
            <w:r/>
          </w:p>
          <w:p>
            <w:pPr>
              <w:pStyle w:val="816"/>
              <w:spacing w:line="360" w:lineRule="auto"/>
              <w:rPr>
                <w:rFonts w:ascii="Times New Roman"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 xml:space="preserve">开户银行：中信银行南京江苏路支行</w:t>
            </w:r>
            <w:r/>
          </w:p>
          <w:p>
            <w:pPr>
              <w:pStyle w:val="816"/>
              <w:ind w:left="0" w:right="0"/>
              <w:jc w:val="left"/>
              <w:keepLines w:val="0"/>
              <w:keepNext w:val="0"/>
              <w:spacing w:before="0" w:beforeAutospacing="0" w:after="0" w:afterAutospacing="0" w:line="360" w:lineRule="auto"/>
              <w:rPr>
                <w:rFonts w:hint="eastAsia" w:hAnsi="宋体" w:cs="宋体"/>
                <w:bCs/>
                <w:color w:val="000000" w:themeColor="text1"/>
                <w:highlight w:val="none"/>
                <w:lang w:val="en-US" w:eastAsia="zh-CN"/>
                <w14:textFill>
                  <w14:solidFill>
                    <w14:schemeClr w14:val="tx1"/>
                  </w14:solidFill>
                </w14:textFill>
              </w:rPr>
              <w:suppressLineNumbers w:val="0"/>
            </w:pPr>
            <w:r>
              <w:rPr>
                <w:rFonts w:hint="eastAsia" w:hAnsi="宋体" w:cs="宋体"/>
                <w:bCs/>
                <w:color w:val="000000" w:themeColor="text1"/>
                <w:highlight w:val="none"/>
                <w:lang w:val="en-US" w:eastAsia="zh-CN"/>
                <w14:textFill>
                  <w14:solidFill>
                    <w14:schemeClr w14:val="tx1"/>
                  </w14:solidFill>
                </w14:textFill>
              </w:rPr>
              <w:t xml:space="preserve">6.代理服务费缴纳联系人：谢工</w:t>
            </w:r>
            <w:r/>
          </w:p>
          <w:p>
            <w:pPr>
              <w:pStyle w:val="816"/>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联系方式：17851978017t</w:t>
            </w:r>
            <w:r/>
          </w:p>
        </w:tc>
      </w:tr>
      <w:tr>
        <w:trPr>
          <w:jc w:val="center"/>
          <w:trHeight w:val="600"/>
        </w:trPr>
        <w:tc>
          <w:tcPr>
            <w:tcW w:w="675" w:type="dxa"/>
            <w:vAlign w:val="center"/>
            <w:vMerge w:val="restart"/>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46"/>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46"/>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16"/>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采购项目类型：服务类</w:t>
            </w:r>
            <w:r/>
          </w:p>
        </w:tc>
      </w:tr>
      <w:tr>
        <w:trPr>
          <w:jc w:val="center"/>
          <w:trHeight w:val="552"/>
        </w:trPr>
        <w:tc>
          <w:tcPr>
            <w:tcW w:w="675" w:type="dxa"/>
            <w:vAlign w:val="center"/>
            <w:vMerge w:val="continue"/>
            <w:textDirection w:val="lrTb"/>
            <w:noWrap w:val="false"/>
          </w:tcPr>
          <w:p>
            <w:pPr>
              <w:pStyle w:val="1046"/>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46"/>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46"/>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16"/>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046"/>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46"/>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46"/>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46"/>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46"/>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46"/>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46"/>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46"/>
              <w:spacing w:line="360" w:lineRule="auto"/>
              <w:rPr>
                <w:rFonts w:hint="eastAsia" w:hAnsi="宋体" w:cs="Courier New"/>
                <w:b/>
                <w:bCs/>
                <w:color w:val="000000" w:themeColor="text1"/>
                <w:sz w:val="21"/>
                <w:highlight w:val="none"/>
                <w14:textFill>
                  <w14:solidFill>
                    <w14:schemeClr w14:val="tx1"/>
                  </w14:solidFill>
                </w14:textFill>
              </w:rPr>
            </w:pPr>
            <w:r>
              <w:rPr>
                <w:rFonts w:hint="eastAsia" w:hAnsi="宋体" w:cs="Courier New"/>
                <w:b/>
                <w:bCs/>
                <w:color w:val="000000" w:themeColor="text1"/>
                <w:sz w:val="21"/>
                <w:highlight w:val="none"/>
                <w14:textFill>
                  <w14:solidFill>
                    <w14:schemeClr w14:val="tx1"/>
                  </w14:solidFill>
                </w14:textFill>
              </w:rPr>
              <w:t xml:space="preserve">异常低价处理：</w:t>
            </w:r>
            <w:r/>
          </w:p>
          <w:p>
            <w:pPr>
              <w:pStyle w:val="1046"/>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（一）采购评审中出现下列情形之一的，评审委员会应当启动异常低价投标（响应）审查程序：</w:t>
            </w:r>
            <w:r/>
          </w:p>
          <w:p>
            <w:pPr>
              <w:pStyle w:val="1046"/>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46"/>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46"/>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1046"/>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46"/>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46"/>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16"/>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33"/>
        <w:ind w:firstLine="569"/>
        <w:rPr>
          <w:rFonts w:hint="eastAsia" w:ascii="宋体" w:hAnsi="宋体" w:cs="宋体"/>
          <w:color w:val="000000" w:themeColor="text1"/>
          <w:highlight w:val="none"/>
          <w14:textFill>
            <w14:solidFill>
              <w14:schemeClr w14:val="tx1"/>
            </w14:solidFill>
          </w14:textFill>
        </w:rPr>
      </w:pPr>
      <w:r/>
      <w:bookmarkStart w:id="34" w:name="_Toc104560837"/>
      <w:r/>
      <w:bookmarkStart w:id="35" w:name="_Toc107246213"/>
      <w:r/>
      <w:bookmarkStart w:id="36" w:name="_Toc103848526"/>
      <w:r/>
      <w:bookmarkStart w:id="37" w:name="_Toc100905199"/>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96347862"/>
      <w:r/>
      <w:bookmarkStart w:id="41" w:name="_Toc104560839"/>
      <w:r/>
      <w:bookmarkStart w:id="42" w:name="_Toc107246215"/>
      <w:r/>
      <w:bookmarkStart w:id="43" w:name="_Toc103848528"/>
      <w:r/>
      <w:bookmarkStart w:id="44" w:name="_Toc100905201"/>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103848529"/>
      <w:r/>
      <w:bookmarkStart w:id="46" w:name="_Toc107246216"/>
      <w:r/>
      <w:bookmarkStart w:id="47" w:name="_Toc104560840"/>
      <w:r/>
      <w:bookmarkStart w:id="48" w:name="_Toc100905202"/>
      <w:r/>
      <w:bookmarkStart w:id="49" w:name="_Toc96347863"/>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7246217"/>
      <w:r/>
      <w:bookmarkStart w:id="51" w:name="_Toc100905203"/>
      <w:r/>
      <w:bookmarkStart w:id="52" w:name="_Toc103848530"/>
      <w:r/>
      <w:bookmarkStart w:id="53" w:name="_Toc96347864"/>
      <w:r/>
      <w:bookmarkStart w:id="54" w:name="_Toc104560841"/>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4560842"/>
      <w:r/>
      <w:bookmarkStart w:id="58" w:name="_Toc107246218"/>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3848532"/>
      <w:r/>
      <w:bookmarkStart w:id="60" w:name="_Toc96347865"/>
      <w:r/>
      <w:bookmarkStart w:id="61" w:name="_Toc100905205"/>
      <w:r/>
      <w:bookmarkStart w:id="62" w:name="_Toc107246219"/>
      <w:r/>
      <w:bookmarkStart w:id="63" w:name="_Toc104560843"/>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103848533"/>
      <w:r/>
      <w:bookmarkStart w:id="66" w:name="_Toc100905206"/>
      <w:r/>
      <w:bookmarkStart w:id="67" w:name="_Toc104560844"/>
      <w:r/>
      <w:bookmarkStart w:id="68" w:name="_Toc96347866"/>
      <w:r/>
      <w:bookmarkStart w:id="69" w:name="_Toc107246220"/>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100905207"/>
      <w:r/>
      <w:bookmarkStart w:id="71" w:name="_Toc9634786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3848534"/>
      <w:r/>
      <w:bookmarkStart w:id="73" w:name="_Toc107246221"/>
      <w:r/>
      <w:bookmarkStart w:id="74"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104560846"/>
      <w:r/>
      <w:bookmarkStart w:id="76" w:name="_Toc107246222"/>
      <w:r/>
      <w:bookmarkStart w:id="77" w:name="_Toc103848535"/>
      <w:r/>
      <w:bookmarkStart w:id="78" w:name="_Toc100905208"/>
      <w:r/>
      <w:bookmarkStart w:id="79" w:name="_Toc96347868"/>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7246223"/>
      <w:r/>
      <w:bookmarkStart w:id="81" w:name="_Toc102117275"/>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4560847"/>
      <w:r/>
      <w:bookmarkStart w:id="83" w:name="_Toc103848536"/>
      <w:r/>
      <w:bookmarkStart w:id="84" w:name="_Toc100905210"/>
      <w:r/>
      <w:bookmarkStart w:id="85" w:name="_Toc107246224"/>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7246225"/>
      <w:r/>
      <w:bookmarkStart w:id="88" w:name="_Toc100905213"/>
      <w:r/>
      <w:bookmarkStart w:id="89" w:name="_Toc103848537"/>
      <w:r/>
      <w:bookmarkStart w:id="90" w:name="_Toc104560848"/>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4560849"/>
      <w:r/>
      <w:bookmarkStart w:id="93" w:name="_Toc107246226"/>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0905214"/>
      <w:r/>
      <w:bookmarkStart w:id="95" w:name="_Toc104560850"/>
      <w:r/>
      <w:bookmarkStart w:id="96" w:name="_Toc107246227"/>
      <w:r/>
      <w:bookmarkStart w:id="97" w:name="_Toc103848538"/>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7246228"/>
      <w:r/>
      <w:bookmarkStart w:id="99"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4560852"/>
      <w:r/>
      <w:bookmarkStart w:id="101"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3848540"/>
      <w:r/>
      <w:bookmarkStart w:id="104" w:name="_Toc107246231"/>
      <w:r/>
      <w:bookmarkStart w:id="105" w:name="_Toc96347871"/>
      <w:r/>
      <w:bookmarkStart w:id="106" w:name="_Toc104560854"/>
      <w:r/>
      <w:bookmarkStart w:id="107" w:name="_Toc100905217"/>
      <w:r/>
      <w:bookmarkStart w:id="108" w:name="_Toc96347873"/>
      <w:r/>
      <w:bookmarkStart w:id="109" w:name="_Toc107246232"/>
      <w:r/>
      <w:bookmarkStart w:id="110" w:name="_Toc104560855"/>
      <w:r/>
      <w:bookmarkStart w:id="111" w:name="_Toc100905218"/>
      <w:r/>
      <w:bookmarkStart w:id="112" w:name="_Toc103848541"/>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13"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13"/>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104560856"/>
      <w:r/>
      <w:bookmarkStart w:id="116" w:name="_Toc91836558"/>
      <w:r/>
      <w:bookmarkStart w:id="117" w:name="_Toc107246233"/>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4560857"/>
      <w:r/>
      <w:bookmarkStart w:id="120" w:name="_Toc107246234"/>
      <w:r/>
      <w:bookmarkStart w:id="121" w:name="_Toc103848543"/>
      <w:r/>
      <w:bookmarkStart w:id="122" w:name="_Toc100905221"/>
      <w:r/>
      <w:bookmarkStart w:id="123" w:name="_Toc96347875"/>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9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7246235"/>
      <w:r/>
      <w:bookmarkStart w:id="125"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9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3848545"/>
      <w:r/>
      <w:bookmarkStart w:id="128" w:name="_Toc100905224"/>
      <w:r/>
      <w:bookmarkStart w:id="129" w:name="_Toc104560859"/>
      <w:r/>
      <w:bookmarkStart w:id="130" w:name="_Toc107246237"/>
      <w:r/>
      <w:bookmarkStart w:id="131" w:name="_Toc96347878"/>
      <w:r/>
      <w:bookmarkStart w:id="132" w:name="_Toc103848544"/>
      <w:r/>
      <w:bookmarkStart w:id="133" w:name="_Toc100905223"/>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4560860"/>
      <w:r/>
      <w:bookmarkStart w:id="135" w:name="_Toc107246238"/>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519241651"/>
      <w:r/>
      <w:bookmarkStart w:id="137" w:name="_Toc68159552"/>
      <w:r/>
      <w:bookmarkStart w:id="138" w:name="_Toc466452044"/>
      <w:r/>
      <w:bookmarkStart w:id="139" w:name="_Toc96347879"/>
      <w:r/>
      <w:bookmarkStart w:id="140" w:name="_Toc420657357"/>
      <w:r/>
      <w:bookmarkStart w:id="141" w:name="_Toc420487862"/>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3848546"/>
      <w:r/>
      <w:bookmarkStart w:id="143" w:name="_Toc96347880"/>
      <w:r/>
      <w:bookmarkStart w:id="144" w:name="_Toc104560861"/>
      <w:r/>
      <w:bookmarkStart w:id="145" w:name="_Toc100905225"/>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793"/>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104560863"/>
      <w:r/>
      <w:bookmarkStart w:id="149" w:name="_Toc107246241"/>
      <w:r/>
      <w:bookmarkStart w:id="150" w:name="_Toc103848548"/>
      <w:r/>
      <w:bookmarkStart w:id="151" w:name="_Toc96347881"/>
      <w:r/>
      <w:bookmarkStart w:id="152" w:name="_Toc100905226"/>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96347882"/>
      <w:r/>
      <w:bookmarkStart w:id="154" w:name="_Toc50528805"/>
      <w:r/>
      <w:bookmarkStart w:id="155" w:name="_Toc38931800"/>
      <w:r/>
      <w:bookmarkStart w:id="156" w:name="_Toc5042"/>
      <w:r/>
      <w:bookmarkStart w:id="157" w:name="_Toc40202948"/>
      <w:r/>
      <w:bookmarkStart w:id="158" w:name="_Toc11952"/>
      <w:r/>
      <w:bookmarkStart w:id="159" w:name="_Toc38931614"/>
      <w:r/>
      <w:bookmarkStart w:id="160" w:name="_Toc91399404"/>
      <w:r/>
      <w:bookmarkStart w:id="161" w:name="_Toc11464"/>
      <w:r/>
      <w:bookmarkStart w:id="162" w:name="_Toc48151397"/>
      <w:r/>
      <w:bookmarkStart w:id="163" w:name="_Toc51928343"/>
      <w:r/>
      <w:bookmarkStart w:id="164" w:name="_Toc103848549"/>
      <w:r/>
      <w:bookmarkStart w:id="165" w:name="_Toc469850063"/>
      <w:r/>
      <w:bookmarkStart w:id="166" w:name="_Toc46960670"/>
      <w:r/>
      <w:bookmarkStart w:id="167" w:name="_Toc97561941"/>
      <w:r/>
      <w:bookmarkStart w:id="168" w:name="_Toc4536"/>
      <w:r/>
      <w:bookmarkStart w:id="169" w:name="_Toc89586904"/>
      <w:r/>
      <w:bookmarkStart w:id="170" w:name="_Toc38933357"/>
      <w:r/>
      <w:bookmarkStart w:id="171" w:name="_Toc46219699"/>
      <w:r/>
      <w:bookmarkStart w:id="172" w:name="_Toc19963"/>
      <w:r/>
      <w:bookmarkStart w:id="173" w:name="_Toc46939510"/>
      <w:r/>
      <w:bookmarkStart w:id="174" w:name="_Toc100905227"/>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4560864"/>
      <w:r/>
      <w:bookmarkStart w:id="176" w:name="_Toc107246242"/>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3848550"/>
      <w:r/>
      <w:bookmarkStart w:id="179" w:name="_Toc104560865"/>
      <w:r/>
      <w:bookmarkStart w:id="180" w:name="_Toc107246243"/>
      <w:r/>
      <w:bookmarkStart w:id="181"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编制</w:t>
      </w: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4560866"/>
      <w:r/>
      <w:bookmarkStart w:id="184" w:name="_Toc103848551"/>
      <w:r/>
      <w:bookmarkStart w:id="185" w:name="_Toc107246244"/>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0905230"/>
      <w:r/>
      <w:bookmarkStart w:id="189" w:name="_Toc107246246"/>
      <w:r/>
      <w:bookmarkStart w:id="190" w:name="_Toc103848553"/>
      <w:r/>
      <w:bookmarkStart w:id="191" w:name="_Toc104560868"/>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4560870"/>
      <w:r/>
      <w:bookmarkStart w:id="198" w:name="_Toc107246249"/>
      <w:r/>
      <w:bookmarkStart w:id="199" w:name="_Toc103848555"/>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3848556"/>
      <w:r/>
      <w:bookmarkStart w:id="201" w:name="_Toc104560871"/>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4560872"/>
      <w:r/>
      <w:bookmarkStart w:id="204" w:name="_Toc107246251"/>
      <w:r/>
      <w:bookmarkStart w:id="205" w:name="_Toc103848557"/>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4560873"/>
      <w:r/>
      <w:bookmarkStart w:id="208" w:name="_Toc107246253"/>
      <w:r/>
      <w:bookmarkStart w:id="209"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3848559"/>
      <w:r/>
      <w:bookmarkStart w:id="211" w:name="_Toc104560874"/>
      <w:r/>
      <w:bookmarkStart w:id="212" w:name="_Toc107246254"/>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93"/>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3848561"/>
      <w:r/>
      <w:bookmarkStart w:id="215" w:name="_Toc107246256"/>
      <w:r/>
      <w:bookmarkStart w:id="216"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3848563"/>
      <w:r/>
      <w:bookmarkStart w:id="219" w:name="_Toc104560878"/>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21" w:name="_Toc103848564"/>
      <w:r/>
      <w:bookmarkStart w:id="222" w:name="_Toc104560879"/>
      <w:r/>
      <w:bookmarkStart w:id="223" w:name="_Toc10724625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3848560"/>
      <w:r/>
      <w:bookmarkStart w:id="225"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7246261"/>
      <w:r/>
      <w:bookmarkStart w:id="228" w:name="_Toc103848565"/>
      <w:r/>
      <w:bookmarkStart w:id="229" w:name="_Toc104560880"/>
      <w:r/>
      <w:bookmarkStart w:id="230" w:name="_Toc16938553"/>
      <w:r/>
      <w:bookmarkStart w:id="231" w:name="_Toc20823309"/>
      <w:r/>
      <w:bookmarkStart w:id="232" w:name="_Toc513029237"/>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9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4560881"/>
      <w:r/>
      <w:bookmarkStart w:id="234" w:name="_Toc107246262"/>
      <w:r/>
      <w:bookmarkStart w:id="235" w:name="_Toc103848567"/>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79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7246264"/>
      <w:r/>
      <w:bookmarkStart w:id="239" w:name="_Toc102117305"/>
      <w:r/>
      <w:bookmarkStart w:id="240"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9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7246265"/>
      <w:r/>
      <w:bookmarkStart w:id="242" w:name="_Toc104560884"/>
      <w:r/>
      <w:bookmarkStart w:id="243" w:name="_Toc102117306"/>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供应商如在法定期限内对同一采购程序环节提出多次质疑的，采购代理机构或采购人将只对供应商第一次质疑作出答复。</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9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79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3848572"/>
      <w:r/>
      <w:bookmarkStart w:id="246" w:name="_Toc104560886"/>
      <w:r/>
      <w:bookmarkStart w:id="247" w:name="_Toc107246267"/>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9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4560887"/>
      <w:r/>
      <w:bookmarkStart w:id="249" w:name="_Toc103848573"/>
      <w:r/>
      <w:bookmarkStart w:id="250" w:name="_Toc107246268"/>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9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7246269"/>
      <w:r/>
      <w:bookmarkStart w:id="252" w:name="_Toc104560888"/>
      <w:r/>
      <w:bookmarkStart w:id="253"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833"/>
        <w:numPr>
          <w:ilvl w:val="0"/>
          <w:numId w:val="1"/>
        </w:numPr>
        <w:ind w:firstLine="567"/>
        <w:rPr>
          <w:rFonts w:hint="eastAsia" w:ascii="宋体" w:hAnsi="宋体" w:cs="宋体"/>
          <w:color w:val="000000" w:themeColor="text1"/>
          <w:highlight w:val="none"/>
          <w14:textFill>
            <w14:solidFill>
              <w14:schemeClr w14:val="tx1"/>
            </w14:solidFill>
          </w14:textFill>
        </w:rPr>
      </w:pPr>
      <w:r/>
      <w:bookmarkStart w:id="254" w:name="_Toc91836563"/>
      <w:r>
        <w:rPr>
          <w:rFonts w:hint="eastAsia" w:ascii="宋体" w:hAnsi="宋体" w:cs="宋体"/>
          <w:color w:val="000000" w:themeColor="text1"/>
          <w:highlight w:val="none"/>
          <w14:textFill>
            <w14:solidFill>
              <w14:schemeClr w14:val="tx1"/>
            </w14:solidFill>
          </w14:textFill>
        </w:rPr>
        <w:br w:type="page" w:clear="all"/>
      </w:r>
      <w:bookmarkStart w:id="255"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5"/>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设备维保服务合同</w:t>
      </w:r>
      <w:r/>
    </w:p>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甲方：南京鼓楼医院 </w:t>
      </w:r>
      <w:r/>
    </w:p>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乙方：供应商名称</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经</w:t>
      </w:r>
      <w:r>
        <w:rPr>
          <w:rFonts w:hint="eastAsia" w:ascii="宋体" w:hAnsi="宋体" w:cs="宋体"/>
          <w:color w:val="000000" w:themeColor="text1"/>
          <w:szCs w:val="21"/>
          <w:highlight w:val="none"/>
          <w:u w:val="single"/>
          <w14:textFill>
            <w14:solidFill>
              <w14:schemeClr w14:val="tx1"/>
            </w14:solidFill>
          </w14:textFill>
        </w:rPr>
        <w:t xml:space="preserve">XXXX年XXXX月XXXX日招标代理公司名称</w:t>
      </w:r>
      <w:r>
        <w:rPr>
          <w:rFonts w:hint="eastAsia" w:ascii="宋体" w:hAnsi="宋体" w:cs="宋体"/>
          <w:color w:val="000000" w:themeColor="text1"/>
          <w:szCs w:val="21"/>
          <w:highlight w:val="none"/>
          <w14:textFill>
            <w14:solidFill>
              <w14:schemeClr w14:val="tx1"/>
            </w14:solidFill>
          </w14:textFill>
        </w:rPr>
        <w:t xml:space="preserve">公开招标（招标编号：</w:t>
      </w:r>
      <w:r>
        <w:rPr>
          <w:rFonts w:hint="eastAsia" w:ascii="宋体" w:hAnsi="宋体" w:cs="宋体"/>
          <w:color w:val="000000" w:themeColor="text1"/>
          <w:szCs w:val="21"/>
          <w:highlight w:val="none"/>
          <w:u w:val="single"/>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），就乙方为甲方</w:t>
      </w:r>
      <w:r>
        <w:rPr>
          <w:rFonts w:hint="eastAsia" w:ascii="宋体" w:hAnsi="宋体" w:cs="宋体"/>
          <w:color w:val="000000" w:themeColor="text1"/>
          <w:szCs w:val="21"/>
          <w:highlight w:val="none"/>
          <w:u w:val="single"/>
          <w14:textFill>
            <w14:solidFill>
              <w14:schemeClr w14:val="tx1"/>
            </w14:solidFill>
          </w14:textFill>
        </w:rPr>
        <w:t xml:space="preserve">固定资产名称（固定资产编号：XXXX）</w:t>
      </w:r>
      <w:r>
        <w:rPr>
          <w:rFonts w:hint="eastAsia" w:ascii="宋体" w:hAnsi="宋体" w:cs="宋体"/>
          <w:color w:val="000000" w:themeColor="text1"/>
          <w:szCs w:val="21"/>
          <w:highlight w:val="none"/>
          <w14:textFill>
            <w14:solidFill>
              <w14:schemeClr w14:val="tx1"/>
            </w14:solidFill>
          </w14:textFill>
        </w:rPr>
        <w:t xml:space="preserve">提供维保服务，制定本合同。</w:t>
      </w:r>
      <w:r/>
    </w:p>
    <w:p>
      <w:pPr>
        <w:pStyle w:val="1057"/>
        <w:numPr>
          <w:ilvl w:val="0"/>
          <w:numId w:val="2"/>
        </w:num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合同期限</w:t>
      </w:r>
      <w:r/>
    </w:p>
    <w:p>
      <w:pPr>
        <w:pStyle w:val="1057"/>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保修期自</w:t>
      </w:r>
      <w:r>
        <w:rPr>
          <w:rFonts w:hint="eastAsia" w:ascii="宋体" w:hAnsi="宋体" w:cs="宋体"/>
          <w:color w:val="000000" w:themeColor="text1"/>
          <w:szCs w:val="21"/>
          <w:highlight w:val="none"/>
          <w:u w:val="single"/>
          <w14:textFill>
            <w14:solidFill>
              <w14:schemeClr w14:val="tx1"/>
            </w14:solidFill>
          </w14:textFill>
        </w:rPr>
        <w:t xml:space="preserve">XXXX年XXXX月XXXX日</w:t>
      </w:r>
      <w:r>
        <w:rPr>
          <w:rFonts w:hint="eastAsia" w:ascii="宋体" w:hAnsi="宋体" w:cs="宋体"/>
          <w:color w:val="000000" w:themeColor="text1"/>
          <w:szCs w:val="21"/>
          <w:highlight w:val="none"/>
          <w14:textFill>
            <w14:solidFill>
              <w14:schemeClr w14:val="tx1"/>
            </w14:solidFill>
          </w14:textFill>
        </w:rPr>
        <w:t xml:space="preserve">至</w:t>
      </w:r>
      <w:r>
        <w:rPr>
          <w:rFonts w:hint="eastAsia" w:ascii="宋体" w:hAnsi="宋体" w:cs="宋体"/>
          <w:color w:val="000000" w:themeColor="text1"/>
          <w:szCs w:val="21"/>
          <w:highlight w:val="none"/>
          <w:u w:val="single"/>
          <w14:textFill>
            <w14:solidFill>
              <w14:schemeClr w14:val="tx1"/>
            </w14:solidFill>
          </w14:textFill>
        </w:rPr>
        <w:t xml:space="preserve">XXXX年XXXX月XXXX日</w:t>
      </w:r>
      <w:r>
        <w:rPr>
          <w:rFonts w:hint="eastAsia" w:ascii="宋体" w:hAnsi="宋体" w:cs="宋体"/>
          <w:color w:val="000000" w:themeColor="text1"/>
          <w:szCs w:val="21"/>
          <w:highlight w:val="none"/>
          <w14:textFill>
            <w14:solidFill>
              <w14:schemeClr w14:val="tx1"/>
            </w14:solidFill>
          </w14:textFill>
        </w:rPr>
        <w:t xml:space="preserve">。合同每执行一个年度，甲方有权对乙方进行考核，考核不合格的，甲方有权终止合同；考核合格，经甲方项目主管部门确认下一年度的预算后，合同方可继续执行。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若由于该设备停止使用的原因，甲方需要解除该合同，甲方可提前30日以书面形式通知乙方，确认设备停用时间，在合同有效期内提前解除合同，费用结算至确认的设备停用时间，当期合同价款按天计算。</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二、维保服务设备：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1.设备详情</w:t>
      </w:r>
      <w:r/>
    </w:p>
    <w:tbl>
      <w:tblPr>
        <w:tblStyle w:val="803"/>
        <w:tblW w:w="5000" w:type="pct"/>
        <w:jc w:val="center"/>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5"/>
        <w:gridCol w:w="1014"/>
        <w:gridCol w:w="1140"/>
        <w:gridCol w:w="1140"/>
        <w:gridCol w:w="1140"/>
        <w:gridCol w:w="765"/>
        <w:gridCol w:w="1106"/>
        <w:gridCol w:w="1126"/>
      </w:tblGrid>
      <w:tr>
        <w:trPr>
          <w:jc w:val="center"/>
          <w:trHeight w:val="422"/>
        </w:trPr>
        <w:tc>
          <w:tcPr>
            <w:tcW w:w="79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设备</w:t>
            </w:r>
            <w:r>
              <w:rPr>
                <w:rFonts w:hint="eastAsia" w:ascii="宋体" w:hAnsi="宋体" w:cs="宋体"/>
                <w:color w:val="000000" w:themeColor="text1"/>
                <w:szCs w:val="21"/>
                <w:highlight w:val="none"/>
                <w14:textFill>
                  <w14:solidFill>
                    <w14:schemeClr w14:val="tx1"/>
                  </w14:solidFill>
                </w14:textFill>
              </w:rPr>
              <w:t xml:space="preserve">编号／序列号</w:t>
            </w:r>
            <w:r/>
          </w:p>
        </w:tc>
        <w:tc>
          <w:tcPr>
            <w:tcW w:w="57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设备名称</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数量</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单位</w:t>
            </w:r>
            <w:r/>
          </w:p>
        </w:tc>
        <w:tc>
          <w:tcPr>
            <w:tcW w:w="64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维保单价(元)</w:t>
            </w:r>
            <w:r/>
          </w:p>
        </w:tc>
        <w:tc>
          <w:tcPr>
            <w:tcW w:w="4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维保年限</w:t>
            </w:r>
            <w:r/>
          </w:p>
        </w:tc>
        <w:tc>
          <w:tcPr>
            <w:tcW w:w="626"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维保总价 (元)</w:t>
            </w:r>
            <w:r/>
          </w:p>
        </w:tc>
        <w:tc>
          <w:tcPr>
            <w:tcW w:w="637"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维保服务范围</w:t>
            </w:r>
            <w:r/>
          </w:p>
        </w:tc>
      </w:tr>
      <w:tr>
        <w:trPr>
          <w:jc w:val="center"/>
          <w:trHeight w:val="534"/>
        </w:trPr>
        <w:tc>
          <w:tcPr>
            <w:tcW w:w="795"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574"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4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433"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26"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c>
          <w:tcPr>
            <w:tcW w:w="63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XXXX</w:t>
            </w:r>
            <w:r/>
          </w:p>
        </w:tc>
      </w:tr>
      <w:tr>
        <w:trPr>
          <w:jc w:val="center"/>
          <w:trHeight w:val="501"/>
        </w:trPr>
        <w:tc>
          <w:tcPr>
            <w:gridSpan w:val="8"/>
            <w:tcBorders>
              <w:top w:val="single" w:color="auto" w:sz="4" w:space="0"/>
              <w:bottom w:val="single" w:color="auto" w:sz="4" w:space="0"/>
            </w:tcBorders>
            <w:tcW w:w="5000"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合</w:t>
            </w:r>
            <w:r>
              <w:rPr>
                <w:rFonts w:hint="eastAsia" w:ascii="宋体" w:hAnsi="宋体" w:cs="宋体"/>
                <w:color w:val="000000" w:themeColor="text1"/>
                <w:spacing w:val="-2"/>
                <w:szCs w:val="21"/>
                <w:highlight w:val="none"/>
                <w14:textFill>
                  <w14:solidFill>
                    <w14:schemeClr w14:val="tx1"/>
                  </w14:solidFill>
                </w14:textFill>
              </w:rPr>
              <w:t xml:space="preserve">计（大写）: (人民币)</w:t>
            </w:r>
            <w:r>
              <w:rPr>
                <w:rFonts w:hint="eastAsia" w:ascii="宋体" w:hAnsi="宋体" w:cs="宋体"/>
                <w:color w:val="000000" w:themeColor="text1"/>
                <w:szCs w:val="21"/>
                <w:highlight w:val="none"/>
                <w14:textFill>
                  <w14:solidFill>
                    <w14:schemeClr w14:val="tx1"/>
                  </w14:solidFill>
                </w14:textFill>
              </w:rPr>
              <w:t xml:space="preserve"> XXXX</w:t>
            </w:r>
            <w:r>
              <w:rPr>
                <w:rFonts w:hint="eastAsia" w:ascii="宋体" w:hAnsi="宋体" w:cs="宋体"/>
                <w:color w:val="000000" w:themeColor="text1"/>
                <w:spacing w:val="-2"/>
                <w:szCs w:val="21"/>
                <w:highlight w:val="none"/>
                <w:lang w:val="en-AU"/>
                <w14:textFill>
                  <w14:solidFill>
                    <w14:schemeClr w14:val="tx1"/>
                  </w14:solidFill>
                </w14:textFill>
              </w:rPr>
              <w:t xml:space="preserve">元整                                                             小写：￥</w:t>
            </w:r>
            <w:r>
              <w:rPr>
                <w:rFonts w:hint="eastAsia" w:ascii="宋体" w:hAnsi="宋体" w:cs="宋体"/>
                <w:color w:val="000000" w:themeColor="text1"/>
                <w:szCs w:val="21"/>
                <w:highlight w:val="none"/>
                <w14:textFill>
                  <w14:solidFill>
                    <w14:schemeClr w14:val="tx1"/>
                  </w14:solidFill>
                </w14:textFill>
              </w:rPr>
              <w:t xml:space="preserve">XXXX</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合同为固定单价合同，合同价款不因国家税率变更而更改。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三、付款方式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1.按约定时间付款，乙方须在约定时间前一个月开具</w:t>
      </w:r>
      <w:bookmarkStart w:id="256" w:name="_Hlk100649898"/>
      <w:r>
        <w:rPr>
          <w:rFonts w:hint="eastAsia" w:ascii="宋体" w:hAnsi="宋体" w:cs="宋体"/>
          <w:color w:val="000000" w:themeColor="text1"/>
          <w:szCs w:val="21"/>
          <w:highlight w:val="none"/>
          <w14:textFill>
            <w14:solidFill>
              <w14:schemeClr w14:val="tx1"/>
            </w14:solidFill>
          </w14:textFill>
        </w:rPr>
        <w:t xml:space="preserve">合法有效的</w:t>
      </w:r>
      <w:bookmarkEnd w:id="256"/>
      <w:r>
        <w:rPr>
          <w:rFonts w:hint="eastAsia" w:ascii="宋体" w:hAnsi="宋体" w:cs="宋体"/>
          <w:color w:val="000000" w:themeColor="text1"/>
          <w:szCs w:val="21"/>
          <w:highlight w:val="none"/>
          <w14:textFill>
            <w14:solidFill>
              <w14:schemeClr w14:val="tx1"/>
            </w14:solidFill>
          </w14:textFill>
        </w:rPr>
        <w:t xml:space="preserve">发票并经由甲方医用物资保障处工程师和使用科室签字确认，如果乙方未提供合法有效的发票，则甲方有权拒绝支付该部分费用，因此产生的一切损失由乙方自行承担。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2.付款时间表：</w:t>
      </w:r>
      <w:r/>
    </w:p>
    <w:tbl>
      <w:tblPr>
        <w:tblStyle w:val="80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8"/>
        <w:gridCol w:w="3045"/>
        <w:gridCol w:w="3063"/>
      </w:tblGrid>
      <w:tr>
        <w:trPr>
          <w:jc w:val="center"/>
          <w:trHeight w:val="580"/>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付款期数</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付款时间</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应付金额（</w:t>
            </w:r>
            <w:r>
              <w:rPr>
                <w:rFonts w:hint="eastAsia" w:ascii="宋体" w:hAnsi="宋体" w:cs="宋体"/>
                <w:color w:val="000000" w:themeColor="text1"/>
                <w:spacing w:val="-2"/>
                <w:szCs w:val="21"/>
                <w:highlight w:val="none"/>
                <w14:textFill>
                  <w14:solidFill>
                    <w14:schemeClr w14:val="tx1"/>
                  </w14:solidFill>
                </w14:textFill>
              </w:rPr>
              <w:t xml:space="preserve">元</w:t>
            </w:r>
            <w:r>
              <w:rPr>
                <w:rFonts w:hint="eastAsia" w:ascii="宋体" w:hAnsi="宋体" w:cs="宋体"/>
                <w:color w:val="000000" w:themeColor="text1"/>
                <w:spacing w:val="-2"/>
                <w:szCs w:val="21"/>
                <w:highlight w:val="none"/>
                <w:lang w:val="en-AU"/>
                <w14:textFill>
                  <w14:solidFill>
                    <w14:schemeClr w14:val="tx1"/>
                  </w14:solidFill>
                </w14:textFill>
              </w:rPr>
              <w:t xml:space="preserve">）</w:t>
            </w:r>
            <w:r/>
          </w:p>
        </w:tc>
      </w:tr>
      <w:tr>
        <w:trPr>
          <w:jc w:val="center"/>
          <w:trHeight w:val="561"/>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第一期</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r>
        <w:trPr>
          <w:jc w:val="center"/>
          <w:trHeight w:val="555"/>
        </w:trPr>
        <w:tc>
          <w:tcPr>
            <w:tcW w:w="1544" w:type="pct"/>
            <w:vAlign w:val="center"/>
            <w:textDirection w:val="lrTb"/>
            <w:noWrap w:val="false"/>
          </w:tcPr>
          <w:p>
            <w:pPr>
              <w:jc w:val="center"/>
              <w:spacing w:line="360" w:lineRule="auto"/>
              <w:tabs>
                <w:tab w:val="left" w:pos="-72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第二期</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r>
        <w:trPr>
          <w:jc w:val="center"/>
          <w:trHeight w:val="555"/>
        </w:trPr>
        <w:tc>
          <w:tcPr>
            <w:tcW w:w="1544"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w:t>
            </w:r>
            <w:r/>
          </w:p>
        </w:tc>
        <w:tc>
          <w:tcPr>
            <w:tcW w:w="172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c>
          <w:tcPr>
            <w:tcW w:w="1733" w:type="pct"/>
            <w:vAlign w:val="center"/>
            <w:textDirection w:val="lrTb"/>
            <w:noWrap w:val="false"/>
          </w:tcPr>
          <w:p>
            <w:pPr>
              <w:jc w:val="center"/>
              <w:spacing w:line="360" w:lineRule="auto"/>
              <w:tabs>
                <w:tab w:val="left" w:pos="-720" w:leader="none"/>
              </w:tabs>
              <w:rPr>
                <w:rFonts w:hint="eastAsia" w:ascii="宋体" w:hAnsi="宋体" w:cs="宋体"/>
                <w:color w:val="000000" w:themeColor="text1"/>
                <w:spacing w:val="-2"/>
                <w:szCs w:val="21"/>
                <w:highlight w:val="none"/>
                <w:lang w:val="en-AU"/>
                <w14:textFill>
                  <w14:solidFill>
                    <w14:schemeClr w14:val="tx1"/>
                  </w14:solidFill>
                </w14:textFill>
              </w:rPr>
            </w:pPr>
            <w:r>
              <w:rPr>
                <w:rFonts w:hint="eastAsia" w:ascii="宋体" w:hAnsi="宋体" w:cs="宋体"/>
                <w:color w:val="000000" w:themeColor="text1"/>
                <w:spacing w:val="-2"/>
                <w:szCs w:val="21"/>
                <w:highlight w:val="none"/>
                <w:lang w:val="en-AU"/>
                <w14:textFill>
                  <w14:solidFill>
                    <w14:schemeClr w14:val="tx1"/>
                  </w14:solidFill>
                </w14:textFill>
              </w:rPr>
              <w:t xml:space="preserve">XXXX</w:t>
            </w:r>
            <w:r/>
          </w:p>
        </w:tc>
      </w:tr>
    </w:tbl>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四、甲方权利义务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1.甲方应保证电源质量稳定可靠，并对设备进行日常清洁保养和基本维护工作，做好故障记录。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2.甲方应按设备使用手册的要求正确操作设备，保证设备的电、气和水的正常供应，同时保证设备开启关闭时的环境处于正常状态。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3.甲方应按合同约定的方式和时间向乙方支付维保服务费用。</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五、乙方权利义务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1.服务时间：7×24小时。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2.为保证甲方设备的正常运行，乙方根据设备运行情况提供每年</w:t>
      </w:r>
      <w:r>
        <w:rPr>
          <w:rFonts w:hint="eastAsia" w:ascii="宋体" w:hAnsi="宋体" w:cs="宋体"/>
          <w:b/>
          <w:bCs/>
          <w:color w:val="000000" w:themeColor="text1"/>
          <w:szCs w:val="21"/>
          <w:highlight w:val="none"/>
          <w:u w:val="single"/>
          <w14:textFill>
            <w14:solidFill>
              <w14:schemeClr w14:val="tx1"/>
            </w14:solidFill>
          </w14:textFill>
        </w:rPr>
        <w:t xml:space="preserve">XX</w:t>
      </w:r>
      <w:r>
        <w:rPr>
          <w:rFonts w:hint="eastAsia" w:ascii="宋体" w:hAnsi="宋体" w:cs="宋体"/>
          <w:color w:val="000000" w:themeColor="text1"/>
          <w:szCs w:val="21"/>
          <w:highlight w:val="none"/>
          <w14:textFill>
            <w14:solidFill>
              <w14:schemeClr w14:val="tx1"/>
            </w14:solidFill>
          </w14:textFill>
        </w:rPr>
        <w:t xml:space="preserve">次定期预防性保养，由原厂工程师或原厂认证合格的工程师根据标准操作流程和测试程序完成。</w:t>
      </w:r>
      <w:bookmarkStart w:id="257" w:name="_Hlk100650363"/>
      <w:r>
        <w:rPr>
          <w:rFonts w:hint="eastAsia" w:ascii="宋体" w:hAnsi="宋体" w:cs="宋体"/>
          <w:color w:val="000000" w:themeColor="text1"/>
          <w:szCs w:val="21"/>
          <w:highlight w:val="none"/>
          <w14:textFill>
            <w14:solidFill>
              <w14:schemeClr w14:val="tx1"/>
            </w14:solidFill>
          </w14:textFill>
        </w:rPr>
        <w:t xml:space="preserve">保修期结束前一个月内，乙方通知甲方并安排最后一次预防性保养。</w:t>
      </w:r>
      <w:bookmarkEnd w:id="257"/>
      <w:r>
        <w:rPr>
          <w:rFonts w:hint="eastAsia" w:ascii="宋体" w:hAnsi="宋体" w:cs="宋体"/>
          <w:color w:val="000000" w:themeColor="text1"/>
          <w:szCs w:val="21"/>
          <w:highlight w:val="none"/>
          <w14:textFill>
            <w14:solidFill>
              <w14:schemeClr w14:val="tx1"/>
            </w14:solidFill>
          </w14:textFill>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如设备发生故障，乙方在接到甲方报修电话后2小时之内响应，24小时内到达甲方现场进行维修（含节假日）。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4.乙方在设备故障维修中，必须免费更换保修范围内的设备备件，并承担维修期间的往返费、人工费、维修所需备件的搬运费、安装调试费以及系统软件升级等一切费用。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5.乙方承诺：开机率保证为 95%，(一年以 365 个工作日计算)，超过一天保修期顺延三天。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6.保修期内，每次故障维修及保养结束后一周内乙方必须提供维修、保养记录并交甲方医用物资保障处备案登记。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7.乙方工程师至甲方维修设备，必须事先与甲方医用物资保障处取得联系，并与甲方工程师共同完成维修工作，否则引起的一切责任由乙方负责。</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8.乙方维修人员在维修期间必须遵守院方在安全、防盗、停车、周围环境卫生及排放污物的有关规定，否则引起的一切责任由乙方负责。</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六、违约责任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1.自本协议生效之日起，双方应严格依约履行。一方违约，应赔偿由此给其他方造成的损失。</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2.如果乙方没有按照合同规定进行维保服务，每逾期一日，乙方应按合同金额的1%计算，向甲方赔偿等额耗材或配件，但该违约金总额不超过合同总金额的30%。乙方</w:t>
      </w:r>
      <w:bookmarkStart w:id="258" w:name="_Hlk100650392"/>
      <w:r>
        <w:rPr>
          <w:rFonts w:hint="eastAsia" w:ascii="宋体" w:hAnsi="宋体" w:cs="宋体"/>
          <w:color w:val="000000" w:themeColor="text1"/>
          <w:szCs w:val="21"/>
          <w:highlight w:val="none"/>
          <w14:textFill>
            <w14:solidFill>
              <w14:schemeClr w14:val="tx1"/>
            </w14:solidFill>
          </w14:textFill>
        </w:rPr>
        <w:t xml:space="preserve">逾期不进行维保服务</w:t>
      </w:r>
      <w:bookmarkEnd w:id="258"/>
      <w:r>
        <w:rPr>
          <w:rFonts w:hint="eastAsia" w:ascii="宋体" w:hAnsi="宋体" w:cs="宋体"/>
          <w:color w:val="000000" w:themeColor="text1"/>
          <w:szCs w:val="21"/>
          <w:highlight w:val="none"/>
          <w14:textFill>
            <w14:solidFill>
              <w14:schemeClr w14:val="tx1"/>
            </w14:solidFill>
          </w14:textFill>
        </w:rPr>
        <w:t xml:space="preserve">30日以上的，则视乙方不能提供正常维保，甲方有权因此解除本合同。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3.乙方若违反本合同</w:t>
      </w:r>
      <w:bookmarkStart w:id="259" w:name="_Hlk100650478"/>
      <w:r>
        <w:rPr>
          <w:rFonts w:hint="eastAsia" w:ascii="宋体" w:hAnsi="宋体" w:cs="宋体"/>
          <w:color w:val="000000" w:themeColor="text1"/>
          <w:szCs w:val="21"/>
          <w:highlight w:val="none"/>
          <w14:textFill>
            <w14:solidFill>
              <w14:schemeClr w14:val="tx1"/>
            </w14:solidFill>
          </w14:textFill>
        </w:rPr>
        <w:t xml:space="preserve">第五条下相关款项、</w:t>
      </w:r>
      <w:bookmarkEnd w:id="259"/>
      <w:r>
        <w:rPr>
          <w:rFonts w:hint="eastAsia" w:ascii="宋体" w:hAnsi="宋体" w:cs="宋体"/>
          <w:color w:val="000000" w:themeColor="text1"/>
          <w:szCs w:val="21"/>
          <w:highlight w:val="none"/>
          <w14:textFill>
            <w14:solidFill>
              <w14:schemeClr w14:val="tx1"/>
            </w14:solidFill>
          </w14:textFill>
        </w:rPr>
        <w:t xml:space="preserve">第八条与第十一条视为对本合同的重大违约，甲方随时有权书面通知乙方立即解除本合同。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4.因乙方的违约行为给甲方造成损失的（包括所有直接或间接损失），如果违约金不足以补偿该损失的，甲方有权继续要求乙方赔偿甲方所有实际损失，并保留申诉的权利。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5.因乙方故意或重大过失造成甲方财产损失或因乙方产品质量原因造成人员伤亡事件时，乙方应依法处理赔付。</w:t>
      </w:r>
      <w:r/>
    </w:p>
    <w:p>
      <w:pPr>
        <w:spacing w:line="360" w:lineRule="auto"/>
        <w:rPr>
          <w:rFonts w:hint="eastAsia" w:ascii="宋体" w:hAnsi="宋体" w:cs="宋体"/>
          <w:color w:val="000000" w:themeColor="text1"/>
          <w:szCs w:val="21"/>
          <w:highlight w:val="none"/>
          <w14:textFill>
            <w14:solidFill>
              <w14:schemeClr w14:val="tx1"/>
            </w14:solidFill>
          </w14:textFill>
        </w:rPr>
      </w:pPr>
      <w:r/>
      <w:bookmarkStart w:id="260" w:name="_Hlk100650496"/>
      <w:r>
        <w:rPr>
          <w:rFonts w:hint="eastAsia" w:ascii="宋体" w:hAnsi="宋体" w:cs="宋体"/>
          <w:color w:val="000000" w:themeColor="text1"/>
          <w:szCs w:val="21"/>
          <w:highlight w:val="none"/>
          <w14:textFill>
            <w14:solidFill>
              <w14:schemeClr w14:val="tx1"/>
            </w14:solidFill>
          </w14:textFill>
        </w:rPr>
        <w:t xml:space="preserve">七、不可抗力条款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由于甲乙双方在签订本合同时不可</w:t>
      </w:r>
      <w:r>
        <w:rPr>
          <w:rFonts w:hint="eastAsia" w:ascii="宋体" w:hAnsi="宋体" w:cs="宋体"/>
          <w:color w:val="000000" w:themeColor="text1"/>
          <w:szCs w:val="21"/>
          <w:highlight w:val="none"/>
          <w14:textFill>
            <w14:solidFill>
              <w14:schemeClr w14:val="tx1"/>
            </w14:solidFill>
          </w14:textFill>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260"/>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八、廉洁条款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甲乙双方须遵守《南京鼓楼医院物资购销廉洁条例》，条例内容如下：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为进一步加强医疗卫生行风建设，规范医疗卫生机构购销行为，有效防范商业贿赂行为，营造公平交易、诚实守信的购销环境，南京鼓楼医院特制定本条例，以资合同各方共同遵守：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1、合同各方按照《民法典》及购销廉洁条例约定购销药品、医用设备、医用耗材及行政办公物资等。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2、甲方应当严格执行产品购销合同验收、入库制度，对采购产品及发票进行查验，不得违反有关规定进行合同外采购、违价采购或从非规定渠道采购。</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3、甲方严禁接受乙方以任何名义、形式给予的回扣，不得将接受捐赠资助与采购挂钩。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4、甲方严禁利用任何途径和方式，为乙方统计医师个人及临床科室有关产品用量信息，或为乙方统计提供便利。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8、乙方如违反本廉洁条例，一经发现，甲方有权终止购销合同，并向上级主管部门报告。如乙方被列入商业贿赂不良记录，则严格按照国家相关规定处理。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9、本廉洁条例在产品购销过程中，合同各方均需严格遵守。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10、本条例由南京鼓楼医院负责解释。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11、本条例自即日起施行。</w:t>
      </w:r>
      <w:r/>
    </w:p>
    <w:p>
      <w:pPr>
        <w:spacing w:line="360" w:lineRule="auto"/>
        <w:rPr>
          <w:rFonts w:hint="eastAsia" w:ascii="宋体" w:hAnsi="宋体" w:cs="宋体"/>
          <w:color w:val="000000" w:themeColor="text1"/>
          <w:szCs w:val="21"/>
          <w:highlight w:val="none"/>
          <w14:textFill>
            <w14:solidFill>
              <w14:schemeClr w14:val="tx1"/>
            </w14:solidFill>
          </w14:textFill>
        </w:rPr>
      </w:pPr>
      <w:r/>
      <w:bookmarkStart w:id="261" w:name="_Hlk100650549"/>
      <w:r>
        <w:rPr>
          <w:rFonts w:hint="eastAsia" w:ascii="宋体" w:hAnsi="宋体" w:cs="宋体"/>
          <w:color w:val="000000" w:themeColor="text1"/>
          <w:szCs w:val="21"/>
          <w:highlight w:val="none"/>
          <w14:textFill>
            <w14:solidFill>
              <w14:schemeClr w14:val="tx1"/>
            </w14:solidFill>
          </w14:textFill>
        </w:rPr>
        <w:t xml:space="preserve">九、合同的解除条款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本合同第六条下解约事由与法定解约事由出现后，解约方有权提前三个工作日书面通知对方解约，自通知送达之日起，本合同解除。</w:t>
      </w:r>
      <w:bookmarkEnd w:id="261"/>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十、争议解决</w:t>
      </w:r>
      <w:r/>
    </w:p>
    <w:p>
      <w:pPr>
        <w:ind w:firstLine="420"/>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双方应本着友好协商的原则，解决与本合同有关的一切争议。如一方不愿协商或协商开始后30日内无法解决，应提交甲方所在地人民法院裁决。</w:t>
      </w:r>
      <w:r/>
    </w:p>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十一、保密条款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2、双方应确保己方人员遵守本条约定保密义务，否则由此产生的一切后果由违约方承担责任。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3、本条约定在本协议（合同）解除、终止或被认为无效后仍然有效。</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十二、其他条款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262" w:name="_Hlk100650600"/>
      <w:r>
        <w:rPr>
          <w:rFonts w:hint="eastAsia" w:ascii="宋体" w:hAnsi="宋体" w:cs="宋体"/>
          <w:color w:val="000000" w:themeColor="text1"/>
          <w:szCs w:val="21"/>
          <w:highlight w:val="none"/>
          <w14:textFill>
            <w14:solidFill>
              <w14:schemeClr w14:val="tx1"/>
            </w14:solidFill>
          </w14:textFill>
        </w:rPr>
        <w:t xml:space="preserve">1.本项目招标文件、投标文件、合同及其附件、其他承诺为本项目不可分割的组成部分，具有同等法律效力。</w:t>
      </w:r>
      <w:bookmarkEnd w:id="26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2.本合同一式叁份，甲方执贰份，乙方执壹份，经双方签字盖章并加盖骑缝章后生效，未经事宜双方协商解决。</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w:t>
      </w:r>
      <w:bookmarkStart w:id="263" w:name="_Hlk100650618"/>
      <w:r>
        <w:rPr>
          <w:rFonts w:hint="eastAsia" w:ascii="宋体" w:hAnsi="宋体" w:cs="宋体"/>
          <w:color w:val="000000" w:themeColor="text1"/>
          <w:szCs w:val="21"/>
          <w:highlight w:val="none"/>
          <w14:textFill>
            <w14:solidFill>
              <w14:schemeClr w14:val="tx1"/>
            </w14:solidFill>
          </w14:textFill>
        </w:rPr>
        <w:t xml:space="preserve">本合同适用的语言文字为汉语文字，本合同适用法律法规为中华人民共和国及其区域内相关法律法规，本合同条款解释语言以中文为准。</w:t>
      </w:r>
      <w:bookmarkEnd w:id="2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4.合同签署地点:南京。</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83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47"/>
        <w:gridCol w:w="4389"/>
      </w:tblGrid>
      <w:tr>
        <w:trPr/>
        <w:tc>
          <w:tcPr>
            <w:tcW w:w="4828" w:type="dxa"/>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w:t>
            </w:r>
            <w:r>
              <w:rPr>
                <w:rFonts w:hint="eastAsia" w:ascii="宋体" w:hAnsi="宋体" w:cs="宋体"/>
                <w:b/>
                <w:bCs/>
                <w:color w:val="000000" w:themeColor="text1"/>
                <w:szCs w:val="21"/>
                <w:highlight w:val="none"/>
                <w:u w:val="single"/>
                <w14:textFill>
                  <w14:solidFill>
                    <w14:schemeClr w14:val="tx1"/>
                  </w14:solidFill>
                </w14:textFill>
              </w:rPr>
              <w:t xml:space="preserve">南京鼓楼医院</w:t>
            </w:r>
            <w:r>
              <w:rPr>
                <w:rFonts w:hint="eastAsia" w:ascii="宋体" w:hAnsi="宋体" w:cs="宋体"/>
                <w:b/>
                <w:bCs/>
                <w:color w:val="000000" w:themeColor="text1"/>
                <w:szCs w:val="21"/>
                <w:highlight w:val="none"/>
                <w14:textFill>
                  <w14:solidFill>
                    <w14:schemeClr w14:val="tx1"/>
                  </w14:solidFill>
                </w14:textFill>
              </w:rPr>
              <w:t xml:space="preserve">（盖章）</w:t>
            </w:r>
            <w:r/>
          </w:p>
        </w:tc>
        <w:tc>
          <w:tcPr>
            <w:tcW w:w="4811"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w:t>
            </w:r>
            <w:r>
              <w:rPr>
                <w:rFonts w:hint="eastAsia" w:ascii="宋体" w:hAnsi="宋体" w:cs="宋体"/>
                <w:b/>
                <w:bCs/>
                <w:color w:val="000000" w:themeColor="text1"/>
                <w:szCs w:val="21"/>
                <w:highlight w:val="none"/>
                <w:u w:val="single"/>
                <w14:textFill>
                  <w14:solidFill>
                    <w14:schemeClr w14:val="tx1"/>
                  </w14:solidFill>
                </w14:textFill>
              </w:rPr>
              <w:t xml:space="preserve">供应商名称</w:t>
            </w:r>
            <w:r>
              <w:rPr>
                <w:rFonts w:hint="eastAsia" w:ascii="宋体" w:hAnsi="宋体" w:cs="宋体"/>
                <w:b/>
                <w:bCs/>
                <w:color w:val="000000" w:themeColor="text1"/>
                <w:szCs w:val="21"/>
                <w:highlight w:val="none"/>
                <w14:textFill>
                  <w14:solidFill>
                    <w14:schemeClr w14:val="tx1"/>
                  </w14:solidFill>
                </w14:textFill>
              </w:rPr>
              <w:t xml:space="preserve">（盖章）</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地址：</w:t>
            </w:r>
            <w:r>
              <w:rPr>
                <w:rFonts w:hint="eastAsia" w:ascii="宋体" w:hAnsi="宋体" w:cs="宋体"/>
                <w:b/>
                <w:bCs/>
                <w:color w:val="000000" w:themeColor="text1"/>
                <w:szCs w:val="21"/>
                <w:highlight w:val="none"/>
                <w:u w:val="single"/>
                <w14:textFill>
                  <w14:solidFill>
                    <w14:schemeClr w14:val="tx1"/>
                  </w14:solidFill>
                </w14:textFill>
              </w:rPr>
              <w:t xml:space="preserve">南京市中山路321号</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地址：</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邮编：</w:t>
            </w:r>
            <w:r>
              <w:rPr>
                <w:rFonts w:hint="eastAsia" w:ascii="宋体" w:hAnsi="宋体" w:cs="宋体"/>
                <w:b/>
                <w:bCs/>
                <w:color w:val="000000" w:themeColor="text1"/>
                <w:szCs w:val="21"/>
                <w:highlight w:val="none"/>
                <w:u w:val="single"/>
                <w14:textFill>
                  <w14:solidFill>
                    <w14:schemeClr w14:val="tx1"/>
                  </w14:solidFill>
                </w14:textFill>
              </w:rPr>
              <w:t xml:space="preserve">210008</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邮编：</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电话：</w:t>
            </w:r>
            <w:r>
              <w:rPr>
                <w:rFonts w:hint="eastAsia" w:ascii="宋体" w:hAnsi="宋体" w:cs="宋体"/>
                <w:b/>
                <w:bCs/>
                <w:color w:val="000000" w:themeColor="text1"/>
                <w:szCs w:val="21"/>
                <w:highlight w:val="none"/>
                <w:u w:val="single"/>
                <w14:textFill>
                  <w14:solidFill>
                    <w14:schemeClr w14:val="tx1"/>
                  </w14:solidFill>
                </w14:textFill>
              </w:rPr>
              <w:t xml:space="preserve">025-83106666</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传真：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法定代表人或授权代表：</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固定电话：</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分管院领导：</w:t>
            </w:r>
            <w:r>
              <w:rPr>
                <w:rFonts w:hint="eastAsia" w:ascii="宋体" w:hAnsi="宋体" w:cs="宋体"/>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法定代表人：</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医用物资采购中心负责人：</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授权代表及手机：</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r>
        <w:trPr/>
        <w:tc>
          <w:tcPr>
            <w:tcW w:w="4828"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c>
          <w:tcPr>
            <w:tcW w:w="4811" w:type="dxa"/>
            <w:textDirection w:val="lrTb"/>
            <w:noWrap w:val="false"/>
          </w:tcPr>
          <w:p>
            <w:pPr>
              <w:spacing w:line="360" w:lineRule="auto"/>
              <w:tabs>
                <w:tab w:val="left" w:pos="42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日期：</w:t>
            </w:r>
            <w:r>
              <w:rPr>
                <w:rFonts w:hint="eastAsia" w:ascii="宋体" w:hAnsi="宋体" w:cs="宋体"/>
                <w:b/>
                <w:bCs/>
                <w:color w:val="000000" w:themeColor="text1"/>
                <w:szCs w:val="21"/>
                <w:highlight w:val="none"/>
                <w:u w:val="single"/>
                <w14:textFill>
                  <w14:solidFill>
                    <w14:schemeClr w14:val="tx1"/>
                  </w14:solidFill>
                </w14:textFill>
              </w:rPr>
              <w:t xml:space="preserve">                       </w:t>
            </w:r>
            <w:r/>
          </w:p>
        </w:tc>
      </w:tr>
    </w:tbl>
    <w:p>
      <w:pPr>
        <w:ind w:firstLine="420"/>
        <w:jc w:val="left"/>
        <w:spacing w:line="360" w:lineRule="auto"/>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3"/>
        <w:ind w:firstLine="569"/>
        <w:rPr>
          <w:rFonts w:hint="eastAsia" w:ascii="宋体" w:hAnsi="宋体" w:cs="宋体"/>
          <w:color w:val="000000" w:themeColor="text1"/>
          <w:sz w:val="24"/>
          <w:highlight w:val="none"/>
          <w14:textFill>
            <w14:solidFill>
              <w14:schemeClr w14:val="tx1"/>
            </w14:solidFill>
          </w14:textFill>
        </w:rPr>
      </w:pPr>
      <w:r/>
      <w:bookmarkStart w:id="264" w:name="_Toc91836564"/>
      <w:r/>
      <w:bookmarkStart w:id="265" w:name="_Toc107246271"/>
      <w:r>
        <w:rPr>
          <w:rFonts w:hint="eastAsia" w:ascii="宋体" w:hAnsi="宋体" w:cs="宋体"/>
          <w:color w:val="000000" w:themeColor="text1"/>
          <w:highlight w:val="none"/>
          <w14:textFill>
            <w14:solidFill>
              <w14:schemeClr w14:val="tx1"/>
            </w14:solidFill>
          </w14:textFill>
        </w:rPr>
        <w:t xml:space="preserve">第四章 采购需求</w:t>
      </w:r>
      <w:bookmarkEnd w:id="264"/>
      <w:r/>
      <w:bookmarkEnd w:id="265"/>
      <w:r/>
      <w:r/>
    </w:p>
    <w:p>
      <w:pPr>
        <w:pStyle w:val="794"/>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66" w:name="_Toc262893315"/>
      <w:r/>
      <w:bookmarkStart w:id="267" w:name="_Toc426996356"/>
      <w:r/>
      <w:bookmarkStart w:id="268" w:name="_Hlk93775766"/>
      <w:r>
        <w:rPr>
          <w:rFonts w:hint="eastAsia" w:ascii="宋体" w:hAnsi="宋体" w:eastAsia="宋体" w:cs="宋体"/>
          <w:color w:val="000000" w:themeColor="text1"/>
          <w:sz w:val="24"/>
          <w:szCs w:val="24"/>
          <w:highlight w:val="none"/>
          <w14:textFill>
            <w14:solidFill>
              <w14:schemeClr w14:val="tx1"/>
            </w14:solidFill>
          </w14:textFill>
        </w:rPr>
        <w:t xml:space="preserve">一、服务内容一览表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1、保修设备情况：</w:t>
      </w:r>
      <w:r/>
    </w:p>
    <w:tbl>
      <w:tblPr>
        <w:tblStyle w:val="8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87"/>
        <w:gridCol w:w="3251"/>
        <w:gridCol w:w="2094"/>
      </w:tblGrid>
      <w:tr>
        <w:trPr>
          <w:cantSplit/>
          <w:jc w:val="center"/>
          <w:trHeight w:val="336"/>
        </w:trPr>
        <w:tc>
          <w:tcPr>
            <w:tcW w:w="1974"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内容</w:t>
            </w:r>
            <w:r/>
          </w:p>
        </w:tc>
        <w:tc>
          <w:tcPr>
            <w:tcW w:w="1840"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设备型号</w:t>
            </w:r>
            <w:r/>
          </w:p>
        </w:tc>
        <w:tc>
          <w:tcPr>
            <w:tcW w:w="1185"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数量</w:t>
            </w:r>
            <w:r/>
          </w:p>
        </w:tc>
      </w:tr>
      <w:tr>
        <w:trPr>
          <w:cantSplit/>
          <w:jc w:val="center"/>
          <w:trHeight w:val="492"/>
        </w:trPr>
        <w:tc>
          <w:tcPr>
            <w:tcW w:w="1974"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医用直线加速器</w:t>
            </w:r>
            <w:r/>
          </w:p>
        </w:tc>
        <w:tc>
          <w:tcPr>
            <w:tcW w:w="1840"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医科达Axesse</w:t>
            </w:r>
            <w:r/>
          </w:p>
        </w:tc>
        <w:tc>
          <w:tcPr>
            <w:tcW w:w="1185"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1台</w:t>
            </w:r>
            <w:r/>
          </w:p>
        </w:tc>
      </w:tr>
      <w:tr>
        <w:trPr>
          <w:cantSplit/>
          <w:jc w:val="center"/>
          <w:trHeight w:val="594"/>
        </w:trPr>
        <w:tc>
          <w:tcPr>
            <w:tcW w:w="1974"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后装治疗机</w:t>
            </w:r>
            <w:r/>
          </w:p>
        </w:tc>
        <w:tc>
          <w:tcPr>
            <w:tcW w:w="1840"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医科达Flexitron HDR</w:t>
            </w:r>
            <w:r/>
          </w:p>
        </w:tc>
        <w:tc>
          <w:tcPr>
            <w:tcW w:w="1185" w:type="pct"/>
            <w:vAlign w:val="bottom"/>
            <w:textDirection w:val="lrTb"/>
            <w:noWrap w:val="false"/>
          </w:tcPr>
          <w:p>
            <w:pPr>
              <w:jc w:val="center"/>
              <w:spacing w:line="360" w:lineRule="auto"/>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1台</w:t>
            </w:r>
            <w:bookmarkEnd w:id="266"/>
            <w:r/>
            <w:bookmarkEnd w:id="267"/>
            <w:r/>
            <w:r/>
          </w:p>
        </w:tc>
      </w:tr>
    </w:tbl>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2、维保期限：3年。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3、维修合同服务类别：全保。</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4、服务范围：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（1）直线加速器整机全保（包含多叶光栅、支撑床系统、实时影像验证系统、 四维影像引导系统、容积旋转调强系统、水冷机、放射治疗计划系统、肿瘤信息管理系统等）。</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（2）后装机整机全保（包含主机软硬件、计划系统、UPS、铱源更换服务等）。</w:t>
      </w:r>
      <w:r/>
    </w:p>
    <w:p>
      <w:pPr>
        <w:pStyle w:val="794"/>
        <w:numPr>
          <w:ilvl w:val="0"/>
          <w:numId w:val="3"/>
        </w:numPr>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投标人或投标人所代理的维修服务机构在国内有直线加速器维修的服务机构或办事处，在国内设有保证设备使用的完善备件库，且提供仓库详细地址核实。</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提供加速器整机的保修，含人工及服务范围内的所有配件；每年为服务方提供4次预防性维护保养服务，并提交维护保养报告。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提供后装机整机的保修，含人工及服务范围内的所有配件；每年为服务方提供4次预防性维护保养服务，并提交维护保养报告。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提供后装机配套的近距离治疗计划数据维护，专人定期备份计划数据，提供技术支持及指导。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鉴于本项目维保范围涉及治疗计划系统维护，投标人或其代理的维修服务机构应至少配备2名专业技术人员。上述人员须持有LA物理师证书或国家卫生健康委人才交流服务中心组织的“肿瘤精准放疗专项技能培训项目”培训证书，并负责为本院提供治疗计划系统维保技术服务。投标时须提供上述人员近3个月内任意1个月的社保缴纳证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所有更换的零备件必须为原厂备件，</w:t>
      </w:r>
      <w:r>
        <w:rPr>
          <w:rFonts w:hint="eastAsia" w:ascii="宋体" w:hAnsi="宋体" w:cs="宋体"/>
          <w:color w:val="000000" w:themeColor="text1"/>
          <w:sz w:val="24"/>
          <w:highlight w:val="none"/>
          <w14:textFill>
            <w14:solidFill>
              <w14:schemeClr w14:val="tx1"/>
            </w14:solidFill>
          </w14:textFill>
        </w:rPr>
        <w:t xml:space="preserve">若为进口备件承诺提供报关单（承诺书格式自拟）</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或投标人所代理的维修服务机构</w:t>
      </w:r>
      <w:r>
        <w:rPr>
          <w:rFonts w:hint="eastAsia" w:ascii="宋体" w:hAnsi="宋体" w:cs="宋体"/>
          <w:color w:val="000000" w:themeColor="text1"/>
          <w:sz w:val="24"/>
          <w:highlight w:val="none"/>
          <w14:textFill>
            <w14:solidFill>
              <w14:schemeClr w14:val="tx1"/>
            </w14:solidFill>
          </w14:textFill>
        </w:rPr>
        <w:t xml:space="preserve">（所维保设备的制造商）具备报修热线，并提供365天，7×24小时热线支持。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设备故障时电话报修首次响应时间≤2小时，工程师到达现场时间≤24小时。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投标人或投标人所代理的维修服务机构须必须能提供设备制造商不间断的安全性或功能性完善服务，以提高设备的安全性和性能；保修期内在硬件支持情况下，提供设备的系统软件升级补丁和技术支持，保证所有系统软件为最新版本</w:t>
      </w:r>
      <w:r>
        <w:rPr>
          <w:rFonts w:hint="eastAsia" w:ascii="宋体" w:hAnsi="宋体" w:cs="宋体"/>
          <w:b/>
          <w:bCs/>
          <w:color w:val="000000" w:themeColor="text1"/>
          <w:sz w:val="24"/>
          <w:highlight w:val="none"/>
          <w14:textFill>
            <w14:solidFill>
              <w14:schemeClr w14:val="tx1"/>
            </w14:solidFill>
          </w14:textFill>
        </w:rPr>
        <w:t xml:space="preserve">（所升级软件版本需通过国家药监局注册）</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保证保修期内开机率≥95%（按全年365天计算，不分节假日），如开机率达不到要求，每超过一天保修期相应延长2天。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提供每年年度服务总结报告，对当年设备运行情况进行分析，包含开机率分析、更换配件明细、维护保养情况、合理化建议等内容。</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4"/>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★三、商务要求</w:t>
      </w:r>
      <w:r/>
    </w:p>
    <w:p>
      <w:pPr>
        <w:numPr>
          <w:ilvl w:val="0"/>
          <w:numId w:val="4"/>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合同履行期限：2026年11月13日起三年。</w:t>
      </w:r>
      <w:r/>
    </w:p>
    <w:p>
      <w:pPr>
        <w:numPr>
          <w:ilvl w:val="0"/>
          <w:numId w:val="4"/>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服务地点：采购人指定地点</w:t>
      </w:r>
      <w:r/>
    </w:p>
    <w:p>
      <w:pPr>
        <w:numPr>
          <w:ilvl w:val="0"/>
          <w:numId w:val="4"/>
        </w:numPr>
        <w:ind w:left="0"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付款方式：合同签订生效后，中标单位每履行保修服务满6个月，医院收到发票后支付该6个月的保修款；共支付6次，第6次医院收到发票后无息付清余款。</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8"/>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3"/>
        <w:ind w:firstLine="569"/>
        <w:spacing w:line="480" w:lineRule="auto"/>
        <w:rPr>
          <w:rFonts w:hint="eastAsia" w:ascii="宋体" w:hAnsi="宋体" w:cs="宋体"/>
          <w:color w:val="000000" w:themeColor="text1"/>
          <w:highlight w:val="none"/>
          <w14:textFill>
            <w14:solidFill>
              <w14:schemeClr w14:val="tx1"/>
            </w14:solidFill>
          </w14:textFill>
        </w:rPr>
      </w:pPr>
      <w:r/>
      <w:bookmarkStart w:id="269"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9"/>
      <w:r/>
      <w:r/>
    </w:p>
    <w:p>
      <w:pPr>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 w:val="24"/>
          <w:highlight w:val="none"/>
          <w14:textFill>
            <w14:solidFill>
              <w14:schemeClr w14:val="tx1"/>
            </w14:solidFill>
          </w14:textFill>
        </w:rPr>
      </w:pPr>
      <w:r>
        <w:rPr>
          <w:rFonts w:hint="eastAsia" w:ascii="宋体" w:hAnsi="宋体" w:cs="宋体"/>
          <w:bCs/>
          <w:color w:val="000000" w:themeColor="text1"/>
          <w:position w:val="-10"/>
          <w:sz w:val="24"/>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03"/>
        <w:tblpPr w:horzAnchor="page" w:tblpX="1337" w:vertAnchor="text" w:tblpY="305" w:leftFromText="180" w:topFromText="0" w:rightFromText="180" w:bottomFromText="0"/>
        <w:tblW w:w="53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82"/>
        <w:gridCol w:w="6422"/>
        <w:gridCol w:w="1015"/>
      </w:tblGrid>
      <w:tr>
        <w:trPr>
          <w:trHeight w:val="694"/>
        </w:trPr>
        <w:tc>
          <w:tcPr>
            <w:tcW w:w="428"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672"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评审因素</w:t>
            </w:r>
            <w:r/>
          </w:p>
        </w:tc>
        <w:tc>
          <w:tcPr>
            <w:tcW w:w="3367"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评审标准</w:t>
            </w:r>
            <w:r/>
          </w:p>
        </w:tc>
        <w:tc>
          <w:tcPr>
            <w:tcW w:w="532" w:type="pct"/>
            <w:vAlign w:val="center"/>
            <w:textDirection w:val="lrTb"/>
            <w:noWrap w:val="false"/>
          </w:tcPr>
          <w:p>
            <w:pPr>
              <w:contextualSpacing/>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分值</w:t>
            </w:r>
            <w:r/>
          </w:p>
        </w:tc>
      </w:tr>
      <w:tr>
        <w:trPr>
          <w:trHeight w:val="1953"/>
        </w:trPr>
        <w:tc>
          <w:tcPr>
            <w:tcW w:w="428" w:type="pct"/>
            <w:vAlign w:val="center"/>
            <w:textDirection w:val="lrTb"/>
            <w:noWrap w:val="false"/>
          </w:tcPr>
          <w:p>
            <w:pPr>
              <w:contextualSpacing/>
              <w:ind w:left="425" w:hanging="425"/>
              <w:jc w:val="cente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价格</w:t>
            </w:r>
            <w:r/>
          </w:p>
        </w:tc>
        <w:tc>
          <w:tcPr>
            <w:tcW w:w="3367"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采用低价优先法计算，即满足采购文件要求且投标报价最低的为评标基准价，其价格分为满分15分。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其他投标人的价格分统一按照下列公式计算:投标报价得分=（评标基准价/投标报价）×15（小数点保留两位）</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15分</w:t>
            </w:r>
            <w:r/>
          </w:p>
        </w:tc>
      </w:tr>
      <w:tr>
        <w:trPr>
          <w:trHeight w:val="3277"/>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2.</w:t>
            </w:r>
            <w:r/>
          </w:p>
        </w:tc>
        <w:tc>
          <w:tcPr>
            <w:tcW w:w="672" w:type="pct"/>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技术要求</w:t>
            </w:r>
            <w:r/>
          </w:p>
        </w:tc>
        <w:tc>
          <w:tcPr>
            <w:shd w:val="clear" w:color="auto" w:fill="ffffff"/>
            <w:tcW w:w="3367" w:type="pct"/>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全部满足招标文件第四章采购需求“二、服务要求”的得30分，正偏离不加分，打★号指标为必须满足项，如有负偏离将作为无效报价；打▲号指标，有一项负偏离扣5分，共计3项；其他指标，有一项负偏离扣</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分，共计</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注：</w:t>
            </w:r>
            <w:r>
              <w:rPr>
                <w:rFonts w:hint="eastAsia" w:ascii="宋体" w:hAnsi="宋体" w:cs="宋体"/>
                <w:b/>
                <w:bCs/>
                <w:color w:val="000000" w:themeColor="text1"/>
                <w:sz w:val="24"/>
                <w:highlight w:val="none"/>
                <w14:textFill>
                  <w14:solidFill>
                    <w14:schemeClr w14:val="tx1"/>
                  </w14:solidFill>
                </w14:textFill>
              </w:rPr>
              <w:t xml:space="preserve">招标文件第四章采购需求中要求提供证明材料的，须按要求提供相关证明材料，未提供的视为负偏离（为方便评委评审，可用箭头、标红或下划线等进行明显标注）。</w:t>
            </w:r>
            <w:r/>
          </w:p>
        </w:tc>
        <w:tc>
          <w:tcPr>
            <w:tcW w:w="53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分</w:t>
            </w:r>
            <w:r/>
          </w:p>
        </w:tc>
      </w:tr>
      <w:tr>
        <w:trPr>
          <w:trHeight w:val="699"/>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3.</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日常维护方案</w:t>
            </w:r>
            <w:r/>
          </w:p>
        </w:tc>
        <w:tc>
          <w:tcPr>
            <w:shd w:val="clear" w:color="auto" w:fill="ffffff"/>
            <w:tcW w:w="3367" w:type="pct"/>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根据投标人提供针对本项目的日常维护方案，</w:t>
            </w:r>
            <w:r>
              <w:rPr>
                <w:rFonts w:hint="eastAsia" w:ascii="宋体" w:hAnsi="宋体" w:cs="宋体"/>
                <w:color w:val="000000" w:themeColor="text1"/>
                <w:sz w:val="24"/>
                <w:highlight w:val="none"/>
                <w:lang w:val="zh-TW"/>
                <w14:textFill>
                  <w14:solidFill>
                    <w14:schemeClr w14:val="tx1"/>
                  </w14:solidFill>
                </w14:textFill>
              </w:rPr>
              <w:t xml:space="preserve">方案内容包括</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维修保养规章制度、维修保养操作规范、维护保养范围、维护保养计划</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满足以上</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项要求最多得</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分；满足任意1项最多得</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注：评标委员会根据各</w:t>
            </w: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lang w:val="zh-CN"/>
                <w14:textFill>
                  <w14:solidFill>
                    <w14:schemeClr w14:val="tx1"/>
                  </w14:solidFill>
                </w14:textFill>
              </w:rPr>
              <w:t xml:space="preserve">的具体响应内容按照以下量化的评审因素指标对各项要求进行满足性判断：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（1）内容全面合理、针对性及操作性强的，得2分；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（2）内容较合理、针对性及操作性较强的，得1分；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（3）内容不合理、缺乏针对性及操作性或未提供方案的不得分。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分</w:t>
            </w:r>
            <w:r/>
          </w:p>
        </w:tc>
      </w:tr>
      <w:tr>
        <w:trPr>
          <w:trHeight w:val="699"/>
        </w:trPr>
        <w:tc>
          <w:tcPr>
            <w:tcW w:w="428" w:type="pct"/>
            <w:vAlign w:val="center"/>
            <w:textDirection w:val="lrTb"/>
            <w:noWrap w:val="false"/>
          </w:tcPr>
          <w:p>
            <w:pPr>
              <w:numPr>
                <w:ilvl w:val="255"/>
                <w:numId w:val="0"/>
              </w:num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质控与校准服务方案</w:t>
            </w:r>
            <w:r/>
          </w:p>
        </w:tc>
        <w:tc>
          <w:tcPr>
            <w:shd w:val="clear" w:color="auto" w:fill="ffffff"/>
            <w:tcW w:w="3367" w:type="pct"/>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根据投标人提供的针对本项目的质控与校准服务方案，</w:t>
            </w:r>
            <w:r>
              <w:rPr>
                <w:rFonts w:hint="eastAsia" w:ascii="宋体" w:hAnsi="宋体" w:cs="宋体"/>
                <w:color w:val="000000" w:themeColor="text1"/>
                <w:sz w:val="24"/>
                <w:highlight w:val="none"/>
                <w:lang w:val="zh-TW"/>
                <w14:textFill>
                  <w14:solidFill>
                    <w14:schemeClr w14:val="tx1"/>
                  </w14:solidFill>
                </w14:textFill>
              </w:rPr>
              <w:t xml:space="preserve">方案内容包括</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直线加速器剂量学质控方案、直线加速器机械精度校准方案、直线加速器图像引导系统质控方案、后装治疗机质控与校准方案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满足以上</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项要求最多得</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zh-CN"/>
                <w14:textFill>
                  <w14:solidFill>
                    <w14:schemeClr w14:val="tx1"/>
                  </w14:solidFill>
                </w14:textFill>
              </w:rPr>
              <w:t xml:space="preserve">分；满足任意1项最多得</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注：评标委员会根据各</w:t>
            </w: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lang w:val="zh-CN"/>
                <w14:textFill>
                  <w14:solidFill>
                    <w14:schemeClr w14:val="tx1"/>
                  </w14:solidFill>
                </w14:textFill>
              </w:rPr>
              <w:t xml:space="preserve">的具体响应内容按照以下量化的评审因素指标对各项要求进行满足性判断：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（1）内容全面合理、针对性及操作性强的，得2分；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（2）内容较合理、针对性及操作性较强的，得1分；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（3）内容不合理、缺乏针对性及操作性或未提供方案的不得分。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8分</w:t>
            </w:r>
            <w:r/>
          </w:p>
        </w:tc>
      </w:tr>
      <w:tr>
        <w:trPr>
          <w:trHeight w:val="699"/>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ascii="宋体" w:hAnsi="宋体" w:cs="宋体"/>
                <w:bCs/>
                <w:color w:val="000000" w:themeColor="text1"/>
                <w:sz w:val="24"/>
                <w:highlight w:val="none"/>
                <w14:textFill>
                  <w14:solidFill>
                    <w14:schemeClr w14:val="tx1"/>
                  </w14:solidFill>
                </w14:textFill>
              </w:rPr>
              <w:t xml:space="preserve">.</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人员资质</w:t>
            </w:r>
            <w:r/>
          </w:p>
        </w:tc>
        <w:tc>
          <w:tcPr>
            <w:shd w:val="clear" w:color="auto" w:fill="ffffff"/>
            <w:tcW w:w="3367"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（1）供应商拟投入本项目人员中具有3年及以上医用直线加速器（品牌型号：医科达Axesse）维修维护经验的，每提供1人得2分，最多得6分。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（2）供应商拟投入本项目人员中具有3年及以上</w:t>
            </w:r>
            <w:r>
              <w:rPr>
                <w:rFonts w:hint="eastAsia" w:ascii="宋体" w:hAnsi="宋体" w:cs="宋体"/>
                <w:color w:val="000000" w:themeColor="text1"/>
                <w:sz w:val="24"/>
                <w:highlight w:val="none"/>
                <w:lang w:val="en-US" w:eastAsia="zh-CN"/>
                <w14:textFill>
                  <w14:solidFill>
                    <w14:schemeClr w14:val="tx1"/>
                  </w14:solidFill>
                </w14:textFill>
              </w:rPr>
              <w:t xml:space="preserve">后装机</w:t>
            </w:r>
            <w:r>
              <w:rPr>
                <w:rFonts w:hint="eastAsia" w:ascii="宋体" w:hAnsi="宋体" w:cs="宋体"/>
                <w:color w:val="000000" w:themeColor="text1"/>
                <w:sz w:val="24"/>
                <w:highlight w:val="none"/>
                <w14:textFill>
                  <w14:solidFill>
                    <w14:schemeClr w14:val="tx1"/>
                  </w14:solidFill>
                </w14:textFill>
              </w:rPr>
              <w:t xml:space="preserve">（品牌型号：医科达Flexitron HDR）维修维护经验的，每提供1人得2分，最多得4分。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注：本项须在投标文件中提供①原厂培训证书或能够证明具备相应维修能力的其他材料②投标单位为该工程师缴纳的近半年（2026年3月（含）以来）任意一个月的社保证明材料，未按要求提供的不予认可。</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10分</w:t>
            </w:r>
            <w:r/>
          </w:p>
        </w:tc>
      </w:tr>
      <w:tr>
        <w:trPr>
          <w:trHeight w:val="699"/>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6.</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履约能力</w:t>
            </w:r>
            <w:r/>
          </w:p>
        </w:tc>
        <w:tc>
          <w:tcPr>
            <w:shd w:val="clear" w:color="auto" w:fill="ffffff"/>
            <w:tcW w:w="3367" w:type="pct"/>
            <w:vAlign w:val="center"/>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根据投标人的履约保障能力进行评分：</w:t>
            </w:r>
            <w:r/>
          </w:p>
          <w:p>
            <w:pPr>
              <w:numPr>
                <w:ilvl w:val="0"/>
                <w:numId w:val="5"/>
              </w:num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维修工具与诊断设备：投标人具备医科达AXESSE和FLEXITRON HDR专用的全套诊断工具（含软件、硬件），包括</w:t>
            </w:r>
            <w:r>
              <w:rPr>
                <w:rFonts w:hint="eastAsia" w:ascii="宋体" w:hAnsi="宋体" w:cs="宋体"/>
                <w:color w:val="000000" w:themeColor="text1"/>
                <w:sz w:val="24"/>
                <w:highlight w:val="none"/>
                <w:lang w:val="en-US" w:eastAsia="zh-CN"/>
                <w14:textFill>
                  <w14:solidFill>
                    <w14:schemeClr w14:val="tx1"/>
                  </w14:solidFill>
                </w14:textFill>
              </w:rPr>
              <w:t xml:space="preserve">但不限于</w:t>
            </w:r>
            <w:r>
              <w:rPr>
                <w:rFonts w:hint="eastAsia" w:ascii="宋体" w:hAnsi="宋体" w:cs="宋体"/>
                <w:color w:val="000000" w:themeColor="text1"/>
                <w:sz w:val="24"/>
                <w:highlight w:val="none"/>
                <w14:textFill>
                  <w14:solidFill>
                    <w14:schemeClr w14:val="tx1"/>
                  </w14:solidFill>
                </w14:textFill>
              </w:rPr>
              <w:t xml:space="preserve">多叶光栅专用拆装工具</w:t>
            </w:r>
            <w:r>
              <w:rPr>
                <w:rFonts w:hint="eastAsia" w:ascii="宋体" w:hAnsi="宋体" w:cs="宋体"/>
                <w:color w:val="000000" w:themeColor="text1"/>
                <w:sz w:val="24"/>
                <w:highlight w:val="none"/>
                <w:lang w:eastAsia="zh-CN"/>
                <w14:textFill>
                  <w14:solidFill>
                    <w14:schemeClr w14:val="tx1"/>
                  </w14:solidFill>
                </w14:textFill>
              </w:rPr>
              <w:t xml:space="preserve">、六维治疗床校准工具、</w:t>
            </w:r>
            <w:r>
              <w:rPr>
                <w:rFonts w:hint="eastAsia" w:ascii="宋体" w:hAnsi="宋体" w:cs="宋体"/>
                <w:color w:val="000000" w:themeColor="text1"/>
                <w:sz w:val="24"/>
                <w:highlight w:val="none"/>
                <w14:textFill>
                  <w14:solidFill>
                    <w14:schemeClr w14:val="tx1"/>
                  </w14:solidFill>
                </w14:textFill>
              </w:rPr>
              <w:t xml:space="preserve">三维水箱/二维电离室矩阵等剂量验证设备</w:t>
            </w:r>
            <w:r>
              <w:rPr>
                <w:rFonts w:hint="eastAsia" w:ascii="宋体" w:hAnsi="宋体" w:cs="宋体"/>
                <w:color w:val="000000" w:themeColor="text1"/>
                <w:sz w:val="24"/>
                <w:highlight w:val="none"/>
                <w:lang w:eastAsia="zh-CN"/>
                <w14:textFill>
                  <w14:solidFill>
                    <w14:schemeClr w14:val="tx1"/>
                  </w14:solidFill>
                </w14:textFill>
              </w:rPr>
              <w:t xml:space="preserve">、源更换工具套装及应急工具包、源位置检测标尺</w:t>
            </w:r>
            <w:r>
              <w:rPr>
                <w:rFonts w:hint="eastAsia" w:ascii="宋体" w:hAnsi="宋体" w:cs="宋体"/>
                <w:color w:val="000000" w:themeColor="text1"/>
                <w:sz w:val="24"/>
                <w:highlight w:val="none"/>
                <w14:textFill>
                  <w14:solidFill>
                    <w14:schemeClr w14:val="tx1"/>
                  </w14:solidFill>
                </w14:textFill>
              </w:rPr>
              <w:t xml:space="preserve">，提供工具清单及</w:t>
            </w:r>
            <w:r>
              <w:rPr>
                <w:rFonts w:hint="eastAsia" w:ascii="宋体" w:hAnsi="宋体" w:cs="宋体"/>
                <w:color w:val="000000" w:themeColor="text1"/>
                <w:sz w:val="24"/>
                <w:highlight w:val="none"/>
                <w:lang w:val="en-US" w:eastAsia="zh-CN"/>
                <w14:textFill>
                  <w14:solidFill>
                    <w14:schemeClr w14:val="tx1"/>
                  </w14:solidFill>
                </w14:textFill>
              </w:rPr>
              <w:t xml:space="preserve">实物照片</w:t>
            </w:r>
            <w:r>
              <w:rPr>
                <w:rFonts w:hint="eastAsia" w:ascii="宋体" w:hAnsi="宋体" w:cs="宋体"/>
                <w:color w:val="000000" w:themeColor="text1"/>
                <w:sz w:val="24"/>
                <w:highlight w:val="none"/>
                <w14:textFill>
                  <w14:solidFill>
                    <w14:schemeClr w14:val="tx1"/>
                  </w14:solidFill>
                </w14:textFill>
              </w:rPr>
              <w:t xml:space="preserve">得4分；仅提供工具清单得2分；未提供不得分。</w:t>
            </w:r>
            <w:r/>
          </w:p>
          <w:p>
            <w:pPr>
              <w:numPr>
                <w:ilvl w:val="0"/>
                <w:numId w:val="0"/>
              </w:num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（2）备件供应方案：投标人提供针对本项目的紧急备件到货时间承诺及物流响应机制，内容完整可行得4分；内容基本可行得2分；未提供不得分。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（3）服务响应与应急保障：投标人提供针对本项目的服务响应流程、应急故障处理预案及保障措施，内容完整可行得4分；内容基本可行得2分；未提供不得分。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（4）投标人为原生产厂家，或者具备生产厂家的售后授权，或者与生产厂家签署维修服务合作协议的，得8分。</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r>
      <w:tr>
        <w:trPr>
          <w:trHeight w:val="1103"/>
        </w:trPr>
        <w:tc>
          <w:tcPr>
            <w:tcW w:w="428" w:type="pct"/>
            <w:vAlign w:val="center"/>
            <w:textDirection w:val="lrTb"/>
            <w:noWrap w:val="false"/>
          </w:tcPr>
          <w:p>
            <w:pPr>
              <w:contextualSpacing/>
              <w:ind w:left="425" w:hanging="425"/>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t xml:space="preserve">7.</w:t>
            </w:r>
            <w:r/>
          </w:p>
        </w:tc>
        <w:tc>
          <w:tcPr>
            <w:tcW w:w="67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tc>
        <w:tc>
          <w:tcPr>
            <w:shd w:val="clear" w:color="auto" w:fill="ffffff"/>
            <w:tcW w:w="3367" w:type="pct"/>
            <w:textDirection w:val="lrTb"/>
            <w:noWrap w:val="false"/>
          </w:tcPr>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投标人提供自2023年1月1日以来（以合同签订时间为准）承担的与本次维保同品牌同型号维保服务业绩合同。</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（1）每提供一份包含医科达AXESSE直线加速器的维保服务合同，得1.5分；每提供一份包含医科达FLEXITRON HDR后装治疗机的维保服务合同，得1.5分；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（2）同一份合同同时包含上述两台设备的，得3分；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（3）每台设备最多计3个业绩，本项最高得9分；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（4）同一采购人（同一家医院）的业绩只计一次，不重复得分。</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投标人须提供合同复印件并加盖公章，合同内容应能体现设备型号及维保服务内容，否则不予认可。</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注：提供合同复印件，合同须签章完整、签署日期清晰，同时须反映设备品牌、型号等内容，否则不予认可。</w:t>
            </w:r>
            <w:r/>
          </w:p>
        </w:tc>
        <w:tc>
          <w:tcPr>
            <w:tcW w:w="532" w:type="pct"/>
            <w:vAlign w:val="center"/>
            <w:textDirection w:val="lrTb"/>
            <w:noWrap w:val="false"/>
          </w:tcPr>
          <w:p>
            <w:pPr>
              <w:contextualSpacing/>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9分</w:t>
            </w:r>
            <w:r/>
          </w:p>
        </w:tc>
      </w:tr>
      <w:tr>
        <w:trPr>
          <w:trHeight w:val="592"/>
        </w:trPr>
        <w:tc>
          <w:tcPr>
            <w:tcW w:w="42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gridSpan w:val="2"/>
            <w:tcW w:w="403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合计</w:t>
            </w:r>
            <w:r/>
          </w:p>
        </w:tc>
        <w:tc>
          <w:tcPr>
            <w:tcW w:w="53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分</w:t>
            </w:r>
            <w:r/>
          </w:p>
        </w:tc>
      </w:tr>
    </w:tbl>
    <w:p>
      <w:pPr>
        <w:spacing w:line="360" w:lineRule="auto"/>
        <w:rPr>
          <w:rStyle w:val="1071"/>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70"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71" w:name="_Toc107246273"/>
      <w:r>
        <w:rPr>
          <w:rFonts w:ascii="宋体" w:hAnsi="宋体" w:cs="宋体"/>
          <w:color w:val="000000" w:themeColor="text1"/>
          <w:highlight w:val="none"/>
          <w14:textFill>
            <w14:solidFill>
              <w14:schemeClr w14:val="tx1"/>
            </w14:solidFill>
          </w14:textFill>
        </w:rPr>
        <w:br w:type="page" w:clear="all"/>
      </w:r>
      <w:r/>
    </w:p>
    <w:p>
      <w:pPr>
        <w:pStyle w:val="833"/>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70"/>
      <w:r>
        <w:rPr>
          <w:rFonts w:hint="eastAsia" w:ascii="宋体" w:hAnsi="宋体" w:cs="宋体"/>
          <w:color w:val="000000" w:themeColor="text1"/>
          <w:highlight w:val="none"/>
          <w14:textFill>
            <w14:solidFill>
              <w14:schemeClr w14:val="tx1"/>
            </w14:solidFill>
          </w14:textFill>
        </w:rPr>
        <w:t xml:space="preserve">投标文件格式</w:t>
      </w:r>
      <w:bookmarkEnd w:id="27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48"/>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hint="eastAsia" w:ascii="宋体" w:hAnsi="宋体" w:cs="宋体"/>
          <w:color w:val="000000" w:themeColor="text1"/>
          <w:sz w:val="24"/>
          <w:highlight w:val="none"/>
          <w14:textFill>
            <w14:solidFill>
              <w14:schemeClr w14:val="tx1"/>
            </w14:solidFill>
          </w14:textFill>
        </w:rPr>
      </w:pPr>
      <w:r/>
      <w:bookmarkStart w:id="272"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16"/>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16"/>
        <w:jc w:val="center"/>
        <w:rPr>
          <w:rFonts w:hint="eastAsia" w:hAnsi="宋体" w:eastAsia="宋体" w:cs="宋体"/>
          <w:b/>
          <w:bCs/>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t xml:space="preserve">南京鼓楼医院</w:t>
      </w:r>
      <w:r>
        <w:rPr>
          <w:rFonts w:hint="eastAsia" w:hAnsi="宋体" w:cs="宋体"/>
          <w:b/>
          <w:color w:val="000000" w:themeColor="text1"/>
          <w:sz w:val="56"/>
          <w:szCs w:val="56"/>
          <w:highlight w:val="none"/>
          <w:lang w:eastAsia="zh-CN"/>
          <w14:textFill>
            <w14:solidFill>
              <w14:schemeClr w14:val="tx1"/>
            </w14:solidFill>
          </w14:textFill>
        </w:rPr>
        <w:t xml:space="preserve">直线加速器及后装治疗机保修项目</w:t>
      </w:r>
      <w:r/>
    </w:p>
    <w:p>
      <w:pPr>
        <w:pStyle w:val="816"/>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16"/>
        <w:ind w:firstLine="220"/>
        <w:jc w:val="center"/>
        <w:rPr>
          <w:rFonts w:hint="eastAsia" w:hAnsi="宋体" w:cs="宋体"/>
          <w:b/>
          <w:color w:val="000000" w:themeColor="text1"/>
          <w:sz w:val="84"/>
          <w:szCs w:val="84"/>
          <w:highlight w:val="none"/>
          <w14:textFill>
            <w14:solidFill>
              <w14:schemeClr w14:val="tx1"/>
            </w14:solidFill>
          </w14:textFill>
        </w:rPr>
      </w:pPr>
      <w:r/>
      <w:bookmarkStart w:id="273"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73"/>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right="-200" w:firstLine="711"/>
        <w:spacing w:line="360" w:lineRule="auto"/>
        <w:rPr>
          <w:rFonts w:hint="eastAsia" w:ascii="宋体" w:hAnsi="宋体" w:eastAsia="宋体" w:cs="宋体"/>
          <w:b/>
          <w:color w:val="000000" w:themeColor="text1"/>
          <w:sz w:val="40"/>
          <w:szCs w:val="40"/>
          <w:highlight w:val="none"/>
          <w:lang w:eastAsia="zh-CN"/>
          <w14:textFill>
            <w14:solidFill>
              <w14:schemeClr w14:val="tx1"/>
            </w14:solidFill>
          </w14:textFill>
        </w:rPr>
      </w:pPr>
      <w:r>
        <w:rPr>
          <w:rFonts w:hint="eastAsia" w:ascii="宋体" w:hAnsi="宋体" w:cs="宋体"/>
          <w:b/>
          <w:color w:val="000000" w:themeColor="text1"/>
          <w:sz w:val="40"/>
          <w:szCs w:val="40"/>
          <w:highlight w:val="none"/>
          <w14:textFill>
            <w14:solidFill>
              <w14:schemeClr w14:val="tx1"/>
            </w14:solidFill>
          </w14:textFill>
        </w:rPr>
        <w:t xml:space="preserve">项目编号：</w:t>
      </w:r>
      <w:r>
        <w:rPr>
          <w:rFonts w:hint="eastAsia" w:ascii="宋体" w:hAnsi="宋体" w:cs="宋体"/>
          <w:b/>
          <w:color w:val="000000" w:themeColor="text1"/>
          <w:sz w:val="40"/>
          <w:szCs w:val="40"/>
          <w:highlight w:val="none"/>
          <w:lang w:eastAsia="zh-CN"/>
          <w14:textFill>
            <w14:solidFill>
              <w14:schemeClr w14:val="tx1"/>
            </w14:solidFill>
          </w14:textFill>
        </w:rPr>
        <w:t xml:space="preserve">JSZC-320100-JITC-G2026-0338</w:t>
      </w:r>
      <w:r/>
    </w:p>
    <w:p>
      <w:pPr>
        <w:pStyle w:val="816"/>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16"/>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16"/>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16"/>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16"/>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16"/>
        <w:ind w:firstLine="569"/>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16"/>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pStyle w:val="816"/>
        <w:ind w:firstLine="496"/>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b/>
          <w:color w:val="000000" w:themeColor="text1"/>
          <w:sz w:val="32"/>
          <w:highlight w:val="none"/>
          <w14:textFill>
            <w14:solidFill>
              <w14:schemeClr w14:val="tx1"/>
            </w14:solidFill>
          </w14:textFill>
        </w:rPr>
        <w:t xml:space="preserve">二O   年  月  日</w:t>
      </w:r>
      <w:r/>
    </w:p>
    <w:p>
      <w:pPr>
        <w:ind w:firstLine="569"/>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816"/>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（3）法定代表人授权委托书（适用于法人/非法人），格式见附件。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（5）商务条款偏离表，格式见附件。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（6）投标人具备投标资格的证明文件（如为南京市政府采购项目，按照公告要求提供）：</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（6-1-1）营业执照复印件或自然人的身份证明复印件（或具有同等法律效力的证照），格式见附件。</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（6-1-2）工商变更登记文件（如需），如发生了单位名称等变更的，需提供工商变更登记文件。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（6-2）财务报表等证明文件。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（6-3）具有履行合同所必需的设备和专业技术能力的相关证明材料或承诺函，格式见附件。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（6-4）依法缴纳税收的相关材料，格式见附件。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（6-5）依法缴纳社会保障资金的相关材料，格式见附件。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（6-6）参加政府采购活动前三年内，在经营活动中没有重大违法记录，格式见附件。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（6-7）无不良信用记录承诺函（投标人自行查询适用），格式见附件。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（6-8）招标文件要求的其它实质性资格资信证明文件。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（9）《南京市政府采购供应商信用记录表暨信用承诺书》</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（10）公章授权书（如需），格式见附件。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（11）售后服务条款</w:t>
      </w:r>
      <w:r/>
    </w:p>
    <w:p>
      <w:pPr>
        <w:pStyle w:val="816"/>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（1）技术条款偏离表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（2）需求响应方案</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（5）用于本项目人员表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（6）用于本项目设备</w:t>
      </w:r>
      <w:r/>
    </w:p>
    <w:p>
      <w:pPr>
        <w:pStyle w:val="816"/>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（1）要求投标人提交的其他文件材料或证明材料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（2）投标人认为需提供的其他文件或证明材料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72"/>
      <w:r/>
      <w:r/>
    </w:p>
    <w:p>
      <w:pPr>
        <w:pStyle w:val="833"/>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74" w:name="_Toc103848582"/>
      <w:r/>
      <w:bookmarkStart w:id="275" w:name="_Toc107246274"/>
      <w:r/>
      <w:bookmarkStart w:id="276" w:name="_Toc104560897"/>
      <w:r/>
      <w:bookmarkStart w:id="277"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74"/>
      <w:r/>
      <w:bookmarkEnd w:id="275"/>
      <w:r/>
      <w:bookmarkEnd w:id="276"/>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3"/>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78"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7"/>
      <w:r/>
      <w:bookmarkEnd w:id="278"/>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9" w:name="_Toc103848580"/>
      <w:r/>
      <w:bookmarkStart w:id="280"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JSZC-320100-JITC-G2026-0338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31"/>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3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31"/>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3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3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3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3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3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3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3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10"/>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3"/>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81" w:name="_Toc103848583"/>
      <w:r/>
      <w:bookmarkStart w:id="282" w:name="_Toc104560898"/>
      <w:r/>
      <w:bookmarkStart w:id="283"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81"/>
      <w:r/>
      <w:bookmarkEnd w:id="282"/>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83"/>
      <w:r/>
      <w:r/>
    </w:p>
    <w:p>
      <w:pPr>
        <w:pStyle w:val="810"/>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10"/>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10"/>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10"/>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10"/>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10"/>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10"/>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10"/>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0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10"/>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10"/>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10"/>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10"/>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10"/>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1"/>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84" w:name="_Toc103848584"/>
      <w:r/>
      <w:bookmarkStart w:id="285" w:name="_Toc104560899"/>
      <w:r/>
      <w:bookmarkStart w:id="286" w:name="_Toc107246277"/>
      <w:r>
        <w:rPr>
          <w:rFonts w:hint="eastAsia" w:ascii="宋体" w:hAnsi="宋体" w:cs="宋体"/>
          <w:bCs w:val="0"/>
          <w:color w:val="000000" w:themeColor="text1"/>
          <w:sz w:val="24"/>
          <w:szCs w:val="24"/>
          <w:highlight w:val="none"/>
          <w14:textFill>
            <w14:solidFill>
              <w14:schemeClr w14:val="tx1"/>
            </w14:solidFill>
          </w14:textFill>
        </w:rPr>
        <w:t xml:space="preserve">（3）法定代表人授权委托书</w:t>
      </w:r>
      <w:bookmarkEnd w:id="284"/>
      <w:r/>
      <w:bookmarkEnd w:id="285"/>
      <w:r/>
      <w:bookmarkEnd w:id="286"/>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JSZC-320100-JITC-G2026-0338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31"/>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31"/>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0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0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3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3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7" w:name="_Toc104560895"/>
      <w:r/>
      <w:bookmarkStart w:id="288" w:name="_Toc107246279"/>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33"/>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9" w:name="_Toc104560900"/>
      <w:r/>
      <w:bookmarkStart w:id="290" w:name="_Toc107246278"/>
      <w:r/>
      <w:bookmarkStart w:id="291" w:name="_Toc103848585"/>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9"/>
      <w:r/>
      <w:bookmarkEnd w:id="290"/>
      <w:r/>
      <w:bookmarkEnd w:id="291"/>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JSZC-320100-JITC-G2026-0338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31"/>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31"/>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0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1"/>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0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1"/>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33"/>
        <w:numPr>
          <w:ilvl w:val="0"/>
          <w:numId w:val="6"/>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9"/>
      <w:r/>
      <w:bookmarkEnd w:id="287"/>
      <w:r/>
      <w:bookmarkEnd w:id="288"/>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u w:val="single"/>
          <w:lang w:eastAsia="zh-CN"/>
          <w14:textFill>
            <w14:solidFill>
              <w14:schemeClr w14:val="tx1"/>
            </w14:solidFill>
          </w14:textFill>
        </w:rPr>
        <w:t xml:space="preserve">直线加速器及后装治疗机保修项目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92"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JSZC-320100-JITC-G2026-0338</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w:t>
      </w:r>
      <w:r/>
    </w:p>
    <w:tbl>
      <w:tblPr>
        <w:tblStyle w:val="80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305"/>
        </w:trPr>
        <w:tc>
          <w:tcPr>
            <w:tcW w:w="1406"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w:t>
            </w:r>
            <w:r/>
          </w:p>
        </w:tc>
        <w:tc>
          <w:tcPr>
            <w:tcW w:w="3593" w:type="pct"/>
            <w:vAlign w:val="center"/>
            <w:textDirection w:val="lrTb"/>
            <w:noWrap w:val="false"/>
          </w:tcPr>
          <w:p>
            <w:pPr>
              <w:jc w:val="center"/>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     </w:t>
            </w:r>
            <w:r>
              <w:rPr>
                <w:rFonts w:hint="eastAsia" w:ascii="宋体" w:hAnsi="宋体" w:cs="宋体"/>
                <w:color w:val="000000" w:themeColor="text1"/>
                <w:sz w:val="24"/>
                <w:highlight w:val="none"/>
                <w14:textFill>
                  <w14:solidFill>
                    <w14:schemeClr w14:val="tx1"/>
                  </w14:solidFill>
                </w14:textFill>
              </w:rPr>
              <w:t xml:space="preserve">（元/三年）</w:t>
            </w:r>
            <w:r/>
          </w:p>
          <w:p>
            <w:pPr>
              <w:jc w:val="center"/>
              <w:spacing w:line="360" w:lineRule="auto"/>
              <w:widowControl/>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大写：     </w:t>
            </w:r>
            <w:r>
              <w:rPr>
                <w:rFonts w:hint="eastAsia" w:ascii="宋体" w:hAnsi="宋体" w:cs="宋体"/>
                <w:color w:val="000000" w:themeColor="text1"/>
                <w:sz w:val="24"/>
                <w:highlight w:val="none"/>
                <w14:textFill>
                  <w14:solidFill>
                    <w14:schemeClr w14:val="tx1"/>
                  </w14:solidFill>
                </w14:textFill>
              </w:rPr>
              <w:t xml:space="preserve">（元/三年）</w:t>
            </w:r>
            <w:r/>
          </w:p>
        </w:tc>
      </w:tr>
      <w:tr>
        <w:trPr>
          <w:jc w:val="center"/>
          <w:trHeight w:val="964"/>
        </w:trPr>
        <w:tc>
          <w:tcPr>
            <w:tcW w:w="1406"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付款方式：</w:t>
            </w:r>
            <w:r/>
          </w:p>
        </w:tc>
        <w:tc>
          <w:tcPr>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服务地点：</w:t>
            </w:r>
            <w:r/>
          </w:p>
        </w:tc>
        <w:tc>
          <w:tcPr>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964"/>
        </w:trPr>
        <w:tc>
          <w:tcPr>
            <w:tcW w:w="2484" w:type="dxa"/>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w:t>
            </w:r>
            <w:r/>
          </w:p>
        </w:tc>
        <w:tc>
          <w:tcPr>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响应招标文件</w:t>
            </w:r>
            <w:r/>
          </w:p>
        </w:tc>
      </w:tr>
      <w:tr>
        <w:trPr>
          <w:jc w:val="center"/>
          <w:trHeight w:val="1269"/>
        </w:trPr>
        <w:tc>
          <w:tcPr>
            <w:tcW w:w="1406"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服务承接商属于小微企业</w:t>
            </w:r>
            <w:r/>
          </w:p>
        </w:tc>
        <w:tc>
          <w:tcPr>
            <w:tcW w:w="3593" w:type="pct"/>
            <w:vAlign w:val="center"/>
            <w:textDirection w:val="lrTb"/>
            <w:noWrap w:val="false"/>
          </w:tcPr>
          <w:p>
            <w:pPr>
              <w:jc w:val="center"/>
              <w:spacing w:line="48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是       </w:t>
            </w:r>
            <w:r>
              <w:rPr>
                <w:rFonts w:hint="eastAsia" w:ascii="宋体" w:hAnsi="宋体"/>
                <w:color w:val="000000" w:themeColor="text1"/>
                <w:szCs w:val="21"/>
                <w:highlight w:val="none"/>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否</w:t>
            </w:r>
            <w:r/>
          </w:p>
        </w:tc>
      </w:tr>
    </w:tbl>
    <w:p>
      <w:pPr>
        <w:ind w:firstLine="422"/>
        <w:spacing w:line="360" w:lineRule="auto"/>
        <w:tabs>
          <w:tab w:val="left" w:pos="6045" w:leader="none"/>
        </w:tabs>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r>
      <w:r/>
    </w:p>
    <w:p>
      <w:pPr>
        <w:ind w:firstLine="422"/>
        <w:spacing w:line="360" w:lineRule="auto"/>
        <w:tabs>
          <w:tab w:val="left" w:pos="6045" w:leader="none"/>
        </w:tabs>
        <w:rPr>
          <w:rFonts w:hint="eastAsia" w:ascii="宋体" w:hAnsi="宋体" w:cs="宋体"/>
          <w:b/>
          <w:color w:val="000000" w:themeColor="text1"/>
          <w:highlight w:val="none"/>
          <w14:textFill>
            <w14:solidFill>
              <w14:schemeClr w14:val="tx1"/>
            </w14:solidFill>
          </w14:textFill>
        </w:rPr>
      </w:pPr>
      <w:r/>
      <w:bookmarkStart w:id="293" w:name="_Toc104560896"/>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Style w:val="1060"/>
          <w:rFonts w:hint="eastAsia" w:hAnsi="宋体"/>
          <w:color w:val="000000" w:themeColor="text1"/>
          <w:highlight w:val="none"/>
          <w14:textFill>
            <w14:solidFill>
              <w14:schemeClr w14:val="tx1"/>
            </w14:solidFill>
          </w14:textFill>
        </w:rPr>
      </w:pPr>
      <w:r>
        <w:rPr>
          <w:rStyle w:val="1060"/>
          <w:rFonts w:hAnsi="宋体"/>
          <w:color w:val="000000" w:themeColor="text1"/>
          <w:highlight w:val="none"/>
          <w14:textFill>
            <w14:solidFill>
              <w14:schemeClr w14:val="tx1"/>
            </w14:solidFill>
          </w14:textFill>
        </w:rPr>
        <w:br w:type="page" w:clear="all"/>
      </w:r>
      <w:bookmarkEnd w:id="292"/>
      <w:r/>
      <w:bookmarkEnd w:id="293"/>
      <w:r/>
      <w:r/>
    </w:p>
    <w:p>
      <w:pPr>
        <w:ind w:firstLine="372"/>
        <w:rPr>
          <w:color w:val="000000" w:themeColor="text1"/>
          <w:highlight w:val="none"/>
          <w14:textFill>
            <w14:solidFill>
              <w14:schemeClr w14:val="tx1"/>
            </w14:solidFill>
          </w14:textFill>
        </w:rPr>
      </w:pPr>
      <w:r/>
      <w:bookmarkStart w:id="294" w:name="_Toc104560901"/>
      <w:r/>
      <w:bookmarkStart w:id="295" w:name="_Toc103848586"/>
      <w:r/>
      <w:bookmarkStart w:id="296" w:name="_Toc107246281"/>
      <w:r/>
      <w:bookmarkStart w:id="297" w:name="_Toc102117319"/>
      <w:r/>
      <w:r/>
    </w:p>
    <w:p>
      <w:pPr>
        <w:pStyle w:val="833"/>
        <w:numPr>
          <w:ilvl w:val="0"/>
          <w:numId w:val="6"/>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分项报价表（如需）</w:t>
      </w:r>
      <w:r/>
    </w:p>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bl>
      <w:tblPr>
        <w:tblStyle w:val="836"/>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751"/>
        <w:gridCol w:w="2122"/>
        <w:gridCol w:w="964"/>
        <w:gridCol w:w="1575"/>
        <w:gridCol w:w="1172"/>
      </w:tblGrid>
      <w:tr>
        <w:trPr>
          <w:jc w:val="center"/>
        </w:trPr>
        <w:tc>
          <w:tcPr>
            <w:tcW w:w="760"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2751"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项目名称</w:t>
            </w:r>
            <w:r/>
          </w:p>
        </w:tc>
        <w:tc>
          <w:tcPr>
            <w:tcW w:w="212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单年度维保费用（元）</w:t>
            </w:r>
            <w:r/>
          </w:p>
        </w:tc>
        <w:tc>
          <w:tcPr>
            <w:tcW w:w="964"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数量（年）</w:t>
            </w:r>
            <w:r/>
          </w:p>
        </w:tc>
        <w:tc>
          <w:tcPr>
            <w:tcW w:w="1575"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小计（元）</w:t>
            </w:r>
            <w:r/>
          </w:p>
        </w:tc>
        <w:tc>
          <w:tcPr>
            <w:tcW w:w="117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备注</w:t>
            </w:r>
            <w:r/>
          </w:p>
        </w:tc>
      </w:tr>
      <w:tr>
        <w:trPr>
          <w:jc w:val="center"/>
          <w:trHeight w:val="1022"/>
        </w:trPr>
        <w:tc>
          <w:tcPr>
            <w:tcW w:w="760" w:type="dxa"/>
            <w:vAlign w:val="center"/>
            <w:textDirection w:val="lrTb"/>
            <w:noWrap w:val="false"/>
          </w:tcPr>
          <w:p>
            <w:pPr>
              <w:numPr>
                <w:ilvl w:val="0"/>
                <w:numId w:val="7"/>
              </w:numPr>
              <w:ind w:left="0" w:firstLine="0"/>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2751"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直线加速器维保修</w:t>
            </w:r>
            <w:r/>
          </w:p>
        </w:tc>
        <w:tc>
          <w:tcPr>
            <w:tcW w:w="2122"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64"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75"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117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r>
        <w:trPr>
          <w:jc w:val="center"/>
          <w:trHeight w:val="1022"/>
        </w:trPr>
        <w:tc>
          <w:tcPr>
            <w:tcW w:w="760" w:type="dxa"/>
            <w:vAlign w:val="center"/>
            <w:textDirection w:val="lrTb"/>
            <w:noWrap w:val="false"/>
          </w:tcPr>
          <w:p>
            <w:pPr>
              <w:numPr>
                <w:ilvl w:val="0"/>
                <w:numId w:val="7"/>
              </w:numPr>
              <w:ind w:left="0" w:firstLine="0"/>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2751"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后装治疗机保修</w:t>
            </w:r>
            <w:r/>
          </w:p>
        </w:tc>
        <w:tc>
          <w:tcPr>
            <w:tcW w:w="2122"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64"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W w:w="1575"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1172"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r>
        <w:trPr>
          <w:jc w:val="center"/>
          <w:trHeight w:val="1022"/>
        </w:trPr>
        <w:tc>
          <w:tcPr>
            <w:tcW w:w="760" w:type="dxa"/>
            <w:vAlign w:val="center"/>
            <w:textDirection w:val="lrTb"/>
            <w:noWrap w:val="false"/>
          </w:tcPr>
          <w:p>
            <w:pPr>
              <w:numPr>
                <w:ilvl w:val="0"/>
                <w:numId w:val="7"/>
              </w:numPr>
              <w:ind w:left="0" w:firstLine="0"/>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c>
          <w:tcPr>
            <w:tcW w:w="2751"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合计（元）</w:t>
            </w:r>
            <w:r/>
          </w:p>
        </w:tc>
        <w:tc>
          <w:tcPr>
            <w:gridSpan w:val="4"/>
            <w:tcW w:w="5833" w:type="dxa"/>
            <w:vAlign w:val="center"/>
            <w:textDirection w:val="lrTb"/>
            <w:noWrap w:val="false"/>
          </w:tcPr>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tc>
      </w:tr>
    </w:tbl>
    <w:p>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3"/>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94"/>
      <w:r/>
      <w:bookmarkEnd w:id="295"/>
      <w:r/>
      <w:bookmarkEnd w:id="296"/>
      <w:r/>
      <w:r/>
    </w:p>
    <w:p>
      <w:pPr>
        <w:pStyle w:val="1050"/>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w:t>
      </w:r>
      <w:r>
        <w:rPr>
          <w:rFonts w:hint="eastAsia" w:hAnsi="宋体" w:cs="宋体"/>
          <w:color w:val="000000" w:themeColor="text1"/>
          <w:sz w:val="21"/>
          <w:szCs w:val="21"/>
          <w:highlight w:val="none"/>
          <w:lang w:eastAsia="zh-CN"/>
          <w14:textFill>
            <w14:solidFill>
              <w14:schemeClr w14:val="tx1"/>
            </w14:solidFill>
          </w14:textFill>
        </w:rPr>
        <w:t xml:space="preserve">直线加速器及后装治疗机保修项目</w:t>
      </w:r>
      <w:r/>
    </w:p>
    <w:p>
      <w:pPr>
        <w:pStyle w:val="1050"/>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JSZC-320100-JITC-G2026-0338</w:t>
      </w:r>
      <w:r/>
    </w:p>
    <w:tbl>
      <w:tblPr>
        <w:tblStyle w:val="8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854" w:type="pct"/>
            <w:vAlign w:val="center"/>
            <w:textDirection w:val="lrTb"/>
            <w:noWrap w:val="false"/>
          </w:tcPr>
          <w:p>
            <w:pPr>
              <w:pStyle w:val="1050"/>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3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3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3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83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8" w:name="_Toc103848587"/>
      <w:r/>
      <w:bookmarkStart w:id="299" w:name="_Toc10456090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3"/>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300"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8"/>
      <w:r/>
      <w:bookmarkEnd w:id="299"/>
      <w:r/>
      <w:bookmarkEnd w:id="300"/>
      <w:r/>
      <w:r/>
    </w:p>
    <w:p>
      <w:pPr>
        <w:pStyle w:val="833"/>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301" w:name="_Toc104560903"/>
      <w:r/>
      <w:bookmarkStart w:id="302" w:name="_Toc103848588"/>
      <w:r/>
      <w:bookmarkStart w:id="303" w:name="_Toc107246283"/>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97"/>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301"/>
      <w:r/>
      <w:bookmarkEnd w:id="302"/>
      <w:r/>
      <w:bookmarkEnd w:id="30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304"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304"/>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305" w:name="_Toc102117320"/>
      <w:r/>
      <w:bookmarkStart w:id="306" w:name="_Toc103848589"/>
      <w:r>
        <w:rPr>
          <w:rFonts w:hint="eastAsia" w:ascii="宋体" w:hAnsi="宋体" w:cs="宋体"/>
          <w:color w:val="000000" w:themeColor="text1"/>
          <w:highlight w:val="none"/>
          <w14:textFill>
            <w14:solidFill>
              <w14:schemeClr w14:val="tx1"/>
            </w14:solidFill>
          </w14:textFill>
        </w:rPr>
        <w:br w:type="page" w:clear="all"/>
      </w:r>
      <w:bookmarkStart w:id="307" w:name="_Toc107246284"/>
      <w:r/>
      <w:bookmarkStart w:id="308" w:name="_Toc104560904"/>
      <w:r/>
      <w:r/>
    </w:p>
    <w:p>
      <w:pPr>
        <w:pStyle w:val="833"/>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305"/>
      <w:r/>
      <w:bookmarkEnd w:id="306"/>
      <w:r/>
      <w:bookmarkEnd w:id="307"/>
      <w:r/>
      <w:bookmarkEnd w:id="308"/>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9" w:name="_Toc102117321"/>
      <w:r/>
      <w:bookmarkStart w:id="310" w:name="_Toc107246285"/>
      <w:r/>
      <w:bookmarkStart w:id="311" w:name="_Toc103848590"/>
      <w:r/>
      <w:bookmarkStart w:id="312" w:name="_Toc104560905"/>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33"/>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9"/>
      <w:r/>
      <w:bookmarkEnd w:id="310"/>
      <w:r/>
      <w:bookmarkEnd w:id="311"/>
      <w:r/>
      <w:bookmarkEnd w:id="312"/>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bookmarkStart w:id="313" w:name="_Toc103848593"/>
      <w:r/>
      <w:bookmarkStart w:id="314" w:name="_Toc102117322"/>
      <w:r/>
      <w:bookmarkStart w:id="315" w:name="_Toc104560908"/>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36"/>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2102"/>
        <w:gridCol w:w="1686"/>
        <w:gridCol w:w="3069"/>
      </w:tblGrid>
      <w:tr>
        <w:trPr>
          <w:trHeight w:val="567"/>
        </w:trPr>
        <w:tc>
          <w:tcPr>
            <w:tcW w:w="1118" w:type="pct"/>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1735" w:type="pct"/>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1735"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1190" w:type="pct"/>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954"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1735"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1118" w:type="pct"/>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3881" w:type="pct"/>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pStyle w:val="833"/>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316" w:name="_Toc107246286"/>
      <w:r>
        <w:rPr>
          <w:rFonts w:hint="eastAsia" w:ascii="宋体" w:hAnsi="宋体" w:cs="宋体"/>
          <w:bCs w:val="0"/>
          <w:color w:val="000000" w:themeColor="text1"/>
          <w:sz w:val="24"/>
          <w:szCs w:val="24"/>
          <w:highlight w:val="none"/>
          <w14:textFill>
            <w14:solidFill>
              <w14:schemeClr w14:val="tx1"/>
            </w14:solidFill>
          </w14:textFill>
        </w:rPr>
        <w:t xml:space="preserve">（7-3）</w:t>
      </w:r>
      <w:bookmarkEnd w:id="313"/>
      <w:r/>
      <w:bookmarkEnd w:id="314"/>
      <w:r/>
      <w:bookmarkEnd w:id="315"/>
      <w:r/>
      <w:bookmarkEnd w:id="316"/>
      <w:r>
        <w:rPr>
          <w:rFonts w:hint="eastAsia" w:ascii="宋体" w:hAnsi="宋体" w:cs="宋体"/>
          <w:bCs w:val="0"/>
          <w:color w:val="000000" w:themeColor="text1"/>
          <w:sz w:val="24"/>
          <w:szCs w:val="24"/>
          <w:highlight w:val="none"/>
          <w14:textFill>
            <w14:solidFill>
              <w14:schemeClr w14:val="tx1"/>
            </w14:solidFill>
          </w14:textFill>
        </w:rPr>
        <w:t xml:space="preserve">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3"/>
        <w:jc w:val="lef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（7-4）具有履行合同所必需的设备和专业技术能力，投标人提供具备履行合同所必需的设备和专业技术能力的书面声明（由供应商根据项目需求提供材料）；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13"/>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13"/>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33"/>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7" w:name="_Toc103848591"/>
      <w:r/>
      <w:bookmarkStart w:id="318"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9" w:name="_Toc107246287"/>
      <w:r/>
      <w:bookmarkStart w:id="320" w:name="_Toc104560906"/>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7"/>
      <w:r/>
      <w:bookmarkEnd w:id="318"/>
      <w:r/>
      <w:bookmarkEnd w:id="319"/>
      <w:r/>
      <w:bookmarkEnd w:id="320"/>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pStyle w:val="833"/>
        <w:ind w:firstLine="566"/>
        <w:spacing w:line="240" w:lineRule="atLeast"/>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br w:type="page" w:clear="all"/>
      </w:r>
      <w:bookmarkStart w:id="321" w:name="_Toc104560909"/>
      <w:r/>
      <w:bookmarkStart w:id="322" w:name="_Toc103848594"/>
      <w:r/>
      <w:bookmarkStart w:id="323" w:name="_Toc107246289"/>
      <w:r/>
      <w:bookmarkStart w:id="324" w:name="_Toc102117325"/>
      <w:r>
        <w:rPr>
          <w:rFonts w:hint="eastAsia" w:ascii="宋体" w:hAnsi="宋体" w:cs="宋体"/>
          <w:bCs w:val="0"/>
          <w:color w:val="000000" w:themeColor="text1"/>
          <w:sz w:val="24"/>
          <w:szCs w:val="24"/>
          <w:highlight w:val="none"/>
          <w14:textFill>
            <w14:solidFill>
              <w14:schemeClr w14:val="tx1"/>
            </w14:solidFill>
          </w14:textFill>
        </w:rPr>
        <w:t xml:space="preserve">（7-6）没有重大违法记录的书面声明</w:t>
      </w:r>
      <w:bookmarkEnd w:id="321"/>
      <w:r/>
      <w:bookmarkEnd w:id="322"/>
      <w:r/>
      <w:bookmarkEnd w:id="323"/>
      <w:r/>
      <w:bookmarkEnd w:id="324"/>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33"/>
        <w:ind w:firstLine="566"/>
        <w:spacing w:line="240" w:lineRule="atLeast"/>
        <w:rPr>
          <w:rFonts w:hint="eastAsia" w:ascii="宋体" w:hAnsi="宋体" w:cs="宋体"/>
          <w:b w:val="0"/>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25" w:name="_Toc104560910"/>
      <w:r/>
      <w:bookmarkStart w:id="326" w:name="_Toc107246290"/>
      <w:r/>
      <w:r/>
    </w:p>
    <w:p>
      <w:pPr>
        <w:pStyle w:val="833"/>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信用中国查询</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3"/>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 特定资格条件</w:t>
      </w:r>
      <w:r/>
    </w:p>
    <w:p>
      <w:pPr>
        <w:ind w:firstLine="420"/>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 xml:space="preserve">供应商须取得生态环境主管部门核发有效的《辐射安全许可证》，许可活动种类和范围须同时包含</w:t>
      </w:r>
      <w:r>
        <w:rPr>
          <w:rFonts w:hint="eastAsia"/>
          <w:color w:val="000000" w:themeColor="text1"/>
          <w:highlight w:val="none"/>
          <w14:textFill>
            <w14:solidFill>
              <w14:schemeClr w14:val="tx1"/>
            </w14:solidFill>
          </w14:textFill>
        </w:rPr>
        <w:t xml:space="preserve">使用Ⅱ类射线装置和使用Ⅲ类放射源</w:t>
      </w:r>
      <w:r>
        <w:rPr>
          <w:rFonts w:hint="eastAsia"/>
          <w:color w:val="000000" w:themeColor="text1"/>
          <w:highlight w:val="none"/>
          <w:lang w:eastAsia="zh-CN"/>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833"/>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（7-9）承诺函</w:t>
      </w:r>
      <w:bookmarkEnd w:id="325"/>
      <w:r/>
      <w:bookmarkEnd w:id="326"/>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50"/>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50"/>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50"/>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7" w:name="_Toc102117326"/>
      <w:r/>
      <w:bookmarkStart w:id="328"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9" w:name="_Toc107246291"/>
      <w:r/>
      <w:bookmarkStart w:id="330" w:name="_Toc104560911"/>
      <w:r>
        <w:rPr>
          <w:rFonts w:hint="eastAsia" w:ascii="宋体" w:hAnsi="宋体" w:cs="宋体"/>
          <w:bCs w:val="0"/>
          <w:color w:val="000000" w:themeColor="text1"/>
          <w:sz w:val="24"/>
          <w:szCs w:val="24"/>
          <w:highlight w:val="none"/>
          <w14:textFill>
            <w14:solidFill>
              <w14:schemeClr w14:val="tx1"/>
            </w14:solidFill>
          </w14:textFill>
        </w:rPr>
        <w:t xml:space="preserve">（7-10）</w:t>
      </w:r>
      <w:bookmarkEnd w:id="327"/>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9"/>
      <w:r/>
      <w:bookmarkEnd w:id="330"/>
      <w:r/>
      <w:r/>
    </w:p>
    <w:p>
      <w:pPr>
        <w:ind w:firstLine="372"/>
        <w:rPr>
          <w:rFonts w:hint="eastAsia" w:ascii="宋体" w:hAnsi="宋体" w:cs="宋体"/>
          <w:b/>
          <w:bCs/>
          <w:color w:val="000000" w:themeColor="text1"/>
          <w:highlight w:val="none"/>
          <w14:textFill>
            <w14:solidFill>
              <w14:schemeClr w14:val="tx1"/>
            </w14:solidFill>
          </w14:textFill>
        </w:rPr>
      </w:pPr>
      <w:r/>
      <w:bookmarkStart w:id="331" w:name="_Toc10724629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31"/>
      <w:r/>
      <w:bookmarkStart w:id="332" w:name="_Toc107246293"/>
      <w:r/>
      <w:bookmarkStart w:id="333" w:name="_Toc104560912"/>
      <w:r/>
      <w:bookmarkEnd w:id="328"/>
      <w:r/>
      <w:bookmarkEnd w:id="332"/>
      <w:r/>
      <w:bookmarkEnd w:id="333"/>
      <w:r/>
      <w:r/>
    </w:p>
    <w:p>
      <w:pPr>
        <w:pStyle w:val="833"/>
        <w:ind w:firstLine="426"/>
        <w:rPr>
          <w:rFonts w:hint="eastAsia" w:ascii="宋体" w:hAnsi="宋体" w:cs="宋体"/>
          <w:b w:val="0"/>
          <w:color w:val="000000" w:themeColor="text1"/>
          <w:sz w:val="24"/>
          <w:szCs w:val="24"/>
          <w:highlight w:val="none"/>
          <w14:textFill>
            <w14:solidFill>
              <w14:schemeClr w14:val="tx1"/>
            </w14:solidFill>
          </w14:textFill>
        </w:rPr>
      </w:pPr>
      <w:r/>
      <w:bookmarkStart w:id="334" w:name="_Toc107246296"/>
      <w:r/>
      <w:bookmarkStart w:id="335" w:name="_Toc102117330"/>
      <w:r/>
      <w:bookmarkStart w:id="336" w:name="_Toc103848598"/>
      <w:r/>
      <w:bookmarkStart w:id="337" w:name="_Toc104560915"/>
      <w:r>
        <w:rPr>
          <w:rFonts w:hint="eastAsia" w:ascii="宋体" w:hAnsi="宋体" w:cs="宋体"/>
          <w:color w:val="000000" w:themeColor="text1"/>
          <w:sz w:val="24"/>
          <w:szCs w:val="24"/>
          <w:highlight w:val="none"/>
          <w14:textFill>
            <w14:solidFill>
              <w14:schemeClr w14:val="tx1"/>
            </w14:solidFill>
          </w14:textFill>
        </w:rPr>
        <w:t xml:space="preserve">（8）公章授权书（如需）</w:t>
      </w:r>
      <w:bookmarkEnd w:id="334"/>
      <w:r/>
      <w:bookmarkEnd w:id="335"/>
      <w:r/>
      <w:bookmarkEnd w:id="336"/>
      <w:r/>
      <w:bookmarkEnd w:id="337"/>
      <w:r/>
      <w:r/>
    </w:p>
    <w:p>
      <w:pPr>
        <w:pStyle w:val="1050"/>
        <w:ind w:firstLine="0"/>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r>
      <w:r/>
    </w:p>
    <w:p>
      <w:pPr>
        <w:pStyle w:val="1050"/>
        <w:ind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(投标人名称)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14:textFill>
            <w14:solidFill>
              <w14:schemeClr w14:val="tx1"/>
            </w14:solidFill>
          </w14:textFill>
        </w:rPr>
        <w:t xml:space="preserve">南京鼓楼医院</w:t>
      </w:r>
      <w:r>
        <w:rPr>
          <w:rFonts w:hint="eastAsia" w:hAnsi="宋体" w:cs="宋体"/>
          <w:color w:val="000000" w:themeColor="text1"/>
          <w:sz w:val="21"/>
          <w:szCs w:val="21"/>
          <w:highlight w:val="none"/>
          <w:u w:val="single"/>
          <w:lang w:eastAsia="zh-CN"/>
          <w14:textFill>
            <w14:solidFill>
              <w14:schemeClr w14:val="tx1"/>
            </w14:solidFill>
          </w14:textFill>
        </w:rPr>
        <w:t xml:space="preserve">直线加速器及后装治疗机保修项目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JSZC-320100-JITC-G2026-0338</w:t>
      </w:r>
      <w:r>
        <w:rPr>
          <w:rFonts w:hint="eastAsia" w:hAnsi="宋体" w:cs="宋体"/>
          <w:color w:val="000000" w:themeColor="text1"/>
          <w:sz w:val="21"/>
          <w:szCs w:val="21"/>
          <w:highlight w:val="none"/>
          <w:u w:val="single"/>
          <w14:textFill>
            <w14:solidFill>
              <w14:schemeClr w14:val="tx1"/>
            </w14:solidFill>
          </w14:textFill>
        </w:rPr>
        <w:t xml:space="preserve">）</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50"/>
        <w:ind w:right="840"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50"/>
        <w:ind w:right="840" w:firstLine="19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050"/>
        <w:ind w:right="420" w:firstLine="190"/>
        <w:rPr>
          <w:rFonts w:hint="eastAsia" w:hAnsi="宋体" w:cs="宋体"/>
          <w:color w:val="000000" w:themeColor="text1"/>
          <w:sz w:val="21"/>
          <w:szCs w:val="21"/>
          <w:highlight w:val="none"/>
          <w14:textFill>
            <w14:solidFill>
              <w14:schemeClr w14:val="tx1"/>
            </w14:solidFill>
          </w14:textFill>
        </w:rPr>
      </w:pPr>
      <w:r>
        <w:rPr>
          <w:rFonts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050"/>
        <w:ind w:right="420" w:firstLine="481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50"/>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50"/>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50"/>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50"/>
        <w:ind w:right="420" w:firstLine="3150"/>
        <w:jc w:val="left"/>
        <w:spacing w:line="276" w:lineRule="auto"/>
        <w:rPr>
          <w:rFonts w:hint="eastAsia"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投标人名称（公章）：</w:t>
      </w:r>
      <w:r/>
    </w:p>
    <w:p>
      <w:pPr>
        <w:pStyle w:val="1050"/>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ind w:firstLine="3158"/>
        <w:jc w:val="left"/>
        <w:spacing w:line="276" w:lineRule="auto"/>
        <w:rPr>
          <w:rFonts w:hint="eastAsia"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833"/>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38" w:name="_Toc107246299"/>
      <w:r/>
      <w:bookmarkStart w:id="339" w:name="_Toc103848599"/>
      <w:r/>
      <w:bookmarkStart w:id="340"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8"/>
      <w:r/>
      <w:bookmarkEnd w:id="339"/>
      <w:r/>
      <w:bookmarkEnd w:id="340"/>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1" w:name="_Toc104560918"/>
      <w:r/>
      <w:bookmarkStart w:id="342" w:name="_Toc107246301"/>
      <w:r/>
      <w:bookmarkStart w:id="343" w:name="_Toc1038486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41"/>
      <w:r/>
      <w:bookmarkEnd w:id="342"/>
      <w:r/>
      <w:bookmarkEnd w:id="343"/>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w:t>
      </w:r>
      <w:r>
        <w:rPr>
          <w:rFonts w:hint="eastAsia" w:hAnsi="宋体" w:cs="宋体"/>
          <w:color w:val="000000" w:themeColor="text1"/>
          <w:sz w:val="21"/>
          <w:szCs w:val="21"/>
          <w:highlight w:val="none"/>
          <w:lang w:eastAsia="zh-CN"/>
          <w14:textFill>
            <w14:solidFill>
              <w14:schemeClr w14:val="tx1"/>
            </w14:solidFill>
          </w14:textFill>
        </w:rPr>
        <w:t xml:space="preserve">直线加速器及后装治疗机保修项目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50"/>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JSZC-320100-JITC-G2026-0338</w:t>
      </w:r>
      <w:r/>
    </w:p>
    <w:tbl>
      <w:tblPr>
        <w:tblStyle w:val="8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854" w:type="pct"/>
            <w:vAlign w:val="center"/>
            <w:textDirection w:val="lrTb"/>
            <w:noWrap w:val="false"/>
          </w:tcPr>
          <w:p>
            <w:pPr>
              <w:pStyle w:val="1050"/>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91"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1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54" w:type="pct"/>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42"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0" w:type="pct"/>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3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3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3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3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所有偏离必须在本表中逐条列出，未在本偏离表中列出偏离，将视为投标人已完全接受招标文件要求。</w:t>
      </w:r>
      <w:r/>
    </w:p>
    <w:p>
      <w:pPr>
        <w:pStyle w:val="831"/>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10"/>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3"/>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50"/>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50"/>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33"/>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44" w:name="_Toc107246302"/>
      <w:r/>
      <w:bookmarkStart w:id="345" w:name="_Toc104560919"/>
      <w:r/>
      <w:bookmarkStart w:id="346" w:name="_Toc103848602"/>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44"/>
      <w:r/>
      <w:bookmarkEnd w:id="345"/>
      <w:r/>
      <w:bookmarkEnd w:id="346"/>
      <w:r/>
      <w:r/>
    </w:p>
    <w:p>
      <w:pPr>
        <w:pStyle w:val="810"/>
        <w:ind w:firstLine="562"/>
        <w:jc w:val="center"/>
        <w:spacing w:after="0"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承诺函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南京鼓楼医院：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我司承诺：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1.电话报修首次响应时间≤</w:t>
      </w:r>
      <w:r>
        <w:rPr>
          <w:rFonts w:hint="eastAsia" w:ascii="宋体" w:hAnsi="宋体" w:cs="宋体"/>
          <w:color w:val="000000" w:themeColor="text1"/>
          <w:sz w:val="24"/>
          <w:highlight w:val="none"/>
          <w:u w:val="single"/>
          <w14:textFill>
            <w14:solidFill>
              <w14:schemeClr w14:val="tx1"/>
            </w14:solidFill>
          </w14:textFill>
        </w:rPr>
        <w:t xml:space="preserve">    （选填2/1.5/1/0.5）</w:t>
      </w:r>
      <w:r>
        <w:rPr>
          <w:rFonts w:hint="eastAsia" w:ascii="宋体" w:hAnsi="宋体" w:cs="宋体"/>
          <w:color w:val="000000" w:themeColor="text1"/>
          <w:sz w:val="24"/>
          <w:highlight w:val="none"/>
          <w14:textFill>
            <w14:solidFill>
              <w14:schemeClr w14:val="tx1"/>
            </w14:solidFill>
          </w14:textFill>
        </w:rPr>
        <w:t xml:space="preserve">小时，工程师到达现场时间≤</w:t>
      </w:r>
      <w:r>
        <w:rPr>
          <w:rFonts w:hint="eastAsia" w:ascii="宋体" w:hAnsi="宋体" w:cs="宋体"/>
          <w:color w:val="000000" w:themeColor="text1"/>
          <w:sz w:val="24"/>
          <w:highlight w:val="none"/>
          <w:u w:val="single"/>
          <w14:textFill>
            <w14:solidFill>
              <w14:schemeClr w14:val="tx1"/>
            </w14:solidFill>
          </w14:textFill>
        </w:rPr>
        <w:t xml:space="preserve">     （选填24/18/12/6）</w:t>
      </w:r>
      <w:r>
        <w:rPr>
          <w:rFonts w:hint="eastAsia" w:ascii="宋体" w:hAnsi="宋体" w:cs="宋体"/>
          <w:color w:val="000000" w:themeColor="text1"/>
          <w:sz w:val="24"/>
          <w:highlight w:val="none"/>
          <w14:textFill>
            <w14:solidFill>
              <w14:schemeClr w14:val="tx1"/>
            </w14:solidFill>
          </w14:textFill>
        </w:rPr>
        <w:t xml:space="preserve">小时，配件到达设备现场≤</w:t>
      </w:r>
      <w:r>
        <w:rPr>
          <w:rFonts w:hint="eastAsia" w:ascii="宋体" w:hAnsi="宋体" w:cs="宋体"/>
          <w:color w:val="000000" w:themeColor="text1"/>
          <w:sz w:val="24"/>
          <w:highlight w:val="none"/>
          <w:u w:val="single"/>
          <w14:textFill>
            <w14:solidFill>
              <w14:schemeClr w14:val="tx1"/>
            </w14:solidFill>
          </w14:textFill>
        </w:rPr>
        <w:t xml:space="preserve">     （选填24/18/12/6）</w:t>
      </w:r>
      <w:r>
        <w:rPr>
          <w:rFonts w:hint="eastAsia" w:ascii="宋体" w:hAnsi="宋体" w:cs="宋体"/>
          <w:color w:val="000000" w:themeColor="text1"/>
          <w:sz w:val="24"/>
          <w:highlight w:val="none"/>
          <w14:textFill>
            <w14:solidFill>
              <w14:schemeClr w14:val="tx1"/>
            </w14:solidFill>
          </w14:textFill>
        </w:rPr>
        <w:t xml:space="preserve">小时；</w:t>
      </w:r>
      <w:r/>
    </w:p>
    <w:p>
      <w:pPr>
        <w:pStyle w:val="8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2.其他（如有，格式自拟）</w:t>
      </w:r>
      <w:r/>
    </w:p>
    <w:p>
      <w:pPr>
        <w:ind w:left="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投标人名称（盖章）：</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日期：2026年</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ab/>
      </w:r>
      <w:r>
        <w:rPr>
          <w:rFonts w:hint="eastAsia" w:ascii="宋体" w:hAnsi="宋体" w:cs="宋体"/>
          <w:color w:val="000000" w:themeColor="text1"/>
          <w:sz w:val="24"/>
          <w:highlight w:val="none"/>
          <w14:textFill>
            <w14:solidFill>
              <w14:schemeClr w14:val="tx1"/>
            </w14:solidFill>
          </w14:textFill>
        </w:rPr>
        <w:t xml:space="preserve">日</w:t>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20"/>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47" w:name="_Toc107246303"/>
      <w:r/>
      <w:bookmarkStart w:id="348" w:name="_Toc104560920"/>
      <w:r/>
      <w:bookmarkStart w:id="349" w:name="_Toc103848603"/>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47"/>
      <w:r/>
      <w:bookmarkEnd w:id="348"/>
      <w:r/>
      <w:bookmarkEnd w:id="349"/>
      <w:r/>
      <w:r/>
    </w:p>
    <w:p>
      <w:pPr>
        <w:pStyle w:val="1050"/>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0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50"/>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50"/>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50"/>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50"/>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w:t>
      </w:r>
      <w:r>
        <w:rPr>
          <w:rFonts w:hint="eastAsia" w:hAnsi="宋体" w:cs="宋体"/>
          <w:color w:val="000000" w:themeColor="text1"/>
          <w:sz w:val="21"/>
          <w:szCs w:val="21"/>
          <w:highlight w:val="none"/>
          <w:lang w:eastAsia="zh-CN"/>
          <w14:textFill>
            <w14:solidFill>
              <w14:schemeClr w14:val="tx1"/>
            </w14:solidFill>
          </w14:textFill>
        </w:rPr>
        <w:t xml:space="preserve">直线加速器及后装治疗机保修项目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50"/>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JSZC-320100-JITC-G2026-0338</w:t>
      </w:r>
      <w:r/>
    </w:p>
    <w:tbl>
      <w:tblPr>
        <w:tblStyle w:val="80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80"/>
      <w:r/>
      <w:r/>
    </w:p>
    <w:p>
      <w:pPr>
        <w:ind w:firstLine="372"/>
        <w:jc w:val="center"/>
        <w:rPr>
          <w:b/>
          <w:bCs/>
          <w:color w:val="000000" w:themeColor="text1"/>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三、其他部分</w:t>
      </w:r>
      <w:r/>
    </w:p>
    <w:p>
      <w:pPr>
        <w:ind w:firstLine="372"/>
        <w:rPr>
          <w:rFonts w:hint="eastAsia" w:ascii="宋体" w:hAnsi="宋体" w:cs="宋体"/>
          <w:color w:val="000000" w:themeColor="text1"/>
          <w:highlight w:val="none"/>
          <w14:textFill>
            <w14:solidFill>
              <w14:schemeClr w14:val="tx1"/>
            </w14:solidFill>
          </w14:textFill>
        </w:rPr>
      </w:pPr>
      <w:r/>
      <w:bookmarkStart w:id="350" w:name="_Toc107246306"/>
      <w:r/>
      <w:bookmarkStart w:id="351" w:name="_Toc103848606"/>
      <w:r/>
      <w:bookmarkStart w:id="352" w:name="_Toc104560923"/>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53" w:name="_Toc103848608"/>
      <w:r/>
      <w:bookmarkStart w:id="354" w:name="_Toc107246308"/>
      <w:r/>
      <w:bookmarkStart w:id="355" w:name="_Toc104560925"/>
      <w:r/>
      <w:bookmarkStart w:id="356" w:name="_Toc107246307"/>
      <w:r/>
      <w:bookmarkStart w:id="357" w:name="_Toc100905295"/>
      <w:r/>
      <w:bookmarkStart w:id="358" w:name="_Toc103848607"/>
      <w:r/>
      <w:bookmarkStart w:id="359" w:name="_Toc104560924"/>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53"/>
      <w:r/>
      <w:bookmarkEnd w:id="354"/>
      <w:r/>
      <w:bookmarkEnd w:id="355"/>
      <w:r/>
      <w:r/>
    </w:p>
    <w:p>
      <w:pPr>
        <w:pStyle w:val="813"/>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13"/>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356"/>
      <w:r/>
      <w:bookmarkEnd w:id="357"/>
      <w:r/>
      <w:bookmarkEnd w:id="358"/>
      <w:r/>
      <w:bookmarkEnd w:id="359"/>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（2）投标人认为需提供的其他文件或证明材料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3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50"/>
      <w:r/>
      <w:bookmarkEnd w:id="351"/>
      <w:r/>
      <w:bookmarkEnd w:id="35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50"/>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中小企业声明函（服务）</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直线加速器及后装治疗机保修项目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采购活动，提供的服务全部由符合政策要求的中小企业承接。相关企业（含联合体中的中小企业、签订分包意向协议的中小企业）的具体情况如下：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numPr>
          <w:ilvl w:val="0"/>
          <w:numId w:val="8"/>
        </w:numPr>
        <w:ind w:firstLine="373"/>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中小微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50"/>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50"/>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50"/>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50"/>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50"/>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50"/>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r/>
    </w:p>
    <w:p>
      <w:pPr>
        <w:pStyle w:val="1050"/>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22"/>
    </w:pPr>
    <w:r>
      <w:rPr>
        <w:rFonts w:hint="eastAsia" w:ascii="宋体" w:hAnsi="宋体" w:cs="宋体"/>
        <w:color w:val="000000"/>
        <w:sz w:val="22"/>
        <w:szCs w:val="22"/>
      </w:rPr>
      <w:t xml:space="preserve">（南京鼓楼医院</w:t>
    </w:r>
    <w:r>
      <w:rPr>
        <w:rFonts w:hint="eastAsia" w:ascii="宋体" w:hAnsi="宋体" w:cs="宋体"/>
        <w:color w:val="000000"/>
        <w:sz w:val="22"/>
        <w:szCs w:val="22"/>
        <w:lang w:eastAsia="zh-CN"/>
      </w:rPr>
      <w:t xml:space="preserve">直线加速器及后装治疗机保修项目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2">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1">
    <w:name w:val="TOC Heading"/>
    <w:uiPriority w:val="39"/>
    <w:unhideWhenUsed/>
  </w:style>
  <w:style w:type="paragraph" w:styleId="7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3">
    <w:name w:val="Heading 1"/>
    <w:basedOn w:val="792"/>
    <w:next w:val="792"/>
    <w:link w:val="876"/>
    <w:uiPriority w:val="0"/>
    <w:qFormat/>
    <w:pPr>
      <w:ind w:left="100" w:right="100"/>
      <w:keepLines/>
      <w:keepNext/>
      <w:spacing w:before="120" w:after="120"/>
      <w:outlineLvl w:val="0"/>
    </w:pPr>
    <w:rPr>
      <w:b/>
      <w:bCs/>
      <w:szCs w:val="44"/>
    </w:rPr>
  </w:style>
  <w:style w:type="paragraph" w:styleId="794">
    <w:name w:val="Heading 2"/>
    <w:basedOn w:val="792"/>
    <w:next w:val="804"/>
    <w:link w:val="864"/>
    <w:uiPriority w:val="0"/>
    <w:qFormat/>
    <w:pPr>
      <w:keepLines/>
      <w:keepNext/>
      <w:spacing w:before="260" w:after="260" w:line="416" w:lineRule="auto"/>
      <w:outlineLvl w:val="1"/>
    </w:pPr>
    <w:rPr>
      <w:rFonts w:ascii="等线 Light" w:hAnsi="等线 Light" w:eastAsia="等线 Light"/>
      <w:b/>
      <w:bCs/>
      <w:sz w:val="32"/>
      <w:szCs w:val="32"/>
    </w:rPr>
  </w:style>
  <w:style w:type="paragraph" w:styleId="795">
    <w:name w:val="Heading 3"/>
    <w:basedOn w:val="792"/>
    <w:next w:val="792"/>
    <w:link w:val="875"/>
    <w:uiPriority w:val="9"/>
    <w:qFormat/>
    <w:pPr>
      <w:keepLines/>
      <w:keepNext/>
      <w:spacing w:before="260" w:after="260" w:line="416" w:lineRule="auto"/>
      <w:outlineLvl w:val="2"/>
    </w:pPr>
    <w:rPr>
      <w:b/>
      <w:bCs/>
      <w:sz w:val="32"/>
      <w:szCs w:val="32"/>
    </w:rPr>
  </w:style>
  <w:style w:type="paragraph" w:styleId="796">
    <w:name w:val="Heading 4"/>
    <w:basedOn w:val="792"/>
    <w:next w:val="792"/>
    <w:link w:val="877"/>
    <w:uiPriority w:val="0"/>
    <w:qFormat/>
    <w:pPr>
      <w:keepLines/>
      <w:keepNext/>
      <w:spacing w:before="280" w:after="290" w:line="376" w:lineRule="auto"/>
      <w:outlineLvl w:val="3"/>
    </w:pPr>
    <w:rPr>
      <w:rFonts w:ascii="等线 Light" w:hAnsi="等线 Light" w:eastAsia="等线 Light"/>
      <w:b/>
      <w:bCs/>
      <w:sz w:val="28"/>
      <w:szCs w:val="28"/>
    </w:rPr>
  </w:style>
  <w:style w:type="paragraph" w:styleId="797">
    <w:name w:val="Heading 5"/>
    <w:basedOn w:val="792"/>
    <w:next w:val="792"/>
    <w:link w:val="885"/>
    <w:uiPriority w:val="9"/>
    <w:unhideWhenUsed/>
    <w:qFormat/>
    <w:pPr>
      <w:keepLines/>
      <w:keepNext/>
      <w:spacing w:before="320" w:after="200"/>
      <w:outlineLvl w:val="4"/>
    </w:pPr>
    <w:rPr>
      <w:rFonts w:ascii="Arial" w:hAnsi="Arial" w:eastAsia="Arial" w:cs="Arial"/>
      <w:b/>
      <w:bCs/>
      <w:sz w:val="24"/>
    </w:rPr>
  </w:style>
  <w:style w:type="paragraph" w:styleId="798">
    <w:name w:val="Heading 6"/>
    <w:basedOn w:val="792"/>
    <w:next w:val="792"/>
    <w:link w:val="1009"/>
    <w:uiPriority w:val="0"/>
    <w:qFormat/>
    <w:pPr>
      <w:keepLines/>
      <w:keepNext/>
      <w:spacing w:before="240" w:after="64" w:line="320" w:lineRule="auto"/>
      <w:outlineLvl w:val="5"/>
    </w:pPr>
    <w:rPr>
      <w:rFonts w:ascii="等线 Light" w:hAnsi="等线 Light" w:eastAsia="等线 Light"/>
      <w:b/>
      <w:bCs/>
      <w:sz w:val="24"/>
    </w:rPr>
  </w:style>
  <w:style w:type="paragraph" w:styleId="799">
    <w:name w:val="Heading 7"/>
    <w:basedOn w:val="792"/>
    <w:next w:val="792"/>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1010"/>
    <w:uiPriority w:val="0"/>
    <w:qFormat/>
    <w:pPr>
      <w:keepLines/>
      <w:keepNext/>
      <w:spacing w:before="240" w:after="64" w:line="320" w:lineRule="auto"/>
      <w:outlineLvl w:val="7"/>
    </w:pPr>
    <w:rPr>
      <w:rFonts w:ascii="等线 Light" w:hAnsi="等线 Light" w:eastAsia="等线 Light"/>
      <w:sz w:val="24"/>
    </w:rPr>
  </w:style>
  <w:style w:type="paragraph" w:styleId="801">
    <w:name w:val="Heading 9"/>
    <w:basedOn w:val="792"/>
    <w:next w:val="792"/>
    <w:link w:val="889"/>
    <w:uiPriority w:val="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Normal Indent"/>
    <w:basedOn w:val="792"/>
    <w:link w:val="1012"/>
    <w:uiPriority w:val="99"/>
    <w:qFormat/>
    <w:pPr>
      <w:ind w:firstLine="420"/>
    </w:pPr>
    <w:rPr>
      <w:szCs w:val="20"/>
    </w:rPr>
  </w:style>
  <w:style w:type="paragraph" w:styleId="805">
    <w:name w:val="List 3"/>
    <w:basedOn w:val="792"/>
    <w:uiPriority w:val="0"/>
    <w:qFormat/>
    <w:pPr>
      <w:contextualSpacing/>
      <w:ind w:left="100" w:hanging="200"/>
      <w:jc w:val="left"/>
      <w:widowControl/>
    </w:pPr>
    <w:rPr>
      <w:sz w:val="20"/>
      <w:szCs w:val="20"/>
    </w:rPr>
  </w:style>
  <w:style w:type="paragraph" w:styleId="806">
    <w:name w:val="toc 7"/>
    <w:basedOn w:val="792"/>
    <w:next w:val="792"/>
    <w:uiPriority w:val="39"/>
    <w:unhideWhenUsed/>
    <w:qFormat/>
    <w:pPr>
      <w:ind w:left="1701"/>
      <w:spacing w:after="57"/>
    </w:pPr>
  </w:style>
  <w:style w:type="paragraph" w:styleId="807">
    <w:name w:val="Caption"/>
    <w:basedOn w:val="792"/>
    <w:next w:val="79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08">
    <w:name w:val="Document Map"/>
    <w:basedOn w:val="792"/>
    <w:link w:val="1013"/>
    <w:uiPriority w:val="0"/>
    <w:qFormat/>
    <w:pPr>
      <w:shd w:val="clear" w:color="auto" w:fill="000080"/>
    </w:pPr>
  </w:style>
  <w:style w:type="paragraph" w:styleId="809">
    <w:name w:val="annotation text"/>
    <w:basedOn w:val="792"/>
    <w:link w:val="1014"/>
    <w:uiPriority w:val="0"/>
    <w:qFormat/>
    <w:pPr>
      <w:jc w:val="left"/>
    </w:pPr>
  </w:style>
  <w:style w:type="paragraph" w:styleId="810">
    <w:name w:val="Body Text"/>
    <w:basedOn w:val="792"/>
    <w:next w:val="792"/>
    <w:link w:val="1015"/>
    <w:uiPriority w:val="1"/>
    <w:qFormat/>
    <w:pPr>
      <w:spacing w:after="120"/>
    </w:pPr>
  </w:style>
  <w:style w:type="paragraph" w:styleId="811">
    <w:name w:val="Body Text Indent"/>
    <w:basedOn w:val="792"/>
    <w:next w:val="812"/>
    <w:uiPriority w:val="0"/>
    <w:qFormat/>
    <w:pPr>
      <w:ind w:left="420"/>
      <w:spacing w:after="120"/>
    </w:pPr>
  </w:style>
  <w:style w:type="paragraph" w:styleId="812">
    <w:name w:val="envelope return"/>
    <w:basedOn w:val="792"/>
    <w:uiPriority w:val="0"/>
    <w:qFormat/>
    <w:rPr>
      <w:rFonts w:ascii="Arial" w:hAnsi="Arial"/>
    </w:rPr>
  </w:style>
  <w:style w:type="paragraph" w:styleId="813">
    <w:name w:val="index 4"/>
    <w:basedOn w:val="792"/>
    <w:next w:val="792"/>
    <w:uiPriority w:val="99"/>
    <w:unhideWhenUsed/>
    <w:qFormat/>
    <w:pPr>
      <w:ind w:left="600"/>
    </w:pPr>
    <w:rPr>
      <w:rFonts w:ascii="宋体"/>
      <w:b/>
      <w:position w:val="-10"/>
      <w:sz w:val="24"/>
      <w:szCs w:val="20"/>
    </w:rPr>
  </w:style>
  <w:style w:type="paragraph" w:styleId="814">
    <w:name w:val="toc 5"/>
    <w:basedOn w:val="792"/>
    <w:next w:val="792"/>
    <w:uiPriority w:val="39"/>
    <w:unhideWhenUsed/>
    <w:qFormat/>
    <w:pPr>
      <w:ind w:left="1134"/>
      <w:spacing w:after="57"/>
    </w:pPr>
  </w:style>
  <w:style w:type="paragraph" w:styleId="815">
    <w:name w:val="toc 3"/>
    <w:basedOn w:val="792"/>
    <w:next w:val="792"/>
    <w:uiPriority w:val="39"/>
    <w:unhideWhenUsed/>
    <w:qFormat/>
    <w:pPr>
      <w:ind w:left="567"/>
      <w:spacing w:after="57"/>
    </w:pPr>
  </w:style>
  <w:style w:type="paragraph" w:styleId="816">
    <w:name w:val="Plain Text"/>
    <w:basedOn w:val="792"/>
    <w:link w:val="1018"/>
    <w:uiPriority w:val="0"/>
    <w:qFormat/>
    <w:rPr>
      <w:rFonts w:ascii="宋体" w:hAnsi="Courier New" w:cs="Courier New"/>
      <w:szCs w:val="21"/>
    </w:rPr>
  </w:style>
  <w:style w:type="paragraph" w:styleId="817">
    <w:name w:val="toc 8"/>
    <w:basedOn w:val="792"/>
    <w:next w:val="792"/>
    <w:uiPriority w:val="39"/>
    <w:unhideWhenUsed/>
    <w:qFormat/>
    <w:pPr>
      <w:ind w:left="1984"/>
      <w:spacing w:after="57"/>
    </w:pPr>
  </w:style>
  <w:style w:type="paragraph" w:styleId="818">
    <w:name w:val="Date"/>
    <w:basedOn w:val="792"/>
    <w:next w:val="792"/>
    <w:link w:val="1020"/>
    <w:uiPriority w:val="0"/>
    <w:qFormat/>
    <w:rPr>
      <w:sz w:val="24"/>
      <w:szCs w:val="20"/>
    </w:rPr>
  </w:style>
  <w:style w:type="paragraph" w:styleId="819">
    <w:name w:val="endnote text"/>
    <w:basedOn w:val="792"/>
    <w:link w:val="1006"/>
    <w:uiPriority w:val="99"/>
    <w:semiHidden/>
    <w:unhideWhenUsed/>
    <w:qFormat/>
    <w:rPr>
      <w:sz w:val="20"/>
    </w:rPr>
  </w:style>
  <w:style w:type="paragraph" w:styleId="820">
    <w:name w:val="Balloon Text"/>
    <w:basedOn w:val="792"/>
    <w:link w:val="1021"/>
    <w:uiPriority w:val="0"/>
    <w:qFormat/>
    <w:rPr>
      <w:sz w:val="18"/>
      <w:szCs w:val="18"/>
    </w:rPr>
  </w:style>
  <w:style w:type="paragraph" w:styleId="821">
    <w:name w:val="Footer"/>
    <w:basedOn w:val="792"/>
    <w:link w:val="1022"/>
    <w:uiPriority w:val="99"/>
    <w:qFormat/>
    <w:pPr>
      <w:jc w:val="left"/>
      <w:tabs>
        <w:tab w:val="center" w:pos="4153" w:leader="none"/>
        <w:tab w:val="right" w:pos="8306" w:leader="none"/>
      </w:tabs>
    </w:pPr>
    <w:rPr>
      <w:sz w:val="18"/>
      <w:szCs w:val="18"/>
    </w:rPr>
  </w:style>
  <w:style w:type="paragraph" w:styleId="822">
    <w:name w:val="Header"/>
    <w:basedOn w:val="792"/>
    <w:link w:val="1023"/>
    <w:uiPriority w:val="99"/>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2"/>
    <w:next w:val="792"/>
    <w:uiPriority w:val="39"/>
    <w:unhideWhenUsed/>
    <w:qFormat/>
    <w:pPr>
      <w:spacing w:after="57"/>
    </w:pPr>
  </w:style>
  <w:style w:type="paragraph" w:styleId="824">
    <w:name w:val="toc 4"/>
    <w:basedOn w:val="792"/>
    <w:next w:val="792"/>
    <w:uiPriority w:val="39"/>
    <w:unhideWhenUsed/>
    <w:qFormat/>
    <w:pPr>
      <w:ind w:left="850"/>
      <w:spacing w:after="57"/>
    </w:pPr>
  </w:style>
  <w:style w:type="paragraph" w:styleId="825">
    <w:name w:val="Subtitle"/>
    <w:basedOn w:val="792"/>
    <w:next w:val="792"/>
    <w:link w:val="891"/>
    <w:uiPriority w:val="11"/>
    <w:qFormat/>
    <w:pPr>
      <w:spacing w:before="200" w:after="200"/>
    </w:pPr>
    <w:rPr>
      <w:sz w:val="24"/>
    </w:rPr>
  </w:style>
  <w:style w:type="paragraph" w:styleId="826">
    <w:name w:val="footnote text"/>
    <w:basedOn w:val="792"/>
    <w:link w:val="1005"/>
    <w:uiPriority w:val="99"/>
    <w:semiHidden/>
    <w:unhideWhenUsed/>
    <w:qFormat/>
    <w:pPr>
      <w:spacing w:after="40"/>
    </w:pPr>
    <w:rPr>
      <w:sz w:val="18"/>
    </w:rPr>
  </w:style>
  <w:style w:type="paragraph" w:styleId="827">
    <w:name w:val="toc 6"/>
    <w:basedOn w:val="792"/>
    <w:next w:val="792"/>
    <w:uiPriority w:val="39"/>
    <w:unhideWhenUsed/>
    <w:qFormat/>
    <w:pPr>
      <w:ind w:left="1417"/>
      <w:spacing w:after="57"/>
    </w:pPr>
  </w:style>
  <w:style w:type="paragraph" w:styleId="828">
    <w:name w:val="table of figures"/>
    <w:basedOn w:val="792"/>
    <w:next w:val="792"/>
    <w:uiPriority w:val="99"/>
    <w:unhideWhenUsed/>
    <w:qFormat/>
  </w:style>
  <w:style w:type="paragraph" w:styleId="829">
    <w:name w:val="toc 2"/>
    <w:basedOn w:val="792"/>
    <w:next w:val="792"/>
    <w:uiPriority w:val="99"/>
    <w:semiHidden/>
    <w:qFormat/>
    <w:pPr>
      <w:ind w:left="420"/>
    </w:pPr>
    <w:rPr>
      <w:rFonts w:eastAsia="楷体_GB2312"/>
      <w:sz w:val="26"/>
      <w:szCs w:val="26"/>
    </w:rPr>
  </w:style>
  <w:style w:type="paragraph" w:styleId="830">
    <w:name w:val="toc 9"/>
    <w:basedOn w:val="792"/>
    <w:next w:val="792"/>
    <w:uiPriority w:val="39"/>
    <w:unhideWhenUsed/>
    <w:qFormat/>
    <w:pPr>
      <w:ind w:left="2268"/>
      <w:spacing w:after="57"/>
    </w:pPr>
  </w:style>
  <w:style w:type="paragraph" w:styleId="831">
    <w:name w:val="Body Text 2"/>
    <w:basedOn w:val="792"/>
    <w:link w:val="1029"/>
    <w:uiPriority w:val="0"/>
    <w:qFormat/>
    <w:pPr>
      <w:spacing w:after="120" w:line="480" w:lineRule="auto"/>
    </w:pPr>
    <w:rPr>
      <w:rFonts w:ascii="Calibri" w:hAnsi="Calibri"/>
    </w:rPr>
  </w:style>
  <w:style w:type="paragraph" w:styleId="832">
    <w:name w:val="Normal (Web)"/>
    <w:basedOn w:val="792"/>
    <w:uiPriority w:val="99"/>
    <w:qFormat/>
    <w:pPr>
      <w:jc w:val="left"/>
      <w:spacing w:before="100" w:beforeAutospacing="1" w:after="100" w:afterAutospacing="1"/>
      <w:widowControl/>
    </w:pPr>
    <w:rPr>
      <w:sz w:val="24"/>
    </w:rPr>
  </w:style>
  <w:style w:type="paragraph" w:styleId="833">
    <w:name w:val="Title"/>
    <w:basedOn w:val="792"/>
    <w:next w:val="792"/>
    <w:link w:val="1030"/>
    <w:uiPriority w:val="0"/>
    <w:qFormat/>
    <w:pPr>
      <w:jc w:val="center"/>
      <w:spacing w:before="240" w:after="60" w:line="360" w:lineRule="auto"/>
      <w:outlineLvl w:val="0"/>
    </w:pPr>
    <w:rPr>
      <w:rFonts w:ascii="等线 Light" w:hAnsi="等线 Light"/>
      <w:b/>
      <w:bCs/>
      <w:sz w:val="32"/>
      <w:szCs w:val="32"/>
    </w:rPr>
  </w:style>
  <w:style w:type="paragraph" w:styleId="834">
    <w:name w:val="annotation subject"/>
    <w:basedOn w:val="809"/>
    <w:next w:val="809"/>
    <w:link w:val="1031"/>
    <w:uiPriority w:val="0"/>
    <w:qFormat/>
    <w:rPr>
      <w:b/>
      <w:bCs/>
    </w:rPr>
  </w:style>
  <w:style w:type="paragraph" w:styleId="835">
    <w:name w:val="Body Text First Indent"/>
    <w:basedOn w:val="810"/>
    <w:uiPriority w:val="0"/>
    <w:qFormat/>
    <w:pPr>
      <w:ind w:firstLine="420"/>
      <w:spacing w:line="360" w:lineRule="auto"/>
    </w:pPr>
    <w:rPr>
      <w:szCs w:val="21"/>
    </w:rPr>
  </w:style>
  <w:style w:type="table" w:styleId="836">
    <w:name w:val="Table Grid"/>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uiPriority w:val="0"/>
    <w:qFormat/>
    <w:rPr>
      <w:b/>
      <w:bCs/>
    </w:rPr>
  </w:style>
  <w:style w:type="character" w:styleId="838">
    <w:name w:val="endnote reference"/>
    <w:basedOn w:val="802"/>
    <w:uiPriority w:val="99"/>
    <w:semiHidden/>
    <w:unhideWhenUsed/>
    <w:qFormat/>
    <w:rPr>
      <w:vertAlign w:val="superscript"/>
    </w:rPr>
  </w:style>
  <w:style w:type="character" w:styleId="839">
    <w:name w:val="page number"/>
    <w:uiPriority w:val="0"/>
    <w:qFormat/>
  </w:style>
  <w:style w:type="character" w:styleId="840">
    <w:name w:val="Emphasis"/>
    <w:uiPriority w:val="0"/>
    <w:qFormat/>
    <w:rPr>
      <w:i/>
      <w:iCs/>
    </w:rPr>
  </w:style>
  <w:style w:type="character" w:styleId="841">
    <w:name w:val="Hyperlink"/>
    <w:uiPriority w:val="99"/>
    <w:qFormat/>
    <w:rPr>
      <w:color w:val="auto"/>
      <w:u w:val="none"/>
    </w:rPr>
  </w:style>
  <w:style w:type="character" w:styleId="842">
    <w:name w:val="annotation reference"/>
    <w:uiPriority w:val="0"/>
    <w:qFormat/>
    <w:rPr>
      <w:sz w:val="21"/>
      <w:szCs w:val="21"/>
    </w:rPr>
  </w:style>
  <w:style w:type="character" w:styleId="843">
    <w:name w:val="footnote reference"/>
    <w:basedOn w:val="802"/>
    <w:uiPriority w:val="99"/>
    <w:unhideWhenUsed/>
    <w:qFormat/>
    <w:rPr>
      <w:vertAlign w:val="superscript"/>
    </w:rPr>
  </w:style>
  <w:style w:type="table" w:styleId="844" w:customStyle="1">
    <w:name w:val="无格式表格 11"/>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8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网格表 3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8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网格表 5 深色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网格表 6 彩色1"/>
    <w:basedOn w:val="8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网格表 7 彩色1"/>
    <w:basedOn w:val="8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清单表 1 浅色1"/>
    <w:basedOn w:val="8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清单表 21"/>
    <w:basedOn w:val="8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清单表 3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4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清单表 5 深色1"/>
    <w:basedOn w:val="8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basedOn w:val="8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清单表 7 彩色1"/>
    <w:basedOn w:val="8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3" w:customStyle="1">
    <w:name w:val="TOC 标题1"/>
    <w:uiPriority w:val="39"/>
    <w:unhideWhenUsed/>
    <w:qFormat/>
    <w:rPr>
      <w:rFonts w:ascii="Times New Roman" w:hAnsi="Times New Roman" w:eastAsia="宋体" w:cs="Times New Roman"/>
      <w:lang w:val="en-US" w:eastAsia="zh-CN" w:bidi="ar-SA"/>
    </w:rPr>
  </w:style>
  <w:style w:type="character" w:styleId="864" w:customStyle="1">
    <w:name w:val="标题 2 字符"/>
    <w:link w:val="794"/>
    <w:uiPriority w:val="0"/>
    <w:semiHidden/>
    <w:qFormat/>
    <w:rPr>
      <w:rFonts w:ascii="等线 Light" w:hAnsi="等线 Light" w:eastAsia="等线 Light" w:cs="Times New Roman"/>
      <w:b/>
      <w:bCs/>
      <w:sz w:val="32"/>
      <w:szCs w:val="32"/>
    </w:rPr>
  </w:style>
  <w:style w:type="paragraph" w:styleId="865" w:customStyle="1">
    <w:name w:val="段"/>
    <w:next w:val="792"/>
    <w:uiPriority w:val="0"/>
    <w:qFormat/>
    <w:pPr>
      <w:ind w:firstLine="200"/>
      <w:jc w:val="both"/>
      <w:spacing w:after="160" w:line="278" w:lineRule="auto"/>
    </w:pPr>
    <w:rPr>
      <w:rFonts w:ascii="宋体" w:hAnsi="Calibri" w:eastAsia="宋体" w:cs="Times New Roman"/>
      <w:sz w:val="21"/>
      <w:szCs w:val="22"/>
      <w:lang w:val="en-US" w:eastAsia="zh-CN" w:bidi="ar-SA"/>
    </w:rPr>
  </w:style>
  <w:style w:type="character" w:styleId="866" w:customStyle="1">
    <w:name w:val="Heading 5 Char"/>
    <w:basedOn w:val="802"/>
    <w:uiPriority w:val="9"/>
    <w:qFormat/>
    <w:rPr>
      <w:rFonts w:ascii="Arial" w:hAnsi="Arial" w:eastAsia="Arial" w:cs="Arial"/>
      <w:b/>
      <w:bCs/>
      <w:sz w:val="24"/>
      <w:szCs w:val="24"/>
    </w:rPr>
  </w:style>
  <w:style w:type="character" w:styleId="867" w:customStyle="1">
    <w:name w:val="Heading 7 Char"/>
    <w:basedOn w:val="802"/>
    <w:uiPriority w:val="9"/>
    <w:qFormat/>
    <w:rPr>
      <w:rFonts w:ascii="Arial" w:hAnsi="Arial" w:eastAsia="Arial" w:cs="Arial"/>
      <w:b/>
      <w:bCs/>
      <w:i/>
      <w:iCs/>
      <w:sz w:val="22"/>
      <w:szCs w:val="22"/>
    </w:rPr>
  </w:style>
  <w:style w:type="character" w:styleId="868" w:customStyle="1">
    <w:name w:val="Heading 9 Char"/>
    <w:basedOn w:val="802"/>
    <w:uiPriority w:val="9"/>
    <w:qFormat/>
    <w:rPr>
      <w:rFonts w:ascii="Arial" w:hAnsi="Arial" w:eastAsia="Arial" w:cs="Arial"/>
      <w:i/>
      <w:iCs/>
      <w:sz w:val="21"/>
      <w:szCs w:val="21"/>
    </w:rPr>
  </w:style>
  <w:style w:type="character" w:styleId="869" w:customStyle="1">
    <w:name w:val="Subtitle Char"/>
    <w:basedOn w:val="802"/>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Footnote Text Char"/>
    <w:uiPriority w:val="99"/>
    <w:qFormat/>
    <w:rPr>
      <w:sz w:val="18"/>
    </w:rPr>
  </w:style>
  <w:style w:type="character" w:styleId="873" w:customStyle="1">
    <w:name w:val="Endnote Text Char"/>
    <w:uiPriority w:val="99"/>
    <w:qFormat/>
    <w:rPr>
      <w:sz w:val="20"/>
    </w:rPr>
  </w:style>
  <w:style w:type="paragraph" w:styleId="874" w:customStyle="1">
    <w:name w:val="TOC 标题112"/>
    <w:uiPriority w:val="39"/>
    <w:unhideWhenUsed/>
    <w:qFormat/>
    <w:rPr>
      <w:rFonts w:ascii="Times New Roman" w:hAnsi="Times New Roman" w:eastAsia="宋体" w:cs="Times New Roman"/>
      <w:lang w:val="en-US" w:eastAsia="zh-CN" w:bidi="ar-SA"/>
    </w:rPr>
  </w:style>
  <w:style w:type="character" w:styleId="875" w:customStyle="1">
    <w:name w:val="标题 3 字符"/>
    <w:link w:val="795"/>
    <w:uiPriority w:val="9"/>
    <w:qFormat/>
    <w:rPr>
      <w:rFonts w:eastAsia="宋体"/>
      <w:b/>
      <w:bCs/>
      <w:sz w:val="32"/>
      <w:szCs w:val="32"/>
      <w:lang w:val="en-US" w:eastAsia="zh-CN" w:bidi="ar-SA"/>
    </w:rPr>
  </w:style>
  <w:style w:type="character" w:styleId="876" w:customStyle="1">
    <w:name w:val="标题 1 字符"/>
    <w:link w:val="793"/>
    <w:uiPriority w:val="0"/>
    <w:qFormat/>
    <w:rPr>
      <w:b/>
      <w:bCs/>
      <w:sz w:val="21"/>
      <w:szCs w:val="44"/>
    </w:rPr>
  </w:style>
  <w:style w:type="character" w:styleId="877" w:customStyle="1">
    <w:name w:val="标题 4 字符"/>
    <w:link w:val="796"/>
    <w:uiPriority w:val="0"/>
    <w:semiHidden/>
    <w:qFormat/>
    <w:rPr>
      <w:rFonts w:ascii="等线 Light" w:hAnsi="等线 Light" w:eastAsia="等线 Light" w:cs="Times New Roman"/>
      <w:b/>
      <w:bCs/>
      <w:sz w:val="28"/>
      <w:szCs w:val="28"/>
    </w:rPr>
  </w:style>
  <w:style w:type="paragraph" w:styleId="878" w:customStyle="1">
    <w:name w:val="首行缩进"/>
    <w:basedOn w:val="792"/>
    <w:uiPriority w:val="0"/>
    <w:qFormat/>
    <w:pPr>
      <w:spacing w:line="360" w:lineRule="auto"/>
    </w:pPr>
  </w:style>
  <w:style w:type="paragraph" w:styleId="879" w:customStyle="1">
    <w:name w:val="正文文本1"/>
    <w:basedOn w:val="880"/>
    <w:next w:val="792"/>
    <w:uiPriority w:val="0"/>
    <w:qFormat/>
    <w:pPr>
      <w:spacing w:after="120"/>
    </w:pPr>
    <w:rPr>
      <w:sz w:val="28"/>
    </w:rPr>
  </w:style>
  <w:style w:type="paragraph" w:styleId="880"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81" w:customStyle="1">
    <w:name w:val="Heading 1 Char"/>
    <w:basedOn w:val="802"/>
    <w:uiPriority w:val="9"/>
    <w:qFormat/>
    <w:rPr>
      <w:rFonts w:ascii="Arial" w:hAnsi="Arial" w:eastAsia="Arial" w:cs="Arial"/>
      <w:sz w:val="40"/>
      <w:szCs w:val="40"/>
    </w:rPr>
  </w:style>
  <w:style w:type="character" w:styleId="882" w:customStyle="1">
    <w:name w:val="Heading 2 Char"/>
    <w:basedOn w:val="802"/>
    <w:uiPriority w:val="9"/>
    <w:qFormat/>
    <w:rPr>
      <w:rFonts w:ascii="Arial" w:hAnsi="Arial" w:eastAsia="Arial" w:cs="Arial"/>
      <w:sz w:val="34"/>
    </w:rPr>
  </w:style>
  <w:style w:type="character" w:styleId="883" w:customStyle="1">
    <w:name w:val="Heading 3 Char"/>
    <w:basedOn w:val="802"/>
    <w:uiPriority w:val="9"/>
    <w:qFormat/>
    <w:rPr>
      <w:rFonts w:ascii="Arial" w:hAnsi="Arial" w:eastAsia="Arial" w:cs="Arial"/>
      <w:sz w:val="30"/>
      <w:szCs w:val="30"/>
    </w:rPr>
  </w:style>
  <w:style w:type="character" w:styleId="884" w:customStyle="1">
    <w:name w:val="Heading 4 Char"/>
    <w:basedOn w:val="802"/>
    <w:uiPriority w:val="9"/>
    <w:qFormat/>
    <w:rPr>
      <w:rFonts w:ascii="Arial" w:hAnsi="Arial" w:eastAsia="Arial" w:cs="Arial"/>
      <w:b/>
      <w:bCs/>
      <w:sz w:val="26"/>
      <w:szCs w:val="26"/>
    </w:rPr>
  </w:style>
  <w:style w:type="character" w:styleId="885" w:customStyle="1">
    <w:name w:val="标题 5 字符"/>
    <w:basedOn w:val="802"/>
    <w:link w:val="797"/>
    <w:uiPriority w:val="9"/>
    <w:qFormat/>
    <w:rPr>
      <w:rFonts w:ascii="Arial" w:hAnsi="Arial" w:eastAsia="Arial" w:cs="Arial"/>
      <w:b/>
      <w:bCs/>
      <w:sz w:val="24"/>
      <w:szCs w:val="24"/>
    </w:rPr>
  </w:style>
  <w:style w:type="character" w:styleId="886" w:customStyle="1">
    <w:name w:val="Heading 6 Char"/>
    <w:basedOn w:val="802"/>
    <w:uiPriority w:val="9"/>
    <w:qFormat/>
    <w:rPr>
      <w:rFonts w:ascii="Arial" w:hAnsi="Arial" w:eastAsia="Arial" w:cs="Arial"/>
      <w:b/>
      <w:bCs/>
      <w:sz w:val="22"/>
      <w:szCs w:val="22"/>
    </w:rPr>
  </w:style>
  <w:style w:type="character" w:styleId="887" w:customStyle="1">
    <w:name w:val="标题 7 字符"/>
    <w:basedOn w:val="802"/>
    <w:link w:val="799"/>
    <w:uiPriority w:val="9"/>
    <w:qFormat/>
    <w:rPr>
      <w:rFonts w:ascii="Arial" w:hAnsi="Arial" w:eastAsia="Arial" w:cs="Arial"/>
      <w:b/>
      <w:bCs/>
      <w:i/>
      <w:iCs/>
      <w:sz w:val="22"/>
      <w:szCs w:val="22"/>
    </w:rPr>
  </w:style>
  <w:style w:type="character" w:styleId="888" w:customStyle="1">
    <w:name w:val="Heading 8 Char"/>
    <w:basedOn w:val="802"/>
    <w:uiPriority w:val="9"/>
    <w:qFormat/>
    <w:rPr>
      <w:rFonts w:ascii="Arial" w:hAnsi="Arial" w:eastAsia="Arial" w:cs="Arial"/>
      <w:i/>
      <w:iCs/>
      <w:sz w:val="22"/>
      <w:szCs w:val="22"/>
    </w:rPr>
  </w:style>
  <w:style w:type="character" w:styleId="889" w:customStyle="1">
    <w:name w:val="标题 9 字符"/>
    <w:basedOn w:val="802"/>
    <w:link w:val="801"/>
    <w:uiPriority w:val="9"/>
    <w:qFormat/>
    <w:rPr>
      <w:rFonts w:ascii="Arial" w:hAnsi="Arial" w:eastAsia="Arial" w:cs="Arial"/>
      <w:i/>
      <w:iCs/>
      <w:sz w:val="21"/>
      <w:szCs w:val="21"/>
    </w:rPr>
  </w:style>
  <w:style w:type="character" w:styleId="890" w:customStyle="1">
    <w:name w:val="Title Char"/>
    <w:basedOn w:val="802"/>
    <w:uiPriority w:val="10"/>
    <w:qFormat/>
    <w:rPr>
      <w:sz w:val="48"/>
      <w:szCs w:val="48"/>
    </w:rPr>
  </w:style>
  <w:style w:type="character" w:styleId="891" w:customStyle="1">
    <w:name w:val="副标题 字符"/>
    <w:basedOn w:val="802"/>
    <w:link w:val="825"/>
    <w:uiPriority w:val="11"/>
    <w:qFormat/>
    <w:rPr>
      <w:sz w:val="24"/>
      <w:szCs w:val="24"/>
    </w:rPr>
  </w:style>
  <w:style w:type="paragraph" w:styleId="892">
    <w:name w:val="Quote"/>
    <w:basedOn w:val="792"/>
    <w:next w:val="792"/>
    <w:link w:val="893"/>
    <w:uiPriority w:val="29"/>
    <w:qFormat/>
    <w:pPr>
      <w:ind w:left="720" w:right="720"/>
    </w:pPr>
    <w:rPr>
      <w:i/>
    </w:rPr>
  </w:style>
  <w:style w:type="character" w:styleId="893" w:customStyle="1">
    <w:name w:val="引用 字符"/>
    <w:link w:val="892"/>
    <w:uiPriority w:val="29"/>
    <w:qFormat/>
    <w:rPr>
      <w:i/>
    </w:rPr>
  </w:style>
  <w:style w:type="paragraph" w:styleId="894">
    <w:name w:val="Intense Quote"/>
    <w:basedOn w:val="792"/>
    <w:next w:val="792"/>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character" w:styleId="896" w:customStyle="1">
    <w:name w:val="Header Char"/>
    <w:basedOn w:val="802"/>
    <w:uiPriority w:val="99"/>
    <w:qFormat/>
  </w:style>
  <w:style w:type="character" w:styleId="897" w:customStyle="1">
    <w:name w:val="Footer Char"/>
    <w:basedOn w:val="802"/>
    <w:uiPriority w:val="99"/>
    <w:qFormat/>
  </w:style>
  <w:style w:type="character" w:styleId="898" w:customStyle="1">
    <w:name w:val="Caption Char"/>
    <w:uiPriority w:val="99"/>
    <w:qFormat/>
  </w:style>
  <w:style w:type="table" w:styleId="899" w:customStyle="1">
    <w:name w:val="Table Grid Light"/>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0" w:customStyle="1">
    <w:name w:val="Grid Table 1 Light - Accent 1"/>
    <w:basedOn w:val="80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0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 Accent 1"/>
    <w:basedOn w:val="80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0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Grid Table 3 - Accent 1"/>
    <w:basedOn w:val="80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0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 Accent 1"/>
    <w:basedOn w:val="80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9" w:customStyle="1">
    <w:name w:val="Grid Table 4 - Accent 2"/>
    <w:basedOn w:val="8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0" w:customStyle="1">
    <w:name w:val="Grid Table 4 - Accent 3"/>
    <w:basedOn w:val="8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1" w:customStyle="1">
    <w:name w:val="Grid Table 4 - Accent 4"/>
    <w:basedOn w:val="80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2" w:customStyle="1">
    <w:name w:val="Grid Table 4 - Accent 5"/>
    <w:basedOn w:val="80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3" w:customStyle="1">
    <w:name w:val="Grid Table 4 - Accent 6"/>
    <w:basedOn w:val="8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4" w:customStyle="1">
    <w:name w:val="Grid Table 5 Dark- Accent 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5" w:customStyle="1">
    <w:name w:val="Grid Table 5 Dark - Accent 2"/>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6" w:customStyle="1">
    <w:name w:val="Grid Table 5 Dark - Accent 3"/>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7" w:customStyle="1">
    <w:name w:val="Grid Table 5 Dark- Accent 4"/>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8" w:customStyle="1">
    <w:name w:val="Grid Table 5 Dark - Accent 5"/>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29" w:customStyle="1">
    <w:name w:val="Grid Table 5 Dark - Accent 6"/>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0" w:customStyle="1">
    <w:name w:val="Grid Table 6 Colorful - Accent 1"/>
    <w:basedOn w:val="80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8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8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3" w:customStyle="1">
    <w:name w:val="Grid Table 6 Colorful - Accent 4"/>
    <w:basedOn w:val="8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80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5" w:customStyle="1">
    <w:name w:val="Grid Table 6 Colorful - Accent 6"/>
    <w:basedOn w:val="8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6" w:customStyle="1">
    <w:name w:val="Grid Table 7 Colorful - Accent 1"/>
    <w:basedOn w:val="80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80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8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80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80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8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 Accent 1"/>
    <w:basedOn w:val="80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0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0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0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0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0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List Table 2 - Accent 1"/>
    <w:basedOn w:val="80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9" w:customStyle="1">
    <w:name w:val="List Table 2 - Accent 2"/>
    <w:basedOn w:val="8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0" w:customStyle="1">
    <w:name w:val="List Table 2 - Accent 3"/>
    <w:basedOn w:val="8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1" w:customStyle="1">
    <w:name w:val="List Table 2 - Accent 4"/>
    <w:basedOn w:val="80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2" w:customStyle="1">
    <w:name w:val="List Table 2 - Accent 5"/>
    <w:basedOn w:val="80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3" w:customStyle="1">
    <w:name w:val="List Table 2 - Accent 6"/>
    <w:basedOn w:val="8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4" w:customStyle="1">
    <w:name w:val="List Table 3 - Accent 1"/>
    <w:basedOn w:val="80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5" w:customStyle="1">
    <w:name w:val="List Table 3 - Accent 2"/>
    <w:basedOn w:val="8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8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8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80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8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0" w:customStyle="1">
    <w:name w:val="List Table 4 - Accent 1"/>
    <w:basedOn w:val="80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1" w:customStyle="1">
    <w:name w:val="List Table 4 - Accent 2"/>
    <w:basedOn w:val="8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2" w:customStyle="1">
    <w:name w:val="List Table 4 - Accent 3"/>
    <w:basedOn w:val="8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3" w:customStyle="1">
    <w:name w:val="List Table 4 - Accent 4"/>
    <w:basedOn w:val="80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4" w:customStyle="1">
    <w:name w:val="List Table 4 - Accent 5"/>
    <w:basedOn w:val="80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5" w:customStyle="1">
    <w:name w:val="List Table 4 - Accent 6"/>
    <w:basedOn w:val="8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6" w:customStyle="1">
    <w:name w:val="List Table 5 Dark - Accent 1"/>
    <w:basedOn w:val="80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basedOn w:val="80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basedOn w:val="8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basedOn w:val="80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basedOn w:val="80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basedOn w:val="8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 Accent 1"/>
    <w:basedOn w:val="80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73" w:customStyle="1">
    <w:name w:val="List Table 6 Colorful - Accent 2"/>
    <w:basedOn w:val="80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4" w:customStyle="1">
    <w:name w:val="List Table 6 Colorful - Accent 3"/>
    <w:basedOn w:val="80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5" w:customStyle="1">
    <w:name w:val="List Table 6 Colorful - Accent 4"/>
    <w:basedOn w:val="80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6" w:customStyle="1">
    <w:name w:val="List Table 6 Colorful - Accent 5"/>
    <w:basedOn w:val="80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7" w:customStyle="1">
    <w:name w:val="List Table 6 Colorful - Accent 6"/>
    <w:basedOn w:val="80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8" w:customStyle="1">
    <w:name w:val="List Table 7 Colorful - Accent 1"/>
    <w:basedOn w:val="80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basedOn w:val="80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basedOn w:val="80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basedOn w:val="80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basedOn w:val="80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basedOn w:val="80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4" w:customStyle="1">
    <w:name w:val="Lined - Accent"/>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6" w:customStyle="1">
    <w:name w:val="Lined - Accent 2"/>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7" w:customStyle="1">
    <w:name w:val="Lined - Accent 3"/>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8" w:customStyle="1">
    <w:name w:val="Lined - Accent 4"/>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9" w:customStyle="1">
    <w:name w:val="Lined - Accent 5"/>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0" w:customStyle="1">
    <w:name w:val="Lined - Accent 6"/>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1" w:customStyle="1">
    <w:name w:val="Bordered &amp; Lined - Accent"/>
    <w:basedOn w:val="8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basedOn w:val="80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3" w:customStyle="1">
    <w:name w:val="Bordered &amp; Lined - Accent 2"/>
    <w:basedOn w:val="8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Bordered &amp; Lined - Accent 3"/>
    <w:basedOn w:val="8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Bordered &amp; Lined - Accent 4"/>
    <w:basedOn w:val="80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Bordered &amp; Lined - Accent 5"/>
    <w:basedOn w:val="80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7" w:customStyle="1">
    <w:name w:val="Bordered &amp; Lined - Accent 6"/>
    <w:basedOn w:val="80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w:basedOn w:val="8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basedOn w:val="80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00" w:customStyle="1">
    <w:name w:val="Bordered - Accent 2"/>
    <w:basedOn w:val="8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1" w:customStyle="1">
    <w:name w:val="Bordered - Accent 3"/>
    <w:basedOn w:val="8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2" w:customStyle="1">
    <w:name w:val="Bordered - Accent 4"/>
    <w:basedOn w:val="8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3" w:customStyle="1">
    <w:name w:val="Bordered - Accent 5"/>
    <w:basedOn w:val="80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4" w:customStyle="1">
    <w:name w:val="Bordered - Accent 6"/>
    <w:basedOn w:val="8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5" w:customStyle="1">
    <w:name w:val="脚注文本 字符"/>
    <w:link w:val="826"/>
    <w:uiPriority w:val="99"/>
    <w:qFormat/>
    <w:rPr>
      <w:sz w:val="18"/>
    </w:rPr>
  </w:style>
  <w:style w:type="character" w:styleId="1006" w:customStyle="1">
    <w:name w:val="尾注文本 字符"/>
    <w:link w:val="819"/>
    <w:uiPriority w:val="99"/>
    <w:qFormat/>
    <w:rPr>
      <w:sz w:val="20"/>
    </w:rPr>
  </w:style>
  <w:style w:type="paragraph" w:styleId="1007" w:customStyle="1">
    <w:name w:val="TOC 标题111"/>
    <w:uiPriority w:val="39"/>
    <w:unhideWhenUsed/>
    <w:qFormat/>
    <w:rPr>
      <w:rFonts w:ascii="Times New Roman" w:hAnsi="Times New Roman" w:eastAsia="宋体" w:cs="Times New Roman"/>
      <w:lang w:val="en-US" w:eastAsia="zh-CN" w:bidi="ar-SA"/>
    </w:rPr>
  </w:style>
  <w:style w:type="paragraph" w:styleId="1008" w:customStyle="1">
    <w:name w:val="正文文本11"/>
    <w:basedOn w:val="792"/>
    <w:uiPriority w:val="99"/>
    <w:qFormat/>
    <w:rPr>
      <w:rFonts w:ascii="楷体_GB2312" w:hAnsi="宋体" w:eastAsia="楷体_GB2312"/>
      <w:sz w:val="28"/>
      <w:szCs w:val="28"/>
    </w:rPr>
  </w:style>
  <w:style w:type="character" w:styleId="1009" w:customStyle="1">
    <w:name w:val="标题 6 字符"/>
    <w:link w:val="798"/>
    <w:uiPriority w:val="0"/>
    <w:qFormat/>
    <w:rPr>
      <w:rFonts w:ascii="等线 Light" w:hAnsi="等线 Light" w:eastAsia="等线 Light" w:cs="Times New Roman"/>
      <w:b/>
      <w:bCs/>
      <w:sz w:val="24"/>
      <w:szCs w:val="24"/>
    </w:rPr>
  </w:style>
  <w:style w:type="character" w:styleId="1010" w:customStyle="1">
    <w:name w:val="标题 8 字符"/>
    <w:link w:val="800"/>
    <w:uiPriority w:val="0"/>
    <w:semiHidden/>
    <w:qFormat/>
    <w:rPr>
      <w:rFonts w:ascii="等线 Light" w:hAnsi="等线 Light" w:eastAsia="等线 Light" w:cs="Times New Roman"/>
      <w:sz w:val="24"/>
      <w:szCs w:val="24"/>
    </w:rPr>
  </w:style>
  <w:style w:type="paragraph" w:styleId="1011" w:customStyle="1">
    <w:name w:val="目录 71"/>
    <w:basedOn w:val="792"/>
    <w:next w:val="792"/>
    <w:uiPriority w:val="39"/>
    <w:unhideWhenUsed/>
    <w:qFormat/>
    <w:pPr>
      <w:ind w:left="2520"/>
    </w:pPr>
    <w:rPr>
      <w:rFonts w:ascii="等线" w:hAnsi="等线" w:eastAsia="等线"/>
      <w:szCs w:val="22"/>
    </w:rPr>
  </w:style>
  <w:style w:type="character" w:styleId="1012" w:customStyle="1">
    <w:name w:val="正文缩进 字符"/>
    <w:link w:val="804"/>
    <w:uiPriority w:val="0"/>
    <w:qFormat/>
    <w:rPr>
      <w:sz w:val="21"/>
    </w:rPr>
  </w:style>
  <w:style w:type="character" w:styleId="1013" w:customStyle="1">
    <w:name w:val="文档结构图 字符"/>
    <w:link w:val="808"/>
    <w:uiPriority w:val="0"/>
    <w:qFormat/>
    <w:rPr>
      <w:sz w:val="21"/>
      <w:szCs w:val="24"/>
      <w:shd w:val="clear" w:color="auto" w:fill="000080"/>
    </w:rPr>
  </w:style>
  <w:style w:type="character" w:styleId="1014" w:customStyle="1">
    <w:name w:val="批注文字 字符"/>
    <w:link w:val="809"/>
    <w:uiPriority w:val="0"/>
    <w:qFormat/>
    <w:rPr>
      <w:sz w:val="21"/>
      <w:szCs w:val="24"/>
    </w:rPr>
  </w:style>
  <w:style w:type="character" w:styleId="1015" w:customStyle="1">
    <w:name w:val="正文文本 字符"/>
    <w:link w:val="810"/>
    <w:uiPriority w:val="1"/>
    <w:qFormat/>
    <w:rPr>
      <w:sz w:val="21"/>
      <w:szCs w:val="24"/>
    </w:rPr>
  </w:style>
  <w:style w:type="paragraph" w:styleId="1016" w:customStyle="1">
    <w:name w:val="目录 51"/>
    <w:basedOn w:val="792"/>
    <w:next w:val="792"/>
    <w:uiPriority w:val="39"/>
    <w:unhideWhenUsed/>
    <w:qFormat/>
    <w:pPr>
      <w:ind w:left="1680"/>
    </w:pPr>
    <w:rPr>
      <w:rFonts w:ascii="等线" w:hAnsi="等线" w:eastAsia="等线"/>
      <w:szCs w:val="22"/>
    </w:rPr>
  </w:style>
  <w:style w:type="paragraph" w:styleId="1017" w:customStyle="1">
    <w:name w:val="目录 31"/>
    <w:basedOn w:val="792"/>
    <w:next w:val="792"/>
    <w:uiPriority w:val="39"/>
    <w:unhideWhenUsed/>
    <w:qFormat/>
    <w:pPr>
      <w:ind w:left="440"/>
      <w:jc w:val="left"/>
      <w:spacing w:after="100" w:line="259" w:lineRule="auto"/>
      <w:widowControl/>
    </w:pPr>
    <w:rPr>
      <w:rFonts w:ascii="等线" w:hAnsi="等线" w:eastAsia="等线"/>
      <w:sz w:val="22"/>
      <w:szCs w:val="22"/>
    </w:rPr>
  </w:style>
  <w:style w:type="character" w:styleId="1018" w:customStyle="1">
    <w:name w:val="纯文本 字符"/>
    <w:link w:val="816"/>
    <w:uiPriority w:val="0"/>
    <w:qFormat/>
    <w:rPr>
      <w:rFonts w:ascii="宋体" w:hAnsi="Courier New" w:cs="Courier New"/>
      <w:sz w:val="21"/>
      <w:szCs w:val="21"/>
    </w:rPr>
  </w:style>
  <w:style w:type="paragraph" w:styleId="1019" w:customStyle="1">
    <w:name w:val="目录 81"/>
    <w:basedOn w:val="792"/>
    <w:next w:val="792"/>
    <w:uiPriority w:val="39"/>
    <w:unhideWhenUsed/>
    <w:qFormat/>
    <w:pPr>
      <w:ind w:left="2940"/>
    </w:pPr>
    <w:rPr>
      <w:rFonts w:ascii="等线" w:hAnsi="等线" w:eastAsia="等线"/>
      <w:szCs w:val="22"/>
    </w:rPr>
  </w:style>
  <w:style w:type="character" w:styleId="1020" w:customStyle="1">
    <w:name w:val="日期 字符"/>
    <w:link w:val="818"/>
    <w:uiPriority w:val="0"/>
    <w:qFormat/>
    <w:rPr>
      <w:sz w:val="24"/>
    </w:rPr>
  </w:style>
  <w:style w:type="character" w:styleId="1021" w:customStyle="1">
    <w:name w:val="批注框文本 字符"/>
    <w:link w:val="820"/>
    <w:uiPriority w:val="0"/>
    <w:qFormat/>
    <w:rPr>
      <w:sz w:val="18"/>
      <w:szCs w:val="18"/>
    </w:rPr>
  </w:style>
  <w:style w:type="character" w:styleId="1022" w:customStyle="1">
    <w:name w:val="页脚 字符"/>
    <w:link w:val="821"/>
    <w:uiPriority w:val="99"/>
    <w:qFormat/>
    <w:rPr>
      <w:sz w:val="18"/>
      <w:szCs w:val="18"/>
    </w:rPr>
  </w:style>
  <w:style w:type="character" w:styleId="1023" w:customStyle="1">
    <w:name w:val="页眉 字符"/>
    <w:link w:val="822"/>
    <w:uiPriority w:val="99"/>
    <w:qFormat/>
    <w:rPr>
      <w:sz w:val="18"/>
      <w:szCs w:val="18"/>
    </w:rPr>
  </w:style>
  <w:style w:type="paragraph" w:styleId="1024" w:customStyle="1">
    <w:name w:val="目录 11"/>
    <w:basedOn w:val="792"/>
    <w:next w:val="792"/>
    <w:uiPriority w:val="39"/>
    <w:qFormat/>
    <w:rPr>
      <w:rFonts w:ascii="仿宋_GB2312" w:eastAsia="仿宋_GB2312"/>
      <w:sz w:val="24"/>
    </w:rPr>
  </w:style>
  <w:style w:type="paragraph" w:styleId="1025" w:customStyle="1">
    <w:name w:val="目录 41"/>
    <w:basedOn w:val="792"/>
    <w:next w:val="792"/>
    <w:uiPriority w:val="39"/>
    <w:unhideWhenUsed/>
    <w:qFormat/>
    <w:pPr>
      <w:ind w:left="1260"/>
    </w:pPr>
    <w:rPr>
      <w:rFonts w:ascii="等线" w:hAnsi="等线" w:eastAsia="等线"/>
      <w:szCs w:val="22"/>
    </w:rPr>
  </w:style>
  <w:style w:type="paragraph" w:styleId="1026" w:customStyle="1">
    <w:name w:val="目录 61"/>
    <w:basedOn w:val="792"/>
    <w:next w:val="792"/>
    <w:uiPriority w:val="39"/>
    <w:unhideWhenUsed/>
    <w:qFormat/>
    <w:pPr>
      <w:ind w:left="2100"/>
    </w:pPr>
    <w:rPr>
      <w:rFonts w:ascii="等线" w:hAnsi="等线" w:eastAsia="等线"/>
      <w:szCs w:val="22"/>
    </w:rPr>
  </w:style>
  <w:style w:type="paragraph" w:styleId="1027" w:customStyle="1">
    <w:name w:val="目录 21"/>
    <w:basedOn w:val="792"/>
    <w:next w:val="792"/>
    <w:uiPriority w:val="39"/>
    <w:unhideWhenUsed/>
    <w:qFormat/>
    <w:pPr>
      <w:ind w:left="220"/>
      <w:jc w:val="left"/>
      <w:spacing w:after="100" w:line="259" w:lineRule="auto"/>
      <w:widowControl/>
    </w:pPr>
    <w:rPr>
      <w:rFonts w:ascii="等线" w:hAnsi="等线" w:eastAsia="等线"/>
      <w:sz w:val="22"/>
      <w:szCs w:val="22"/>
    </w:rPr>
  </w:style>
  <w:style w:type="paragraph" w:styleId="1028" w:customStyle="1">
    <w:name w:val="目录 91"/>
    <w:basedOn w:val="792"/>
    <w:next w:val="792"/>
    <w:uiPriority w:val="39"/>
    <w:unhideWhenUsed/>
    <w:qFormat/>
    <w:pPr>
      <w:ind w:left="3360"/>
    </w:pPr>
    <w:rPr>
      <w:rFonts w:ascii="等线" w:hAnsi="等线" w:eastAsia="等线"/>
      <w:szCs w:val="22"/>
    </w:rPr>
  </w:style>
  <w:style w:type="character" w:styleId="1029" w:customStyle="1">
    <w:name w:val="正文文本 2 字符"/>
    <w:link w:val="831"/>
    <w:uiPriority w:val="0"/>
    <w:qFormat/>
    <w:rPr>
      <w:rFonts w:ascii="Calibri" w:hAnsi="Calibri"/>
      <w:sz w:val="21"/>
      <w:szCs w:val="24"/>
    </w:rPr>
  </w:style>
  <w:style w:type="character" w:styleId="1030" w:customStyle="1">
    <w:name w:val="标题 字符"/>
    <w:link w:val="833"/>
    <w:uiPriority w:val="0"/>
    <w:qFormat/>
    <w:rPr>
      <w:rFonts w:ascii="等线 Light" w:hAnsi="等线 Light" w:eastAsia="宋体" w:cs="Times New Roman"/>
      <w:b/>
      <w:bCs/>
      <w:sz w:val="32"/>
      <w:szCs w:val="32"/>
    </w:rPr>
  </w:style>
  <w:style w:type="character" w:styleId="1031" w:customStyle="1">
    <w:name w:val="批注主题 字符"/>
    <w:link w:val="834"/>
    <w:uiPriority w:val="0"/>
    <w:qFormat/>
    <w:rPr>
      <w:b/>
      <w:bCs/>
      <w:sz w:val="21"/>
      <w:szCs w:val="24"/>
    </w:rPr>
  </w:style>
  <w:style w:type="character" w:styleId="1032" w:customStyle="1">
    <w:name w:val="p0 Char"/>
    <w:link w:val="1033"/>
    <w:uiPriority w:val="0"/>
    <w:qFormat/>
    <w:rPr>
      <w:rFonts w:eastAsia="宋体"/>
      <w:sz w:val="21"/>
      <w:szCs w:val="21"/>
      <w:lang w:val="en-US" w:eastAsia="zh-CN" w:bidi="ar-SA"/>
    </w:rPr>
  </w:style>
  <w:style w:type="paragraph" w:styleId="1033" w:customStyle="1">
    <w:name w:val="p0"/>
    <w:basedOn w:val="792"/>
    <w:link w:val="1032"/>
    <w:uiPriority w:val="0"/>
    <w:qFormat/>
    <w:pPr>
      <w:widowControl/>
    </w:pPr>
    <w:rPr>
      <w:szCs w:val="21"/>
    </w:rPr>
  </w:style>
  <w:style w:type="character" w:styleId="1034" w:customStyle="1">
    <w:name w:val="标题 2 Char Char Char"/>
    <w:uiPriority w:val="0"/>
    <w:qFormat/>
    <w:rPr>
      <w:rFonts w:ascii="Arial" w:hAnsi="Arial" w:eastAsia="黑体"/>
      <w:b/>
      <w:bCs/>
      <w:sz w:val="32"/>
      <w:szCs w:val="32"/>
      <w:lang w:val="en-US" w:eastAsia="zh-CN" w:bidi="ar-SA"/>
    </w:rPr>
  </w:style>
  <w:style w:type="character" w:styleId="1035" w:customStyle="1">
    <w:name w:val="NormalCharacter"/>
    <w:uiPriority w:val="0"/>
    <w:semiHidden/>
    <w:qFormat/>
  </w:style>
  <w:style w:type="paragraph" w:styleId="1036" w:customStyle="1">
    <w:name w:val="标题 21"/>
    <w:basedOn w:val="792"/>
    <w:next w:val="792"/>
    <w:uiPriority w:val="0"/>
    <w:qFormat/>
    <w:pPr>
      <w:jc w:val="center"/>
      <w:keepNext/>
      <w:widowControl/>
    </w:pPr>
    <w:rPr>
      <w:rFonts w:ascii="楷体_GB2312" w:eastAsia="楷体_GB2312"/>
      <w:sz w:val="18"/>
      <w:szCs w:val="20"/>
    </w:rPr>
  </w:style>
  <w:style w:type="paragraph" w:styleId="1037" w:customStyle="1">
    <w:name w:val="TOC 标题11"/>
    <w:basedOn w:val="793"/>
    <w:next w:val="79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3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39" w:customStyle="1">
    <w:name w:val="样式1"/>
    <w:basedOn w:val="793"/>
    <w:link w:val="1040"/>
    <w:uiPriority w:val="0"/>
    <w:qFormat/>
    <w:pPr>
      <w:ind w:left="210" w:right="210"/>
    </w:pPr>
  </w:style>
  <w:style w:type="character" w:styleId="1040" w:customStyle="1">
    <w:name w:val="样式1 字符"/>
    <w:link w:val="1039"/>
    <w:uiPriority w:val="0"/>
    <w:qFormat/>
  </w:style>
  <w:style w:type="paragraph" w:styleId="1041" w:customStyle="1">
    <w:name w:val="标题 211"/>
    <w:basedOn w:val="7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42" w:customStyle="1">
    <w:name w:val="列出段落1"/>
    <w:basedOn w:val="792"/>
    <w:uiPriority w:val="1"/>
    <w:qFormat/>
    <w:pPr>
      <w:ind w:left="400" w:firstLine="420"/>
      <w:jc w:val="left"/>
    </w:pPr>
    <w:rPr>
      <w:rFonts w:ascii="宋体" w:hAnsi="宋体" w:cs="宋体"/>
      <w:sz w:val="22"/>
      <w:szCs w:val="22"/>
      <w:lang w:val="zh-CN" w:bidi="zh-CN"/>
    </w:rPr>
  </w:style>
  <w:style w:type="paragraph" w:styleId="1043" w:customStyle="1">
    <w:name w:val="Table Paragraph"/>
    <w:basedOn w:val="792"/>
    <w:uiPriority w:val="1"/>
    <w:qFormat/>
    <w:pPr>
      <w:jc w:val="left"/>
    </w:pPr>
    <w:rPr>
      <w:rFonts w:ascii="宋体" w:hAnsi="宋体" w:cs="宋体"/>
      <w:sz w:val="22"/>
      <w:szCs w:val="22"/>
      <w:lang w:val="zh-CN" w:bidi="zh-CN"/>
    </w:rPr>
  </w:style>
  <w:style w:type="character" w:styleId="1044" w:customStyle="1">
    <w:name w:val="ask-title2"/>
    <w:uiPriority w:val="0"/>
    <w:qFormat/>
  </w:style>
  <w:style w:type="paragraph" w:styleId="1045" w:customStyle="1">
    <w:name w:val="列出段落2"/>
    <w:basedOn w:val="792"/>
    <w:uiPriority w:val="99"/>
    <w:unhideWhenUsed/>
    <w:qFormat/>
    <w:pPr>
      <w:ind w:firstLine="420"/>
      <w:jc w:val="left"/>
    </w:pPr>
    <w:rPr>
      <w:rFonts w:ascii="宋体"/>
      <w:sz w:val="20"/>
      <w:szCs w:val="20"/>
    </w:rPr>
  </w:style>
  <w:style w:type="paragraph" w:styleId="1046" w:customStyle="1">
    <w:name w:val="纯文本1"/>
    <w:basedOn w:val="792"/>
    <w:uiPriority w:val="0"/>
    <w:qFormat/>
    <w:rPr>
      <w:rFonts w:ascii="宋体" w:hAnsi="Courier New"/>
      <w:sz w:val="20"/>
      <w:szCs w:val="21"/>
    </w:rPr>
  </w:style>
  <w:style w:type="character" w:styleId="1047" w:customStyle="1">
    <w:name w:val="纯文本 Char2"/>
    <w:uiPriority w:val="0"/>
    <w:qFormat/>
    <w:rPr>
      <w:rFonts w:ascii="宋体" w:hAnsi="Courier New"/>
      <w:sz w:val="21"/>
    </w:rPr>
  </w:style>
  <w:style w:type="paragraph" w:styleId="1048" w:customStyle="1">
    <w:name w:val="列出段落11"/>
    <w:basedOn w:val="792"/>
    <w:uiPriority w:val="0"/>
    <w:qFormat/>
    <w:pPr>
      <w:ind w:firstLine="420"/>
      <w:spacing w:line="0" w:lineRule="atLeast"/>
    </w:pPr>
    <w:rPr>
      <w:rFonts w:eastAsia="微软雅黑"/>
      <w:sz w:val="20"/>
      <w:szCs w:val="20"/>
    </w:rPr>
  </w:style>
  <w:style w:type="character" w:styleId="1049" w:customStyle="1">
    <w:name w:val="纯文本 Char"/>
    <w:link w:val="1050"/>
    <w:uiPriority w:val="0"/>
    <w:qFormat/>
    <w:rPr>
      <w:rFonts w:ascii="宋体" w:hAnsi="Courier New"/>
    </w:rPr>
  </w:style>
  <w:style w:type="paragraph" w:styleId="1050" w:customStyle="1">
    <w:name w:val="纯文本2"/>
    <w:basedOn w:val="792"/>
    <w:link w:val="1049"/>
    <w:uiPriority w:val="0"/>
    <w:qFormat/>
    <w:pPr>
      <w:ind w:firstLine="200"/>
      <w:spacing w:line="360" w:lineRule="auto"/>
    </w:pPr>
    <w:rPr>
      <w:rFonts w:ascii="宋体" w:hAnsi="Courier New"/>
      <w:sz w:val="20"/>
      <w:szCs w:val="20"/>
    </w:rPr>
  </w:style>
  <w:style w:type="character" w:styleId="1051" w:customStyle="1">
    <w:name w:val="页脚 Char"/>
    <w:uiPriority w:val="0"/>
    <w:qFormat/>
    <w:rPr>
      <w:sz w:val="18"/>
      <w:szCs w:val="18"/>
    </w:rPr>
  </w:style>
  <w:style w:type="paragraph" w:styleId="1052" w:customStyle="1">
    <w:name w:val="_Style 83"/>
    <w:basedOn w:val="792"/>
    <w:next w:val="1042"/>
    <w:uiPriority w:val="99"/>
    <w:qFormat/>
    <w:pPr>
      <w:ind w:firstLine="420"/>
    </w:pPr>
  </w:style>
  <w:style w:type="character" w:styleId="1053">
    <w:name w:val="Placeholder Text"/>
    <w:basedOn w:val="802"/>
    <w:uiPriority w:val="99"/>
    <w:unhideWhenUsed/>
    <w:qFormat/>
    <w:rPr>
      <w:color w:val="808080"/>
    </w:rPr>
  </w:style>
  <w:style w:type="paragraph" w:styleId="1054" w:customStyle="1">
    <w:name w:val="pf0"/>
    <w:basedOn w:val="792"/>
    <w:uiPriority w:val="0"/>
    <w:qFormat/>
    <w:pPr>
      <w:jc w:val="left"/>
      <w:spacing w:before="100" w:beforeAutospacing="1" w:after="100" w:afterAutospacing="1"/>
      <w:widowControl/>
    </w:pPr>
    <w:rPr>
      <w:rFonts w:ascii="宋体" w:hAnsi="宋体" w:cs="宋体"/>
      <w:sz w:val="24"/>
    </w:rPr>
  </w:style>
  <w:style w:type="character" w:styleId="1055" w:customStyle="1">
    <w:name w:val="cf01"/>
    <w:basedOn w:val="802"/>
    <w:uiPriority w:val="0"/>
    <w:qFormat/>
    <w:rPr>
      <w:rFonts w:hint="eastAsia" w:ascii="Microsoft YaHei UI" w:hAnsi="Microsoft YaHei UI" w:eastAsia="Microsoft YaHei UI"/>
      <w:sz w:val="18"/>
      <w:szCs w:val="18"/>
    </w:rPr>
  </w:style>
  <w:style w:type="character" w:styleId="1056" w:customStyle="1">
    <w:name w:val="cf11"/>
    <w:basedOn w:val="802"/>
    <w:uiPriority w:val="0"/>
    <w:qFormat/>
    <w:rPr>
      <w:rFonts w:hint="eastAsia" w:ascii="Microsoft YaHei UI" w:hAnsi="Microsoft YaHei UI" w:eastAsia="Microsoft YaHei UI"/>
      <w:sz w:val="18"/>
      <w:szCs w:val="18"/>
    </w:rPr>
  </w:style>
  <w:style w:type="paragraph" w:styleId="1057">
    <w:name w:val="List Paragraph"/>
    <w:basedOn w:val="792"/>
    <w:uiPriority w:val="1"/>
    <w:qFormat/>
    <w:pPr>
      <w:ind w:firstLine="420"/>
    </w:pPr>
  </w:style>
  <w:style w:type="paragraph" w:styleId="1058" w:customStyle="1">
    <w:name w:val="标题1，章节第一层"/>
    <w:basedOn w:val="792"/>
    <w:next w:val="79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59" w:customStyle="1">
    <w:name w:val="标准文本"/>
    <w:basedOn w:val="792"/>
    <w:uiPriority w:val="0"/>
    <w:qFormat/>
    <w:pPr>
      <w:ind w:firstLine="480"/>
      <w:spacing w:line="360" w:lineRule="auto"/>
    </w:pPr>
    <w:rPr>
      <w:rFonts w:ascii="Calibri" w:hAnsi="Calibri" w:eastAsia="Calibri" w:cs="宋体"/>
      <w:sz w:val="24"/>
      <w:lang w:val="zh-CN"/>
    </w:rPr>
  </w:style>
  <w:style w:type="character" w:styleId="1060" w:customStyle="1">
    <w:name w:val="标准文本 Char Char"/>
    <w:uiPriority w:val="0"/>
    <w:qFormat/>
    <w:rPr>
      <w:rFonts w:eastAsia="宋体" w:cs="宋体"/>
      <w:sz w:val="24"/>
      <w:szCs w:val="24"/>
      <w:lang w:val="en-US" w:eastAsia="zh-CN" w:bidi="ar-SA"/>
    </w:rPr>
  </w:style>
  <w:style w:type="character" w:styleId="1061" w:customStyle="1">
    <w:name w:val="标准小四 Char Char"/>
    <w:uiPriority w:val="0"/>
    <w:qFormat/>
    <w:rPr>
      <w:rFonts w:ascii="Arial" w:hAnsi="Arial" w:eastAsia="宋体"/>
      <w:sz w:val="24"/>
      <w:szCs w:val="21"/>
      <w:lang w:val="en-US" w:eastAsia="zh-CN" w:bidi="ar-SA"/>
    </w:rPr>
  </w:style>
  <w:style w:type="character" w:styleId="1062" w:customStyle="1">
    <w:name w:val="标准文本 Char"/>
    <w:uiPriority w:val="0"/>
    <w:qFormat/>
    <w:rPr>
      <w:rFonts w:eastAsia="宋体" w:cs="宋体"/>
      <w:sz w:val="24"/>
      <w:szCs w:val="24"/>
      <w:lang w:val="en-US" w:eastAsia="zh-CN" w:bidi="ar-SA"/>
    </w:rPr>
  </w:style>
  <w:style w:type="character" w:styleId="1063" w:customStyle="1">
    <w:name w:val="未处理的提及1"/>
    <w:basedOn w:val="802"/>
    <w:uiPriority w:val="99"/>
    <w:semiHidden/>
    <w:unhideWhenUsed/>
    <w:qFormat/>
    <w:rPr>
      <w:color w:val="605e5c"/>
      <w:shd w:val="clear" w:color="auto" w:fill="e1dfdd"/>
    </w:rPr>
  </w:style>
  <w:style w:type="paragraph" w:styleId="1064" w:customStyle="1">
    <w:name w:val="列出段落3"/>
    <w:basedOn w:val="792"/>
    <w:uiPriority w:val="99"/>
    <w:qFormat/>
    <w:pPr>
      <w:ind w:firstLine="420"/>
    </w:pPr>
  </w:style>
  <w:style w:type="paragraph" w:styleId="1065" w:customStyle="1">
    <w:name w:val="Normal_8_0"/>
    <w:uiPriority w:val="0"/>
    <w:qFormat/>
    <w:rPr>
      <w:rFonts w:ascii="Times New Roman" w:hAnsi="Times New Roman" w:eastAsia="Times New Roman" w:cs="Times New Roman"/>
      <w:sz w:val="24"/>
      <w:szCs w:val="24"/>
      <w:lang w:val="en-US" w:eastAsia="zh-CN" w:bidi="ar-SA"/>
    </w:rPr>
  </w:style>
  <w:style w:type="character" w:styleId="1066"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67" w:customStyle="1">
    <w:name w:val="font41"/>
    <w:basedOn w:val="802"/>
    <w:uiPriority w:val="0"/>
    <w:qFormat/>
    <w:rPr>
      <w:rFonts w:hint="default" w:ascii="方正仿宋_GBK" w:hAnsi="方正仿宋_GBK" w:eastAsia="方正仿宋_GBK" w:cs="方正仿宋_GBK"/>
      <w:b/>
      <w:bCs/>
      <w:color w:val="000000"/>
      <w:sz w:val="22"/>
      <w:szCs w:val="22"/>
      <w:u w:val="none"/>
    </w:rPr>
  </w:style>
  <w:style w:type="character" w:styleId="1068" w:customStyle="1">
    <w:name w:val="font31"/>
    <w:basedOn w:val="802"/>
    <w:uiPriority w:val="0"/>
    <w:qFormat/>
    <w:rPr>
      <w:rFonts w:hint="default" w:ascii="方正仿宋_GBK" w:hAnsi="方正仿宋_GBK" w:eastAsia="方正仿宋_GBK" w:cs="方正仿宋_GBK"/>
      <w:color w:val="000000"/>
      <w:sz w:val="22"/>
      <w:szCs w:val="22"/>
      <w:u w:val="none"/>
    </w:rPr>
  </w:style>
  <w:style w:type="character" w:styleId="1069" w:customStyle="1">
    <w:name w:val="不明显参考1"/>
    <w:uiPriority w:val="31"/>
    <w:qFormat/>
    <w:rPr>
      <w:smallCaps/>
    </w:rPr>
  </w:style>
  <w:style w:type="paragraph" w:styleId="1070" w:customStyle="1">
    <w:name w:val="Normal_5_0"/>
    <w:uiPriority w:val="0"/>
    <w:qFormat/>
    <w:rPr>
      <w:rFonts w:ascii="Times New Roman" w:hAnsi="Times New Roman" w:eastAsia="Times New Roman" w:cs="Times New Roman"/>
      <w:sz w:val="24"/>
      <w:szCs w:val="24"/>
      <w:lang w:val="en-US" w:eastAsia="zh-CN" w:bidi="ar-SA"/>
    </w:rPr>
  </w:style>
  <w:style w:type="character" w:styleId="1071" w:customStyle="1">
    <w:name w:val="默认段落字体11"/>
    <w:uiPriority w:val="1"/>
    <w:unhideWhenUsed/>
    <w:qFormat/>
  </w:style>
  <w:style w:type="paragraph" w:styleId="1072" w:customStyle="1">
    <w:name w:val="Normal_17"/>
    <w:uiPriority w:val="0"/>
    <w:qFormat/>
    <w:rPr>
      <w:rFonts w:ascii="Times New Roman" w:hAnsi="Times New Roman" w:eastAsia="Times New Roman" w:cs="Times New Roman"/>
      <w:sz w:val="24"/>
      <w:szCs w:val="24"/>
      <w:lang w:val="en-US" w:eastAsia="zh-CN" w:bidi="ar-SA"/>
    </w:rPr>
  </w:style>
  <w:style w:type="paragraph" w:styleId="1073" w:customStyle="1">
    <w:name w:val="Normal_0_3"/>
    <w:uiPriority w:val="0"/>
    <w:qFormat/>
    <w:rPr>
      <w:rFonts w:ascii="Times New Roman" w:hAnsi="Times New Roman" w:eastAsia="Times New Roman" w:cs="Times New Roman"/>
      <w:sz w:val="24"/>
      <w:szCs w:val="24"/>
      <w:lang w:val="en-US" w:eastAsia="zh-CN" w:bidi="ar-SA"/>
    </w:rPr>
  </w:style>
  <w:style w:type="paragraph" w:styleId="1074" w:customStyle="1">
    <w:name w:val="Normal_23"/>
    <w:uiPriority w:val="0"/>
    <w:qFormat/>
    <w:rPr>
      <w:rFonts w:ascii="Times New Roman" w:hAnsi="Times New Roman" w:eastAsia="Times New Roman" w:cs="Times New Roman"/>
      <w:sz w:val="24"/>
      <w:szCs w:val="24"/>
      <w:lang w:val="en-US" w:eastAsia="zh-CN" w:bidi="ar-SA"/>
    </w:rPr>
  </w:style>
  <w:style w:type="paragraph" w:styleId="107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76" w:customStyle="1">
    <w:name w:val="列表段落1"/>
    <w:basedOn w:val="792"/>
    <w:uiPriority w:val="99"/>
    <w:qFormat/>
    <w:pPr>
      <w:ind w:firstLine="420"/>
    </w:pPr>
  </w:style>
  <w:style w:type="character" w:styleId="1077" w:customStyle="1">
    <w:name w:val="font21"/>
    <w:basedOn w:val="802"/>
    <w:uiPriority w:val="0"/>
    <w:qFormat/>
    <w:rPr>
      <w:rFonts w:hint="eastAsia" w:ascii="等线" w:hAnsi="等线" w:eastAsia="等线" w:cs="等线"/>
      <w:color w:val="000000"/>
      <w:sz w:val="21"/>
      <w:szCs w:val="21"/>
      <w:u w:val="none"/>
    </w:rPr>
  </w:style>
  <w:style w:type="character" w:styleId="1078" w:customStyle="1">
    <w:name w:val="font11"/>
    <w:basedOn w:val="802"/>
    <w:uiPriority w:val="0"/>
    <w:qFormat/>
    <w:rPr>
      <w:rFonts w:hint="eastAsia" w:ascii="宋体" w:hAnsi="宋体" w:eastAsia="宋体" w:cs="宋体"/>
      <w:color w:val="000000"/>
      <w:sz w:val="21"/>
      <w:szCs w:val="21"/>
      <w:u w:val="none"/>
    </w:rPr>
  </w:style>
  <w:style w:type="paragraph" w:styleId="1079" w:customStyle="1">
    <w:name w:val="null3"/>
    <w:hidden/>
    <w:uiPriority w:val="0"/>
    <w:qFormat/>
    <w:rPr>
      <w:rFonts w:hint="eastAsia" w:asciiTheme="minorHAnsi" w:hAnsiTheme="minorHAnsi" w:eastAsiaTheme="minorEastAsia" w:cstheme="minorBidi"/>
      <w:lang w:val="en-US" w:eastAsia="zh-Hans" w:bidi="ar-SA"/>
    </w:rPr>
  </w:style>
  <w:style w:type="paragraph" w:styleId="1080" w:customStyle="1">
    <w:name w:val="Plain Text1"/>
    <w:basedOn w:val="792"/>
    <w:uiPriority w:val="0"/>
    <w:qFormat/>
    <w:pPr>
      <w:jc w:val="left"/>
      <w:widowControl/>
    </w:pPr>
    <w:rPr>
      <w:rFonts w:ascii="宋体" w:hAnsi="Courier New" w:eastAsia="楷体_GB2312"/>
      <w:sz w:val="26"/>
      <w:szCs w:val="20"/>
    </w:rPr>
  </w:style>
  <w:style w:type="paragraph" w:styleId="1081" w:customStyle="1">
    <w:name w:val="修订2"/>
    <w:hidden/>
    <w:uiPriority w:val="99"/>
    <w:unhideWhenUsed/>
    <w:qFormat/>
    <w:rPr>
      <w:rFonts w:ascii="Times New Roman" w:hAnsi="Times New Roman" w:eastAsia="宋体" w:cs="Times New Roman"/>
      <w:sz w:val="21"/>
      <w:szCs w:val="24"/>
      <w:lang w:val="en-US" w:eastAsia="zh-CN" w:bidi="ar-SA"/>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293bd950-0d36-4f31-8531-3a305d7a1ad8}"/>
        <w:description w:val=""/>
        <w:category>
          <w:name w:val="常规"/>
          <w:gallery w:val="placeholder"/>
        </w:category>
        <w:types>
          <w:type w:val="bbPlcHdr"/>
        </w:types>
        <w:behaviors>
          <w:behavior w:val="content"/>
        </w:behaviors>
        <w:guid w:val="{293BD950-0D36-4F31-8531-3A305D7A1AD8}"/>
      </w:docPartPr>
      <w:docPartBody>
        <w:p>
          <w:pPr>
            <w:rPr>
              <w:rFonts w:hint="eastAsia"/>
            </w:rPr>
          </w:pPr>
          <w:r>
            <w:rPr>
              <w:rStyle w:val="1749"/>
              <w:rFonts w:hint="eastAsia"/>
            </w:rPr>
            <w:t xml:space="preserve">单击或点击此处输入文字。</w:t>
          </w:r>
          <w:r/>
        </w:p>
      </w:docPartBody>
    </w:docPart>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48"/>
            <w:rPr>
              <w:rFonts w:hint="eastAsia"/>
            </w:rPr>
          </w:pPr>
          <w:r>
            <w:rPr>
              <w:rStyle w:val="174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31">
    <w:name w:val="Heading 1 Char"/>
    <w:basedOn w:val="1579"/>
    <w:link w:val="1570"/>
    <w:uiPriority w:val="9"/>
    <w:rPr>
      <w:rFonts w:ascii="Arial" w:hAnsi="Arial" w:eastAsia="Arial" w:cs="Arial"/>
      <w:sz w:val="40"/>
      <w:szCs w:val="40"/>
    </w:rPr>
  </w:style>
  <w:style w:type="character" w:styleId="1532">
    <w:name w:val="Heading 2 Char"/>
    <w:basedOn w:val="1579"/>
    <w:link w:val="1571"/>
    <w:uiPriority w:val="9"/>
    <w:rPr>
      <w:rFonts w:ascii="Arial" w:hAnsi="Arial" w:eastAsia="Arial" w:cs="Arial"/>
      <w:sz w:val="34"/>
    </w:rPr>
  </w:style>
  <w:style w:type="character" w:styleId="1533">
    <w:name w:val="Heading 3 Char"/>
    <w:basedOn w:val="1579"/>
    <w:link w:val="1572"/>
    <w:uiPriority w:val="9"/>
    <w:rPr>
      <w:rFonts w:ascii="Arial" w:hAnsi="Arial" w:eastAsia="Arial" w:cs="Arial"/>
      <w:sz w:val="30"/>
      <w:szCs w:val="30"/>
    </w:rPr>
  </w:style>
  <w:style w:type="character" w:styleId="1534">
    <w:name w:val="Heading 4 Char"/>
    <w:basedOn w:val="1579"/>
    <w:link w:val="1573"/>
    <w:uiPriority w:val="9"/>
    <w:rPr>
      <w:rFonts w:ascii="Arial" w:hAnsi="Arial" w:eastAsia="Arial" w:cs="Arial"/>
      <w:b/>
      <w:bCs/>
      <w:sz w:val="26"/>
      <w:szCs w:val="26"/>
    </w:rPr>
  </w:style>
  <w:style w:type="character" w:styleId="1535">
    <w:name w:val="Heading 5 Char"/>
    <w:basedOn w:val="1579"/>
    <w:link w:val="1574"/>
    <w:uiPriority w:val="9"/>
    <w:rPr>
      <w:rFonts w:ascii="Arial" w:hAnsi="Arial" w:eastAsia="Arial" w:cs="Arial"/>
      <w:b/>
      <w:bCs/>
      <w:sz w:val="24"/>
      <w:szCs w:val="24"/>
    </w:rPr>
  </w:style>
  <w:style w:type="character" w:styleId="1536">
    <w:name w:val="Heading 6 Char"/>
    <w:basedOn w:val="1579"/>
    <w:link w:val="1575"/>
    <w:uiPriority w:val="9"/>
    <w:rPr>
      <w:rFonts w:ascii="Arial" w:hAnsi="Arial" w:eastAsia="Arial" w:cs="Arial"/>
      <w:b/>
      <w:bCs/>
      <w:sz w:val="22"/>
      <w:szCs w:val="22"/>
    </w:rPr>
  </w:style>
  <w:style w:type="character" w:styleId="1537">
    <w:name w:val="Heading 7 Char"/>
    <w:basedOn w:val="1579"/>
    <w:link w:val="1576"/>
    <w:uiPriority w:val="9"/>
    <w:rPr>
      <w:rFonts w:ascii="Arial" w:hAnsi="Arial" w:eastAsia="Arial" w:cs="Arial"/>
      <w:b/>
      <w:bCs/>
      <w:i/>
      <w:iCs/>
      <w:sz w:val="22"/>
      <w:szCs w:val="22"/>
    </w:rPr>
  </w:style>
  <w:style w:type="character" w:styleId="1538">
    <w:name w:val="Heading 8 Char"/>
    <w:basedOn w:val="1579"/>
    <w:link w:val="1577"/>
    <w:uiPriority w:val="9"/>
    <w:rPr>
      <w:rFonts w:ascii="Arial" w:hAnsi="Arial" w:eastAsia="Arial" w:cs="Arial"/>
      <w:i/>
      <w:iCs/>
      <w:sz w:val="22"/>
      <w:szCs w:val="22"/>
    </w:rPr>
  </w:style>
  <w:style w:type="character" w:styleId="1539">
    <w:name w:val="Heading 9 Char"/>
    <w:basedOn w:val="1579"/>
    <w:link w:val="1578"/>
    <w:uiPriority w:val="9"/>
    <w:rPr>
      <w:rFonts w:ascii="Arial" w:hAnsi="Arial" w:eastAsia="Arial" w:cs="Arial"/>
      <w:i/>
      <w:iCs/>
      <w:sz w:val="21"/>
      <w:szCs w:val="21"/>
    </w:rPr>
  </w:style>
  <w:style w:type="character" w:styleId="1540">
    <w:name w:val="Title Char"/>
    <w:basedOn w:val="1579"/>
    <w:link w:val="1611"/>
    <w:uiPriority w:val="10"/>
    <w:rPr>
      <w:sz w:val="48"/>
      <w:szCs w:val="48"/>
    </w:rPr>
  </w:style>
  <w:style w:type="character" w:styleId="1541">
    <w:name w:val="Subtitle Char"/>
    <w:basedOn w:val="1579"/>
    <w:link w:val="1613"/>
    <w:uiPriority w:val="11"/>
    <w:rPr>
      <w:sz w:val="24"/>
      <w:szCs w:val="24"/>
    </w:rPr>
  </w:style>
  <w:style w:type="character" w:styleId="1542">
    <w:name w:val="Quote Char"/>
    <w:link w:val="1615"/>
    <w:uiPriority w:val="29"/>
    <w:rPr>
      <w:i/>
    </w:rPr>
  </w:style>
  <w:style w:type="character" w:styleId="1543">
    <w:name w:val="Intense Quote Char"/>
    <w:link w:val="1617"/>
    <w:uiPriority w:val="30"/>
    <w:rPr>
      <w:i/>
    </w:rPr>
  </w:style>
  <w:style w:type="character" w:styleId="1544">
    <w:name w:val="Header Char"/>
    <w:basedOn w:val="1579"/>
    <w:link w:val="1619"/>
    <w:uiPriority w:val="99"/>
  </w:style>
  <w:style w:type="character" w:styleId="1545">
    <w:name w:val="Footer Char"/>
    <w:basedOn w:val="1579"/>
    <w:link w:val="1621"/>
    <w:uiPriority w:val="99"/>
  </w:style>
  <w:style w:type="character" w:styleId="1546">
    <w:name w:val="Caption Char"/>
    <w:basedOn w:val="1622"/>
    <w:link w:val="1621"/>
    <w:uiPriority w:val="99"/>
  </w:style>
  <w:style w:type="table" w:styleId="1547">
    <w:name w:val="Plain Table 1"/>
    <w:basedOn w:val="15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8">
    <w:name w:val="Plain Table 2"/>
    <w:basedOn w:val="15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9">
    <w:name w:val="Plain Table 3"/>
    <w:basedOn w:val="15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0">
    <w:name w:val="Plain Table 4"/>
    <w:basedOn w:val="15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1">
    <w:name w:val="Plain Table 5"/>
    <w:basedOn w:val="15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52">
    <w:name w:val="Grid Table 1 Light"/>
    <w:basedOn w:val="15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53">
    <w:name w:val="Grid Table 2"/>
    <w:basedOn w:val="15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54">
    <w:name w:val="Grid Table 3"/>
    <w:basedOn w:val="15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55">
    <w:name w:val="Grid Table 4"/>
    <w:basedOn w:val="15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56">
    <w:name w:val="Grid Table 5 Dark"/>
    <w:basedOn w:val="15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57">
    <w:name w:val="Grid Table 6 Colorful"/>
    <w:basedOn w:val="15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58">
    <w:name w:val="Grid Table 7 Colorful"/>
    <w:basedOn w:val="15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59">
    <w:name w:val="List Table 1 Light"/>
    <w:basedOn w:val="15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0">
    <w:name w:val="List Table 2"/>
    <w:basedOn w:val="15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61">
    <w:name w:val="List Table 3"/>
    <w:basedOn w:val="15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2">
    <w:name w:val="List Table 4"/>
    <w:basedOn w:val="15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3">
    <w:name w:val="List Table 5 Dark"/>
    <w:basedOn w:val="15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4">
    <w:name w:val="List Table 6 Colorful"/>
    <w:basedOn w:val="15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65">
    <w:name w:val="List Table 7 Colorful"/>
    <w:basedOn w:val="15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66">
    <w:name w:val="Footnote Text Char"/>
    <w:link w:val="1732"/>
    <w:uiPriority w:val="99"/>
    <w:rPr>
      <w:sz w:val="18"/>
    </w:rPr>
  </w:style>
  <w:style w:type="character" w:styleId="1567">
    <w:name w:val="Endnote Text Char"/>
    <w:link w:val="1735"/>
    <w:uiPriority w:val="99"/>
    <w:rPr>
      <w:sz w:val="20"/>
    </w:rPr>
  </w:style>
  <w:style w:type="paragraph" w:styleId="1568">
    <w:name w:val="TOC Heading"/>
    <w:uiPriority w:val="39"/>
    <w:unhideWhenUsed/>
  </w:style>
  <w:style w:type="paragraph" w:styleId="1569" w:default="1">
    <w:name w:val="Normal"/>
    <w:uiPriority w:val="0"/>
    <w:qFormat/>
    <w:rPr>
      <w:rFonts w:asciiTheme="minorHAnsi" w:hAnsiTheme="minorHAnsi" w:eastAsiaTheme="minorEastAsia" w:cstheme="minorBidi"/>
      <w:lang w:val="en-US" w:eastAsia="zh-CN" w:bidi="ar-SA"/>
    </w:rPr>
  </w:style>
  <w:style w:type="paragraph" w:styleId="1570">
    <w:name w:val="Heading 1"/>
    <w:link w:val="1600"/>
    <w:uiPriority w:val="9"/>
    <w:qFormat/>
    <w:pPr>
      <w:keepLines/>
      <w:keepNext/>
      <w:spacing w:before="480" w:after="200"/>
      <w:outlineLvl w:val="0"/>
    </w:pPr>
    <w:rPr>
      <w:rFonts w:ascii="Arial" w:hAnsi="Arial" w:eastAsia="Arial" w:cs="Arial"/>
      <w:sz w:val="40"/>
      <w:szCs w:val="40"/>
      <w:lang w:val="en-US" w:eastAsia="zh-CN" w:bidi="ar-SA"/>
    </w:rPr>
  </w:style>
  <w:style w:type="paragraph" w:styleId="1571">
    <w:name w:val="Heading 2"/>
    <w:link w:val="1601"/>
    <w:uiPriority w:val="9"/>
    <w:unhideWhenUsed/>
    <w:qFormat/>
    <w:pPr>
      <w:keepLines/>
      <w:keepNext/>
      <w:spacing w:before="360" w:after="200"/>
      <w:outlineLvl w:val="1"/>
    </w:pPr>
    <w:rPr>
      <w:rFonts w:ascii="Arial" w:hAnsi="Arial" w:eastAsia="Arial" w:cs="Arial"/>
      <w:sz w:val="34"/>
      <w:lang w:val="en-US" w:eastAsia="zh-CN" w:bidi="ar-SA"/>
    </w:rPr>
  </w:style>
  <w:style w:type="paragraph" w:styleId="1572">
    <w:name w:val="Heading 3"/>
    <w:link w:val="160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73">
    <w:name w:val="Heading 4"/>
    <w:link w:val="160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74">
    <w:name w:val="Heading 5"/>
    <w:link w:val="160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75">
    <w:name w:val="Heading 6"/>
    <w:link w:val="160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76">
    <w:name w:val="Heading 7"/>
    <w:link w:val="160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77">
    <w:name w:val="Heading 8"/>
    <w:link w:val="160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78">
    <w:name w:val="Heading 9"/>
    <w:link w:val="160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79" w:default="1">
    <w:name w:val="Default Paragraph Font"/>
    <w:uiPriority w:val="1"/>
    <w:semiHidden/>
    <w:unhideWhenUsed/>
    <w:qFormat/>
  </w:style>
  <w:style w:type="table" w:styleId="1580" w:default="1">
    <w:name w:val="Normal Table"/>
    <w:uiPriority w:val="99"/>
    <w:semiHidden/>
    <w:unhideWhenUsed/>
    <w:qFormat/>
    <w:tblPr>
      <w:tblCellMar>
        <w:left w:w="108" w:type="dxa"/>
        <w:top w:w="0" w:type="dxa"/>
        <w:right w:w="108" w:type="dxa"/>
        <w:bottom w:w="0" w:type="dxa"/>
      </w:tblCellMar>
    </w:tblPr>
  </w:style>
  <w:style w:type="table" w:styleId="1581" w:customStyle="1">
    <w:name w:val="无格式表格 11"/>
    <w:basedOn w:val="15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2" w:customStyle="1">
    <w:name w:val="无格式表格 21"/>
    <w:basedOn w:val="15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3" w:customStyle="1">
    <w:name w:val="无格式表格 31"/>
    <w:basedOn w:val="15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4" w:customStyle="1">
    <w:name w:val="无格式表格 41"/>
    <w:basedOn w:val="15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5" w:customStyle="1">
    <w:name w:val="无格式表格 51"/>
    <w:basedOn w:val="15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6" w:customStyle="1">
    <w:name w:val="网格表 1 浅色1"/>
    <w:basedOn w:val="15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87" w:customStyle="1">
    <w:name w:val="网格表 21"/>
    <w:basedOn w:val="15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88" w:customStyle="1">
    <w:name w:val="网格表 31"/>
    <w:basedOn w:val="15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9" w:customStyle="1">
    <w:name w:val="网格表 41"/>
    <w:basedOn w:val="15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0" w:customStyle="1">
    <w:name w:val="网格表 5 深色1"/>
    <w:basedOn w:val="15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1" w:customStyle="1">
    <w:name w:val="网格表 6 彩色1"/>
    <w:basedOn w:val="15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92" w:customStyle="1">
    <w:name w:val="网格表 7 彩色1"/>
    <w:basedOn w:val="15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93" w:customStyle="1">
    <w:name w:val="清单表 1 浅色1"/>
    <w:basedOn w:val="158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4" w:customStyle="1">
    <w:name w:val="清单表 21"/>
    <w:basedOn w:val="15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95" w:customStyle="1">
    <w:name w:val="清单表 31"/>
    <w:basedOn w:val="15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6" w:customStyle="1">
    <w:name w:val="清单表 41"/>
    <w:basedOn w:val="15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7" w:customStyle="1">
    <w:name w:val="清单表 5 深色1"/>
    <w:basedOn w:val="15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8" w:customStyle="1">
    <w:name w:val="清单表 6 彩色1"/>
    <w:basedOn w:val="158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99" w:customStyle="1">
    <w:name w:val="清单表 7 彩色1"/>
    <w:basedOn w:val="158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00" w:customStyle="1">
    <w:name w:val="标题 1 字符"/>
    <w:basedOn w:val="1579"/>
    <w:link w:val="1570"/>
    <w:uiPriority w:val="9"/>
    <w:qFormat/>
    <w:rPr>
      <w:rFonts w:ascii="Arial" w:hAnsi="Arial" w:eastAsia="Arial" w:cs="Arial"/>
      <w:sz w:val="40"/>
      <w:szCs w:val="40"/>
    </w:rPr>
  </w:style>
  <w:style w:type="character" w:styleId="1601" w:customStyle="1">
    <w:name w:val="标题 2 字符"/>
    <w:basedOn w:val="1579"/>
    <w:link w:val="1571"/>
    <w:uiPriority w:val="9"/>
    <w:qFormat/>
    <w:rPr>
      <w:rFonts w:ascii="Arial" w:hAnsi="Arial" w:eastAsia="Arial" w:cs="Arial"/>
      <w:sz w:val="34"/>
    </w:rPr>
  </w:style>
  <w:style w:type="character" w:styleId="1602" w:customStyle="1">
    <w:name w:val="标题 3 字符"/>
    <w:basedOn w:val="1579"/>
    <w:link w:val="1572"/>
    <w:uiPriority w:val="9"/>
    <w:qFormat/>
    <w:rPr>
      <w:rFonts w:ascii="Arial" w:hAnsi="Arial" w:eastAsia="Arial" w:cs="Arial"/>
      <w:sz w:val="30"/>
      <w:szCs w:val="30"/>
    </w:rPr>
  </w:style>
  <w:style w:type="character" w:styleId="1603" w:customStyle="1">
    <w:name w:val="标题 4 字符"/>
    <w:basedOn w:val="1579"/>
    <w:link w:val="1573"/>
    <w:uiPriority w:val="9"/>
    <w:qFormat/>
    <w:rPr>
      <w:rFonts w:ascii="Arial" w:hAnsi="Arial" w:eastAsia="Arial" w:cs="Arial"/>
      <w:b/>
      <w:bCs/>
      <w:sz w:val="26"/>
      <w:szCs w:val="26"/>
    </w:rPr>
  </w:style>
  <w:style w:type="character" w:styleId="1604" w:customStyle="1">
    <w:name w:val="标题 5 字符"/>
    <w:basedOn w:val="1579"/>
    <w:link w:val="1574"/>
    <w:uiPriority w:val="9"/>
    <w:qFormat/>
    <w:rPr>
      <w:rFonts w:ascii="Arial" w:hAnsi="Arial" w:eastAsia="Arial" w:cs="Arial"/>
      <w:b/>
      <w:bCs/>
      <w:sz w:val="24"/>
      <w:szCs w:val="24"/>
    </w:rPr>
  </w:style>
  <w:style w:type="character" w:styleId="1605" w:customStyle="1">
    <w:name w:val="标题 6 字符"/>
    <w:basedOn w:val="1579"/>
    <w:link w:val="1575"/>
    <w:uiPriority w:val="9"/>
    <w:qFormat/>
    <w:rPr>
      <w:rFonts w:ascii="Arial" w:hAnsi="Arial" w:eastAsia="Arial" w:cs="Arial"/>
      <w:b/>
      <w:bCs/>
      <w:sz w:val="22"/>
      <w:szCs w:val="22"/>
    </w:rPr>
  </w:style>
  <w:style w:type="character" w:styleId="1606" w:customStyle="1">
    <w:name w:val="标题 7 字符"/>
    <w:basedOn w:val="1579"/>
    <w:link w:val="1576"/>
    <w:uiPriority w:val="9"/>
    <w:qFormat/>
    <w:rPr>
      <w:rFonts w:ascii="Arial" w:hAnsi="Arial" w:eastAsia="Arial" w:cs="Arial"/>
      <w:b/>
      <w:bCs/>
      <w:i/>
      <w:iCs/>
      <w:sz w:val="22"/>
      <w:szCs w:val="22"/>
    </w:rPr>
  </w:style>
  <w:style w:type="character" w:styleId="1607" w:customStyle="1">
    <w:name w:val="标题 8 字符"/>
    <w:basedOn w:val="1579"/>
    <w:link w:val="1577"/>
    <w:uiPriority w:val="9"/>
    <w:qFormat/>
    <w:rPr>
      <w:rFonts w:ascii="Arial" w:hAnsi="Arial" w:eastAsia="Arial" w:cs="Arial"/>
      <w:i/>
      <w:iCs/>
      <w:sz w:val="22"/>
      <w:szCs w:val="22"/>
    </w:rPr>
  </w:style>
  <w:style w:type="character" w:styleId="1608" w:customStyle="1">
    <w:name w:val="标题 9 字符"/>
    <w:basedOn w:val="1579"/>
    <w:link w:val="1578"/>
    <w:uiPriority w:val="9"/>
    <w:qFormat/>
    <w:rPr>
      <w:rFonts w:ascii="Arial" w:hAnsi="Arial" w:eastAsia="Arial" w:cs="Arial"/>
      <w:i/>
      <w:iCs/>
      <w:sz w:val="21"/>
      <w:szCs w:val="21"/>
    </w:rPr>
  </w:style>
  <w:style w:type="paragraph" w:styleId="1609">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610">
    <w:name w:val="No Spacing"/>
    <w:uiPriority w:val="1"/>
    <w:qFormat/>
    <w:rPr>
      <w:rFonts w:asciiTheme="minorHAnsi" w:hAnsiTheme="minorHAnsi" w:eastAsiaTheme="minorEastAsia" w:cstheme="minorBidi"/>
      <w:lang w:val="en-US" w:eastAsia="zh-CN" w:bidi="ar-SA"/>
    </w:rPr>
  </w:style>
  <w:style w:type="paragraph" w:styleId="1611">
    <w:name w:val="Title"/>
    <w:link w:val="1612"/>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612" w:customStyle="1">
    <w:name w:val="标题 字符"/>
    <w:basedOn w:val="1579"/>
    <w:link w:val="1611"/>
    <w:uiPriority w:val="10"/>
    <w:qFormat/>
    <w:rPr>
      <w:sz w:val="48"/>
      <w:szCs w:val="48"/>
    </w:rPr>
  </w:style>
  <w:style w:type="paragraph" w:styleId="1613">
    <w:name w:val="Subtitle"/>
    <w:link w:val="1614"/>
    <w:uiPriority w:val="11"/>
    <w:qFormat/>
    <w:pPr>
      <w:spacing w:before="200" w:after="200"/>
    </w:pPr>
    <w:rPr>
      <w:rFonts w:asciiTheme="minorHAnsi" w:hAnsiTheme="minorHAnsi" w:eastAsiaTheme="minorEastAsia" w:cstheme="minorBidi"/>
      <w:sz w:val="24"/>
      <w:szCs w:val="24"/>
      <w:lang w:val="en-US" w:eastAsia="zh-CN" w:bidi="ar-SA"/>
    </w:rPr>
  </w:style>
  <w:style w:type="character" w:styleId="1614" w:customStyle="1">
    <w:name w:val="副标题 字符"/>
    <w:basedOn w:val="1579"/>
    <w:link w:val="1613"/>
    <w:uiPriority w:val="11"/>
    <w:qFormat/>
    <w:rPr>
      <w:sz w:val="24"/>
      <w:szCs w:val="24"/>
    </w:rPr>
  </w:style>
  <w:style w:type="paragraph" w:styleId="1615">
    <w:name w:val="Quote"/>
    <w:link w:val="1616"/>
    <w:uiPriority w:val="29"/>
    <w:qFormat/>
    <w:pPr>
      <w:ind w:left="720" w:right="720"/>
    </w:pPr>
    <w:rPr>
      <w:rFonts w:asciiTheme="minorHAnsi" w:hAnsiTheme="minorHAnsi" w:eastAsiaTheme="minorEastAsia" w:cstheme="minorBidi"/>
      <w:i/>
      <w:lang w:val="en-US" w:eastAsia="zh-CN" w:bidi="ar-SA"/>
    </w:rPr>
  </w:style>
  <w:style w:type="character" w:styleId="1616" w:customStyle="1">
    <w:name w:val="引用 字符"/>
    <w:link w:val="1615"/>
    <w:uiPriority w:val="29"/>
    <w:qFormat/>
    <w:rPr>
      <w:i/>
    </w:rPr>
  </w:style>
  <w:style w:type="paragraph" w:styleId="1617">
    <w:name w:val="Intense Quote"/>
    <w:link w:val="16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618" w:customStyle="1">
    <w:name w:val="明显引用 字符"/>
    <w:link w:val="1617"/>
    <w:uiPriority w:val="30"/>
    <w:qFormat/>
    <w:rPr>
      <w:i/>
    </w:rPr>
  </w:style>
  <w:style w:type="paragraph" w:styleId="1619">
    <w:name w:val="Header"/>
    <w:link w:val="1620"/>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620" w:customStyle="1">
    <w:name w:val="页眉 字符"/>
    <w:basedOn w:val="1579"/>
    <w:link w:val="1619"/>
    <w:uiPriority w:val="99"/>
    <w:qFormat/>
  </w:style>
  <w:style w:type="paragraph" w:styleId="1621">
    <w:name w:val="Footer"/>
    <w:link w:val="1623"/>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622">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23" w:customStyle="1">
    <w:name w:val="页脚 字符"/>
    <w:link w:val="1621"/>
    <w:uiPriority w:val="99"/>
    <w:qFormat/>
  </w:style>
  <w:style w:type="table" w:styleId="16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26"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27"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28"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29"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30"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31"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32"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33"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34"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35"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36"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37"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38"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9"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0"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1"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2"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3"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4"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45"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46"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47"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48"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49"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56"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57"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58"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59"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60"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1"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2"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63"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64"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65"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66"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67"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68"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69"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70"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71"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72"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73"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74"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75"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76"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77"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78"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79"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80"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81"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82"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83"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84"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85"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86"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87"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88"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89"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90"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91"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92"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3"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4"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5"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6"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7"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8"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99"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00"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01"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02"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03"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04"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05"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06"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07"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08"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09"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8"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9"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0"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1"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2"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23"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25"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26"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27"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28"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29"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30"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31">
    <w:name w:val="Hyperlink"/>
    <w:uiPriority w:val="99"/>
    <w:unhideWhenUsed/>
    <w:qFormat/>
    <w:rPr>
      <w:color w:val="0563c1" w:themeColor="hyperlink"/>
      <w:u w:val="single"/>
      <w14:textFill>
        <w14:solidFill>
          <w14:schemeClr w14:val="hlink"/>
        </w14:solidFill>
      </w14:textFill>
    </w:rPr>
  </w:style>
  <w:style w:type="paragraph" w:styleId="1732">
    <w:name w:val="footnote text"/>
    <w:link w:val="1733"/>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733" w:customStyle="1">
    <w:name w:val="脚注文本 字符"/>
    <w:link w:val="1732"/>
    <w:uiPriority w:val="99"/>
    <w:qFormat/>
    <w:rPr>
      <w:sz w:val="18"/>
    </w:rPr>
  </w:style>
  <w:style w:type="character" w:styleId="1734">
    <w:name w:val="footnote reference"/>
    <w:basedOn w:val="1579"/>
    <w:uiPriority w:val="99"/>
    <w:unhideWhenUsed/>
    <w:qFormat/>
    <w:rPr>
      <w:vertAlign w:val="superscript"/>
    </w:rPr>
  </w:style>
  <w:style w:type="paragraph" w:styleId="1735">
    <w:name w:val="endnote text"/>
    <w:link w:val="1736"/>
    <w:uiPriority w:val="99"/>
    <w:semiHidden/>
    <w:unhideWhenUsed/>
    <w:qFormat/>
    <w:rPr>
      <w:rFonts w:asciiTheme="minorHAnsi" w:hAnsiTheme="minorHAnsi" w:eastAsiaTheme="minorEastAsia" w:cstheme="minorBidi"/>
      <w:lang w:val="en-US" w:eastAsia="zh-CN" w:bidi="ar-SA"/>
    </w:rPr>
  </w:style>
  <w:style w:type="character" w:styleId="1736" w:customStyle="1">
    <w:name w:val="尾注文本 字符"/>
    <w:link w:val="1735"/>
    <w:uiPriority w:val="99"/>
    <w:qFormat/>
    <w:rPr>
      <w:sz w:val="20"/>
    </w:rPr>
  </w:style>
  <w:style w:type="character" w:styleId="1737">
    <w:name w:val="endnote reference"/>
    <w:basedOn w:val="1579"/>
    <w:uiPriority w:val="99"/>
    <w:semiHidden/>
    <w:unhideWhenUsed/>
    <w:qFormat/>
    <w:rPr>
      <w:vertAlign w:val="superscript"/>
    </w:rPr>
  </w:style>
  <w:style w:type="paragraph" w:styleId="1738">
    <w:name w:val="toc 1"/>
    <w:uiPriority w:val="39"/>
    <w:unhideWhenUsed/>
    <w:qFormat/>
    <w:pPr>
      <w:spacing w:after="57"/>
    </w:pPr>
    <w:rPr>
      <w:rFonts w:asciiTheme="minorHAnsi" w:hAnsiTheme="minorHAnsi" w:eastAsiaTheme="minorEastAsia" w:cstheme="minorBidi"/>
      <w:lang w:val="en-US" w:eastAsia="zh-CN" w:bidi="ar-SA"/>
    </w:rPr>
  </w:style>
  <w:style w:type="paragraph" w:styleId="1739">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740">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41">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42">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43">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44">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45">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46">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47">
    <w:name w:val="table of figures"/>
    <w:uiPriority w:val="99"/>
    <w:unhideWhenUsed/>
    <w:qFormat/>
    <w:rPr>
      <w:rFonts w:asciiTheme="minorHAnsi" w:hAnsiTheme="minorHAnsi" w:eastAsiaTheme="minorEastAsia" w:cstheme="minorBidi"/>
      <w:lang w:val="en-US" w:eastAsia="zh-CN" w:bidi="ar-SA"/>
    </w:rPr>
  </w:style>
  <w:style w:type="paragraph" w:styleId="1748"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49">
    <w:name w:val="Placeholder Text"/>
    <w:basedOn w:val="1579"/>
    <w:uiPriority w:val="99"/>
    <w:unhideWhenUsed/>
    <w:qFormat/>
    <w:rPr>
      <w:color w:val="808080"/>
    </w:rPr>
  </w:style>
  <w:style w:type="numbering" w:styleId="175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113</cp:revision>
  <dcterms:created xsi:type="dcterms:W3CDTF">2023-10-16T10:18:00Z</dcterms:created>
  <dcterms:modified xsi:type="dcterms:W3CDTF">2026-09-23T01:52:39Z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4465DFC39D784C02B92855EBD2C1BD7E_13</vt:lpwstr>
  </property>
  <property fmtid="{D5CDD505-2E9C-101B-9397-08002B2CF9AE}" pid="4" name="KSOTemplateDocerSaveRecord">
    <vt:lpwstr>eyJoZGlkIjoiMWYxYmUwODIzYzk0M2QzOTM3M2I1MzA0NjYxZWNjMTciLCJ1c2VySWQiOiI3MDY5OTM5NjQifQ==</vt:lpwstr>
  </property>
</Properties>
</file>