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苏州市立医院全院设备集中维保项目</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rPr>
        <w:t xml:space="preserve">2026年</w:t>
      </w:r>
      <w:r>
        <w:rPr>
          <w:rFonts w:hint="eastAsia" w:ascii="宋体" w:hAnsi="宋体"/>
          <w:color w:val="auto"/>
          <w:sz w:val="24"/>
          <w:szCs w:val="24"/>
          <w:highlight w:val="none"/>
          <w:u w:val="single"/>
          <w:lang w:eastAsia="zh-CN"/>
        </w:rPr>
        <w:t xml:space="preserve">9月7日13点30分</w:t>
      </w:r>
      <w:r>
        <w:rPr>
          <w:rFonts w:hint="eastAsia" w:ascii="宋体" w:hAnsi="宋体"/>
          <w:color w:val="auto"/>
          <w:sz w:val="24"/>
          <w:szCs w:val="24"/>
          <w:highlight w:val="none"/>
        </w:rPr>
        <w:t xml:space="preserve">（北京时间）前递交电子投标文件。</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0"/>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olor w:val="auto"/>
          <w:sz w:val="24"/>
          <w:szCs w:val="20"/>
          <w:highlight w:val="none"/>
          <w:lang w:eastAsia="zh-CN"/>
        </w:rPr>
        <w:t xml:space="preserve">JSZC-320500-SZWK-G2026-0247</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苏州市立医院全院设备集中维保项目</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3、采购预算及最高限价：</w:t>
      </w:r>
      <w:r>
        <w:rPr>
          <w:rFonts w:hint="eastAsia" w:ascii="宋体" w:hAnsi="宋体" w:cs="宋体"/>
          <w:color w:val="auto"/>
          <w:sz w:val="24"/>
          <w:szCs w:val="24"/>
          <w:highlight w:val="none"/>
          <w:lang w:eastAsia="zh-CN"/>
        </w:rPr>
        <w:t xml:space="preserve">4960.90万元</w:t>
      </w:r>
      <w:r/>
    </w:p>
    <w:p>
      <w:pPr>
        <w:ind w:firstLine="480"/>
        <w:rPr>
          <w:rFonts w:hint="eastAsia" w:ascii="宋体" w:hAnsi="宋体"/>
          <w:color w:val="auto"/>
          <w:sz w:val="24"/>
          <w:szCs w:val="24"/>
          <w:highlight w:val="none"/>
        </w:rPr>
      </w:pPr>
      <w:r>
        <w:rPr>
          <w:rFonts w:hint="eastAsia" w:ascii="宋体" w:hAnsi="宋体" w:cs="宋体"/>
          <w:color w:val="auto"/>
          <w:sz w:val="24"/>
          <w:szCs w:val="24"/>
          <w:highlight w:val="none"/>
        </w:rPr>
        <w:t xml:space="preserve">4、采购需求的简要说明：包含但不限于设备全生命周期管理、维修管理、技术安全检查管理、预防性维护保养管理、院区间设备应急调配、定期巡检、资产盘点、配合设备质控检查、协助计量检测、不良事件上报、特种设备管理、放射防护管理等医学工程部承担的服务内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（1）服务周期：</w:t>
      </w:r>
      <w:r>
        <w:rPr>
          <w:rFonts w:hint="eastAsia" w:ascii="宋体" w:hAnsi="宋体" w:cs="宋体"/>
          <w:color w:val="auto"/>
          <w:sz w:val="24"/>
          <w:szCs w:val="24"/>
          <w:highlight w:val="none"/>
          <w:lang w:eastAsia="zh-CN"/>
        </w:rPr>
        <w:t xml:space="preserve">一年（从合同签订之日起开始计算）</w:t>
      </w:r>
      <w:r>
        <w:rPr>
          <w:rFonts w:hint="eastAsia" w:ascii="宋体" w:hAnsi="宋体" w:cs="宋体"/>
          <w:color w:val="auto"/>
          <w:sz w:val="24"/>
          <w:szCs w:val="24"/>
          <w:highlight w:val="none"/>
        </w:rPr>
        <w:t xml:space="preserve">。</w:t>
      </w:r>
      <w:r/>
    </w:p>
    <w:p>
      <w:pPr>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（2）服务地点：</w:t>
      </w:r>
      <w:r>
        <w:rPr>
          <w:rFonts w:hint="eastAsia" w:ascii="宋体" w:hAnsi="宋体" w:cs="宋体"/>
          <w:color w:val="auto"/>
          <w:sz w:val="24"/>
          <w:szCs w:val="24"/>
          <w:highlight w:val="none"/>
          <w:lang w:eastAsia="zh-CN"/>
        </w:rPr>
        <w:t xml:space="preserve">苏州市立医院</w:t>
      </w:r>
      <w:r>
        <w:rPr>
          <w:rFonts w:hint="eastAsia" w:ascii="宋体" w:hAnsi="宋体" w:cs="宋体"/>
          <w:color w:val="auto"/>
          <w:sz w:val="24"/>
          <w:szCs w:val="24"/>
          <w:highlight w:val="none"/>
          <w:lang w:val="en-US" w:eastAsia="zh-CN"/>
        </w:rPr>
        <w:t xml:space="preserve">集团</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（3）验收标准：采购方根据国家和行业标准及采购文件要求进行质量验收。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rPr>
        <w:t xml:space="preserve">7、</w:t>
      </w:r>
      <w:r>
        <w:rPr>
          <w:rFonts w:hint="eastAsia" w:ascii="宋体" w:hAnsi="宋体" w:cs="宋体"/>
          <w:b/>
          <w:bCs/>
          <w:color w:val="auto"/>
          <w:sz w:val="24"/>
          <w:szCs w:val="24"/>
          <w:highlight w:val="none"/>
          <w:u w:val="single"/>
        </w:rPr>
        <w:t xml:space="preserve">本项目非专门面向中小企业采购,所属行业为其他未列明行业。</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lang w:val="en-US" w:eastAsia="zh-CN"/>
        </w:rPr>
        <w:t xml:space="preserve">无</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rPr>
          <w:rFonts w:hint="eastAsia" w:ascii="宋体" w:hAnsi="宋体" w:cs="宋体"/>
          <w:color w:val="auto"/>
          <w:sz w:val="24"/>
          <w:szCs w:val="24"/>
          <w:highlight w:val="none"/>
          <w:lang w:val="en-US" w:eastAsia="zh-CN"/>
        </w:rPr>
        <w:t xml:space="preserve">无</w:t>
      </w:r>
      <w:r>
        <w:rPr>
          <w:rFonts w:hint="eastAsia" w:ascii="宋体" w:hAnsi="宋体" w:cs="宋体"/>
          <w:color w:val="auto"/>
          <w:sz w:val="24"/>
          <w:szCs w:val="24"/>
          <w:highlight w:val="none"/>
        </w:rPr>
        <w:t xml:space="preserve">；</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ascii="宋体" w:hAnsi="宋体"/>
          <w:b/>
          <w:bCs/>
          <w:color w:val="auto"/>
          <w:sz w:val="24"/>
          <w:szCs w:val="20"/>
          <w:highlight w:val="none"/>
        </w:rPr>
      </w:pPr>
      <w:r>
        <w:rPr>
          <w:rFonts w:ascii="宋体" w:hAnsi="宋体"/>
          <w:b/>
          <w:bCs/>
          <w:color w:val="auto"/>
          <w:sz w:val="24"/>
          <w:szCs w:val="20"/>
          <w:highlight w:val="none"/>
        </w:rPr>
        <w:t xml:space="preserve">三、获取招标文件</w:t>
      </w:r>
      <w:r/>
    </w:p>
    <w:p>
      <w:pPr>
        <w:ind w:firstLine="480"/>
        <w:widowControl/>
        <w:rPr>
          <w:rFonts w:ascii="宋体" w:hAnsi="宋体"/>
          <w:color w:val="auto"/>
          <w:sz w:val="24"/>
          <w:szCs w:val="20"/>
          <w:highlight w:val="none"/>
        </w:rPr>
      </w:pPr>
      <w:r>
        <w:rPr>
          <w:rFonts w:hint="eastAsia" w:ascii="宋体" w:hAnsi="宋体"/>
          <w:color w:val="auto"/>
          <w:sz w:val="24"/>
          <w:szCs w:val="20"/>
          <w:highlight w:val="none"/>
        </w:rPr>
        <w:t xml:space="preserve">1、获取</w:t>
      </w:r>
      <w:r>
        <w:rPr>
          <w:rFonts w:ascii="宋体" w:hAnsi="宋体"/>
          <w:color w:val="auto"/>
          <w:sz w:val="24"/>
          <w:szCs w:val="20"/>
          <w:highlight w:val="none"/>
        </w:rPr>
        <w:t xml:space="preserve">时间：</w:t>
      </w:r>
      <w:r>
        <w:rPr>
          <w:rFonts w:hint="eastAsia" w:ascii="宋体" w:hAnsi="宋体"/>
          <w:color w:val="auto"/>
          <w:sz w:val="24"/>
          <w:szCs w:val="20"/>
          <w:highlight w:val="none"/>
        </w:rPr>
        <w:t xml:space="preserve">自招标公告发布之日起5个工作日</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2、地点：苏采云系统</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3、获取方式：自行下载</w:t>
      </w:r>
      <w:r/>
    </w:p>
    <w:p>
      <w:pPr>
        <w:pStyle w:val="691"/>
        <w:ind w:firstLine="480"/>
        <w:spacing w:line="240" w:lineRule="auto"/>
        <w:rPr>
          <w:color w:val="auto"/>
          <w:highlight w:val="none"/>
        </w:rPr>
      </w:pPr>
      <w:r>
        <w:rPr>
          <w:rFonts w:hint="eastAsia"/>
          <w:color w:val="auto"/>
          <w:highlight w:val="none"/>
        </w:rPr>
        <w:t xml:space="preserve">4、售价：无</w:t>
      </w:r>
      <w:r/>
    </w:p>
    <w:p>
      <w:pPr>
        <w:pStyle w:val="691"/>
        <w:ind w:firstLine="480"/>
        <w:spacing w:line="240" w:lineRule="auto"/>
        <w:rPr>
          <w:b/>
          <w:bCs/>
          <w:color w:val="auto"/>
          <w:highlight w:val="none"/>
        </w:rPr>
      </w:pPr>
      <w:r>
        <w:rPr>
          <w:rFonts w:hint="eastAsia"/>
          <w:b/>
          <w:bCs/>
          <w:color w:val="auto"/>
          <w:highlight w:val="none"/>
        </w:rPr>
        <w:t xml:space="preserve">四、上传投标文件截止时间、开标时间和地点</w:t>
      </w:r>
      <w:r/>
    </w:p>
    <w:p>
      <w:pPr>
        <w:pStyle w:val="691"/>
        <w:ind w:firstLine="480"/>
        <w:spacing w:line="240" w:lineRule="auto"/>
        <w:rPr>
          <w:rFonts w:hint="eastAsia" w:ascii="宋体" w:hAnsi="宋体" w:eastAsia="宋体" w:cs="宋体"/>
          <w:color w:val="auto"/>
          <w:szCs w:val="24"/>
          <w:highlight w:val="none"/>
          <w:u w:val="single"/>
          <w:lang w:eastAsia="zh-CN"/>
        </w:rPr>
      </w:pPr>
      <w:r>
        <w:rPr>
          <w:rFonts w:hint="eastAsia"/>
          <w:color w:val="auto"/>
          <w:highlight w:val="none"/>
        </w:rPr>
        <w:t xml:space="preserve">1、上传投标文件截止时间：2026年</w:t>
      </w:r>
      <w:r>
        <w:rPr>
          <w:rFonts w:hint="eastAsia"/>
          <w:color w:val="auto"/>
          <w:highlight w:val="none"/>
          <w:lang w:eastAsia="zh-CN"/>
        </w:rPr>
        <w:t xml:space="preserve">9月7日13点30分</w:t>
      </w:r>
      <w:r/>
    </w:p>
    <w:p>
      <w:pPr>
        <w:pStyle w:val="691"/>
        <w:ind w:firstLine="480"/>
        <w:spacing w:line="240" w:lineRule="auto"/>
        <w:rPr>
          <w:rFonts w:hint="eastAsia" w:eastAsia="宋体"/>
          <w:color w:val="auto"/>
          <w:highlight w:val="none"/>
          <w:lang w:eastAsia="zh-CN"/>
        </w:rPr>
      </w:pPr>
      <w:r>
        <w:rPr>
          <w:rFonts w:hint="eastAsia"/>
          <w:color w:val="auto"/>
          <w:highlight w:val="none"/>
        </w:rPr>
        <w:t xml:space="preserve">2、开标时间：2026年</w:t>
      </w:r>
      <w:r>
        <w:rPr>
          <w:rFonts w:hint="eastAsia"/>
          <w:color w:val="auto"/>
          <w:highlight w:val="none"/>
          <w:lang w:eastAsia="zh-CN"/>
        </w:rPr>
        <w:t xml:space="preserve">9月7日13点30分</w:t>
      </w:r>
      <w:r/>
    </w:p>
    <w:p>
      <w:pPr>
        <w:pStyle w:val="691"/>
        <w:ind w:firstLine="480"/>
        <w:spacing w:line="240" w:lineRule="auto"/>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691"/>
        <w:ind w:firstLine="480"/>
        <w:spacing w:line="240" w:lineRule="auto"/>
        <w:rPr>
          <w:b/>
          <w:bCs/>
          <w:color w:val="auto"/>
          <w:highlight w:val="none"/>
        </w:rPr>
      </w:pPr>
      <w:r>
        <w:rPr>
          <w:rFonts w:hint="eastAsia"/>
          <w:b/>
          <w:bCs/>
          <w:color w:val="auto"/>
          <w:highlight w:val="none"/>
        </w:rPr>
        <w:t xml:space="preserve">五、公告期限</w:t>
      </w:r>
      <w:r/>
    </w:p>
    <w:p>
      <w:pPr>
        <w:pStyle w:val="691"/>
        <w:ind w:firstLine="480"/>
        <w:spacing w:line="240" w:lineRule="auto"/>
        <w:rPr>
          <w:color w:val="auto"/>
          <w:highlight w:val="none"/>
        </w:rPr>
      </w:pPr>
      <w:r>
        <w:rPr>
          <w:rFonts w:hint="eastAsia"/>
          <w:color w:val="auto"/>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pStyle w:val="691"/>
        <w:ind w:firstLine="480"/>
        <w:spacing w:line="240" w:lineRule="auto"/>
        <w:rPr>
          <w:color w:val="auto"/>
          <w:highlight w:val="none"/>
        </w:rPr>
      </w:pPr>
      <w:r>
        <w:rPr>
          <w:rFonts w:hint="eastAsia"/>
          <w:color w:val="auto"/>
          <w:highlight w:val="none"/>
        </w:rPr>
        <w:t xml:space="preserve">七、对本次招标提出询问，请按以下方式联系。</w:t>
      </w:r>
      <w:r/>
    </w:p>
    <w:p>
      <w:pPr>
        <w:pStyle w:val="691"/>
        <w:ind w:firstLine="480"/>
        <w:spacing w:line="240" w:lineRule="auto"/>
        <w:rPr>
          <w:color w:val="auto"/>
          <w:highlight w:val="none"/>
        </w:rPr>
      </w:pPr>
      <w:r>
        <w:rPr>
          <w:rFonts w:hint="eastAsia"/>
          <w:color w:val="auto"/>
          <w:highlight w:val="none"/>
        </w:rPr>
        <w:t xml:space="preserve">1、采购人信息</w:t>
      </w:r>
      <w:r/>
    </w:p>
    <w:p>
      <w:pPr>
        <w:pStyle w:val="691"/>
        <w:ind w:firstLine="480"/>
        <w:spacing w:line="240" w:lineRule="auto"/>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苏州市立医院</w:t>
      </w:r>
      <w:r/>
    </w:p>
    <w:p>
      <w:pPr>
        <w:pStyle w:val="691"/>
        <w:ind w:firstLine="480"/>
        <w:spacing w:line="240" w:lineRule="auto"/>
        <w:rPr>
          <w:rFonts w:hint="eastAsia" w:eastAsia="宋体"/>
          <w:color w:val="auto"/>
          <w:highlight w:val="none"/>
          <w:lang w:eastAsia="zh-CN"/>
        </w:rPr>
      </w:pPr>
      <w:r>
        <w:rPr>
          <w:rFonts w:hint="eastAsia"/>
          <w:color w:val="auto"/>
          <w:highlight w:val="none"/>
        </w:rPr>
        <w:t xml:space="preserve">地址：</w:t>
      </w:r>
      <w:r>
        <w:rPr>
          <w:rFonts w:hint="eastAsia"/>
          <w:color w:val="auto"/>
          <w:highlight w:val="none"/>
          <w:lang w:eastAsia="zh-CN"/>
        </w:rPr>
        <w:t xml:space="preserve">苏州市道前街26号</w:t>
      </w:r>
      <w:r/>
    </w:p>
    <w:p>
      <w:pPr>
        <w:pStyle w:val="691"/>
        <w:ind w:firstLine="480"/>
        <w:spacing w:line="240" w:lineRule="auto"/>
        <w:rPr>
          <w:rFonts w:hint="eastAsia" w:eastAsia="宋体"/>
          <w:color w:val="auto"/>
          <w:highlight w:val="none"/>
          <w:lang w:eastAsia="zh-CN"/>
        </w:rPr>
      </w:pPr>
      <w:r>
        <w:rPr>
          <w:rFonts w:hint="eastAsia"/>
          <w:color w:val="auto"/>
          <w:highlight w:val="none"/>
        </w:rPr>
        <w:t xml:space="preserve">联系人：</w:t>
      </w:r>
      <w:r>
        <w:rPr>
          <w:rFonts w:hint="eastAsia"/>
          <w:color w:val="auto"/>
          <w:highlight w:val="none"/>
          <w:lang w:eastAsia="zh-CN"/>
        </w:rPr>
        <w:t xml:space="preserve">王俊文</w:t>
      </w:r>
      <w:r/>
    </w:p>
    <w:p>
      <w:pPr>
        <w:pStyle w:val="691"/>
        <w:ind w:firstLine="480"/>
        <w:spacing w:line="240" w:lineRule="auto"/>
        <w:rPr>
          <w:rFonts w:hint="eastAsia" w:eastAsia="宋体"/>
          <w:color w:val="auto"/>
          <w:highlight w:val="none"/>
          <w:lang w:eastAsia="zh-CN"/>
        </w:rPr>
      </w:pPr>
      <w:r>
        <w:rPr>
          <w:rFonts w:hint="eastAsia"/>
          <w:color w:val="auto"/>
          <w:highlight w:val="none"/>
        </w:rPr>
        <w:t xml:space="preserve">联系电话：</w:t>
      </w:r>
      <w:r>
        <w:rPr>
          <w:rFonts w:hint="eastAsia"/>
          <w:color w:val="auto"/>
          <w:highlight w:val="none"/>
          <w:lang w:eastAsia="zh-CN"/>
        </w:rPr>
        <w:t xml:space="preserve">0512-62362603</w:t>
      </w:r>
      <w:r/>
    </w:p>
    <w:p>
      <w:pPr>
        <w:pStyle w:val="691"/>
        <w:ind w:firstLine="480"/>
        <w:spacing w:line="240" w:lineRule="auto"/>
        <w:rPr>
          <w:color w:val="auto"/>
          <w:highlight w:val="none"/>
        </w:rPr>
      </w:pPr>
      <w:r>
        <w:rPr>
          <w:rFonts w:hint="eastAsia"/>
          <w:color w:val="auto"/>
          <w:highlight w:val="none"/>
        </w:rPr>
        <w:t xml:space="preserve">2、采购代理机构信息</w:t>
      </w:r>
      <w:r/>
    </w:p>
    <w:p>
      <w:pPr>
        <w:pStyle w:val="691"/>
        <w:ind w:firstLine="480"/>
        <w:spacing w:line="240" w:lineRule="auto"/>
        <w:rPr>
          <w:color w:val="auto"/>
          <w:highlight w:val="none"/>
        </w:rPr>
      </w:pPr>
      <w:r>
        <w:rPr>
          <w:rFonts w:hint="eastAsia"/>
          <w:color w:val="auto"/>
          <w:highlight w:val="none"/>
        </w:rPr>
        <w:t xml:space="preserve">名称：苏州市卫康招投标咨询服务有限公司</w:t>
      </w:r>
      <w:r/>
    </w:p>
    <w:p>
      <w:pPr>
        <w:pStyle w:val="691"/>
        <w:ind w:firstLine="480"/>
        <w:spacing w:line="240" w:lineRule="auto"/>
        <w:rPr>
          <w:color w:val="auto"/>
          <w:highlight w:val="none"/>
        </w:rPr>
      </w:pPr>
      <w:r>
        <w:rPr>
          <w:rFonts w:hint="eastAsia"/>
          <w:color w:val="auto"/>
          <w:highlight w:val="none"/>
        </w:rPr>
        <w:t xml:space="preserve">地址：苏州市干将西路1296号1幢17层</w:t>
      </w:r>
      <w:r/>
    </w:p>
    <w:p>
      <w:pPr>
        <w:pStyle w:val="691"/>
        <w:ind w:firstLine="480"/>
        <w:spacing w:line="240" w:lineRule="auto"/>
        <w:rPr>
          <w:color w:val="auto"/>
          <w:highlight w:val="none"/>
        </w:rPr>
      </w:pPr>
      <w:r>
        <w:rPr>
          <w:rFonts w:hint="eastAsia"/>
          <w:color w:val="auto"/>
          <w:highlight w:val="none"/>
        </w:rPr>
        <w:t xml:space="preserve">前台联系方式：0512-69165625</w:t>
      </w:r>
      <w:r/>
    </w:p>
    <w:p>
      <w:pPr>
        <w:pStyle w:val="691"/>
        <w:ind w:firstLine="480"/>
        <w:spacing w:line="240" w:lineRule="auto"/>
        <w:rPr>
          <w:color w:val="auto"/>
          <w:highlight w:val="none"/>
        </w:rPr>
      </w:pPr>
      <w:r>
        <w:rPr>
          <w:rFonts w:hint="eastAsia"/>
          <w:color w:val="auto"/>
          <w:highlight w:val="none"/>
        </w:rPr>
        <w:t xml:space="preserve">3、项目联系方式</w:t>
      </w:r>
      <w:r/>
    </w:p>
    <w:p>
      <w:pPr>
        <w:pStyle w:val="691"/>
        <w:ind w:firstLine="480"/>
        <w:spacing w:line="240" w:lineRule="auto"/>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陈璐佳、李晶晶、李东</w:t>
      </w:r>
      <w:r/>
    </w:p>
    <w:p>
      <w:pPr>
        <w:pStyle w:val="691"/>
        <w:ind w:firstLine="480"/>
        <w:spacing w:line="240" w:lineRule="auto"/>
        <w:rPr>
          <w:color w:val="auto"/>
          <w:highlight w:val="none"/>
        </w:rPr>
      </w:pPr>
      <w:r>
        <w:rPr>
          <w:rFonts w:hint="eastAsia"/>
          <w:color w:val="auto"/>
          <w:highlight w:val="none"/>
        </w:rPr>
        <w:t xml:space="preserve">电话：0512-69165615</w:t>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bookmarkStart w:id="1" w:name="_Hlk131152694"/>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 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spacing w:line="480" w:lineRule="auto"/>
        <w:rPr>
          <w:rFonts w:ascii="宋体" w:hAnsi="宋体"/>
          <w:color w:val="auto"/>
          <w:sz w:val="30"/>
          <w:szCs w:val="30"/>
          <w:highlight w:val="none"/>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JSZC-320500-SZWK-G2026-0247</w:t>
      </w:r>
      <w:r>
        <w:rPr>
          <w:rFonts w:hint="eastAsia" w:ascii="宋体" w:hAnsi="宋体"/>
          <w:color w:val="auto"/>
          <w:sz w:val="30"/>
          <w:szCs w:val="30"/>
          <w:highlight w:val="none"/>
        </w:rPr>
        <w:t xml:space="preserve">号</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苏州市立医院全院设备集中维保项目</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苏州市立医院</w:t>
      </w:r>
      <w:r/>
    </w:p>
    <w:p>
      <w:pPr>
        <w:ind w:right="-159"/>
        <w:spacing w:line="480" w:lineRule="auto"/>
        <w:rPr>
          <w:rFonts w:ascii="宋体" w:hAnsi="宋体"/>
          <w:color w:val="auto"/>
          <w:sz w:val="30"/>
          <w:szCs w:val="24"/>
          <w:highlight w:val="none"/>
        </w:rPr>
      </w:pPr>
      <w:r>
        <w:rPr>
          <w:rFonts w:hint="eastAsia" w:ascii="宋体" w:hAnsi="宋体"/>
          <w:color w:val="auto"/>
          <w:sz w:val="30"/>
          <w:highlight w:val="none"/>
        </w:rPr>
        <w:t xml:space="preserve">                        </w:t>
      </w:r>
      <w:r/>
    </w:p>
    <w:p>
      <w:pPr>
        <w:ind w:firstLine="600"/>
        <w:rPr>
          <w:rFonts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ascii="宋体" w:hAnsi="宋体"/>
          <w:b/>
          <w:bCs/>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八</w:t>
      </w:r>
      <w:r>
        <w:rPr>
          <w:rFonts w:hint="eastAsia" w:ascii="宋体" w:hAnsi="宋体"/>
          <w:color w:val="auto"/>
          <w:sz w:val="30"/>
          <w:highlight w:val="none"/>
        </w:rPr>
        <w:t xml:space="preserve">月</w:t>
      </w:r>
      <w:r/>
    </w:p>
    <w:p>
      <w:pPr>
        <w:rPr>
          <w:color w:val="auto"/>
          <w:highlight w:val="none"/>
        </w:rPr>
      </w:pPr>
      <w:r>
        <w:rPr>
          <w:color w:val="auto"/>
          <w:highlight w:val="none"/>
        </w:rPr>
        <w:br w:type="page" w:clear="all"/>
      </w:r>
      <w:bookmarkEnd w:id="1"/>
      <w:r/>
      <w:r/>
    </w:p>
    <w:p>
      <w:pPr>
        <w:pStyle w:val="713"/>
        <w:jc w:val="center"/>
        <w:spacing w:line="360" w:lineRule="auto"/>
        <w:tabs>
          <w:tab w:val="right" w:pos="8302" w:leader="dot"/>
        </w:tabs>
        <w:rPr>
          <w:b/>
          <w:bCs/>
          <w:color w:val="auto"/>
          <w:spacing w:val="20"/>
          <w:sz w:val="30"/>
          <w:szCs w:val="20"/>
          <w:highlight w:val="none"/>
        </w:rPr>
      </w:pPr>
      <w:r/>
      <w:bookmarkStart w:id="2" w:name="_Hlk131152723"/>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684"/>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序号</w:t>
            </w:r>
            <w:r/>
          </w:p>
        </w:tc>
        <w:tc>
          <w:tcPr>
            <w:tcW w:w="1620"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名称</w:t>
            </w:r>
            <w:r/>
          </w:p>
        </w:tc>
        <w:tc>
          <w:tcPr>
            <w:tcW w:w="6345"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采购编号</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JSZC-320500-SZWK-G2026-0247</w:t>
            </w:r>
            <w:r>
              <w:rPr>
                <w:rFonts w:ascii="宋体" w:hAnsi="宋体"/>
                <w:color w:val="auto"/>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采购</w:t>
            </w:r>
            <w:r>
              <w:rPr>
                <w:rFonts w:hint="eastAsia" w:ascii="宋体" w:hAnsi="宋体"/>
                <w:color w:val="auto"/>
                <w:szCs w:val="21"/>
                <w:highlight w:val="none"/>
              </w:rPr>
              <w:t xml:space="preserve">货物名称</w:t>
            </w:r>
            <w:r/>
          </w:p>
        </w:tc>
        <w:tc>
          <w:tcPr>
            <w:tcW w:w="6345"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苏州市立医院全院设备集中维保项目</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采购人</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苏州市立医院</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联系人：王俊文</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联系电话：0512-62362603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采购代理机构</w:t>
            </w:r>
            <w:r/>
          </w:p>
        </w:tc>
        <w:tc>
          <w:tcPr>
            <w:tcW w:w="6345"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地</w:t>
            </w:r>
            <w:r>
              <w:rPr>
                <w:rFonts w:ascii="宋体" w:hAnsi="宋体"/>
                <w:color w:val="auto"/>
                <w:szCs w:val="21"/>
                <w:highlight w:val="none"/>
              </w:rPr>
              <w:t xml:space="preserve">  </w:t>
            </w:r>
            <w:r>
              <w:rPr>
                <w:rFonts w:ascii="宋体" w:hAnsi="宋体"/>
                <w:color w:val="auto"/>
                <w:szCs w:val="21"/>
                <w:highlight w:val="none"/>
                <w:lang w:val="zh-CN"/>
              </w:rPr>
              <w:t xml:space="preserve">址：苏州市干将西路1296号深业姑苏中心17层</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邮编：</w:t>
            </w:r>
            <w:r>
              <w:rPr>
                <w:rFonts w:ascii="宋体" w:hAnsi="宋体"/>
                <w:color w:val="auto"/>
                <w:szCs w:val="21"/>
                <w:highlight w:val="none"/>
              </w:rPr>
              <w:t xml:space="preserve">215005</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电话：</w:t>
            </w:r>
            <w:r>
              <w:rPr>
                <w:rFonts w:hint="eastAsia" w:ascii="宋体" w:hAnsi="宋体"/>
                <w:color w:val="auto"/>
                <w:szCs w:val="21"/>
                <w:highlight w:val="none"/>
              </w:rPr>
              <w:t xml:space="preserve">0512-6916561</w:t>
            </w:r>
            <w:r>
              <w:rPr>
                <w:rFonts w:ascii="宋体" w:hAnsi="宋体"/>
                <w:color w:val="auto"/>
                <w:szCs w:val="21"/>
                <w:highlight w:val="none"/>
              </w:rPr>
              <w:t xml:space="preserve">5</w:t>
            </w:r>
            <w:r/>
          </w:p>
          <w:p>
            <w:pPr>
              <w:spacing w:line="400" w:lineRule="exact"/>
              <w:rPr>
                <w:rFonts w:ascii="宋体" w:hAnsi="宋体"/>
                <w:color w:val="auto"/>
                <w:szCs w:val="21"/>
                <w:highlight w:val="none"/>
              </w:rPr>
            </w:pPr>
            <w:r>
              <w:rPr>
                <w:rFonts w:ascii="宋体" w:hAnsi="宋体"/>
                <w:color w:val="auto"/>
                <w:szCs w:val="21"/>
                <w:highlight w:val="none"/>
              </w:rPr>
              <w:t xml:space="preserve">联系</w:t>
            </w:r>
            <w:r>
              <w:rPr>
                <w:rFonts w:ascii="宋体" w:hAnsi="宋体"/>
                <w:color w:val="auto"/>
                <w:szCs w:val="21"/>
                <w:highlight w:val="none"/>
                <w:lang w:val="zh-CN"/>
              </w:rPr>
              <w:t xml:space="preserve">人：</w:t>
            </w:r>
            <w:r>
              <w:rPr>
                <w:rFonts w:hint="eastAsia" w:ascii="宋体" w:hAnsi="宋体"/>
                <w:color w:val="auto"/>
                <w:szCs w:val="21"/>
                <w:highlight w:val="none"/>
                <w:lang w:val="zh-CN"/>
              </w:rPr>
              <w:t xml:space="preserve">陈璐佳、李晶晶、李东</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传真</w:t>
            </w:r>
            <w:r>
              <w:rPr>
                <w:rFonts w:ascii="宋体" w:hAnsi="宋体"/>
                <w:color w:val="auto"/>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投标有效期</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90</w:t>
            </w:r>
            <w:r>
              <w:rPr>
                <w:rFonts w:ascii="宋体" w:hAnsi="宋体"/>
                <w:color w:val="auto"/>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投标保证金</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851"/>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网上报名截止时    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b/>
                <w:bCs/>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2026年9月7日13点30分</w:t>
            </w:r>
            <w:r/>
          </w:p>
        </w:tc>
      </w:tr>
      <w:tr>
        <w:trPr>
          <w:jc w:val="center"/>
          <w:trHeight w:val="440"/>
        </w:trPr>
        <w:tc>
          <w:tcPr>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2026年9月7日13点30分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评标地点：</w:t>
            </w:r>
            <w:r>
              <w:rPr>
                <w:rFonts w:hint="eastAsia" w:ascii="宋体" w:hAnsi="宋体"/>
                <w:color w:val="auto"/>
                <w:szCs w:val="21"/>
                <w:highlight w:val="none"/>
              </w:rPr>
              <w:t xml:space="preserve">苏采云政府采购一体化平台开标大厅（网上不见面开标）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345"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w:t>
            </w:r>
            <w:r>
              <w:rPr>
                <w:rFonts w:hint="eastAsia" w:ascii="宋体" w:hAnsi="宋体"/>
                <w:color w:val="auto"/>
                <w:szCs w:val="21"/>
                <w:highlight w:val="none"/>
                <w:lang w:val="en-US" w:eastAsia="zh-CN"/>
              </w:rPr>
              <w:t xml:space="preserve">500</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1000</w:t>
            </w:r>
            <w:r>
              <w:rPr>
                <w:rFonts w:hint="eastAsia" w:ascii="宋体" w:hAnsi="宋体"/>
                <w:color w:val="auto"/>
                <w:szCs w:val="21"/>
                <w:highlight w:val="none"/>
                <w:lang w:val="zh-CN"/>
              </w:rPr>
              <w:t xml:space="preserve">万元以</w:t>
            </w:r>
            <w:r>
              <w:rPr>
                <w:rFonts w:hint="eastAsia" w:ascii="宋体" w:hAnsi="宋体"/>
                <w:color w:val="auto"/>
                <w:szCs w:val="21"/>
                <w:highlight w:val="none"/>
                <w:lang w:val="en-US" w:eastAsia="zh-CN"/>
              </w:rPr>
              <w:t xml:space="preserve">0.8</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1000</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5000</w:t>
            </w:r>
            <w:r>
              <w:rPr>
                <w:rFonts w:hint="eastAsia" w:ascii="宋体" w:hAnsi="宋体"/>
                <w:color w:val="auto"/>
                <w:szCs w:val="21"/>
                <w:highlight w:val="none"/>
                <w:lang w:val="zh-CN"/>
              </w:rPr>
              <w:t xml:space="preserve">万元以</w:t>
            </w:r>
            <w:r>
              <w:rPr>
                <w:rFonts w:hint="eastAsia" w:ascii="宋体" w:hAnsi="宋体"/>
                <w:color w:val="auto"/>
                <w:szCs w:val="21"/>
                <w:highlight w:val="none"/>
                <w:lang w:val="en-US" w:eastAsia="zh-CN"/>
              </w:rPr>
              <w:t xml:space="preserve">0.5</w:t>
            </w:r>
            <w:r>
              <w:rPr>
                <w:rFonts w:hint="eastAsia" w:ascii="宋体" w:hAnsi="宋体"/>
                <w:color w:val="auto"/>
                <w:szCs w:val="21"/>
                <w:highlight w:val="none"/>
                <w:lang w:val="zh-CN"/>
              </w:rPr>
              <w:t xml:space="preserve">%，差额定率累进法计算并支付中标服务费。</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color w:val="auto"/>
                <w:szCs w:val="21"/>
                <w:highlight w:val="none"/>
              </w:rPr>
            </w:pPr>
            <w:r>
              <w:rPr>
                <w:rFonts w:hint="eastAsia" w:ascii="宋体" w:hAnsi="宋体"/>
                <w:color w:val="auto"/>
                <w:szCs w:val="21"/>
                <w:highlight w:val="none"/>
                <w:lang w:val="en-US" w:eastAsia="zh-CN"/>
              </w:rPr>
              <w:t xml:space="preserve">本项目的服务费金额为</w:t>
            </w:r>
            <w:r>
              <w:rPr>
                <w:rFonts w:hint="eastAsia" w:ascii="宋体" w:hAnsi="宋体"/>
                <w:color w:val="auto"/>
                <w:szCs w:val="21"/>
                <w:highlight w:val="none"/>
                <w:lang w:val="zh-CN"/>
              </w:rPr>
              <w:t xml:space="preserve">297045</w:t>
            </w:r>
            <w:r>
              <w:rPr>
                <w:rFonts w:hint="eastAsia" w:ascii="宋体" w:hAnsi="宋体"/>
                <w:color w:val="auto"/>
                <w:szCs w:val="21"/>
                <w:highlight w:val="none"/>
                <w:lang w:val="en-US" w:eastAsia="zh-CN"/>
              </w:rPr>
              <w:t xml:space="preserve">元，</w:t>
            </w:r>
            <w:r>
              <w:rPr>
                <w:rFonts w:hint="eastAsia" w:ascii="宋体" w:hAnsi="宋体"/>
                <w:color w:val="auto"/>
                <w:szCs w:val="21"/>
                <w:highlight w:val="none"/>
                <w:lang w:val="zh-CN"/>
              </w:rPr>
              <w:t xml:space="preserve">请各供应商在投标报价时综合考虑</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导致废标因素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b/>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bookmarkEnd w:id="2"/>
      <w:r/>
      <w:bookmarkStart w:id="3" w:name="_Hlk131152744"/>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687"/>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713"/>
        <w:spacing w:after="312" w:afterAutospacing="0" w:line="480" w:lineRule="auto"/>
        <w:tabs>
          <w:tab w:val="right" w:pos="8302" w:leader="dot"/>
        </w:tabs>
        <w:rPr>
          <w:color w:val="auto"/>
          <w:sz w:val="36"/>
          <w:highlight w:val="none"/>
        </w:rPr>
      </w:pPr>
      <w:r>
        <w:rPr>
          <w:rFonts w:hint="eastAsia"/>
          <w:color w:val="auto"/>
          <w:sz w:val="36"/>
          <w:highlight w:val="none"/>
        </w:rPr>
        <w:t xml:space="preserve">第一章  投标邀请函</w:t>
      </w:r>
      <w:r/>
    </w:p>
    <w:p>
      <w:pPr>
        <w:pStyle w:val="713"/>
        <w:spacing w:after="312" w:afterAutospacing="0" w:line="480" w:lineRule="auto"/>
        <w:tabs>
          <w:tab w:val="right" w:pos="8302" w:leader="dot"/>
        </w:tabs>
        <w:rPr>
          <w:color w:val="auto"/>
          <w:sz w:val="36"/>
          <w:highlight w:val="none"/>
        </w:rPr>
      </w:pPr>
      <w:r>
        <w:rPr>
          <w:rFonts w:hint="eastAsia"/>
          <w:color w:val="auto"/>
          <w:sz w:val="36"/>
          <w:highlight w:val="none"/>
        </w:rPr>
        <w:t xml:space="preserve">第二章  投标人须知</w:t>
      </w:r>
      <w:r/>
    </w:p>
    <w:p>
      <w:pPr>
        <w:pStyle w:val="713"/>
        <w:spacing w:after="312" w:afterAutospacing="0" w:line="480" w:lineRule="auto"/>
        <w:tabs>
          <w:tab w:val="right" w:pos="8302" w:leader="dot"/>
        </w:tabs>
        <w:rPr>
          <w:color w:val="auto"/>
          <w:sz w:val="36"/>
          <w:highlight w:val="none"/>
        </w:rPr>
      </w:pPr>
      <w:r>
        <w:rPr>
          <w:rFonts w:hint="eastAsia"/>
          <w:color w:val="auto"/>
          <w:sz w:val="36"/>
          <w:highlight w:val="none"/>
        </w:rPr>
        <w:t xml:space="preserve">第三章  电子投标文件格式</w:t>
      </w:r>
      <w:r/>
    </w:p>
    <w:p>
      <w:pPr>
        <w:pStyle w:val="713"/>
        <w:spacing w:after="312" w:afterAutospacing="0" w:line="480" w:lineRule="auto"/>
        <w:tabs>
          <w:tab w:val="right" w:pos="8302" w:leader="dot"/>
        </w:tabs>
        <w:rPr>
          <w:color w:val="auto"/>
          <w:sz w:val="36"/>
          <w:highlight w:val="none"/>
        </w:rPr>
      </w:pPr>
      <w:r>
        <w:rPr>
          <w:rFonts w:hint="eastAsia"/>
          <w:color w:val="auto"/>
          <w:sz w:val="36"/>
          <w:highlight w:val="none"/>
        </w:rPr>
        <w:t xml:space="preserve">第四章  采购书</w:t>
      </w:r>
      <w:r/>
    </w:p>
    <w:p>
      <w:pPr>
        <w:pStyle w:val="713"/>
        <w:spacing w:after="312" w:afterAutospacing="0" w:line="480" w:lineRule="auto"/>
        <w:tabs>
          <w:tab w:val="right" w:pos="8302" w:leader="dot"/>
        </w:tabs>
        <w:rPr>
          <w:color w:val="auto"/>
          <w:sz w:val="36"/>
          <w:highlight w:val="none"/>
        </w:rPr>
      </w:pPr>
      <w:r>
        <w:rPr>
          <w:rFonts w:hint="eastAsia"/>
          <w:color w:val="auto"/>
          <w:sz w:val="36"/>
          <w:highlight w:val="none"/>
        </w:rPr>
        <w:t xml:space="preserve">第五章  合同主要条款</w:t>
      </w:r>
      <w:r/>
    </w:p>
    <w:p>
      <w:pPr>
        <w:pStyle w:val="713"/>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评标办法及评分标准</w:t>
      </w:r>
      <w:bookmarkEnd w:id="3"/>
      <w:r/>
      <w:r/>
    </w:p>
    <w:p>
      <w:pPr>
        <w:pStyle w:val="713"/>
        <w:jc w:val="center"/>
        <w:spacing w:line="360" w:lineRule="auto"/>
        <w:tabs>
          <w:tab w:val="right" w:pos="8302" w:leader="dot"/>
        </w:tabs>
        <w:rPr>
          <w:b/>
          <w:bCs/>
          <w:color w:val="auto"/>
          <w:spacing w:val="20"/>
          <w:sz w:val="30"/>
          <w:szCs w:val="20"/>
          <w:highlight w:val="none"/>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b/>
          <w:bCs/>
          <w:color w:val="auto"/>
          <w:spacing w:val="20"/>
          <w:sz w:val="30"/>
          <w:szCs w:val="20"/>
          <w:highlight w:val="none"/>
        </w:rPr>
      </w:r>
      <w:r/>
    </w:p>
    <w:p>
      <w:pPr>
        <w:pStyle w:val="713"/>
        <w:jc w:val="center"/>
        <w:spacing w:before="0" w:beforeAutospacing="0" w:after="0" w:afterAutospacing="0" w:line="360" w:lineRule="auto"/>
        <w:tabs>
          <w:tab w:val="right" w:pos="8302" w:leader="dot"/>
        </w:tabs>
        <w:rPr>
          <w:color w:val="auto"/>
          <w:sz w:val="21"/>
          <w:szCs w:val="21"/>
          <w:highlight w:val="none"/>
        </w:rPr>
      </w:pPr>
      <w:r/>
      <w:bookmarkStart w:id="4" w:name="_Hlk131152764"/>
      <w:r>
        <w:rPr>
          <w:rFonts w:hint="eastAsia"/>
          <w:b/>
          <w:bCs/>
          <w:color w:val="auto"/>
          <w:sz w:val="32"/>
          <w:szCs w:val="20"/>
          <w:highlight w:val="none"/>
        </w:rPr>
        <w:t xml:space="preserve">第一章 投标邀请函</w:t>
      </w:r>
      <w:r/>
    </w:p>
    <w:p>
      <w:pPr>
        <w:ind w:firstLine="357"/>
        <w:spacing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苏州市卫康招投标咨询服务有限公司受苏州市立医院委托，对其苏州市立医院全院设备集中维保项目进行国内公开招标采购，欢迎符合招标公告投标资格条件的各公司前来报名参加投标。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1、采购编号：JSZC-320500-SZWK-G2026-0247号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2、采购项目名称：苏州市立医院全院设备集中维保项目</w:t>
      </w:r>
      <w:r/>
    </w:p>
    <w:p>
      <w:pPr>
        <w:ind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val="zh-CN"/>
        </w:rPr>
        <w:t xml:space="preserve">3、采购内容及预算：</w:t>
      </w:r>
      <w:r>
        <w:rPr>
          <w:rFonts w:hint="eastAsia" w:ascii="宋体" w:hAnsi="宋体"/>
          <w:color w:val="auto"/>
          <w:szCs w:val="21"/>
          <w:highlight w:val="none"/>
          <w:lang w:eastAsia="zh-CN"/>
        </w:rPr>
        <w:t xml:space="preserve">4960.90万元</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4、服务内容：详见采购文件</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5、网上报名截止时间：自招标文件公告发布之日起5个工作日。</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6、上传投标文件截止时间：2026年</w:t>
      </w:r>
      <w:r>
        <w:rPr>
          <w:rFonts w:hint="eastAsia" w:ascii="宋体" w:hAnsi="宋体"/>
          <w:color w:val="auto"/>
          <w:szCs w:val="21"/>
          <w:highlight w:val="none"/>
          <w:lang w:eastAsia="zh-CN"/>
        </w:rPr>
        <w:t xml:space="preserve">9月7日13点30分</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7、开标时间：2026年</w:t>
      </w:r>
      <w:r>
        <w:rPr>
          <w:rFonts w:hint="eastAsia" w:ascii="宋体" w:hAnsi="宋体"/>
          <w:color w:val="auto"/>
          <w:szCs w:val="21"/>
          <w:highlight w:val="none"/>
          <w:lang w:eastAsia="zh-CN"/>
        </w:rPr>
        <w:t xml:space="preserve">9月7日13点30分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9、采购项目联系人及联系方式：</w:t>
      </w:r>
      <w:r/>
    </w:p>
    <w:p>
      <w:pPr>
        <w:ind w:right="-159" w:firstLine="420"/>
        <w:spacing w:line="4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（1）</w:t>
      </w:r>
      <w:r>
        <w:rPr>
          <w:rFonts w:hint="eastAsia" w:ascii="宋体" w:hAnsi="宋体"/>
          <w:color w:val="auto"/>
          <w:szCs w:val="21"/>
          <w:highlight w:val="none"/>
          <w:lang w:eastAsia="zh-CN"/>
        </w:rPr>
        <w:t xml:space="preserve">苏州市立医院</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王俊文</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联系电话：</w:t>
      </w:r>
      <w:r>
        <w:rPr>
          <w:rFonts w:hint="eastAsia" w:ascii="宋体" w:hAnsi="宋体"/>
          <w:color w:val="auto"/>
          <w:szCs w:val="21"/>
          <w:highlight w:val="none"/>
          <w:lang w:eastAsia="zh-CN"/>
        </w:rPr>
        <w:t xml:space="preserve">0512-62362603</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（2）采购代理机构：苏州市卫康招投标咨询服务有限公司</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地址：苏州市干将西路1296号深业姑苏中心17层            邮编：21500</w:t>
      </w:r>
      <w:r>
        <w:rPr>
          <w:rFonts w:hint="eastAsia" w:ascii="宋体" w:hAnsi="宋体"/>
          <w:color w:val="auto"/>
          <w:szCs w:val="21"/>
          <w:highlight w:val="none"/>
        </w:rPr>
        <w:t xml:space="preserve">0</w:t>
      </w:r>
      <w:r/>
    </w:p>
    <w:p>
      <w:pPr>
        <w:ind w:right="-159" w:firstLine="420"/>
        <w:spacing w:line="4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联系人：</w:t>
      </w:r>
      <w:r>
        <w:rPr>
          <w:rFonts w:hint="eastAsia" w:ascii="宋体" w:hAnsi="宋体"/>
          <w:color w:val="auto"/>
          <w:szCs w:val="21"/>
          <w:highlight w:val="none"/>
          <w:lang w:eastAsia="zh-CN"/>
        </w:rPr>
        <w:t xml:space="preserve">陈璐佳、李晶晶、李东</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联系电话：0512-69165615，0512-65153553 （FAX）</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请贵单位</w:t>
      </w:r>
      <w:r>
        <w:rPr>
          <w:rFonts w:hint="eastAsia" w:ascii="宋体" w:hAnsi="宋体"/>
          <w:color w:val="auto"/>
          <w:szCs w:val="21"/>
          <w:highlight w:val="none"/>
        </w:rPr>
        <w:t xml:space="preserve">获取本次</w:t>
      </w:r>
      <w:r>
        <w:rPr>
          <w:rFonts w:ascii="宋体" w:hAnsi="宋体"/>
          <w:color w:val="auto"/>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ascii="宋体" w:hAnsi="宋体"/>
          <w:color w:val="auto"/>
          <w:szCs w:val="21"/>
          <w:highlight w:val="none"/>
        </w:rPr>
      </w:pPr>
      <w:r>
        <w:rPr>
          <w:rFonts w:ascii="宋体" w:hAnsi="宋体"/>
          <w:color w:val="auto"/>
          <w:szCs w:val="21"/>
          <w:highlight w:val="none"/>
        </w:rPr>
      </w:r>
      <w:r/>
    </w:p>
    <w:p>
      <w:pPr>
        <w:ind w:right="-159" w:firstLine="420"/>
        <w:jc w:val="right"/>
        <w:spacing w:line="400" w:lineRule="exact"/>
        <w:rPr>
          <w:rFonts w:ascii="宋体" w:hAnsi="宋体"/>
          <w:color w:val="auto"/>
          <w:szCs w:val="21"/>
          <w:highlight w:val="none"/>
        </w:rPr>
      </w:pPr>
      <w:r>
        <w:rPr>
          <w:rFonts w:ascii="宋体" w:hAnsi="宋体"/>
          <w:color w:val="auto"/>
          <w:szCs w:val="21"/>
          <w:highlight w:val="none"/>
        </w:rPr>
        <w:t xml:space="preserve">苏州市卫康招投标咨询服务有限公司</w:t>
      </w:r>
      <w:bookmarkEnd w:id="4"/>
      <w:r/>
      <w:r/>
    </w:p>
    <w:p>
      <w:pPr>
        <w:jc w:val="center"/>
        <w:rPr>
          <w:rFonts w:ascii="宋体" w:hAnsi="宋体"/>
          <w:b/>
          <w:bCs/>
          <w:color w:val="auto"/>
          <w:sz w:val="32"/>
          <w:highlight w:val="none"/>
        </w:rPr>
      </w:pPr>
      <w:r>
        <w:rPr>
          <w:rFonts w:hint="eastAsia" w:ascii="宋体" w:hAnsi="宋体"/>
          <w:color w:val="auto"/>
          <w:szCs w:val="21"/>
          <w:highlight w:val="none"/>
        </w:rPr>
        <w:br w:type="page" w:clear="all"/>
      </w:r>
      <w:bookmarkStart w:id="5" w:name="_Hlk99527734"/>
      <w:r/>
      <w:bookmarkStart w:id="6" w:name="_Hlk131152796"/>
      <w:r>
        <w:rPr>
          <w:rFonts w:hint="eastAsia" w:ascii="宋体" w:hAnsi="宋体"/>
          <w:b/>
          <w:bCs/>
          <w:color w:val="auto"/>
          <w:sz w:val="32"/>
          <w:highlight w:val="none"/>
        </w:rPr>
        <w:t xml:space="preserve">第二章 投标人须知</w:t>
      </w:r>
      <w:r/>
    </w:p>
    <w:p>
      <w:pPr>
        <w:ind w:right="-159" w:firstLine="643"/>
        <w:jc w:val="center"/>
        <w:spacing w:line="40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二、投标人（供应商）</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3、供应商资格要求：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3.1供应商应当具备下列一般条件：</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3.1.1 具有独立承担民事责任的能力；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3.1.2</w:t>
      </w:r>
      <w:r>
        <w:rPr>
          <w:rFonts w:hint="eastAsia" w:ascii="宋体" w:hAnsi="宋体"/>
          <w:color w:val="auto"/>
          <w:szCs w:val="21"/>
          <w:highlight w:val="none"/>
        </w:rPr>
        <w:t xml:space="preserve"> </w:t>
      </w:r>
      <w:r>
        <w:rPr>
          <w:rFonts w:ascii="宋体" w:hAnsi="宋体"/>
          <w:color w:val="auto"/>
          <w:szCs w:val="21"/>
          <w:highlight w:val="none"/>
        </w:rPr>
        <w:t xml:space="preserve">具有良好的商业信誉和健全的财务会计制度；</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3.1.3 具有履行合同所必需的设备和专业技术能力；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3.1.4 有依法缴纳税收和社会保障资金的良好记录；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3.1.5 参加政府采购活动前三年内，在经营活动中没有重大违法记录；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3.1.6 法律、行政法规规定的其他条件；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360" w:lineRule="auto"/>
        <w:rPr>
          <w:rFonts w:ascii="宋体" w:hAnsi="宋体"/>
          <w:b/>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季女生（前台）</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10.8联系电话：0512-69165625</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（1）投标函、关于资格条件的声明函（格式见第三章）；</w:t>
      </w:r>
      <w:r/>
    </w:p>
    <w:p>
      <w:pPr>
        <w:ind w:right="-161" w:firstLine="420"/>
        <w:spacing w:line="400" w:lineRule="exact"/>
        <w:rPr>
          <w:color w:val="auto"/>
          <w:szCs w:val="21"/>
          <w:highlight w:val="none"/>
        </w:rPr>
      </w:pPr>
      <w:r>
        <w:rPr>
          <w:color w:val="auto"/>
          <w:szCs w:val="21"/>
          <w:highlight w:val="none"/>
        </w:rPr>
        <w:t xml:space="preserve">（2）投标单位情况表（格式见第三章）；</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.5参加政府采购活动前3年内在经营活动中没有重大违法记录的书面声明加盖公章；</w:t>
      </w:r>
      <w:r/>
    </w:p>
    <w:p>
      <w:pPr>
        <w:ind w:right="-161" w:firstLine="420"/>
        <w:spacing w:line="400" w:lineRule="exact"/>
        <w:rPr>
          <w:b/>
          <w:bCs/>
          <w:color w:val="auto"/>
          <w:szCs w:val="21"/>
          <w:highlight w:val="none"/>
        </w:rPr>
      </w:pPr>
      <w:r>
        <w:rPr>
          <w:rFonts w:hint="eastAsia"/>
          <w:b/>
          <w:bCs/>
          <w:color w:val="auto"/>
          <w:szCs w:val="21"/>
          <w:highlight w:val="none"/>
        </w:rPr>
        <w:t xml:space="preserve">13.4符合性审查响应文件</w:t>
      </w:r>
      <w:r/>
    </w:p>
    <w:p>
      <w:pPr>
        <w:ind w:right="-161" w:firstLine="420"/>
        <w:spacing w:line="400" w:lineRule="exact"/>
        <w:rPr>
          <w:color w:val="auto"/>
          <w:szCs w:val="21"/>
          <w:highlight w:val="none"/>
        </w:rPr>
      </w:pPr>
      <w:r>
        <w:rPr>
          <w:rFonts w:hint="eastAsia"/>
          <w:color w:val="auto"/>
          <w:szCs w:val="21"/>
          <w:highlight w:val="none"/>
        </w:rPr>
        <w:t xml:space="preserve">13.4.1投标报价分析表；</w:t>
      </w:r>
      <w:r/>
    </w:p>
    <w:p>
      <w:pPr>
        <w:ind w:right="-161" w:firstLine="420"/>
        <w:spacing w:line="400" w:lineRule="exact"/>
        <w:rPr>
          <w:color w:val="auto"/>
          <w:szCs w:val="21"/>
          <w:highlight w:val="none"/>
        </w:rPr>
      </w:pPr>
      <w:r>
        <w:rPr>
          <w:rFonts w:hint="eastAsia"/>
          <w:color w:val="auto"/>
          <w:szCs w:val="21"/>
          <w:highlight w:val="none"/>
        </w:rPr>
        <w:t xml:space="preserve">13.4.2商务条款偏离表；</w:t>
      </w:r>
      <w:r/>
    </w:p>
    <w:p>
      <w:pPr>
        <w:ind w:right="-161" w:firstLine="420"/>
        <w:spacing w:line="400" w:lineRule="exact"/>
        <w:rPr>
          <w:b/>
          <w:bCs/>
          <w:color w:val="auto"/>
          <w:szCs w:val="21"/>
          <w:highlight w:val="none"/>
        </w:rPr>
      </w:pPr>
      <w:r>
        <w:rPr>
          <w:rFonts w:hint="eastAsia"/>
          <w:b/>
          <w:bCs/>
          <w:color w:val="auto"/>
          <w:szCs w:val="21"/>
          <w:highlight w:val="none"/>
        </w:rPr>
        <w:t xml:space="preserve">13.5综合评审响应文件</w:t>
      </w:r>
      <w:r/>
    </w:p>
    <w:p>
      <w:pPr>
        <w:ind w:right="-161" w:firstLine="420"/>
        <w:spacing w:line="400" w:lineRule="exact"/>
        <w:rPr>
          <w:color w:val="auto"/>
          <w:szCs w:val="21"/>
          <w:highlight w:val="none"/>
        </w:rPr>
      </w:pPr>
      <w:r>
        <w:rPr>
          <w:rFonts w:hint="eastAsia"/>
          <w:color w:val="auto"/>
          <w:szCs w:val="21"/>
          <w:highlight w:val="none"/>
        </w:rPr>
        <w:t xml:space="preserve">13.5.1投标服务偏离对照表； </w:t>
      </w:r>
      <w:r/>
    </w:p>
    <w:p>
      <w:pPr>
        <w:ind w:right="-161" w:firstLine="420"/>
        <w:spacing w:line="400" w:lineRule="exact"/>
        <w:rPr>
          <w:color w:val="auto"/>
          <w:szCs w:val="21"/>
          <w:highlight w:val="none"/>
        </w:rPr>
      </w:pPr>
      <w:r>
        <w:rPr>
          <w:rFonts w:hint="eastAsia"/>
          <w:color w:val="auto"/>
          <w:szCs w:val="21"/>
          <w:highlight w:val="none"/>
        </w:rPr>
        <w:t xml:space="preserve">13.5.2项目实施方案；</w:t>
      </w:r>
      <w:r/>
    </w:p>
    <w:p>
      <w:pPr>
        <w:ind w:right="-161" w:firstLine="420"/>
        <w:spacing w:line="400" w:lineRule="exact"/>
        <w:rPr>
          <w:color w:val="auto"/>
          <w:szCs w:val="21"/>
          <w:highlight w:val="none"/>
        </w:rPr>
      </w:pPr>
      <w:r>
        <w:rPr>
          <w:rFonts w:hint="eastAsia"/>
          <w:color w:val="auto"/>
          <w:szCs w:val="21"/>
          <w:highlight w:val="none"/>
        </w:rPr>
        <w:t xml:space="preserve">13.5.3与本次采购相关和评分标准中要求提供的其他证明材料；</w:t>
      </w:r>
      <w:r/>
    </w:p>
    <w:p>
      <w:pPr>
        <w:ind w:right="-161" w:firstLine="420"/>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hint="eastAsia" w:ascii="宋体" w:hAnsi="宋体"/>
          <w:color w:val="auto"/>
          <w:szCs w:val="21"/>
          <w:highlight w:val="none"/>
        </w:rPr>
      </w:pPr>
      <w:r>
        <w:rPr>
          <w:rFonts w:hint="eastAsia"/>
          <w:color w:val="auto"/>
          <w:szCs w:val="21"/>
          <w:highlight w:val="none"/>
        </w:rPr>
        <w:t xml:space="preserve">本项目非专门面向中小企业采购，投标人如属于小微企业，提供《中小企业声明函》或《残疾人福利性单位声明函》或由省级以上监狱管理局、戒毒管理局（含新疆生产建设兵团）出具的属于监狱企业的证明文件。</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numPr>
          <w:ilvl w:val="0"/>
          <w:numId w:val="0"/>
        </w:numPr>
        <w:ind w:firstLine="420"/>
        <w:spacing w:line="400" w:lineRule="exact"/>
        <w:rPr>
          <w:rFonts w:ascii="宋体" w:hAnsi="宋体"/>
          <w:b/>
          <w:bCs/>
          <w:color w:val="auto"/>
          <w:szCs w:val="21"/>
          <w:highlight w:val="none"/>
        </w:rPr>
      </w:pPr>
      <w:r>
        <w:rPr>
          <w:rFonts w:ascii="宋体" w:hAnsi="宋体" w:eastAsia="宋体" w:cs="Times New Roman"/>
          <w:b/>
          <w:bCs/>
          <w:color w:val="auto"/>
          <w:sz w:val="21"/>
          <w:szCs w:val="21"/>
          <w:highlight w:val="none"/>
          <w:lang w:val="en-US" w:eastAsia="zh-CN" w:bidi="ar-SA"/>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numPr>
          <w:ilvl w:val="0"/>
          <w:numId w:val="0"/>
        </w:numPr>
        <w:ind w:firstLine="420"/>
        <w:spacing w:line="400" w:lineRule="exact"/>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7.0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7"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7"/>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before="181" w:line="360" w:lineRule="auto"/>
        <w:rPr>
          <w:rFonts w:hAnsi="宋体"/>
          <w:b/>
          <w:color w:val="auto"/>
          <w:szCs w:val="21"/>
          <w:highlight w:val="none"/>
          <w:lang w:val="zh-CN"/>
        </w:rPr>
      </w:pPr>
      <w:r>
        <w:rPr>
          <w:rFonts w:hint="eastAsia" w:hAnsi="宋体"/>
          <w:b/>
          <w:color w:val="auto"/>
          <w:szCs w:val="21"/>
          <w:highlight w:val="none"/>
          <w:lang w:val="zh-CN"/>
        </w:rPr>
        <w:t xml:space="preserve">（一）出现下列情形之一的，评审委员会应当启动异常低价投标审查程序：</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1.投标（响应）报价低于全部通过符合性审查供应商投标（响应）报价平均值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2.投标（响应）报价低于通过符合性审查的次低报价供应商投标（响应）报价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3.投标（响应）报价低于采购项目最高限价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向中标供应商发放《中标通知书》。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5"/>
      <w:r/>
      <w:bookmarkEnd w:id="6"/>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8" w:name="_Hlk131152848"/>
      <w:r/>
      <w:bookmarkStart w:id="9" w:name="_Hlk99527780"/>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685"/>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ascii="宋体" w:hAnsi="宋体"/>
          <w:color w:val="auto"/>
          <w:szCs w:val="21"/>
          <w:highlight w:val="none"/>
        </w:rPr>
      </w:pPr>
      <w:r>
        <w:rPr>
          <w:rFonts w:ascii="宋体" w:hAnsi="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ascii="宋体" w:hAnsi="宋体"/>
          <w:color w:val="auto"/>
          <w:szCs w:val="21"/>
          <w:highlight w:val="none"/>
        </w:rPr>
      </w:pPr>
      <w:r>
        <w:rPr>
          <w:rFonts w:ascii="宋体" w:hAnsi="宋体"/>
          <w:color w:val="auto"/>
          <w:szCs w:val="21"/>
          <w:highlight w:val="none"/>
        </w:rPr>
      </w:r>
      <w:r/>
    </w:p>
    <w:p>
      <w:pPr>
        <w:pStyle w:val="676"/>
        <w:spacing w:line="420" w:lineRule="exact"/>
        <w:rPr>
          <w:rFonts w:ascii="宋体" w:hAnsi="宋体"/>
          <w:color w:val="auto"/>
          <w:sz w:val="21"/>
          <w:szCs w:val="21"/>
          <w:highlight w:val="none"/>
        </w:rPr>
      </w:pPr>
      <w:r>
        <w:rPr>
          <w:rFonts w:hint="eastAsia" w:ascii="宋体" w:hAnsi="宋体"/>
          <w:b w:val="0"/>
          <w:bCs w:val="0"/>
          <w:color w:val="auto"/>
          <w:sz w:val="21"/>
          <w:szCs w:val="21"/>
          <w:highlight w:val="none"/>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685"/>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685"/>
        <w:spacing w:line="360" w:lineRule="exact"/>
        <w:rPr>
          <w:rFonts w:hAnsi="宋体"/>
          <w:bCs/>
          <w:color w:val="auto"/>
          <w:sz w:val="21"/>
          <w:szCs w:val="21"/>
          <w:highlight w:val="none"/>
        </w:rPr>
      </w:pPr>
      <w:r>
        <w:rPr>
          <w:rFonts w:hAnsi="宋体"/>
          <w:bCs/>
          <w:color w:val="auto"/>
          <w:sz w:val="21"/>
          <w:szCs w:val="21"/>
          <w:highlight w:val="none"/>
        </w:rPr>
      </w:r>
      <w:r/>
    </w:p>
    <w:p>
      <w:pPr>
        <w:pStyle w:val="68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68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685"/>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68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68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68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68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68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68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68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68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685"/>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人：______________________</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685"/>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685"/>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685"/>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b/>
          <w:bCs/>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spacing w:line="400" w:lineRule="exact"/>
        <w:rPr>
          <w:rFonts w:ascii="宋体" w:hAnsi="宋体"/>
          <w:b/>
          <w:bCs/>
          <w:color w:val="auto"/>
          <w:szCs w:val="21"/>
          <w:highlight w:val="none"/>
        </w:rPr>
      </w:pPr>
      <w:r>
        <w:rPr>
          <w:rFonts w:ascii="宋体" w:hAnsi="宋体"/>
          <w:b/>
          <w:bCs/>
          <w:color w:val="auto"/>
          <w:szCs w:val="21"/>
          <w:highlight w:val="none"/>
        </w:rPr>
      </w:r>
      <w:r/>
    </w:p>
    <w:p>
      <w:pPr>
        <w:jc w:val="center"/>
        <w:spacing w:line="400" w:lineRule="exact"/>
        <w:rPr>
          <w:rFonts w:ascii="宋体" w:hAnsi="宋体"/>
          <w:color w:val="auto"/>
          <w:szCs w:val="21"/>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jc w:val="center"/>
        <w:spacing w:line="300" w:lineRule="auto"/>
        <w:rPr>
          <w:rFonts w:ascii="宋体" w:hAnsi="宋体"/>
          <w:color w:val="auto"/>
          <w:spacing w:val="20"/>
          <w:szCs w:val="21"/>
          <w:highlight w:val="none"/>
        </w:rPr>
      </w:pPr>
      <w:r>
        <w:rPr>
          <w:rFonts w:ascii="宋体" w:hAnsi="宋体"/>
          <w:color w:val="auto"/>
          <w:spacing w:val="20"/>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JSZC-320500-SZWK-G2026-0247</w:t>
      </w:r>
      <w:r>
        <w:rPr>
          <w:rFonts w:hint="eastAsia" w:ascii="宋体" w:hAnsi="宋体"/>
          <w:color w:val="auto"/>
          <w:szCs w:val="21"/>
          <w:highlight w:val="none"/>
        </w:rPr>
        <w:t xml:space="preserve">号    </w:t>
      </w:r>
      <w:r/>
    </w:p>
    <w:tbl>
      <w:tblPr>
        <w:tblStyle w:val="6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pStyle w:val="692"/>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color w:val="auto"/>
          <w:sz w:val="24"/>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rFonts w:hint="eastAsia"/>
          <w:b/>
          <w:bCs/>
          <w:color w:val="auto"/>
          <w:szCs w:val="21"/>
          <w:highlight w:val="none"/>
        </w:rPr>
        <w:t xml:space="preserve">4、</w:t>
      </w:r>
      <w:r>
        <w:rPr>
          <w:rFonts w:hint="eastAsia"/>
          <w:b/>
          <w:bCs/>
          <w:color w:val="auto"/>
          <w:szCs w:val="21"/>
          <w:highlight w:val="none"/>
          <w:lang w:val="zh-CN"/>
        </w:rPr>
        <w:t xml:space="preserve">投标报价分析表</w:t>
      </w:r>
      <w:r/>
    </w:p>
    <w:p>
      <w:pPr>
        <w:jc w:val="center"/>
        <w:spacing w:line="400" w:lineRule="exact"/>
        <w:rPr>
          <w:rFonts w:ascii="黑体" w:hAnsi="黑体" w:eastAsia="黑体"/>
          <w:b/>
          <w:bCs/>
          <w:color w:val="auto"/>
          <w:sz w:val="28"/>
          <w:szCs w:val="28"/>
          <w:highlight w:val="none"/>
        </w:rPr>
      </w:pPr>
      <w:r>
        <w:rPr>
          <w:rFonts w:hint="eastAsia" w:ascii="黑体" w:hAnsi="黑体" w:eastAsia="黑体"/>
          <w:b/>
          <w:bCs/>
          <w:color w:val="auto"/>
          <w:sz w:val="28"/>
          <w:szCs w:val="28"/>
          <w:highlight w:val="none"/>
        </w:rPr>
        <w:t xml:space="preserve">投标报价分析表</w:t>
      </w:r>
      <w:r/>
    </w:p>
    <w:p>
      <w:pPr>
        <w:spacing w:line="360" w:lineRule="auto"/>
        <w:rPr>
          <w:color w:val="auto"/>
          <w:spacing w:val="20"/>
          <w:szCs w:val="21"/>
          <w:highlight w:val="none"/>
        </w:rPr>
      </w:pPr>
      <w:r>
        <w:rPr>
          <w:rFonts w:hint="eastAsia"/>
          <w:color w:val="auto"/>
          <w:spacing w:val="20"/>
          <w:szCs w:val="21"/>
          <w:highlight w:val="none"/>
        </w:rPr>
        <w:t xml:space="preserve">采购编号：</w:t>
      </w:r>
      <w:r>
        <w:rPr>
          <w:color w:val="auto"/>
          <w:spacing w:val="20"/>
          <w:szCs w:val="21"/>
          <w:highlight w:val="none"/>
        </w:rPr>
        <w:t xml:space="preserve"> </w:t>
      </w:r>
      <w:r/>
    </w:p>
    <w:tbl>
      <w:tblPr>
        <w:tblStyle w:val="684"/>
        <w:tblW w:w="83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1680"/>
        <w:gridCol w:w="900"/>
        <w:gridCol w:w="820"/>
        <w:gridCol w:w="936"/>
        <w:gridCol w:w="1058"/>
        <w:gridCol w:w="1245"/>
        <w:gridCol w:w="866"/>
      </w:tblGrid>
      <w:tr>
        <w:trPr>
          <w:jc w:val="center"/>
        </w:trPr>
        <w:tc>
          <w:tcPr>
            <w:tcW w:w="861"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1680"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标的物名称</w:t>
            </w:r>
            <w:r/>
          </w:p>
        </w:tc>
        <w:tc>
          <w:tcPr>
            <w:tcW w:w="900"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w:t>
            </w:r>
            <w:r/>
          </w:p>
        </w:tc>
        <w:tc>
          <w:tcPr>
            <w:tcW w:w="820"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936"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单价（元）</w:t>
            </w:r>
            <w:r/>
          </w:p>
        </w:tc>
        <w:tc>
          <w:tcPr>
            <w:tcW w:w="1058"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小计（元）</w:t>
            </w:r>
            <w:r/>
          </w:p>
        </w:tc>
        <w:tc>
          <w:tcPr>
            <w:tcW w:w="1245"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服务期限</w:t>
            </w:r>
            <w:r/>
          </w:p>
        </w:tc>
        <w:tc>
          <w:tcPr>
            <w:tcW w:w="866"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jc w:val="center"/>
          <w:trHeight w:val="90"/>
        </w:trPr>
        <w:tc>
          <w:tcPr>
            <w:tcW w:w="861"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68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68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68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68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68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2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36"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58"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45"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66"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680"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68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8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8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Pr>
        <w:tc>
          <w:tcPr>
            <w:tcW w:w="861"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80" w:type="dxa"/>
            <w:vAlign w:val="top"/>
            <w:textDirection w:val="lrTb"/>
            <w:noWrap w:val="false"/>
          </w:tcPr>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0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20"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93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058"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1245"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866" w:type="dxa"/>
            <w:vAlign w:val="top"/>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bl>
    <w:p>
      <w:pPr>
        <w:rPr>
          <w:color w:val="auto"/>
          <w:sz w:val="21"/>
          <w:szCs w:val="21"/>
          <w:highlight w:val="none"/>
        </w:rPr>
      </w:pPr>
      <w:r>
        <w:rPr>
          <w:color w:val="auto"/>
          <w:sz w:val="21"/>
          <w:szCs w:val="21"/>
          <w:highlight w:val="none"/>
        </w:rPr>
      </w:r>
      <w:r/>
    </w:p>
    <w:p>
      <w:pPr>
        <w:pStyle w:val="904"/>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说明：1）报价表包含投标单位各项成本核算和投入的成本明细，合计金额应与开标一览表合计金额一致；否则，以开标一览表为准。</w:t>
      </w:r>
      <w:r/>
    </w:p>
    <w:p>
      <w:pPr>
        <w:pStyle w:val="904"/>
        <w:ind w:firstLine="7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rPr>
        <w:t xml:space="preserve">2）上述报价表由投标单位按收费项目自制格式</w:t>
      </w:r>
      <w:r>
        <w:rPr>
          <w:rFonts w:hint="eastAsia" w:hAnsi="宋体" w:eastAsia="宋体" w:cs="宋体"/>
          <w:color w:val="auto"/>
          <w:sz w:val="21"/>
          <w:szCs w:val="21"/>
          <w:highlight w:val="none"/>
          <w:lang w:eastAsia="zh-CN"/>
        </w:rPr>
        <w:t xml:space="preserve">填报</w:t>
      </w:r>
      <w:r>
        <w:rPr>
          <w:rFonts w:hint="eastAsia" w:hAnsi="宋体" w:eastAsia="宋体" w:cs="宋体"/>
          <w:color w:val="auto"/>
          <w:sz w:val="21"/>
          <w:szCs w:val="21"/>
          <w:highlight w:val="none"/>
        </w:rPr>
        <w:t xml:space="preserve">。</w:t>
      </w:r>
      <w:r/>
    </w:p>
    <w:p>
      <w:pPr>
        <w:spacing w:line="360" w:lineRule="auto"/>
        <w:rPr>
          <w:color w:val="auto"/>
          <w:spacing w:val="20"/>
          <w:szCs w:val="21"/>
          <w:highlight w:val="none"/>
        </w:rPr>
      </w:pPr>
      <w:r>
        <w:rPr>
          <w:color w:val="auto"/>
          <w:spacing w:val="20"/>
          <w:szCs w:val="21"/>
          <w:highlight w:val="none"/>
        </w:rPr>
      </w:r>
      <w:r/>
    </w:p>
    <w:p>
      <w:pPr>
        <w:ind w:firstLine="210"/>
        <w:spacing w:line="360" w:lineRule="auto"/>
        <w:rPr>
          <w:rFonts w:ascii="Times New Roman" w:hAnsi="Times New Roman"/>
          <w:color w:val="auto"/>
          <w:szCs w:val="21"/>
          <w:highlight w:val="none"/>
        </w:rPr>
      </w:pPr>
      <w:r>
        <w:rPr>
          <w:rFonts w:hint="eastAsia"/>
          <w:color w:val="auto"/>
          <w:szCs w:val="21"/>
          <w:highlight w:val="none"/>
          <w:lang w:val="zh-CN"/>
        </w:rPr>
        <w:t xml:space="preserve">投标人（公章）：</w:t>
      </w:r>
      <w:r/>
    </w:p>
    <w:p>
      <w:pPr>
        <w:ind w:firstLine="210"/>
        <w:spacing w:line="360" w:lineRule="auto"/>
        <w:rPr>
          <w:color w:val="auto"/>
          <w:szCs w:val="21"/>
          <w:highlight w:val="none"/>
        </w:rPr>
      </w:pPr>
      <w:r>
        <w:rPr>
          <w:rFonts w:hint="eastAsia"/>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color w:val="auto"/>
          <w:szCs w:val="21"/>
          <w:highlight w:val="none"/>
          <w:lang w:val="zh-CN"/>
        </w:rPr>
        <w:t xml:space="preserve">日期：</w:t>
      </w:r>
      <w:r>
        <w:rPr>
          <w:color w:val="auto"/>
          <w:szCs w:val="21"/>
          <w:highlight w:val="none"/>
        </w:rPr>
        <w:t xml:space="preserve">      </w:t>
      </w:r>
      <w:r>
        <w:rPr>
          <w:rFonts w:hint="eastAsia"/>
          <w:color w:val="auto"/>
          <w:szCs w:val="21"/>
          <w:highlight w:val="none"/>
          <w:lang w:val="zh-CN"/>
        </w:rPr>
        <w:t xml:space="preserve">年</w:t>
      </w:r>
      <w:r>
        <w:rPr>
          <w:color w:val="auto"/>
          <w:szCs w:val="21"/>
          <w:highlight w:val="none"/>
        </w:rPr>
        <w:t xml:space="preserve">     </w:t>
      </w:r>
      <w:r>
        <w:rPr>
          <w:rFonts w:hint="eastAsia"/>
          <w:color w:val="auto"/>
          <w:szCs w:val="21"/>
          <w:highlight w:val="none"/>
          <w:lang w:val="zh-CN"/>
        </w:rPr>
        <w:t xml:space="preserve">月</w:t>
      </w:r>
      <w:r>
        <w:rPr>
          <w:color w:val="auto"/>
          <w:szCs w:val="21"/>
          <w:highlight w:val="none"/>
        </w:rPr>
        <w:t xml:space="preserve">     </w:t>
      </w:r>
      <w:r>
        <w:rPr>
          <w:rFonts w:hint="eastAsia"/>
          <w:color w:val="auto"/>
          <w:szCs w:val="21"/>
          <w:highlight w:val="none"/>
          <w:lang w:val="zh-CN"/>
        </w:rPr>
        <w:t xml:space="preserve">日</w:t>
      </w:r>
      <w:r/>
    </w:p>
    <w:p>
      <w:pPr>
        <w:pStyle w:val="685"/>
        <w:spacing w:line="400" w:lineRule="exact"/>
        <w:rPr>
          <w:rFonts w:cs="宋体"/>
          <w:color w:val="auto"/>
          <w:szCs w:val="21"/>
          <w:highlight w:val="none"/>
        </w:rPr>
      </w:pPr>
      <w:r>
        <w:rPr>
          <w:rFonts w:cs="宋体"/>
          <w:color w:val="auto"/>
          <w:szCs w:val="21"/>
          <w:highlight w:val="none"/>
        </w:rPr>
      </w:r>
      <w:r/>
    </w:p>
    <w:p>
      <w:pPr>
        <w:jc w:val="left"/>
        <w:widowControl/>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685"/>
        <w:jc w:val="center"/>
        <w:spacing w:line="400" w:lineRule="exact"/>
        <w:rPr>
          <w:rFonts w:cs="宋体"/>
          <w:color w:val="auto"/>
          <w:szCs w:val="21"/>
          <w:highlight w:val="none"/>
        </w:rPr>
      </w:pPr>
      <w:r>
        <w:rPr>
          <w:rFonts w:cs="宋体"/>
          <w:color w:val="auto"/>
          <w:szCs w:val="21"/>
          <w:highlight w:val="none"/>
        </w:rPr>
      </w:r>
      <w:r/>
    </w:p>
    <w:p>
      <w:pPr>
        <w:spacing w:line="400" w:lineRule="exact"/>
        <w:rPr>
          <w:color w:val="auto"/>
          <w:szCs w:val="21"/>
          <w:highlight w:val="none"/>
        </w:rPr>
      </w:pPr>
      <w:r>
        <w:rPr>
          <w:rFonts w:hint="eastAsia" w:ascii="宋体" w:hAnsi="宋体"/>
          <w:b/>
          <w:color w:val="auto"/>
          <w:highlight w:val="none"/>
        </w:rPr>
        <w:t xml:space="preserve">格式5</w:t>
      </w:r>
      <w:r>
        <w:rPr>
          <w:rFonts w:hint="eastAsia"/>
          <w:b/>
          <w:bCs/>
          <w:color w:val="auto"/>
          <w:szCs w:val="21"/>
          <w:highlight w:val="none"/>
        </w:rPr>
        <w:t xml:space="preserve">、投标服务响应对照表</w:t>
      </w:r>
      <w:r/>
    </w:p>
    <w:p>
      <w:pPr>
        <w:pStyle w:val="685"/>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r>
      <w:r/>
    </w:p>
    <w:p>
      <w:pPr>
        <w:pStyle w:val="685"/>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lang w:val="zh-CN"/>
        </w:rPr>
        <w:t xml:space="preserve">投标</w:t>
      </w:r>
      <w:r>
        <w:rPr>
          <w:rFonts w:hint="eastAsia" w:hAnsi="宋体" w:eastAsia="宋体"/>
          <w:b/>
          <w:color w:val="auto"/>
          <w:sz w:val="32"/>
          <w:szCs w:val="32"/>
          <w:highlight w:val="none"/>
        </w:rPr>
        <w:t xml:space="preserve">服务响应</w:t>
      </w:r>
      <w:r>
        <w:rPr>
          <w:rFonts w:hint="eastAsia" w:hAnsi="宋体" w:eastAsia="宋体"/>
          <w:b/>
          <w:color w:val="auto"/>
          <w:sz w:val="32"/>
          <w:szCs w:val="32"/>
          <w:highlight w:val="none"/>
          <w:lang w:val="zh-CN"/>
        </w:rPr>
        <w:t xml:space="preserve">对照表</w:t>
      </w:r>
      <w:r/>
    </w:p>
    <w:p>
      <w:pPr>
        <w:ind w:firstLine="422"/>
        <w:spacing w:line="360" w:lineRule="auto"/>
        <w:rPr>
          <w:rFonts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684"/>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01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ind w:firstLine="422"/>
        <w:spacing w:line="360" w:lineRule="auto"/>
        <w:rPr>
          <w:color w:val="auto"/>
          <w:szCs w:val="24"/>
          <w:highlight w:val="none"/>
        </w:rPr>
      </w:pPr>
      <w:r>
        <w:rPr>
          <w:color w:val="auto"/>
          <w:szCs w:val="24"/>
          <w:highlight w:val="none"/>
        </w:rPr>
      </w:r>
      <w:r/>
    </w:p>
    <w:p>
      <w:pPr>
        <w:ind w:firstLine="422"/>
        <w:spacing w:line="360" w:lineRule="auto"/>
        <w:rPr>
          <w:bCs/>
          <w:color w:val="auto"/>
          <w:szCs w:val="21"/>
          <w:highlight w:val="none"/>
        </w:rPr>
      </w:pPr>
      <w:r>
        <w:rPr>
          <w:rFonts w:hAnsi="宋体"/>
          <w:bCs/>
          <w:color w:val="auto"/>
          <w:szCs w:val="21"/>
          <w:highlight w:val="none"/>
        </w:rPr>
        <w:t xml:space="preserve">投标人（公章）：</w:t>
      </w:r>
      <w:r/>
    </w:p>
    <w:p>
      <w:pPr>
        <w:ind w:firstLine="422"/>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422"/>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rFonts w:hAnsi="宋体"/>
          <w:bCs/>
          <w:color w:val="auto"/>
          <w:szCs w:val="21"/>
          <w:highlight w:val="none"/>
        </w:rPr>
      </w:pPr>
      <w:r>
        <w:rPr>
          <w:rFonts w:hAnsi="宋体"/>
          <w:bCs/>
          <w:color w:val="auto"/>
          <w:szCs w:val="21"/>
          <w:highlight w:val="none"/>
        </w:rPr>
        <w:t xml:space="preserve">注：</w:t>
      </w:r>
      <w:r/>
    </w:p>
    <w:p>
      <w:pPr>
        <w:ind w:firstLine="422"/>
        <w:spacing w:line="360" w:lineRule="auto"/>
        <w:rPr>
          <w:bCs/>
          <w:color w:val="auto"/>
          <w:szCs w:val="21"/>
          <w:highlight w:val="none"/>
        </w:rPr>
      </w:pP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符合性偏离</w:t>
      </w:r>
      <w:r>
        <w:rPr>
          <w:rFonts w:hAnsi="宋体"/>
          <w:bCs/>
          <w:color w:val="auto"/>
          <w:szCs w:val="21"/>
          <w:highlight w:val="none"/>
        </w:rPr>
        <w:t xml:space="preserve">对照表》投标</w:t>
      </w:r>
      <w:r>
        <w:rPr>
          <w:rFonts w:hint="eastAsia" w:hAnsi="宋体"/>
          <w:bCs/>
          <w:color w:val="auto"/>
          <w:szCs w:val="21"/>
          <w:highlight w:val="none"/>
        </w:rPr>
        <w:t xml:space="preserve">。</w:t>
      </w:r>
      <w:r/>
    </w:p>
    <w:p>
      <w:pPr>
        <w:ind w:firstLine="411"/>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采购需求中的服务</w:t>
      </w:r>
      <w:r>
        <w:rPr>
          <w:rFonts w:hAnsi="宋体"/>
          <w:b/>
          <w:color w:val="auto"/>
          <w:szCs w:val="21"/>
          <w:highlight w:val="none"/>
          <w:u w:val="single"/>
        </w:rPr>
        <w:t xml:space="preserve">要求逐条列出并对比</w:t>
      </w:r>
      <w:r>
        <w:rPr>
          <w:rFonts w:hAnsi="宋体"/>
          <w:bCs/>
          <w:color w:val="auto"/>
          <w:szCs w:val="21"/>
          <w:highlight w:val="none"/>
        </w:rPr>
        <w:t xml:space="preserve">。</w:t>
      </w:r>
      <w:r/>
    </w:p>
    <w:p>
      <w:pPr>
        <w:ind w:firstLine="420"/>
        <w:rPr>
          <w:rFonts w:ascii="宋体" w:hAnsi="宋体"/>
          <w:b/>
          <w:color w:val="auto"/>
          <w:szCs w:val="21"/>
          <w:highlight w:val="none"/>
        </w:rPr>
      </w:pPr>
      <w:r>
        <w:rPr>
          <w:rFonts w:ascii="宋体" w:hAnsi="宋体"/>
          <w:b/>
          <w:color w:val="auto"/>
          <w:szCs w:val="21"/>
          <w:highlight w:val="none"/>
        </w:rPr>
      </w:r>
      <w:r/>
    </w:p>
    <w:p>
      <w:pPr>
        <w:ind w:firstLine="422"/>
        <w:spacing w:line="360" w:lineRule="auto"/>
        <w:rPr>
          <w:rFonts w:ascii="宋体" w:hAnsi="宋体"/>
          <w:bCs/>
          <w:color w:val="auto"/>
          <w:szCs w:val="21"/>
          <w:highlight w:val="none"/>
        </w:rPr>
        <w:outlineLvl w:val="0"/>
      </w:pPr>
      <w:r>
        <w:rPr>
          <w:rFonts w:ascii="宋体" w:hAnsi="宋体"/>
          <w:bCs/>
          <w:color w:val="auto"/>
          <w:szCs w:val="21"/>
          <w:highlight w:val="none"/>
        </w:rPr>
      </w:r>
      <w:r/>
    </w:p>
    <w:p>
      <w:pPr>
        <w:spacing w:line="400" w:lineRule="exact"/>
        <w:rPr>
          <w:color w:val="auto"/>
          <w:szCs w:val="21"/>
          <w:highlight w:val="none"/>
        </w:rPr>
      </w:pPr>
      <w:r>
        <w:rPr>
          <w:color w:val="auto"/>
          <w:szCs w:val="21"/>
          <w:highlight w:val="none"/>
        </w:rPr>
      </w:r>
      <w:r/>
    </w:p>
    <w:p>
      <w:pPr>
        <w:spacing w:line="400" w:lineRule="exact"/>
        <w:rPr>
          <w:color w:val="auto"/>
          <w:szCs w:val="21"/>
          <w:highlight w:val="none"/>
        </w:rPr>
      </w:pPr>
      <w:r>
        <w:rPr>
          <w:color w:val="auto"/>
          <w:szCs w:val="21"/>
          <w:highlight w:val="none"/>
        </w:rPr>
      </w:r>
      <w:r/>
    </w:p>
    <w:p>
      <w:pPr>
        <w:jc w:val="left"/>
        <w:widowControl/>
        <w:rPr>
          <w:b/>
          <w:color w:val="auto"/>
          <w:szCs w:val="21"/>
          <w:highlight w:val="none"/>
        </w:rPr>
      </w:pPr>
      <w:r>
        <w:rPr>
          <w:b/>
          <w:color w:val="auto"/>
          <w:szCs w:val="21"/>
          <w:highlight w:val="none"/>
        </w:rPr>
        <w:br w:type="page" w:clear="all"/>
      </w:r>
      <w:r/>
    </w:p>
    <w:p>
      <w:pPr>
        <w:spacing w:line="400" w:lineRule="exact"/>
        <w:rPr>
          <w:b/>
          <w:color w:val="auto"/>
          <w:szCs w:val="21"/>
          <w:highlight w:val="none"/>
        </w:rPr>
      </w:pPr>
      <w:r>
        <w:rPr>
          <w:rFonts w:hint="eastAsia"/>
          <w:b/>
          <w:color w:val="auto"/>
          <w:szCs w:val="21"/>
          <w:highlight w:val="none"/>
        </w:rPr>
        <w:t xml:space="preserve">格式6、</w:t>
      </w:r>
      <w:r>
        <w:rPr>
          <w:b/>
          <w:color w:val="auto"/>
          <w:szCs w:val="21"/>
          <w:highlight w:val="none"/>
          <w:lang w:val="zh-CN"/>
        </w:rPr>
        <w:t xml:space="preserve">商务条款偏离表</w:t>
      </w:r>
      <w:r/>
    </w:p>
    <w:p>
      <w:pPr>
        <w:spacing w:line="400" w:lineRule="exact"/>
        <w:rPr>
          <w:b/>
          <w:color w:val="auto"/>
          <w:szCs w:val="21"/>
          <w:highlight w:val="none"/>
        </w:rPr>
      </w:pPr>
      <w:r>
        <w:rPr>
          <w:b/>
          <w:color w:val="auto"/>
          <w:szCs w:val="21"/>
          <w:highlight w:val="none"/>
        </w:rPr>
      </w:r>
      <w:r/>
    </w:p>
    <w:p>
      <w:pPr>
        <w:pStyle w:val="685"/>
        <w:ind w:firstLine="643"/>
        <w:jc w:val="center"/>
        <w:spacing w:line="400" w:lineRule="exact"/>
        <w:rPr>
          <w:rFonts w:ascii="Calibri" w:hAnsi="Calibri" w:eastAsia="宋体"/>
          <w:b/>
          <w:color w:val="auto"/>
          <w:szCs w:val="21"/>
          <w:highlight w:val="none"/>
        </w:rPr>
      </w:pPr>
      <w:r>
        <w:rPr>
          <w:rFonts w:hint="eastAsia" w:hAnsi="宋体" w:eastAsia="宋体"/>
          <w:b/>
          <w:color w:val="auto"/>
          <w:sz w:val="32"/>
          <w:szCs w:val="32"/>
          <w:highlight w:val="none"/>
        </w:rPr>
        <w:t xml:space="preserve">商务条款偏离表</w:t>
      </w:r>
      <w:r/>
    </w:p>
    <w:p>
      <w:pPr>
        <w:pStyle w:val="687"/>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684"/>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序号</w:t>
            </w:r>
            <w:r/>
          </w:p>
        </w:tc>
        <w:tc>
          <w:tcPr>
            <w:tcW w:w="35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采购文件的商务条款</w:t>
            </w:r>
            <w:r/>
          </w:p>
        </w:tc>
        <w:tc>
          <w:tcPr>
            <w:tcW w:w="335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投标文件的商务条款</w:t>
            </w:r>
            <w:r/>
          </w:p>
        </w:tc>
        <w:tc>
          <w:tcPr>
            <w:tcW w:w="137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说明</w:t>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13"/>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bl>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注：</w:t>
      </w:r>
      <w:r>
        <w:rPr>
          <w:rFonts w:hint="eastAsia" w:ascii="宋体" w:hAnsi="宋体"/>
          <w:bCs/>
          <w:color w:val="auto"/>
          <w:szCs w:val="21"/>
          <w:highlight w:val="none"/>
        </w:rPr>
        <w:t xml:space="preserve">针对本项目中的付款方式、服务周期等商务条款，</w:t>
      </w:r>
      <w:r>
        <w:rPr>
          <w:rFonts w:ascii="宋体" w:hAnsi="宋体"/>
          <w:bCs/>
          <w:color w:val="auto"/>
          <w:szCs w:val="21"/>
          <w:highlight w:val="none"/>
        </w:rPr>
        <w:t xml:space="preserve">投标人与采购文件规定的</w:t>
      </w:r>
      <w:r>
        <w:rPr>
          <w:rFonts w:hint="eastAsia" w:ascii="宋体" w:hAnsi="宋体"/>
          <w:bCs/>
          <w:color w:val="auto"/>
          <w:szCs w:val="21"/>
          <w:highlight w:val="none"/>
        </w:rPr>
        <w:t xml:space="preserve">内容对应，</w:t>
      </w:r>
      <w:r>
        <w:rPr>
          <w:rFonts w:ascii="宋体" w:hAnsi="宋体"/>
          <w:bCs/>
          <w:color w:val="auto"/>
          <w:szCs w:val="21"/>
          <w:highlight w:val="none"/>
        </w:rPr>
        <w:t xml:space="preserve">在此表中说明。</w:t>
      </w:r>
      <w:r/>
    </w:p>
    <w:p>
      <w:pPr>
        <w:pStyle w:val="687"/>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投标人（公章）：</w:t>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法定代表人或代理人：（签</w:t>
      </w:r>
      <w:r>
        <w:rPr>
          <w:rFonts w:hint="eastAsia" w:ascii="宋体" w:hAnsi="宋体"/>
          <w:bCs/>
          <w:color w:val="auto"/>
          <w:szCs w:val="21"/>
          <w:highlight w:val="none"/>
        </w:rPr>
        <w:t xml:space="preserve">名</w:t>
      </w:r>
      <w:r>
        <w:rPr>
          <w:rFonts w:ascii="宋体" w:hAnsi="宋体"/>
          <w:bCs/>
          <w:color w:val="auto"/>
          <w:szCs w:val="21"/>
          <w:highlight w:val="none"/>
        </w:rPr>
        <w:t xml:space="preserve">或签章）</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日期：        年     月     日</w:t>
      </w:r>
      <w:r/>
    </w:p>
    <w:p>
      <w:pPr>
        <w:pStyle w:val="685"/>
        <w:jc w:val="center"/>
        <w:spacing w:line="400" w:lineRule="exact"/>
        <w:rPr>
          <w:rFonts w:cs="宋体"/>
          <w:color w:val="auto"/>
          <w:szCs w:val="21"/>
          <w:highlight w:val="none"/>
        </w:rPr>
      </w:pPr>
      <w:r>
        <w:rPr>
          <w:rFonts w:hint="eastAsia"/>
          <w:b/>
          <w:bCs/>
          <w:color w:val="auto"/>
          <w:szCs w:val="21"/>
          <w:highlight w:val="none"/>
          <w:lang w:val="zh-CN"/>
        </w:rPr>
        <w:br w:type="page" w:clear="all"/>
      </w:r>
      <w:r/>
    </w:p>
    <w:p>
      <w:pPr>
        <w:spacing w:line="400" w:lineRule="exact"/>
        <w:rPr>
          <w:rFonts w:hint="eastAsia"/>
          <w:b/>
          <w:color w:val="auto"/>
          <w:szCs w:val="21"/>
          <w:highlight w:val="none"/>
        </w:rPr>
      </w:pPr>
      <w:r>
        <w:rPr>
          <w:rFonts w:hint="eastAsia"/>
          <w:b/>
          <w:color w:val="auto"/>
          <w:szCs w:val="21"/>
          <w:highlight w:val="none"/>
        </w:rPr>
        <w:t xml:space="preserve">格式7、拟投入本项目人员表</w:t>
      </w:r>
      <w:r/>
    </w:p>
    <w:p>
      <w:pPr>
        <w:pStyle w:val="685"/>
        <w:ind w:firstLine="643"/>
        <w:spacing w:line="400" w:lineRule="exact"/>
        <w:rPr>
          <w:rFonts w:hAnsi="宋体"/>
          <w:b/>
          <w:color w:val="auto"/>
          <w:sz w:val="32"/>
          <w:szCs w:val="32"/>
          <w:highlight w:val="none"/>
        </w:rPr>
      </w:pPr>
      <w:r>
        <w:rPr>
          <w:rFonts w:hAnsi="宋体"/>
          <w:b/>
          <w:color w:val="auto"/>
          <w:sz w:val="32"/>
          <w:szCs w:val="32"/>
          <w:highlight w:val="none"/>
        </w:rPr>
      </w:r>
      <w:r/>
    </w:p>
    <w:p>
      <w:pPr>
        <w:pStyle w:val="685"/>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拟投入本项目人员表</w:t>
      </w:r>
      <w:r/>
    </w:p>
    <w:p>
      <w:pPr>
        <w:spacing w:line="400" w:lineRule="exact"/>
        <w:rPr>
          <w:rFonts w:ascii="Times New Roman" w:hAnsi="宋体"/>
          <w:color w:val="auto"/>
          <w:spacing w:val="20"/>
          <w:szCs w:val="21"/>
          <w:highlight w:val="none"/>
        </w:rPr>
      </w:pPr>
      <w:r>
        <w:rPr>
          <w:rFonts w:hint="eastAsia" w:hAnsi="宋体"/>
          <w:color w:val="auto"/>
          <w:spacing w:val="20"/>
          <w:szCs w:val="21"/>
          <w:highlight w:val="none"/>
        </w:rPr>
        <w:t xml:space="preserve">采购编号：</w:t>
      </w:r>
      <w:r>
        <w:rPr>
          <w:rFonts w:hint="eastAsia"/>
          <w:color w:val="auto"/>
          <w:szCs w:val="21"/>
          <w:highlight w:val="none"/>
        </w:rPr>
        <w:t xml:space="preserve"> </w:t>
      </w:r>
      <w:r/>
    </w:p>
    <w:tbl>
      <w:tblPr>
        <w:tblStyle w:val="684"/>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color w:val="auto"/>
                <w:szCs w:val="21"/>
                <w:highlight w:val="none"/>
              </w:rPr>
            </w:pPr>
            <w:r>
              <w:rPr>
                <w:rFonts w:hint="eastAsia"/>
                <w:color w:val="auto"/>
                <w:szCs w:val="21"/>
                <w:highlight w:val="none"/>
              </w:rPr>
              <w:t xml:space="preserve">序号</w:t>
            </w:r>
            <w:r/>
          </w:p>
        </w:tc>
        <w:tc>
          <w:tcPr>
            <w:tcW w:w="2329" w:type="dxa"/>
            <w:vAlign w:val="center"/>
            <w:textDirection w:val="lrTb"/>
            <w:noWrap w:val="false"/>
          </w:tcPr>
          <w:p>
            <w:pPr>
              <w:jc w:val="center"/>
              <w:rPr>
                <w:color w:val="auto"/>
                <w:szCs w:val="21"/>
                <w:highlight w:val="none"/>
              </w:rPr>
            </w:pPr>
            <w:r>
              <w:rPr>
                <w:rFonts w:hint="eastAsia"/>
                <w:color w:val="auto"/>
                <w:szCs w:val="21"/>
                <w:highlight w:val="none"/>
              </w:rPr>
              <w:t xml:space="preserve">岗位</w:t>
            </w:r>
            <w:r/>
          </w:p>
        </w:tc>
        <w:tc>
          <w:tcPr>
            <w:tcW w:w="1197" w:type="dxa"/>
            <w:vAlign w:val="center"/>
            <w:textDirection w:val="lrTb"/>
            <w:noWrap w:val="false"/>
          </w:tcPr>
          <w:p>
            <w:pPr>
              <w:jc w:val="center"/>
              <w:rPr>
                <w:color w:val="auto"/>
                <w:szCs w:val="21"/>
                <w:highlight w:val="none"/>
              </w:rPr>
            </w:pPr>
            <w:r>
              <w:rPr>
                <w:rFonts w:hint="eastAsia"/>
                <w:color w:val="auto"/>
                <w:szCs w:val="21"/>
                <w:highlight w:val="none"/>
              </w:rPr>
              <w:t xml:space="preserve">姓名</w:t>
            </w:r>
            <w:r/>
          </w:p>
        </w:tc>
        <w:tc>
          <w:tcPr>
            <w:tcW w:w="1171" w:type="dxa"/>
            <w:vAlign w:val="center"/>
            <w:textDirection w:val="lrTb"/>
            <w:noWrap w:val="false"/>
          </w:tcPr>
          <w:p>
            <w:pPr>
              <w:jc w:val="center"/>
              <w:rPr>
                <w:color w:val="auto"/>
                <w:szCs w:val="21"/>
                <w:highlight w:val="none"/>
              </w:rPr>
            </w:pPr>
            <w:r>
              <w:rPr>
                <w:rFonts w:hint="eastAsia"/>
                <w:color w:val="auto"/>
                <w:szCs w:val="21"/>
                <w:highlight w:val="none"/>
              </w:rPr>
              <w:t xml:space="preserve">性别</w:t>
            </w:r>
            <w:r/>
          </w:p>
        </w:tc>
        <w:tc>
          <w:tcPr>
            <w:tcW w:w="1116" w:type="dxa"/>
            <w:vAlign w:val="center"/>
            <w:textDirection w:val="lrTb"/>
            <w:noWrap w:val="false"/>
          </w:tcPr>
          <w:p>
            <w:pPr>
              <w:jc w:val="center"/>
              <w:rPr>
                <w:color w:val="auto"/>
                <w:szCs w:val="21"/>
                <w:highlight w:val="none"/>
              </w:rPr>
            </w:pPr>
            <w:r>
              <w:rPr>
                <w:rFonts w:hint="eastAsia"/>
                <w:color w:val="auto"/>
                <w:szCs w:val="21"/>
                <w:highlight w:val="none"/>
              </w:rPr>
              <w:t xml:space="preserve">年龄</w:t>
            </w:r>
            <w:r/>
          </w:p>
        </w:tc>
        <w:tc>
          <w:tcPr>
            <w:tcW w:w="1195" w:type="dxa"/>
            <w:vAlign w:val="center"/>
            <w:textDirection w:val="lrTb"/>
            <w:noWrap w:val="false"/>
          </w:tcPr>
          <w:p>
            <w:pPr>
              <w:jc w:val="center"/>
              <w:rPr>
                <w:color w:val="auto"/>
                <w:szCs w:val="21"/>
                <w:highlight w:val="none"/>
              </w:rPr>
            </w:pPr>
            <w:r>
              <w:rPr>
                <w:rFonts w:hint="eastAsia"/>
                <w:color w:val="auto"/>
                <w:szCs w:val="21"/>
                <w:highlight w:val="none"/>
              </w:rPr>
              <w:t xml:space="preserve">学历</w:t>
            </w:r>
            <w:r/>
          </w:p>
        </w:tc>
        <w:tc>
          <w:tcPr>
            <w:tcW w:w="1077" w:type="dxa"/>
            <w:vAlign w:val="center"/>
            <w:textDirection w:val="lrTb"/>
            <w:noWrap w:val="false"/>
          </w:tcPr>
          <w:p>
            <w:pPr>
              <w:jc w:val="center"/>
              <w:rPr>
                <w:color w:val="auto"/>
                <w:szCs w:val="21"/>
                <w:highlight w:val="none"/>
              </w:rPr>
            </w:pPr>
            <w:r>
              <w:rPr>
                <w:rFonts w:hint="eastAsia"/>
                <w:color w:val="auto"/>
                <w:szCs w:val="21"/>
                <w:highlight w:val="none"/>
              </w:rPr>
              <w:t xml:space="preserve">职称</w:t>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1</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2</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3</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4</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5</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6</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7</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8</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bl>
    <w:p>
      <w:pPr>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rFonts w:hint="eastAsia"/>
          <w:color w:val="auto"/>
          <w:szCs w:val="21"/>
          <w:highlight w:val="none"/>
        </w:rPr>
        <w:t xml:space="preserve">注：请按以上格式自制表格填写后投标。</w:t>
      </w:r>
      <w:r/>
    </w:p>
    <w:p>
      <w:pPr>
        <w:rPr>
          <w:rFonts w:hint="eastAsia" w:hAnsi="宋体"/>
          <w:b/>
          <w:color w:val="auto"/>
          <w:szCs w:val="21"/>
          <w:highlight w:val="none"/>
        </w:rPr>
      </w:pPr>
      <w:r>
        <w:rPr>
          <w:color w:val="auto"/>
          <w:szCs w:val="21"/>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w:t>
      </w:r>
      <w:r>
        <w:rPr>
          <w:rFonts w:hint="eastAsia" w:hAnsi="宋体"/>
          <w:b/>
          <w:color w:val="auto"/>
          <w:szCs w:val="21"/>
          <w:highlight w:val="none"/>
          <w:lang w:val="en-US" w:eastAsia="zh-CN"/>
        </w:rPr>
        <w:t xml:space="preserve">8</w:t>
      </w:r>
      <w:r>
        <w:rPr>
          <w:rFonts w:hint="eastAsia" w:hAnsi="宋体"/>
          <w:b/>
          <w:color w:val="auto"/>
          <w:szCs w:val="21"/>
          <w:highlight w:val="none"/>
        </w:rPr>
        <w:t xml:space="preserve">、资格证明文件</w:t>
      </w:r>
      <w:r/>
    </w:p>
    <w:p>
      <w:pPr>
        <w:pStyle w:val="687"/>
        <w:ind w:firstLine="0"/>
        <w:rPr>
          <w:b/>
          <w:color w:val="auto"/>
          <w:sz w:val="21"/>
          <w:szCs w:val="21"/>
          <w:highlight w:val="none"/>
        </w:rPr>
      </w:pPr>
      <w:r>
        <w:rPr>
          <w:b/>
          <w:color w:val="auto"/>
          <w:sz w:val="21"/>
          <w:szCs w:val="21"/>
          <w:highlight w:val="none"/>
        </w:rPr>
      </w:r>
      <w:r/>
    </w:p>
    <w:p>
      <w:pPr>
        <w:pStyle w:val="687"/>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687"/>
        <w:ind w:firstLine="0"/>
        <w:rPr>
          <w:b/>
          <w:color w:val="auto"/>
          <w:sz w:val="21"/>
          <w:szCs w:val="21"/>
          <w:highlight w:val="none"/>
        </w:rPr>
      </w:pPr>
      <w:r>
        <w:rPr>
          <w:b/>
          <w:color w:val="auto"/>
          <w:sz w:val="21"/>
          <w:szCs w:val="21"/>
          <w:highlight w:val="none"/>
        </w:rPr>
      </w:r>
      <w:r/>
    </w:p>
    <w:p>
      <w:pPr>
        <w:pStyle w:val="687"/>
        <w:ind w:firstLine="0"/>
        <w:rPr>
          <w:b/>
          <w:color w:val="auto"/>
          <w:highlight w:val="none"/>
        </w:rPr>
      </w:pPr>
      <w:r>
        <w:rPr>
          <w:b/>
          <w:color w:val="auto"/>
          <w:highlight w:val="none"/>
        </w:rPr>
      </w:r>
      <w:r/>
    </w:p>
    <w:p>
      <w:pPr>
        <w:pStyle w:val="685"/>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685"/>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687"/>
        <w:jc w:val="center"/>
        <w:rPr>
          <w:rFonts w:ascii="Times New Roman"/>
          <w:color w:val="auto"/>
          <w:highlight w:val="none"/>
        </w:rPr>
      </w:pPr>
      <w:r>
        <w:rPr>
          <w:rFonts w:ascii="Times New Roman"/>
          <w:color w:val="auto"/>
          <w:highlight w:val="none"/>
        </w:rPr>
      </w:r>
      <w:r/>
    </w:p>
    <w:p>
      <w:pPr>
        <w:pStyle w:val="687"/>
        <w:jc w:val="center"/>
        <w:rPr>
          <w:color w:val="auto"/>
          <w:highlight w:val="none"/>
        </w:rPr>
      </w:pPr>
      <w:r>
        <w:rPr>
          <w:color w:val="auto"/>
          <w:highlight w:val="none"/>
        </w:rPr>
      </w:r>
      <w:r/>
    </w:p>
    <w:p>
      <w:pPr>
        <w:pStyle w:val="685"/>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687"/>
        <w:jc w:val="both"/>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687"/>
        <w:ind w:firstLine="0"/>
        <w:spacing w:line="400" w:lineRule="exact"/>
        <w:rPr>
          <w:color w:val="auto"/>
          <w:sz w:val="21"/>
          <w:szCs w:val="21"/>
          <w:highlight w:val="none"/>
        </w:rPr>
      </w:pPr>
      <w:r>
        <w:rPr>
          <w:color w:val="auto"/>
          <w:sz w:val="21"/>
          <w:szCs w:val="21"/>
          <w:highlight w:val="none"/>
        </w:rPr>
      </w:r>
      <w:r/>
    </w:p>
    <w:p>
      <w:pPr>
        <w:pStyle w:val="687"/>
        <w:ind w:firstLine="0"/>
        <w:rPr>
          <w:color w:val="auto"/>
          <w:highlight w:val="none"/>
        </w:rPr>
      </w:pPr>
      <w:r>
        <w:rPr>
          <w:color w:val="auto"/>
          <w:highlight w:val="none"/>
        </w:rPr>
      </w:r>
      <w:r/>
    </w:p>
    <w:p>
      <w:pPr>
        <w:pStyle w:val="687"/>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687"/>
        <w:ind w:firstLine="0"/>
        <w:rPr>
          <w:rFonts w:ascii="宋体" w:hAnsi="宋体"/>
          <w:color w:val="auto"/>
          <w:highlight w:val="none"/>
        </w:rPr>
      </w:pPr>
      <w:r>
        <w:rPr>
          <w:rFonts w:ascii="宋体" w:hAnsi="宋体"/>
          <w:color w:val="auto"/>
          <w:highlight w:val="none"/>
        </w:rPr>
      </w:r>
      <w:r/>
    </w:p>
    <w:p>
      <w:pPr>
        <w:pStyle w:val="685"/>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rFonts w:ascii="Times New Roman"/>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684"/>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41"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687"/>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687"/>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687"/>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687"/>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97"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687"/>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687"/>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687"/>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687"/>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687"/>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687"/>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687"/>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W w:w="1669" w:type="dxa"/>
            <w:vAlign w:val="center"/>
            <w:textDirection w:val="lrTb"/>
            <w:noWrap w:val="false"/>
          </w:tcPr>
          <w:p>
            <w:pPr>
              <w:pStyle w:val="687"/>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687"/>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687"/>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687"/>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687"/>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687"/>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687"/>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687"/>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97"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687"/>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687"/>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W w:w="597" w:type="dxa"/>
            <w:vAlign w:val="center"/>
            <w:textDirection w:val="lrTb"/>
            <w:noWrap w:val="false"/>
          </w:tcPr>
          <w:p>
            <w:pPr>
              <w:pStyle w:val="687"/>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687"/>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687"/>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687"/>
        <w:ind w:firstLine="0"/>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w:t>
      </w:r>
      <w:r>
        <w:rPr>
          <w:rFonts w:hint="eastAsia"/>
          <w:b/>
          <w:color w:val="auto"/>
          <w:szCs w:val="21"/>
          <w:highlight w:val="none"/>
          <w:lang w:val="en-US" w:eastAsia="zh-CN"/>
        </w:rPr>
        <w:t xml:space="preserve">9</w:t>
      </w:r>
      <w:r>
        <w:rPr>
          <w:rFonts w:hint="eastAsia"/>
          <w:b/>
          <w:color w:val="auto"/>
          <w:szCs w:val="21"/>
          <w:highlight w:val="none"/>
        </w:rPr>
        <w:t xml:space="preserve">、相关业绩一览表</w:t>
      </w:r>
      <w:r/>
    </w:p>
    <w:p>
      <w:pPr>
        <w:ind w:left="-42" w:right="357"/>
        <w:spacing w:line="400" w:lineRule="exact"/>
        <w:rPr>
          <w:b/>
          <w:color w:val="auto"/>
          <w:sz w:val="24"/>
          <w:highlight w:val="none"/>
        </w:rPr>
      </w:pPr>
      <w:r>
        <w:rPr>
          <w:b/>
          <w:color w:val="auto"/>
          <w:sz w:val="24"/>
          <w:highlight w:val="none"/>
        </w:rPr>
      </w:r>
      <w:r/>
    </w:p>
    <w:p>
      <w:pPr>
        <w:pStyle w:val="685"/>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相关业绩一览表</w:t>
      </w:r>
      <w:r/>
    </w:p>
    <w:p>
      <w:pPr>
        <w:spacing w:line="360" w:lineRule="auto"/>
        <w:rPr>
          <w:rFonts w:ascii="Times New Roman"/>
          <w:color w:val="auto"/>
          <w:sz w:val="24"/>
          <w:highlight w:val="none"/>
        </w:rPr>
      </w:pPr>
      <w:r>
        <w:rPr>
          <w:rFonts w:ascii="Times New Roman"/>
          <w:color w:val="auto"/>
          <w:sz w:val="24"/>
          <w:highlight w:val="none"/>
        </w:rPr>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rPr>
        <w:t xml:space="preserve">_________________________</w:t>
      </w:r>
      <w:r/>
    </w:p>
    <w:tbl>
      <w:tblPr>
        <w:tblStyle w:val="684"/>
        <w:tblW w:w="8984"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969"/>
        <w:gridCol w:w="2275"/>
        <w:gridCol w:w="2325"/>
        <w:gridCol w:w="1500"/>
      </w:tblGrid>
      <w:tr>
        <w:trPr>
          <w:cantSplit/>
          <w:trHeight w:val="740"/>
        </w:trPr>
        <w:tc>
          <w:tcPr>
            <w:tcW w:w="91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序号</w:t>
            </w:r>
            <w:r/>
          </w:p>
        </w:tc>
        <w:tc>
          <w:tcPr>
            <w:tcW w:w="196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项目名称</w:t>
            </w:r>
            <w:r/>
          </w:p>
        </w:tc>
        <w:tc>
          <w:tcPr>
            <w:tcW w:w="227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合同期</w:t>
            </w:r>
            <w:r/>
          </w:p>
        </w:tc>
        <w:tc>
          <w:tcPr>
            <w:tcW w:w="232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管理服务范围</w:t>
            </w:r>
            <w:r/>
          </w:p>
        </w:tc>
        <w:tc>
          <w:tcPr>
            <w:tcW w:w="150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备注</w:t>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1</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2</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3</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4</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5</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tbRlV"/>
            <w:noWrap w:val="false"/>
          </w:tcPr>
          <w:p>
            <w:pPr>
              <w:ind w:left="113" w:right="113"/>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bl>
    <w:p>
      <w:pPr>
        <w:ind w:firstLine="210"/>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spacing w:line="360" w:lineRule="auto"/>
        <w:rPr>
          <w:rFonts w:hint="eastAsia"/>
          <w:b/>
          <w:bCs/>
          <w:color w:val="auto"/>
          <w:szCs w:val="21"/>
          <w:highlight w:val="none"/>
          <w:lang w:val="zh-CN"/>
        </w:rPr>
      </w:pPr>
      <w:r>
        <w:rPr>
          <w:rFonts w:hint="eastAsia" w:ascii="宋体" w:hAnsi="宋体"/>
          <w:b/>
          <w:bCs/>
          <w:color w:val="auto"/>
          <w:highlight w:val="none"/>
        </w:rPr>
        <w:t xml:space="preserve"> </w:t>
      </w:r>
      <w:r>
        <w:rPr>
          <w:rFonts w:hint="eastAsia" w:ascii="宋体" w:hAnsi="宋体"/>
          <w:b/>
          <w:bCs/>
          <w:color w:val="auto"/>
          <w:highlight w:val="none"/>
        </w:rPr>
        <w:br w:type="page" w:clear="all"/>
      </w:r>
      <w:r>
        <w:rPr>
          <w:rFonts w:hint="eastAsia"/>
          <w:b/>
          <w:color w:val="auto"/>
          <w:szCs w:val="21"/>
          <w:highlight w:val="none"/>
        </w:rPr>
        <w:t xml:space="preserve">格式1</w:t>
      </w:r>
      <w:r>
        <w:rPr>
          <w:rFonts w:hint="eastAsia"/>
          <w:b/>
          <w:color w:val="auto"/>
          <w:szCs w:val="21"/>
          <w:highlight w:val="none"/>
          <w:lang w:val="en-US" w:eastAsia="zh-CN"/>
        </w:rPr>
        <w:t xml:space="preserve">0</w:t>
      </w:r>
      <w:r>
        <w:rPr>
          <w:rFonts w:hint="eastAsia"/>
          <w:b/>
          <w:color w:val="auto"/>
          <w:szCs w:val="21"/>
          <w:highlight w:val="none"/>
        </w:rPr>
        <w:t xml:space="preserve">、</w:t>
      </w:r>
      <w:r>
        <w:rPr>
          <w:rFonts w:hint="eastAsia"/>
          <w:b/>
          <w:bCs/>
          <w:color w:val="auto"/>
          <w:szCs w:val="21"/>
          <w:highlight w:val="none"/>
          <w:lang w:val="zh-CN"/>
        </w:rPr>
        <w:t xml:space="preserve">项目实施方案</w:t>
      </w:r>
      <w:r/>
    </w:p>
    <w:p>
      <w:pPr>
        <w:jc w:val="cente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实施方案</w:t>
      </w:r>
      <w:r/>
    </w:p>
    <w:tbl>
      <w:tblPr>
        <w:tblStyle w:val="684"/>
        <w:tblW w:w="8639" w:type="dxa"/>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9"/>
      </w:tblGrid>
      <w:tr>
        <w:trPr>
          <w:trHeight w:val="1821"/>
        </w:trPr>
        <w:tc>
          <w:tcPr>
            <w:tcW w:w="863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提示：</w:t>
            </w:r>
            <w:r/>
          </w:p>
          <w:p>
            <w:pPr>
              <w:spacing w:line="360" w:lineRule="auto"/>
              <w:rPr>
                <w:rFonts w:hint="eastAsia" w:ascii="宋体" w:hAnsi="宋体"/>
                <w:b/>
                <w:bCs/>
                <w:color w:val="auto"/>
                <w:sz w:val="24"/>
                <w:highlight w:val="none"/>
              </w:rPr>
            </w:pPr>
            <w:r>
              <w:rPr>
                <w:rFonts w:hint="eastAsia" w:ascii="宋体" w:hAnsi="宋体"/>
                <w:color w:val="auto"/>
                <w:sz w:val="24"/>
                <w:highlight w:val="none"/>
              </w:rPr>
              <w:t xml:space="preserve">1、</w:t>
            </w:r>
            <w:r>
              <w:rPr>
                <w:rFonts w:hint="eastAsia" w:ascii="宋体" w:hAnsi="宋体"/>
                <w:color w:val="auto"/>
                <w:sz w:val="24"/>
                <w:szCs w:val="24"/>
                <w:highlight w:val="none"/>
              </w:rPr>
              <w:t xml:space="preserve">投标单位应针对本次招标项目特点及具体情况编写公司中标后拟采取的方案，包括服务方案、内部管理方案、人员配备方案、与其他单位、部门的综合协调方案以及遇重大、紧急事项的应急措施等</w:t>
            </w:r>
            <w:r>
              <w:rPr>
                <w:rFonts w:hint="eastAsia" w:ascii="宋体" w:hAnsi="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2、投标单位可根据自身情况编写，本页不够可另加页附后。</w:t>
            </w:r>
            <w:r/>
          </w:p>
        </w:tc>
      </w:tr>
      <w:tr>
        <w:trPr>
          <w:trHeight w:val="8870"/>
        </w:trPr>
        <w:tc>
          <w:tcPr>
            <w:tcW w:w="8639"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4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                                      投标单位（公章）：</w:t>
            </w:r>
            <w:r/>
          </w:p>
        </w:tc>
      </w:tr>
    </w:tbl>
    <w:p>
      <w:pPr>
        <w:pStyle w:val="988"/>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 </w:t>
      </w:r>
      <w:r/>
    </w:p>
    <w:p>
      <w:pPr>
        <w:pStyle w:val="1069"/>
        <w:ind w:firstLine="422"/>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投标单位（公章）：</w:t>
      </w:r>
      <w:r/>
    </w:p>
    <w:p>
      <w:pPr>
        <w:pStyle w:val="1069"/>
        <w:ind w:firstLine="422"/>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法定代表人或代理人：（签字或签章）</w:t>
      </w:r>
      <w:r/>
    </w:p>
    <w:p>
      <w:pPr>
        <w:pStyle w:val="1069"/>
        <w:ind w:firstLine="422"/>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日期：    年    月    日</w:t>
      </w:r>
      <w:r/>
    </w:p>
    <w:p>
      <w:pPr>
        <w:spacing w:line="360" w:lineRule="auto"/>
        <w:tabs>
          <w:tab w:val="left" w:pos="1320" w:leader="none"/>
        </w:tabs>
        <w:rPr>
          <w:rFonts w:ascii="Times New Roman" w:hAnsi="Times New Roman"/>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w:t>
      </w:r>
      <w:r>
        <w:rPr>
          <w:rFonts w:hint="eastAsia"/>
          <w:b/>
          <w:bCs/>
          <w:color w:val="auto"/>
          <w:szCs w:val="21"/>
          <w:highlight w:val="none"/>
          <w:lang w:val="en-US" w:eastAsia="zh-CN"/>
        </w:rPr>
        <w:t xml:space="preserve">1</w:t>
      </w:r>
      <w:r>
        <w:rPr>
          <w:rFonts w:hint="eastAsia" w:hAnsi="宋体"/>
          <w:b/>
          <w:bCs/>
          <w:color w:val="auto"/>
          <w:szCs w:val="21"/>
          <w:highlight w:val="none"/>
        </w:rPr>
        <w:t xml:space="preserve">、工作管理标准、考核方案</w:t>
      </w:r>
      <w:r/>
    </w:p>
    <w:p>
      <w:pPr>
        <w:pStyle w:val="685"/>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管理标准、考核方案</w:t>
      </w:r>
      <w:r/>
    </w:p>
    <w:tbl>
      <w:tblPr>
        <w:tblStyle w:val="684"/>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、投标人应针对本次招标项目特点编写公司中标后拟采取的管理标准、考核方案。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jc w:val="center"/>
        <w:spacing w:before="50" w:line="400" w:lineRule="exact"/>
        <w:rPr>
          <w:rFonts w:ascii="黑体" w:hAnsi="宋体" w:eastAsia="黑体"/>
          <w:b/>
          <w:color w:val="auto"/>
          <w:sz w:val="36"/>
          <w:szCs w:val="36"/>
          <w:highlight w:val="none"/>
        </w:rPr>
      </w:pPr>
      <w:r>
        <w:rPr>
          <w:rFonts w:ascii="黑体" w:hAnsi="宋体" w:eastAsia="黑体"/>
          <w:b/>
          <w:color w:val="auto"/>
          <w:sz w:val="36"/>
          <w:szCs w:val="36"/>
          <w:highlight w:val="none"/>
        </w:rPr>
      </w:r>
      <w:r/>
    </w:p>
    <w:p>
      <w:pPr>
        <w:rPr>
          <w:rFonts w:ascii="Times New Roman" w:hAnsi="Times New Roman"/>
          <w:color w:val="auto"/>
          <w:szCs w:val="21"/>
          <w:highlight w:val="none"/>
        </w:rPr>
      </w:pPr>
      <w:r>
        <w:rPr>
          <w:color w:val="auto"/>
          <w:szCs w:val="21"/>
          <w:highlight w:val="none"/>
        </w:rPr>
        <w:t xml:space="preserve"> </w:t>
      </w:r>
      <w:r/>
    </w:p>
    <w:p>
      <w:pPr>
        <w:spacing w:line="400" w:lineRule="exact"/>
        <w:rPr>
          <w:rFonts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w:t>
      </w:r>
      <w:r>
        <w:rPr>
          <w:rFonts w:hint="eastAsia" w:ascii="宋体" w:hAnsi="宋体"/>
          <w:b/>
          <w:color w:val="auto"/>
          <w:szCs w:val="21"/>
          <w:highlight w:val="none"/>
          <w:lang w:val="en-US" w:eastAsia="zh-CN"/>
        </w:rPr>
        <w:t xml:space="preserve">2</w:t>
      </w:r>
      <w:r>
        <w:rPr>
          <w:rFonts w:hint="eastAsia" w:ascii="宋体" w:hAnsi="宋体"/>
          <w:b/>
          <w:color w:val="auto"/>
          <w:szCs w:val="21"/>
          <w:highlight w:val="none"/>
        </w:rPr>
        <w:t xml:space="preserve">、中小企业声明函</w:t>
      </w:r>
      <w:r/>
    </w:p>
    <w:p>
      <w:pPr>
        <w:jc w:val="center"/>
        <w:spacing w:line="588" w:lineRule="exact"/>
        <w:rPr>
          <w:rFonts w:ascii="Times New Roman" w:hAnsi="Times New Roman"/>
          <w:b/>
          <w:color w:val="auto"/>
          <w:spacing w:val="6"/>
          <w:sz w:val="24"/>
          <w:highlight w:val="none"/>
          <w:shd w:val="clear" w:color="auto" w:fill="ffffff"/>
        </w:rPr>
      </w:pPr>
      <w:r>
        <w:rPr>
          <w:rFonts w:ascii="Times New Roman" w:hAnsi="Times New Roman"/>
          <w:b/>
          <w:color w:val="auto"/>
          <w:spacing w:val="6"/>
          <w:sz w:val="24"/>
          <w:highlight w:val="none"/>
          <w:shd w:val="clear" w:color="auto" w:fill="ffffff"/>
        </w:rPr>
      </w:r>
      <w:r/>
    </w:p>
    <w:p>
      <w:pPr>
        <w:pStyle w:val="685"/>
        <w:ind w:firstLine="643"/>
        <w:jc w:val="center"/>
        <w:spacing w:line="400" w:lineRule="exact"/>
        <w:rPr>
          <w:rFonts w:hAnsi="宋体" w:eastAsia="宋体"/>
          <w:b/>
          <w:color w:val="auto"/>
          <w:sz w:val="32"/>
          <w:szCs w:val="32"/>
          <w:highlight w:val="none"/>
        </w:rPr>
      </w:pPr>
      <w:r/>
      <w:bookmarkStart w:id="10" w:name="_Hlk66105462"/>
      <w:r>
        <w:rPr>
          <w:rFonts w:hint="eastAsia" w:hAnsi="宋体" w:eastAsia="宋体"/>
          <w:b/>
          <w:color w:val="auto"/>
          <w:sz w:val="32"/>
          <w:szCs w:val="32"/>
          <w:highlight w:val="none"/>
        </w:rPr>
        <w:t xml:space="preserve">中小企业声明函（服务类）</w:t>
      </w:r>
      <w:r/>
    </w:p>
    <w:p>
      <w:pPr>
        <w:spacing w:line="400" w:lineRule="exact"/>
        <w:rPr>
          <w:rFonts w:ascii="宋体" w:hAnsi="宋体"/>
          <w:color w:val="auto"/>
          <w:szCs w:val="21"/>
          <w:highlight w:val="none"/>
        </w:rPr>
      </w:pPr>
      <w:r>
        <w:rPr>
          <w:rFonts w:ascii="宋体" w:hAnsi="宋体"/>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400" w:lineRule="exact"/>
        <w:rPr>
          <w:rFonts w:ascii="Times New Roman" w:hAnsi="Times New Roman"/>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ind w:firstLine="420"/>
        <w:spacing w:line="400" w:lineRule="exact"/>
        <w:rPr>
          <w:color w:val="auto"/>
          <w:szCs w:val="21"/>
          <w:highlight w:val="none"/>
          <w:u w:val="single"/>
        </w:rPr>
      </w:pPr>
      <w:r>
        <w:rPr>
          <w:color w:val="auto"/>
          <w:szCs w:val="21"/>
          <w:highlight w:val="none"/>
        </w:rPr>
        <w:t xml:space="preserve">1. </w:t>
      </w:r>
      <w:r>
        <w:rPr>
          <w:rFonts w:hint="eastAsia"/>
          <w:color w:val="auto"/>
          <w:szCs w:val="21"/>
          <w:highlight w:val="none"/>
          <w:u w:val="single"/>
        </w:rPr>
        <w:t xml:space="preserve">（标的名称）</w:t>
      </w:r>
      <w:r>
        <w:rPr>
          <w:color w:val="auto"/>
          <w:szCs w:val="21"/>
          <w:highlight w:val="none"/>
        </w:rPr>
        <w:t xml:space="preserve"> </w:t>
      </w:r>
      <w:r>
        <w:rPr>
          <w:rFonts w:hint="eastAsia"/>
          <w:color w:val="auto"/>
          <w:szCs w:val="21"/>
          <w:highlight w:val="none"/>
        </w:rPr>
        <w:t xml:space="preserve">，属于</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行业</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rFonts w:hint="eastAsia"/>
          <w:b/>
          <w:color w:val="auto"/>
          <w:szCs w:val="21"/>
          <w:highlight w:val="none"/>
        </w:rPr>
        <w:t xml:space="preserve">（三选一填写）</w:t>
      </w:r>
      <w:r>
        <w:rPr>
          <w:rFonts w:hint="eastAsia"/>
          <w:color w:val="auto"/>
          <w:szCs w:val="21"/>
          <w:highlight w:val="none"/>
        </w:rPr>
        <w:t xml:space="preserve">；</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企业名称（盖章）：</w:t>
      </w:r>
      <w:r/>
    </w:p>
    <w:p>
      <w:pPr>
        <w:ind w:firstLine="420"/>
        <w:spacing w:line="400" w:lineRule="exact"/>
        <w:rPr>
          <w:color w:val="auto"/>
          <w:szCs w:val="21"/>
          <w:highlight w:val="none"/>
        </w:rPr>
      </w:pP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r/>
    </w:p>
    <w:p>
      <w:pPr>
        <w:ind w:firstLine="420"/>
        <w:spacing w:line="400" w:lineRule="exact"/>
        <w:rPr>
          <w:color w:val="auto"/>
          <w:szCs w:val="21"/>
          <w:highlight w:val="none"/>
        </w:rPr>
      </w:pPr>
      <w:r>
        <w:rPr>
          <w:color w:val="auto"/>
          <w:szCs w:val="21"/>
          <w:highlight w:val="none"/>
        </w:rPr>
      </w:r>
      <w:bookmarkEnd w:id="10"/>
      <w:r/>
    </w:p>
    <w:p>
      <w:pPr>
        <w:ind w:firstLine="420"/>
        <w:spacing w:line="400" w:lineRule="exact"/>
        <w:rPr>
          <w:color w:val="auto"/>
          <w:szCs w:val="21"/>
          <w:highlight w:val="none"/>
        </w:rPr>
      </w:pPr>
      <w:r>
        <w:rPr>
          <w:rFonts w:hint="eastAsia"/>
          <w:color w:val="auto"/>
          <w:szCs w:val="21"/>
          <w:highlight w:val="none"/>
        </w:rPr>
        <w:t xml:space="preserve">注：从业人员、营业收入、资产总额填报上一年度数据，无上一年度数据的新成立企业可不填报。行业划分标准依据工信部联企业〔2011〕300号文的规定填写。</w:t>
      </w:r>
      <w:r/>
    </w:p>
    <w:p>
      <w:pPr>
        <w:ind w:firstLine="420"/>
        <w:jc w:val="left"/>
        <w:spacing w:line="400" w:lineRule="exact"/>
        <w:widowControl/>
        <w:rPr>
          <w:rFonts w:ascii="宋体" w:hAnsi="宋体"/>
          <w:color w:val="auto"/>
          <w:szCs w:val="21"/>
          <w:highlight w:val="none"/>
          <w:u w:val="single"/>
        </w:rPr>
      </w:pPr>
      <w:r>
        <w:rPr>
          <w:rFonts w:ascii="宋体" w:hAnsi="宋体"/>
          <w:color w:val="auto"/>
          <w:szCs w:val="21"/>
          <w:highlight w:val="none"/>
          <w:u w:val="single"/>
        </w:rPr>
      </w:r>
      <w:r/>
    </w:p>
    <w:p>
      <w:pPr>
        <w:spacing w:line="400" w:lineRule="exact"/>
        <w:rPr>
          <w:b/>
          <w:color w:val="auto"/>
          <w:szCs w:val="21"/>
          <w:highlight w:val="none"/>
          <w:u w:val="single"/>
        </w:rPr>
      </w:pPr>
      <w:r>
        <w:rPr>
          <w:b/>
          <w:color w:val="auto"/>
          <w:szCs w:val="21"/>
          <w:highlight w:val="none"/>
          <w:u w:val="single"/>
        </w:rPr>
      </w:r>
      <w:r/>
    </w:p>
    <w:p>
      <w:pPr>
        <w:rPr>
          <w:rFonts w:ascii="宋体" w:hAnsi="宋体"/>
          <w:b/>
          <w:color w:val="auto"/>
          <w:szCs w:val="21"/>
          <w:highlight w:val="none"/>
        </w:rPr>
      </w:pPr>
      <w:r>
        <w:rPr>
          <w:rFonts w:hint="eastAsia" w:ascii="宋体" w:hAnsi="宋体"/>
          <w:color w:val="auto"/>
          <w:szCs w:val="21"/>
          <w:highlight w:val="none"/>
          <w:u w:val="singl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685"/>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685"/>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685"/>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1、残疾人福利性单位视同小型、微型企业，享受评审中价格扣除等促进中小企业发展的政府采购政策。</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、残疾人福利性单位属于小型、微型企业的，不重复享受政策。</w:t>
      </w:r>
      <w:bookmarkEnd w:id="8"/>
      <w:r/>
      <w:bookmarkEnd w:id="9"/>
      <w:r/>
      <w:r/>
    </w:p>
    <w:p>
      <w:pPr>
        <w:ind w:right="1560" w:firstLine="420"/>
        <w:jc w:val="right"/>
        <w:spacing w:line="580" w:lineRule="exact"/>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pacing w:val="20"/>
          <w:sz w:val="24"/>
          <w:highlight w:val="none"/>
        </w:rPr>
      </w:pPr>
      <w:r>
        <w:rPr>
          <w:rFonts w:ascii="宋体" w:hAnsi="宋体"/>
          <w:b/>
          <w:bCs/>
          <w:color w:val="auto"/>
          <w:spacing w:val="20"/>
          <w:sz w:val="30"/>
          <w:highlight w:val="none"/>
        </w:rPr>
        <w:br w:type="page" w:clear="all"/>
      </w:r>
      <w:bookmarkStart w:id="11" w:name="_Hlk99527844"/>
      <w:r/>
      <w:bookmarkStart w:id="12" w:name="_Hlk131152921"/>
      <w:r>
        <w:rPr>
          <w:rFonts w:hint="eastAsia" w:ascii="宋体" w:hAnsi="宋体"/>
          <w:b/>
          <w:bCs/>
          <w:color w:val="auto"/>
          <w:spacing w:val="20"/>
          <w:sz w:val="30"/>
          <w:highlight w:val="none"/>
        </w:rPr>
        <w:t xml:space="preserve">第四章 采购书</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苏州市卫康招投标咨询服务有限公司受</w:t>
      </w:r>
      <w:r>
        <w:rPr>
          <w:rFonts w:hint="eastAsia" w:ascii="Times New Roman" w:hAnsi="Times New Roman"/>
          <w:color w:val="auto"/>
          <w:szCs w:val="21"/>
          <w:highlight w:val="none"/>
          <w:lang w:val="zh-CN"/>
        </w:rPr>
        <w:t xml:space="preserve">苏州市立医院</w:t>
      </w:r>
      <w:r>
        <w:rPr>
          <w:rFonts w:ascii="Times New Roman" w:hAnsi="Times New Roman"/>
          <w:color w:val="auto"/>
          <w:szCs w:val="21"/>
          <w:highlight w:val="none"/>
          <w:lang w:val="zh-CN"/>
        </w:rPr>
        <w:t xml:space="preserve">委托，对其</w:t>
      </w:r>
      <w:r>
        <w:rPr>
          <w:rFonts w:hint="eastAsia" w:ascii="Times New Roman" w:hAnsi="Times New Roman"/>
          <w:color w:val="auto"/>
          <w:szCs w:val="21"/>
          <w:highlight w:val="none"/>
          <w:lang w:val="zh-CN"/>
        </w:rPr>
        <w:t xml:space="preserve">苏州市立医院全院设备集中维保项目</w:t>
      </w:r>
      <w:r>
        <w:rPr>
          <w:rFonts w:ascii="Times New Roman" w:hAnsi="Times New Roman"/>
          <w:color w:val="auto"/>
          <w:szCs w:val="21"/>
          <w:highlight w:val="none"/>
          <w:lang w:val="zh-CN"/>
        </w:rPr>
        <w:t xml:space="preserve">进行国内公开招标采购，欢迎符合招标公告投标资格条件的各公司前来报</w:t>
      </w:r>
      <w:r>
        <w:rPr>
          <w:rFonts w:ascii="Times New Roman" w:hAnsi="Times New Roman"/>
          <w:color w:val="auto"/>
          <w:szCs w:val="21"/>
          <w:highlight w:val="none"/>
        </w:rPr>
        <w:t xml:space="preserve">名参加投标。</w:t>
      </w:r>
      <w:r/>
    </w:p>
    <w:p>
      <w:pPr>
        <w:ind w:firstLine="420"/>
        <w:spacing w:line="400" w:lineRule="exact"/>
        <w:rPr>
          <w:rFonts w:ascii="Times New Roman" w:hAnsi="Times New Roman"/>
          <w:color w:val="auto"/>
          <w:szCs w:val="21"/>
          <w:highlight w:val="none"/>
        </w:rPr>
      </w:pPr>
      <w:r>
        <w:rPr>
          <w:rFonts w:ascii="Times New Roman" w:hAnsi="Times New Roman"/>
          <w:b/>
          <w:bCs/>
          <w:color w:val="auto"/>
          <w:szCs w:val="21"/>
          <w:highlight w:val="none"/>
        </w:rPr>
        <w:t xml:space="preserve">一、采购编号：</w:t>
      </w:r>
      <w:r>
        <w:rPr>
          <w:rFonts w:hint="eastAsia" w:ascii="Times New Roman" w:hAnsi="Times New Roman"/>
          <w:color w:val="auto"/>
          <w:szCs w:val="21"/>
          <w:highlight w:val="none"/>
          <w:lang w:eastAsia="zh-CN"/>
        </w:rPr>
        <w:t xml:space="preserve">JSZC-320500-SZWK-G2026-0247</w:t>
      </w:r>
      <w:r>
        <w:rPr>
          <w:rFonts w:ascii="Times New Roman" w:hAnsi="Times New Roman"/>
          <w:color w:val="auto"/>
          <w:szCs w:val="21"/>
          <w:highlight w:val="none"/>
        </w:rPr>
        <w:t xml:space="preserve">号</w:t>
      </w:r>
      <w:r/>
    </w:p>
    <w:p>
      <w:pPr>
        <w:ind w:firstLine="420"/>
        <w:spacing w:line="400" w:lineRule="exact"/>
        <w:rPr>
          <w:rFonts w:hint="eastAsia" w:ascii="Times New Roman" w:hAnsi="Times New Roman"/>
          <w:color w:val="auto"/>
          <w:szCs w:val="21"/>
          <w:highlight w:val="none"/>
          <w:lang w:eastAsia="zh-CN"/>
        </w:rPr>
      </w:pPr>
      <w:r>
        <w:rPr>
          <w:rFonts w:ascii="Times New Roman" w:hAnsi="Times New Roman"/>
          <w:b/>
          <w:bCs/>
          <w:color w:val="auto"/>
          <w:szCs w:val="21"/>
          <w:highlight w:val="none"/>
        </w:rPr>
        <w:t xml:space="preserve">二、采购项目名称：</w:t>
      </w:r>
      <w:r>
        <w:rPr>
          <w:rFonts w:hint="eastAsia" w:ascii="Times New Roman" w:hAnsi="Times New Roman"/>
          <w:color w:val="auto"/>
          <w:szCs w:val="21"/>
          <w:highlight w:val="none"/>
          <w:lang w:eastAsia="zh-CN"/>
        </w:rPr>
        <w:t xml:space="preserve">苏州市立医院全院设备集中维保项目</w:t>
      </w:r>
      <w:r/>
    </w:p>
    <w:p>
      <w:pPr>
        <w:ind w:firstLine="422"/>
        <w:spacing w:line="400" w:lineRule="exact"/>
        <w:rPr>
          <w:color w:val="auto"/>
          <w:szCs w:val="21"/>
          <w:highlight w:val="none"/>
        </w:rPr>
      </w:pPr>
      <w:r>
        <w:rPr>
          <w:rFonts w:hint="eastAsia"/>
          <w:b/>
          <w:bCs/>
          <w:color w:val="auto"/>
          <w:szCs w:val="21"/>
          <w:highlight w:val="none"/>
        </w:rPr>
        <w:t xml:space="preserve">三、服务期限：</w:t>
      </w:r>
      <w:r>
        <w:rPr>
          <w:rFonts w:hint="eastAsia"/>
          <w:color w:val="auto"/>
          <w:szCs w:val="21"/>
          <w:highlight w:val="none"/>
          <w:lang w:val="zh-CN"/>
        </w:rPr>
        <w:t xml:space="preserve">一年（从合同签订之日起开始计算）</w:t>
      </w:r>
      <w:r/>
    </w:p>
    <w:p>
      <w:pPr>
        <w:ind w:firstLine="420"/>
        <w:spacing w:line="400" w:lineRule="exact"/>
        <w:rPr>
          <w:rFonts w:ascii="Times New Roman" w:hAnsi="Times New Roman"/>
          <w:b/>
          <w:bCs/>
          <w:color w:val="auto"/>
          <w:szCs w:val="21"/>
          <w:highlight w:val="none"/>
        </w:rPr>
      </w:pPr>
      <w:r>
        <w:rPr>
          <w:rFonts w:hint="eastAsia" w:ascii="Times New Roman" w:hAnsi="Times New Roman"/>
          <w:b/>
          <w:bCs/>
          <w:color w:val="auto"/>
          <w:szCs w:val="21"/>
          <w:highlight w:val="none"/>
          <w:lang w:val="en-US" w:eastAsia="zh-CN"/>
        </w:rPr>
        <w:t xml:space="preserve">四</w:t>
      </w:r>
      <w:r>
        <w:rPr>
          <w:rFonts w:ascii="Times New Roman" w:hAnsi="Times New Roman"/>
          <w:b/>
          <w:bCs/>
          <w:color w:val="auto"/>
          <w:szCs w:val="21"/>
          <w:highlight w:val="none"/>
        </w:rPr>
        <w:t xml:space="preserve">、服务要求：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一）服务内容：包含但不限于设备全生命周期管理、维修管理、技术安全检查管理、预防性维护保养管理、院区间设备应急调配、定期巡检、资产盘点、配合设备质控检查、协助计量检测、不良事件上报、特种设备管理、放射防护管理等医学工程部承担的服务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（二）服务范围：对全院归属于医学工程部管理的设备（包含所有医疗设备及少量非医疗设备如物流传输系统、中心吸引系统、压缩空气系统、药剂科智能设备）等资产管理及维修保养服务。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集团内所有院区</w:t>
      </w:r>
      <w:r>
        <w:rPr>
          <w:rFonts w:hint="eastAsia" w:ascii="宋体" w:hAnsi="宋体"/>
          <w:color w:val="auto"/>
          <w:szCs w:val="21"/>
          <w:highlight w:val="none"/>
        </w:rPr>
        <w:t xml:space="preserve">质保期内尚未出保设备和其他系统装置：负责联系原服务供应商或原生产厂家，监督反馈其服务质量，做好日常巡检工作、维保档案记录，常用设备附属易耗损件由投标单位提供；</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2、已出质保期医疗设备和系统：提供设备的全生命周期管理服务，包括整机全保服务（含维修及配件、备件、设备附属易耗损件等），人工维修及定期保养服务（包括主机、软件及所有备件，含第三方产品）。</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3、保修期内所更换的零配件：零配件费用、人工费、差旅费全部由投标单位承担；服务范围内设备所需更换备件不限更换次数及数量【检验科生化分析仪使用的钠、钾、氯电极不在维保范围内】。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（三）维保设备：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1、大型设备清单（单价200万元以上）：共130台（以实际排查清单为准）。</w:t>
      </w:r>
      <w:r/>
    </w:p>
    <w:tbl>
      <w:tblPr>
        <w:tblStyle w:val="684"/>
        <w:tblW w:w="5007" w:type="pct"/>
        <w:jc w:val="center"/>
        <w:tblLayout w:type="autofit"/>
        <w:tblCellMar>
          <w:left w:w="108" w:type="dxa"/>
          <w:top w:w="0" w:type="dxa"/>
          <w:right w:w="108" w:type="dxa"/>
          <w:bottom w:w="0" w:type="dxa"/>
        </w:tblCellMar>
        <w:tblLook w:val="04A0" w:firstRow="1" w:lastRow="0" w:firstColumn="1" w:lastColumn="0" w:noHBand="0" w:noVBand="1"/>
      </w:tblPr>
      <w:tblGrid>
        <w:gridCol w:w="825"/>
        <w:gridCol w:w="1563"/>
        <w:gridCol w:w="2121"/>
        <w:gridCol w:w="1303"/>
        <w:gridCol w:w="2211"/>
        <w:gridCol w:w="827"/>
      </w:tblGrid>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购入日期</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资产名称</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品牌名称</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规格型号</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数量</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2014-07-10</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医用直线加速器</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美国瓦里安</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TrueBeam</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2023-12-26</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直线加速器</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瓦里安</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Vital  Beam</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2020-10-28</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64排及以上X线计算机断层扫描仪设备</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REVOLUTION</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2022-09-20</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医用磁共振成像系统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Ingenia 3.0T CX</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2023-12-01</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X射线计算机体层摄影设备（双源CT）</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德国西门子</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SOMATOM FORCE</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2025-6-16</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胸腹腔内窥镜手术控制系统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达芬奇</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IS4000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2018-06-28</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256层CT</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Brilliance iCT</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2017-08-30</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x射线计算机断层摄影设备</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Brilliance 128排256层 iCT</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2020-08-18</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磁共振系统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西门子</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Magnetom Skyra</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2013-10-09</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核磁共振</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西门子</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SKyra3.0TMR</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2015-07-29</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高档多排螺旋CT系统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iCT</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2015-12-16</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磁共振成像系统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上海联影</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uMR770（3.0T)</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2019-03-14</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血管照影X射线系统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PHLIPS</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(导管1)UNIQ Clarity FD20/10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2012-12-19</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磁共振系统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西门子</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MR/Aera</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2022-07-05</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医用血管造影X射线机</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西门子</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Q.zen</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2022-12-06</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医用血管造影X射线系统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Azurion 7 M20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2011-08-15</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64排128层纳米螺旋CT</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BrillianceCT64Slice</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2009-02-27</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核磁共振</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Achieval/双模</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2012-04-30</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磁共振系统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siemens</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Magnetom Avanto</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2025-04-30</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医用磁共振成像系统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Ingenia Ambition S</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2014-08-21</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医用血管造影X射线机</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德国西门子</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Aetis zeego</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2019-12-11</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血管照影X射线系统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UNIQ Clarity FD20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2008-08-27</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螺旋CT</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64排Brilliance</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2018-11-26</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医用血管造影X射线系统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UNIQ FD20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2015-07-29</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DSA</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西门子</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ARTIS ZEEGO III</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2020-04-22</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血管造影X射线系统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FD20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2021-11-29</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X射线计算机体层摄影设备</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OPTIMA CT620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2015-09-30</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64排128层CT</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Philips</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Ingenuity  以色列</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2022-01-24</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X射线计算机体层摄影设备CT</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GT620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2020-05-26</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三维断层数字乳腺X线机</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西门子</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MAMMOMAT Inspiration</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2021-04-07</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X射线计算机断层扫描系统(ct)</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西门子</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SOMATOM go.Fit</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2014-10-23</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乳腺X射线摄影系统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美国Hologic，Inc</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Selenia Dimensions</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2019-08-22</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步态评估与训练系统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Hocoma</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Lokomat Pro</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2012-07-26</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全数字化小平板心血管造影系统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西门子</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Artis zee ceilinh</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2019-09-24</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X射线计算机断层扫描系统(CT)</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西门子</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SOMATOM Perspective</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2023-09-22</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X射线计算机体层摄影设备</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Optima CT620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2021-07-05</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C臂机</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奇目</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Ziehm Vision RFD</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2016-11-28</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超声内镜图像处理系统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奥林巴斯</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腹腔镜+超声内镜</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2015-12-22</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X摄像计算机体层摄影设备</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美国GE</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DiscoveryCT590RT</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2022-07-22</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准分子激光系统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cvx-300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2022-06-28</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三维电生理导航系统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雅培</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EE3000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2022-07-11</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光学干涉断层成像系统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阿格斯</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Insight-100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2014-09-10</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16排螺旋CT</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西门子SOMATOM</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Emotior16</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2017-08-22</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激光内窥镜系统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EPX-4450HD</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2007-03-15</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数字剪影血管造影系统 DSA</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荷兰飞利浦公司</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Integris Allura 12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2014-03-21</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循环肿瘤细胞监测与分析系统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美国强生</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Cell Search</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2015-10-28</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分选型流式细胞仪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贝克曼</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Moflo XDP</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2013-10-09</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X射线全身诊断设备</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西门子</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AXIOM Lumions dRF</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2017-05-25</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高通量测序仪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CN500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2017-10-24</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心脏三维标测系统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CARTO 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2020-12-28</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玻片分析仪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BD</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491087</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2020-05-21</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多功能数字X射线诊断设备</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德国西门子</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Luminos</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2015-01-28</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全自动生化分析系统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贝克曼</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AU5821</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2019-12-06</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内窥镜荧光摄像系统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美国史赛克</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PC900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2020-12-14</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胃肠镜</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富士</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vp-3500hd</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2018-09-06</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超皮秒激光仪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赛诺龙</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PicoWay</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2024-04-17</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多排螺旋CT</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联影</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uCT 710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2022-05-18</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体外循环机</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理诺珐</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S5（8号间）</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2019-05-28</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钬激光系统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美国科医人</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Lumenis</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2015-04-09</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移动式C型臂X射线系统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奇目</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Ziehm Vision FD Vario 3D</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2019-12-27</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钬激光治疗机</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美国科医人</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Lumenispulse</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2010-12-28</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数字化医用X线摄影系统（双板DR）</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锐科</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VX3733-SYS</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2021-08-27</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手术显微镜</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蔡司</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TIVAT0700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2013-08-16</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X射线系统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EasyDiagno st Eleva</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2011-08-29</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彩色超声波诊断系统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IE33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2013-09-23</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彩色超声诊断系统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iU Elite</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2014-12-10</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彩色多普勒超声诊断系统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IU Elite</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2015-06-23</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超声诊断系统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意大利百胜</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MyLabTwice</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2013-10-09</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X射线诊断系统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西门子</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Ysio</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2013-10-09</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X射线诊断系统</w:t>
            </w:r>
            <w:r/>
          </w:p>
        </w:tc>
        <w:tc>
          <w:tcPr>
            <w:tcBorders>
              <w:top w:val="none" w:color="000000" w:sz="4" w:space="0"/>
              <w:left w:val="none" w:color="000000" w:sz="4" w:space="0"/>
              <w:bottom w:val="none" w:color="000000" w:sz="4" w:space="0"/>
              <w:right w:val="non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西门子</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Ysio</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2015-04-09</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全高清三维腹腔镜系统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8050-02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2022-05-31</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彩色超声诊断仪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EPIQ CVX</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2014-12-10</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全自动快速生物质谱检测系统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布鲁克</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Microflex LT/SH</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2021-10-22</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彩色超声诊断系统</w:t>
            </w:r>
            <w:r/>
          </w:p>
        </w:tc>
        <w:tc>
          <w:tcPr>
            <w:tcBorders>
              <w:top w:val="none" w:color="000000" w:sz="4" w:space="0"/>
              <w:left w:val="none" w:color="000000" w:sz="4" w:space="0"/>
              <w:bottom w:val="none" w:color="000000" w:sz="4" w:space="0"/>
              <w:right w:val="non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EPIQ7</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2021-03-24</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超声诊断仪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百胜</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MyLab  9</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2006-09-25</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发射型计算机断层扫描系统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FORTE</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2009-08-06</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全数字化平板乳腺X线机</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豪络杰</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Selenia</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2013-09-23</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超声诊断仪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VOLUSON E8</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2023-03-24</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超高清3D电子镜系统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KARL STORZ</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TC200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2021-11-29</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B超+影像融合</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BK</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2019-11-27</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彩超</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Voluson E10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2019-12-24</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激光共聚焦显微镜</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蔡司</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LSM900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2021-09-26</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超声诊断仪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三星</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HERA W10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2013-08-15</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数字化医用X线摄影系统（双板DR）</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锐科</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VX3733-SYS</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2015-12-16</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三维高清内窥镜摄像系统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美国威京</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VIKING8170-6</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2014-12-31</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数字胃肠机</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OPERA</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OPERA  FP</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2016-01-28</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全自动样品前处理系统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罗氏</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Cobas p612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2017-08-30</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彩色超声诊断系统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美国飞利浦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EPIQ 5</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2014-02-27</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彩色超声诊断系统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VOIUSON E8 EXPERT</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2014-03-31</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流式分选型细胞仪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BD</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BD FACSAriaII</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2019-12-27</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彩色超声诊断系统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荷兰飞利浦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EPIQ7C</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2019-11-26</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胃肠镜系统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奥林巴斯</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CV-290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2014-07-10</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彩色超声诊断系统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荷兰飞利浦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iU  Elite</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2022-05-31</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彩色超声诊断仪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（8号间）Vivid E95</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2022-05-31</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彩色超声诊断仪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Vivid E95</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2022-05-31</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彩色超声诊断仪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Vivid E95</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392"/>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2022-05-31</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彩色超声诊断仪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（外科楼一楼）Vivid E95</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2021-09-26</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高清电子胃肠镜系统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奥林巴斯</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cv-290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99</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2022-09-29</w:t>
            </w:r>
            <w:r/>
          </w:p>
        </w:tc>
        <w:tc>
          <w:tcPr>
            <w:tcBorders>
              <w:top w:val="single" w:color="000000" w:sz="4" w:space="0"/>
              <w:left w:val="single" w:color="000000" w:sz="4" w:space="0"/>
              <w:bottom w:val="non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超声诊断仪</w:t>
            </w:r>
            <w:r/>
          </w:p>
        </w:tc>
        <w:tc>
          <w:tcPr>
            <w:tcBorders>
              <w:top w:val="single" w:color="000000" w:sz="4" w:space="0"/>
              <w:left w:val="single" w:color="000000" w:sz="4" w:space="0"/>
              <w:bottom w:val="non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三星</w:t>
            </w:r>
            <w:r/>
          </w:p>
        </w:tc>
        <w:tc>
          <w:tcPr>
            <w:tcBorders>
              <w:top w:val="single" w:color="000000" w:sz="4" w:space="0"/>
              <w:left w:val="single" w:color="000000" w:sz="4" w:space="0"/>
              <w:bottom w:val="non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RS85</w:t>
            </w:r>
            <w:r/>
          </w:p>
        </w:tc>
        <w:tc>
          <w:tcPr>
            <w:tcBorders>
              <w:top w:val="single" w:color="000000" w:sz="4" w:space="0"/>
              <w:left w:val="single" w:color="000000" w:sz="4" w:space="0"/>
              <w:bottom w:val="non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2022-09-29</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超声诊断仪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三星</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RS85</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2021-11-29</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全自动生化流水线</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LABOSFECT008AS</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2020-09-16</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超声诊断仪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EPIQ 7C</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2018-11-26</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超声诊断仪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美国GE</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Voluson E10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2016-10-21</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超声诊断仪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E10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2022-09-20</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数字化医用X摄像摄影系统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西门子</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Ysio Max</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2016-11-22</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电子胃肠镜</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奥林巴斯</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OLYMPUS290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2014-04-18</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彩色超声诊断系统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美国飞利浦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iE   Elite</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2010-01-20</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X射线摄影系统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GE公司</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Definium8000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2009-02-27</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彩超</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Philips</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飞利浦IE33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2022-09-19</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超声诊断仪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2020-09-16</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超声诊断仪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(VIP08)EPIQ 7</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2012-04-24</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过氧化氢低温等离子灭菌系统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强生</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STERRAD 100NX</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2016-12-23</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DR数字化摄影系统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Philips</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Digital Diagnost  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2021-09-27</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二氧化碳激光治疗平台</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Lumenis</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acupulse</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2013-10-09</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超声诊断仪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VIvid E9</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2018-04-08</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超声诊断系统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美国GE</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ACUSON Oxana3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2018-02-27</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口腔锥形束CT</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卡瓦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I-CAT FLX</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2015-10-22</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超声诊断仪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美国GE</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Logiq E9</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2013-03-29</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彩超</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Philips</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iu22</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2013-03-29</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彩超</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Philips</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iE33</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2013-03-28</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串联质谱新生儿筛查系统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博圣医疗</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1525U/2777C；5002-0020；CDS-5；Review</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2010-10-01</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小肠镜</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奥林巴斯</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OLYMPUS   SIF-Q260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2020-10-20</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三维电生理导航系统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强生</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KT-5400-00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2015-09-30</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数字化乳腺机</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Planmed</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Planmed Nuance Excel</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2014-12-31</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彩超</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Philips</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IE Elite</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2013-10-09</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移动式C型臂X射线系统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BV Pulsera</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2014-04-18</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彩色超声诊断系统</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美国GE公司</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LOGIQ  E9</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2021-10-12</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超声诊断仪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GE</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E20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2018-03-26</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彩色多普勒超声波诊断仪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Affitini 70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2018-03-26</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彩色多普勒超声波诊断仪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飞利浦</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Affitini 70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2017-11-17</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全自动快速生物质谱检测系统</w:t>
            </w:r>
            <w:r/>
          </w:p>
        </w:tc>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布鲁克</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布鲁克MicroflexLT/SH</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2015-05-27</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全自动免疫流水线</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贝克曼</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DxI800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bl>
    <w:p>
      <w:pPr>
        <w:pStyle w:val="1070"/>
        <w:rPr>
          <w:color w:val="auto"/>
          <w:highlight w:val="none"/>
        </w:rPr>
      </w:pPr>
      <w:r>
        <w:rPr>
          <w:color w:val="auto"/>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2、非医疗设备维护清单（以实际排查清单为准）</w:t>
      </w:r>
      <w:r/>
    </w:p>
    <w:tbl>
      <w:tblPr>
        <w:tblStyle w:val="684"/>
        <w:tblW w:w="8179"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3635"/>
        <w:gridCol w:w="3410"/>
      </w:tblGrid>
      <w:tr>
        <w:trPr>
          <w:trHeight w:val="420"/>
        </w:trPr>
        <w:tc>
          <w:tcPr>
            <w:tcW w:w="1134"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W w:w="363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名称</w:t>
            </w:r>
            <w:r/>
          </w:p>
        </w:tc>
        <w:tc>
          <w:tcPr>
            <w:tcW w:w="341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品牌名称</w:t>
            </w:r>
            <w:r/>
          </w:p>
        </w:tc>
      </w:tr>
      <w:tr>
        <w:trPr>
          <w:trHeight w:val="420"/>
        </w:trPr>
        <w:tc>
          <w:tcPr>
            <w:tcW w:w="1134" w:type="dxa"/>
            <w:vAlign w:val="bottom"/>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3635" w:type="dxa"/>
            <w:vAlign w:val="bottom"/>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物流传输系统</w:t>
            </w:r>
            <w:r/>
          </w:p>
        </w:tc>
        <w:tc>
          <w:tcPr>
            <w:tcW w:w="3410" w:type="dxa"/>
            <w:vAlign w:val="bottom"/>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西门子</w:t>
            </w:r>
            <w:r/>
          </w:p>
        </w:tc>
      </w:tr>
      <w:tr>
        <w:trPr>
          <w:trHeight w:val="420"/>
        </w:trPr>
        <w:tc>
          <w:tcPr>
            <w:tcW w:w="1134" w:type="dxa"/>
            <w:vAlign w:val="bottom"/>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W w:w="3635" w:type="dxa"/>
            <w:vAlign w:val="bottom"/>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供应室蒸汽发生器</w:t>
            </w:r>
            <w:r/>
          </w:p>
        </w:tc>
        <w:tc>
          <w:tcPr>
            <w:tcW w:w="3410" w:type="dxa"/>
            <w:vAlign w:val="bottom"/>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富顿</w:t>
            </w:r>
            <w:r/>
          </w:p>
        </w:tc>
      </w:tr>
      <w:tr>
        <w:trPr>
          <w:trHeight w:val="379"/>
        </w:trPr>
        <w:tc>
          <w:tcPr>
            <w:tcW w:w="1134" w:type="dxa"/>
            <w:vAlign w:val="bottom"/>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W w:w="3635" w:type="dxa"/>
            <w:vAlign w:val="bottom"/>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热泵水空调</w:t>
            </w:r>
            <w:r/>
          </w:p>
        </w:tc>
        <w:tc>
          <w:tcPr>
            <w:tcW w:w="3410" w:type="dxa"/>
            <w:vAlign w:val="bottom"/>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雅士和欧博</w:t>
            </w:r>
            <w:r/>
          </w:p>
        </w:tc>
      </w:tr>
      <w:tr>
        <w:trPr>
          <w:trHeight w:val="420"/>
        </w:trPr>
        <w:tc>
          <w:tcPr>
            <w:tcW w:w="1134" w:type="dxa"/>
            <w:vAlign w:val="bottom"/>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W w:w="3635" w:type="dxa"/>
            <w:vAlign w:val="bottom"/>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空气泵房</w:t>
            </w:r>
            <w:r/>
          </w:p>
        </w:tc>
        <w:tc>
          <w:tcPr>
            <w:tcW w:w="3410" w:type="dxa"/>
            <w:vAlign w:val="bottom"/>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20"/>
        </w:trPr>
        <w:tc>
          <w:tcPr>
            <w:tcW w:w="1134" w:type="dxa"/>
            <w:vAlign w:val="bottom"/>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W w:w="3635" w:type="dxa"/>
            <w:vAlign w:val="bottom"/>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负压泵房</w:t>
            </w:r>
            <w:r/>
          </w:p>
        </w:tc>
        <w:tc>
          <w:tcPr>
            <w:tcW w:w="3410" w:type="dxa"/>
            <w:vAlign w:val="bottom"/>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20"/>
        </w:trPr>
        <w:tc>
          <w:tcPr>
            <w:tcW w:w="1134" w:type="dxa"/>
            <w:vAlign w:val="bottom"/>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W w:w="3635" w:type="dxa"/>
            <w:vAlign w:val="bottom"/>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药剂科设备</w:t>
            </w:r>
            <w:r/>
          </w:p>
        </w:tc>
        <w:tc>
          <w:tcPr>
            <w:tcW w:w="3410" w:type="dxa"/>
            <w:vAlign w:val="bottom"/>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艾隆、卫捷等</w:t>
            </w:r>
            <w:r/>
          </w:p>
        </w:tc>
      </w:tr>
    </w:tbl>
    <w:p>
      <w:pPr>
        <w:ind w:firstLine="422"/>
        <w:jc w:val="left"/>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（四）整体服务要求：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所有服务规范和实施细则需符合下列法律法规及行业规范要求：《医疗器械监督管理条例》（国务院令第739号），《医疗器械使用质量监督管理办法》（国家食品药品监督管理总局令第18号），《中华人民共和国计量法》(2022年修正)，《特种设备安全监察条例》国务院令第549号)，以及层流手术室的基本要求规范，江苏省医学装备管理质控评价标准，江苏省三级医院评审标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2、编制制度：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2.1根据医院要求编制切实可行的全院医疗设备维护保养规程，建立医疗设备服务周期年度工作计划实施表；维修管理制度；预防性维护保养制度；医疗设备巡检制度；医疗设备质量控制制度；风险等级管理制度；计量管理制度；不良事件监测管理制度；培训计划管理制度；各级岗位责任制度及突发事件应急预案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2.2编制包括维护保养设备的种类、设备维护周期、维护保养的项目、具体操作方法、注意的事项等相关的规程。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2.3制定相应计划，严格按照计划实施并做好相关记录。</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3、大型医疗设备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3.1大型医疗设备出保前2个月，采购单位提前通知中标单位与原厂一起谈判，如设备出保后未续签保修合同，将由采购单位直接与原厂签订保修合同，产生的费用从中标服务费中扣除，所造成的损失由中标单位承担。采购单位评估可暂缓购买保修服务所节省的费用从中标单位服务费中扣除。</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3.2服务周期内设备：急救类/生命支持类设备、病理专用设备、普放设备、超声设备、激光类设备、高频电刀、生殖中心设备、药剂科设备及科研类精密设备要求原厂维修或医学工程部认可的第三方维修，急救类生命支持类设备包括呼吸机、除颤仪、ECMO、主动脉内球囊反搏动泵（IABP）、输液泵、注射泵、暖箱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3.3说明：服务周期内，原签订的维保合同尚在合同期内的，如不能终止继续按原合同履行，费用从中标服务费中扣除，出保后由中标单位与原厂签订维保合同，并提供合同复印件给采购单位备案；已出产品保修期的设备：CT，磁共振，DSA，直线加速器，PET-CT，SPECT，手术机器人等要求购买原厂保修服务，软性内窥镜系统，血透机及水处理设备等要求购买原厂保修服务或医学工程部认可的第三方保修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4、普通设备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4.1提供服务专线电话，保证365天畅通，24小时有专人接听；设备故障出现后工程师及时响应，工作日15分钟内、非工作日2小时内到达现场；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4.2急救手术设备治疗运行过程中发生故障需立即赶往现场，不得以任何非不可抗力理由拖延维修响应时间；全年周一至周日365天（含节假日）24小时正常提供维修服务以保证科室设备正常使用；若遇到故障需更换配件而要停机，需提前通知科室主任及设备管理部门并告知该配件最快更换时间，及时处理故障，保证科室设备的正常使用。根据医</w:t>
      </w:r>
      <w:r>
        <w:rPr>
          <w:rFonts w:hint="eastAsia" w:ascii="宋体" w:hAnsi="宋体"/>
          <w:color w:val="auto"/>
          <w:szCs w:val="21"/>
          <w:highlight w:val="none"/>
        </w:rPr>
        <w:t xml:space="preserve">院对不同设备保障等级要求不同，在重点科室（手术室、超声室、内镜中心、血透室、急诊科、ICU、EICU、RICU、新生儿科、生殖中心、检验科、心内科、烧伤科）重点设备未能及时修复时，提供备用机，以保障医院日常运营。设备故障24小时内未能修复或驻场工程师无法完成，需外送维修时，需及时书面通知设备使用科室和设备管理部门；提供备用机维修周期15个工作日内修复返回科室正常使用；未提供备用机维修周期10个工作日内修复返回科室正常使用；特殊配备件到场时间不超过5个工作日，遇特殊情况必须及时书面报备使用科室和设备管理部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4.3更换维修配备件需为原设备零配件同一型号规格全新配件，满足设备运行且符合性能要求。若所提供零配件为进口产品，需提供该产品进口证明材料。维修配备件来源必须可以追溯，配件采购渠道必须从证件齐全的、有资质的供应商获取，采购凭证必须完好保存备查；不得使用替代和翻新的配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4.4根据采购单位要求设立维修配备件库，准备充足的常用备件和常用损耗部件库存。</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4.5确保为采购单位提供及时准确的维修服务和备件供应，保证急救生命支持类设备100%处于完好待机状态，发生故障时提供备用机；其他所保设备全年开机率达≥95%，按全年365天计算（包含节假日），即停机时间不超过18天（有备用机情况除外）；停机累积时间超出部分，每多停机1天，扣除当月服务费的1%。</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4.6书面承诺配件采购周期：国内配件采购周期定为5个工作日，进口配件采购周期15个工作日，大型设备核心配件（如：球管、探测器、磁体等）自故障日计算，3个工作日安装并调试完成（因不可抗力因素除外）；超过采购周期采购单位可自行采购，所产生费用由中标单位承担（投标文件中需提供书面承诺书加盖公章）。</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4.7在院内设立24小时独立运行的应急调配中心，配备相应应急设备及技术人员。</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4.8中标服务商拖欠原厂或第三方服务费，经院方督促拒不支付的，直接从中标服务费中扣除，所有损失由中标服务商承担。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5、医疗设备定期巡检保养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5.1巡检</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5.1.1根据风险等级编制各科室医疗设备巡检计划，经采购单位设备主管部门审核后，按计划对医疗设备进行定期巡检；</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5.1.2安排专职人员于医院各科室进行日常巡检，每月不少于1次；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5.1.3每次巡检服务需详细记录，并提交原始资料给采购单位设备管理部门备案，所有数据需采集至设备管理系统进行信息化管理；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5.1.4急救生命支持类医疗设备始终保持在待用状态，维修时间超过7个工作日须提供备用机。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5.2预防性维护及清理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5.2.1安排专职人员对医疗设备进行预防性维护及清理；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5.2.2根据医疗设备使用情况及设备厂家要求，制定详细保养计划，经采购单位设备主管部门审核后，按计划对医疗设备进行定期保养；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5.2.3每半年对有蓄电池的医疗设备进行充放电和电池电量检测；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5.2.4构建采购单位设备预防性维护体系，完善用户针对设备管理日常维护、性能校正、设备保养、安全检测等环节并出具完整保养报告；</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5.2.5每次服务需详细记录，并提交原始资料给采购单位设备管理部门备案，所有数据需采集至设备管理系统进行信息化管理。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6、医疗设备计量和质控</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6.1凡属于国家规定的强检、校准设备，录入系统时都按照强检、校准要求建立强检、校准计划，并设定提醒周期，责任到具体驻场工程师。协助医院完成检定设备产品的检测，确保医院在用设备符合法规标准。负责把检测报告上传到设备管理软件对应的强检、校准设备中作为检测历史记录保存。积极协助采购单位密切配合有关部门的检测工作，包括检测前全面调校。若检测的相关技术指标不能达标，应视为设备故障，中标单位在接到医院通知后，须积极配合，及时调试、修复。生殖中心</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检验科</w:t>
      </w:r>
      <w:r>
        <w:rPr>
          <w:rFonts w:hint="eastAsia" w:ascii="宋体" w:hAnsi="宋体"/>
          <w:color w:val="auto"/>
          <w:szCs w:val="21"/>
          <w:highlight w:val="none"/>
          <w:lang w:val="en-US" w:eastAsia="zh-CN"/>
        </w:rPr>
        <w:t xml:space="preserve">和病理科的</w:t>
      </w:r>
      <w:r>
        <w:rPr>
          <w:rFonts w:hint="eastAsia" w:ascii="宋体" w:hAnsi="宋体"/>
          <w:color w:val="auto"/>
          <w:szCs w:val="21"/>
          <w:highlight w:val="none"/>
        </w:rPr>
        <w:t xml:space="preserve">基因分析仪、荧光PCR仪和紫外分光光度计</w:t>
      </w:r>
      <w:r>
        <w:rPr>
          <w:rFonts w:hint="eastAsia" w:ascii="宋体" w:hAnsi="宋体"/>
          <w:color w:val="auto"/>
          <w:szCs w:val="21"/>
          <w:highlight w:val="none"/>
          <w:lang w:eastAsia="zh-CN"/>
        </w:rPr>
        <w:t xml:space="preserve">、肝功能剪切波量化超声诊断仪探头</w:t>
      </w:r>
      <w:r>
        <w:rPr>
          <w:rFonts w:hint="eastAsia" w:ascii="宋体" w:hAnsi="宋体"/>
          <w:color w:val="auto"/>
          <w:szCs w:val="21"/>
          <w:highlight w:val="none"/>
        </w:rPr>
        <w:t xml:space="preserve">的年度校准费用由中标服务商承担。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6.2为特种设备（如压力容器、放射设备等）逐台建立检测、校验计划，并设定提醒周期，责任到具体驻场工程师；协助采购单位完成检定设备产品检测，如需送检需配合采购单位送至指定检测部门进行检测，使得在用设备符合法规标准；负责把检测报告上传到设备管理软件对应的设备中作为检测历史记录保存。</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6.3在用设备使用质量监管服务：定期做好每台设备的质量管理，配合采购单位设备管理部门对临床在用医疗设备合规性、使用流程合规性、使用风险评估与防范、对疑似不良事件登记、事件可追溯性等内容开展质控管理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6.4对于重要生命支持类设备（例如除颤，呼吸机，血透机，监护，电刀）等设备，在例行保养、巡检和维修后逐步对此类设备做出相应的抽检质控，以确保在使用过程中和维修结束后相应的关键技术性能和指标达到安全技术要求，检测报告应记录在案并签字后上传到设备管理软件作为历史记录，从而确保采购单位整体医疗设备质量体系有系统性的提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6.5对超期服役或已经停产、厂家或第三方均无法提供备件、供应商无法修复的设备，中标单位需提交纸质申请，由医学工程部核实方能报废，如医学工程部有渠道维修，所产生的维修费用由中标单位承担。报废设备剔除服务后由采购单位新购置设备出保项目同等金额替换进入集中维保服务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6.6投标单位提供具有急救类和生命支持类医疗设备的质控检测设备，按检定周期对设备进行检定，质控检测应符合国家规范或行业检测要求，以保障设备运行质量（质控检测涵盖的医疗设备范围：呼吸机、麻醉机、除颤仪、监护仪、输液泵、注射泵、电刀、血透机。呼吸机、麻醉机、除颤仪、电刀、血透机每半年质控检测一次，输液泵、注射泵、监护仪每年质控检测一次，质控检测包含计量校准且符合相关国家规范或行业规范标准并出具质控检测报告）。</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6.7为采购单位提供医疗设备质控及计量的检测服务，计量检测服务必须由具有国家行业监管部门认定资质机构进行，检测机构需出具检测报告。</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7、信息化服务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7.1使用医院现有设备管理系统，免费提供医院设备巡检所需PDA等；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7.2使用自有设备管理系统需与医院现有设备管理系统进行对接，设备效益分析模块等功能（对接费用中标单位自行承担）；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7.3服务期间内负责提供医院现有设备管理系统维护和更新并根据医院需求调整软件流程、模块、功能等，可以实现多院区医疗设备一体化智能化管理。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8、所有设备维修维护等需汇报医院审核同意后方可实施。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（五）其他管理服务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协助采购单位开展新进医疗设备验收、新进医疗设备资料存档、应急设备调配、对已购未结束医疗设备维保合同管理、有关信息数据统计、报废等服务工作。建立新购医疗设备的档案，并对相关设备随机技术资料进行分类、归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2、培训服务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2.1针对所有医疗设备操作人员进行相应设备操作培训，为临床使用医疗设备提供技术支持、业务指导、安全保障与咨询服务。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2.2根据医院临床科室工作安排，组织医务人员进行急救类、生命支持类设备培训；内容包括：医用设备安全使用、设备常规操作注意事项、设备日常维护保养、设备常规故障解决办法以及设备临床应用注意事项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2.3定期针对医疗设备操作人员进行技术及操作培训，知晓本科室设备操作规程，制定培训计划和日程表（培训次数不少于12次/年），按照计划实施并做好记录。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3、每月向采购单位提交一次维修保养总结及设备运行报告；</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每月向采购单位提交一次维修保养总结及设备运行报告；提交半年、自合同签订之日起壹年的年度维修保养总结报告，合同到期后两周内还须向采购单位提交合同期维修保养总结报告；总结报告内容应包含设备目前运行状态、本次总结周期内服务内容清单、所产生的零备件费用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（六）维保人员要求：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派驻不少于41名医学工程、机电工程等相关专业维修工程师驻场（其中不少于3名具有中级及以上职称；不少于4名具有血透工程师资质；不少于5名具有特种设备作业员证；不少于1名具有放射工作人员培训证明；不少于2名高压氧舱作业员证），根据工作量增加及时增派工程师，满足采购单位工作实际需要。</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2、所有驻场工程师需具有壹年以上医疗设备维修相关经验（需提供承诺函）。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3、场地主管、重点科室工程师等主要负责人不得随意变动；采购单位有权要求变动管理人员；其他人员如有变动需提前1个月书面通知采购单位，并经采购单位管理部门批准后方能变动。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4、服务期内驻场工程师流动率控制在15%以内；人员变动超过15%或未提前通知采购单位在年度考核中按规定扣除相应服务费。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维保工程师需树立为医院、病人服务的思想，每次上门服务必须与使用部门负责人或医院维修人员充分沟通，在尽量不影响科室诊断、检查并征得同意才可以进行；除了驻场工程师外，任何人不经允许不得接触采购单位资产，有外部人员维保维修活动需提前报备采购单位设备管理部门；服务质量满足采购单位使用要求及国家有关强制标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每次维修保养，驻场工程师必须填写维修保养工作单，工作单需详细列明本次维护、保养、维修内容、更换耗材及零备件，使用部门现场工作人员及医院区域维修负责人验证签名确认交采购单位保存，最后将工单上传输入至医院设备管理系统。</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7、驻场工程师需遵守采购单位规章制度，听从采购单位指派人员的指导，驻场工程师需爱护采购单位的一切财物，在维护保养过程中损坏财物，等价赔偿。</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（七）考评管理：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采购单位每季度组织管理人员、设备使用科室工作人员、医院设备管理部门就中标单位的服务态度、响应时间、维修技术、修复速度等进行综合评价，其评价结果将作为年度末期付款及考核的依据（考核细则另行书面商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2、有以下情形的采购单位有权单方面解除合同：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2.1年终综合考评与考核低于70分（满分100分）。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2.2由于使用伪劣“三无”产品配件，导致设备返修率高（指维修好设备同一故障一个月内再次出现返修二次以上）；或由于使用伪劣配件在临床使用造成后果及恶劣的社会影响，承担相应的经济损失和法律责任。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2.3无法满足招标文件的实质要求。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2.4投标单位（含驻院工程师）在院服务期间严重不作为和违纪违规，给采购单位造成恶劣的社会影响，承担相应的经济损失和法律责任。</w:t>
      </w:r>
      <w:r/>
    </w:p>
    <w:p>
      <w:pPr>
        <w:rPr>
          <w:color w:val="auto"/>
          <w:highlight w:val="none"/>
        </w:rPr>
      </w:pPr>
      <w:r>
        <w:rPr>
          <w:color w:val="auto"/>
          <w:highlight w:val="none"/>
        </w:rPr>
      </w:r>
      <w:r/>
    </w:p>
    <w:p>
      <w:pPr>
        <w:ind w:firstLine="420"/>
        <w:spacing w:line="380" w:lineRule="exact"/>
        <w:rPr>
          <w:b/>
          <w:bCs/>
          <w:color w:val="auto"/>
          <w:szCs w:val="21"/>
          <w:highlight w:val="none"/>
        </w:rPr>
      </w:pPr>
      <w:r>
        <w:rPr>
          <w:rFonts w:hint="eastAsia"/>
          <w:b/>
          <w:bCs/>
          <w:color w:val="auto"/>
          <w:szCs w:val="21"/>
          <w:highlight w:val="none"/>
          <w:lang w:val="en-US" w:eastAsia="zh-CN"/>
        </w:rPr>
        <w:t xml:space="preserve">五</w:t>
      </w:r>
      <w:r>
        <w:rPr>
          <w:rFonts w:hint="eastAsia"/>
          <w:b/>
          <w:bCs/>
          <w:color w:val="auto"/>
          <w:szCs w:val="21"/>
          <w:highlight w:val="none"/>
        </w:rPr>
        <w:t xml:space="preserve">、政府采购政策执行</w:t>
      </w:r>
      <w:r/>
    </w:p>
    <w:p>
      <w:pPr>
        <w:ind w:firstLine="420"/>
        <w:spacing w:line="380" w:lineRule="exact"/>
        <w:rPr>
          <w:color w:val="auto"/>
          <w:szCs w:val="21"/>
          <w:highlight w:val="none"/>
        </w:rPr>
      </w:pPr>
      <w:r>
        <w:rPr>
          <w:rFonts w:hint="eastAsia"/>
          <w:color w:val="auto"/>
          <w:szCs w:val="21"/>
          <w:highlight w:val="none"/>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宋体" w:hAnsi="宋体"/>
          <w:color w:val="auto"/>
          <w:szCs w:val="21"/>
          <w:highlight w:val="none"/>
        </w:rPr>
        <w:t xml:space="preserve">2、</w:t>
      </w:r>
      <w:r>
        <w:rPr>
          <w:rFonts w:hint="eastAsia" w:ascii="Times New Roman" w:hAnsi="Times New Roman" w:cs="Times New Roman"/>
          <w:color w:val="auto"/>
          <w:szCs w:val="21"/>
          <w:highlight w:val="none"/>
          <w:lang w:val="en-US" w:eastAsia="zh-CN"/>
        </w:rPr>
        <w:t xml:space="preserve">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根据《政府采购促进中小企业发展管理办法》（财库〔2020〕46号）、《关于做好政府采购支持企业发展有关事项的通知》（苏财购〔2020〕52号）及《关于印</w:t>
      </w:r>
      <w:r>
        <w:rPr>
          <w:rFonts w:hint="eastAsia" w:ascii="Times New Roman" w:hAnsi="Times New Roman" w:cs="Times New Roman"/>
          <w:color w:val="auto"/>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10%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根据《政府采购促进中小企业发展管理办法》（财库〔2020〕46号）及《中小企业划型标准规定》（工信部联企业〔2011〕300号），</w:t>
      </w:r>
      <w:r>
        <w:rPr>
          <w:rFonts w:hint="eastAsia" w:ascii="Times New Roman" w:hAnsi="Times New Roman" w:cs="Times New Roman"/>
          <w:b/>
          <w:bCs/>
          <w:color w:val="auto"/>
          <w:szCs w:val="21"/>
          <w:highlight w:val="none"/>
          <w:lang w:val="en-US" w:eastAsia="zh-CN"/>
        </w:rPr>
        <w:t xml:space="preserve">本采购项目对应的中小企业划分标准所属行业为：其他未列明行业，本项目非专门面向中小微企业采购。</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3、残疾人福利性单位（若为专门面向中小企业采购的项目或者采购包，不再执行价格评审优惠的扶持政策）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4、监狱企业（若为专门面向中小企业采购的项目或者采购包，不再执行价格评审优惠的扶持政策）</w:t>
      </w:r>
      <w:r/>
    </w:p>
    <w:p>
      <w:pPr>
        <w:ind w:firstLine="420"/>
        <w:spacing w:line="400" w:lineRule="exact"/>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highlight w:val="none"/>
        </w:rPr>
      </w:pPr>
      <w:r>
        <w:rPr>
          <w:rFonts w:hint="eastAsia"/>
          <w:color w:val="auto"/>
          <w:szCs w:val="21"/>
          <w:highlight w:val="none"/>
        </w:rPr>
        <w:t xml:space="preserve">5、绿色采购</w:t>
      </w:r>
      <w:r/>
    </w:p>
    <w:p>
      <w:pPr>
        <w:ind w:firstLine="420"/>
        <w:spacing w:line="380" w:lineRule="exact"/>
        <w:rPr>
          <w:color w:val="auto"/>
          <w:szCs w:val="21"/>
          <w:highlight w:val="none"/>
        </w:rPr>
      </w:pPr>
      <w:r>
        <w:rPr>
          <w:rFonts w:hint="eastAsia"/>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highlight w:val="none"/>
        </w:rPr>
      </w:pPr>
      <w:r>
        <w:rPr>
          <w:rFonts w:hint="eastAsia"/>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highlight w:val="none"/>
        </w:rPr>
      </w:pPr>
      <w:r>
        <w:rPr>
          <w:rFonts w:hint="eastAsia"/>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auto"/>
          <w:szCs w:val="21"/>
          <w:highlight w:val="none"/>
        </w:rPr>
      </w:pPr>
      <w:r>
        <w:rPr>
          <w:rFonts w:hint="eastAsia"/>
          <w:color w:val="auto"/>
          <w:szCs w:val="21"/>
          <w:highlight w:val="none"/>
        </w:rPr>
        <w:t xml:space="preserve">6、政府采购中实施本国产品标准及相关政策</w:t>
      </w:r>
      <w:r>
        <w:rPr>
          <w:rFonts w:hint="eastAsia"/>
          <w:b/>
          <w:bCs/>
          <w:color w:val="auto"/>
          <w:szCs w:val="21"/>
          <w:highlight w:val="none"/>
        </w:rPr>
        <w:t xml:space="preserve">（本项目不适用）</w:t>
      </w:r>
      <w:r/>
    </w:p>
    <w:p>
      <w:pPr>
        <w:ind w:firstLine="422"/>
        <w:jc w:val="left"/>
        <w:spacing w:line="400" w:lineRule="exact"/>
        <w:widowControl/>
        <w:rPr>
          <w:rFonts w:hint="eastAsia"/>
          <w:b/>
          <w:bCs/>
          <w:color w:val="auto"/>
          <w:szCs w:val="21"/>
          <w:highlight w:val="none"/>
        </w:rPr>
      </w:pPr>
      <w:r>
        <w:rPr>
          <w:rFonts w:hint="eastAsia"/>
          <w:b/>
          <w:bCs/>
          <w:color w:val="auto"/>
          <w:szCs w:val="21"/>
          <w:highlight w:val="none"/>
        </w:rPr>
      </w:r>
      <w:r/>
    </w:p>
    <w:p>
      <w:pPr>
        <w:ind w:firstLine="422"/>
        <w:jc w:val="left"/>
        <w:spacing w:line="400" w:lineRule="exact"/>
        <w:widowControl/>
        <w:rPr>
          <w:b/>
          <w:bCs/>
          <w:color w:val="auto"/>
          <w:szCs w:val="21"/>
          <w:highlight w:val="none"/>
        </w:rPr>
      </w:pPr>
      <w:r>
        <w:rPr>
          <w:rFonts w:hint="eastAsia"/>
          <w:b/>
          <w:bCs/>
          <w:color w:val="auto"/>
          <w:szCs w:val="21"/>
          <w:highlight w:val="none"/>
          <w:lang w:val="en-US" w:eastAsia="zh-CN"/>
        </w:rPr>
        <w:t xml:space="preserve">六</w:t>
      </w:r>
      <w:r>
        <w:rPr>
          <w:rFonts w:hint="eastAsia"/>
          <w:b/>
          <w:bCs/>
          <w:color w:val="auto"/>
          <w:szCs w:val="21"/>
          <w:highlight w:val="none"/>
        </w:rPr>
        <w:t xml:space="preserve">、综合说明</w:t>
      </w:r>
      <w:r/>
    </w:p>
    <w:p>
      <w:pPr>
        <w:ind w:firstLine="420"/>
        <w:spacing w:line="400" w:lineRule="exact"/>
        <w:rPr>
          <w:color w:val="auto"/>
          <w:szCs w:val="21"/>
          <w:highlight w:val="none"/>
        </w:rPr>
      </w:pPr>
      <w:r>
        <w:rPr>
          <w:rFonts w:hint="eastAsia"/>
          <w:color w:val="auto"/>
          <w:szCs w:val="21"/>
          <w:highlight w:val="none"/>
        </w:rPr>
        <w:t xml:space="preserve">1、投标人应对所投项目的全部内容进行报价，只投其中部分内容者，其投标文件将被拒绝。</w:t>
      </w:r>
      <w:r>
        <w:rPr>
          <w:rFonts w:hint="eastAsia" w:ascii="宋体" w:hAnsi="宋体"/>
          <w:color w:val="auto"/>
          <w:szCs w:val="21"/>
          <w:highlight w:val="none"/>
        </w:rPr>
        <w:t xml:space="preserve">包括但不限于驻场人员费（人工费、节假日加班费及中夜班费差旅食宿费等）、维修、维护保养等相关人工及培训费用及保养辅材费用、系统维护、管理、保险、利润、税金、招标代理服务费、政策性文件规定及合同包含的所有风险、责任等各项应有费用。</w:t>
      </w:r>
      <w:r/>
    </w:p>
    <w:p>
      <w:pPr>
        <w:ind w:firstLine="422"/>
        <w:jc w:val="left"/>
        <w:spacing w:line="400" w:lineRule="exact"/>
        <w:widowControl/>
        <w:rPr>
          <w:color w:val="auto"/>
          <w:szCs w:val="21"/>
          <w:highlight w:val="none"/>
        </w:rPr>
      </w:pPr>
      <w:r>
        <w:rPr>
          <w:rFonts w:hint="eastAsia"/>
          <w:color w:val="auto"/>
          <w:szCs w:val="21"/>
          <w:highlight w:val="none"/>
        </w:rPr>
        <w:t xml:space="preserve">2、投标人在重大活动、专项活动、应急演练、政策调整等活动须无条件服从采购单位对服务时间、服务人数的临时调整，以确保完成任务，相关费用由投标人在投标报价中综合考虑，采购单位不再支付任何费用。</w:t>
      </w:r>
      <w:r/>
    </w:p>
    <w:p>
      <w:pPr>
        <w:ind w:firstLine="422"/>
        <w:jc w:val="left"/>
        <w:spacing w:line="400" w:lineRule="exact"/>
        <w:widowControl/>
        <w:rPr>
          <w:color w:val="auto"/>
          <w:szCs w:val="21"/>
          <w:highlight w:val="none"/>
        </w:rPr>
      </w:pPr>
      <w:r>
        <w:rPr>
          <w:rFonts w:hint="eastAsia"/>
          <w:color w:val="auto"/>
          <w:szCs w:val="21"/>
          <w:highlight w:val="none"/>
        </w:rPr>
        <w:t xml:space="preserve">3、配备人员一经确认不得随意更换，如需更换需向甲方沟通。</w:t>
      </w:r>
      <w:r/>
    </w:p>
    <w:p>
      <w:pPr>
        <w:ind w:firstLine="422"/>
        <w:jc w:val="left"/>
        <w:spacing w:line="400" w:lineRule="exact"/>
        <w:widowControl/>
        <w:rPr>
          <w:color w:val="auto"/>
          <w:szCs w:val="21"/>
          <w:highlight w:val="none"/>
        </w:rPr>
      </w:pPr>
      <w:r>
        <w:rPr>
          <w:rFonts w:hint="eastAsia"/>
          <w:color w:val="auto"/>
          <w:szCs w:val="21"/>
          <w:highlight w:val="none"/>
        </w:rPr>
        <w:t xml:space="preserve">4、中标单位须严格按照国家和政府规定给所有的员工缴纳各种社会保险（包括养老、医疗、工伤、生育险、失业保险等）。负责其招聘员工的一切工资、福利；如发生工伤、疾病乃至死亡的一切责任及费用由中标人全部负责；应严格遵守国家有关的法律、法规及行业标准，否则招标人有权终止合同。</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5</w:t>
      </w:r>
      <w:r>
        <w:rPr>
          <w:rFonts w:hint="eastAsia"/>
          <w:color w:val="auto"/>
          <w:szCs w:val="21"/>
          <w:highlight w:val="none"/>
        </w:rPr>
        <w:t xml:space="preserve">、投标人应在投标文件中说明，如能中标，在服务过程中需要采购方配合的工作和需要提供的条件。</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、中标单位必须保证全部投标资料的真实性，如有虚假或对采购文件所要求说明的情况故意隐瞒或虚报，视为不实质性响应采购文件，为无效投标。已中标的将取消中标资格，并重新组织招标，并依法处理。</w:t>
      </w:r>
      <w:r/>
    </w:p>
    <w:p>
      <w:pPr>
        <w:ind w:firstLine="422"/>
        <w:jc w:val="left"/>
        <w:spacing w:line="400" w:lineRule="exact"/>
        <w:widowControl/>
        <w:rPr>
          <w:rFonts w:hint="eastAsia" w:ascii="宋体" w:hAnsi="宋体"/>
          <w:color w:val="auto"/>
          <w:szCs w:val="21"/>
          <w:highlight w:val="none"/>
          <w:lang w:val="zh-CN"/>
        </w:rPr>
      </w:pPr>
      <w:r>
        <w:rPr>
          <w:rFonts w:hint="eastAsia"/>
          <w:color w:val="auto"/>
          <w:szCs w:val="21"/>
          <w:highlight w:val="none"/>
          <w:lang w:val="en-US" w:eastAsia="zh-CN"/>
        </w:rPr>
        <w:t xml:space="preserve">7</w:t>
      </w:r>
      <w:r>
        <w:rPr>
          <w:rFonts w:hint="eastAsia"/>
          <w:color w:val="auto"/>
          <w:szCs w:val="21"/>
          <w:highlight w:val="none"/>
        </w:rPr>
        <w:t xml:space="preserve">、凡涉及招标文件的补充说明或修正，均以</w:t>
      </w:r>
      <w:r>
        <w:rPr>
          <w:rFonts w:hint="eastAsia" w:ascii="宋体" w:hAnsi="宋体"/>
          <w:color w:val="auto"/>
          <w:szCs w:val="21"/>
          <w:highlight w:val="none"/>
          <w:lang w:val="zh-CN"/>
        </w:rPr>
        <w:t xml:space="preserve">江苏政府采购网、</w:t>
      </w:r>
      <w:r>
        <w:rPr>
          <w:rFonts w:hint="eastAsia"/>
          <w:color w:val="auto"/>
          <w:szCs w:val="21"/>
          <w:highlight w:val="none"/>
        </w:rPr>
        <w:t xml:space="preserve">苏州政府采购网</w:t>
      </w:r>
      <w:r>
        <w:rPr>
          <w:rFonts w:hint="eastAsia"/>
          <w:color w:val="auto"/>
          <w:szCs w:val="21"/>
          <w:highlight w:val="none"/>
          <w:lang w:eastAsia="zh-CN"/>
        </w:rPr>
        <w:t xml:space="preserve">、</w:t>
      </w:r>
      <w:r>
        <w:rPr>
          <w:rFonts w:hint="eastAsia"/>
          <w:color w:val="auto"/>
          <w:szCs w:val="21"/>
          <w:highlight w:val="none"/>
          <w:lang w:val="en-US" w:eastAsia="zh-CN"/>
        </w:rPr>
        <w:t xml:space="preserve">中国政府采购网上</w:t>
      </w:r>
      <w:r>
        <w:rPr>
          <w:rFonts w:hint="eastAsia"/>
          <w:color w:val="auto"/>
          <w:szCs w:val="21"/>
          <w:highlight w:val="none"/>
        </w:rPr>
        <w:t xml:space="preserve">发布的补充通知为准。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r>
      <w:bookmarkEnd w:id="11"/>
      <w:bookmarkEnd w:id="12"/>
      <w:r/>
    </w:p>
    <w:p>
      <w:pPr>
        <w:jc w:val="center"/>
        <w:spacing w:line="400" w:lineRule="exact"/>
        <w:rPr>
          <w:rFonts w:ascii="宋体" w:hAnsi="宋体"/>
          <w:color w:val="auto"/>
          <w:sz w:val="36"/>
          <w:szCs w:val="36"/>
          <w:highlight w:val="none"/>
        </w:rPr>
      </w:pPr>
      <w:r>
        <w:rPr>
          <w:rFonts w:ascii="宋体" w:hAnsi="宋体"/>
          <w:color w:val="auto"/>
          <w:sz w:val="36"/>
          <w:szCs w:val="36"/>
          <w:highlight w:val="none"/>
        </w:rPr>
        <w:br w:type="page" w:clear="all"/>
      </w:r>
      <w:bookmarkStart w:id="13" w:name="_Hlk131153011"/>
      <w:r/>
      <w:bookmarkStart w:id="14" w:name="_Hlk99527961"/>
      <w:r>
        <w:rPr>
          <w:rFonts w:hint="eastAsia" w:ascii="宋体" w:hAnsi="宋体"/>
          <w:color w:val="auto"/>
          <w:sz w:val="36"/>
          <w:szCs w:val="36"/>
          <w:highlight w:val="none"/>
        </w:rPr>
        <w:t xml:space="preserve">第五章 合同主要条款</w:t>
      </w:r>
      <w:bookmarkEnd w:id="13"/>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合同编号：</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（以下简称甲方）</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乙方：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（以下简称乙方）</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根据苏州市政府采购招标编号为</w:t>
      </w:r>
      <w:r>
        <w:rPr>
          <w:rFonts w:ascii="宋体" w:hAnsi="宋体"/>
          <w:color w:val="auto"/>
          <w:szCs w:val="21"/>
          <w:highlight w:val="none"/>
          <w:u w:val="single"/>
        </w:rPr>
        <w:t xml:space="preserve">            </w:t>
      </w:r>
      <w:r>
        <w:rPr>
          <w:rFonts w:hint="eastAsia" w:ascii="宋体" w:hAnsi="宋体"/>
          <w:color w:val="auto"/>
          <w:szCs w:val="21"/>
          <w:highlight w:val="none"/>
        </w:rPr>
        <w:t xml:space="preserve">的招标文件及该文件的投标文件和中标通知书，甲乙双方就甲方聘用乙方从事</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工作，签订本合同书。</w:t>
      </w:r>
      <w:r>
        <w:rPr>
          <w:rFonts w:ascii="宋体" w:hAnsi="宋体"/>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一、</w:t>
      </w:r>
      <w:r>
        <w:rPr>
          <w:color w:val="auto"/>
          <w:szCs w:val="21"/>
          <w:highlight w:val="none"/>
        </w:rPr>
        <w:t xml:space="preserve">合同内容：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1、乙方为甲方提供</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2、服务范围包括：</w:t>
      </w:r>
      <w:r>
        <w:rPr>
          <w:rFonts w:hint="default" w:ascii="Times New Roman" w:hAnsi="Times New Roman" w:eastAsia="宋体" w:cs="Times New Roman"/>
          <w:color w:val="auto"/>
          <w:szCs w:val="21"/>
          <w:highlight w:val="none"/>
          <w:u w:val="single"/>
        </w:rPr>
        <w:t xml:space="preserve">                 。</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3、服务期限：一年。（自</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日至</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日）在合同有效期内一方不得擅自变更或中止此项合同，如未经双方同意，擅自变更或中止此项的一方要负违约责任。此项协议需终止或续签，应在协议期内提前三个月通知对方。</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4、服务地点：</w:t>
      </w:r>
      <w:r>
        <w:rPr>
          <w:rFonts w:hint="eastAsia" w:ascii="Times New Roman" w:hAnsi="Times New Roman" w:cs="Times New Roman"/>
          <w:color w:val="auto"/>
          <w:szCs w:val="21"/>
          <w:highlight w:val="none"/>
          <w:lang w:eastAsia="zh-CN"/>
        </w:rPr>
        <w:t xml:space="preserve">苏州市立医院</w:t>
      </w:r>
      <w:r>
        <w:rPr>
          <w:rFonts w:hint="default" w:ascii="Times New Roman" w:hAnsi="Times New Roman" w:eastAsia="宋体" w:cs="Times New Roman"/>
          <w:color w:val="auto"/>
          <w:szCs w:val="21"/>
          <w:highlight w:val="none"/>
        </w:rPr>
        <w:t xml:space="preserve">指定地点。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5、下列文件为本合同不可分割部分：</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（1）中标通知书；</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（2）乙方的投标文件；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（3）乙方在招投标过程中所作的其它承诺、声明、书面澄清等；</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（4）招标文件及其附件；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（5）合同附件。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以上与本合同具有同等法律效力</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二、合同价格及费用结算：</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1、合同总价：</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。包括</w:t>
      </w:r>
      <w:r>
        <w:rPr>
          <w:rFonts w:hint="eastAsia" w:hAnsi="宋体" w:eastAsia="宋体"/>
          <w:color w:val="auto"/>
          <w:sz w:val="21"/>
          <w:szCs w:val="21"/>
          <w:highlight w:val="none"/>
        </w:rPr>
        <w:t xml:space="preserve">在承包期内完成服务内容所需要的一切费用，包括但不限于驻场人员费（人工费、节假日加班费及中夜班费差旅食宿费等）、维修、维护保养等相关人工及培训费用及保养辅材费用、系统维护、管理、保险、利润、税金、招标代理服务费、政策性文件规定及合同包含的所有风险、责任等各项应有费用。</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2、费用结算：</w:t>
      </w:r>
      <w:r/>
    </w:p>
    <w:p>
      <w:pPr>
        <w:pStyle w:val="1071"/>
        <w:ind w:firstLine="422"/>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（1）合同签订后，服务费按季度结算一次，当季的服务费用在次季度的第一个月支付。乙方提供合格服务发票后由甲方向乙方支付每季度最终的结算款项（扣除考核扣款，具体考核细则另行书面商定）。</w:t>
      </w:r>
      <w:r/>
    </w:p>
    <w:p>
      <w:pPr>
        <w:pStyle w:val="1071"/>
        <w:ind w:firstLine="422"/>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（2）如中标人对服务缺陷不予更正，招标人有权另请其他单位更正，所发生的费用在履约保证金中扣除。</w:t>
      </w:r>
      <w:r/>
    </w:p>
    <w:p>
      <w:pPr>
        <w:pStyle w:val="1071"/>
        <w:ind w:firstLine="422"/>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（3）采购人支付此项费用外不再承担其它任何费用（包括个人），服务人员的薪金、福利、休假日补贴等由中标人付给，与采购人无关。</w:t>
      </w:r>
      <w:r/>
    </w:p>
    <w:p>
      <w:pPr>
        <w:pStyle w:val="1071"/>
        <w:ind w:firstLine="422"/>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（4）确因采购人工作需要，中标人应无条件配合甲方完成一些突击工作。如：安排服务人员（内部）临时加班。</w:t>
      </w:r>
      <w:r/>
    </w:p>
    <w:p>
      <w:pPr>
        <w:pStyle w:val="1071"/>
        <w:ind w:firstLine="422"/>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3、乙方有责任配合甲方接受上级领导部门的监督、检查，并提供</w:t>
      </w:r>
      <w:r>
        <w:rPr>
          <w:rFonts w:hint="eastAsia" w:hAnsi="宋体" w:eastAsia="宋体"/>
          <w:color w:val="auto"/>
          <w:sz w:val="21"/>
          <w:szCs w:val="21"/>
          <w:highlight w:val="none"/>
          <w:lang w:eastAsia="zh-CN"/>
        </w:rPr>
        <w:t xml:space="preserve">必需的</w:t>
      </w:r>
      <w:r>
        <w:rPr>
          <w:rFonts w:hint="eastAsia" w:hAnsi="宋体" w:eastAsia="宋体"/>
          <w:color w:val="auto"/>
          <w:sz w:val="21"/>
          <w:szCs w:val="21"/>
          <w:highlight w:val="none"/>
        </w:rPr>
        <w:t xml:space="preserve">材料。甲方有权对乙方进行月度考核，考核结果与当月度费用结算挂钩。具体考核方法和标准按医院要求执行。除合同约定外，甲方不再向乙方额外支付其他费用。</w:t>
      </w:r>
      <w:r/>
    </w:p>
    <w:p>
      <w:pPr>
        <w:ind w:firstLine="420"/>
        <w:spacing w:line="400" w:lineRule="exac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val="en-US" w:eastAsia="zh-CN"/>
        </w:rPr>
        <w:t xml:space="preserve">4</w:t>
      </w:r>
      <w:r>
        <w:rPr>
          <w:rFonts w:hint="default" w:ascii="Times New Roman" w:hAnsi="Times New Roman" w:eastAsia="宋体" w:cs="Times New Roman"/>
          <w:color w:val="auto"/>
          <w:szCs w:val="21"/>
          <w:highlight w:val="none"/>
        </w:rPr>
        <w:t xml:space="preserve">、乙方账户信息：</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开户银行名称：</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 </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银行账号：</w:t>
      </w:r>
      <w:r>
        <w:rPr>
          <w:rFonts w:hint="default" w:ascii="Times New Roman" w:hAnsi="Times New Roman" w:eastAsia="宋体" w:cs="Times New Roman"/>
          <w:color w:val="auto"/>
          <w:szCs w:val="21"/>
          <w:highlight w:val="none"/>
          <w:u w:val="single"/>
        </w:rPr>
        <w:t xml:space="preserve">                 </w:t>
      </w:r>
      <w:r/>
    </w:p>
    <w:p>
      <w:pPr>
        <w:pStyle w:val="1071"/>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三、服务质量与检验：</w:t>
      </w:r>
      <w:r/>
    </w:p>
    <w:p>
      <w:pPr>
        <w:pStyle w:val="1071"/>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pStyle w:val="1071"/>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全部服务内容完成后，15个工作日内启动履约验收程序。验收内容包括服务质量、服务进度、人员和设备配备情况、行业和安全标准、项目需求和服务承诺、合同履约时间地点和方式等。验收形式为书面审核。甲方是履约验收工作的责任主体，成立验收小组负责采购项目履约验收具体工作。乙方参照验收内容，书面提供维修、维护保养、培训、保养辅材、系统维护的完整性等材料。履约验收合格后，根据本合同第二款进行结算；存在异议的，甲乙双方协商解决，或通过法律途径解决。</w:t>
      </w:r>
      <w:r/>
    </w:p>
    <w:p>
      <w:pPr>
        <w:pStyle w:val="1071"/>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四、甲方权利和义务：</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1、根据甲方采购要求及乙方响应文件中的承诺，对乙方提供的服务及履行本合同情况实行验收考核。</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2、甲方必须满足本采购文件相关要求。</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3、为乙方提供维保用房；为乙方提供所需相关设备的技术资料及值勤、维修工作必备条件，并指定专人作为甲方联系人予以协调工作。加强与乙方</w:t>
      </w:r>
      <w:r>
        <w:rPr>
          <w:rFonts w:hint="eastAsia" w:hAnsi="宋体" w:eastAsia="宋体"/>
          <w:bCs/>
          <w:color w:val="auto"/>
          <w:sz w:val="21"/>
          <w:szCs w:val="21"/>
          <w:highlight w:val="none"/>
          <w:lang w:eastAsia="zh-CN"/>
        </w:rPr>
        <w:t xml:space="preserve">沟通</w:t>
      </w:r>
      <w:r>
        <w:rPr>
          <w:rFonts w:hint="eastAsia" w:hAnsi="宋体" w:eastAsia="宋体"/>
          <w:bCs/>
          <w:color w:val="auto"/>
          <w:sz w:val="21"/>
          <w:szCs w:val="21"/>
          <w:highlight w:val="none"/>
        </w:rPr>
        <w:t xml:space="preserve">，交流情况，互通信息。</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4、甲方因工作需要，遇双休日或节假日需乙方提供保障服务的，给予乙方员工一定的加班费补贴。</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5、甲方应教育所属人员尊重乙方工作人员的劳动成果，积极配合乙方工作人员履行好合同所规定的职责和义务。对甲方人员因使用设备、器材、器械不当而造成的损失与乙方无关。</w:t>
      </w:r>
      <w:r/>
    </w:p>
    <w:p>
      <w:pPr>
        <w:pStyle w:val="1071"/>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五、乙方权利和义务：</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1、乙方根据甲方有关要求，积极主动保质保量地完成此项目。</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2、乙方必须满足本采购文件要求。</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3、乙方在后勤服务工作中应当做到文明工作、安全生产，采取必要的安全防范措施，合同期内若发生安全事故由乙方承担，与甲方无关。</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4、乙方应及时调整不适应工作需求的服务人员，如甲方认为该员工不能胜任本职工作的，必须调整。</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5、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pStyle w:val="1071"/>
        <w:ind w:firstLine="422"/>
        <w:spacing w:line="400" w:lineRule="exact"/>
        <w:rPr>
          <w:rFonts w:hAnsi="宋体" w:eastAsia="宋体"/>
          <w:b/>
          <w:color w:val="auto"/>
          <w:sz w:val="21"/>
          <w:szCs w:val="21"/>
          <w:highlight w:val="none"/>
        </w:rPr>
      </w:pPr>
      <w:r>
        <w:rPr>
          <w:rFonts w:hint="eastAsia" w:hAnsi="宋体" w:eastAsia="宋体"/>
          <w:b/>
          <w:color w:val="auto"/>
          <w:sz w:val="21"/>
          <w:szCs w:val="21"/>
          <w:highlight w:val="none"/>
        </w:rPr>
        <w:t xml:space="preserve">六、违约责任：</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合同一方不履行合同义务或者履行合同义务不符合约定的，应当承担继续履行、采取补救措施或者赔偿损失等违约责任。</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1、甲方违约责任：</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1.1在合同生效后，甲方无正当理由要求解除合同的，应向乙方偿付合同总价款的5%作为违约金，违约金不足以补偿损失的，乙方有权要求甲方补足。</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1.2甲方逾期付款的应按照逾期付款金额的每天万分之四支付逾期付款违约金，但至多不超过合同总价款的5%。</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2、乙方违约责任：</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2.1乙方未按合同规定提供服务或提供服务不合格，不能完成合同，从而影响甲方正常项目进度的，甲方有权解除合同，乙方向甲方偿付合同总价款10%的违约金，同时承担甲方因此产生的损失。</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2.2乙方在合同期限内不提供服务或提供服务不合格，影响甲方正常工作的，应当向甲方支付合同总价款10%的违约金并赔偿甲方因此产生的损失。</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2.3乙方未能按照本合同约定提供伴随服务及相关的其他服务的，甲方有权责令乙方于3日内予以改正，乙方逾期不改正的或者经甲方责令改正超过3次的，视为乙方违约，乙方应当向甲方支付合同总价款10%的违约金并赔偿甲方因此产生的损失。</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2.4乙方有其他违反合同约定情形的，应当向甲方支付合同总价款5%的违约金。</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七、不可抗力：</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1、因不可抗力（或甲、乙双方）不能控制的原因不能履行合同的，根据不可抗力的影响，部分或者全部免除责任。但合同一方迟延履行后发生不可抗力的，不能免除责任。</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2、合同一方因不可抗力不能履行合同的，应当及时通知对方，以减轻可能给对方造成的损失，并应当在合理期限内提供证明。</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八、合同修改：甲方和乙方都不得擅自变更本合同，但合同继续履行将损害国家和社会公共利益的除外。</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九、转让和分包：</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1、政府采购合同的部分和全部都不得转让。</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十、争议解决办法：</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因本合同或与本合同有关的一切事项发生争议，由双方友好协商解决。协商不成的，任何一方均可向甲方所在地的人民法院起诉。</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十一、合同的解除：</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1、除《</w:t>
      </w:r>
      <w:r>
        <w:rPr>
          <w:rFonts w:hint="eastAsia" w:hAnsi="宋体" w:eastAsia="宋体"/>
          <w:bCs/>
          <w:color w:val="auto"/>
          <w:sz w:val="21"/>
          <w:szCs w:val="21"/>
          <w:highlight w:val="none"/>
          <w:lang w:eastAsia="zh-CN"/>
        </w:rPr>
        <w:t xml:space="preserve">中华人民共和国政府采购法</w:t>
      </w:r>
      <w:r>
        <w:rPr>
          <w:rFonts w:hint="eastAsia" w:hAnsi="宋体" w:eastAsia="宋体"/>
          <w:bCs/>
          <w:color w:val="auto"/>
          <w:sz w:val="21"/>
          <w:szCs w:val="21"/>
          <w:highlight w:val="none"/>
        </w:rPr>
        <w:t xml:space="preserve">》第49条、第50条第二款规定的情形及本合同约定的情形外，本合同签订后，甲乙双方不得擅自变更、解除或终止本合同。</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2、有下列情形之一，合同一方可以解除合同：</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2.1因不可抗力致使不能实现合同目的，未受不可抗力影响的一方有权解除合同；</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2.2因合同一方违约导致合同不能履行，另一方有权解除合同。</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3、有权解除合同的一方，应当在违约事实或不可抗力发生之后三十天内书面通知对方提出解除合同，合同在书面通知到达对方时解除。</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十二、其它约定事项：</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1、下列文件为本合同不可分割部分：</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1.1中标通知书；</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1.2乙方的投标文件；</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1.3乙方在开标过程中所作的其它承诺、声明、书面澄清等；</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1.4招标文件及其附件；</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1.5合同附件；</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以上与本合同具有同等法律效力。</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pStyle w:val="1071"/>
        <w:ind w:firstLine="422"/>
        <w:spacing w:line="40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十三、合同的生效：</w:t>
      </w:r>
      <w:r/>
    </w:p>
    <w:p>
      <w:pPr>
        <w:ind w:firstLine="420"/>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1、本合同在双方签字盖章后即生效。</w:t>
      </w:r>
      <w:r/>
    </w:p>
    <w:p>
      <w:pPr>
        <w:ind w:firstLine="420"/>
        <w:spacing w:line="40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2、合同在执行过程中出现的未尽事宜，双方在不违背本合同和招标文件的原则下协商解决，协商结果以书面形式盖章记录在案，作为本合同的附件，与本合同具有同等效力。</w:t>
      </w:r>
      <w:r/>
    </w:p>
    <w:p>
      <w:pPr>
        <w:ind w:firstLine="420"/>
        <w:spacing w:line="400" w:lineRule="exact"/>
        <w:rPr>
          <w:rFonts w:hint="default" w:ascii="Times New Roman" w:hAnsi="Times New Roman" w:eastAsia="宋体" w:cs="Times New Roman"/>
          <w:color w:val="auto"/>
          <w:szCs w:val="21"/>
          <w:highlight w:val="none"/>
        </w:rPr>
      </w:pPr>
      <w:r>
        <w:rPr>
          <w:rFonts w:hint="eastAsia" w:ascii="Times New Roman" w:hAnsi="Times New Roman" w:cs="Times New Roman"/>
          <w:color w:val="auto"/>
          <w:szCs w:val="21"/>
          <w:highlight w:val="none"/>
          <w:lang w:val="en-US" w:eastAsia="zh-CN"/>
        </w:rPr>
        <w:t xml:space="preserve">十四</w:t>
      </w:r>
      <w:r>
        <w:rPr>
          <w:rFonts w:hint="default" w:ascii="Times New Roman" w:hAnsi="Times New Roman" w:eastAsia="宋体" w:cs="Times New Roman"/>
          <w:color w:val="auto"/>
          <w:szCs w:val="21"/>
          <w:highlight w:val="none"/>
        </w:rPr>
        <w:t xml:space="preserve">、附则</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1、合同份数</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本合同一式四份，</w:t>
      </w:r>
      <w:r>
        <w:rPr>
          <w:rFonts w:hint="eastAsia" w:hAnsi="宋体" w:eastAsia="宋体"/>
          <w:bCs/>
          <w:color w:val="auto"/>
          <w:sz w:val="21"/>
          <w:szCs w:val="21"/>
          <w:highlight w:val="none"/>
        </w:rPr>
        <w:t xml:space="preserve">本合同一式伍份，甲方贰份，乙方</w:t>
      </w:r>
      <w:r>
        <w:rPr>
          <w:rFonts w:hint="eastAsia" w:hAnsi="宋体" w:eastAsia="宋体"/>
          <w:bCs/>
          <w:color w:val="auto"/>
          <w:sz w:val="21"/>
          <w:szCs w:val="21"/>
          <w:highlight w:val="none"/>
          <w:lang w:val="en-US" w:eastAsia="zh-CN"/>
        </w:rPr>
        <w:t xml:space="preserve">贰</w:t>
      </w:r>
      <w:r>
        <w:rPr>
          <w:rFonts w:hint="eastAsia" w:hAnsi="宋体" w:eastAsia="宋体"/>
          <w:bCs/>
          <w:color w:val="auto"/>
          <w:sz w:val="21"/>
          <w:szCs w:val="21"/>
          <w:highlight w:val="none"/>
        </w:rPr>
        <w:t xml:space="preserve">份，采购代理机构壹份</w:t>
      </w:r>
      <w:r>
        <w:rPr>
          <w:rFonts w:hint="default" w:ascii="Times New Roman" w:hAnsi="Times New Roman" w:eastAsia="宋体" w:cs="Times New Roman"/>
          <w:color w:val="auto"/>
          <w:szCs w:val="21"/>
          <w:highlight w:val="none"/>
        </w:rPr>
        <w:t xml:space="preserve">一份。</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2、未尽事宜</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本合同未尽事宜应按《中华人民共和国民法典》、《中华人民共和国政府采购法》以及其同相关法律、法规之规定解释。</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zh-CN"/>
        </w:rPr>
        <w:t xml:space="preserve">甲方</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zh-CN"/>
        </w:rPr>
        <w:t xml:space="preserve">签章</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zh-CN"/>
        </w:rPr>
        <w:t xml:space="preserve">乙方（签章）：</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zh-CN"/>
        </w:rPr>
        <w:t xml:space="preserve">法定代表人代表或代理人（签字）</w:t>
      </w:r>
      <w:r>
        <w:rPr>
          <w:rFonts w:hint="default" w:ascii="Times New Roman" w:hAnsi="Times New Roman" w:eastAsia="宋体" w:cs="Times New Roman"/>
          <w:color w:val="auto"/>
          <w:szCs w:val="21"/>
          <w:highlight w:val="none"/>
        </w:rPr>
        <w:tab/>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zh-CN"/>
        </w:rPr>
        <w:t xml:space="preserve">法定代表人代表或代理人（签字）</w:t>
      </w:r>
      <w:r>
        <w:rPr>
          <w:rFonts w:hint="default" w:ascii="Times New Roman" w:hAnsi="Times New Roman" w:eastAsia="宋体" w:cs="Times New Roman"/>
          <w:color w:val="auto"/>
          <w:szCs w:val="21"/>
          <w:highlight w:val="none"/>
        </w:rPr>
        <w:tab/>
      </w:r>
      <w:r/>
    </w:p>
    <w:p>
      <w:pPr>
        <w:ind w:firstLine="420"/>
        <w:jc w:val="left"/>
        <w:spacing w:line="400" w:lineRule="exact"/>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r>
      <w:r/>
    </w:p>
    <w:p>
      <w:pPr>
        <w:ind w:firstLine="420"/>
        <w:jc w:val="center"/>
        <w:spacing w:line="400" w:lineRule="exact"/>
        <w:rPr>
          <w:rFonts w:ascii="宋体" w:hAnsi="宋体"/>
          <w:b/>
          <w:bCs/>
          <w:color w:val="auto"/>
          <w:szCs w:val="21"/>
          <w:highlight w:val="none"/>
        </w:rPr>
      </w:pPr>
      <w:r>
        <w:rPr>
          <w:rFonts w:hint="default" w:ascii="Times New Roman" w:hAnsi="Times New Roman" w:eastAsia="宋体" w:cs="Times New Roman"/>
          <w:color w:val="auto"/>
          <w:szCs w:val="21"/>
          <w:highlight w:val="none"/>
          <w:lang w:val="zh-CN"/>
        </w:rPr>
        <w:t xml:space="preserve">合同签订日期：   年</w:t>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zh-CN"/>
        </w:rPr>
        <w:t xml:space="preserve">月</w:t>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zh-CN"/>
        </w:rPr>
        <w:t xml:space="preserve">日</w:t>
      </w:r>
      <w:r>
        <w:rPr>
          <w:rFonts w:hint="default" w:ascii="Times New Roman" w:hAnsi="Times New Roman" w:eastAsia="宋体" w:cs="Times New Roman"/>
          <w:color w:val="auto"/>
          <w:szCs w:val="21"/>
          <w:highlight w:val="none"/>
        </w:rPr>
        <w:br w:type="page" w:clear="all"/>
      </w:r>
      <w:bookmarkEnd w:id="14"/>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一、评标方法：</w:t>
      </w:r>
      <w:r/>
    </w:p>
    <w:p>
      <w:pPr>
        <w:pStyle w:val="685"/>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ascii="宋体" w:hAnsi="宋体"/>
          <w:color w:val="auto"/>
          <w:highlight w:val="none"/>
        </w:rPr>
      </w:pPr>
      <w:r>
        <w:rPr>
          <w:rFonts w:hint="eastAsia" w:ascii="宋体" w:hAnsi="宋体"/>
          <w:color w:val="auto"/>
          <w:highlight w:val="none"/>
        </w:rPr>
        <w:t xml:space="preserve">2、综合评分的主要因素为：</w:t>
      </w:r>
      <w:r>
        <w:rPr>
          <w:rFonts w:hint="eastAsia" w:ascii="宋体" w:hAnsi="宋体"/>
          <w:color w:val="auto"/>
          <w:szCs w:val="21"/>
          <w:highlight w:val="none"/>
        </w:rPr>
        <w:t xml:space="preserve">价格、服务技术水平、履约能力、售后服务</w:t>
      </w:r>
      <w:r>
        <w:rPr>
          <w:rFonts w:hint="eastAsia" w:ascii="宋体" w:hAnsi="宋体"/>
          <w:color w:val="auto"/>
          <w:highlight w:val="none"/>
        </w:rPr>
        <w:t xml:space="preserve">等对采购文件的响应程度，以及相应的商务标和技术标比重或者分值等。</w:t>
      </w:r>
      <w:r/>
    </w:p>
    <w:p>
      <w:pPr>
        <w:ind w:firstLine="420"/>
        <w:spacing w:line="400" w:lineRule="exact"/>
        <w:rPr>
          <w:rFonts w:ascii="宋体" w:hAnsi="宋体"/>
          <w:color w:val="auto"/>
          <w:szCs w:val="21"/>
          <w:highlight w:val="none"/>
        </w:rPr>
      </w:pPr>
      <w:r>
        <w:rPr>
          <w:rFonts w:hint="eastAsia" w:ascii="宋体" w:hAnsi="宋体"/>
          <w:color w:val="auto"/>
          <w:highlight w:val="none"/>
        </w:rPr>
        <w:t xml:space="preserve">3、</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685"/>
        <w:ind w:firstLine="422"/>
        <w:spacing w:line="400" w:lineRule="exact"/>
        <w:rPr>
          <w:rFonts w:hAnsi="宋体" w:eastAsia="宋体"/>
          <w:b/>
          <w:color w:val="auto"/>
          <w:sz w:val="21"/>
          <w:szCs w:val="21"/>
          <w:highlight w:val="none"/>
        </w:rPr>
      </w:pPr>
      <w:r>
        <w:rPr>
          <w:rFonts w:hint="eastAsia" w:hAnsi="宋体" w:eastAsia="宋体"/>
          <w:b/>
          <w:color w:val="auto"/>
          <w:sz w:val="21"/>
          <w:szCs w:val="21"/>
          <w:highlight w:val="none"/>
        </w:rPr>
        <w:t xml:space="preserve">二、政策性文件加分说明：</w:t>
      </w:r>
      <w:r/>
    </w:p>
    <w:p>
      <w:pPr>
        <w:ind w:firstLine="420"/>
        <w:spacing w:line="400" w:lineRule="exact"/>
        <w:rPr>
          <w:rFonts w:hint="eastAsia" w:ascii="宋体" w:hAnsi="宋体"/>
          <w:color w:val="auto"/>
          <w:highlight w:val="none"/>
        </w:rPr>
      </w:pPr>
      <w:r>
        <w:rPr>
          <w:rFonts w:hint="eastAsia" w:ascii="宋体" w:hAnsi="宋体"/>
          <w:color w:val="auto"/>
          <w:highlight w:val="none"/>
          <w:lang w:val="en-US" w:eastAsia="zh-CN"/>
        </w:rPr>
        <w:t xml:space="preserve">本项目非</w:t>
      </w:r>
      <w:r>
        <w:rPr>
          <w:rFonts w:hint="eastAsia" w:ascii="宋体" w:hAnsi="宋体"/>
          <w:color w:val="auto"/>
          <w:highlight w:val="none"/>
        </w:rPr>
        <w:t xml:space="preserve">专门面向中小企业采购：</w:t>
      </w:r>
      <w:r/>
    </w:p>
    <w:p>
      <w:pPr>
        <w:ind w:firstLine="420"/>
        <w:spacing w:line="400" w:lineRule="exact"/>
        <w:rPr>
          <w:rFonts w:hint="eastAsia" w:ascii="宋体" w:hAnsi="宋体" w:cs="宋体"/>
          <w:color w:val="auto"/>
          <w:szCs w:val="24"/>
          <w:highlight w:val="none"/>
        </w:rPr>
      </w:pPr>
      <w:r>
        <w:rPr>
          <w:rFonts w:hint="eastAsia" w:ascii="宋体" w:hAnsi="宋体" w:cs="宋体"/>
          <w:color w:val="auto"/>
          <w:szCs w:val="24"/>
          <w:highlight w:val="none"/>
        </w:rPr>
        <w:t xml:space="preserve">根据《江苏省财政厅关于进一步加大政府采购支持中小企业力度的通</w:t>
      </w:r>
      <w:r>
        <w:rPr>
          <w:rFonts w:hint="eastAsia" w:ascii="宋体" w:hAnsi="宋体" w:cs="宋体"/>
          <w:color w:val="auto"/>
          <w:szCs w:val="24"/>
          <w:highlight w:val="none"/>
        </w:rPr>
        <w:t xml:space="preserve">知》（苏财购〔2022〕45号）、《关于促进残疾人就业政府采购政策的通知》（财库〔2017〕141号）、《关于政府采购支持监狱企业发展有关问题的通知》（财库〔2014〕68号）和《苏州市政府采购促进中小企业发展实施意见》的通知（苏财购〔2022〕16号）的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及监狱企业属于小型、微型企业的，不重复享受政策。</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投标文件中小微企业提供《中小企业声明函》；监狱企业提供由省级以上监狱管理局、戒毒管理局（含新疆生产建设兵团）出具的属于监狱企业的证明文件；残疾人福利性单位提供《残疾人福利性单位声明函》。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注：</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①填报“中小企业声明函”需严格按“工信部联企业〔2011〕300号通知中的《中小企业划型标准规定》进行。</w:t>
      </w:r>
      <w:r/>
    </w:p>
    <w:p>
      <w:pPr>
        <w:ind w:firstLine="420"/>
        <w:spacing w:line="360" w:lineRule="auto"/>
        <w:rPr>
          <w:rFonts w:ascii="宋体" w:hAnsi="宋体" w:cs="宋体"/>
          <w:bCs/>
          <w:color w:val="auto"/>
          <w:szCs w:val="24"/>
          <w:highlight w:val="none"/>
        </w:rPr>
      </w:pPr>
      <w:r>
        <w:rPr>
          <w:rFonts w:hint="eastAsia" w:ascii="宋体" w:hAnsi="宋体" w:cs="宋体"/>
          <w:color w:val="auto"/>
          <w:szCs w:val="24"/>
          <w:highlight w:val="none"/>
        </w:rPr>
        <w:t xml:space="preserve">②若供应商提供的“中小企业声明函”或认定证明为虚假声明则视同提供虚假材料，按“政府采购法”相关规定处理并报请政府监管部门给予行政处罚。</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三、评分标准：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（一）价格（</w:t>
      </w:r>
      <w:r>
        <w:rPr>
          <w:rFonts w:hint="eastAsia" w:ascii="宋体" w:hAnsi="宋体"/>
          <w:b/>
          <w:bCs/>
          <w:color w:val="auto"/>
          <w:szCs w:val="21"/>
          <w:highlight w:val="none"/>
          <w:lang w:val="en-US" w:eastAsia="zh-CN"/>
        </w:rPr>
        <w:t xml:space="preserve">1</w:t>
      </w:r>
      <w:r>
        <w:rPr>
          <w:rFonts w:hint="eastAsia" w:ascii="宋体" w:hAnsi="宋体"/>
          <w:b/>
          <w:bCs/>
          <w:color w:val="auto"/>
          <w:szCs w:val="21"/>
          <w:highlight w:val="none"/>
        </w:rPr>
        <w:t xml:space="preserve">0分）</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以通过评标初审，实质性响应采购文件要求且投标报价最低的投标报价为评标基准价其价格分为满分</w:t>
      </w: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0分。其他投标人的价格分统一按照下列公式计算：</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投标报价得分=（评标基准价/投标报价）X价格权值X100（价格权值为</w:t>
      </w: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0%）</w:t>
      </w:r>
      <w:r/>
    </w:p>
    <w:p>
      <w:pPr>
        <w:ind w:firstLine="420"/>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t xml:space="preserve">（二）服务方案比较（</w:t>
      </w:r>
      <w:r>
        <w:rPr>
          <w:rFonts w:hint="eastAsia" w:ascii="宋体" w:hAnsi="宋体" w:cs="宋体"/>
          <w:b/>
          <w:bCs/>
          <w:color w:val="auto"/>
          <w:szCs w:val="24"/>
          <w:highlight w:val="none"/>
          <w:lang w:val="en-US" w:eastAsia="zh-CN"/>
        </w:rPr>
        <w:t xml:space="preserve">82</w:t>
      </w:r>
      <w:r>
        <w:rPr>
          <w:rFonts w:hint="eastAsia" w:ascii="宋体" w:hAnsi="宋体" w:cs="宋体"/>
          <w:b/>
          <w:bCs/>
          <w:color w:val="auto"/>
          <w:szCs w:val="24"/>
          <w:highlight w:val="none"/>
        </w:rPr>
        <w:t xml:space="preserve">分）</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维修服务方案</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9分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方案的科学性、合理性和可操作性。</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方案内容设计详细清晰、完整的得</w:t>
      </w:r>
      <w:r>
        <w:rPr>
          <w:rFonts w:hint="eastAsia" w:ascii="宋体" w:hAnsi="宋体" w:cs="宋体"/>
          <w:color w:val="auto"/>
          <w:szCs w:val="24"/>
          <w:highlight w:val="none"/>
          <w:lang w:val="en-US" w:eastAsia="zh-CN"/>
        </w:rPr>
        <w:t xml:space="preserve">9</w:t>
      </w:r>
      <w:r>
        <w:rPr>
          <w:rFonts w:hint="eastAsia" w:ascii="宋体" w:hAnsi="宋体" w:cs="宋体"/>
          <w:color w:val="auto"/>
          <w:szCs w:val="24"/>
          <w:highlight w:val="none"/>
        </w:rPr>
        <w:t xml:space="preserve">分；</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方案设计内容充实的得</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分；</w:t>
      </w:r>
      <w:r/>
    </w:p>
    <w:p>
      <w:pPr>
        <w:ind w:firstLine="420"/>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方案设计不充分，内容不充实的得</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 xml:space="preserve">方案内容不清晰，内容不够完整的得1分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未提供服务方案的不得分。</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保养服务方案</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9分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方案的科学性、合理性和可操作性。</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方案内容设计详细清晰、完整的得</w:t>
      </w:r>
      <w:r>
        <w:rPr>
          <w:rFonts w:hint="eastAsia" w:ascii="宋体" w:hAnsi="宋体" w:cs="宋体"/>
          <w:color w:val="auto"/>
          <w:szCs w:val="24"/>
          <w:highlight w:val="none"/>
          <w:lang w:val="en-US" w:eastAsia="zh-CN"/>
        </w:rPr>
        <w:t xml:space="preserve">9</w:t>
      </w:r>
      <w:r>
        <w:rPr>
          <w:rFonts w:hint="eastAsia" w:ascii="宋体" w:hAnsi="宋体" w:cs="宋体"/>
          <w:color w:val="auto"/>
          <w:szCs w:val="24"/>
          <w:highlight w:val="none"/>
        </w:rPr>
        <w:t xml:space="preserve">分；</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方案简单，能基本满足项目需求的的得</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方案设计不充分，内容不充实的得</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方案内容不清晰，内容不够完整的得1分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未提供服务方案的不得分。</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重点、难点措施</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9分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投标人</w:t>
      </w:r>
      <w:r>
        <w:rPr>
          <w:rFonts w:hint="eastAsia" w:ascii="宋体" w:hAnsi="宋体" w:cs="宋体"/>
          <w:color w:val="auto"/>
          <w:szCs w:val="24"/>
          <w:highlight w:val="none"/>
        </w:rPr>
        <w:t xml:space="preserve">对项目现状、存在的问题和难点、要点等问题进行调查剖析，提出克服难点和要点技术措施。</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措施针对性强得</w:t>
      </w:r>
      <w:r>
        <w:rPr>
          <w:rFonts w:hint="eastAsia" w:ascii="宋体" w:hAnsi="宋体" w:cs="宋体"/>
          <w:color w:val="auto"/>
          <w:szCs w:val="24"/>
          <w:highlight w:val="none"/>
          <w:lang w:val="en-US" w:eastAsia="zh-CN"/>
        </w:rPr>
        <w:t xml:space="preserve">9</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措施较合理得</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措施有所欠缺得</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措施不能完全满足需求得1分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无措施得0分。</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管理方案、内部考核制度</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7分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管理方案、内部考核制度、档案建立方案。</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方案内容设计详细清晰、完整的得</w:t>
      </w:r>
      <w:r>
        <w:rPr>
          <w:rFonts w:hint="eastAsia" w:ascii="宋体" w:hAnsi="宋体" w:cs="宋体"/>
          <w:color w:val="auto"/>
          <w:szCs w:val="24"/>
          <w:highlight w:val="none"/>
          <w:lang w:val="en-US" w:eastAsia="zh-CN"/>
        </w:rPr>
        <w:t xml:space="preserve">7</w:t>
      </w:r>
      <w:r>
        <w:rPr>
          <w:rFonts w:hint="eastAsia" w:ascii="宋体" w:hAnsi="宋体" w:cs="宋体"/>
          <w:color w:val="auto"/>
          <w:szCs w:val="24"/>
          <w:highlight w:val="none"/>
        </w:rPr>
        <w:t xml:space="preserve">分；</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方案简单，能基本满足项目需求的的得</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方案内容不清晰，内容不够完整的得1分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未提供服务方案的不得分。</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巡检</w:t>
      </w:r>
      <w:r>
        <w:rPr>
          <w:rFonts w:hint="eastAsia" w:ascii="宋体" w:hAnsi="宋体" w:cs="宋体"/>
          <w:color w:val="auto"/>
          <w:szCs w:val="24"/>
          <w:highlight w:val="none"/>
          <w:lang w:val="en-US" w:eastAsia="zh-CN"/>
        </w:rPr>
        <w:t xml:space="preserve">制度（7分）：</w:t>
      </w:r>
      <w:r>
        <w:rPr>
          <w:rFonts w:hint="eastAsia" w:ascii="宋体" w:hAnsi="宋体" w:cs="宋体"/>
          <w:color w:val="auto"/>
          <w:szCs w:val="24"/>
          <w:highlight w:val="none"/>
        </w:rPr>
        <w:t xml:space="preserve">定期巡检制度和设备运行情况报告制度，定期出具巡检和设备运行情况报告。</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制度针对性强得</w:t>
      </w:r>
      <w:r>
        <w:rPr>
          <w:rFonts w:hint="eastAsia" w:ascii="宋体" w:hAnsi="宋体" w:cs="宋体"/>
          <w:color w:val="auto"/>
          <w:szCs w:val="24"/>
          <w:highlight w:val="none"/>
          <w:lang w:val="en-US" w:eastAsia="zh-CN"/>
        </w:rPr>
        <w:t xml:space="preserve">7</w:t>
      </w:r>
      <w:r>
        <w:rPr>
          <w:rFonts w:hint="eastAsia" w:ascii="宋体" w:hAnsi="宋体" w:cs="宋体"/>
          <w:color w:val="auto"/>
          <w:szCs w:val="24"/>
          <w:highlight w:val="none"/>
        </w:rPr>
        <w:t xml:space="preserve">分；</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制度基本能满足日常工作的需求得</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制度有所欠缺得</w:t>
      </w: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制度不能完全满足</w:t>
      </w:r>
      <w:r>
        <w:rPr>
          <w:rFonts w:hint="eastAsia" w:ascii="宋体" w:hAnsi="宋体" w:cs="宋体"/>
          <w:color w:val="auto"/>
          <w:szCs w:val="24"/>
          <w:highlight w:val="none"/>
          <w:lang w:val="en-US" w:eastAsia="zh-CN"/>
        </w:rPr>
        <w:t xml:space="preserve">或</w:t>
      </w:r>
      <w:r>
        <w:rPr>
          <w:rFonts w:hint="eastAsia" w:ascii="宋体" w:hAnsi="宋体" w:cs="宋体"/>
          <w:color w:val="auto"/>
          <w:szCs w:val="24"/>
          <w:highlight w:val="none"/>
        </w:rPr>
        <w:t xml:space="preserve">无方案内容得0分。</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工作单</w:t>
      </w:r>
      <w:r>
        <w:rPr>
          <w:rFonts w:hint="eastAsia" w:ascii="宋体" w:hAnsi="宋体" w:cs="宋体"/>
          <w:color w:val="auto"/>
          <w:szCs w:val="24"/>
          <w:highlight w:val="none"/>
          <w:lang w:val="en-US" w:eastAsia="zh-CN"/>
        </w:rPr>
        <w:t xml:space="preserve">内容（6分）</w:t>
      </w:r>
      <w:r>
        <w:rPr>
          <w:rFonts w:hint="eastAsia" w:ascii="宋体" w:hAnsi="宋体" w:cs="宋体"/>
          <w:color w:val="auto"/>
          <w:szCs w:val="24"/>
          <w:highlight w:val="none"/>
        </w:rPr>
        <w:t xml:space="preserve">维修保养工作单合理性和完整性。</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工作单完整详细得</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工作单基本满足日常工作需要得</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工作单有所欠缺得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工作单混乱、缺乏管理</w:t>
      </w:r>
      <w:r>
        <w:rPr>
          <w:rFonts w:hint="eastAsia" w:ascii="宋体" w:hAnsi="宋体" w:cs="宋体"/>
          <w:color w:val="auto"/>
          <w:szCs w:val="24"/>
          <w:highlight w:val="none"/>
          <w:lang w:val="en-US" w:eastAsia="zh-CN"/>
        </w:rPr>
        <w:t xml:space="preserve">或</w:t>
      </w:r>
      <w:r>
        <w:rPr>
          <w:rFonts w:hint="eastAsia" w:ascii="宋体" w:hAnsi="宋体" w:cs="宋体"/>
          <w:color w:val="auto"/>
          <w:szCs w:val="24"/>
          <w:highlight w:val="none"/>
        </w:rPr>
        <w:t xml:space="preserve">未提供说明得0分。</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7、</w:t>
      </w:r>
      <w:r>
        <w:rPr>
          <w:rFonts w:hint="eastAsia" w:ascii="宋体" w:hAnsi="宋体" w:cs="宋体"/>
          <w:color w:val="auto"/>
          <w:szCs w:val="24"/>
          <w:highlight w:val="none"/>
        </w:rPr>
        <w:t xml:space="preserve">应急方案</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6分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维保服务保障应急预案，方案对日常维保可能遇到的问题及其应对措施的考虑情况。</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方案内容设计详细清晰、完整的得</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分；</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方案设计内容充实的得</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方案简单，能基本满足项目需求的的得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方案内容不清晰</w:t>
      </w:r>
      <w:r>
        <w:rPr>
          <w:rFonts w:hint="eastAsia" w:ascii="宋体" w:hAnsi="宋体" w:cs="宋体"/>
          <w:color w:val="auto"/>
          <w:szCs w:val="24"/>
          <w:highlight w:val="none"/>
          <w:lang w:val="en-US" w:eastAsia="zh-CN"/>
        </w:rPr>
        <w:t xml:space="preserve">或</w:t>
      </w:r>
      <w:r>
        <w:rPr>
          <w:rFonts w:hint="eastAsia" w:ascii="宋体" w:hAnsi="宋体" w:cs="宋体"/>
          <w:color w:val="auto"/>
          <w:szCs w:val="24"/>
          <w:highlight w:val="none"/>
        </w:rPr>
        <w:t xml:space="preserve">未提供服务方案的不得分。</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8、</w:t>
      </w:r>
      <w:r>
        <w:rPr>
          <w:rFonts w:hint="eastAsia" w:ascii="宋体" w:hAnsi="宋体" w:cs="宋体"/>
          <w:color w:val="auto"/>
          <w:szCs w:val="24"/>
          <w:highlight w:val="none"/>
        </w:rPr>
        <w:t xml:space="preserve">质量安全保障措施</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6分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安全保障措施的合理性和可操作性。</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措施针对性强得</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措施一般</w:t>
      </w:r>
      <w:r>
        <w:rPr>
          <w:rFonts w:hint="eastAsia" w:ascii="宋体" w:hAnsi="宋体" w:cs="宋体"/>
          <w:color w:val="auto"/>
          <w:szCs w:val="24"/>
          <w:highlight w:val="none"/>
          <w:lang w:val="en-US" w:eastAsia="zh-CN"/>
        </w:rPr>
        <w:t xml:space="preserve">内容简单</w:t>
      </w:r>
      <w:r>
        <w:rPr>
          <w:rFonts w:hint="eastAsia" w:ascii="宋体" w:hAnsi="宋体" w:cs="宋体"/>
          <w:color w:val="auto"/>
          <w:szCs w:val="24"/>
          <w:highlight w:val="none"/>
        </w:rPr>
        <w:t xml:space="preserve">得</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措施有所欠缺得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措施不能完全满足需求</w:t>
      </w:r>
      <w:r>
        <w:rPr>
          <w:rFonts w:hint="eastAsia" w:ascii="宋体" w:hAnsi="宋体" w:cs="宋体"/>
          <w:color w:val="auto"/>
          <w:szCs w:val="24"/>
          <w:highlight w:val="none"/>
          <w:lang w:val="en-US" w:eastAsia="zh-CN"/>
        </w:rPr>
        <w:t xml:space="preserve">或</w:t>
      </w:r>
      <w:r>
        <w:rPr>
          <w:rFonts w:hint="eastAsia" w:ascii="宋体" w:hAnsi="宋体" w:cs="宋体"/>
          <w:color w:val="auto"/>
          <w:szCs w:val="24"/>
          <w:highlight w:val="none"/>
        </w:rPr>
        <w:t xml:space="preserve">无措施得0分。</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9、</w:t>
      </w:r>
      <w:r>
        <w:rPr>
          <w:rFonts w:hint="eastAsia" w:ascii="宋体" w:hAnsi="宋体" w:cs="宋体"/>
          <w:color w:val="auto"/>
          <w:szCs w:val="24"/>
          <w:highlight w:val="none"/>
        </w:rPr>
        <w:t xml:space="preserve">时间保证措施</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6分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项目现场故障解决时间的保证措施。</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措施针对性强得</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措施一般</w:t>
      </w:r>
      <w:r>
        <w:rPr>
          <w:rFonts w:hint="eastAsia" w:ascii="宋体" w:hAnsi="宋体" w:cs="宋体"/>
          <w:color w:val="auto"/>
          <w:szCs w:val="24"/>
          <w:highlight w:val="none"/>
          <w:lang w:val="en-US" w:eastAsia="zh-CN"/>
        </w:rPr>
        <w:t xml:space="preserve">内容简单</w:t>
      </w:r>
      <w:r>
        <w:rPr>
          <w:rFonts w:hint="eastAsia" w:ascii="宋体" w:hAnsi="宋体" w:cs="宋体"/>
          <w:color w:val="auto"/>
          <w:szCs w:val="24"/>
          <w:highlight w:val="none"/>
        </w:rPr>
        <w:t xml:space="preserve">得</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措施有所欠缺得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措施不能完全满足需求无措施得0分。</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10、</w:t>
      </w:r>
      <w:r>
        <w:rPr>
          <w:rFonts w:hint="eastAsia" w:ascii="宋体" w:hAnsi="宋体" w:cs="宋体"/>
          <w:color w:val="auto"/>
          <w:szCs w:val="24"/>
          <w:highlight w:val="none"/>
        </w:rPr>
        <w:t xml:space="preserve">秩序保障措施</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6分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w:t>
      </w:r>
      <w:r>
        <w:rPr>
          <w:rFonts w:hint="eastAsia" w:ascii="宋体" w:hAnsi="宋体" w:cs="宋体"/>
          <w:color w:val="auto"/>
          <w:szCs w:val="24"/>
          <w:highlight w:val="none"/>
        </w:rPr>
        <w:t xml:space="preserve">维保服务方案中保障措施对保证医院正常工作和秩序的保障措施。</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措施针对性强得</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措施一般</w:t>
      </w:r>
      <w:r>
        <w:rPr>
          <w:rFonts w:hint="eastAsia" w:ascii="宋体" w:hAnsi="宋体" w:cs="宋体"/>
          <w:color w:val="auto"/>
          <w:szCs w:val="24"/>
          <w:highlight w:val="none"/>
          <w:lang w:val="en-US" w:eastAsia="zh-CN"/>
        </w:rPr>
        <w:t xml:space="preserve">内容简单</w:t>
      </w:r>
      <w:r>
        <w:rPr>
          <w:rFonts w:hint="eastAsia" w:ascii="宋体" w:hAnsi="宋体" w:cs="宋体"/>
          <w:color w:val="auto"/>
          <w:szCs w:val="24"/>
          <w:highlight w:val="none"/>
        </w:rPr>
        <w:t xml:space="preserve">得</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措施有所欠缺得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措施不能完全满足需求</w:t>
      </w:r>
      <w:r>
        <w:rPr>
          <w:rFonts w:hint="eastAsia" w:ascii="宋体" w:hAnsi="宋体" w:cs="宋体"/>
          <w:color w:val="auto"/>
          <w:szCs w:val="24"/>
          <w:highlight w:val="none"/>
          <w:lang w:val="en-US" w:eastAsia="zh-CN"/>
        </w:rPr>
        <w:t xml:space="preserve">或</w:t>
      </w:r>
      <w:r>
        <w:rPr>
          <w:rFonts w:hint="eastAsia" w:ascii="宋体" w:hAnsi="宋体" w:cs="宋体"/>
          <w:color w:val="auto"/>
          <w:szCs w:val="24"/>
          <w:highlight w:val="none"/>
        </w:rPr>
        <w:t xml:space="preserve">无措施得0分。</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11、</w:t>
      </w:r>
      <w:r>
        <w:rPr>
          <w:rFonts w:hint="eastAsia" w:ascii="宋体" w:hAnsi="宋体" w:cs="宋体"/>
          <w:color w:val="auto"/>
          <w:szCs w:val="24"/>
          <w:highlight w:val="none"/>
        </w:rPr>
        <w:t xml:space="preserve">检测方案</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6分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供应商对维修保养后的设备进行检测，根据检测方案进行评审。</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方案针对性强得</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方案一般</w:t>
      </w:r>
      <w:r>
        <w:rPr>
          <w:rFonts w:hint="eastAsia" w:ascii="宋体" w:hAnsi="宋体" w:cs="宋体"/>
          <w:color w:val="auto"/>
          <w:szCs w:val="24"/>
          <w:highlight w:val="none"/>
          <w:lang w:val="en-US" w:eastAsia="zh-CN"/>
        </w:rPr>
        <w:t xml:space="preserve">内容简单</w:t>
      </w:r>
      <w:r>
        <w:rPr>
          <w:rFonts w:hint="eastAsia" w:ascii="宋体" w:hAnsi="宋体" w:cs="宋体"/>
          <w:color w:val="auto"/>
          <w:szCs w:val="24"/>
          <w:highlight w:val="none"/>
        </w:rPr>
        <w:t xml:space="preserve">得</w:t>
      </w:r>
      <w:r>
        <w:rPr>
          <w:rFonts w:hint="eastAsia" w:ascii="宋体" w:hAnsi="宋体" w:cs="宋体"/>
          <w:color w:val="auto"/>
          <w:szCs w:val="24"/>
          <w:highlight w:val="none"/>
          <w:lang w:val="en-US" w:eastAsia="zh-CN"/>
        </w:rPr>
        <w:t xml:space="preserve">4</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rPr>
        <w:t xml:space="preserve">方案有所欠缺得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方案不能完全满足需求</w:t>
      </w:r>
      <w:r>
        <w:rPr>
          <w:rFonts w:hint="eastAsia" w:ascii="宋体" w:hAnsi="宋体" w:cs="宋体"/>
          <w:color w:val="auto"/>
          <w:szCs w:val="24"/>
          <w:highlight w:val="none"/>
          <w:lang w:val="en-US" w:eastAsia="zh-CN"/>
        </w:rPr>
        <w:t xml:space="preserve">或</w:t>
      </w:r>
      <w:r>
        <w:rPr>
          <w:rFonts w:hint="eastAsia" w:ascii="宋体" w:hAnsi="宋体" w:cs="宋体"/>
          <w:color w:val="auto"/>
          <w:szCs w:val="24"/>
          <w:highlight w:val="none"/>
        </w:rPr>
        <w:t xml:space="preserve">无建议得0分。</w:t>
      </w:r>
      <w:r/>
    </w:p>
    <w:p>
      <w:pPr>
        <w:numPr>
          <w:ilvl w:val="0"/>
          <w:numId w:val="0"/>
        </w:numPr>
        <w:ind w:firstLine="42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12、团队人员配置情况（5分）：根据拟投入项目团队人员的配置、岗位设置、职责分工评分。</w:t>
      </w:r>
      <w:r/>
    </w:p>
    <w:p>
      <w:pPr>
        <w:numPr>
          <w:ilvl w:val="0"/>
          <w:numId w:val="0"/>
        </w:numPr>
        <w:ind w:firstLine="42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人员岗位数量充足，岗位配置明确，职责分工清晰得5分；</w:t>
      </w:r>
      <w:r/>
    </w:p>
    <w:p>
      <w:pPr>
        <w:numPr>
          <w:ilvl w:val="0"/>
          <w:numId w:val="0"/>
        </w:numPr>
        <w:ind w:firstLine="42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人员岗位数量配置有欠缺，职责分工简单得3分；</w:t>
      </w:r>
      <w:r/>
    </w:p>
    <w:p>
      <w:pPr>
        <w:numPr>
          <w:ilvl w:val="0"/>
          <w:numId w:val="0"/>
        </w:numPr>
        <w:ind w:firstLine="42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人员岗位配置、职责分工存在不合理得1分；</w:t>
      </w:r>
      <w:r/>
    </w:p>
    <w:p>
      <w:pPr>
        <w:numPr>
          <w:ilvl w:val="0"/>
          <w:numId w:val="0"/>
        </w:numPr>
        <w:ind w:firstLine="420"/>
        <w:spacing w:line="360" w:lineRule="auto"/>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未提供说明不得分。</w:t>
      </w:r>
      <w:r/>
    </w:p>
    <w:p>
      <w:pPr>
        <w:ind w:firstLine="420"/>
        <w:spacing w:line="360" w:lineRule="auto"/>
        <w:rPr>
          <w:rFonts w:hint="default" w:ascii="宋体" w:hAnsi="宋体" w:eastAsia="宋体" w:cs="宋体"/>
          <w:b/>
          <w:bCs/>
          <w:color w:val="auto"/>
          <w:szCs w:val="24"/>
          <w:highlight w:val="none"/>
          <w:lang w:val="en-US" w:eastAsia="zh-CN"/>
        </w:rPr>
      </w:pPr>
      <w:r>
        <w:rPr>
          <w:rFonts w:hint="eastAsia" w:ascii="宋体" w:hAnsi="宋体" w:cs="宋体"/>
          <w:b/>
          <w:bCs/>
          <w:color w:val="auto"/>
          <w:szCs w:val="24"/>
          <w:highlight w:val="none"/>
        </w:rPr>
        <w:t xml:space="preserve">（三）</w:t>
      </w:r>
      <w:r>
        <w:rPr>
          <w:rFonts w:hint="eastAsia" w:ascii="宋体" w:hAnsi="宋体" w:cs="宋体"/>
          <w:b/>
          <w:bCs/>
          <w:color w:val="auto"/>
          <w:szCs w:val="24"/>
          <w:highlight w:val="none"/>
          <w:lang w:val="en-US" w:eastAsia="zh-CN"/>
        </w:rPr>
        <w:t xml:space="preserve">投标人履约能力（8分）</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管理体系认证（6分）：</w:t>
      </w:r>
      <w:r>
        <w:rPr>
          <w:rFonts w:hint="eastAsia" w:ascii="宋体" w:hAnsi="宋体" w:cs="宋体"/>
          <w:color w:val="auto"/>
          <w:szCs w:val="24"/>
          <w:highlight w:val="none"/>
        </w:rPr>
        <w:t xml:space="preserve">具有医疗器械质量管理体系认证</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医疗器械风险管理体系认证</w:t>
      </w:r>
      <w:r>
        <w:rPr>
          <w:rFonts w:hint="eastAsia" w:ascii="宋体" w:hAnsi="宋体" w:cs="宋体"/>
          <w:color w:val="auto"/>
          <w:szCs w:val="24"/>
          <w:highlight w:val="none"/>
          <w:lang w:eastAsia="zh-CN"/>
        </w:rPr>
        <w:t xml:space="preserve">，</w:t>
      </w:r>
      <w:r>
        <w:rPr>
          <w:rFonts w:hint="eastAsia" w:ascii="宋体" w:hAnsi="宋体" w:cs="宋体"/>
          <w:color w:val="auto"/>
          <w:sz w:val="21"/>
          <w:szCs w:val="24"/>
          <w:highlight w:val="none"/>
          <w:lang w:val="en-US" w:eastAsia="zh-CN" w:bidi="ar"/>
        </w:rPr>
        <w:t xml:space="preserve">职业健康安全体系认证</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环境管理体系认证，信息安全管理体系、知识产权管理体系认证，</w:t>
      </w:r>
      <w:r>
        <w:rPr>
          <w:rFonts w:hint="eastAsia" w:ascii="宋体" w:hAnsi="宋体" w:cs="宋体"/>
          <w:color w:val="auto"/>
          <w:szCs w:val="24"/>
          <w:highlight w:val="none"/>
        </w:rPr>
        <w:t xml:space="preserve">每提供一项得</w:t>
      </w: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分，最高得</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rPr>
        <w:t xml:space="preserve">分</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投标文件中需提供证书复印件</w:t>
      </w:r>
      <w:r>
        <w:rPr>
          <w:rFonts w:hint="eastAsia" w:ascii="宋体" w:hAnsi="宋体" w:cs="宋体"/>
          <w:color w:val="auto"/>
          <w:szCs w:val="24"/>
          <w:highlight w:val="none"/>
          <w:lang w:val="en-US" w:eastAsia="zh-CN"/>
        </w:rPr>
        <w:t xml:space="preserve">及网页查询截图</w:t>
      </w:r>
      <w:r>
        <w:rPr>
          <w:rFonts w:hint="eastAsia" w:ascii="宋体" w:hAnsi="宋体" w:cs="宋体"/>
          <w:color w:val="auto"/>
          <w:szCs w:val="24"/>
          <w:highlight w:val="none"/>
        </w:rPr>
        <w:t xml:space="preserve">，不提供的不得分。</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类似服务经验（2分）：</w:t>
      </w:r>
      <w:r>
        <w:rPr>
          <w:rFonts w:hint="eastAsia" w:ascii="宋体" w:hAnsi="宋体" w:eastAsia="宋体" w:cs="宋体"/>
          <w:color w:val="auto"/>
          <w:sz w:val="21"/>
          <w:szCs w:val="21"/>
          <w:highlight w:val="none"/>
          <w:lang w:val="en-US" w:eastAsia="zh-CN"/>
        </w:rPr>
        <w:t xml:space="preserve">投标人自</w:t>
      </w:r>
      <w:r>
        <w:rPr>
          <w:rFonts w:hint="eastAsia" w:ascii="宋体" w:hAnsi="宋体" w:eastAsia="宋体" w:cs="宋体"/>
          <w:color w:val="auto"/>
          <w:sz w:val="21"/>
          <w:szCs w:val="21"/>
          <w:highlight w:val="none"/>
          <w:lang w:eastAsia="zh-CN"/>
        </w:rPr>
        <w:t xml:space="preserve">20</w:t>
      </w:r>
      <w:r>
        <w:rPr>
          <w:rFonts w:hint="eastAsia" w:ascii="宋体" w:hAnsi="宋体" w:cs="宋体"/>
          <w:color w:val="auto"/>
          <w:sz w:val="21"/>
          <w:szCs w:val="21"/>
          <w:highlight w:val="none"/>
          <w:lang w:val="en-US" w:eastAsia="zh-CN"/>
        </w:rPr>
        <w:t xml:space="preserve">23</w:t>
      </w:r>
      <w:bookmarkStart w:id="15" w:name="_GoBack"/>
      <w:r/>
      <w:bookmarkEnd w:id="15"/>
      <w:r>
        <w:rPr>
          <w:rFonts w:hint="eastAsia" w:ascii="宋体" w:hAnsi="宋体" w:eastAsia="宋体" w:cs="宋体"/>
          <w:color w:val="auto"/>
          <w:sz w:val="21"/>
          <w:szCs w:val="21"/>
          <w:highlight w:val="none"/>
          <w:lang w:eastAsia="zh-CN"/>
        </w:rPr>
        <w:t xml:space="preserve">年1月1日（</w:t>
      </w:r>
      <w:r>
        <w:rPr>
          <w:rFonts w:hint="eastAsia" w:ascii="宋体" w:hAnsi="宋体" w:eastAsia="宋体" w:cs="宋体"/>
          <w:color w:val="auto"/>
          <w:sz w:val="21"/>
          <w:szCs w:val="21"/>
          <w:highlight w:val="none"/>
          <w:lang w:val="en-US" w:eastAsia="zh-CN"/>
        </w:rPr>
        <w:t xml:space="preserve">以签订合同时间为准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起，</w:t>
      </w:r>
      <w:r>
        <w:rPr>
          <w:rFonts w:hint="eastAsia" w:ascii="宋体" w:hAnsi="宋体" w:eastAsia="宋体" w:cs="宋体"/>
          <w:color w:val="auto"/>
          <w:sz w:val="21"/>
          <w:szCs w:val="21"/>
          <w:highlight w:val="none"/>
          <w:lang w:eastAsia="zh-CN"/>
        </w:rPr>
        <w:t xml:space="preserve">全院医疗设备整体管理服务业绩的（部分科室或者技术咨询合同不属于整体医疗设备售后服务合同），每个不同的用户得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分，本项最高得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分。投标文件中须提供合同复印件。</w:t>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pStyle w:val="687"/>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附件：考核表</w:t>
      </w:r>
      <w:r/>
    </w:p>
    <w:p>
      <w:pPr>
        <w:pStyle w:val="68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每半年度医院将对</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进行服务满意度测评，满意度考评及惩罚条款如下：</w:t>
      </w:r>
      <w:r/>
    </w:p>
    <w:tbl>
      <w:tblPr>
        <w:tblStyle w:val="684"/>
        <w:tblW w:w="92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5"/>
        <w:gridCol w:w="546"/>
        <w:gridCol w:w="870"/>
        <w:gridCol w:w="4239"/>
        <w:gridCol w:w="735"/>
        <w:gridCol w:w="708"/>
        <w:gridCol w:w="709"/>
        <w:gridCol w:w="593"/>
      </w:tblGrid>
      <w:tr>
        <w:trPr>
          <w:jc w:val="center"/>
          <w:trHeight w:val="0"/>
        </w:trPr>
        <w:tc>
          <w:tcPr>
            <w:gridSpan w:val="8"/>
            <w:tcMar>
              <w:left w:w="15" w:type="dxa"/>
              <w:top w:w="15" w:type="dxa"/>
              <w:right w:w="15" w:type="dxa"/>
              <w:bottom w:w="0" w:type="dxa"/>
            </w:tcMar>
            <w:tcW w:w="92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科室：                      </w:t>
            </w:r>
            <w:r/>
          </w:p>
        </w:tc>
      </w:tr>
      <w:tr>
        <w:trPr>
          <w:jc w:val="center"/>
          <w:trHeight w:val="0"/>
        </w:trPr>
        <w:tc>
          <w:tcPr>
            <w:gridSpan w:val="3"/>
            <w:tcMar>
              <w:left w:w="15" w:type="dxa"/>
              <w:top w:w="15" w:type="dxa"/>
              <w:right w:w="15" w:type="dxa"/>
              <w:bottom w:w="0" w:type="dxa"/>
            </w:tcMar>
            <w:tcW w:w="2271"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调查内容</w:t>
            </w:r>
            <w:r/>
          </w:p>
        </w:tc>
        <w:tc>
          <w:tcPr>
            <w:tcMar>
              <w:left w:w="15" w:type="dxa"/>
              <w:top w:w="15" w:type="dxa"/>
              <w:right w:w="15" w:type="dxa"/>
              <w:bottom w:w="0" w:type="dxa"/>
            </w:tcMar>
            <w:tcW w:w="4239"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内容细项</w:t>
            </w:r>
            <w:r/>
          </w:p>
        </w:tc>
        <w:tc>
          <w:tcPr>
            <w:tcMar>
              <w:left w:w="15" w:type="dxa"/>
              <w:top w:w="15" w:type="dxa"/>
              <w:right w:w="15" w:type="dxa"/>
              <w:bottom w:w="0" w:type="dxa"/>
            </w:tcMar>
            <w:tcW w:w="73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非常满意</w:t>
            </w:r>
            <w:r/>
          </w:p>
        </w:tc>
        <w:tc>
          <w:tcPr>
            <w:tcMar>
              <w:left w:w="15" w:type="dxa"/>
              <w:top w:w="15" w:type="dxa"/>
              <w:right w:w="15" w:type="dxa"/>
              <w:bottom w:w="0" w:type="dxa"/>
            </w:tcMar>
            <w:tcW w:w="708"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tc>
        <w:tc>
          <w:tcPr>
            <w:tcMar>
              <w:left w:w="15" w:type="dxa"/>
              <w:top w:w="15" w:type="dxa"/>
              <w:right w:w="15" w:type="dxa"/>
              <w:bottom w:w="0" w:type="dxa"/>
            </w:tcMar>
            <w:tcW w:w="70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Mar>
              <w:left w:w="15" w:type="dxa"/>
              <w:top w:w="15" w:type="dxa"/>
              <w:right w:w="15" w:type="dxa"/>
              <w:bottom w:w="0" w:type="dxa"/>
            </w:tcMar>
            <w:tcW w:w="59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不满意</w:t>
            </w:r>
            <w:r/>
          </w:p>
        </w:tc>
      </w:tr>
      <w:tr>
        <w:trPr>
          <w:jc w:val="center"/>
          <w:trHeight w:val="0"/>
        </w:trPr>
        <w:tc>
          <w:tcPr>
            <w:gridSpan w:val="3"/>
            <w:tcW w:w="227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239"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73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Mar>
              <w:left w:w="15" w:type="dxa"/>
              <w:top w:w="15" w:type="dxa"/>
              <w:right w:w="15" w:type="dxa"/>
              <w:bottom w:w="0" w:type="dxa"/>
            </w:tcMar>
            <w:tcW w:w="70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9分</w:t>
            </w:r>
            <w:r/>
          </w:p>
        </w:tc>
        <w:tc>
          <w:tcPr>
            <w:tcMar>
              <w:left w:w="15" w:type="dxa"/>
              <w:top w:w="15" w:type="dxa"/>
              <w:right w:w="15" w:type="dxa"/>
              <w:bottom w:w="0" w:type="dxa"/>
            </w:tcMar>
            <w:tcW w:w="70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8分</w:t>
            </w:r>
            <w:r/>
          </w:p>
        </w:tc>
        <w:tc>
          <w:tcPr>
            <w:tcMar>
              <w:left w:w="15" w:type="dxa"/>
              <w:top w:w="15" w:type="dxa"/>
              <w:right w:w="15" w:type="dxa"/>
              <w:bottom w:w="0" w:type="dxa"/>
            </w:tcMar>
            <w:tcW w:w="59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7分及以下</w:t>
            </w:r>
            <w:r/>
          </w:p>
        </w:tc>
      </w:tr>
      <w:tr>
        <w:trPr>
          <w:jc w:val="center"/>
          <w:trHeight w:val="0"/>
        </w:trPr>
        <w:tc>
          <w:tcPr>
            <w:tcMar>
              <w:left w:w="15" w:type="dxa"/>
              <w:top w:w="15" w:type="dxa"/>
              <w:right w:w="15" w:type="dxa"/>
              <w:bottom w:w="0" w:type="dxa"/>
            </w:tcMar>
            <w:tcW w:w="855"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行为规范</w:t>
            </w:r>
            <w:r/>
          </w:p>
        </w:tc>
        <w:tc>
          <w:tcPr>
            <w:tcMar>
              <w:left w:w="15" w:type="dxa"/>
              <w:top w:w="15" w:type="dxa"/>
              <w:right w:w="15" w:type="dxa"/>
              <w:bottom w:w="0" w:type="dxa"/>
            </w:tcMar>
            <w:tcW w:w="5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15" w:type="dxa"/>
              <w:top w:w="15" w:type="dxa"/>
              <w:right w:w="15" w:type="dxa"/>
              <w:bottom w:w="0" w:type="dxa"/>
            </w:tcMar>
            <w:tcW w:w="8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礼仪规范</w:t>
            </w:r>
            <w:r/>
          </w:p>
        </w:tc>
        <w:tc>
          <w:tcPr>
            <w:tcMar>
              <w:left w:w="15" w:type="dxa"/>
              <w:top w:w="15" w:type="dxa"/>
              <w:right w:w="15" w:type="dxa"/>
              <w:bottom w:w="0" w:type="dxa"/>
            </w:tcMar>
            <w:tcW w:w="423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遵纪守法，遵守医院规定，规范着装、佩戴工牌、举止文明、礼貌热情</w:t>
            </w:r>
            <w:r/>
          </w:p>
        </w:tc>
        <w:tc>
          <w:tcPr>
            <w:tcMar>
              <w:left w:w="15" w:type="dxa"/>
              <w:top w:w="15" w:type="dxa"/>
              <w:right w:w="15" w:type="dxa"/>
              <w:bottom w:w="0" w:type="dxa"/>
            </w:tcMar>
            <w:tcW w:w="73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70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70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59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W w:w="855"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5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15" w:type="dxa"/>
              <w:top w:w="15" w:type="dxa"/>
              <w:right w:w="15" w:type="dxa"/>
              <w:bottom w:w="0" w:type="dxa"/>
            </w:tcMar>
            <w:tcW w:w="8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作业规范</w:t>
            </w:r>
            <w:r/>
          </w:p>
        </w:tc>
        <w:tc>
          <w:tcPr>
            <w:tcMar>
              <w:left w:w="15" w:type="dxa"/>
              <w:top w:w="15" w:type="dxa"/>
              <w:right w:w="15" w:type="dxa"/>
              <w:bottom w:w="0" w:type="dxa"/>
            </w:tcMar>
            <w:tcW w:w="423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遵守科室规定，特殊区域作业时符合规范,作业后及时清洁现场</w:t>
            </w:r>
            <w:r/>
          </w:p>
        </w:tc>
        <w:tc>
          <w:tcPr>
            <w:tcMar>
              <w:left w:w="15" w:type="dxa"/>
              <w:top w:w="15" w:type="dxa"/>
              <w:right w:w="15" w:type="dxa"/>
              <w:bottom w:w="0" w:type="dxa"/>
            </w:tcMar>
            <w:tcW w:w="73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70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70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59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Mar>
              <w:left w:w="15" w:type="dxa"/>
              <w:top w:w="15" w:type="dxa"/>
              <w:right w:w="15" w:type="dxa"/>
              <w:bottom w:w="0" w:type="dxa"/>
            </w:tcMar>
            <w:tcW w:w="855"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日常维护</w:t>
            </w:r>
            <w:r/>
          </w:p>
        </w:tc>
        <w:tc>
          <w:tcPr>
            <w:tcMar>
              <w:left w:w="15" w:type="dxa"/>
              <w:top w:w="15" w:type="dxa"/>
              <w:right w:w="15" w:type="dxa"/>
              <w:bottom w:w="0" w:type="dxa"/>
            </w:tcMar>
            <w:tcW w:w="5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Mar>
              <w:left w:w="15" w:type="dxa"/>
              <w:top w:w="15" w:type="dxa"/>
              <w:right w:w="15" w:type="dxa"/>
              <w:bottom w:w="0" w:type="dxa"/>
            </w:tcMar>
            <w:tcW w:w="8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日常巡检</w:t>
            </w:r>
            <w:r/>
          </w:p>
        </w:tc>
        <w:tc>
          <w:tcPr>
            <w:tcMar>
              <w:left w:w="15" w:type="dxa"/>
              <w:top w:w="15" w:type="dxa"/>
              <w:right w:w="15" w:type="dxa"/>
              <w:bottom w:w="0" w:type="dxa"/>
            </w:tcMar>
            <w:tcW w:w="423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按规定开展巡检，并能经常去科室查询设备情况,及时发现问题</w:t>
            </w:r>
            <w:r/>
          </w:p>
        </w:tc>
        <w:tc>
          <w:tcPr>
            <w:tcMar>
              <w:left w:w="15" w:type="dxa"/>
              <w:top w:w="15" w:type="dxa"/>
              <w:right w:w="15" w:type="dxa"/>
              <w:bottom w:w="0" w:type="dxa"/>
            </w:tcMar>
            <w:tcW w:w="73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70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70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59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W w:w="855"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5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Mar>
              <w:left w:w="15" w:type="dxa"/>
              <w:top w:w="15" w:type="dxa"/>
              <w:right w:w="15" w:type="dxa"/>
              <w:bottom w:w="0" w:type="dxa"/>
            </w:tcMar>
            <w:tcW w:w="8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保养质检</w:t>
            </w:r>
            <w:r/>
          </w:p>
        </w:tc>
        <w:tc>
          <w:tcPr>
            <w:tcMar>
              <w:left w:w="15" w:type="dxa"/>
              <w:top w:w="15" w:type="dxa"/>
              <w:right w:w="15" w:type="dxa"/>
              <w:bottom w:w="0" w:type="dxa"/>
            </w:tcMar>
            <w:tcW w:w="423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按规定和要求完成设备保养和质检工作，保障设备的正常运转</w:t>
            </w:r>
            <w:r/>
          </w:p>
        </w:tc>
        <w:tc>
          <w:tcPr>
            <w:tcMar>
              <w:left w:w="15" w:type="dxa"/>
              <w:top w:w="15" w:type="dxa"/>
              <w:right w:w="15" w:type="dxa"/>
              <w:bottom w:w="0" w:type="dxa"/>
            </w:tcMar>
            <w:tcW w:w="73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70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70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59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W w:w="855"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5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Mar>
              <w:left w:w="15" w:type="dxa"/>
              <w:top w:w="15" w:type="dxa"/>
              <w:right w:w="15" w:type="dxa"/>
              <w:bottom w:w="0" w:type="dxa"/>
            </w:tcMar>
            <w:tcW w:w="8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工单管理</w:t>
            </w:r>
            <w:r/>
          </w:p>
        </w:tc>
        <w:tc>
          <w:tcPr>
            <w:tcMar>
              <w:left w:w="15" w:type="dxa"/>
              <w:top w:w="15" w:type="dxa"/>
              <w:right w:w="15" w:type="dxa"/>
              <w:bottom w:w="0" w:type="dxa"/>
            </w:tcMar>
            <w:tcW w:w="423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服务完成有完整的纸质或电子版工单报告，按照科室要求做好服务记录；巡检、保养、维修、计量档案记录及时整理，按规范要求进行归档</w:t>
            </w:r>
            <w:r/>
          </w:p>
        </w:tc>
        <w:tc>
          <w:tcPr>
            <w:tcMar>
              <w:left w:w="15" w:type="dxa"/>
              <w:top w:w="15" w:type="dxa"/>
              <w:right w:w="15" w:type="dxa"/>
              <w:bottom w:w="0" w:type="dxa"/>
            </w:tcMar>
            <w:tcW w:w="73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70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70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59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Mar>
              <w:left w:w="15" w:type="dxa"/>
              <w:top w:w="15" w:type="dxa"/>
              <w:right w:w="15" w:type="dxa"/>
              <w:bottom w:w="0" w:type="dxa"/>
            </w:tcMar>
            <w:tcW w:w="855"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响应速度</w:t>
            </w:r>
            <w:r/>
          </w:p>
        </w:tc>
        <w:tc>
          <w:tcPr>
            <w:tcMar>
              <w:left w:w="15" w:type="dxa"/>
              <w:top w:w="15" w:type="dxa"/>
              <w:right w:w="15" w:type="dxa"/>
              <w:bottom w:w="0" w:type="dxa"/>
            </w:tcMar>
            <w:tcW w:w="5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Mar>
              <w:left w:w="15" w:type="dxa"/>
              <w:top w:w="15" w:type="dxa"/>
              <w:right w:w="15" w:type="dxa"/>
              <w:bottom w:w="0" w:type="dxa"/>
            </w:tcMar>
            <w:tcW w:w="8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响应及时</w:t>
            </w:r>
            <w:r/>
          </w:p>
        </w:tc>
        <w:tc>
          <w:tcPr>
            <w:tcMar>
              <w:left w:w="15" w:type="dxa"/>
              <w:top w:w="15" w:type="dxa"/>
              <w:right w:w="15" w:type="dxa"/>
              <w:bottom w:w="0" w:type="dxa"/>
            </w:tcMar>
            <w:tcW w:w="423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接到报修及时响应，按规定时间到场处理故障</w:t>
            </w:r>
            <w:r/>
          </w:p>
        </w:tc>
        <w:tc>
          <w:tcPr>
            <w:tcMar>
              <w:left w:w="15" w:type="dxa"/>
              <w:top w:w="15" w:type="dxa"/>
              <w:right w:w="15" w:type="dxa"/>
              <w:bottom w:w="0" w:type="dxa"/>
            </w:tcMar>
            <w:tcW w:w="73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70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70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59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W w:w="855"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5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Mar>
              <w:left w:w="15" w:type="dxa"/>
              <w:top w:w="15" w:type="dxa"/>
              <w:right w:w="15" w:type="dxa"/>
              <w:bottom w:w="0" w:type="dxa"/>
            </w:tcMar>
            <w:tcW w:w="8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备件速度</w:t>
            </w:r>
            <w:r/>
          </w:p>
        </w:tc>
        <w:tc>
          <w:tcPr>
            <w:tcMar>
              <w:left w:w="15" w:type="dxa"/>
              <w:top w:w="15" w:type="dxa"/>
              <w:right w:w="15" w:type="dxa"/>
              <w:bottom w:w="0" w:type="dxa"/>
            </w:tcMar>
            <w:tcW w:w="423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及时保障维修零备件采购速度，并在要求时间内完成维修</w:t>
            </w:r>
            <w:r/>
          </w:p>
        </w:tc>
        <w:tc>
          <w:tcPr>
            <w:tcMar>
              <w:left w:w="15" w:type="dxa"/>
              <w:top w:w="15" w:type="dxa"/>
              <w:right w:w="15" w:type="dxa"/>
              <w:bottom w:w="0" w:type="dxa"/>
            </w:tcMar>
            <w:tcW w:w="73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70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70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59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Mar>
              <w:left w:w="15" w:type="dxa"/>
              <w:top w:w="15" w:type="dxa"/>
              <w:right w:w="15" w:type="dxa"/>
              <w:bottom w:w="0" w:type="dxa"/>
            </w:tcMar>
            <w:tcW w:w="855"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技术能力</w:t>
            </w:r>
            <w:r/>
          </w:p>
        </w:tc>
        <w:tc>
          <w:tcPr>
            <w:tcMar>
              <w:left w:w="15" w:type="dxa"/>
              <w:top w:w="15" w:type="dxa"/>
              <w:right w:w="15" w:type="dxa"/>
              <w:bottom w:w="0" w:type="dxa"/>
            </w:tcMar>
            <w:tcW w:w="5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Mar>
              <w:left w:w="15" w:type="dxa"/>
              <w:top w:w="15" w:type="dxa"/>
              <w:right w:w="15" w:type="dxa"/>
              <w:bottom w:w="0" w:type="dxa"/>
            </w:tcMar>
            <w:tcW w:w="8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服务能力</w:t>
            </w:r>
            <w:r/>
          </w:p>
        </w:tc>
        <w:tc>
          <w:tcPr>
            <w:tcMar>
              <w:left w:w="15" w:type="dxa"/>
              <w:top w:w="15" w:type="dxa"/>
              <w:right w:w="15" w:type="dxa"/>
              <w:bottom w:w="0" w:type="dxa"/>
            </w:tcMar>
            <w:tcW w:w="423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工程师对自己负责科室设备的熟练程度；服务人员具有相关的学历、培训等证书；</w:t>
            </w:r>
            <w:r/>
          </w:p>
        </w:tc>
        <w:tc>
          <w:tcPr>
            <w:tcMar>
              <w:left w:w="15" w:type="dxa"/>
              <w:top w:w="15" w:type="dxa"/>
              <w:right w:w="15" w:type="dxa"/>
              <w:bottom w:w="0" w:type="dxa"/>
            </w:tcMar>
            <w:tcW w:w="73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70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70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59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W w:w="855"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5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Mar>
              <w:left w:w="15" w:type="dxa"/>
              <w:top w:w="15" w:type="dxa"/>
              <w:right w:w="15" w:type="dxa"/>
              <w:bottom w:w="0" w:type="dxa"/>
            </w:tcMar>
            <w:tcW w:w="8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修理方案</w:t>
            </w:r>
            <w:r/>
          </w:p>
        </w:tc>
        <w:tc>
          <w:tcPr>
            <w:tcMar>
              <w:left w:w="15" w:type="dxa"/>
              <w:top w:w="15" w:type="dxa"/>
              <w:right w:w="15" w:type="dxa"/>
              <w:bottom w:w="0" w:type="dxa"/>
            </w:tcMar>
            <w:tcW w:w="423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现场及时正确地判断故障，迅速合理地确定修理方案，保障设备的正常运转</w:t>
            </w:r>
            <w:r/>
          </w:p>
        </w:tc>
        <w:tc>
          <w:tcPr>
            <w:tcMar>
              <w:left w:w="15" w:type="dxa"/>
              <w:top w:w="15" w:type="dxa"/>
              <w:right w:w="15" w:type="dxa"/>
              <w:bottom w:w="0" w:type="dxa"/>
            </w:tcMar>
            <w:tcW w:w="73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70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70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59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Mar>
              <w:left w:w="15" w:type="dxa"/>
              <w:top w:w="15" w:type="dxa"/>
              <w:right w:w="15" w:type="dxa"/>
              <w:bottom w:w="0" w:type="dxa"/>
            </w:tcMar>
            <w:tcW w:w="8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沟通汇报</w:t>
            </w:r>
            <w:r/>
          </w:p>
        </w:tc>
        <w:tc>
          <w:tcPr>
            <w:tcMar>
              <w:left w:w="15" w:type="dxa"/>
              <w:top w:w="15" w:type="dxa"/>
              <w:right w:w="15" w:type="dxa"/>
              <w:bottom w:w="0" w:type="dxa"/>
            </w:tcMar>
            <w:tcW w:w="5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Mar>
              <w:left w:w="15" w:type="dxa"/>
              <w:top w:w="15" w:type="dxa"/>
              <w:right w:w="15" w:type="dxa"/>
              <w:bottom w:w="0" w:type="dxa"/>
            </w:tcMar>
            <w:tcW w:w="8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沟通汇报</w:t>
            </w:r>
            <w:r/>
          </w:p>
        </w:tc>
        <w:tc>
          <w:tcPr>
            <w:tcMar>
              <w:left w:w="15" w:type="dxa"/>
              <w:top w:w="15" w:type="dxa"/>
              <w:right w:w="15" w:type="dxa"/>
              <w:bottom w:w="0" w:type="dxa"/>
            </w:tcMar>
            <w:tcW w:w="423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及时沟通维修进度，分析故障原因及建议临床科室使用注意事项，定期汇报设备维护情况</w:t>
            </w:r>
            <w:r/>
          </w:p>
        </w:tc>
        <w:tc>
          <w:tcPr>
            <w:tcMar>
              <w:left w:w="15" w:type="dxa"/>
              <w:top w:w="15" w:type="dxa"/>
              <w:right w:w="15" w:type="dxa"/>
              <w:bottom w:w="0" w:type="dxa"/>
            </w:tcMar>
            <w:tcW w:w="73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70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70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59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gridSpan w:val="8"/>
            <w:tcMar>
              <w:left w:w="15" w:type="dxa"/>
              <w:top w:w="15" w:type="dxa"/>
              <w:right w:w="15" w:type="dxa"/>
              <w:bottom w:w="0" w:type="dxa"/>
            </w:tcMar>
            <w:tcW w:w="92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支持医院廉政建设额外加1分；如积极协助设备科或临床科室处理其他事务可以额外增加1分；如获得表扬信或锦旗的可额外增加2分</w:t>
            </w:r>
            <w:r/>
          </w:p>
        </w:tc>
      </w:tr>
      <w:tr>
        <w:trPr>
          <w:jc w:val="center"/>
          <w:trHeight w:val="0"/>
        </w:trPr>
        <w:tc>
          <w:tcPr>
            <w:gridSpan w:val="8"/>
            <w:tcMar>
              <w:left w:w="15" w:type="dxa"/>
              <w:top w:w="15" w:type="dxa"/>
              <w:right w:w="15" w:type="dxa"/>
              <w:bottom w:w="0" w:type="dxa"/>
            </w:tcMar>
            <w:tcW w:w="9255"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考核标准：</w:t>
            </w:r>
            <w:r/>
          </w:p>
        </w:tc>
      </w:tr>
      <w:tr>
        <w:trPr>
          <w:jc w:val="center"/>
          <w:trHeight w:val="0"/>
        </w:trPr>
        <w:tc>
          <w:tcPr>
            <w:gridSpan w:val="8"/>
            <w:tcMar>
              <w:left w:w="15" w:type="dxa"/>
              <w:top w:w="15" w:type="dxa"/>
              <w:right w:w="15" w:type="dxa"/>
              <w:bottom w:w="0" w:type="dxa"/>
            </w:tcMar>
            <w:tcW w:w="9255"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考核部门：临床科室和</w:t>
            </w:r>
            <w:r>
              <w:rPr>
                <w:rFonts w:hint="eastAsia" w:ascii="宋体" w:hAnsi="宋体" w:eastAsia="宋体" w:cs="宋体"/>
                <w:color w:val="auto"/>
                <w:sz w:val="21"/>
                <w:szCs w:val="21"/>
                <w:highlight w:val="none"/>
                <w:lang w:val="en-US" w:eastAsia="zh-CN"/>
              </w:rPr>
              <w:t xml:space="preserve">采供科（医学工程科）</w:t>
            </w:r>
            <w:r>
              <w:rPr>
                <w:rFonts w:hint="eastAsia" w:ascii="宋体" w:hAnsi="宋体" w:eastAsia="宋体" w:cs="宋体"/>
                <w:color w:val="auto"/>
                <w:sz w:val="21"/>
                <w:szCs w:val="21"/>
                <w:highlight w:val="none"/>
              </w:rPr>
              <w:t xml:space="preserve">；</w:t>
            </w:r>
            <w:r/>
          </w:p>
        </w:tc>
      </w:tr>
      <w:tr>
        <w:trPr>
          <w:jc w:val="center"/>
          <w:trHeight w:val="0"/>
        </w:trPr>
        <w:tc>
          <w:tcPr>
            <w:gridSpan w:val="8"/>
            <w:tcMar>
              <w:left w:w="15" w:type="dxa"/>
              <w:top w:w="15" w:type="dxa"/>
              <w:right w:w="15" w:type="dxa"/>
              <w:bottom w:w="0" w:type="dxa"/>
            </w:tcMar>
            <w:tcW w:w="9255"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每半年度对乙方进行考核，一年内合计考核二次；</w:t>
            </w:r>
            <w:r/>
          </w:p>
        </w:tc>
      </w:tr>
      <w:tr>
        <w:trPr>
          <w:jc w:val="center"/>
          <w:trHeight w:val="0"/>
        </w:trPr>
        <w:tc>
          <w:tcPr>
            <w:gridSpan w:val="8"/>
            <w:tcMar>
              <w:left w:w="15" w:type="dxa"/>
              <w:top w:w="15" w:type="dxa"/>
              <w:right w:w="15" w:type="dxa"/>
              <w:bottom w:w="0" w:type="dxa"/>
            </w:tcMar>
            <w:tcW w:w="9255"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考核平均分90分达标，平均分在85-90分（不含）警告并共同找出问题进行整改，每次平均分75-85分（不含）扣除每一期应付款的2%，每次平均分65-75分（不含）扣除每一期应付款的5%，每次平均分65分（不含）以下扣除每一期应付款的10</w:t>
            </w:r>
            <w:r>
              <w:rPr>
                <w:rFonts w:hint="eastAsia" w:ascii="宋体" w:hAnsi="宋体" w:eastAsia="宋体" w:cs="宋体"/>
                <w:color w:val="auto"/>
                <w:sz w:val="21"/>
                <w:szCs w:val="21"/>
                <w:highlight w:val="none"/>
              </w:rPr>
              <w:t xml:space="preserve">%，扣款金额在下一期付款的金额中扣除。累计三次平均分低于65分（不含）的，医院有权解除合同。                                                                                                                                                                                                                  </w:t>
            </w:r>
            <w:r/>
          </w:p>
        </w:tc>
      </w:tr>
    </w:tbl>
    <w:p>
      <w:pPr>
        <w:ind w:firstLine="5481"/>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5481"/>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6976"/>
        <w:spacing w:line="400" w:lineRule="exact"/>
        <w:rPr>
          <w:rFonts w:ascii="宋体" w:hAnsi="宋体"/>
          <w:b/>
          <w:color w:val="auto"/>
          <w:szCs w:val="21"/>
          <w:highlight w:val="none"/>
        </w:rPr>
      </w:pPr>
      <w:r>
        <w:rPr>
          <w:rFonts w:hint="eastAsia" w:ascii="宋体" w:hAnsi="宋体"/>
          <w:b/>
          <w:color w:val="auto"/>
          <w:szCs w:val="21"/>
          <w:highlight w:val="none"/>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rPr>
        <w:rStyle w:val="719"/>
      </w:rPr>
      <w:framePr w:wrap="around" w:vAnchor="text" w:hAnchor="margin" w:xAlign="center" w:y="1"/>
    </w:pPr>
    <w:r>
      <w:rPr>
        <w:rStyle w:val="719"/>
      </w:rPr>
      <w:fldChar w:fldCharType="begin"/>
    </w:r>
    <w:r>
      <w:rPr>
        <w:rStyle w:val="719"/>
      </w:rPr>
      <w:instrText xml:space="preserve"> PAGE </w:instrText>
    </w:r>
    <w:r>
      <w:rPr>
        <w:rStyle w:val="719"/>
      </w:rPr>
      <w:fldChar w:fldCharType="separate"/>
    </w:r>
    <w:r>
      <w:rPr>
        <w:rStyle w:val="719"/>
      </w:rPr>
      <w:t xml:space="preserve">7</w:t>
    </w:r>
    <w:r>
      <w:rPr>
        <w:rStyle w:val="719"/>
      </w:rPr>
      <w:fldChar w:fldCharType="end"/>
    </w:r>
    <w:r/>
  </w:p>
  <w:p>
    <w:pPr>
      <w:pStyle w:val="7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rPr>
        <w:rStyle w:val="719"/>
      </w:rPr>
      <w:framePr w:wrap="around" w:vAnchor="text" w:hAnchor="margin" w:xAlign="center" w:y="1"/>
    </w:pPr>
    <w:r>
      <w:rPr>
        <w:rStyle w:val="719"/>
      </w:rPr>
      <w:fldChar w:fldCharType="begin"/>
    </w:r>
    <w:r>
      <w:rPr>
        <w:rStyle w:val="719"/>
      </w:rPr>
      <w:instrText xml:space="preserve"> PAGE </w:instrText>
    </w:r>
    <w:r>
      <w:rPr>
        <w:rStyle w:val="719"/>
      </w:rPr>
      <w:fldChar w:fldCharType="separate"/>
    </w:r>
    <w:r>
      <w:rPr>
        <w:rStyle w:val="719"/>
      </w:rPr>
      <w:t xml:space="preserve">- 1 -</w:t>
    </w:r>
    <w:r>
      <w:rPr>
        <w:rStyle w:val="719"/>
      </w:rPr>
      <w:fldChar w:fldCharType="end"/>
    </w:r>
    <w:r/>
  </w:p>
  <w:p>
    <w:pPr>
      <w:pStyle w:val="7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jc w:val="center"/>
    </w:pPr>
    <w:r>
      <w:rPr>
        <w:rFonts w:hint="eastAsia"/>
      </w:rPr>
      <w:t xml:space="preserve">第</w:t>
    </w:r>
    <w:r>
      <w:fldChar w:fldCharType="begin"/>
    </w:r>
    <w:r>
      <w:instrText xml:space="preserve">PAGE   \* MERGEFORMAT</w:instrText>
    </w:r>
    <w:r>
      <w:fldChar w:fldCharType="separate"/>
    </w:r>
    <w:r>
      <w:rPr>
        <w:lang w:val="zh-CN"/>
      </w:rPr>
      <w:t xml:space="preserve">36</w:t>
    </w:r>
    <w:r>
      <w:fldChar w:fldCharType="end"/>
    </w:r>
    <w:r>
      <w:rPr>
        <w:rFonts w:hint="eastAsia"/>
      </w:rPr>
      <w:t xml:space="preserve">页 共</w:t>
    </w:r>
    <w:r>
      <w:rPr>
        <w:rFonts w:hint="eastAsia"/>
        <w:lang w:val="en-US" w:eastAsia="zh-CN"/>
      </w:rPr>
      <w:t xml:space="preserve">50</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rPr>
        <w:rFonts w:hint="default" w:eastAsia="宋体"/>
        <w:u w:val="single"/>
        <w:lang w:val="en-US" w:eastAsia="zh-CN"/>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苏州卫康采购文件 </w:t>
    </w:r>
    <w:r>
      <w:rPr>
        <w:u w:val="single"/>
      </w:rPr>
      <w:t xml:space="preserve">             </w:t>
    </w:r>
    <w:r>
      <w:rPr>
        <w:rFonts w:hint="eastAsia"/>
        <w:u w:val="single"/>
        <w:lang w:eastAsia="zh-CN"/>
      </w:rPr>
      <w:t xml:space="preserve">JSZC-320500-SZWK-G2026-0</w:t>
    </w:r>
    <w:r>
      <w:rPr>
        <w:rFonts w:hint="eastAsia"/>
        <w:u w:val="single"/>
        <w:lang w:val="en-US" w:eastAsia="zh-CN"/>
      </w:rPr>
      <w:t xml:space="preserve">247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77"/>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957"/>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3" w:default="1">
    <w:name w:val="Normal"/>
    <w:next w:val="685"/>
    <w:uiPriority w:val="0"/>
    <w:qFormat/>
    <w:pPr>
      <w:jc w:val="both"/>
      <w:widowControl w:val="off"/>
    </w:pPr>
    <w:rPr>
      <w:rFonts w:ascii="Calibri" w:hAnsi="Calibri" w:eastAsia="宋体" w:cs="Times New Roman"/>
      <w:sz w:val="21"/>
      <w:szCs w:val="22"/>
      <w:lang w:val="en-US" w:eastAsia="zh-CN" w:bidi="ar-SA"/>
    </w:rPr>
  </w:style>
  <w:style w:type="paragraph" w:styleId="674">
    <w:name w:val="Heading 1"/>
    <w:basedOn w:val="673"/>
    <w:next w:val="673"/>
    <w:link w:val="877"/>
    <w:uiPriority w:val="0"/>
    <w:qFormat/>
    <w:pPr>
      <w:keepLines/>
      <w:keepNext/>
      <w:spacing w:before="340" w:after="330" w:line="576" w:lineRule="auto"/>
      <w:outlineLvl w:val="0"/>
    </w:pPr>
    <w:rPr>
      <w:rFonts w:ascii="Times New Roman" w:hAnsi="Times New Roman" w:eastAsia="楷体_GB2312"/>
      <w:b/>
      <w:sz w:val="44"/>
      <w:szCs w:val="20"/>
    </w:rPr>
  </w:style>
  <w:style w:type="paragraph" w:styleId="675">
    <w:name w:val="Heading 2"/>
    <w:basedOn w:val="673"/>
    <w:next w:val="673"/>
    <w:link w:val="878"/>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676">
    <w:name w:val="Heading 3"/>
    <w:basedOn w:val="673"/>
    <w:next w:val="673"/>
    <w:link w:val="879"/>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677">
    <w:name w:val="Heading 4"/>
    <w:basedOn w:val="673"/>
    <w:next w:val="673"/>
    <w:link w:val="880"/>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678">
    <w:name w:val="Heading 5"/>
    <w:basedOn w:val="673"/>
    <w:next w:val="673"/>
    <w:link w:val="881"/>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679">
    <w:name w:val="Heading 6"/>
    <w:basedOn w:val="673"/>
    <w:next w:val="673"/>
    <w:link w:val="882"/>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680">
    <w:name w:val="Heading 7"/>
    <w:basedOn w:val="673"/>
    <w:next w:val="673"/>
    <w:link w:val="883"/>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681">
    <w:name w:val="Heading 8"/>
    <w:basedOn w:val="673"/>
    <w:next w:val="673"/>
    <w:link w:val="756"/>
    <w:uiPriority w:val="9"/>
    <w:unhideWhenUsed/>
    <w:qFormat/>
    <w:pPr>
      <w:keepLines/>
      <w:keepNext/>
      <w:spacing w:before="320" w:after="200"/>
      <w:outlineLvl w:val="7"/>
    </w:pPr>
    <w:rPr>
      <w:rFonts w:ascii="Arial" w:hAnsi="Arial" w:eastAsia="Arial" w:cs="Arial"/>
      <w:i/>
      <w:iCs/>
      <w:sz w:val="22"/>
    </w:rPr>
  </w:style>
  <w:style w:type="paragraph" w:styleId="682">
    <w:name w:val="Heading 9"/>
    <w:basedOn w:val="673"/>
    <w:next w:val="673"/>
    <w:link w:val="757"/>
    <w:uiPriority w:val="9"/>
    <w:unhideWhenUsed/>
    <w:qFormat/>
    <w:pPr>
      <w:keepLines/>
      <w:keepNext/>
      <w:spacing w:before="320" w:after="200"/>
      <w:outlineLvl w:val="8"/>
    </w:pPr>
    <w:rPr>
      <w:rFonts w:ascii="Arial" w:hAnsi="Arial" w:eastAsia="Arial" w:cs="Arial"/>
      <w:i/>
      <w:iCs/>
      <w:szCs w:val="21"/>
    </w:rPr>
  </w:style>
  <w:style w:type="character" w:styleId="683" w:default="1">
    <w:name w:val="Default Paragraph Font"/>
    <w:uiPriority w:val="1"/>
    <w:semiHidden/>
    <w:unhideWhenUsed/>
    <w:qFormat/>
  </w:style>
  <w:style w:type="table" w:styleId="684" w:default="1">
    <w:name w:val="Normal Table"/>
    <w:uiPriority w:val="99"/>
    <w:semiHidden/>
    <w:unhideWhenUsed/>
    <w:qFormat/>
    <w:tblPr>
      <w:tblCellMar>
        <w:left w:w="108" w:type="dxa"/>
        <w:top w:w="0" w:type="dxa"/>
        <w:right w:w="108" w:type="dxa"/>
        <w:bottom w:w="0" w:type="dxa"/>
      </w:tblCellMar>
    </w:tblPr>
  </w:style>
  <w:style w:type="paragraph" w:styleId="685">
    <w:name w:val="Plain Text"/>
    <w:basedOn w:val="673"/>
    <w:next w:val="673"/>
    <w:link w:val="903"/>
    <w:uiPriority w:val="99"/>
    <w:qFormat/>
    <w:rPr>
      <w:rFonts w:ascii="宋体" w:hAnsi="Courier New" w:eastAsia="楷体_GB2312"/>
      <w:sz w:val="26"/>
      <w:szCs w:val="20"/>
    </w:rPr>
  </w:style>
  <w:style w:type="paragraph" w:styleId="686">
    <w:name w:val="toc 7"/>
    <w:basedOn w:val="673"/>
    <w:next w:val="673"/>
    <w:uiPriority w:val="39"/>
    <w:unhideWhenUsed/>
    <w:qFormat/>
    <w:pPr>
      <w:ind w:left="1701"/>
      <w:spacing w:after="57"/>
    </w:pPr>
  </w:style>
  <w:style w:type="paragraph" w:styleId="687">
    <w:name w:val="Normal Indent"/>
    <w:basedOn w:val="673"/>
    <w:link w:val="884"/>
    <w:uiPriority w:val="0"/>
    <w:unhideWhenUsed/>
    <w:qFormat/>
    <w:pPr>
      <w:ind w:firstLine="420"/>
      <w:jc w:val="left"/>
    </w:pPr>
    <w:rPr>
      <w:rFonts w:ascii="楷体_GB2312" w:eastAsia="楷体_GB2312"/>
      <w:sz w:val="24"/>
      <w:szCs w:val="20"/>
    </w:rPr>
  </w:style>
  <w:style w:type="paragraph" w:styleId="688">
    <w:name w:val="Caption"/>
    <w:basedOn w:val="673"/>
    <w:next w:val="673"/>
    <w:uiPriority w:val="35"/>
    <w:semiHidden/>
    <w:unhideWhenUsed/>
    <w:qFormat/>
    <w:pPr>
      <w:spacing w:line="276" w:lineRule="auto"/>
    </w:pPr>
    <w:rPr>
      <w:b/>
      <w:bCs/>
      <w:color w:val="4f81bd"/>
      <w:sz w:val="18"/>
      <w:szCs w:val="18"/>
    </w:rPr>
  </w:style>
  <w:style w:type="paragraph" w:styleId="689">
    <w:name w:val="Document Map"/>
    <w:basedOn w:val="673"/>
    <w:link w:val="885"/>
    <w:uiPriority w:val="0"/>
    <w:unhideWhenUsed/>
    <w:qFormat/>
    <w:pPr>
      <w:jc w:val="left"/>
      <w:shd w:val="clear" w:color="auto" w:fill="000080"/>
      <w:widowControl/>
    </w:pPr>
    <w:rPr>
      <w:rFonts w:ascii="Times New Roman" w:hAnsi="Times New Roman"/>
      <w:sz w:val="24"/>
      <w:szCs w:val="24"/>
    </w:rPr>
  </w:style>
  <w:style w:type="paragraph" w:styleId="690">
    <w:name w:val="annotation text"/>
    <w:basedOn w:val="673"/>
    <w:link w:val="886"/>
    <w:uiPriority w:val="0"/>
    <w:unhideWhenUsed/>
    <w:qFormat/>
    <w:pPr>
      <w:jc w:val="left"/>
      <w:widowControl/>
    </w:pPr>
    <w:rPr>
      <w:rFonts w:ascii="Times New Roman" w:hAnsi="Times New Roman"/>
      <w:sz w:val="24"/>
      <w:szCs w:val="24"/>
    </w:rPr>
  </w:style>
  <w:style w:type="paragraph" w:styleId="691">
    <w:name w:val="Body Text"/>
    <w:basedOn w:val="673"/>
    <w:link w:val="887"/>
    <w:uiPriority w:val="99"/>
    <w:qFormat/>
    <w:pPr>
      <w:jc w:val="left"/>
      <w:spacing w:line="360" w:lineRule="auto"/>
      <w:widowControl/>
    </w:pPr>
    <w:rPr>
      <w:rFonts w:ascii="Times New Roman" w:hAnsi="Times New Roman"/>
      <w:sz w:val="24"/>
      <w:szCs w:val="20"/>
    </w:rPr>
  </w:style>
  <w:style w:type="paragraph" w:styleId="692">
    <w:name w:val="Body Text Indent"/>
    <w:basedOn w:val="673"/>
    <w:next w:val="673"/>
    <w:link w:val="888"/>
    <w:uiPriority w:val="0"/>
    <w:unhideWhenUsed/>
    <w:qFormat/>
    <w:pPr>
      <w:ind w:right="-159" w:firstLine="246"/>
      <w:spacing w:line="240" w:lineRule="atLeast"/>
    </w:pPr>
    <w:rPr>
      <w:rFonts w:ascii="Times New Roman" w:hAnsi="Times New Roman"/>
      <w:spacing w:val="20"/>
      <w:szCs w:val="24"/>
    </w:rPr>
  </w:style>
  <w:style w:type="paragraph" w:styleId="693">
    <w:name w:val="Block Text"/>
    <w:basedOn w:val="673"/>
    <w:uiPriority w:val="0"/>
    <w:unhideWhenUsed/>
    <w:qFormat/>
    <w:pPr>
      <w:ind w:left="630" w:right="-609" w:firstLine="420"/>
      <w:spacing w:line="360" w:lineRule="auto"/>
    </w:pPr>
    <w:rPr>
      <w:rFonts w:ascii="仿宋_GB2312" w:hAnsi="Times New Roman" w:eastAsia="仿宋_GB2312"/>
      <w:szCs w:val="20"/>
    </w:rPr>
  </w:style>
  <w:style w:type="paragraph" w:styleId="694">
    <w:name w:val="toc 5"/>
    <w:basedOn w:val="673"/>
    <w:next w:val="673"/>
    <w:uiPriority w:val="39"/>
    <w:unhideWhenUsed/>
    <w:qFormat/>
    <w:pPr>
      <w:ind w:left="1134"/>
      <w:spacing w:after="57"/>
    </w:pPr>
  </w:style>
  <w:style w:type="paragraph" w:styleId="695">
    <w:name w:val="toc 3"/>
    <w:basedOn w:val="673"/>
    <w:next w:val="673"/>
    <w:uiPriority w:val="39"/>
    <w:unhideWhenUsed/>
    <w:qFormat/>
    <w:pPr>
      <w:ind w:left="567"/>
      <w:spacing w:after="57"/>
    </w:pPr>
  </w:style>
  <w:style w:type="paragraph" w:styleId="696">
    <w:name w:val="toc 8"/>
    <w:basedOn w:val="673"/>
    <w:next w:val="673"/>
    <w:uiPriority w:val="39"/>
    <w:unhideWhenUsed/>
    <w:qFormat/>
    <w:pPr>
      <w:ind w:left="1984"/>
      <w:spacing w:after="57"/>
    </w:pPr>
  </w:style>
  <w:style w:type="paragraph" w:styleId="697">
    <w:name w:val="Date"/>
    <w:basedOn w:val="673"/>
    <w:next w:val="673"/>
    <w:link w:val="890"/>
    <w:uiPriority w:val="99"/>
    <w:unhideWhenUsed/>
    <w:qFormat/>
    <w:pPr>
      <w:ind w:left="100"/>
    </w:pPr>
    <w:rPr>
      <w:rFonts w:ascii="Times New Roman" w:hAnsi="Times New Roman"/>
      <w:b/>
      <w:bCs/>
      <w:spacing w:val="20"/>
      <w:szCs w:val="24"/>
    </w:rPr>
  </w:style>
  <w:style w:type="paragraph" w:styleId="698">
    <w:name w:val="Body Text Indent 2"/>
    <w:basedOn w:val="673"/>
    <w:link w:val="891"/>
    <w:uiPriority w:val="0"/>
    <w:unhideWhenUsed/>
    <w:qFormat/>
    <w:pPr>
      <w:ind w:firstLine="460"/>
      <w:jc w:val="left"/>
      <w:spacing w:line="360" w:lineRule="auto"/>
      <w:widowControl/>
    </w:pPr>
    <w:rPr>
      <w:rFonts w:ascii="Times New Roman" w:hAnsi="Times New Roman"/>
      <w:spacing w:val="20"/>
      <w:szCs w:val="24"/>
    </w:rPr>
  </w:style>
  <w:style w:type="paragraph" w:styleId="699">
    <w:name w:val="endnote text"/>
    <w:basedOn w:val="673"/>
    <w:link w:val="875"/>
    <w:uiPriority w:val="99"/>
    <w:semiHidden/>
    <w:unhideWhenUsed/>
    <w:qFormat/>
    <w:rPr>
      <w:sz w:val="20"/>
    </w:rPr>
  </w:style>
  <w:style w:type="paragraph" w:styleId="700">
    <w:name w:val="Balloon Text"/>
    <w:basedOn w:val="673"/>
    <w:link w:val="892"/>
    <w:uiPriority w:val="0"/>
    <w:unhideWhenUsed/>
    <w:qFormat/>
    <w:pPr>
      <w:jc w:val="left"/>
      <w:widowControl/>
    </w:pPr>
    <w:rPr>
      <w:rFonts w:ascii="Times New Roman" w:hAnsi="Times New Roman"/>
      <w:sz w:val="18"/>
      <w:szCs w:val="18"/>
    </w:rPr>
  </w:style>
  <w:style w:type="paragraph" w:styleId="701">
    <w:name w:val="Footer"/>
    <w:basedOn w:val="673"/>
    <w:link w:val="893"/>
    <w:uiPriority w:val="0"/>
    <w:unhideWhenUsed/>
    <w:qFormat/>
    <w:pPr>
      <w:jc w:val="left"/>
      <w:tabs>
        <w:tab w:val="center" w:pos="4153" w:leader="none"/>
        <w:tab w:val="right" w:pos="8306" w:leader="none"/>
      </w:tabs>
    </w:pPr>
    <w:rPr>
      <w:rFonts w:ascii="Times New Roman" w:hAnsi="Times New Roman"/>
      <w:sz w:val="18"/>
      <w:szCs w:val="18"/>
    </w:rPr>
  </w:style>
  <w:style w:type="paragraph" w:styleId="702">
    <w:name w:val="Header"/>
    <w:basedOn w:val="673"/>
    <w:link w:val="894"/>
    <w:uiPriority w:val="0"/>
    <w:unhideWhenUsed/>
    <w:qFormat/>
    <w:pPr>
      <w:jc w:val="center"/>
      <w:tabs>
        <w:tab w:val="center" w:pos="4153" w:leader="none"/>
        <w:tab w:val="right" w:pos="8306" w:leader="none"/>
      </w:tabs>
    </w:pPr>
    <w:rPr>
      <w:rFonts w:ascii="Times New Roman" w:hAnsi="Times New Roman"/>
      <w:sz w:val="18"/>
      <w:szCs w:val="18"/>
    </w:rPr>
  </w:style>
  <w:style w:type="paragraph" w:styleId="703">
    <w:name w:val="toc 1"/>
    <w:basedOn w:val="673"/>
    <w:next w:val="673"/>
    <w:uiPriority w:val="39"/>
    <w:unhideWhenUsed/>
    <w:qFormat/>
    <w:pPr>
      <w:spacing w:after="57"/>
    </w:pPr>
  </w:style>
  <w:style w:type="paragraph" w:styleId="704">
    <w:name w:val="toc 4"/>
    <w:basedOn w:val="673"/>
    <w:next w:val="673"/>
    <w:uiPriority w:val="39"/>
    <w:unhideWhenUsed/>
    <w:qFormat/>
    <w:pPr>
      <w:ind w:left="850"/>
      <w:spacing w:after="57"/>
    </w:pPr>
  </w:style>
  <w:style w:type="paragraph" w:styleId="705">
    <w:name w:val="Subtitle"/>
    <w:basedOn w:val="673"/>
    <w:next w:val="673"/>
    <w:link w:val="895"/>
    <w:uiPriority w:val="0"/>
    <w:qFormat/>
    <w:pPr>
      <w:ind w:left="1920" w:right="1920"/>
      <w:jc w:val="left"/>
      <w:keepLines/>
      <w:keepNext/>
      <w:spacing w:line="480" w:lineRule="auto"/>
      <w:widowControl/>
    </w:pPr>
    <w:rPr>
      <w:rFonts w:ascii="Times New Roman" w:hAnsi="Times New Roman" w:cs="宋体"/>
      <w:sz w:val="24"/>
      <w:szCs w:val="24"/>
    </w:rPr>
  </w:style>
  <w:style w:type="paragraph" w:styleId="706">
    <w:name w:val="footnote text"/>
    <w:basedOn w:val="673"/>
    <w:link w:val="874"/>
    <w:uiPriority w:val="99"/>
    <w:semiHidden/>
    <w:unhideWhenUsed/>
    <w:qFormat/>
    <w:pPr>
      <w:spacing w:after="40"/>
    </w:pPr>
    <w:rPr>
      <w:sz w:val="18"/>
    </w:rPr>
  </w:style>
  <w:style w:type="paragraph" w:styleId="707">
    <w:name w:val="toc 6"/>
    <w:basedOn w:val="673"/>
    <w:next w:val="673"/>
    <w:uiPriority w:val="39"/>
    <w:unhideWhenUsed/>
    <w:qFormat/>
    <w:pPr>
      <w:ind w:left="1417"/>
      <w:spacing w:after="57"/>
    </w:pPr>
  </w:style>
  <w:style w:type="paragraph" w:styleId="708">
    <w:name w:val="Body Text Indent 3"/>
    <w:basedOn w:val="673"/>
    <w:link w:val="896"/>
    <w:uiPriority w:val="99"/>
    <w:qFormat/>
    <w:pPr>
      <w:ind w:left="420"/>
      <w:spacing w:after="120"/>
    </w:pPr>
    <w:rPr>
      <w:rFonts w:ascii="Times New Roman" w:hAnsi="Times New Roman" w:eastAsia="楷体_GB2312"/>
      <w:sz w:val="16"/>
      <w:szCs w:val="16"/>
    </w:rPr>
  </w:style>
  <w:style w:type="paragraph" w:styleId="709">
    <w:name w:val="table of figures"/>
    <w:basedOn w:val="673"/>
    <w:next w:val="673"/>
    <w:uiPriority w:val="99"/>
    <w:unhideWhenUsed/>
    <w:qFormat/>
  </w:style>
  <w:style w:type="paragraph" w:styleId="710">
    <w:name w:val="toc 2"/>
    <w:basedOn w:val="673"/>
    <w:next w:val="673"/>
    <w:uiPriority w:val="39"/>
    <w:unhideWhenUsed/>
    <w:qFormat/>
    <w:pPr>
      <w:ind w:left="283"/>
      <w:spacing w:after="57"/>
    </w:pPr>
  </w:style>
  <w:style w:type="paragraph" w:styleId="711">
    <w:name w:val="toc 9"/>
    <w:basedOn w:val="673"/>
    <w:next w:val="673"/>
    <w:uiPriority w:val="39"/>
    <w:unhideWhenUsed/>
    <w:qFormat/>
    <w:pPr>
      <w:ind w:left="2268"/>
      <w:spacing w:after="57"/>
    </w:pPr>
  </w:style>
  <w:style w:type="paragraph" w:styleId="712">
    <w:name w:val="Body Text 2"/>
    <w:basedOn w:val="673"/>
    <w:link w:val="897"/>
    <w:uiPriority w:val="0"/>
    <w:unhideWhenUsed/>
    <w:qFormat/>
    <w:pPr>
      <w:jc w:val="left"/>
      <w:spacing w:after="120" w:line="480" w:lineRule="auto"/>
      <w:widowControl/>
    </w:pPr>
    <w:rPr>
      <w:rFonts w:ascii="Times New Roman" w:hAnsi="Times New Roman"/>
      <w:sz w:val="24"/>
      <w:szCs w:val="24"/>
    </w:rPr>
  </w:style>
  <w:style w:type="paragraph" w:styleId="713">
    <w:name w:val="Normal (Web)"/>
    <w:basedOn w:val="673"/>
    <w:uiPriority w:val="99"/>
    <w:unhideWhenUsed/>
    <w:qFormat/>
    <w:pPr>
      <w:jc w:val="left"/>
      <w:spacing w:before="100" w:beforeAutospacing="1" w:after="100" w:afterAutospacing="1"/>
      <w:widowControl/>
    </w:pPr>
    <w:rPr>
      <w:rFonts w:ascii="宋体" w:hAnsi="宋体" w:cs="宋体"/>
      <w:sz w:val="24"/>
      <w:szCs w:val="24"/>
    </w:rPr>
  </w:style>
  <w:style w:type="paragraph" w:styleId="714">
    <w:name w:val="Title"/>
    <w:basedOn w:val="673"/>
    <w:next w:val="673"/>
    <w:link w:val="898"/>
    <w:uiPriority w:val="0"/>
    <w:qFormat/>
    <w:pPr>
      <w:jc w:val="center"/>
      <w:spacing w:before="240" w:after="60"/>
      <w:widowControl/>
      <w:outlineLvl w:val="0"/>
    </w:pPr>
    <w:rPr>
      <w:rFonts w:ascii="Cambria" w:hAnsi="Cambria"/>
      <w:b/>
      <w:bCs/>
      <w:sz w:val="32"/>
      <w:szCs w:val="32"/>
    </w:rPr>
  </w:style>
  <w:style w:type="paragraph" w:styleId="715">
    <w:name w:val="annotation subject"/>
    <w:basedOn w:val="690"/>
    <w:next w:val="690"/>
    <w:link w:val="899"/>
    <w:uiPriority w:val="0"/>
    <w:unhideWhenUsed/>
    <w:qFormat/>
    <w:rPr>
      <w:b/>
      <w:bCs/>
    </w:rPr>
  </w:style>
  <w:style w:type="table" w:styleId="716">
    <w:name w:val="Table Grid"/>
    <w:basedOn w:val="684"/>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7">
    <w:name w:val="Strong"/>
    <w:uiPriority w:val="0"/>
    <w:qFormat/>
    <w:rPr>
      <w:b/>
    </w:rPr>
  </w:style>
  <w:style w:type="character" w:styleId="718">
    <w:name w:val="endnote reference"/>
    <w:uiPriority w:val="99"/>
    <w:semiHidden/>
    <w:unhideWhenUsed/>
    <w:qFormat/>
    <w:rPr>
      <w:vertAlign w:val="superscript"/>
    </w:rPr>
  </w:style>
  <w:style w:type="character" w:styleId="719">
    <w:name w:val="page number"/>
    <w:uiPriority w:val="99"/>
    <w:unhideWhenUsed/>
    <w:qFormat/>
  </w:style>
  <w:style w:type="character" w:styleId="720">
    <w:name w:val="Hyperlink"/>
    <w:uiPriority w:val="0"/>
    <w:unhideWhenUsed/>
    <w:qFormat/>
    <w:rPr>
      <w:color w:val="0000ff"/>
      <w:u w:val="single"/>
    </w:rPr>
  </w:style>
  <w:style w:type="character" w:styleId="721">
    <w:name w:val="annotation reference"/>
    <w:uiPriority w:val="0"/>
    <w:unhideWhenUsed/>
    <w:qFormat/>
    <w:rPr>
      <w:sz w:val="21"/>
      <w:szCs w:val="21"/>
    </w:rPr>
  </w:style>
  <w:style w:type="character" w:styleId="722">
    <w:name w:val="footnote reference"/>
    <w:uiPriority w:val="99"/>
    <w:unhideWhenUsed/>
    <w:qFormat/>
    <w:rPr>
      <w:vertAlign w:val="superscript"/>
    </w:rPr>
  </w:style>
  <w:style w:type="character" w:styleId="723" w:customStyle="1">
    <w:name w:val="Heading 8 Char"/>
    <w:basedOn w:val="683"/>
    <w:uiPriority w:val="9"/>
    <w:qFormat/>
    <w:rPr>
      <w:rFonts w:ascii="Arial" w:hAnsi="Arial" w:eastAsia="Arial" w:cs="Arial"/>
      <w:i/>
      <w:iCs/>
      <w:sz w:val="22"/>
      <w:szCs w:val="22"/>
    </w:rPr>
  </w:style>
  <w:style w:type="character" w:styleId="724" w:customStyle="1">
    <w:name w:val="Heading 9 Char"/>
    <w:basedOn w:val="683"/>
    <w:uiPriority w:val="9"/>
    <w:qFormat/>
    <w:rPr>
      <w:rFonts w:ascii="Arial" w:hAnsi="Arial" w:eastAsia="Arial" w:cs="Arial"/>
      <w:i/>
      <w:iCs/>
      <w:sz w:val="21"/>
      <w:szCs w:val="21"/>
    </w:rPr>
  </w:style>
  <w:style w:type="character" w:styleId="725" w:customStyle="1">
    <w:name w:val="Quote Char"/>
    <w:uiPriority w:val="29"/>
    <w:qFormat/>
    <w:rPr>
      <w:i/>
    </w:rPr>
  </w:style>
  <w:style w:type="character" w:styleId="726" w:customStyle="1">
    <w:name w:val="Intense Quote Char"/>
    <w:uiPriority w:val="30"/>
    <w:qFormat/>
    <w:rPr>
      <w:i/>
    </w:rPr>
  </w:style>
  <w:style w:type="table" w:styleId="727" w:customStyle="1">
    <w:name w:val="无格式表格 11"/>
    <w:basedOn w:val="68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无格式表格 21"/>
    <w:basedOn w:val="684"/>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无格式表格 31"/>
    <w:basedOn w:val="68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无格式表格 41"/>
    <w:basedOn w:val="68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无格式表格 51"/>
    <w:basedOn w:val="68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网格表 1 浅色1"/>
    <w:basedOn w:val="68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网格表 21"/>
    <w:basedOn w:val="684"/>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4" w:customStyle="1">
    <w:name w:val="网格表 31"/>
    <w:basedOn w:val="684"/>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网格表 41"/>
    <w:basedOn w:val="68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customStyle="1">
    <w:name w:val="网格表 5 深色1"/>
    <w:basedOn w:val="68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7" w:customStyle="1">
    <w:name w:val="网格表 6 彩色1"/>
    <w:basedOn w:val="68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8" w:customStyle="1">
    <w:name w:val="网格表 7 彩色1"/>
    <w:basedOn w:val="684"/>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9" w:customStyle="1">
    <w:name w:val="清单表 1 浅色1"/>
    <w:basedOn w:val="684"/>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0" w:customStyle="1">
    <w:name w:val="清单表 21"/>
    <w:basedOn w:val="684"/>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1" w:customStyle="1">
    <w:name w:val="清单表 31"/>
    <w:basedOn w:val="68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2" w:customStyle="1">
    <w:name w:val="清单表 41"/>
    <w:basedOn w:val="68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清单表 5 深色1"/>
    <w:basedOn w:val="684"/>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4" w:customStyle="1">
    <w:name w:val="清单表 6 彩色1"/>
    <w:basedOn w:val="684"/>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5" w:customStyle="1">
    <w:name w:val="清单表 7 彩色1"/>
    <w:basedOn w:val="684"/>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6" w:customStyle="1">
    <w:name w:val="Footnote Text Char"/>
    <w:uiPriority w:val="99"/>
    <w:qFormat/>
    <w:rPr>
      <w:sz w:val="18"/>
    </w:rPr>
  </w:style>
  <w:style w:type="character" w:styleId="747" w:customStyle="1">
    <w:name w:val="Endnote Text Char"/>
    <w:uiPriority w:val="99"/>
    <w:qFormat/>
    <w:rPr>
      <w:sz w:val="20"/>
    </w:rPr>
  </w:style>
  <w:style w:type="paragraph" w:styleId="748" w:customStyle="1">
    <w:name w:val="TOC 标题1"/>
    <w:uiPriority w:val="39"/>
    <w:unhideWhenUsed/>
    <w:qFormat/>
    <w:rPr>
      <w:rFonts w:ascii="Calibri" w:hAnsi="Calibri" w:eastAsia="宋体" w:cs="Times New Roman"/>
      <w:lang w:val="en-US" w:eastAsia="zh-CN" w:bidi="ar-SA"/>
    </w:rPr>
  </w:style>
  <w:style w:type="character" w:styleId="749" w:customStyle="1">
    <w:name w:val="Heading 1 Char"/>
    <w:uiPriority w:val="9"/>
    <w:qFormat/>
    <w:rPr>
      <w:rFonts w:ascii="Arial" w:hAnsi="Arial" w:eastAsia="Arial" w:cs="Arial"/>
      <w:sz w:val="40"/>
      <w:szCs w:val="40"/>
    </w:rPr>
  </w:style>
  <w:style w:type="character" w:styleId="750" w:customStyle="1">
    <w:name w:val="Heading 2 Char"/>
    <w:uiPriority w:val="9"/>
    <w:qFormat/>
    <w:rPr>
      <w:rFonts w:ascii="Arial" w:hAnsi="Arial" w:eastAsia="Arial" w:cs="Arial"/>
      <w:sz w:val="34"/>
    </w:rPr>
  </w:style>
  <w:style w:type="character" w:styleId="751" w:customStyle="1">
    <w:name w:val="Heading 3 Char"/>
    <w:uiPriority w:val="9"/>
    <w:qFormat/>
    <w:rPr>
      <w:rFonts w:ascii="Arial" w:hAnsi="Arial" w:eastAsia="Arial" w:cs="Arial"/>
      <w:sz w:val="30"/>
      <w:szCs w:val="30"/>
    </w:rPr>
  </w:style>
  <w:style w:type="character" w:styleId="752" w:customStyle="1">
    <w:name w:val="Heading 4 Char"/>
    <w:uiPriority w:val="9"/>
    <w:qFormat/>
    <w:rPr>
      <w:rFonts w:ascii="Arial" w:hAnsi="Arial" w:eastAsia="Arial" w:cs="Arial"/>
      <w:b/>
      <w:bCs/>
      <w:sz w:val="26"/>
      <w:szCs w:val="26"/>
    </w:rPr>
  </w:style>
  <w:style w:type="character" w:styleId="753" w:customStyle="1">
    <w:name w:val="Heading 5 Char"/>
    <w:uiPriority w:val="9"/>
    <w:qFormat/>
    <w:rPr>
      <w:rFonts w:ascii="Arial" w:hAnsi="Arial" w:eastAsia="Arial" w:cs="Arial"/>
      <w:b/>
      <w:bCs/>
      <w:sz w:val="24"/>
      <w:szCs w:val="24"/>
    </w:rPr>
  </w:style>
  <w:style w:type="character" w:styleId="754" w:customStyle="1">
    <w:name w:val="Heading 6 Char"/>
    <w:uiPriority w:val="9"/>
    <w:qFormat/>
    <w:rPr>
      <w:rFonts w:ascii="Arial" w:hAnsi="Arial" w:eastAsia="Arial" w:cs="Arial"/>
      <w:b/>
      <w:bCs/>
      <w:sz w:val="22"/>
      <w:szCs w:val="22"/>
    </w:rPr>
  </w:style>
  <w:style w:type="character" w:styleId="755" w:customStyle="1">
    <w:name w:val="Heading 7 Char"/>
    <w:uiPriority w:val="9"/>
    <w:qFormat/>
    <w:rPr>
      <w:rFonts w:ascii="Arial" w:hAnsi="Arial" w:eastAsia="Arial" w:cs="Arial"/>
      <w:b/>
      <w:bCs/>
      <w:i/>
      <w:iCs/>
      <w:sz w:val="22"/>
      <w:szCs w:val="22"/>
    </w:rPr>
  </w:style>
  <w:style w:type="character" w:styleId="756" w:customStyle="1">
    <w:name w:val="标题 8 字符"/>
    <w:link w:val="681"/>
    <w:uiPriority w:val="9"/>
    <w:qFormat/>
    <w:rPr>
      <w:rFonts w:ascii="Arial" w:hAnsi="Arial" w:eastAsia="Arial" w:cs="Arial"/>
      <w:i/>
      <w:iCs/>
      <w:sz w:val="22"/>
      <w:szCs w:val="22"/>
    </w:rPr>
  </w:style>
  <w:style w:type="character" w:styleId="757" w:customStyle="1">
    <w:name w:val="标题 9 字符"/>
    <w:link w:val="682"/>
    <w:uiPriority w:val="9"/>
    <w:qFormat/>
    <w:rPr>
      <w:rFonts w:ascii="Arial" w:hAnsi="Arial" w:eastAsia="Arial" w:cs="Arial"/>
      <w:i/>
      <w:iCs/>
      <w:sz w:val="21"/>
      <w:szCs w:val="21"/>
    </w:rPr>
  </w:style>
  <w:style w:type="paragraph" w:styleId="758">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59" w:customStyle="1">
    <w:name w:val="Title Char"/>
    <w:uiPriority w:val="10"/>
    <w:qFormat/>
    <w:rPr>
      <w:sz w:val="48"/>
      <w:szCs w:val="48"/>
    </w:rPr>
  </w:style>
  <w:style w:type="character" w:styleId="760" w:customStyle="1">
    <w:name w:val="Subtitle Char"/>
    <w:uiPriority w:val="11"/>
    <w:qFormat/>
    <w:rPr>
      <w:sz w:val="24"/>
      <w:szCs w:val="24"/>
    </w:rPr>
  </w:style>
  <w:style w:type="paragraph" w:styleId="761">
    <w:name w:val="Quote"/>
    <w:basedOn w:val="673"/>
    <w:next w:val="673"/>
    <w:link w:val="762"/>
    <w:uiPriority w:val="29"/>
    <w:qFormat/>
    <w:pPr>
      <w:ind w:left="720" w:right="720"/>
    </w:pPr>
    <w:rPr>
      <w:i/>
    </w:rPr>
  </w:style>
  <w:style w:type="character" w:styleId="762" w:customStyle="1">
    <w:name w:val="引用 字符"/>
    <w:link w:val="761"/>
    <w:uiPriority w:val="29"/>
    <w:qFormat/>
    <w:rPr>
      <w:i/>
    </w:rPr>
  </w:style>
  <w:style w:type="paragraph" w:styleId="763">
    <w:name w:val="Intense Quote"/>
    <w:basedOn w:val="673"/>
    <w:next w:val="673"/>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字符"/>
    <w:link w:val="763"/>
    <w:uiPriority w:val="30"/>
    <w:qFormat/>
    <w:rPr>
      <w:i/>
    </w:rPr>
  </w:style>
  <w:style w:type="character" w:styleId="765" w:customStyle="1">
    <w:name w:val="Header Char"/>
    <w:uiPriority w:val="99"/>
    <w:qFormat/>
  </w:style>
  <w:style w:type="character" w:styleId="766" w:customStyle="1">
    <w:name w:val="Footer Char"/>
    <w:uiPriority w:val="99"/>
    <w:qFormat/>
  </w:style>
  <w:style w:type="character" w:styleId="767" w:customStyle="1">
    <w:name w:val="Caption Char"/>
    <w:uiPriority w:val="99"/>
    <w:qFormat/>
  </w:style>
  <w:style w:type="table" w:styleId="76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7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7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7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7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8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8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9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9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1" w:customStyle="1">
    <w:name w:val="List Table 1 Light - Accent 1"/>
    <w:uiPriority w:val="99"/>
    <w:qFormat/>
    <w:tblPr>
      <w:tblCellMar>
        <w:left w:w="0" w:type="dxa"/>
        <w:top w:w="0" w:type="dxa"/>
        <w:right w:w="0" w:type="dxa"/>
        <w:bottom w:w="0" w:type="dxa"/>
      </w:tblCellMar>
    </w:tblPr>
  </w:style>
  <w:style w:type="table" w:styleId="812" w:customStyle="1">
    <w:name w:val="List Table 1 Light - Accent 2"/>
    <w:uiPriority w:val="99"/>
    <w:qFormat/>
    <w:tblPr>
      <w:tblCellMar>
        <w:left w:w="0" w:type="dxa"/>
        <w:top w:w="0" w:type="dxa"/>
        <w:right w:w="0" w:type="dxa"/>
        <w:bottom w:w="0" w:type="dxa"/>
      </w:tblCellMar>
    </w:tblPr>
  </w:style>
  <w:style w:type="table" w:styleId="813" w:customStyle="1">
    <w:name w:val="List Table 1 Light - Accent 3"/>
    <w:uiPriority w:val="99"/>
    <w:qFormat/>
    <w:tblPr>
      <w:tblCellMar>
        <w:left w:w="0" w:type="dxa"/>
        <w:top w:w="0" w:type="dxa"/>
        <w:right w:w="0" w:type="dxa"/>
        <w:bottom w:w="0" w:type="dxa"/>
      </w:tblCellMar>
    </w:tblPr>
  </w:style>
  <w:style w:type="table" w:styleId="814" w:customStyle="1">
    <w:name w:val="List Table 1 Light - Accent 4"/>
    <w:uiPriority w:val="99"/>
    <w:qFormat/>
    <w:tblPr>
      <w:tblCellMar>
        <w:left w:w="0" w:type="dxa"/>
        <w:top w:w="0" w:type="dxa"/>
        <w:right w:w="0" w:type="dxa"/>
        <w:bottom w:w="0" w:type="dxa"/>
      </w:tblCellMar>
    </w:tblPr>
  </w:style>
  <w:style w:type="table" w:styleId="815" w:customStyle="1">
    <w:name w:val="List Table 1 Light - Accent 5"/>
    <w:uiPriority w:val="99"/>
    <w:qFormat/>
    <w:tblPr>
      <w:tblCellMar>
        <w:left w:w="0" w:type="dxa"/>
        <w:top w:w="0" w:type="dxa"/>
        <w:right w:w="0" w:type="dxa"/>
        <w:bottom w:w="0" w:type="dxa"/>
      </w:tblCellMar>
    </w:tblPr>
  </w:style>
  <w:style w:type="table" w:styleId="816" w:customStyle="1">
    <w:name w:val="List Table 1 Light - Accent 6"/>
    <w:uiPriority w:val="99"/>
    <w:qFormat/>
    <w:tblPr>
      <w:tblCellMar>
        <w:left w:w="0" w:type="dxa"/>
        <w:top w:w="0" w:type="dxa"/>
        <w:right w:w="0" w:type="dxa"/>
        <w:bottom w:w="0" w:type="dxa"/>
      </w:tblCellMar>
    </w:tblPr>
  </w:style>
  <w:style w:type="table" w:styleId="81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1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2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2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2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2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2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2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2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2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3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3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3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3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3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3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3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3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3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3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4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4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4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4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4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4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4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4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4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4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5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5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5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53" w:customStyle="1">
    <w:name w:val="Lined - Accent"/>
    <w:uiPriority w:val="99"/>
    <w:qFormat/>
    <w:rPr>
      <w:color w:val="404040"/>
    </w:rPr>
    <w:tblPr>
      <w:tblCellMar>
        <w:left w:w="0" w:type="dxa"/>
        <w:top w:w="0" w:type="dxa"/>
        <w:right w:w="0" w:type="dxa"/>
        <w:bottom w:w="0" w:type="dxa"/>
      </w:tblCellMar>
    </w:tblPr>
  </w:style>
  <w:style w:type="table" w:styleId="854" w:customStyle="1">
    <w:name w:val="Lined - Accent 1"/>
    <w:uiPriority w:val="99"/>
    <w:qFormat/>
    <w:rPr>
      <w:color w:val="404040"/>
    </w:rPr>
    <w:tblPr>
      <w:tblCellMar>
        <w:left w:w="0" w:type="dxa"/>
        <w:top w:w="0" w:type="dxa"/>
        <w:right w:w="0" w:type="dxa"/>
        <w:bottom w:w="0" w:type="dxa"/>
      </w:tblCellMar>
    </w:tblPr>
  </w:style>
  <w:style w:type="table" w:styleId="855" w:customStyle="1">
    <w:name w:val="Lined - Accent 2"/>
    <w:uiPriority w:val="99"/>
    <w:qFormat/>
    <w:rPr>
      <w:color w:val="404040"/>
    </w:rPr>
    <w:tblPr>
      <w:tblCellMar>
        <w:left w:w="0" w:type="dxa"/>
        <w:top w:w="0" w:type="dxa"/>
        <w:right w:w="0" w:type="dxa"/>
        <w:bottom w:w="0" w:type="dxa"/>
      </w:tblCellMar>
    </w:tblPr>
  </w:style>
  <w:style w:type="table" w:styleId="856" w:customStyle="1">
    <w:name w:val="Lined - Accent 3"/>
    <w:uiPriority w:val="99"/>
    <w:qFormat/>
    <w:rPr>
      <w:color w:val="404040"/>
    </w:rPr>
    <w:tblPr>
      <w:tblCellMar>
        <w:left w:w="0" w:type="dxa"/>
        <w:top w:w="0" w:type="dxa"/>
        <w:right w:w="0" w:type="dxa"/>
        <w:bottom w:w="0" w:type="dxa"/>
      </w:tblCellMar>
    </w:tblPr>
  </w:style>
  <w:style w:type="table" w:styleId="857" w:customStyle="1">
    <w:name w:val="Lined - Accent 4"/>
    <w:uiPriority w:val="99"/>
    <w:qFormat/>
    <w:rPr>
      <w:color w:val="404040"/>
    </w:rPr>
    <w:tblPr>
      <w:tblCellMar>
        <w:left w:w="0" w:type="dxa"/>
        <w:top w:w="0" w:type="dxa"/>
        <w:right w:w="0" w:type="dxa"/>
        <w:bottom w:w="0" w:type="dxa"/>
      </w:tblCellMar>
    </w:tblPr>
  </w:style>
  <w:style w:type="table" w:styleId="858" w:customStyle="1">
    <w:name w:val="Lined - Accent 5"/>
    <w:uiPriority w:val="99"/>
    <w:qFormat/>
    <w:rPr>
      <w:color w:val="404040"/>
    </w:rPr>
    <w:tblPr>
      <w:tblCellMar>
        <w:left w:w="0" w:type="dxa"/>
        <w:top w:w="0" w:type="dxa"/>
        <w:right w:w="0" w:type="dxa"/>
        <w:bottom w:w="0" w:type="dxa"/>
      </w:tblCellMar>
    </w:tblPr>
  </w:style>
  <w:style w:type="table" w:styleId="859" w:customStyle="1">
    <w:name w:val="Lined - Accent 6"/>
    <w:uiPriority w:val="99"/>
    <w:qFormat/>
    <w:rPr>
      <w:color w:val="404040"/>
    </w:rPr>
    <w:tblPr>
      <w:tblCellMar>
        <w:left w:w="0" w:type="dxa"/>
        <w:top w:w="0" w:type="dxa"/>
        <w:right w:w="0" w:type="dxa"/>
        <w:bottom w:w="0" w:type="dxa"/>
      </w:tblCellMar>
    </w:tblPr>
  </w:style>
  <w:style w:type="table" w:styleId="86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6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6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6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6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6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4" w:customStyle="1">
    <w:name w:val="脚注文本 字符"/>
    <w:link w:val="706"/>
    <w:uiPriority w:val="99"/>
    <w:qFormat/>
    <w:rPr>
      <w:sz w:val="18"/>
    </w:rPr>
  </w:style>
  <w:style w:type="character" w:styleId="875" w:customStyle="1">
    <w:name w:val="尾注文本 字符"/>
    <w:link w:val="699"/>
    <w:uiPriority w:val="99"/>
    <w:qFormat/>
    <w:rPr>
      <w:sz w:val="20"/>
    </w:rPr>
  </w:style>
  <w:style w:type="paragraph" w:styleId="876" w:customStyle="1">
    <w:name w:val="TOC 标题11"/>
    <w:uiPriority w:val="39"/>
    <w:unhideWhenUsed/>
    <w:qFormat/>
    <w:rPr>
      <w:rFonts w:ascii="Calibri" w:hAnsi="Calibri" w:eastAsia="宋体" w:cs="Times New Roman"/>
      <w:lang w:val="en-US" w:eastAsia="zh-CN" w:bidi="ar-SA"/>
    </w:rPr>
  </w:style>
  <w:style w:type="character" w:styleId="877" w:customStyle="1">
    <w:name w:val="标题 1 字符1"/>
    <w:link w:val="674"/>
    <w:uiPriority w:val="0"/>
    <w:qFormat/>
    <w:rPr>
      <w:rFonts w:ascii="Times New Roman" w:hAnsi="Times New Roman" w:eastAsia="楷体_GB2312"/>
      <w:b/>
      <w:sz w:val="44"/>
    </w:rPr>
  </w:style>
  <w:style w:type="character" w:styleId="878" w:customStyle="1">
    <w:name w:val="标题 2 字符1"/>
    <w:link w:val="675"/>
    <w:uiPriority w:val="0"/>
    <w:semiHidden/>
    <w:qFormat/>
    <w:rPr>
      <w:rFonts w:ascii="等线 Light" w:hAnsi="等线 Light" w:eastAsia="等线 Light"/>
      <w:b/>
      <w:bCs/>
      <w:sz w:val="32"/>
      <w:szCs w:val="32"/>
    </w:rPr>
  </w:style>
  <w:style w:type="character" w:styleId="879" w:customStyle="1">
    <w:name w:val="标题 3 字符1"/>
    <w:link w:val="676"/>
    <w:uiPriority w:val="0"/>
    <w:qFormat/>
    <w:rPr>
      <w:rFonts w:ascii="Times New Roman" w:hAnsi="Times New Roman"/>
      <w:b/>
      <w:bCs/>
      <w:sz w:val="32"/>
      <w:szCs w:val="32"/>
    </w:rPr>
  </w:style>
  <w:style w:type="character" w:styleId="880" w:customStyle="1">
    <w:name w:val="标题 4 字符1"/>
    <w:link w:val="677"/>
    <w:uiPriority w:val="0"/>
    <w:semiHidden/>
    <w:qFormat/>
    <w:rPr>
      <w:rFonts w:ascii="宋体" w:hAnsi="宋体" w:eastAsia="等线"/>
      <w:b/>
      <w:bCs/>
      <w:sz w:val="24"/>
      <w:szCs w:val="24"/>
      <w:u w:val="single"/>
    </w:rPr>
  </w:style>
  <w:style w:type="character" w:styleId="881" w:customStyle="1">
    <w:name w:val="标题 5 字符1"/>
    <w:link w:val="678"/>
    <w:uiPriority w:val="0"/>
    <w:qFormat/>
    <w:rPr>
      <w:rFonts w:ascii="Times New Roman" w:hAnsi="Times New Roman"/>
      <w:b/>
      <w:bCs/>
      <w:sz w:val="28"/>
      <w:szCs w:val="28"/>
    </w:rPr>
  </w:style>
  <w:style w:type="character" w:styleId="882" w:customStyle="1">
    <w:name w:val="标题 6 字符1"/>
    <w:link w:val="679"/>
    <w:uiPriority w:val="0"/>
    <w:qFormat/>
    <w:rPr>
      <w:rFonts w:ascii="Arial" w:hAnsi="Arial" w:eastAsia="黑体"/>
      <w:b/>
      <w:bCs/>
      <w:sz w:val="24"/>
      <w:szCs w:val="24"/>
    </w:rPr>
  </w:style>
  <w:style w:type="character" w:styleId="883" w:customStyle="1">
    <w:name w:val="标题 7 字符1"/>
    <w:link w:val="680"/>
    <w:uiPriority w:val="0"/>
    <w:semiHidden/>
    <w:qFormat/>
    <w:rPr>
      <w:rFonts w:ascii="Times New Roman" w:hAnsi="Times New Roman"/>
      <w:b/>
      <w:bCs/>
      <w:sz w:val="24"/>
      <w:szCs w:val="24"/>
    </w:rPr>
  </w:style>
  <w:style w:type="character" w:styleId="884" w:customStyle="1">
    <w:name w:val="正文缩进 字符"/>
    <w:link w:val="687"/>
    <w:uiPriority w:val="0"/>
    <w:qFormat/>
    <w:rPr>
      <w:rFonts w:ascii="楷体_GB2312" w:eastAsia="楷体_GB2312"/>
      <w:sz w:val="24"/>
    </w:rPr>
  </w:style>
  <w:style w:type="character" w:styleId="885" w:customStyle="1">
    <w:name w:val="文档结构图 字符"/>
    <w:link w:val="689"/>
    <w:uiPriority w:val="0"/>
    <w:qFormat/>
    <w:rPr>
      <w:rFonts w:ascii="Times New Roman" w:hAnsi="Times New Roman"/>
      <w:sz w:val="24"/>
      <w:szCs w:val="24"/>
      <w:shd w:val="clear" w:color="auto" w:fill="000080"/>
    </w:rPr>
  </w:style>
  <w:style w:type="character" w:styleId="886" w:customStyle="1">
    <w:name w:val="批注文字 字符1"/>
    <w:link w:val="690"/>
    <w:uiPriority w:val="0"/>
    <w:qFormat/>
    <w:rPr>
      <w:rFonts w:ascii="Times New Roman" w:hAnsi="Times New Roman"/>
      <w:sz w:val="24"/>
      <w:szCs w:val="24"/>
    </w:rPr>
  </w:style>
  <w:style w:type="character" w:styleId="887" w:customStyle="1">
    <w:name w:val="正文文本 字符"/>
    <w:link w:val="691"/>
    <w:uiPriority w:val="99"/>
    <w:qFormat/>
    <w:rPr>
      <w:rFonts w:ascii="Times New Roman" w:hAnsi="Times New Roman"/>
      <w:sz w:val="24"/>
    </w:rPr>
  </w:style>
  <w:style w:type="character" w:styleId="888" w:customStyle="1">
    <w:name w:val="正文文本缩进 字符2"/>
    <w:link w:val="692"/>
    <w:uiPriority w:val="0"/>
    <w:qFormat/>
    <w:rPr>
      <w:rFonts w:ascii="Times New Roman" w:hAnsi="Times New Roman"/>
      <w:spacing w:val="20"/>
      <w:sz w:val="21"/>
      <w:szCs w:val="24"/>
    </w:rPr>
  </w:style>
  <w:style w:type="character" w:styleId="889" w:customStyle="1">
    <w:name w:val="纯文本 字符"/>
    <w:uiPriority w:val="0"/>
    <w:qFormat/>
    <w:rPr>
      <w:rFonts w:ascii="宋体" w:hAnsi="Courier New" w:eastAsia="楷体_GB2312"/>
      <w:sz w:val="26"/>
    </w:rPr>
  </w:style>
  <w:style w:type="character" w:styleId="890" w:customStyle="1">
    <w:name w:val="日期 字符"/>
    <w:link w:val="697"/>
    <w:uiPriority w:val="99"/>
    <w:qFormat/>
    <w:rPr>
      <w:rFonts w:ascii="Times New Roman" w:hAnsi="Times New Roman"/>
      <w:b/>
      <w:bCs/>
      <w:spacing w:val="20"/>
      <w:sz w:val="21"/>
      <w:szCs w:val="24"/>
    </w:rPr>
  </w:style>
  <w:style w:type="character" w:styleId="891" w:customStyle="1">
    <w:name w:val="正文文本缩进 2 字符2"/>
    <w:link w:val="698"/>
    <w:uiPriority w:val="0"/>
    <w:qFormat/>
    <w:rPr>
      <w:rFonts w:ascii="Times New Roman" w:hAnsi="Times New Roman"/>
      <w:spacing w:val="20"/>
      <w:sz w:val="21"/>
      <w:szCs w:val="24"/>
    </w:rPr>
  </w:style>
  <w:style w:type="character" w:styleId="892" w:customStyle="1">
    <w:name w:val="批注框文本 字符"/>
    <w:link w:val="700"/>
    <w:uiPriority w:val="0"/>
    <w:qFormat/>
    <w:rPr>
      <w:rFonts w:ascii="Times New Roman" w:hAnsi="Times New Roman"/>
      <w:sz w:val="18"/>
      <w:szCs w:val="18"/>
    </w:rPr>
  </w:style>
  <w:style w:type="character" w:styleId="893" w:customStyle="1">
    <w:name w:val="页脚 字符"/>
    <w:link w:val="701"/>
    <w:uiPriority w:val="99"/>
    <w:qFormat/>
    <w:rPr>
      <w:rFonts w:ascii="Times New Roman" w:hAnsi="Times New Roman"/>
      <w:sz w:val="18"/>
      <w:szCs w:val="18"/>
    </w:rPr>
  </w:style>
  <w:style w:type="character" w:styleId="894" w:customStyle="1">
    <w:name w:val="页眉 字符2"/>
    <w:link w:val="702"/>
    <w:uiPriority w:val="99"/>
    <w:qFormat/>
    <w:rPr>
      <w:rFonts w:ascii="Times New Roman" w:hAnsi="Times New Roman"/>
      <w:sz w:val="18"/>
      <w:szCs w:val="18"/>
    </w:rPr>
  </w:style>
  <w:style w:type="character" w:styleId="895" w:customStyle="1">
    <w:name w:val="副标题 字符2"/>
    <w:link w:val="705"/>
    <w:uiPriority w:val="0"/>
    <w:qFormat/>
    <w:rPr>
      <w:rFonts w:ascii="Times New Roman" w:hAnsi="Times New Roman" w:cs="宋体"/>
      <w:sz w:val="24"/>
      <w:szCs w:val="24"/>
    </w:rPr>
  </w:style>
  <w:style w:type="character" w:styleId="896" w:customStyle="1">
    <w:name w:val="正文文本缩进 3 字符"/>
    <w:link w:val="708"/>
    <w:uiPriority w:val="99"/>
    <w:qFormat/>
    <w:rPr>
      <w:rFonts w:ascii="Times New Roman" w:hAnsi="Times New Roman" w:eastAsia="楷体_GB2312"/>
      <w:sz w:val="16"/>
      <w:szCs w:val="16"/>
    </w:rPr>
  </w:style>
  <w:style w:type="character" w:styleId="897" w:customStyle="1">
    <w:name w:val="正文文本 2 字符"/>
    <w:link w:val="712"/>
    <w:uiPriority w:val="0"/>
    <w:qFormat/>
    <w:rPr>
      <w:rFonts w:ascii="Times New Roman" w:hAnsi="Times New Roman"/>
      <w:sz w:val="24"/>
      <w:szCs w:val="24"/>
    </w:rPr>
  </w:style>
  <w:style w:type="character" w:styleId="898" w:customStyle="1">
    <w:name w:val="标题 字符"/>
    <w:link w:val="714"/>
    <w:uiPriority w:val="0"/>
    <w:qFormat/>
    <w:rPr>
      <w:rFonts w:ascii="Cambria" w:hAnsi="Cambria"/>
      <w:b/>
      <w:bCs/>
      <w:sz w:val="32"/>
      <w:szCs w:val="32"/>
    </w:rPr>
  </w:style>
  <w:style w:type="character" w:styleId="899" w:customStyle="1">
    <w:name w:val="批注主题 字符2"/>
    <w:link w:val="715"/>
    <w:uiPriority w:val="0"/>
    <w:qFormat/>
    <w:rPr>
      <w:rFonts w:ascii="Times New Roman" w:hAnsi="Times New Roman"/>
      <w:b/>
      <w:bCs/>
      <w:sz w:val="24"/>
      <w:szCs w:val="24"/>
    </w:rPr>
  </w:style>
  <w:style w:type="paragraph" w:styleId="900" w:customStyle="1">
    <w:name w:val="正文首行缩进 21"/>
    <w:basedOn w:val="692"/>
    <w:link w:val="901"/>
    <w:uiPriority w:val="99"/>
    <w:unhideWhenUsed/>
    <w:qFormat/>
    <w:pPr>
      <w:ind w:left="420" w:right="0" w:firstLine="420"/>
      <w:jc w:val="left"/>
      <w:spacing w:after="120" w:line="240" w:lineRule="auto"/>
      <w:widowControl/>
    </w:pPr>
    <w:rPr>
      <w:sz w:val="24"/>
    </w:rPr>
  </w:style>
  <w:style w:type="character" w:styleId="901" w:customStyle="1">
    <w:name w:val="正文文本首行缩进 2 字符1"/>
    <w:link w:val="900"/>
    <w:uiPriority w:val="99"/>
    <w:qFormat/>
    <w:rPr>
      <w:rFonts w:ascii="Times New Roman" w:hAnsi="Times New Roman"/>
      <w:spacing w:val="20"/>
      <w:sz w:val="24"/>
      <w:szCs w:val="24"/>
    </w:rPr>
  </w:style>
  <w:style w:type="character" w:styleId="902" w:customStyle="1">
    <w:name w:val="已访问的超链接1"/>
    <w:uiPriority w:val="0"/>
    <w:unhideWhenUsed/>
    <w:qFormat/>
    <w:rPr>
      <w:color w:val="800080"/>
      <w:u w:val="single"/>
    </w:rPr>
  </w:style>
  <w:style w:type="character" w:styleId="903" w:customStyle="1">
    <w:name w:val="纯文本 字符2"/>
    <w:link w:val="685"/>
    <w:uiPriority w:val="99"/>
    <w:qFormat/>
    <w:rPr>
      <w:rFonts w:ascii="宋体" w:hAnsi="Courier New" w:eastAsia="楷体_GB2312"/>
      <w:sz w:val="26"/>
    </w:rPr>
  </w:style>
  <w:style w:type="paragraph" w:styleId="904" w:customStyle="1">
    <w:name w:val="纯文本2"/>
    <w:basedOn w:val="673"/>
    <w:uiPriority w:val="0"/>
    <w:qFormat/>
    <w:pPr>
      <w:jc w:val="left"/>
      <w:widowControl/>
    </w:pPr>
    <w:rPr>
      <w:rFonts w:ascii="宋体" w:hAnsi="Courier New" w:eastAsia="楷体_GB2312"/>
      <w:sz w:val="26"/>
      <w:szCs w:val="20"/>
    </w:rPr>
  </w:style>
  <w:style w:type="character" w:styleId="905" w:customStyle="1">
    <w:name w:val="标题 1 字符"/>
    <w:uiPriority w:val="9"/>
    <w:qFormat/>
    <w:rPr>
      <w:b/>
      <w:bCs/>
      <w:sz w:val="44"/>
      <w:szCs w:val="44"/>
    </w:rPr>
  </w:style>
  <w:style w:type="character" w:styleId="906" w:customStyle="1">
    <w:name w:val="标题 2 字符"/>
    <w:uiPriority w:val="9"/>
    <w:semiHidden/>
    <w:qFormat/>
    <w:rPr>
      <w:rFonts w:ascii="Cambria" w:hAnsi="Cambria" w:eastAsia="宋体" w:cs="Times New Roman"/>
      <w:b/>
      <w:bCs/>
      <w:sz w:val="32"/>
      <w:szCs w:val="32"/>
    </w:rPr>
  </w:style>
  <w:style w:type="character" w:styleId="907" w:customStyle="1">
    <w:name w:val="标题 3 字符"/>
    <w:uiPriority w:val="9"/>
    <w:semiHidden/>
    <w:qFormat/>
    <w:rPr>
      <w:b/>
      <w:bCs/>
      <w:sz w:val="32"/>
      <w:szCs w:val="32"/>
    </w:rPr>
  </w:style>
  <w:style w:type="character" w:styleId="908" w:customStyle="1">
    <w:name w:val="标题 4 字符"/>
    <w:uiPriority w:val="9"/>
    <w:semiHidden/>
    <w:qFormat/>
    <w:rPr>
      <w:rFonts w:ascii="Cambria" w:hAnsi="Cambria" w:eastAsia="宋体" w:cs="Times New Roman"/>
      <w:b/>
      <w:bCs/>
      <w:sz w:val="28"/>
      <w:szCs w:val="28"/>
    </w:rPr>
  </w:style>
  <w:style w:type="character" w:styleId="909" w:customStyle="1">
    <w:name w:val="标题 5 字符"/>
    <w:uiPriority w:val="9"/>
    <w:semiHidden/>
    <w:qFormat/>
    <w:rPr>
      <w:b/>
      <w:bCs/>
      <w:sz w:val="28"/>
      <w:szCs w:val="28"/>
    </w:rPr>
  </w:style>
  <w:style w:type="character" w:styleId="910" w:customStyle="1">
    <w:name w:val="标题 6 字符"/>
    <w:uiPriority w:val="9"/>
    <w:semiHidden/>
    <w:qFormat/>
    <w:rPr>
      <w:rFonts w:ascii="Cambria" w:hAnsi="Cambria" w:eastAsia="宋体" w:cs="Times New Roman"/>
      <w:b/>
      <w:bCs/>
      <w:sz w:val="24"/>
      <w:szCs w:val="24"/>
    </w:rPr>
  </w:style>
  <w:style w:type="character" w:styleId="911" w:customStyle="1">
    <w:name w:val="标题 7 字符"/>
    <w:uiPriority w:val="9"/>
    <w:semiHidden/>
    <w:qFormat/>
    <w:rPr>
      <w:b/>
      <w:bCs/>
      <w:sz w:val="24"/>
      <w:szCs w:val="24"/>
    </w:rPr>
  </w:style>
  <w:style w:type="paragraph" w:styleId="912" w:customStyle="1">
    <w:name w:val="msonormal"/>
    <w:basedOn w:val="673"/>
    <w:uiPriority w:val="0"/>
    <w:qFormat/>
    <w:pPr>
      <w:jc w:val="left"/>
      <w:spacing w:before="100" w:beforeAutospacing="1" w:after="100" w:afterAutospacing="1"/>
      <w:widowControl/>
    </w:pPr>
    <w:rPr>
      <w:rFonts w:ascii="宋体" w:hAnsi="宋体" w:cs="宋体"/>
      <w:sz w:val="24"/>
      <w:szCs w:val="24"/>
    </w:rPr>
  </w:style>
  <w:style w:type="character" w:styleId="913" w:customStyle="1">
    <w:name w:val="批注文字 字符"/>
    <w:uiPriority w:val="0"/>
    <w:qFormat/>
    <w:rPr>
      <w:sz w:val="21"/>
      <w:szCs w:val="22"/>
    </w:rPr>
  </w:style>
  <w:style w:type="character" w:styleId="914" w:customStyle="1">
    <w:name w:val="页眉 字符"/>
    <w:uiPriority w:val="0"/>
    <w:qFormat/>
    <w:rPr>
      <w:sz w:val="18"/>
      <w:szCs w:val="18"/>
    </w:rPr>
  </w:style>
  <w:style w:type="character" w:styleId="915" w:customStyle="1">
    <w:name w:val="正文文本缩进 字符"/>
    <w:uiPriority w:val="0"/>
    <w:qFormat/>
    <w:rPr>
      <w:sz w:val="21"/>
      <w:szCs w:val="22"/>
    </w:rPr>
  </w:style>
  <w:style w:type="character" w:styleId="916" w:customStyle="1">
    <w:name w:val="副标题 字符"/>
    <w:uiPriority w:val="0"/>
    <w:qFormat/>
    <w:rPr>
      <w:rFonts w:ascii="Cambria" w:hAnsi="Cambria" w:cs="Times New Roman"/>
      <w:b/>
      <w:bCs/>
      <w:sz w:val="32"/>
      <w:szCs w:val="32"/>
    </w:rPr>
  </w:style>
  <w:style w:type="character" w:styleId="917" w:customStyle="1">
    <w:name w:val="正文文本首行缩进 2 字符"/>
    <w:uiPriority w:val="99"/>
    <w:qFormat/>
  </w:style>
  <w:style w:type="character" w:styleId="918" w:customStyle="1">
    <w:name w:val="正文文本缩进 2 字符"/>
    <w:uiPriority w:val="0"/>
    <w:qFormat/>
    <w:rPr>
      <w:sz w:val="21"/>
      <w:szCs w:val="22"/>
    </w:rPr>
  </w:style>
  <w:style w:type="character" w:styleId="919" w:customStyle="1">
    <w:name w:val="批注主题 字符"/>
    <w:uiPriority w:val="0"/>
    <w:qFormat/>
    <w:rPr>
      <w:b/>
      <w:bCs/>
      <w:sz w:val="21"/>
      <w:szCs w:val="22"/>
    </w:rPr>
  </w:style>
  <w:style w:type="character" w:styleId="920" w:customStyle="1">
    <w:name w:val="列出段落 字符"/>
    <w:link w:val="921"/>
    <w:uiPriority w:val="34"/>
    <w:qFormat/>
    <w:rPr>
      <w:rFonts w:cs="Calibri"/>
      <w:sz w:val="21"/>
      <w:szCs w:val="22"/>
    </w:rPr>
  </w:style>
  <w:style w:type="paragraph" w:styleId="921">
    <w:name w:val="List Paragraph"/>
    <w:basedOn w:val="673"/>
    <w:link w:val="920"/>
    <w:uiPriority w:val="0"/>
    <w:qFormat/>
    <w:pPr>
      <w:ind w:firstLine="420"/>
    </w:pPr>
  </w:style>
  <w:style w:type="paragraph" w:styleId="922" w:customStyle="1">
    <w:name w:val="Plain Text1"/>
    <w:basedOn w:val="673"/>
    <w:uiPriority w:val="0"/>
    <w:qFormat/>
    <w:rPr>
      <w:rFonts w:ascii="宋体" w:hAnsi="Courier New" w:eastAsia="楷体_GB2312"/>
      <w:sz w:val="26"/>
      <w:szCs w:val="20"/>
    </w:rPr>
  </w:style>
  <w:style w:type="paragraph" w:styleId="923" w:customStyle="1">
    <w:name w:val="Char1 Char Char Char"/>
    <w:basedOn w:val="673"/>
    <w:uiPriority w:val="0"/>
    <w:qFormat/>
    <w:rPr>
      <w:rFonts w:ascii="Times New Roman" w:hAnsi="Times New Roman"/>
      <w:szCs w:val="24"/>
    </w:rPr>
  </w:style>
  <w:style w:type="paragraph" w:styleId="924" w:customStyle="1">
    <w:name w:val="符号列表"/>
    <w:basedOn w:val="673"/>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25" w:customStyle="1">
    <w:name w:val="xl71"/>
    <w:basedOn w:val="67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26" w:customStyle="1">
    <w:name w:val="段"/>
    <w:next w:val="673"/>
    <w:uiPriority w:val="0"/>
    <w:qFormat/>
    <w:pPr>
      <w:ind w:firstLine="200"/>
      <w:jc w:val="both"/>
      <w:spacing w:line="360" w:lineRule="auto"/>
    </w:pPr>
    <w:rPr>
      <w:rFonts w:ascii="宋体" w:hAnsi="宋体" w:eastAsia="宋体" w:cs="宋体"/>
      <w:sz w:val="24"/>
      <w:szCs w:val="22"/>
      <w:lang w:val="en-US" w:eastAsia="zh-CN" w:bidi="ar-SA"/>
    </w:rPr>
  </w:style>
  <w:style w:type="paragraph" w:styleId="927" w:customStyle="1">
    <w:name w:val="纯文本3"/>
    <w:basedOn w:val="673"/>
    <w:uiPriority w:val="0"/>
    <w:qFormat/>
    <w:pPr>
      <w:jc w:val="left"/>
      <w:widowControl/>
    </w:pPr>
    <w:rPr>
      <w:rFonts w:ascii="宋体" w:hAnsi="Courier New" w:eastAsia="楷体_GB2312"/>
      <w:sz w:val="26"/>
      <w:szCs w:val="20"/>
    </w:rPr>
  </w:style>
  <w:style w:type="paragraph" w:styleId="928" w:customStyle="1">
    <w:name w:val="xl94"/>
    <w:basedOn w:val="67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29" w:customStyle="1">
    <w:name w:val="列出段落1"/>
    <w:basedOn w:val="673"/>
    <w:uiPriority w:val="0"/>
    <w:qFormat/>
    <w:pPr>
      <w:ind w:firstLine="420"/>
    </w:pPr>
  </w:style>
  <w:style w:type="paragraph" w:styleId="930" w:customStyle="1">
    <w:name w:val="xl82"/>
    <w:basedOn w:val="6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31" w:customStyle="1">
    <w:name w:val="xl101"/>
    <w:basedOn w:val="6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32" w:customStyle="1">
    <w:name w:val="Char Char2"/>
    <w:basedOn w:val="689"/>
    <w:uiPriority w:val="0"/>
    <w:qFormat/>
    <w:pPr>
      <w:spacing w:line="360" w:lineRule="auto"/>
    </w:pPr>
    <w:rPr>
      <w:rFonts w:ascii="等线" w:hAnsi="等线" w:eastAsia="等线"/>
    </w:rPr>
  </w:style>
  <w:style w:type="paragraph" w:styleId="933" w:customStyle="1">
    <w:name w:val="xl99"/>
    <w:basedOn w:val="67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34" w:customStyle="1">
    <w:name w:val="Char"/>
    <w:basedOn w:val="689"/>
    <w:uiPriority w:val="0"/>
    <w:qFormat/>
    <w:pPr>
      <w:jc w:val="both"/>
      <w:spacing w:line="360" w:lineRule="auto"/>
      <w:widowControl w:val="off"/>
    </w:pPr>
    <w:rPr>
      <w:sz w:val="21"/>
    </w:rPr>
  </w:style>
  <w:style w:type="paragraph" w:styleId="935" w:customStyle="1">
    <w:name w:val="xl100"/>
    <w:basedOn w:val="67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36" w:customStyle="1">
    <w:name w:val="xl87"/>
    <w:basedOn w:val="6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37" w:customStyle="1">
    <w:name w:val="xl98"/>
    <w:basedOn w:val="67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38" w:customStyle="1">
    <w:name w:val="xl72"/>
    <w:basedOn w:val="6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9" w:customStyle="1">
    <w:name w:val="xl95"/>
    <w:basedOn w:val="6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40" w:customStyle="1">
    <w:name w:val="xl90"/>
    <w:basedOn w:val="67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41" w:customStyle="1">
    <w:name w:val="xl102"/>
    <w:basedOn w:val="67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42" w:customStyle="1">
    <w:name w:val="正文文本 3 Char"/>
    <w:link w:val="943"/>
    <w:uiPriority w:val="0"/>
    <w:qFormat/>
    <w:rPr>
      <w:rFonts w:ascii="仿宋_GB2312" w:eastAsia="仿宋_GB2312"/>
      <w:sz w:val="16"/>
      <w:szCs w:val="16"/>
    </w:rPr>
  </w:style>
  <w:style w:type="paragraph" w:styleId="943" w:customStyle="1">
    <w:name w:val="正文文本 31"/>
    <w:basedOn w:val="673"/>
    <w:link w:val="942"/>
    <w:uiPriority w:val="0"/>
    <w:qFormat/>
    <w:pPr>
      <w:spacing w:after="120"/>
      <w:widowControl/>
    </w:pPr>
    <w:rPr>
      <w:rFonts w:ascii="仿宋_GB2312" w:eastAsia="仿宋_GB2312"/>
      <w:sz w:val="16"/>
      <w:szCs w:val="16"/>
    </w:rPr>
  </w:style>
  <w:style w:type="paragraph" w:styleId="944" w:customStyle="1">
    <w:name w:val="xl79"/>
    <w:basedOn w:val="67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45" w:customStyle="1">
    <w:name w:val="Char1"/>
    <w:basedOn w:val="673"/>
    <w:uiPriority w:val="0"/>
    <w:qFormat/>
    <w:rPr>
      <w:rFonts w:ascii="Tahoma" w:hAnsi="Tahoma"/>
      <w:sz w:val="24"/>
      <w:szCs w:val="20"/>
    </w:rPr>
  </w:style>
  <w:style w:type="paragraph" w:styleId="946" w:customStyle="1">
    <w:name w:val="a6"/>
    <w:basedOn w:val="673"/>
    <w:uiPriority w:val="0"/>
    <w:qFormat/>
    <w:pPr>
      <w:jc w:val="left"/>
      <w:spacing w:before="100" w:beforeAutospacing="1" w:after="100" w:afterAutospacing="1"/>
      <w:widowControl/>
    </w:pPr>
    <w:rPr>
      <w:rFonts w:ascii="宋体" w:hAnsi="宋体" w:cs="宋体"/>
      <w:sz w:val="24"/>
      <w:szCs w:val="24"/>
    </w:rPr>
  </w:style>
  <w:style w:type="paragraph" w:styleId="947" w:customStyle="1">
    <w:name w:val="_Style 107"/>
    <w:next w:val="673"/>
    <w:uiPriority w:val="0"/>
    <w:qFormat/>
    <w:rPr>
      <w:rFonts w:ascii="Times New Roman" w:hAnsi="Times New Roman" w:eastAsia="宋体" w:cs="Times New Roman"/>
      <w:sz w:val="24"/>
      <w:szCs w:val="24"/>
      <w:lang w:val="en-US" w:eastAsia="zh-CN" w:bidi="ar-SA"/>
    </w:rPr>
  </w:style>
  <w:style w:type="paragraph" w:styleId="948" w:customStyle="1">
    <w:name w:val="xl97"/>
    <w:basedOn w:val="673"/>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49" w:customStyle="1">
    <w:name w:val="正文2"/>
    <w:basedOn w:val="673"/>
    <w:uiPriority w:val="0"/>
    <w:qFormat/>
    <w:pPr>
      <w:ind w:firstLine="200"/>
      <w:jc w:val="left"/>
      <w:spacing w:after="160" w:line="360" w:lineRule="auto"/>
      <w:widowControl/>
    </w:pPr>
    <w:rPr>
      <w:rFonts w:ascii="Verdana" w:hAnsi="Verdana" w:eastAsia="黑体"/>
      <w:szCs w:val="20"/>
      <w:lang w:eastAsia="en-US"/>
    </w:rPr>
  </w:style>
  <w:style w:type="paragraph" w:styleId="950" w:customStyle="1">
    <w:name w:val="正文1"/>
    <w:basedOn w:val="673"/>
    <w:next w:val="673"/>
    <w:uiPriority w:val="0"/>
    <w:qFormat/>
    <w:pPr>
      <w:ind w:left="420" w:firstLine="527"/>
      <w:spacing w:before="120" w:line="360" w:lineRule="auto"/>
    </w:pPr>
    <w:rPr>
      <w:rFonts w:ascii="宋体" w:hAnsi="宋体"/>
      <w:sz w:val="24"/>
      <w:szCs w:val="20"/>
    </w:rPr>
  </w:style>
  <w:style w:type="paragraph" w:styleId="951" w:customStyle="1">
    <w:name w:val="xl85"/>
    <w:basedOn w:val="6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2" w:customStyle="1">
    <w:name w:val="_Style 49"/>
    <w:basedOn w:val="689"/>
    <w:uiPriority w:val="0"/>
    <w:qFormat/>
    <w:pPr>
      <w:spacing w:line="360" w:lineRule="auto"/>
    </w:pPr>
  </w:style>
  <w:style w:type="paragraph" w:styleId="953" w:customStyle="1">
    <w:name w:val="xl92"/>
    <w:basedOn w:val="6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54" w:customStyle="1">
    <w:name w:val="xl88"/>
    <w:basedOn w:val="67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55" w:customStyle="1">
    <w:name w:val="xl80"/>
    <w:basedOn w:val="6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56" w:customStyle="1">
    <w:name w:val="xl77"/>
    <w:basedOn w:val="6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57" w:customStyle="1">
    <w:name w:val="Char Char Char Char Char Char Char Char Char Char"/>
    <w:basedOn w:val="673"/>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958" w:customStyle="1">
    <w:name w:val="Char Char Char Char Char Char Char Char Char1 Char"/>
    <w:basedOn w:val="689"/>
    <w:uiPriority w:val="0"/>
    <w:qFormat/>
    <w:pPr>
      <w:jc w:val="both"/>
      <w:spacing w:line="360" w:lineRule="auto"/>
      <w:widowControl w:val="off"/>
    </w:pPr>
    <w:rPr>
      <w:rFonts w:ascii="Tahoma" w:hAnsi="Tahoma"/>
    </w:rPr>
  </w:style>
  <w:style w:type="paragraph" w:styleId="959" w:customStyle="1">
    <w:name w:val="xl103"/>
    <w:basedOn w:val="673"/>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960" w:customStyle="1">
    <w:name w:val="xl96"/>
    <w:basedOn w:val="673"/>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961" w:customStyle="1">
    <w:name w:val="xl76"/>
    <w:basedOn w:val="67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62" w:customStyle="1">
    <w:name w:val="xl84"/>
    <w:basedOn w:val="6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963" w:customStyle="1">
    <w:name w:val="表格 Char"/>
    <w:link w:val="964"/>
    <w:uiPriority w:val="0"/>
    <w:qFormat/>
    <w:rPr>
      <w:rFonts w:ascii="仿宋" w:hAnsi="仿宋" w:eastAsia="仿宋"/>
      <w:sz w:val="21"/>
      <w:szCs w:val="22"/>
    </w:rPr>
  </w:style>
  <w:style w:type="paragraph" w:styleId="964" w:customStyle="1">
    <w:name w:val="表格"/>
    <w:link w:val="963"/>
    <w:uiPriority w:val="0"/>
    <w:qFormat/>
    <w:pPr>
      <w:jc w:val="center"/>
    </w:pPr>
    <w:rPr>
      <w:rFonts w:ascii="仿宋" w:hAnsi="仿宋" w:eastAsia="仿宋" w:cs="Times New Roman"/>
      <w:sz w:val="21"/>
      <w:szCs w:val="22"/>
      <w:lang w:val="en-US" w:eastAsia="zh-CN" w:bidi="ar-SA"/>
    </w:rPr>
  </w:style>
  <w:style w:type="character" w:styleId="965" w:customStyle="1">
    <w:name w:val="1级 Char Char"/>
    <w:link w:val="966"/>
    <w:uiPriority w:val="0"/>
    <w:qFormat/>
    <w:rPr>
      <w:rFonts w:cs="Calibri"/>
      <w:sz w:val="36"/>
      <w:szCs w:val="36"/>
      <w:lang w:eastAsia="en-US" w:bidi="en-US"/>
    </w:rPr>
  </w:style>
  <w:style w:type="paragraph" w:styleId="966" w:customStyle="1">
    <w:name w:val="1级"/>
    <w:basedOn w:val="673"/>
    <w:link w:val="965"/>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967" w:customStyle="1">
    <w:name w:val="xl67"/>
    <w:basedOn w:val="67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68" w:customStyle="1">
    <w:name w:val="表格文字"/>
    <w:basedOn w:val="673"/>
    <w:uiPriority w:val="0"/>
    <w:qFormat/>
    <w:pPr>
      <w:jc w:val="left"/>
      <w:spacing w:line="288" w:lineRule="auto"/>
    </w:pPr>
    <w:rPr>
      <w:rFonts w:ascii="宋体" w:hAnsi="Times New Roman"/>
      <w:sz w:val="34"/>
      <w:szCs w:val="20"/>
    </w:rPr>
  </w:style>
  <w:style w:type="paragraph" w:styleId="969" w:customStyle="1">
    <w:name w:val="默认段落字体 Para Char Char Char Char Char Char Char Char Char Char Char Char Char"/>
    <w:basedOn w:val="673"/>
    <w:uiPriority w:val="0"/>
    <w:qFormat/>
    <w:rPr>
      <w:rFonts w:ascii="等线" w:hAnsi="等线" w:eastAsia="等线"/>
      <w:szCs w:val="24"/>
    </w:rPr>
  </w:style>
  <w:style w:type="paragraph" w:styleId="970" w:customStyle="1">
    <w:name w:val="纯文本5"/>
    <w:basedOn w:val="673"/>
    <w:uiPriority w:val="0"/>
    <w:qFormat/>
    <w:rPr>
      <w:rFonts w:ascii="宋体" w:hAnsi="Courier New" w:eastAsia="楷体_GB2312"/>
      <w:sz w:val="26"/>
      <w:szCs w:val="20"/>
      <w:lang w:val="zh-CN"/>
    </w:rPr>
  </w:style>
  <w:style w:type="paragraph" w:styleId="971" w:customStyle="1">
    <w:name w:val="_Style 12"/>
    <w:basedOn w:val="689"/>
    <w:uiPriority w:val="0"/>
    <w:qFormat/>
    <w:pPr>
      <w:spacing w:line="360" w:lineRule="auto"/>
    </w:pPr>
  </w:style>
  <w:style w:type="paragraph" w:styleId="972" w:customStyle="1">
    <w:name w:val="Char Char Char"/>
    <w:basedOn w:val="673"/>
    <w:uiPriority w:val="0"/>
    <w:qFormat/>
    <w:pPr>
      <w:ind w:left="795" w:hanging="360"/>
      <w:tabs>
        <w:tab w:val="left" w:pos="795" w:leader="none"/>
      </w:tabs>
    </w:pPr>
    <w:rPr>
      <w:rFonts w:ascii="Times New Roman" w:hAnsi="Times New Roman"/>
      <w:sz w:val="24"/>
      <w:szCs w:val="24"/>
    </w:rPr>
  </w:style>
  <w:style w:type="paragraph" w:styleId="973" w:customStyle="1">
    <w:name w:val="xl89"/>
    <w:basedOn w:val="673"/>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74" w:customStyle="1">
    <w:name w:val="xl63"/>
    <w:basedOn w:val="673"/>
    <w:uiPriority w:val="0"/>
    <w:qFormat/>
    <w:pPr>
      <w:jc w:val="left"/>
      <w:spacing w:before="100" w:beforeAutospacing="1" w:after="100" w:afterAutospacing="1"/>
      <w:widowControl/>
    </w:pPr>
    <w:rPr>
      <w:rFonts w:ascii="宋体" w:hAnsi="宋体" w:cs="宋体"/>
      <w:sz w:val="24"/>
      <w:szCs w:val="24"/>
    </w:rPr>
  </w:style>
  <w:style w:type="paragraph" w:styleId="975" w:customStyle="1">
    <w:name w:val="xl70"/>
    <w:basedOn w:val="67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976" w:customStyle="1">
    <w:name w:val="Char Char Char1 Char Char Char Char"/>
    <w:basedOn w:val="673"/>
    <w:uiPriority w:val="0"/>
    <w:qFormat/>
    <w:pPr>
      <w:jc w:val="left"/>
      <w:spacing w:after="160" w:line="240" w:lineRule="exact"/>
      <w:widowControl/>
    </w:pPr>
    <w:rPr>
      <w:rFonts w:ascii="Times New Roman" w:hAnsi="Times New Roman"/>
      <w:sz w:val="24"/>
      <w:szCs w:val="24"/>
    </w:rPr>
  </w:style>
  <w:style w:type="paragraph" w:styleId="977" w:customStyle="1">
    <w:name w:val="Char Char Char Char"/>
    <w:basedOn w:val="689"/>
    <w:uiPriority w:val="0"/>
    <w:qFormat/>
    <w:pPr>
      <w:jc w:val="both"/>
      <w:spacing w:line="360" w:lineRule="auto"/>
      <w:widowControl w:val="off"/>
    </w:pPr>
    <w:rPr>
      <w:szCs w:val="20"/>
    </w:rPr>
  </w:style>
  <w:style w:type="paragraph" w:styleId="978" w:customStyle="1">
    <w:name w:val="xl83"/>
    <w:basedOn w:val="673"/>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979" w:customStyle="1">
    <w:name w:val="p0"/>
    <w:basedOn w:val="673"/>
    <w:uiPriority w:val="0"/>
    <w:qFormat/>
    <w:pPr>
      <w:jc w:val="left"/>
      <w:widowControl/>
    </w:pPr>
    <w:rPr>
      <w:rFonts w:ascii="Times New Roman" w:hAnsi="Times New Roman"/>
      <w:sz w:val="24"/>
      <w:szCs w:val="24"/>
    </w:rPr>
  </w:style>
  <w:style w:type="paragraph" w:styleId="980" w:customStyle="1">
    <w:name w:val="xl74"/>
    <w:basedOn w:val="673"/>
    <w:uiPriority w:val="0"/>
    <w:qFormat/>
    <w:pPr>
      <w:jc w:val="left"/>
      <w:spacing w:before="100" w:beforeAutospacing="1" w:after="100" w:afterAutospacing="1"/>
      <w:widowControl/>
    </w:pPr>
    <w:rPr>
      <w:rFonts w:ascii="宋体" w:hAnsi="宋体" w:cs="宋体"/>
      <w:sz w:val="24"/>
      <w:szCs w:val="24"/>
    </w:rPr>
  </w:style>
  <w:style w:type="paragraph" w:styleId="981" w:customStyle="1">
    <w:name w:val="xl68"/>
    <w:basedOn w:val="67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982" w:customStyle="1">
    <w:name w:val="xl75"/>
    <w:basedOn w:val="67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3" w:customStyle="1">
    <w:name w:val="_Style 3"/>
    <w:basedOn w:val="673"/>
    <w:uiPriority w:val="0"/>
    <w:qFormat/>
    <w:pPr>
      <w:ind w:left="795" w:hanging="360"/>
      <w:tabs>
        <w:tab w:val="left" w:pos="540" w:leader="none"/>
        <w:tab w:val="left" w:pos="795" w:leader="none"/>
      </w:tabs>
    </w:pPr>
    <w:rPr>
      <w:rFonts w:ascii="Times New Roman" w:hAnsi="Times New Roman"/>
      <w:sz w:val="24"/>
      <w:szCs w:val="24"/>
    </w:rPr>
  </w:style>
  <w:style w:type="paragraph" w:styleId="984" w:customStyle="1">
    <w:name w:val="_Style 1"/>
    <w:basedOn w:val="673"/>
    <w:uiPriority w:val="34"/>
    <w:qFormat/>
    <w:pPr>
      <w:ind w:firstLine="420"/>
      <w:jc w:val="left"/>
      <w:widowControl/>
    </w:pPr>
    <w:rPr>
      <w:rFonts w:ascii="Times New Roman" w:hAnsi="Times New Roman"/>
      <w:sz w:val="24"/>
      <w:szCs w:val="24"/>
    </w:rPr>
  </w:style>
  <w:style w:type="paragraph" w:styleId="985" w:customStyle="1">
    <w:name w:val="xl104"/>
    <w:basedOn w:val="67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6" w:customStyle="1">
    <w:name w:val="xl73"/>
    <w:basedOn w:val="6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7" w:customStyle="1">
    <w:name w:val="_Style 79"/>
    <w:basedOn w:val="673"/>
    <w:uiPriority w:val="0"/>
    <w:qFormat/>
    <w:pPr>
      <w:spacing w:after="160" w:line="240" w:lineRule="exact"/>
    </w:pPr>
    <w:rPr>
      <w:rFonts w:ascii="Times New Roman" w:hAnsi="Times New Roman"/>
      <w:szCs w:val="24"/>
    </w:rPr>
  </w:style>
  <w:style w:type="paragraph" w:styleId="988" w:customStyle="1">
    <w:name w:val="纯文本1"/>
    <w:basedOn w:val="673"/>
    <w:uiPriority w:val="0"/>
    <w:qFormat/>
    <w:rPr>
      <w:rFonts w:ascii="宋体" w:hAnsi="Courier New" w:eastAsia="楷体_GB2312"/>
      <w:sz w:val="28"/>
      <w:szCs w:val="20"/>
    </w:rPr>
  </w:style>
  <w:style w:type="paragraph" w:styleId="989" w:customStyle="1">
    <w:name w:val="xl78"/>
    <w:basedOn w:val="67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xl66"/>
    <w:basedOn w:val="6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1" w:customStyle="1">
    <w:name w:val="p18"/>
    <w:basedOn w:val="673"/>
    <w:uiPriority w:val="0"/>
    <w:qFormat/>
    <w:pPr>
      <w:ind w:firstLine="420"/>
      <w:jc w:val="left"/>
      <w:widowControl/>
    </w:pPr>
    <w:rPr>
      <w:rFonts w:ascii="Times New Roman" w:hAnsi="Times New Roman"/>
      <w:sz w:val="24"/>
      <w:szCs w:val="24"/>
    </w:rPr>
  </w:style>
  <w:style w:type="paragraph" w:styleId="992" w:customStyle="1">
    <w:name w:val="xl93"/>
    <w:basedOn w:val="6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3" w:customStyle="1">
    <w:name w:val="默认段落字体 Para Char Char Char Char Char Char Char Char Char1 Char Char Char Char Char Char Char"/>
    <w:basedOn w:val="689"/>
    <w:uiPriority w:val="0"/>
    <w:qFormat/>
    <w:pPr>
      <w:jc w:val="both"/>
      <w:widowControl w:val="off"/>
    </w:pPr>
    <w:rPr>
      <w:sz w:val="21"/>
    </w:rPr>
  </w:style>
  <w:style w:type="paragraph" w:styleId="994" w:customStyle="1">
    <w:name w:val="font5"/>
    <w:basedOn w:val="673"/>
    <w:uiPriority w:val="0"/>
    <w:qFormat/>
    <w:pPr>
      <w:jc w:val="left"/>
      <w:spacing w:before="100" w:beforeAutospacing="1" w:after="100" w:afterAutospacing="1"/>
      <w:widowControl/>
    </w:pPr>
    <w:rPr>
      <w:rFonts w:ascii="宋体" w:hAnsi="宋体" w:cs="宋体"/>
      <w:sz w:val="18"/>
      <w:szCs w:val="18"/>
    </w:rPr>
  </w:style>
  <w:style w:type="paragraph" w:styleId="995"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996" w:customStyle="1">
    <w:name w:val="正文文本_"/>
    <w:link w:val="997"/>
    <w:uiPriority w:val="0"/>
    <w:qFormat/>
    <w:rPr>
      <w:rFonts w:ascii="MingLiU" w:hAnsi="MingLiU" w:eastAsia="MingLiU"/>
      <w:szCs w:val="21"/>
      <w:shd w:val="clear" w:color="auto" w:fill="ffffff"/>
    </w:rPr>
  </w:style>
  <w:style w:type="paragraph" w:styleId="997" w:customStyle="1">
    <w:name w:val="正文文本1"/>
    <w:basedOn w:val="673"/>
    <w:link w:val="996"/>
    <w:uiPriority w:val="0"/>
    <w:qFormat/>
    <w:pPr>
      <w:jc w:val="left"/>
      <w:spacing w:line="403" w:lineRule="exact"/>
      <w:shd w:val="clear" w:color="auto" w:fill="ffffff"/>
    </w:pPr>
    <w:rPr>
      <w:rFonts w:ascii="MingLiU" w:hAnsi="MingLiU" w:eastAsia="MingLiU"/>
      <w:sz w:val="20"/>
      <w:szCs w:val="21"/>
    </w:rPr>
  </w:style>
  <w:style w:type="paragraph" w:styleId="998" w:customStyle="1">
    <w:name w:val="xl81"/>
    <w:basedOn w:val="6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9" w:customStyle="1">
    <w:name w:val="Char Char1 Char Char Char Char Char Char Char"/>
    <w:basedOn w:val="673"/>
    <w:uiPriority w:val="0"/>
    <w:qFormat/>
    <w:rPr>
      <w:rFonts w:ascii="Tahoma" w:hAnsi="Tahoma" w:eastAsia="等线"/>
      <w:sz w:val="24"/>
      <w:szCs w:val="20"/>
    </w:rPr>
  </w:style>
  <w:style w:type="paragraph" w:styleId="1000" w:customStyle="1">
    <w:name w:val="xl91"/>
    <w:basedOn w:val="67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1" w:customStyle="1">
    <w:name w:val="xl69"/>
    <w:basedOn w:val="6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2" w:customStyle="1">
    <w:name w:val="xl64"/>
    <w:basedOn w:val="6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03" w:customStyle="1">
    <w:name w:val="_Style 36"/>
    <w:basedOn w:val="689"/>
    <w:uiPriority w:val="0"/>
    <w:qFormat/>
    <w:pPr>
      <w:spacing w:line="360" w:lineRule="auto"/>
    </w:pPr>
  </w:style>
  <w:style w:type="paragraph" w:styleId="1004" w:customStyle="1">
    <w:name w:val="_Style 26"/>
    <w:basedOn w:val="689"/>
    <w:uiPriority w:val="0"/>
    <w:qFormat/>
    <w:pPr>
      <w:spacing w:line="360" w:lineRule="auto"/>
    </w:pPr>
  </w:style>
  <w:style w:type="paragraph" w:styleId="1005" w:customStyle="1">
    <w:name w:val="H-TextFormat"/>
    <w:uiPriority w:val="0"/>
    <w:qFormat/>
    <w:rPr>
      <w:rFonts w:ascii="Arial" w:hAnsi="Arial" w:eastAsia="宋体" w:cs="Times New Roman"/>
      <w:sz w:val="22"/>
      <w:lang w:val="en-GB" w:eastAsia="en-US" w:bidi="ar-SA"/>
    </w:rPr>
  </w:style>
  <w:style w:type="paragraph" w:styleId="1006" w:customStyle="1">
    <w:name w:val="文字"/>
    <w:basedOn w:val="673"/>
    <w:uiPriority w:val="0"/>
    <w:qFormat/>
    <w:pPr>
      <w:ind w:right="-210" w:firstLine="556"/>
      <w:spacing w:line="312" w:lineRule="auto"/>
      <w:tabs>
        <w:tab w:val="left" w:pos="8520" w:leader="none"/>
      </w:tabs>
    </w:pPr>
    <w:rPr>
      <w:rFonts w:ascii="宋体" w:hAnsi="宋体"/>
      <w:sz w:val="28"/>
      <w:szCs w:val="20"/>
    </w:rPr>
  </w:style>
  <w:style w:type="paragraph" w:styleId="1007" w:customStyle="1">
    <w:name w:val="xl86"/>
    <w:basedOn w:val="6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8" w:customStyle="1">
    <w:name w:val="xl65"/>
    <w:basedOn w:val="6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09" w:customStyle="1">
    <w:name w:val="批注框文本 Char"/>
    <w:uiPriority w:val="0"/>
    <w:qFormat/>
    <w:rPr>
      <w:sz w:val="18"/>
      <w:szCs w:val="18"/>
    </w:rPr>
  </w:style>
  <w:style w:type="character" w:styleId="1010" w:customStyle="1">
    <w:name w:val="纯文本 Char2"/>
    <w:uiPriority w:val="99"/>
    <w:semiHidden/>
    <w:qFormat/>
    <w:rPr>
      <w:rFonts w:hint="eastAsia" w:ascii="宋体" w:hAnsi="Courier New" w:eastAsia="宋体" w:cs="Courier New"/>
      <w:sz w:val="21"/>
      <w:szCs w:val="21"/>
    </w:rPr>
  </w:style>
  <w:style w:type="character" w:styleId="1011" w:customStyle="1">
    <w:name w:val="批注文字 Char"/>
    <w:uiPriority w:val="0"/>
    <w:qFormat/>
    <w:rPr>
      <w:sz w:val="24"/>
      <w:szCs w:val="24"/>
    </w:rPr>
  </w:style>
  <w:style w:type="character" w:styleId="1012" w:customStyle="1">
    <w:name w:val="纯文本 Char"/>
    <w:uiPriority w:val="0"/>
    <w:qFormat/>
    <w:rPr>
      <w:rFonts w:hint="eastAsia" w:ascii="宋体" w:hAnsi="Courier New" w:eastAsia="楷体_GB2312"/>
      <w:sz w:val="26"/>
    </w:rPr>
  </w:style>
  <w:style w:type="character" w:styleId="1013" w:customStyle="1">
    <w:name w:val="文档结构图 Char"/>
    <w:uiPriority w:val="0"/>
    <w:qFormat/>
    <w:rPr>
      <w:sz w:val="24"/>
      <w:szCs w:val="24"/>
      <w:shd w:val="clear" w:color="auto" w:fill="000080"/>
    </w:rPr>
  </w:style>
  <w:style w:type="character" w:styleId="1014"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15" w:customStyle="1">
    <w:name w:val="页脚 Char"/>
    <w:uiPriority w:val="0"/>
    <w:qFormat/>
    <w:rPr>
      <w:sz w:val="18"/>
      <w:szCs w:val="18"/>
    </w:rPr>
  </w:style>
  <w:style w:type="character" w:styleId="1016" w:customStyle="1">
    <w:name w:val="标题 Char"/>
    <w:uiPriority w:val="0"/>
    <w:qFormat/>
    <w:rPr>
      <w:rFonts w:ascii="Cambria" w:hAnsi="Cambria"/>
      <w:b/>
      <w:bCs/>
      <w:sz w:val="32"/>
      <w:szCs w:val="32"/>
    </w:rPr>
  </w:style>
  <w:style w:type="character" w:styleId="1017" w:customStyle="1">
    <w:name w:val="Plain Text Char Char"/>
    <w:uiPriority w:val="0"/>
    <w:qFormat/>
    <w:rPr>
      <w:rFonts w:hint="eastAsia" w:ascii="宋体" w:hAnsi="Courier New" w:eastAsia="楷体_GB2312"/>
      <w:sz w:val="26"/>
    </w:rPr>
  </w:style>
  <w:style w:type="character" w:styleId="1018" w:customStyle="1">
    <w:name w:val="正文文本 Char"/>
    <w:uiPriority w:val="0"/>
    <w:qFormat/>
    <w:rPr>
      <w:sz w:val="24"/>
      <w:szCs w:val="24"/>
    </w:rPr>
  </w:style>
  <w:style w:type="character" w:styleId="1019" w:customStyle="1">
    <w:name w:val="font01"/>
    <w:uiPriority w:val="0"/>
    <w:qFormat/>
    <w:rPr>
      <w:rFonts w:hint="eastAsia" w:ascii="宋体" w:hAnsi="宋体" w:eastAsia="宋体" w:cs="宋体"/>
      <w:color w:val="000000"/>
      <w:sz w:val="24"/>
      <w:szCs w:val="24"/>
      <w:u w:val="none"/>
    </w:rPr>
  </w:style>
  <w:style w:type="character" w:styleId="1020" w:customStyle="1">
    <w:name w:val="font71"/>
    <w:uiPriority w:val="0"/>
    <w:qFormat/>
    <w:rPr>
      <w:rFonts w:ascii="Times New Roman" w:hAnsi="Times New Roman" w:cs="Times New Roman"/>
      <w:color w:val="000000"/>
      <w:sz w:val="24"/>
      <w:szCs w:val="24"/>
      <w:u w:val="none"/>
    </w:rPr>
  </w:style>
  <w:style w:type="character" w:styleId="1021" w:customStyle="1">
    <w:name w:val="正文文本缩进 3 字符2"/>
    <w:uiPriority w:val="0"/>
    <w:qFormat/>
    <w:rPr>
      <w:sz w:val="24"/>
      <w:szCs w:val="24"/>
    </w:rPr>
  </w:style>
  <w:style w:type="character" w:styleId="1022" w:customStyle="1">
    <w:name w:val="标题 2 Char"/>
    <w:uiPriority w:val="0"/>
    <w:semiHidden/>
    <w:qFormat/>
    <w:rPr>
      <w:rFonts w:ascii="Cambria" w:hAnsi="Cambria" w:eastAsia="宋体" w:cs="Times New Roman"/>
      <w:b/>
      <w:bCs/>
      <w:sz w:val="32"/>
      <w:szCs w:val="32"/>
    </w:rPr>
  </w:style>
  <w:style w:type="paragraph" w:styleId="1023" w:customStyle="1">
    <w:name w:val="2级"/>
    <w:basedOn w:val="966"/>
    <w:link w:val="1024"/>
    <w:uiPriority w:val="0"/>
    <w:qFormat/>
    <w:pPr>
      <w:ind w:firstLine="420"/>
      <w:tabs>
        <w:tab w:val="left" w:pos="960" w:leader="none"/>
      </w:tabs>
      <w:outlineLvl w:val="1"/>
    </w:pPr>
    <w:rPr>
      <w:sz w:val="32"/>
      <w:szCs w:val="32"/>
    </w:rPr>
  </w:style>
  <w:style w:type="character" w:styleId="1024" w:customStyle="1">
    <w:name w:val="2级 Char Char"/>
    <w:link w:val="1023"/>
    <w:uiPriority w:val="0"/>
    <w:qFormat/>
    <w:rPr>
      <w:rFonts w:cs="Calibri"/>
      <w:sz w:val="32"/>
      <w:szCs w:val="32"/>
      <w:lang w:eastAsia="en-US" w:bidi="en-US"/>
    </w:rPr>
  </w:style>
  <w:style w:type="character" w:styleId="1025" w:customStyle="1">
    <w:name w:val="正文文本缩进 2 Char1"/>
    <w:uiPriority w:val="0"/>
    <w:semiHidden/>
    <w:qFormat/>
    <w:rPr>
      <w:rFonts w:hint="eastAsia" w:ascii="等线" w:hAnsi="等线" w:eastAsia="等线" w:cs="Times New Roman"/>
      <w:sz w:val="24"/>
      <w:szCs w:val="24"/>
    </w:rPr>
  </w:style>
  <w:style w:type="character" w:styleId="1026" w:customStyle="1">
    <w:name w:val="日期 Char"/>
    <w:uiPriority w:val="99"/>
    <w:qFormat/>
    <w:rPr>
      <w:b/>
      <w:bCs/>
      <w:spacing w:val="20"/>
      <w:sz w:val="21"/>
      <w:szCs w:val="24"/>
    </w:rPr>
  </w:style>
  <w:style w:type="character" w:styleId="1027" w:customStyle="1">
    <w:name w:val="正文文本 2 Char"/>
    <w:uiPriority w:val="0"/>
    <w:qFormat/>
    <w:rPr>
      <w:sz w:val="24"/>
      <w:szCs w:val="24"/>
    </w:rPr>
  </w:style>
  <w:style w:type="character" w:styleId="1028" w:customStyle="1">
    <w:name w:val="纯文本 字符1"/>
    <w:uiPriority w:val="99"/>
    <w:semiHidden/>
    <w:qFormat/>
    <w:rPr>
      <w:rFonts w:hint="eastAsia" w:ascii="等线" w:hAnsi="Courier New" w:eastAsia="等线" w:cs="Courier New"/>
      <w:sz w:val="24"/>
      <w:szCs w:val="24"/>
    </w:rPr>
  </w:style>
  <w:style w:type="character" w:styleId="1029" w:customStyle="1">
    <w:name w:val="批注框文本 字符1"/>
    <w:uiPriority w:val="99"/>
    <w:semiHidden/>
    <w:qFormat/>
    <w:rPr>
      <w:sz w:val="18"/>
      <w:szCs w:val="18"/>
    </w:rPr>
  </w:style>
  <w:style w:type="character" w:styleId="1030" w:customStyle="1">
    <w:name w:val="文档结构图 字符1"/>
    <w:uiPriority w:val="99"/>
    <w:semiHidden/>
    <w:qFormat/>
    <w:rPr>
      <w:rFonts w:hint="eastAsia" w:ascii="Microsoft YaHei UI" w:hAnsi="Microsoft YaHei UI" w:eastAsia="Microsoft YaHei UI"/>
      <w:sz w:val="18"/>
      <w:szCs w:val="18"/>
    </w:rPr>
  </w:style>
  <w:style w:type="character" w:styleId="1031" w:customStyle="1">
    <w:name w:val="正文文本缩进 3 字符1"/>
    <w:uiPriority w:val="0"/>
    <w:qFormat/>
    <w:rPr>
      <w:sz w:val="16"/>
      <w:szCs w:val="16"/>
    </w:rPr>
  </w:style>
  <w:style w:type="character" w:styleId="1032" w:customStyle="1">
    <w:name w:val="批注主题 字符1"/>
    <w:uiPriority w:val="99"/>
    <w:semiHidden/>
    <w:qFormat/>
    <w:rPr>
      <w:b/>
      <w:bCs/>
      <w:sz w:val="24"/>
      <w:szCs w:val="24"/>
    </w:rPr>
  </w:style>
  <w:style w:type="character" w:styleId="1033" w:customStyle="1">
    <w:name w:val="日期 字符1"/>
    <w:uiPriority w:val="99"/>
    <w:semiHidden/>
    <w:qFormat/>
    <w:rPr>
      <w:sz w:val="24"/>
      <w:szCs w:val="24"/>
    </w:rPr>
  </w:style>
  <w:style w:type="character" w:styleId="1034" w:customStyle="1">
    <w:name w:val="正文文本缩进 2 字符1"/>
    <w:uiPriority w:val="99"/>
    <w:semiHidden/>
    <w:qFormat/>
    <w:rPr>
      <w:sz w:val="24"/>
      <w:szCs w:val="24"/>
    </w:rPr>
  </w:style>
  <w:style w:type="character" w:styleId="1035" w:customStyle="1">
    <w:name w:val="正文文本 2 字符1"/>
    <w:uiPriority w:val="99"/>
    <w:semiHidden/>
    <w:qFormat/>
    <w:rPr>
      <w:sz w:val="24"/>
      <w:szCs w:val="24"/>
    </w:rPr>
  </w:style>
  <w:style w:type="character" w:styleId="1036" w:customStyle="1">
    <w:name w:val="正文文本缩进 字符1"/>
    <w:uiPriority w:val="99"/>
    <w:semiHidden/>
    <w:qFormat/>
    <w:rPr>
      <w:sz w:val="24"/>
      <w:szCs w:val="24"/>
    </w:rPr>
  </w:style>
  <w:style w:type="character" w:styleId="1037" w:customStyle="1">
    <w:name w:val="副标题 字符1"/>
    <w:uiPriority w:val="11"/>
    <w:qFormat/>
    <w:rPr>
      <w:rFonts w:hint="eastAsia" w:ascii="等线" w:hAnsi="等线" w:eastAsia="等线" w:cs="Times New Roman"/>
      <w:b/>
      <w:bCs/>
      <w:sz w:val="32"/>
      <w:szCs w:val="32"/>
    </w:rPr>
  </w:style>
  <w:style w:type="character" w:styleId="1038" w:customStyle="1">
    <w:name w:val="正文文本 字符1"/>
    <w:uiPriority w:val="99"/>
    <w:semiHidden/>
    <w:qFormat/>
    <w:rPr>
      <w:sz w:val="24"/>
      <w:szCs w:val="24"/>
    </w:rPr>
  </w:style>
  <w:style w:type="character" w:styleId="1039" w:customStyle="1">
    <w:name w:val="标题 字符1"/>
    <w:uiPriority w:val="10"/>
    <w:qFormat/>
    <w:rPr>
      <w:rFonts w:hint="eastAsia" w:ascii="等线 Light" w:hAnsi="等线 Light" w:eastAsia="等线 Light" w:cs="Times New Roman"/>
      <w:b/>
      <w:bCs/>
      <w:sz w:val="32"/>
      <w:szCs w:val="32"/>
    </w:rPr>
  </w:style>
  <w:style w:type="character" w:styleId="1040" w:customStyle="1">
    <w:name w:val="页眉 字符1"/>
    <w:uiPriority w:val="99"/>
    <w:semiHidden/>
    <w:qFormat/>
    <w:rPr>
      <w:sz w:val="18"/>
      <w:szCs w:val="18"/>
    </w:rPr>
  </w:style>
  <w:style w:type="character" w:styleId="1041" w:customStyle="1">
    <w:name w:val="页脚 字符1"/>
    <w:uiPriority w:val="99"/>
    <w:semiHidden/>
    <w:qFormat/>
    <w:rPr>
      <w:sz w:val="18"/>
      <w:szCs w:val="18"/>
    </w:rPr>
  </w:style>
  <w:style w:type="table" w:styleId="1042" w:customStyle="1">
    <w:name w:val="网格型1"/>
    <w:basedOn w:val="684"/>
    <w:uiPriority w:val="0"/>
    <w:qFormat/>
    <w:pPr>
      <w:jc w:val="both"/>
      <w:widowControl w:val="off"/>
    </w:pPr>
    <w:rPr>
      <w:rFonts w:ascii="Times New Roman" w:hAnsi="Times New Roman"/>
    </w:rPr>
    <w:tblPr/>
  </w:style>
  <w:style w:type="paragraph" w:styleId="1043" w:customStyle="1">
    <w:name w:val="font0"/>
    <w:basedOn w:val="673"/>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44" w:customStyle="1">
    <w:name w:val="font1"/>
    <w:basedOn w:val="673"/>
    <w:uiPriority w:val="0"/>
    <w:qFormat/>
    <w:pPr>
      <w:jc w:val="left"/>
      <w:spacing w:before="100" w:beforeAutospacing="1" w:after="100" w:afterAutospacing="1"/>
      <w:widowControl/>
    </w:pPr>
    <w:rPr>
      <w:rFonts w:ascii="宋体" w:hAnsi="宋体" w:cs="宋体"/>
      <w:color w:val="000000"/>
      <w:sz w:val="22"/>
    </w:rPr>
  </w:style>
  <w:style w:type="paragraph" w:styleId="1045" w:customStyle="1">
    <w:name w:val="font2"/>
    <w:basedOn w:val="673"/>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46" w:customStyle="1">
    <w:name w:val="et3"/>
    <w:basedOn w:val="6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47" w:customStyle="1">
    <w:name w:val="et4"/>
    <w:basedOn w:val="6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48" w:customStyle="1">
    <w:name w:val="et5"/>
    <w:basedOn w:val="6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49" w:customStyle="1">
    <w:name w:val="et6"/>
    <w:basedOn w:val="6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50" w:customStyle="1">
    <w:name w:val="et7"/>
    <w:basedOn w:val="6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51" w:customStyle="1">
    <w:name w:val="et8"/>
    <w:basedOn w:val="6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52" w:customStyle="1">
    <w:name w:val="font3"/>
    <w:basedOn w:val="673"/>
    <w:uiPriority w:val="0"/>
    <w:qFormat/>
    <w:pPr>
      <w:jc w:val="left"/>
      <w:spacing w:before="100" w:beforeAutospacing="1" w:after="100" w:afterAutospacing="1"/>
      <w:widowControl/>
    </w:pPr>
    <w:rPr>
      <w:rFonts w:cs="Calibri"/>
      <w:color w:val="000000"/>
      <w:szCs w:val="21"/>
    </w:rPr>
  </w:style>
  <w:style w:type="paragraph" w:styleId="1053" w:customStyle="1">
    <w:name w:val="font4"/>
    <w:basedOn w:val="673"/>
    <w:uiPriority w:val="0"/>
    <w:qFormat/>
    <w:pPr>
      <w:jc w:val="left"/>
      <w:spacing w:before="100" w:beforeAutospacing="1" w:after="100" w:afterAutospacing="1"/>
      <w:widowControl/>
    </w:pPr>
    <w:rPr>
      <w:rFonts w:ascii="宋体" w:hAnsi="宋体" w:cs="宋体"/>
      <w:color w:val="000000"/>
      <w:szCs w:val="21"/>
    </w:rPr>
  </w:style>
  <w:style w:type="character" w:styleId="1054" w:customStyle="1">
    <w:name w:val="font31"/>
    <w:uiPriority w:val="0"/>
    <w:qFormat/>
    <w:rPr>
      <w:rFonts w:ascii="Calibri" w:hAnsi="Calibri" w:cs="Calibri"/>
      <w:color w:val="000000"/>
      <w:sz w:val="21"/>
      <w:szCs w:val="21"/>
      <w:u w:val="none"/>
    </w:rPr>
  </w:style>
  <w:style w:type="character" w:styleId="1055" w:customStyle="1">
    <w:name w:val="font41"/>
    <w:uiPriority w:val="0"/>
    <w:qFormat/>
    <w:rPr>
      <w:rFonts w:hint="eastAsia" w:ascii="宋体" w:hAnsi="宋体" w:eastAsia="宋体"/>
      <w:color w:val="000000"/>
      <w:sz w:val="21"/>
      <w:szCs w:val="21"/>
      <w:u w:val="none"/>
    </w:rPr>
  </w:style>
  <w:style w:type="paragraph" w:styleId="1056" w:customStyle="1">
    <w:name w:val="修订1"/>
    <w:uiPriority w:val="99"/>
    <w:unhideWhenUsed/>
    <w:qFormat/>
    <w:rPr>
      <w:rFonts w:ascii="Calibri" w:hAnsi="Calibri" w:eastAsia="宋体" w:cs="Times New Roman"/>
      <w:sz w:val="21"/>
      <w:szCs w:val="22"/>
      <w:lang w:val="en-US" w:eastAsia="zh-CN" w:bidi="ar-SA"/>
    </w:rPr>
  </w:style>
  <w:style w:type="character" w:styleId="1057" w:customStyle="1">
    <w:name w:val="font21"/>
    <w:uiPriority w:val="0"/>
    <w:qFormat/>
    <w:rPr>
      <w:rFonts w:ascii="Times New Roman" w:hAnsi="Times New Roman" w:cs="Times New Roman"/>
      <w:color w:val="000000"/>
      <w:sz w:val="21"/>
      <w:szCs w:val="21"/>
      <w:u w:val="none"/>
    </w:rPr>
  </w:style>
  <w:style w:type="character" w:styleId="1058" w:customStyle="1">
    <w:name w:val="font11"/>
    <w:basedOn w:val="683"/>
    <w:uiPriority w:val="0"/>
    <w:qFormat/>
    <w:rPr>
      <w:rFonts w:hint="eastAsia" w:ascii="宋体" w:hAnsi="宋体" w:eastAsia="宋体" w:cs="宋体"/>
      <w:color w:val="000000"/>
      <w:sz w:val="24"/>
      <w:szCs w:val="24"/>
      <w:u w:val="none"/>
    </w:rPr>
  </w:style>
  <w:style w:type="character" w:styleId="1059" w:customStyle="1">
    <w:name w:val="超链接1"/>
    <w:uiPriority w:val="0"/>
    <w:qFormat/>
    <w:rPr>
      <w:rFonts w:ascii="宋体" w:hAnsi="宋体" w:eastAsia="黑体" w:cs="Times New Roman"/>
      <w:color w:val="auto"/>
      <w:sz w:val="21"/>
      <w:szCs w:val="24"/>
      <w:highlight w:val="none"/>
      <w:lang w:val="en-US" w:eastAsia="zh-CN" w:bidi="ar-SA"/>
    </w:rPr>
  </w:style>
  <w:style w:type="paragraph" w:styleId="1060" w:customStyle="1">
    <w:name w:val="修订2"/>
    <w:hidden/>
    <w:uiPriority w:val="99"/>
    <w:unhideWhenUsed/>
    <w:qFormat/>
    <w:rPr>
      <w:rFonts w:ascii="Calibri" w:hAnsi="Calibri" w:eastAsia="宋体" w:cs="Times New Roman"/>
      <w:sz w:val="21"/>
      <w:szCs w:val="22"/>
      <w:lang w:val="en-US" w:eastAsia="zh-CN" w:bidi="ar-SA"/>
    </w:rPr>
  </w:style>
  <w:style w:type="character" w:styleId="1061" w:customStyle="1">
    <w:name w:val="font141"/>
    <w:basedOn w:val="683"/>
    <w:uiPriority w:val="0"/>
    <w:qFormat/>
    <w:rPr>
      <w:rFonts w:hint="eastAsia" w:ascii="方正仿宋_GB2312" w:hAnsi="方正仿宋_GB2312" w:eastAsia="方正仿宋_GB2312" w:cs="方正仿宋_GB2312"/>
      <w:b/>
      <w:bCs/>
      <w:color w:val="000000"/>
      <w:sz w:val="22"/>
      <w:szCs w:val="22"/>
      <w:u w:val="none"/>
    </w:rPr>
  </w:style>
  <w:style w:type="character" w:styleId="1062" w:customStyle="1">
    <w:name w:val="font131"/>
    <w:basedOn w:val="683"/>
    <w:uiPriority w:val="0"/>
    <w:qFormat/>
    <w:rPr>
      <w:rFonts w:hint="eastAsia" w:ascii="方正仿宋_GB2312" w:hAnsi="方正仿宋_GB2312" w:eastAsia="方正仿宋_GB2312" w:cs="方正仿宋_GB2312"/>
      <w:b/>
      <w:bCs/>
      <w:color w:val="000000"/>
      <w:sz w:val="22"/>
      <w:szCs w:val="22"/>
      <w:u w:val="none"/>
    </w:rPr>
  </w:style>
  <w:style w:type="character" w:styleId="1063" w:customStyle="1">
    <w:name w:val="font61"/>
    <w:basedOn w:val="683"/>
    <w:uiPriority w:val="0"/>
    <w:qFormat/>
    <w:rPr>
      <w:rFonts w:hint="default" w:ascii="Times New Roman" w:hAnsi="Times New Roman" w:cs="Times New Roman"/>
      <w:b/>
      <w:bCs/>
      <w:color w:val="000000"/>
      <w:sz w:val="32"/>
      <w:szCs w:val="32"/>
      <w:u w:val="none"/>
    </w:rPr>
  </w:style>
  <w:style w:type="character" w:styleId="1064" w:customStyle="1">
    <w:name w:val="font51"/>
    <w:basedOn w:val="683"/>
    <w:uiPriority w:val="0"/>
    <w:qFormat/>
    <w:rPr>
      <w:rFonts w:hint="eastAsia" w:ascii="方正仿宋_GB2312" w:hAnsi="方正仿宋_GB2312" w:eastAsia="方正仿宋_GB2312" w:cs="方正仿宋_GB2312"/>
      <w:b/>
      <w:bCs/>
      <w:color w:val="000000"/>
      <w:sz w:val="32"/>
      <w:szCs w:val="32"/>
      <w:u w:val="none"/>
    </w:rPr>
  </w:style>
  <w:style w:type="character" w:styleId="1065" w:customStyle="1">
    <w:name w:val="font122"/>
    <w:basedOn w:val="683"/>
    <w:uiPriority w:val="0"/>
    <w:qFormat/>
    <w:rPr>
      <w:rFonts w:hint="eastAsia" w:ascii="方正仿宋_GB2312" w:hAnsi="方正仿宋_GB2312" w:eastAsia="方正仿宋_GB2312" w:cs="方正仿宋_GB2312"/>
      <w:color w:val="000000"/>
      <w:sz w:val="22"/>
      <w:szCs w:val="22"/>
      <w:u w:val="none"/>
    </w:rPr>
  </w:style>
  <w:style w:type="character" w:styleId="1066" w:customStyle="1">
    <w:name w:val="font12"/>
    <w:basedOn w:val="683"/>
    <w:uiPriority w:val="0"/>
    <w:qFormat/>
    <w:rPr>
      <w:rFonts w:hint="default" w:ascii="Times New Roman" w:hAnsi="Times New Roman" w:cs="Times New Roman"/>
      <w:color w:val="000000"/>
      <w:sz w:val="22"/>
      <w:szCs w:val="22"/>
      <w:u w:val="none"/>
    </w:rPr>
  </w:style>
  <w:style w:type="character" w:styleId="1067" w:customStyle="1">
    <w:name w:val="font91"/>
    <w:basedOn w:val="683"/>
    <w:uiPriority w:val="0"/>
    <w:qFormat/>
    <w:rPr>
      <w:rFonts w:hint="default" w:ascii="Times New Roman" w:hAnsi="Times New Roman" w:cs="Times New Roman"/>
      <w:color w:val="000000"/>
      <w:sz w:val="22"/>
      <w:szCs w:val="22"/>
      <w:u w:val="none"/>
    </w:rPr>
  </w:style>
  <w:style w:type="character" w:styleId="1068" w:customStyle="1">
    <w:name w:val="font111"/>
    <w:basedOn w:val="683"/>
    <w:uiPriority w:val="0"/>
    <w:qFormat/>
    <w:rPr>
      <w:rFonts w:hint="default" w:ascii="Times New Roman" w:hAnsi="Times New Roman" w:cs="Times New Roman"/>
      <w:b/>
      <w:bCs/>
      <w:color w:val="000000"/>
      <w:sz w:val="22"/>
      <w:szCs w:val="22"/>
      <w:u w:val="none"/>
    </w:rPr>
  </w:style>
  <w:style w:type="paragraph" w:styleId="1069" w:customStyle="1">
    <w:name w:val="正文缩进1"/>
    <w:basedOn w:val="673"/>
    <w:uiPriority w:val="0"/>
    <w:unhideWhenUsed/>
    <w:qFormat/>
    <w:pPr>
      <w:ind w:firstLine="420"/>
      <w:jc w:val="left"/>
    </w:pPr>
    <w:rPr>
      <w:rFonts w:ascii="楷体_GB2312" w:eastAsia="楷体_GB2312"/>
      <w:sz w:val="24"/>
      <w:szCs w:val="20"/>
    </w:rPr>
  </w:style>
  <w:style w:type="paragraph" w:styleId="1070" w:customStyle="1">
    <w:name w:val="正文文本缩进1"/>
    <w:basedOn w:val="673"/>
    <w:next w:val="673"/>
    <w:uiPriority w:val="0"/>
    <w:unhideWhenUsed/>
    <w:qFormat/>
    <w:pPr>
      <w:ind w:right="-159" w:firstLine="246"/>
      <w:spacing w:line="240" w:lineRule="atLeast"/>
    </w:pPr>
    <w:rPr>
      <w:rFonts w:ascii="Times New Roman" w:hAnsi="Times New Roman"/>
      <w:spacing w:val="20"/>
      <w:szCs w:val="24"/>
    </w:rPr>
  </w:style>
  <w:style w:type="paragraph" w:styleId="1071" w:customStyle="1">
    <w:name w:val="纯文本11"/>
    <w:basedOn w:val="673"/>
    <w:uiPriority w:val="99"/>
    <w:qFormat/>
    <w:rPr>
      <w:rFonts w:ascii="宋体" w:hAnsi="Courier New" w:eastAsia="楷体_GB2312"/>
      <w:sz w:val="26"/>
      <w:szCs w:val="20"/>
    </w:rPr>
  </w:style>
  <w:style w:type="numbering" w:styleId="192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6CC3F-D19A-4501-8B19-F4D852277BA5}"/>
</file>

<file path=customXml/itemProps2.xml><?xml version="1.0" encoding="utf-8"?>
<ds:datastoreItem xmlns:ds="http://schemas.openxmlformats.org/officeDocument/2006/customXml" ds:itemID="{4A179163-6FD1-4129-8C55-C4238697F93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40</cp:revision>
  <dcterms:created xsi:type="dcterms:W3CDTF">2023-03-31T07:02:00Z</dcterms:created>
  <dcterms:modified xsi:type="dcterms:W3CDTF">2026-08-17T04:44:36Z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2052-12.1.0.28043</vt:lpwstr>
  </property>
  <property fmtid="{D5CDD505-2E9C-101B-9397-08002B2CF9AE}" pid="4" name="ICV">
    <vt:lpwstr>15CD085E8946416496E6C868096C5C43_13</vt:lpwstr>
  </property>
</Properties>
</file>