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ascii="CESI黑体-GB2312" w:hAnsi="CESI黑体-GB2312" w:eastAsia="CESI黑体-GB2312" w:cs="CESI黑体-GB2312"/>
          <w:color w:val="auto"/>
          <w:sz w:val="32"/>
          <w:szCs w:val="32"/>
          <w:highlight w:val="none"/>
        </w:rPr>
      </w:pPr>
      <w:r>
        <w:rPr>
          <w:rFonts w:ascii="CESI黑体-GB2312" w:hAnsi="CESI黑体-GB2312" w:eastAsia="CESI黑体-GB2312" w:cs="CESI黑体-GB2312"/>
          <w:color w:val="auto"/>
          <w:sz w:val="32"/>
          <w:szCs w:val="32"/>
          <w:highlight w:val="none"/>
        </w:rPr>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rFonts w:hint="eastAsia"/>
          <w:b/>
          <w:bCs/>
          <w:color w:val="auto"/>
          <w:sz w:val="60"/>
          <w:szCs w:val="60"/>
          <w:highlight w:val="none"/>
        </w:rPr>
        <w:t xml:space="preserve">公开</w:t>
      </w:r>
      <w:r>
        <w:rPr>
          <w:b/>
          <w:bCs/>
          <w:color w:val="auto"/>
          <w:sz w:val="60"/>
          <w:szCs w:val="60"/>
          <w:highlight w:val="none"/>
        </w:rPr>
        <w:t xml:space="preserve">招标文件</w:t>
      </w:r>
      <w:r/>
    </w:p>
    <w:p>
      <w:pPr>
        <w:jc w:val="center"/>
        <w:rPr>
          <w:b/>
          <w:bCs/>
          <w:color w:val="auto"/>
          <w:sz w:val="60"/>
          <w:szCs w:val="60"/>
          <w:highlight w:val="none"/>
        </w:rPr>
      </w:pPr>
      <w:r>
        <w:rPr>
          <w:b/>
          <w:bCs/>
          <w:color w:val="auto"/>
          <w:sz w:val="60"/>
          <w:szCs w:val="60"/>
          <w:highlight w:val="none"/>
        </w:rPr>
      </w:r>
      <w:r/>
    </w:p>
    <w:p>
      <w:pPr>
        <w:pStyle w:val="1163"/>
        <w:rPr>
          <w:color w:val="auto"/>
          <w:highlight w:val="none"/>
        </w:rPr>
      </w:pPr>
      <w:r>
        <w:rPr>
          <w:color w:val="auto"/>
          <w:highlight w:val="none"/>
        </w:rPr>
      </w:r>
      <w:r/>
    </w:p>
    <w:p>
      <w:pPr>
        <w:jc w:val="center"/>
        <w:rPr>
          <w:b/>
          <w:bCs/>
          <w:color w:val="auto"/>
          <w:sz w:val="44"/>
          <w:szCs w:val="60"/>
          <w:highlight w:val="none"/>
        </w:rPr>
      </w:pPr>
      <w:r>
        <w:rPr>
          <w:rFonts w:hint="eastAsia"/>
          <w:b/>
          <w:bCs/>
          <w:color w:val="auto"/>
          <w:sz w:val="44"/>
          <w:szCs w:val="60"/>
          <w:highlight w:val="none"/>
        </w:rPr>
        <w:t xml:space="preserve">（服务类）</w:t>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pStyle w:val="1163"/>
        <w:rPr>
          <w:color w:val="auto"/>
          <w:highlight w:val="none"/>
        </w:rPr>
      </w:pPr>
      <w:r>
        <w:rPr>
          <w:color w:val="auto"/>
          <w:highlight w:val="none"/>
        </w:rPr>
      </w:r>
      <w:r/>
    </w:p>
    <w:p>
      <w:pPr>
        <w:ind w:left="2159" w:hanging="18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项目名称：</w:t>
      </w:r>
      <w:r>
        <w:rPr>
          <w:rFonts w:hint="eastAsia"/>
          <w:bCs/>
          <w:color w:val="auto"/>
          <w:sz w:val="36"/>
          <w:szCs w:val="36"/>
          <w:highlight w:val="none"/>
          <w:lang w:eastAsia="zh-CN"/>
        </w:rPr>
        <w:t xml:space="preserve">支持住房困难工薪群体购买商品住房资助款</w:t>
      </w:r>
      <w:r>
        <w:rPr>
          <w:rFonts w:hint="eastAsia"/>
          <w:bCs/>
          <w:color w:val="auto"/>
          <w:sz w:val="36"/>
          <w:szCs w:val="36"/>
          <w:highlight w:val="none"/>
          <w:lang w:val="en-US" w:eastAsia="zh-CN"/>
        </w:rPr>
        <w:t xml:space="preserve">         </w:t>
      </w:r>
      <w:r>
        <w:rPr>
          <w:rFonts w:hint="eastAsia"/>
          <w:bCs/>
          <w:color w:val="auto"/>
          <w:sz w:val="36"/>
          <w:szCs w:val="36"/>
          <w:highlight w:val="none"/>
          <w:lang w:eastAsia="zh-CN"/>
        </w:rPr>
        <w:t xml:space="preserve">担保服务项目</w:t>
      </w:r>
      <w:r>
        <w:rPr>
          <w:rFonts w:hint="eastAsia"/>
          <w:bCs/>
          <w:color w:val="auto"/>
          <w:sz w:val="36"/>
          <w:szCs w:val="36"/>
          <w:highlight w:val="none"/>
        </w:rPr>
        <w:t xml:space="preserve"> </w:t>
      </w:r>
      <w:r/>
    </w:p>
    <w:p>
      <w:pPr>
        <w:ind w:firstLine="36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JSZC-320400-ZCCZ-G2026-0031</w:t>
      </w:r>
      <w:r/>
    </w:p>
    <w:p>
      <w:pPr>
        <w:ind w:firstLine="36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lang w:eastAsia="zh-CN"/>
        </w:rPr>
        <w:t xml:space="preserve">常州市住房保障中心</w:t>
      </w:r>
      <w:r>
        <w:rPr>
          <w:rFonts w:hint="eastAsia"/>
          <w:bCs/>
          <w:color w:val="auto"/>
          <w:sz w:val="36"/>
          <w:szCs w:val="36"/>
          <w:highlight w:val="none"/>
        </w:rPr>
        <w:t xml:space="preserve"> </w:t>
      </w:r>
      <w:r/>
    </w:p>
    <w:p>
      <w:pPr>
        <w:ind w:firstLine="360"/>
        <w:jc w:val="left"/>
        <w:spacing w:line="360" w:lineRule="auto"/>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常州中采招投标有限公司</w:t>
      </w:r>
      <w:r/>
    </w:p>
    <w:p>
      <w:pPr>
        <w:jc w:val="left"/>
        <w:widowControl/>
        <w:rPr>
          <w:b/>
          <w:bCs/>
          <w:color w:val="auto"/>
          <w:sz w:val="44"/>
          <w:highlight w:val="none"/>
        </w:rPr>
      </w:pPr>
      <w:r>
        <w:rPr>
          <w:b/>
          <w:bCs/>
          <w:color w:val="auto"/>
          <w:sz w:val="44"/>
          <w:highlight w:val="none"/>
        </w:rPr>
        <w:br w:type="page" w:clear="all"/>
      </w:r>
      <w:r/>
    </w:p>
    <w:p>
      <w:pPr>
        <w:jc w:val="center"/>
        <w:spacing w:line="360" w:lineRule="auto"/>
        <w:rPr>
          <w:b/>
          <w:color w:val="auto"/>
          <w:sz w:val="36"/>
          <w:szCs w:val="36"/>
          <w:highlight w:val="none"/>
        </w:rPr>
        <w:outlineLvl w:val="0"/>
      </w:pPr>
      <w:r/>
      <w:bookmarkStart w:id="0" w:name="_Toc157413231"/>
      <w:r/>
      <w:bookmarkStart w:id="1" w:name="_Toc99301418"/>
      <w:r/>
      <w:bookmarkStart w:id="2" w:name="_Toc148102680"/>
      <w:r>
        <w:rPr>
          <w:b/>
          <w:color w:val="auto"/>
          <w:sz w:val="36"/>
          <w:szCs w:val="36"/>
          <w:highlight w:val="none"/>
        </w:rPr>
        <w:t xml:space="preserve">目      录</w:t>
      </w:r>
      <w:bookmarkEnd w:id="0"/>
      <w:r/>
      <w:bookmarkEnd w:id="1"/>
      <w:r/>
      <w:bookmarkEnd w:id="2"/>
      <w:r/>
      <w:r/>
    </w:p>
    <w:p>
      <w:pPr>
        <w:rPr>
          <w:color w:val="auto"/>
          <w:highlight w:val="none"/>
        </w:rPr>
      </w:pPr>
      <w:r>
        <w:rPr>
          <w:color w:val="auto"/>
          <w:highlight w:val="none"/>
        </w:rPr>
      </w:r>
      <w:r/>
    </w:p>
    <w:p>
      <w:pPr>
        <w:pStyle w:val="1202"/>
        <w:rPr>
          <w:rFonts w:ascii="Calibri" w:hAnsi="Calibr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"_Toc157413232" </w:instrText>
      </w:r>
      <w:r>
        <w:rPr>
          <w:color w:val="auto"/>
          <w:highlight w:val="none"/>
        </w:rPr>
        <w:fldChar w:fldCharType="separate"/>
      </w:r>
      <w:r>
        <w:rPr>
          <w:rStyle w:val="1225"/>
          <w:rFonts w:hint="eastAsia"/>
          <w:color w:val="auto"/>
          <w:highlight w:val="none"/>
        </w:rPr>
        <w:t xml:space="preserve">第一章</w:t>
      </w:r>
      <w:r>
        <w:rPr>
          <w:rStyle w:val="1225"/>
          <w:color w:val="auto"/>
          <w:highlight w:val="none"/>
        </w:rPr>
        <w:t xml:space="preserve">   </w:t>
      </w:r>
      <w:r>
        <w:rPr>
          <w:rStyle w:val="1225"/>
          <w:rFonts w:hint="eastAsia"/>
          <w:color w:val="auto"/>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_Toc157413232 \h </w:instrText>
      </w:r>
      <w:r>
        <w:rPr>
          <w:color w:val="auto"/>
          <w:highlight w:val="none"/>
        </w:rPr>
        <w:fldChar w:fldCharType="separate"/>
      </w:r>
      <w:r>
        <w:rPr>
          <w:color w:val="auto"/>
          <w:highlight w:val="none"/>
        </w:rPr>
        <w:t xml:space="preserve">1</w:t>
      </w:r>
      <w:r>
        <w:rPr>
          <w:color w:val="auto"/>
          <w:highlight w:val="none"/>
        </w:rPr>
        <w:fldChar w:fldCharType="end"/>
      </w:r>
      <w:r>
        <w:rPr>
          <w:color w:val="auto"/>
          <w:highlight w:val="none"/>
        </w:rPr>
        <w:fldChar w:fldCharType="end"/>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"_Toc157413233" </w:instrText>
      </w:r>
      <w:r>
        <w:rPr>
          <w:color w:val="auto"/>
          <w:highlight w:val="none"/>
        </w:rPr>
        <w:fldChar w:fldCharType="separate"/>
      </w:r>
      <w:r>
        <w:rPr>
          <w:rStyle w:val="1225"/>
          <w:rFonts w:hint="eastAsia"/>
          <w:color w:val="auto"/>
          <w:highlight w:val="none"/>
        </w:rPr>
        <w:t xml:space="preserve">第二章</w:t>
      </w:r>
      <w:r>
        <w:rPr>
          <w:rStyle w:val="1225"/>
          <w:color w:val="auto"/>
          <w:highlight w:val="none"/>
        </w:rPr>
        <w:t xml:space="preserve">   </w:t>
      </w:r>
      <w:r>
        <w:rPr>
          <w:rStyle w:val="1225"/>
          <w:rFonts w:hint="eastAsia"/>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_Toc157413233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"_Toc157413234" </w:instrText>
      </w:r>
      <w:r>
        <w:rPr>
          <w:color w:val="auto"/>
          <w:highlight w:val="none"/>
        </w:rPr>
        <w:fldChar w:fldCharType="separate"/>
      </w:r>
      <w:r>
        <w:rPr>
          <w:rStyle w:val="1225"/>
          <w:rFonts w:hint="eastAsia"/>
          <w:color w:val="auto"/>
          <w:highlight w:val="none"/>
        </w:rPr>
        <w:t xml:space="preserve">第三章</w:t>
      </w:r>
      <w:r>
        <w:rPr>
          <w:rStyle w:val="1225"/>
          <w:color w:val="auto"/>
          <w:highlight w:val="none"/>
        </w:rPr>
        <w:t xml:space="preserve">   </w:t>
      </w:r>
      <w:r>
        <w:rPr>
          <w:rStyle w:val="1225"/>
          <w:rFonts w:hint="eastAsia"/>
          <w:color w:val="auto"/>
          <w:highlight w:val="none"/>
        </w:rPr>
        <w:t xml:space="preserve">资格审查</w:t>
      </w:r>
      <w:r>
        <w:rPr>
          <w:color w:val="auto"/>
          <w:highlight w:val="none"/>
        </w:rPr>
        <w:tab/>
      </w:r>
      <w:r>
        <w:rPr>
          <w:color w:val="auto"/>
          <w:highlight w:val="none"/>
        </w:rPr>
        <w:fldChar w:fldCharType="begin"/>
      </w:r>
      <w:r>
        <w:rPr>
          <w:color w:val="auto"/>
          <w:highlight w:val="none"/>
        </w:rPr>
        <w:instrText xml:space="preserve"> PAGEREF _Toc157413234 \h </w:instrText>
      </w:r>
      <w:r>
        <w:rPr>
          <w:color w:val="auto"/>
          <w:highlight w:val="none"/>
        </w:rPr>
        <w:fldChar w:fldCharType="separate"/>
      </w:r>
      <w:r>
        <w:rPr>
          <w:color w:val="auto"/>
          <w:highlight w:val="none"/>
        </w:rPr>
        <w:t xml:space="preserve">23</w:t>
      </w:r>
      <w:r>
        <w:rPr>
          <w:color w:val="auto"/>
          <w:highlight w:val="none"/>
        </w:rPr>
        <w:fldChar w:fldCharType="end"/>
      </w:r>
      <w:r>
        <w:rPr>
          <w:color w:val="auto"/>
          <w:highlight w:val="none"/>
        </w:rPr>
        <w:fldChar w:fldCharType="end"/>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"_Toc157413235" </w:instrText>
      </w:r>
      <w:r>
        <w:rPr>
          <w:color w:val="auto"/>
          <w:highlight w:val="none"/>
        </w:rPr>
        <w:fldChar w:fldCharType="separate"/>
      </w:r>
      <w:r>
        <w:rPr>
          <w:rStyle w:val="1225"/>
          <w:rFonts w:hint="eastAsia"/>
          <w:color w:val="auto"/>
          <w:highlight w:val="none"/>
        </w:rPr>
        <w:t xml:space="preserve">第四章</w:t>
      </w:r>
      <w:r>
        <w:rPr>
          <w:rStyle w:val="1225"/>
          <w:color w:val="auto"/>
          <w:highlight w:val="none"/>
        </w:rPr>
        <w:t xml:space="preserve">   </w:t>
      </w:r>
      <w:r>
        <w:rPr>
          <w:rStyle w:val="1225"/>
          <w:rFonts w:hint="eastAsia"/>
          <w:color w:val="auto"/>
          <w:highlight w:val="none"/>
        </w:rPr>
        <w:t xml:space="preserve">评标程序、评标方法和评标标准</w:t>
      </w:r>
      <w:r>
        <w:rPr>
          <w:color w:val="auto"/>
          <w:highlight w:val="none"/>
        </w:rPr>
        <w:tab/>
      </w:r>
      <w:r>
        <w:rPr>
          <w:color w:val="auto"/>
          <w:highlight w:val="none"/>
        </w:rPr>
        <w:fldChar w:fldCharType="begin"/>
      </w:r>
      <w:r>
        <w:rPr>
          <w:color w:val="auto"/>
          <w:highlight w:val="none"/>
        </w:rPr>
        <w:instrText xml:space="preserve"> PAGEREF _Toc157413235 \h </w:instrText>
      </w:r>
      <w:r>
        <w:rPr>
          <w:color w:val="auto"/>
          <w:highlight w:val="none"/>
        </w:rPr>
        <w:fldChar w:fldCharType="separate"/>
      </w:r>
      <w:r>
        <w:rPr>
          <w:color w:val="auto"/>
          <w:highlight w:val="none"/>
        </w:rPr>
        <w:t xml:space="preserve">25</w:t>
      </w:r>
      <w:r>
        <w:rPr>
          <w:color w:val="auto"/>
          <w:highlight w:val="none"/>
        </w:rPr>
        <w:fldChar w:fldCharType="end"/>
      </w:r>
      <w:r>
        <w:rPr>
          <w:color w:val="auto"/>
          <w:highlight w:val="none"/>
        </w:rPr>
        <w:fldChar w:fldCharType="end"/>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"_Toc157413236" </w:instrText>
      </w:r>
      <w:r>
        <w:rPr>
          <w:color w:val="auto"/>
          <w:highlight w:val="none"/>
        </w:rPr>
        <w:fldChar w:fldCharType="separate"/>
      </w:r>
      <w:r>
        <w:rPr>
          <w:rStyle w:val="1225"/>
          <w:rFonts w:hint="eastAsia"/>
          <w:color w:val="auto"/>
          <w:highlight w:val="none"/>
        </w:rPr>
        <w:t xml:space="preserve">第五章</w:t>
      </w:r>
      <w:r>
        <w:rPr>
          <w:rStyle w:val="1225"/>
          <w:color w:val="auto"/>
          <w:highlight w:val="none"/>
        </w:rPr>
        <w:t xml:space="preserve">   </w:t>
      </w:r>
      <w:r>
        <w:rPr>
          <w:rStyle w:val="1225"/>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_Toc157413236 \h </w:instrText>
      </w:r>
      <w:r>
        <w:rPr>
          <w:color w:val="auto"/>
          <w:highlight w:val="none"/>
        </w:rPr>
        <w:fldChar w:fldCharType="separate"/>
      </w:r>
      <w:r>
        <w:rPr>
          <w:color w:val="auto"/>
          <w:highlight w:val="none"/>
        </w:rPr>
        <w:t xml:space="preserve">37</w:t>
      </w:r>
      <w:r>
        <w:rPr>
          <w:color w:val="auto"/>
          <w:highlight w:val="none"/>
        </w:rPr>
        <w:fldChar w:fldCharType="end"/>
      </w:r>
      <w:r>
        <w:rPr>
          <w:color w:val="auto"/>
          <w:highlight w:val="none"/>
        </w:rPr>
        <w:fldChar w:fldCharType="end"/>
      </w:r>
      <w:r/>
    </w:p>
    <w:p>
      <w:pPr>
        <w:pStyle w:val="1202"/>
        <w:rPr>
          <w:rFonts w:hint="default" w:ascii="Calibri" w:hAnsi="Calibri" w:eastAsia="宋体"/>
          <w:b w:val="0"/>
          <w:color w:val="auto"/>
          <w:sz w:val="21"/>
          <w:szCs w:val="22"/>
          <w:highlight w:val="none"/>
          <w:lang w:val="en-US" w:eastAsia="zh-CN"/>
        </w:rPr>
      </w:pPr>
      <w:r>
        <w:rPr>
          <w:color w:val="auto"/>
          <w:highlight w:val="none"/>
        </w:rPr>
        <w:fldChar w:fldCharType="begin"/>
      </w:r>
      <w:r>
        <w:rPr>
          <w:color w:val="auto"/>
          <w:highlight w:val="none"/>
        </w:rPr>
        <w:instrText xml:space="preserve"> HYPERLINK \l "_Toc157413237" </w:instrText>
      </w:r>
      <w:r>
        <w:rPr>
          <w:color w:val="auto"/>
          <w:highlight w:val="none"/>
        </w:rPr>
        <w:fldChar w:fldCharType="separate"/>
      </w:r>
      <w:r>
        <w:rPr>
          <w:rStyle w:val="1225"/>
          <w:rFonts w:hint="eastAsia"/>
          <w:color w:val="auto"/>
          <w:highlight w:val="none"/>
        </w:rPr>
        <w:t xml:space="preserve">第六章</w:t>
      </w:r>
      <w:r>
        <w:rPr>
          <w:rStyle w:val="1225"/>
          <w:color w:val="auto"/>
          <w:highlight w:val="none"/>
        </w:rPr>
        <w:t xml:space="preserve">   </w:t>
      </w:r>
      <w:r>
        <w:rPr>
          <w:rStyle w:val="1225"/>
          <w:rFonts w:hint="eastAsia"/>
          <w:color w:val="auto"/>
          <w:highlight w:val="none"/>
        </w:rPr>
        <w:t xml:space="preserve">拟签订的合同文本</w:t>
      </w:r>
      <w:r>
        <w:rPr>
          <w:color w:val="auto"/>
          <w:highlight w:val="none"/>
        </w:rPr>
        <w:tab/>
      </w:r>
      <w:r>
        <w:rPr>
          <w:color w:val="auto"/>
          <w:highlight w:val="none"/>
        </w:rPr>
        <w:fldChar w:fldCharType="end"/>
      </w:r>
      <w:r>
        <w:rPr>
          <w:rFonts w:hint="eastAsia"/>
          <w:color w:val="auto"/>
          <w:highlight w:val="none"/>
          <w:lang w:val="en-US" w:eastAsia="zh-CN"/>
        </w:rPr>
        <w:t xml:space="preserve">48</w:t>
      </w:r>
      <w:r/>
    </w:p>
    <w:p>
      <w:pPr>
        <w:pStyle w:val="1202"/>
        <w:rPr>
          <w:rFonts w:ascii="Calibri" w:hAnsi="Calibri"/>
          <w:b w:val="0"/>
          <w:color w:val="auto"/>
          <w:sz w:val="21"/>
          <w:szCs w:val="22"/>
          <w:highlight w:val="none"/>
        </w:rPr>
      </w:pPr>
      <w:r>
        <w:rPr>
          <w:color w:val="auto"/>
          <w:highlight w:val="none"/>
        </w:rPr>
        <w:fldChar w:fldCharType="begin"/>
      </w:r>
      <w:r>
        <w:rPr>
          <w:color w:val="auto"/>
          <w:highlight w:val="none"/>
        </w:rPr>
        <w:instrText xml:space="preserve"> HYPERLINK \l "_Toc157413252" </w:instrText>
      </w:r>
      <w:r>
        <w:rPr>
          <w:color w:val="auto"/>
          <w:highlight w:val="none"/>
        </w:rPr>
        <w:fldChar w:fldCharType="separate"/>
      </w:r>
      <w:r>
        <w:rPr>
          <w:rStyle w:val="1225"/>
          <w:rFonts w:hint="eastAsia"/>
          <w:color w:val="auto"/>
          <w:highlight w:val="none"/>
        </w:rPr>
        <w:t xml:space="preserve">第七章</w:t>
      </w:r>
      <w:r>
        <w:rPr>
          <w:rStyle w:val="1225"/>
          <w:color w:val="auto"/>
          <w:highlight w:val="none"/>
        </w:rPr>
        <w:t xml:space="preserve">   </w:t>
      </w:r>
      <w:r>
        <w:rPr>
          <w:rStyle w:val="1225"/>
          <w:rFonts w:hint="eastAsia"/>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_Toc157413252 \h </w:instrText>
      </w:r>
      <w:r>
        <w:rPr>
          <w:color w:val="auto"/>
          <w:highlight w:val="none"/>
        </w:rPr>
        <w:fldChar w:fldCharType="separate"/>
      </w:r>
      <w:r>
        <w:rPr>
          <w:color w:val="auto"/>
          <w:highlight w:val="none"/>
        </w:rPr>
        <w:t xml:space="preserve">63</w:t>
      </w:r>
      <w:r>
        <w:rPr>
          <w:color w:val="auto"/>
          <w:highlight w:val="none"/>
        </w:rPr>
        <w:fldChar w:fldCharType="end"/>
      </w:r>
      <w:r>
        <w:rPr>
          <w:color w:val="auto"/>
          <w:highlight w:val="none"/>
        </w:rPr>
        <w:fldChar w:fldCharType="end"/>
      </w:r>
      <w:r/>
    </w:p>
    <w:p>
      <w:pPr>
        <w:pStyle w:val="1202"/>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jc w:val="center"/>
        <w:spacing w:line="360" w:lineRule="auto"/>
        <w:rPr>
          <w:color w:val="auto"/>
          <w:sz w:val="24"/>
          <w:highlight w:val="none"/>
        </w:rPr>
        <w:sectPr>
          <w:headerReference w:type="default" r:id="rId9"/>
          <w:footerReference w:type="first" r:id="rId14"/>
          <w:footnotePr/>
          <w:endnotePr/>
          <w:type w:val="nextColumn"/>
          <w:pgSz w:w="11907" w:h="16840" w:orient="portrait"/>
          <w:pgMar w:top="1418" w:right="1417" w:bottom="1418" w:left="1418" w:header="851" w:footer="851" w:gutter="0"/>
          <w:cols w:num="1" w:sep="0" w:space="720" w:equalWidth="1"/>
          <w:docGrid w:linePitch="360"/>
          <w:titlePg/>
        </w:sectPr>
        <w:outlineLvl w:val="0"/>
      </w:pPr>
      <w:r>
        <w:rPr>
          <w:color w:val="auto"/>
          <w:sz w:val="24"/>
          <w:highlight w:val="none"/>
        </w:rPr>
      </w:r>
      <w:r/>
    </w:p>
    <w:p>
      <w:pPr>
        <w:jc w:val="center"/>
        <w:spacing w:line="360" w:lineRule="auto"/>
        <w:rPr>
          <w:b/>
          <w:color w:val="auto"/>
          <w:sz w:val="36"/>
          <w:szCs w:val="36"/>
          <w:highlight w:val="none"/>
        </w:rPr>
        <w:outlineLvl w:val="0"/>
      </w:pPr>
      <w:r/>
      <w:bookmarkStart w:id="3" w:name="_Toc157413232"/>
      <w:r>
        <w:rPr>
          <w:b/>
          <w:color w:val="auto"/>
          <w:sz w:val="36"/>
          <w:szCs w:val="36"/>
          <w:highlight w:val="none"/>
        </w:rPr>
        <w:t xml:space="preserve">第一章   投标邀请</w:t>
      </w:r>
      <w:bookmarkEnd w:id="3"/>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bookmarkStart w:id="4" w:name="_Toc35393621"/>
      <w:r/>
      <w:bookmarkStart w:id="5" w:name="_Toc28359002"/>
      <w:r/>
      <w:bookmarkStart w:id="6" w:name="_Toc28359079"/>
      <w:r/>
      <w:bookmarkStart w:id="7" w:name="_Toc35393790"/>
      <w:r/>
      <w:bookmarkStart w:id="8" w:name="_Hlk24379207"/>
      <w:r>
        <w:rPr>
          <w:rFonts w:hint="eastAsia" w:ascii="宋体" w:hAnsi="宋体"/>
          <w:color w:val="auto"/>
          <w:sz w:val="24"/>
          <w:highlight w:val="none"/>
        </w:rPr>
        <w:t xml:space="preserve">项目概况</w:t>
      </w:r>
      <w:r/>
    </w:p>
    <w:p>
      <w:pPr>
        <w:ind w:firstLine="480"/>
        <w:spacing w:line="360" w:lineRule="auto"/>
        <w:rPr>
          <w:rFonts w:ascii="宋体" w:hAnsi="宋体"/>
          <w:color w:val="auto"/>
          <w:sz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highlight w:val="none"/>
          <w:u w:val="single"/>
          <w:lang w:eastAsia="zh-CN"/>
        </w:rPr>
        <w:t xml:space="preserve">支持住房困难工薪群体购买商品住房资助款担保服务项目</w:t>
      </w:r>
      <w:r>
        <w:rPr>
          <w:rFonts w:hint="eastAsia" w:ascii="宋体" w:hAnsi="宋体"/>
          <w:color w:val="auto"/>
          <w:sz w:val="24"/>
          <w:highlight w:val="none"/>
        </w:rPr>
        <w:t xml:space="preserve">的潜在投标人应在“苏采云”政府采购一体化平台获取招标文件，并于</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10</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14</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14</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00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（北京时间）前提交投标文件</w:t>
      </w:r>
      <w:r>
        <w:rPr>
          <w:rFonts w:hint="eastAsia" w:ascii="宋体" w:hAnsi="宋体"/>
          <w:color w:val="auto"/>
          <w:sz w:val="24"/>
          <w:highlight w:val="none"/>
        </w:rPr>
        <w:t xml:space="preserve">。</w:t>
      </w:r>
      <w:r/>
    </w:p>
    <w:p>
      <w:pPr>
        <w:pStyle w:val="1152"/>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4"/>
      <w:r/>
      <w:bookmarkEnd w:id="5"/>
      <w:r/>
      <w:bookmarkEnd w:id="6"/>
      <w:r/>
      <w:bookmarkEnd w:id="7"/>
      <w:r/>
      <w:r/>
    </w:p>
    <w:p>
      <w:pPr>
        <w:ind w:firstLine="480"/>
        <w:spacing w:line="360" w:lineRule="auto"/>
        <w:rPr>
          <w:rFonts w:hint="eastAsia" w:ascii="宋体" w:hAnsi="宋体" w:eastAsia="宋体"/>
          <w:color w:val="auto"/>
          <w:sz w:val="24"/>
          <w:highlight w:val="none"/>
          <w:lang w:eastAsia="zh-CN"/>
        </w:rPr>
      </w:pPr>
      <w:r>
        <w:rPr>
          <w:color w:val="auto"/>
          <w:sz w:val="24"/>
          <w:highlight w:val="none"/>
        </w:rPr>
        <w:t xml:space="preserve">1.</w:t>
      </w:r>
      <w:r>
        <w:rPr>
          <w:rFonts w:ascii="宋体" w:hAnsi="宋体"/>
          <w:color w:val="auto"/>
          <w:sz w:val="24"/>
          <w:highlight w:val="none"/>
        </w:rPr>
        <w:t xml:space="preserve">项目编号：</w:t>
      </w:r>
      <w:r>
        <w:rPr>
          <w:rFonts w:hint="eastAsia" w:ascii="宋体" w:hAnsi="宋体"/>
          <w:color w:val="auto"/>
          <w:sz w:val="24"/>
          <w:highlight w:val="none"/>
          <w:lang w:eastAsia="zh-CN"/>
        </w:rPr>
        <w:t xml:space="preserve">JSZC-320400-ZCCZ-G2026-0031</w:t>
      </w:r>
      <w:r/>
    </w:p>
    <w:p>
      <w:pPr>
        <w:ind w:firstLine="480"/>
        <w:spacing w:line="360" w:lineRule="auto"/>
        <w:rPr>
          <w:rFonts w:hint="eastAsia" w:ascii="宋体" w:hAnsi="宋体" w:eastAsia="宋体"/>
          <w:color w:val="auto"/>
          <w:sz w:val="24"/>
          <w:highlight w:val="none"/>
          <w:lang w:eastAsia="zh-CN"/>
        </w:rPr>
      </w:pPr>
      <w:r>
        <w:rPr>
          <w:color w:val="auto"/>
          <w:sz w:val="24"/>
          <w:highlight w:val="none"/>
        </w:rPr>
        <w:t xml:space="preserve">2.</w:t>
      </w:r>
      <w:r>
        <w:rPr>
          <w:rFonts w:ascii="宋体" w:hAnsi="宋体"/>
          <w:color w:val="auto"/>
          <w:sz w:val="24"/>
          <w:highlight w:val="none"/>
        </w:rPr>
        <w:t xml:space="preserve">项目名称：</w:t>
      </w:r>
      <w:bookmarkEnd w:id="8"/>
      <w:r>
        <w:rPr>
          <w:rFonts w:hint="eastAsia" w:ascii="宋体" w:hAnsi="宋体"/>
          <w:color w:val="auto"/>
          <w:sz w:val="24"/>
          <w:highlight w:val="none"/>
          <w:lang w:eastAsia="zh-CN"/>
        </w:rPr>
        <w:t xml:space="preserve">支持住房困难工薪群体购买商品住房资助款担保服务项目</w:t>
      </w:r>
      <w:r/>
    </w:p>
    <w:p>
      <w:pPr>
        <w:ind w:firstLine="480"/>
        <w:spacing w:line="360" w:lineRule="auto"/>
        <w:rPr>
          <w:color w:val="auto"/>
          <w:sz w:val="24"/>
          <w:highlight w:val="none"/>
        </w:rPr>
      </w:pPr>
      <w:r>
        <w:rPr>
          <w:rFonts w:hint="eastAsia"/>
          <w:color w:val="auto"/>
          <w:sz w:val="24"/>
          <w:highlight w:val="none"/>
        </w:rPr>
        <w:t xml:space="preserve">3.采购方式：公开招标</w:t>
      </w:r>
      <w:r/>
    </w:p>
    <w:p>
      <w:pPr>
        <w:ind w:firstLine="480"/>
        <w:spacing w:line="360" w:lineRule="auto"/>
        <w:rPr>
          <w:rFonts w:hint="eastAsia" w:eastAsia="宋体"/>
          <w:color w:val="auto"/>
          <w:sz w:val="24"/>
          <w:highlight w:val="none"/>
          <w:lang w:eastAsia="zh-CN"/>
        </w:rPr>
      </w:pPr>
      <w:r>
        <w:rPr>
          <w:rFonts w:hint="eastAsia"/>
          <w:color w:val="auto"/>
          <w:sz w:val="24"/>
          <w:highlight w:val="none"/>
        </w:rPr>
        <w:t xml:space="preserve">4</w:t>
      </w:r>
      <w:r>
        <w:rPr>
          <w:color w:val="auto"/>
          <w:sz w:val="24"/>
          <w:highlight w:val="none"/>
        </w:rPr>
        <w:t xml:space="preserve">.项目预算金额：</w:t>
      </w:r>
      <w:r>
        <w:rPr>
          <w:rFonts w:hint="eastAsia"/>
          <w:color w:val="auto"/>
          <w:sz w:val="24"/>
          <w:highlight w:val="none"/>
          <w:lang w:eastAsia="zh-CN"/>
        </w:rPr>
        <w:t xml:space="preserve">180万元（两年）</w:t>
      </w:r>
      <w:r/>
    </w:p>
    <w:p>
      <w:pPr>
        <w:ind w:firstLine="480"/>
        <w:spacing w:line="360" w:lineRule="auto"/>
        <w:rPr>
          <w:rFonts w:hint="eastAsia" w:eastAsia="宋体"/>
          <w:color w:val="auto"/>
          <w:sz w:val="24"/>
          <w:highlight w:val="none"/>
          <w:lang w:eastAsia="zh-CN"/>
        </w:rPr>
      </w:pPr>
      <w:r>
        <w:rPr>
          <w:rFonts w:hint="eastAsia"/>
          <w:color w:val="auto"/>
          <w:sz w:val="24"/>
          <w:highlight w:val="none"/>
        </w:rPr>
        <w:t xml:space="preserve">5.</w:t>
      </w:r>
      <w:r>
        <w:rPr>
          <w:color w:val="auto"/>
          <w:sz w:val="24"/>
          <w:highlight w:val="none"/>
        </w:rPr>
        <w:t xml:space="preserve">项目最高限价</w:t>
      </w:r>
      <w:r>
        <w:rPr>
          <w:rFonts w:hint="eastAsia"/>
          <w:color w:val="auto"/>
          <w:sz w:val="24"/>
          <w:highlight w:val="none"/>
        </w:rPr>
        <w:t xml:space="preserve">：</w:t>
      </w:r>
      <w:r>
        <w:rPr>
          <w:rFonts w:hint="eastAsia"/>
          <w:color w:val="auto"/>
          <w:sz w:val="24"/>
          <w:highlight w:val="none"/>
          <w:lang w:eastAsia="zh-CN"/>
        </w:rPr>
        <w:t xml:space="preserve">担保服务费率不超过4.00‰</w:t>
      </w:r>
      <w:r/>
    </w:p>
    <w:p>
      <w:pPr>
        <w:ind w:firstLine="480"/>
        <w:spacing w:line="360" w:lineRule="auto"/>
        <w:rPr>
          <w:rFonts w:hint="eastAsia" w:ascii="宋体" w:hAnsi="宋体"/>
          <w:bCs/>
          <w:color w:val="auto"/>
          <w:sz w:val="24"/>
          <w:highlight w:val="none"/>
        </w:rPr>
      </w:pPr>
      <w:r>
        <w:rPr>
          <w:rFonts w:hint="eastAsia"/>
          <w:color w:val="auto"/>
          <w:sz w:val="24"/>
          <w:highlight w:val="none"/>
        </w:rPr>
        <w:t xml:space="preserve">6</w:t>
      </w:r>
      <w:r>
        <w:rPr>
          <w:color w:val="auto"/>
          <w:sz w:val="24"/>
          <w:highlight w:val="none"/>
        </w:rPr>
        <w:t xml:space="preserve">.采购需求：</w:t>
      </w:r>
      <w:r>
        <w:rPr>
          <w:rFonts w:hint="eastAsia" w:ascii="宋体" w:hAnsi="宋体"/>
          <w:bCs/>
          <w:color w:val="auto"/>
          <w:sz w:val="24"/>
          <w:highlight w:val="none"/>
        </w:rPr>
        <w:t xml:space="preserve">本项目为</w:t>
      </w:r>
      <w:r>
        <w:rPr>
          <w:rFonts w:hint="eastAsia" w:ascii="宋体" w:hAnsi="宋体"/>
          <w:bCs/>
          <w:color w:val="auto"/>
          <w:sz w:val="24"/>
          <w:highlight w:val="none"/>
          <w:lang w:eastAsia="zh-CN"/>
        </w:rPr>
        <w:t xml:space="preserve">支持住房困难工薪群体购买商品住房资助款担保服务项目。</w:t>
      </w:r>
      <w:r>
        <w:rPr>
          <w:rFonts w:hint="eastAsia" w:ascii="宋体" w:hAnsi="宋体"/>
          <w:bCs/>
          <w:color w:val="auto"/>
          <w:sz w:val="24"/>
          <w:highlight w:val="none"/>
        </w:rPr>
        <w:t xml:space="preserve">为确保我市购房资助资金安全、规范、高效运行，提升整体资金安全水平，现拟采购购房资助担保服务。具体内容详见</w:t>
      </w:r>
      <w:r>
        <w:rPr>
          <w:rFonts w:hint="eastAsia" w:ascii="宋体" w:hAnsi="宋体"/>
          <w:bCs/>
          <w:color w:val="auto"/>
          <w:sz w:val="24"/>
          <w:highlight w:val="none"/>
          <w:lang w:val="en-US" w:eastAsia="zh-CN"/>
        </w:rPr>
        <w:t xml:space="preserve">招标</w:t>
      </w:r>
      <w:r>
        <w:rPr>
          <w:rFonts w:hint="eastAsia" w:ascii="宋体" w:hAnsi="宋体"/>
          <w:bCs/>
          <w:color w:val="auto"/>
          <w:sz w:val="24"/>
          <w:highlight w:val="none"/>
        </w:rPr>
        <w:t xml:space="preserve">文件。</w:t>
      </w:r>
      <w:r/>
    </w:p>
    <w:p>
      <w:pPr>
        <w:ind w:firstLine="480"/>
        <w:spacing w:line="360" w:lineRule="auto"/>
        <w:rPr>
          <w:rFonts w:hint="eastAsia" w:eastAsia="宋体"/>
          <w:color w:val="auto"/>
          <w:sz w:val="24"/>
          <w:highlight w:val="none"/>
          <w:lang w:eastAsia="zh-CN"/>
        </w:rPr>
      </w:pPr>
      <w:r>
        <w:rPr>
          <w:rFonts w:hint="eastAsia"/>
          <w:color w:val="auto"/>
          <w:sz w:val="24"/>
          <w:highlight w:val="none"/>
        </w:rPr>
        <w:t xml:space="preserve">7</w:t>
      </w:r>
      <w:r>
        <w:rPr>
          <w:color w:val="auto"/>
          <w:sz w:val="24"/>
          <w:highlight w:val="none"/>
        </w:rPr>
        <w:t xml:space="preserve">.合同履行期限</w:t>
      </w:r>
      <w:r>
        <w:rPr>
          <w:rFonts w:hint="eastAsia"/>
          <w:color w:val="auto"/>
          <w:sz w:val="24"/>
          <w:highlight w:val="none"/>
        </w:rPr>
        <w:t xml:space="preserve">：</w:t>
      </w:r>
      <w:r>
        <w:rPr>
          <w:rFonts w:hint="eastAsia" w:ascii="宋体" w:hAnsi="宋体" w:cs="宋体"/>
          <w:color w:val="auto"/>
          <w:sz w:val="24"/>
          <w:highlight w:val="none"/>
          <w:lang w:eastAsia="zh-CN"/>
        </w:rPr>
        <w:t xml:space="preserve">合同一签</w:t>
      </w:r>
      <w:r>
        <w:rPr>
          <w:rFonts w:hint="eastAsia" w:ascii="宋体" w:hAnsi="宋体" w:cs="宋体"/>
          <w:color w:val="auto"/>
          <w:sz w:val="24"/>
          <w:highlight w:val="none"/>
          <w:lang w:val="en-US" w:eastAsia="zh-CN"/>
        </w:rPr>
        <w:t xml:space="preserve">两</w:t>
      </w:r>
      <w:r>
        <w:rPr>
          <w:rFonts w:hint="eastAsia" w:ascii="宋体" w:hAnsi="宋体" w:cs="宋体"/>
          <w:color w:val="auto"/>
          <w:sz w:val="24"/>
          <w:highlight w:val="none"/>
          <w:lang w:eastAsia="zh-CN"/>
        </w:rPr>
        <w:t xml:space="preserve">年。年度平均考核低于90分的，招标人有权解除委托管理合同。</w:t>
      </w:r>
      <w:r/>
    </w:p>
    <w:p>
      <w:pPr>
        <w:ind w:firstLine="480"/>
        <w:spacing w:line="360" w:lineRule="auto"/>
        <w:rPr>
          <w:color w:val="auto"/>
          <w:sz w:val="24"/>
          <w:highlight w:val="none"/>
        </w:rPr>
      </w:pPr>
      <w:r>
        <w:rPr>
          <w:rFonts w:hint="eastAsia"/>
          <w:color w:val="auto"/>
          <w:sz w:val="24"/>
          <w:highlight w:val="none"/>
        </w:rPr>
        <w:t xml:space="preserve">8</w:t>
      </w:r>
      <w:r>
        <w:rPr>
          <w:color w:val="auto"/>
          <w:sz w:val="24"/>
          <w:highlight w:val="none"/>
        </w:rPr>
        <w:t xml:space="preserve">.本项目是否接受联合体投标：</w:t>
      </w:r>
      <w:r>
        <w:rPr>
          <w:rFonts w:hint="eastAsia"/>
          <w:color w:val="auto"/>
          <w:sz w:val="24"/>
          <w:highlight w:val="none"/>
        </w:rPr>
        <w:t xml:space="preserve">□</w:t>
      </w:r>
      <w:r>
        <w:rPr>
          <w:color w:val="auto"/>
          <w:sz w:val="24"/>
          <w:highlight w:val="none"/>
        </w:rPr>
        <w:t xml:space="preserve">是  </w:t>
      </w:r>
      <w:r>
        <w:rPr>
          <w:rFonts w:hint="eastAsia"/>
          <w:color w:val="auto"/>
          <w:sz w:val="24"/>
          <w:highlight w:val="none"/>
          <w:lang w:eastAsia="zh-CN"/>
        </w:rPr>
        <w:t xml:space="preserve">■</w:t>
      </w:r>
      <w:r>
        <w:rPr>
          <w:color w:val="auto"/>
          <w:sz w:val="24"/>
          <w:highlight w:val="none"/>
        </w:rPr>
        <w:t xml:space="preserve">否。</w:t>
      </w:r>
      <w:r/>
    </w:p>
    <w:p>
      <w:pPr>
        <w:pStyle w:val="1152"/>
        <w:jc w:val="left"/>
        <w:spacing w:before="0" w:line="360" w:lineRule="auto"/>
        <w:rPr>
          <w:rFonts w:ascii="Times New Roman" w:hAnsi="Times New Roman" w:eastAsia="宋体"/>
          <w:color w:val="auto"/>
          <w:sz w:val="24"/>
          <w:szCs w:val="24"/>
          <w:highlight w:val="none"/>
        </w:rPr>
      </w:pPr>
      <w:r/>
      <w:bookmarkStart w:id="9" w:name="_Toc28359003"/>
      <w:r/>
      <w:bookmarkStart w:id="10" w:name="_Toc35393622"/>
      <w:r/>
      <w:bookmarkStart w:id="11" w:name="_Toc28359080"/>
      <w:r/>
      <w:bookmarkStart w:id="12" w:name="_Toc35393791"/>
      <w:r>
        <w:rPr>
          <w:rFonts w:ascii="Times New Roman" w:hAnsi="Times New Roman" w:eastAsia="宋体"/>
          <w:color w:val="auto"/>
          <w:sz w:val="24"/>
          <w:szCs w:val="24"/>
          <w:highlight w:val="none"/>
        </w:rPr>
        <w:t xml:space="preserve">二、申请人的资格要求（须同时满足）</w:t>
      </w:r>
      <w:bookmarkEnd w:id="9"/>
      <w:r/>
      <w:bookmarkEnd w:id="10"/>
      <w:r/>
      <w:bookmarkEnd w:id="11"/>
      <w:r/>
      <w:bookmarkEnd w:id="12"/>
      <w:r/>
      <w:r/>
    </w:p>
    <w:p>
      <w:pPr>
        <w:ind w:firstLine="480"/>
        <w:spacing w:line="360" w:lineRule="auto"/>
        <w:rPr>
          <w:color w:val="auto"/>
          <w:sz w:val="24"/>
          <w:highlight w:val="none"/>
        </w:rPr>
      </w:pPr>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3" w:name="_Toc28359081"/>
      <w:r/>
      <w:bookmarkStart w:id="14" w:name="_Toc28359004"/>
      <w:r>
        <w:rPr>
          <w:color w:val="auto"/>
          <w:sz w:val="24"/>
          <w:highlight w:val="none"/>
        </w:rPr>
        <w:t xml:space="preserve">2.落实政府采购政策需满足的资格要求：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p>
    <w:p>
      <w:pPr>
        <w:ind w:firstLine="420"/>
        <w:spacing w:line="360" w:lineRule="auto"/>
        <w:rPr>
          <w:color w:val="auto"/>
          <w:sz w:val="24"/>
          <w:highlight w:val="none"/>
        </w:rPr>
      </w:pPr>
      <w:r>
        <w:rPr>
          <w:rFonts w:hint="eastAsia" w:ascii="MS Gothic" w:hAnsi="MS Gothic" w:eastAsia="宋体" w:cs="MS Gothic"/>
          <w:color w:val="auto"/>
          <w:highlight w:val="none"/>
          <w:shd w:val="clear" w:color="auto" w:fill="ffffff"/>
          <w:lang w:eastAsia="zh-CN"/>
        </w:rPr>
        <w:t xml:space="preserve">□</w:t>
      </w:r>
      <w:r>
        <w:rPr>
          <w:color w:val="auto"/>
          <w:sz w:val="24"/>
          <w:highlight w:val="none"/>
        </w:rPr>
        <w:t xml:space="preserve">本项目不专门面向中小企业预留采购份额。</w:t>
      </w:r>
      <w:r/>
    </w:p>
    <w:p>
      <w:pPr>
        <w:ind w:firstLine="460"/>
        <w:spacing w:line="360" w:lineRule="auto"/>
        <w:rPr>
          <w:rFonts w:hint="eastAsia" w:ascii="仿宋" w:hAnsi="仿宋" w:eastAsia="仿宋"/>
          <w:color w:val="auto"/>
          <w:sz w:val="23"/>
          <w:szCs w:val="23"/>
          <w:highlight w:val="none"/>
        </w:rPr>
        <w:sectPr>
          <w:footerReference w:type="default" r:id="rId15"/>
          <w:footnotePr/>
          <w:endnotePr/>
          <w:type w:val="nextPage"/>
          <w:pgSz w:w="11906" w:h="16838" w:orient="portrait"/>
          <w:pgMar w:top="1111" w:right="1191" w:bottom="1111" w:left="1191" w:header="851" w:footer="705" w:gutter="0"/>
          <w:pgNumType w:start="1"/>
          <w:cols w:num="1" w:sep="0" w:space="1701" w:equalWidth="1"/>
          <w:docGrid w:linePitch="360"/>
        </w:sectPr>
      </w:pPr>
      <w:r>
        <w:rPr>
          <w:rFonts w:hint="eastAsia" w:ascii="仿宋" w:hAnsi="仿宋" w:eastAsia="仿宋"/>
          <w:color w:val="auto"/>
          <w:sz w:val="23"/>
          <w:szCs w:val="23"/>
          <w:highlight w:val="none"/>
        </w:rPr>
      </w:r>
      <w:r/>
    </w:p>
    <w:p>
      <w:pPr>
        <w:ind w:firstLine="460"/>
        <w:spacing w:line="360" w:lineRule="auto"/>
        <w:rPr>
          <w:color w:val="auto"/>
          <w:sz w:val="24"/>
          <w:highlight w:val="none"/>
        </w:rPr>
      </w:pPr>
      <w:r>
        <w:rPr>
          <w:rFonts w:hint="eastAsia" w:ascii="仿宋" w:hAnsi="仿宋" w:eastAsia="仿宋"/>
          <w:color w:val="auto"/>
          <w:sz w:val="23"/>
          <w:szCs w:val="23"/>
          <w:highlight w:val="none"/>
          <w:lang w:eastAsia="zh-CN"/>
        </w:rPr>
        <w:t xml:space="preserve">■</w:t>
      </w:r>
      <w:r>
        <w:rPr>
          <w:color w:val="auto"/>
          <w:sz w:val="24"/>
          <w:highlight w:val="none"/>
        </w:rPr>
        <w:t xml:space="preserve">本项目专门面向  </w:t>
      </w:r>
      <w:r>
        <w:rPr>
          <w:rFonts w:hint="eastAsia" w:ascii="仿宋" w:hAnsi="仿宋" w:eastAsia="仿宋"/>
          <w:color w:val="auto"/>
          <w:sz w:val="23"/>
          <w:szCs w:val="23"/>
          <w:highlight w:val="none"/>
          <w:lang w:eastAsia="zh-CN"/>
        </w:rPr>
        <w:t xml:space="preserve">■</w:t>
      </w:r>
      <w:r>
        <w:rPr>
          <w:color w:val="auto"/>
          <w:sz w:val="24"/>
          <w:highlight w:val="none"/>
        </w:rPr>
        <w:t xml:space="preserve">中小 </w:t>
      </w:r>
      <w:r>
        <w:rPr>
          <w:rFonts w:hint="eastAsia" w:ascii="仿宋" w:hAnsi="仿宋" w:eastAsia="仿宋"/>
          <w:color w:val="auto"/>
          <w:sz w:val="23"/>
          <w:szCs w:val="23"/>
          <w:highlight w:val="none"/>
          <w:lang w:eastAsia="zh-CN"/>
        </w:rPr>
        <w:t xml:space="preserve">■</w:t>
      </w:r>
      <w:r>
        <w:rPr>
          <w:color w:val="auto"/>
          <w:sz w:val="24"/>
          <w:highlight w:val="none"/>
        </w:rPr>
        <w:t xml:space="preserve">小微企业  采购。即：提供的货物全部由符合政策要求的中小/小微企业制造、服务全部由符合政策要求的中小/小微企业承接。</w:t>
      </w:r>
      <w:r/>
    </w:p>
    <w:p>
      <w:pPr>
        <w:ind w:firstLine="460"/>
        <w:spacing w:line="360" w:lineRule="auto"/>
        <w:rPr>
          <w:color w:val="auto"/>
          <w:sz w:val="24"/>
          <w:highlight w:val="none"/>
        </w:rPr>
      </w:pPr>
      <w:r>
        <w:rPr>
          <w:rFonts w:hint="eastAsia" w:ascii="仿宋" w:hAnsi="仿宋" w:eastAsia="仿宋"/>
          <w:color w:val="auto"/>
          <w:sz w:val="23"/>
          <w:szCs w:val="23"/>
          <w:highlight w:val="none"/>
        </w:rPr>
        <w:t xml:space="preserve">□</w:t>
      </w:r>
      <w:r>
        <w:rPr>
          <w:color w:val="auto"/>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w:t>
      </w:r>
      <w:r>
        <w:rPr>
          <w:rFonts w:hint="eastAsia" w:ascii="宋体" w:hAnsi="宋体" w:cs="宋体"/>
          <w:color w:val="auto"/>
          <w:sz w:val="24"/>
          <w:highlight w:val="none"/>
          <w:u w:val="single"/>
        </w:rPr>
        <w:t xml:space="preserve"> /</w:t>
      </w:r>
      <w:r>
        <w:rPr>
          <w:color w:val="auto"/>
          <w:sz w:val="24"/>
          <w:highlight w:val="none"/>
        </w:rPr>
        <w:t xml:space="preserve">________</w:t>
      </w:r>
      <w:r>
        <w:rPr>
          <w:rFonts w:hint="eastAsia"/>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2.2 其它落实政府采购政策的资格要求：</w:t>
      </w:r>
      <w:r>
        <w:rPr>
          <w:rFonts w:hint="eastAsia"/>
          <w:color w:val="auto"/>
          <w:sz w:val="24"/>
          <w:highlight w:val="none"/>
        </w:rPr>
        <w:t xml:space="preserve">无。</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3.1本项目是否接受分支机构参与投标：</w:t>
      </w:r>
      <w:r>
        <w:rPr>
          <w:rFonts w:hint="eastAsia" w:ascii="仿宋" w:hAnsi="仿宋" w:eastAsia="仿宋"/>
          <w:color w:val="auto"/>
          <w:sz w:val="23"/>
          <w:szCs w:val="23"/>
          <w:highlight w:val="none"/>
        </w:rPr>
        <w:t xml:space="preserve">□</w:t>
      </w:r>
      <w:r>
        <w:rPr>
          <w:color w:val="auto"/>
          <w:sz w:val="24"/>
          <w:highlight w:val="none"/>
        </w:rPr>
        <w:t xml:space="preserve">是   </w:t>
      </w:r>
      <w:r>
        <w:rPr>
          <w:rFonts w:hint="eastAsia" w:ascii="MS Gothic" w:hAnsi="MS Gothic" w:eastAsia="宋体" w:cs="MS Gothic"/>
          <w:color w:val="auto"/>
          <w:highlight w:val="none"/>
          <w:shd w:val="clear" w:color="auto" w:fill="ffffff"/>
          <w:lang w:eastAsia="zh-CN"/>
        </w:rPr>
        <w:t xml:space="preserve">■</w:t>
      </w:r>
      <w:r>
        <w:rPr>
          <w:color w:val="auto"/>
          <w:sz w:val="24"/>
          <w:highlight w:val="none"/>
        </w:rPr>
        <w:t xml:space="preserve">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3.2本项目是否属于政府购买服务：</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仿宋" w:hAnsi="仿宋" w:eastAsia="仿宋"/>
          <w:color w:val="auto"/>
          <w:sz w:val="23"/>
          <w:szCs w:val="23"/>
          <w:highlight w:val="none"/>
          <w:lang w:eastAsia="zh-CN"/>
        </w:rPr>
        <w:t xml:space="preserve">■</w:t>
      </w:r>
      <w:r>
        <w:rPr>
          <w:color w:val="auto"/>
          <w:sz w:val="24"/>
          <w:highlight w:val="none"/>
        </w:rPr>
        <w:t xml:space="preserve">否</w:t>
      </w:r>
      <w:r/>
    </w:p>
    <w:p>
      <w:pPr>
        <w:ind w:left="991" w:firstLine="2"/>
        <w:spacing w:line="360" w:lineRule="auto"/>
        <w:tabs>
          <w:tab w:val="left" w:pos="900" w:leader="none"/>
          <w:tab w:val="left" w:pos="1134" w:leader="none"/>
          <w:tab w:val="left" w:pos="1589" w:leader="none"/>
          <w:tab w:val="left" w:pos="5521" w:leader="none"/>
        </w:tabs>
        <w:rPr>
          <w:color w:val="auto"/>
          <w:sz w:val="24"/>
          <w:highlight w:val="none"/>
        </w:rPr>
      </w:pPr>
      <w:r>
        <w:rPr>
          <w:rFonts w:hint="eastAsia" w:ascii="MS Gothic" w:hAnsi="MS Gothic" w:cs="MS Gothic"/>
          <w:color w:val="auto"/>
          <w:highlight w:val="none"/>
          <w:shd w:val="clear" w:color="auto" w:fill="ffffff"/>
          <w:lang w:eastAsia="zh-CN"/>
        </w:rPr>
        <w:t xml:space="preserve">□</w:t>
      </w:r>
      <w:r>
        <w:rPr>
          <w:color w:val="auto"/>
          <w:sz w:val="24"/>
          <w:highlight w:val="none"/>
        </w:rPr>
        <w:t xml:space="preserve">是，公益一类事业单位、使用事业编制且由财政拨款保障的群团组织，不得作为承接主体；</w:t>
      </w:r>
      <w:r/>
    </w:p>
    <w:p>
      <w:pPr>
        <w:ind w:firstLine="480"/>
        <w:spacing w:line="360" w:lineRule="auto"/>
        <w:rPr>
          <w:rFonts w:ascii="宋体" w:hAnsi="宋体"/>
          <w:color w:val="auto"/>
          <w:sz w:val="24"/>
          <w:highlight w:val="none"/>
        </w:rPr>
      </w:pPr>
      <w:r>
        <w:rPr>
          <w:color w:val="auto"/>
          <w:sz w:val="24"/>
          <w:highlight w:val="none"/>
        </w:rPr>
        <w:t xml:space="preserve">3.3其他特定资格要求：</w:t>
      </w:r>
      <w:r>
        <w:rPr>
          <w:rFonts w:hint="eastAsia"/>
          <w:color w:val="auto"/>
          <w:sz w:val="24"/>
          <w:highlight w:val="none"/>
        </w:rPr>
        <w:t xml:space="preserve">投标人能够从事住房置业担保专业业务，能降低资金使用风险，保障财政资金使用安全，且获得《融资担保业务经营许可证》，许可经营范围应包含住房置业担保。投标人应提供有效的《融资担保业务经营许可证》扫描件并加盖投标人公章。</w:t>
      </w:r>
      <w:bookmarkEnd w:id="13"/>
      <w:bookmarkEnd w:id="14"/>
      <w:r/>
    </w:p>
    <w:p>
      <w:pPr>
        <w:pStyle w:val="1152"/>
        <w:jc w:val="left"/>
        <w:spacing w:line="360" w:lineRule="auto"/>
        <w:rPr>
          <w:rFonts w:ascii="Times New Roman" w:eastAsia="宋体"/>
          <w:color w:val="auto"/>
          <w:sz w:val="24"/>
          <w:szCs w:val="24"/>
          <w:highlight w:val="none"/>
        </w:rPr>
      </w:pPr>
      <w:r/>
      <w:bookmarkStart w:id="15" w:name="_Toc35393627"/>
      <w:r/>
      <w:bookmarkStart w:id="16" w:name="_Toc28359008"/>
      <w:r/>
      <w:bookmarkStart w:id="17" w:name="_Toc28359085"/>
      <w:r/>
      <w:bookmarkStart w:id="18" w:name="_Toc35393796"/>
      <w:r>
        <w:rPr>
          <w:rFonts w:hint="eastAsia" w:ascii="Times New Roman" w:eastAsia="宋体"/>
          <w:color w:val="auto"/>
          <w:sz w:val="24"/>
          <w:szCs w:val="24"/>
          <w:highlight w:val="none"/>
        </w:rPr>
        <w:t xml:space="preserve">三、获取招标文件</w:t>
      </w:r>
      <w:r/>
    </w:p>
    <w:p>
      <w:pPr>
        <w:ind w:firstLine="480"/>
        <w:spacing w:line="360" w:lineRule="auto"/>
        <w:rPr>
          <w:rFonts w:ascii="宋体" w:hAnsi="宋体"/>
          <w:bCs/>
          <w:color w:val="auto"/>
          <w:sz w:val="24"/>
          <w:highlight w:val="none"/>
        </w:rPr>
      </w:pPr>
      <w:r/>
      <w:bookmarkStart w:id="19" w:name="_Toc35393624"/>
      <w:r/>
      <w:bookmarkStart w:id="20" w:name="_Toc28359005"/>
      <w:r/>
      <w:bookmarkStart w:id="21" w:name="_Toc28359082"/>
      <w:r/>
      <w:bookmarkStart w:id="22" w:name="_Toc35393793"/>
      <w:r>
        <w:rPr>
          <w:rFonts w:hint="eastAsia" w:ascii="宋体" w:hAnsi="宋体"/>
          <w:bCs/>
          <w:color w:val="auto"/>
          <w:sz w:val="24"/>
          <w:highlight w:val="none"/>
        </w:rPr>
        <w:t xml:space="preserve">1.时间：</w:t>
      </w:r>
      <w:r>
        <w:rPr>
          <w:rFonts w:hint="eastAsia"/>
          <w:color w:val="auto"/>
          <w:sz w:val="24"/>
          <w:highlight w:val="none"/>
          <w:lang w:bidi="ar"/>
        </w:rPr>
        <w:t xml:space="preserve">本公告发布之日起五个工作日</w:t>
      </w:r>
      <w:r>
        <w:rPr>
          <w:rFonts w:hint="eastAsia" w:ascii="宋体" w:hAnsi="宋体"/>
          <w:color w:val="auto"/>
          <w:sz w:val="24"/>
          <w:highlight w:val="none"/>
        </w:rPr>
        <w:t xml:space="preserve">（北京时间，法定节假日除外）。</w:t>
      </w:r>
      <w:r/>
    </w:p>
    <w:p>
      <w:pPr>
        <w:ind w:firstLine="480"/>
        <w:spacing w:line="360" w:lineRule="auto"/>
        <w:rPr>
          <w:rFonts w:hint="eastAsia" w:ascii="宋体" w:hAnsi="宋体"/>
          <w:color w:val="auto"/>
          <w:sz w:val="24"/>
          <w:highlight w:val="none"/>
        </w:rPr>
      </w:pPr>
      <w:r>
        <w:rPr>
          <w:rFonts w:hint="eastAsia" w:ascii="宋体" w:hAnsi="宋体"/>
          <w:bCs/>
          <w:color w:val="auto"/>
          <w:sz w:val="24"/>
          <w:highlight w:val="none"/>
          <w:lang w:val="en-US" w:eastAsia="zh-CN"/>
        </w:rPr>
        <w:t xml:space="preserve">2.</w:t>
      </w:r>
      <w:r>
        <w:rPr>
          <w:rFonts w:hint="eastAsia" w:ascii="宋体" w:hAnsi="宋体"/>
          <w:bCs/>
          <w:color w:val="auto"/>
          <w:sz w:val="24"/>
          <w:highlight w:val="none"/>
        </w:rPr>
        <w:t xml:space="preserve">地点：</w:t>
      </w:r>
      <w:bookmarkStart w:id="23" w:name="OLE_LINK182"/>
      <w:r/>
      <w:bookmarkStart w:id="24" w:name="OLE_LINK183"/>
      <w:r>
        <w:rPr>
          <w:rFonts w:hint="eastAsia" w:ascii="宋体" w:hAnsi="宋体"/>
          <w:bCs/>
          <w:color w:val="auto"/>
          <w:sz w:val="24"/>
          <w:highlight w:val="none"/>
        </w:rPr>
        <w:t xml:space="preserve">投标人</w:t>
      </w:r>
      <w:bookmarkEnd w:id="23"/>
      <w:r/>
      <w:bookmarkEnd w:id="24"/>
      <w:r>
        <w:rPr>
          <w:rFonts w:hint="eastAsia" w:ascii="宋体" w:hAnsi="宋体"/>
          <w:bCs/>
          <w:color w:val="auto"/>
          <w:sz w:val="24"/>
          <w:highlight w:val="none"/>
        </w:rPr>
        <w:t xml:space="preserve">完成注册并办理CA证书后登录“苏采云”（网</w:t>
      </w:r>
      <w:r>
        <w:rPr>
          <w:rFonts w:hint="eastAsia" w:ascii="宋体" w:hAnsi="宋体"/>
          <w:color w:val="auto"/>
          <w:sz w:val="24"/>
          <w:highlight w:val="none"/>
        </w:rPr>
        <w:t xml:space="preserve">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），下载本项目电子版招标文件。   </w:t>
      </w:r>
      <w:r/>
    </w:p>
    <w:p>
      <w:pPr>
        <w:ind w:firstLine="480"/>
        <w:spacing w:line="360" w:lineRule="auto"/>
        <w:rPr>
          <w:rFonts w:ascii="宋体" w:hAnsi="宋体"/>
          <w:bCs/>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方式：</w:t>
      </w:r>
      <w:r>
        <w:rPr>
          <w:rFonts w:hint="eastAsia" w:ascii="宋体" w:hAnsi="宋体"/>
          <w:bCs/>
          <w:color w:val="auto"/>
          <w:sz w:val="24"/>
          <w:highlight w:val="none"/>
        </w:rPr>
        <w:t xml:space="preserve">投标人</w:t>
      </w:r>
      <w:r>
        <w:rPr>
          <w:rFonts w:hint="eastAsia" w:ascii="宋体" w:hAnsi="宋体"/>
          <w:color w:val="auto"/>
          <w:sz w:val="24"/>
          <w:highlight w:val="none"/>
        </w:rPr>
        <w:t xml:space="preserve">持CA数字认证证书登录</w:t>
      </w:r>
      <w:r>
        <w:rPr>
          <w:rFonts w:hint="eastAsia" w:ascii="宋体" w:hAnsi="宋体"/>
          <w:bCs/>
          <w:color w:val="auto"/>
          <w:sz w:val="24"/>
          <w:highlight w:val="none"/>
        </w:rPr>
        <w:t xml:space="preserve">“苏采云”（网</w:t>
      </w:r>
      <w:r>
        <w:rPr>
          <w:rFonts w:hint="eastAsia" w:ascii="宋体" w:hAnsi="宋体"/>
          <w:color w:val="auto"/>
          <w:sz w:val="24"/>
          <w:highlight w:val="none"/>
        </w:rPr>
        <w:t xml:space="preserve">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）获取电子版招标文件。</w:t>
      </w:r>
      <w:r/>
    </w:p>
    <w:p>
      <w:pPr>
        <w:pStyle w:val="1152"/>
        <w:jc w:val="left"/>
        <w:spacing w:line="360" w:lineRule="auto"/>
        <w:rPr>
          <w:rFonts w:ascii="Times New Roman" w:eastAsia="宋体"/>
          <w:color w:val="auto"/>
          <w:sz w:val="24"/>
          <w:szCs w:val="24"/>
          <w:highlight w:val="none"/>
        </w:rPr>
      </w:pPr>
      <w:r>
        <w:rPr>
          <w:rFonts w:hint="eastAsia" w:ascii="Times New Roman" w:eastAsia="宋体"/>
          <w:color w:val="auto"/>
          <w:sz w:val="24"/>
          <w:szCs w:val="24"/>
          <w:highlight w:val="none"/>
        </w:rPr>
        <w:t xml:space="preserve">四、投标文件</w:t>
      </w:r>
      <w:bookmarkEnd w:id="19"/>
      <w:r/>
      <w:bookmarkEnd w:id="20"/>
      <w:r/>
      <w:bookmarkEnd w:id="21"/>
      <w:r/>
      <w:bookmarkEnd w:id="22"/>
      <w:r>
        <w:rPr>
          <w:rFonts w:hint="eastAsia" w:ascii="Times New Roman" w:eastAsia="宋体"/>
          <w:color w:val="auto"/>
          <w:sz w:val="24"/>
          <w:szCs w:val="24"/>
          <w:highlight w:val="none"/>
        </w:rPr>
        <w:t xml:space="preserve">提交</w:t>
      </w:r>
      <w:r/>
    </w:p>
    <w:p>
      <w:pPr>
        <w:ind w:firstLine="480"/>
        <w:spacing w:line="360" w:lineRule="auto"/>
        <w:rPr>
          <w:rFonts w:ascii="黑体" w:hAnsi="黑体" w:eastAsia="黑体"/>
          <w:color w:val="auto"/>
          <w:sz w:val="24"/>
          <w:highlight w:val="none"/>
        </w:rPr>
      </w:pPr>
      <w:r>
        <w:rPr>
          <w:rFonts w:hint="eastAsia" w:ascii="宋体" w:hAnsi="宋体"/>
          <w:color w:val="auto"/>
          <w:sz w:val="24"/>
          <w:highlight w:val="none"/>
        </w:rPr>
        <w:t xml:space="preserve">截止时间：</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10</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14</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14</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00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ascii="宋体" w:hAnsi="宋体"/>
          <w:color w:val="auto"/>
          <w:sz w:val="24"/>
          <w:highlight w:val="none"/>
        </w:rPr>
        <w:t xml:space="preserve">地点：本项目采用远程“不见面”交易方式，无需到现场提交，请</w:t>
      </w:r>
      <w:bookmarkStart w:id="25" w:name="OLE_LINK184"/>
      <w:r/>
      <w:bookmarkStart w:id="26" w:name="OLE_LINK185"/>
      <w:r>
        <w:rPr>
          <w:rFonts w:hint="eastAsia" w:ascii="宋体" w:hAnsi="宋体"/>
          <w:color w:val="auto"/>
          <w:sz w:val="24"/>
          <w:highlight w:val="none"/>
        </w:rPr>
        <w:t xml:space="preserve">投标人</w:t>
      </w:r>
      <w:bookmarkEnd w:id="25"/>
      <w:r/>
      <w:bookmarkEnd w:id="26"/>
      <w:r>
        <w:rPr>
          <w:rFonts w:hint="eastAsia" w:ascii="宋体" w:hAnsi="宋体"/>
          <w:color w:val="auto"/>
          <w:sz w:val="24"/>
          <w:highlight w:val="none"/>
        </w:rPr>
        <w:t xml:space="preserve">在开启时间截止前提前登入“苏采云”（网址：</w:t>
      </w:r>
      <w:r>
        <w:rPr>
          <w:rFonts w:ascii="宋体" w:hAnsi="宋体"/>
          <w:color w:val="auto"/>
          <w:sz w:val="24"/>
          <w:highlight w:val="none"/>
        </w:rPr>
        <w:t xml:space="preserve">http://jszfcg.jsczt.cn/jszc/login</w:t>
      </w:r>
      <w:r>
        <w:rPr>
          <w:rFonts w:hint="eastAsia" w:ascii="宋体" w:hAnsi="宋体"/>
          <w:color w:val="auto"/>
          <w:sz w:val="24"/>
          <w:highlight w:val="none"/>
        </w:rPr>
        <w:t xml:space="preserve">）系统投标人端，通过系统在线提交电子投标文件。</w:t>
      </w:r>
      <w:r/>
    </w:p>
    <w:p>
      <w:pPr>
        <w:pStyle w:val="1152"/>
        <w:jc w:val="left"/>
        <w:spacing w:line="360" w:lineRule="auto"/>
        <w:rPr>
          <w:rFonts w:ascii="Times New Roman" w:eastAsia="宋体"/>
          <w:color w:val="auto"/>
          <w:sz w:val="24"/>
          <w:szCs w:val="24"/>
          <w:highlight w:val="none"/>
        </w:rPr>
      </w:pPr>
      <w:r/>
      <w:bookmarkStart w:id="27" w:name="_Toc28359084"/>
      <w:r/>
      <w:bookmarkStart w:id="28" w:name="_Toc28359007"/>
      <w:r/>
      <w:bookmarkStart w:id="29" w:name="_Toc35393794"/>
      <w:r/>
      <w:bookmarkStart w:id="30" w:name="_Toc35393625"/>
      <w:r>
        <w:rPr>
          <w:rFonts w:hint="eastAsia" w:ascii="Times New Roman" w:eastAsia="宋体"/>
          <w:color w:val="auto"/>
          <w:sz w:val="24"/>
          <w:szCs w:val="24"/>
          <w:highlight w:val="none"/>
        </w:rPr>
        <w:t xml:space="preserve">五、开启</w:t>
      </w:r>
      <w:r/>
    </w:p>
    <w:p>
      <w:pPr>
        <w:ind w:firstLine="480"/>
        <w:spacing w:line="360" w:lineRule="auto"/>
        <w:rPr>
          <w:bCs/>
          <w:color w:val="auto"/>
          <w:sz w:val="24"/>
          <w:highlight w:val="none"/>
        </w:rPr>
      </w:pPr>
      <w:r>
        <w:rPr>
          <w:rFonts w:hint="eastAsia"/>
          <w:bCs/>
          <w:color w:val="auto"/>
          <w:sz w:val="24"/>
          <w:highlight w:val="none"/>
        </w:rPr>
        <w:t xml:space="preserve">时间</w:t>
      </w:r>
      <w:r>
        <w:rPr>
          <w:rFonts w:hint="eastAsia" w:ascii="宋体" w:hAnsi="宋体"/>
          <w:color w:val="auto"/>
          <w:sz w:val="24"/>
          <w:highlight w:val="none"/>
        </w:rPr>
        <w:t xml:space="preserve">：</w:t>
      </w:r>
      <w:r>
        <w:rPr>
          <w:rFonts w:ascii="宋体" w:hAnsi="宋体"/>
          <w:bCs/>
          <w:color w:val="auto"/>
          <w:sz w:val="24"/>
          <w:highlight w:val="none"/>
          <w:u w:val="single"/>
        </w:rPr>
        <w:t xml:space="preserve">2</w:t>
      </w:r>
      <w:r>
        <w:rPr>
          <w:rFonts w:hint="eastAsia" w:ascii="宋体" w:hAnsi="宋体"/>
          <w:bCs/>
          <w:color w:val="auto"/>
          <w:sz w:val="24"/>
          <w:highlight w:val="none"/>
          <w:u w:val="single"/>
        </w:rPr>
        <w:t xml:space="preserve">02</w:t>
      </w:r>
      <w:r>
        <w:rPr>
          <w:rFonts w:hint="eastAsia" w:ascii="宋体" w:hAnsi="宋体"/>
          <w:bCs/>
          <w:color w:val="auto"/>
          <w:sz w:val="24"/>
          <w:highlight w:val="none"/>
          <w:u w:val="single"/>
          <w:lang w:val="en-US" w:eastAsia="zh-CN"/>
        </w:rPr>
        <w:t xml:space="preserve">6</w:t>
      </w:r>
      <w:r>
        <w:rPr>
          <w:rFonts w:ascii="宋体" w:hAnsi="宋体"/>
          <w:bCs/>
          <w:color w:val="auto"/>
          <w:sz w:val="24"/>
          <w:highlight w:val="none"/>
          <w:u w:val="single"/>
        </w:rPr>
        <w:t xml:space="preserve">年</w:t>
      </w:r>
      <w:r>
        <w:rPr>
          <w:rFonts w:hint="eastAsia" w:ascii="宋体" w:hAnsi="宋体"/>
          <w:bCs/>
          <w:color w:val="auto"/>
          <w:sz w:val="24"/>
          <w:highlight w:val="none"/>
          <w:u w:val="single"/>
          <w:lang w:val="en-US" w:eastAsia="zh-CN"/>
        </w:rPr>
        <w:t xml:space="preserve">10</w:t>
      </w:r>
      <w:r>
        <w:rPr>
          <w:rFonts w:ascii="宋体" w:hAnsi="宋体"/>
          <w:bCs/>
          <w:color w:val="auto"/>
          <w:sz w:val="24"/>
          <w:highlight w:val="none"/>
          <w:u w:val="single"/>
        </w:rPr>
        <w:t xml:space="preserve">月</w:t>
      </w:r>
      <w:r>
        <w:rPr>
          <w:rFonts w:hint="eastAsia" w:ascii="宋体" w:hAnsi="宋体"/>
          <w:bCs/>
          <w:color w:val="auto"/>
          <w:sz w:val="24"/>
          <w:highlight w:val="none"/>
          <w:u w:val="single"/>
          <w:lang w:val="en-US" w:eastAsia="zh-CN"/>
        </w:rPr>
        <w:t xml:space="preserve">14</w:t>
      </w:r>
      <w:r>
        <w:rPr>
          <w:rFonts w:ascii="宋体" w:hAnsi="宋体"/>
          <w:bCs/>
          <w:color w:val="auto"/>
          <w:sz w:val="24"/>
          <w:highlight w:val="none"/>
          <w:u w:val="single"/>
        </w:rPr>
        <w:t xml:space="preserve">日</w:t>
      </w:r>
      <w:r>
        <w:rPr>
          <w:rFonts w:hint="eastAsia" w:ascii="宋体" w:hAnsi="宋体"/>
          <w:bCs/>
          <w:color w:val="auto"/>
          <w:sz w:val="24"/>
          <w:highlight w:val="none"/>
          <w:u w:val="single"/>
          <w:lang w:val="en-US" w:eastAsia="zh-CN"/>
        </w:rPr>
        <w:t xml:space="preserve">14</w:t>
      </w:r>
      <w:r>
        <w:rPr>
          <w:rFonts w:hint="eastAsia" w:ascii="宋体" w:hAnsi="宋体"/>
          <w:bCs/>
          <w:color w:val="auto"/>
          <w:sz w:val="24"/>
          <w:highlight w:val="none"/>
          <w:u w:val="single"/>
        </w:rPr>
        <w:t xml:space="preserve">时</w:t>
      </w:r>
      <w:r>
        <w:rPr>
          <w:rFonts w:hint="eastAsia" w:ascii="宋体" w:hAnsi="宋体"/>
          <w:bCs/>
          <w:color w:val="auto"/>
          <w:sz w:val="24"/>
          <w:highlight w:val="none"/>
          <w:u w:val="single"/>
          <w:lang w:val="en-US" w:eastAsia="zh-CN"/>
        </w:rPr>
        <w:t xml:space="preserve">00</w:t>
      </w:r>
      <w:r>
        <w:rPr>
          <w:rFonts w:ascii="宋体" w:hAnsi="宋体"/>
          <w:bCs/>
          <w:color w:val="auto"/>
          <w:sz w:val="24"/>
          <w:highlight w:val="none"/>
          <w:u w:val="single"/>
        </w:rPr>
        <w:t xml:space="preserve">分</w:t>
      </w:r>
      <w:r>
        <w:rPr>
          <w:rFonts w:hint="eastAsia" w:ascii="宋体" w:hAnsi="宋体"/>
          <w:bCs/>
          <w:color w:val="auto"/>
          <w:sz w:val="24"/>
          <w:highlight w:val="none"/>
        </w:rPr>
        <w:t xml:space="preserve">（</w:t>
      </w:r>
      <w:r>
        <w:rPr>
          <w:rFonts w:hint="eastAsia"/>
          <w:bCs/>
          <w:color w:val="auto"/>
          <w:sz w:val="24"/>
          <w:highlight w:val="none"/>
        </w:rPr>
        <w:t xml:space="preserve">北京时间）</w:t>
      </w:r>
      <w:r/>
    </w:p>
    <w:p>
      <w:pPr>
        <w:ind w:firstLine="480"/>
        <w:spacing w:line="360" w:lineRule="auto"/>
        <w:rPr>
          <w:rFonts w:ascii="宋体" w:hAnsi="宋体"/>
          <w:bCs/>
          <w:color w:val="auto"/>
          <w:sz w:val="24"/>
          <w:highlight w:val="none"/>
        </w:rPr>
      </w:pPr>
      <w:r>
        <w:rPr>
          <w:rFonts w:hint="eastAsia"/>
          <w:bCs/>
          <w:color w:val="auto"/>
          <w:sz w:val="24"/>
          <w:highlight w:val="none"/>
        </w:rPr>
        <w:t xml:space="preserve">地点：</w:t>
      </w:r>
      <w:r>
        <w:rPr>
          <w:rFonts w:hint="eastAsia" w:ascii="宋体" w:hAnsi="宋体"/>
          <w:bCs/>
          <w:color w:val="auto"/>
          <w:sz w:val="24"/>
          <w:highlight w:val="none"/>
        </w:rPr>
        <w:t xml:space="preserve">“苏采云”政府采购一体化平台系统网上开标大厅</w:t>
      </w:r>
      <w:r>
        <w:rPr>
          <w:rFonts w:hint="eastAsia" w:ascii="宋体" w:hAnsi="宋体"/>
          <w:color w:val="auto"/>
          <w:sz w:val="24"/>
          <w:highlight w:val="none"/>
        </w:rPr>
        <w:t xml:space="preserve">。</w:t>
      </w:r>
      <w:r/>
    </w:p>
    <w:p>
      <w:pPr>
        <w:pStyle w:val="1152"/>
        <w:jc w:val="left"/>
        <w:spacing w:line="360" w:lineRule="auto"/>
        <w:rPr>
          <w:rFonts w:ascii="Times New Roman" w:eastAsia="宋体"/>
          <w:color w:val="auto"/>
          <w:sz w:val="24"/>
          <w:szCs w:val="24"/>
          <w:highlight w:val="none"/>
        </w:rPr>
      </w:pPr>
      <w:r>
        <w:rPr>
          <w:rFonts w:hint="eastAsia" w:ascii="Times New Roman" w:eastAsia="宋体"/>
          <w:color w:val="auto"/>
          <w:sz w:val="24"/>
          <w:szCs w:val="24"/>
          <w:highlight w:val="none"/>
        </w:rPr>
        <w:t xml:space="preserve">六、公告期限</w:t>
      </w:r>
      <w:bookmarkEnd w:id="27"/>
      <w:r/>
      <w:bookmarkEnd w:id="28"/>
      <w:r/>
      <w:bookmarkEnd w:id="29"/>
      <w:r/>
      <w:bookmarkEnd w:id="3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自本公告发布之日起5个工作日。</w:t>
      </w:r>
      <w:r/>
    </w:p>
    <w:p>
      <w:pPr>
        <w:pStyle w:val="1152"/>
        <w:jc w:val="left"/>
        <w:spacing w:line="360" w:lineRule="auto"/>
        <w:rPr>
          <w:rFonts w:ascii="Times New Roman" w:eastAsia="宋体"/>
          <w:color w:val="auto"/>
          <w:sz w:val="24"/>
          <w:szCs w:val="24"/>
          <w:highlight w:val="none"/>
        </w:rPr>
      </w:pPr>
      <w:r/>
      <w:bookmarkStart w:id="31" w:name="_Toc35393795"/>
      <w:r/>
      <w:bookmarkStart w:id="32" w:name="_Toc35393626"/>
      <w:r>
        <w:rPr>
          <w:rFonts w:hint="eastAsia" w:ascii="Times New Roman" w:eastAsia="宋体"/>
          <w:color w:val="auto"/>
          <w:sz w:val="24"/>
          <w:szCs w:val="24"/>
          <w:highlight w:val="none"/>
        </w:rPr>
        <w:t xml:space="preserve">七、其他补充事宜</w:t>
      </w:r>
      <w:bookmarkEnd w:id="31"/>
      <w:r/>
      <w:bookmarkEnd w:id="3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1.本项目采用“不见面”交易方式，请</w:t>
      </w:r>
      <w:bookmarkStart w:id="33" w:name="OLE_LINK188"/>
      <w:r/>
      <w:bookmarkStart w:id="34" w:name="OLE_LINK186"/>
      <w:r/>
      <w:bookmarkStart w:id="35" w:name="OLE_LINK187"/>
      <w:r>
        <w:rPr>
          <w:rFonts w:hint="eastAsia" w:ascii="宋体" w:hAnsi="宋体" w:eastAsia="宋体" w:cs="Times New Roman"/>
          <w:color w:val="auto"/>
          <w:sz w:val="24"/>
          <w:highlight w:val="none"/>
        </w:rPr>
        <w:t xml:space="preserve">投标人（供应商）</w:t>
      </w:r>
      <w:bookmarkEnd w:id="33"/>
      <w:r/>
      <w:bookmarkEnd w:id="34"/>
      <w:r/>
      <w:bookmarkEnd w:id="35"/>
      <w:r>
        <w:rPr>
          <w:rFonts w:hint="eastAsia" w:ascii="宋体" w:hAnsi="宋体" w:eastAsia="宋体" w:cs="Times New Roman"/>
          <w:color w:val="auto"/>
          <w:sz w:val="24"/>
          <w:highlight w:val="none"/>
        </w:rPr>
        <w:t xml:space="preserve">认真学习常州市政府采购网发布的相关操作手册，办理CA认证证书、进行“苏采云”平台注册绑定，并认真核实数字认证证书情况确认是否符合本项目电子化采购流程要求。</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技术支持服务热线   0519-85588210</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CA认证证书办理（可邮寄）联系电话   0519-85588120</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1.1办理CA认证证书</w:t>
      </w:r>
      <w:r/>
    </w:p>
    <w:p>
      <w:pPr>
        <w:ind w:firstLine="480"/>
        <w:spacing w:line="360" w:lineRule="auto"/>
        <w:rPr>
          <w:rFonts w:hint="eastAsia" w:ascii="宋体" w:hAnsi="宋体" w:eastAsia="宋体" w:cs="Times New Roman"/>
          <w:color w:val="auto"/>
          <w:sz w:val="24"/>
          <w:highlight w:val="none"/>
        </w:rPr>
      </w:pPr>
      <w:r/>
      <w:bookmarkStart w:id="36" w:name="OLE_LINK190"/>
      <w:r/>
      <w:bookmarkStart w:id="37" w:name="OLE_LINK193"/>
      <w:r/>
      <w:bookmarkStart w:id="38" w:name="OLE_LINK191"/>
      <w:r/>
      <w:bookmarkStart w:id="39" w:name="OLE_LINK192"/>
      <w:r/>
      <w:bookmarkStart w:id="40" w:name="OLE_LINK189"/>
      <w:r>
        <w:rPr>
          <w:rFonts w:hint="eastAsia" w:ascii="宋体" w:hAnsi="宋体" w:eastAsia="宋体" w:cs="Times New Roman"/>
          <w:color w:val="auto"/>
          <w:sz w:val="24"/>
          <w:highlight w:val="none"/>
        </w:rPr>
        <w:t xml:space="preserve">投标人（供应商）</w:t>
      </w:r>
      <w:bookmarkEnd w:id="36"/>
      <w:r/>
      <w:bookmarkEnd w:id="37"/>
      <w:r/>
      <w:bookmarkEnd w:id="38"/>
      <w:r/>
      <w:bookmarkEnd w:id="39"/>
      <w:r/>
      <w:bookmarkEnd w:id="40"/>
      <w:r>
        <w:rPr>
          <w:rFonts w:hint="eastAsia" w:ascii="宋体" w:hAnsi="宋体" w:eastAsia="宋体" w:cs="Times New Roman"/>
          <w:color w:val="auto"/>
          <w:sz w:val="24"/>
          <w:highlight w:val="none"/>
        </w:rPr>
        <w:t xml:space="preserve">登录常州市政府采购网“下载中心”下载并查阅 “江苏省政府采购数字证书CA及电子签章办理指南”，按照程序要求办理。因投标人（供应商）完成注册并办理CA证书需要一定时间,请提前办理好相关手续,逾期未成功下载采购文件的责任由投标人（供应商）自行承担。</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1.2注册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投标人（供应商）登录常州市政府采购网-下载中心-“苏采云”系统投标人（供应商）操作手册”下载相关操作手册，查阅后进行自助注册。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1.3控件、客户端下载</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投标人（供应商）登录“苏采云”“驱动中心”下载相关控件和客户端。</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 获取电子采购文件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投标人（供应商）持CA数字认证证书登录“苏采云”获取电子采购文件。未在规定期限内通过“苏采云”获取采购文件的投标（响应）无效。</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1.5编制电子投标文件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必须通过“苏采云”投标（响应）文件制作客户端”制作并使用CA证书加密上传投标（响应）文件，除上述方式之外，不接受投标人（供应商）以纸质文件以及其他任何方式提交的投标（响应）文件。如无法按照要求在电子投标（响应）文件中加盖电子签章和加密，请及时通过技术支持服务热线联系技术人员。</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1.6提交电子投标文件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投标人（供应商）应于响应截止时间（开启）前在“苏采云”提交电子投标（响应）文件，上传电子投标（响应）文件过程中请保持与互联网的连接畅通。</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1.7电子开标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投标人（供应商）使用CA认证证书登录“苏采云”进行电子化不见面开标。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1.8注意事项</w:t>
      </w:r>
      <w:r/>
    </w:p>
    <w:p>
      <w:pPr>
        <w:ind w:firstLine="7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1）有关本次招标的事项若存在变动或修改，敬请及时关注常州市政府采购网发布的更正公告。</w:t>
      </w:r>
      <w:r/>
    </w:p>
    <w:p>
      <w:pPr>
        <w:ind w:firstLine="72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投标人（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投标人（供应商）自行承担。</w:t>
      </w:r>
      <w:r/>
    </w:p>
    <w:p>
      <w:pPr>
        <w:ind w:firstLine="787"/>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3）如潜在投标人（供应商）未按上述要求操作，将自行承担所产生的风险。</w:t>
      </w:r>
      <w:r/>
    </w:p>
    <w:p>
      <w:pPr>
        <w:ind w:firstLine="480"/>
        <w:spacing w:line="360" w:lineRule="auto"/>
        <w:rPr>
          <w:rFonts w:hint="eastAsia" w:ascii="宋体" w:hAnsi="宋体" w:eastAsia="宋体" w:cs="Times New Roman"/>
          <w:color w:val="auto"/>
          <w:sz w:val="24"/>
          <w:highlight w:val="none"/>
          <w:lang w:val="zh-TW"/>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zh-TW"/>
        </w:rPr>
        <w:t xml:space="preserve">关于常州市中小企业政府采购信用融资：</w:t>
      </w:r>
      <w:r/>
    </w:p>
    <w:p>
      <w:pPr>
        <w:ind w:firstLine="480"/>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zh-TW"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供应商）提供相应额度贷款的融资模式。申请条件及操作流程等事项详见该文件相关内容或者常州市政府采购网--政采融资平台栏目。</w:t>
      </w:r>
      <w:r/>
    </w:p>
    <w:p>
      <w:pPr>
        <w:pStyle w:val="1152"/>
        <w:jc w:val="left"/>
        <w:spacing w:before="0"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八</w:t>
      </w:r>
      <w:r>
        <w:rPr>
          <w:rFonts w:ascii="Times New Roman" w:hAnsi="Times New Roman" w:eastAsia="宋体"/>
          <w:color w:val="auto"/>
          <w:sz w:val="24"/>
          <w:szCs w:val="24"/>
          <w:highlight w:val="none"/>
        </w:rPr>
        <w:t xml:space="preserve">、对本次招标提出询问，请按以下方式联系。</w:t>
      </w:r>
      <w:bookmarkEnd w:id="15"/>
      <w:r/>
      <w:bookmarkEnd w:id="16"/>
      <w:r/>
      <w:bookmarkEnd w:id="17"/>
      <w:r/>
      <w:bookmarkEnd w:id="18"/>
      <w:r/>
      <w:r/>
    </w:p>
    <w:p>
      <w:pPr>
        <w:ind w:firstLine="482"/>
        <w:jc w:val="left"/>
        <w:spacing w:line="360" w:lineRule="auto"/>
        <w:widowControl/>
        <w:rPr>
          <w:b/>
          <w:color w:val="auto"/>
          <w:sz w:val="24"/>
          <w:highlight w:val="none"/>
        </w:rPr>
      </w:pPr>
      <w:r>
        <w:rPr>
          <w:b/>
          <w:color w:val="auto"/>
          <w:sz w:val="24"/>
          <w:highlight w:val="none"/>
        </w:rPr>
        <w:t xml:space="preserve">1.</w:t>
      </w:r>
      <w:r>
        <w:rPr>
          <w:rFonts w:hint="eastAsia"/>
          <w:b/>
          <w:color w:val="auto"/>
          <w:sz w:val="24"/>
          <w:highlight w:val="none"/>
        </w:rPr>
        <w:t xml:space="preserve">招标人</w:t>
      </w:r>
      <w:r>
        <w:rPr>
          <w:b/>
          <w:color w:val="auto"/>
          <w:sz w:val="24"/>
          <w:highlight w:val="none"/>
        </w:rPr>
        <w:t xml:space="preserve">信息</w:t>
      </w:r>
      <w:r/>
    </w:p>
    <w:p>
      <w:pPr>
        <w:ind w:firstLine="480"/>
        <w:jc w:val="left"/>
        <w:spacing w:line="360" w:lineRule="auto"/>
        <w:rPr>
          <w:rFonts w:ascii="宋体" w:hAnsi="宋体" w:cs="宋体"/>
          <w:color w:val="auto"/>
          <w:sz w:val="24"/>
          <w:highlight w:val="none"/>
        </w:rPr>
      </w:pPr>
      <w:r/>
      <w:bookmarkStart w:id="41" w:name="_Toc28359086"/>
      <w:r/>
      <w:bookmarkStart w:id="42" w:name="_Toc28359009"/>
      <w:r>
        <w:rPr>
          <w:color w:val="auto"/>
          <w:sz w:val="24"/>
          <w:highlight w:val="none"/>
        </w:rPr>
        <w:t xml:space="preserve">名    称：</w:t>
      </w:r>
      <w:r>
        <w:rPr>
          <w:rFonts w:hint="eastAsia"/>
          <w:color w:val="auto"/>
          <w:sz w:val="24"/>
          <w:highlight w:val="none"/>
          <w:lang w:eastAsia="zh-CN"/>
        </w:rPr>
        <w:t xml:space="preserve">常州市住房保障中心</w:t>
      </w:r>
      <w:r>
        <w:rPr>
          <w:rFonts w:hint="eastAsia" w:ascii="宋体" w:hAnsi="宋体" w:cs="宋体"/>
          <w:color w:val="auto"/>
          <w:sz w:val="24"/>
          <w:highlight w:val="none"/>
        </w:rPr>
        <w:t xml:space="preserve"> </w:t>
      </w:r>
      <w:r/>
    </w:p>
    <w:p>
      <w:pPr>
        <w:ind w:firstLine="480"/>
        <w:jc w:val="left"/>
        <w:spacing w:line="360" w:lineRule="auto"/>
        <w:rPr>
          <w:rFonts w:hint="eastAsia" w:ascii="宋体" w:hAnsi="宋体" w:eastAsia="宋体" w:cs="宋体"/>
          <w:color w:val="auto"/>
          <w:sz w:val="24"/>
          <w:highlight w:val="none"/>
          <w:lang w:eastAsia="zh-CN"/>
        </w:rPr>
      </w:pPr>
      <w:r>
        <w:rPr>
          <w:color w:val="auto"/>
          <w:sz w:val="24"/>
          <w:highlight w:val="none"/>
        </w:rPr>
        <w:t xml:space="preserve">地    址：</w:t>
      </w:r>
      <w:r>
        <w:rPr>
          <w:rFonts w:hint="eastAsia"/>
          <w:color w:val="auto"/>
          <w:sz w:val="24"/>
          <w:highlight w:val="none"/>
        </w:rPr>
        <w:t xml:space="preserve">常州市晋</w:t>
      </w:r>
      <w:r>
        <w:rPr>
          <w:rFonts w:hint="eastAsia" w:ascii="宋体" w:hAnsi="宋体" w:eastAsia="宋体" w:cs="宋体"/>
          <w:color w:val="auto"/>
          <w:sz w:val="24"/>
          <w:highlight w:val="none"/>
        </w:rPr>
        <w:t xml:space="preserve">陵中</w:t>
      </w:r>
      <w:r>
        <w:rPr>
          <w:rFonts w:hint="eastAsia" w:ascii="宋体" w:hAnsi="宋体" w:eastAsia="宋体" w:cs="宋体"/>
          <w:color w:val="auto"/>
          <w:sz w:val="24"/>
          <w:highlight w:val="none"/>
          <w:lang w:eastAsia="zh-CN"/>
        </w:rPr>
        <w:t xml:space="preserve">路607号</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联系方式：许女士</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0519-85610282</w:t>
      </w:r>
      <w:r/>
    </w:p>
    <w:p>
      <w:pPr>
        <w:pStyle w:val="1163"/>
        <w:rPr>
          <w:color w:val="auto"/>
          <w:highlight w:val="none"/>
        </w:rPr>
      </w:pPr>
      <w:r>
        <w:rPr>
          <w:color w:val="auto"/>
          <w:highlight w:val="none"/>
        </w:rPr>
      </w:r>
      <w:r/>
    </w:p>
    <w:p>
      <w:pPr>
        <w:ind w:firstLine="482"/>
        <w:jc w:val="left"/>
        <w:spacing w:line="360" w:lineRule="auto"/>
        <w:rPr>
          <w:b/>
          <w:color w:val="auto"/>
          <w:sz w:val="24"/>
          <w:highlight w:val="none"/>
        </w:rPr>
      </w:pPr>
      <w:r>
        <w:rPr>
          <w:b/>
          <w:color w:val="auto"/>
          <w:sz w:val="24"/>
          <w:highlight w:val="none"/>
        </w:rPr>
        <w:t xml:space="preserve">2.采购代理机构信息</w:t>
      </w:r>
      <w:bookmarkEnd w:id="41"/>
      <w:r/>
      <w:bookmarkEnd w:id="42"/>
      <w:r/>
      <w:r/>
    </w:p>
    <w:p>
      <w:pPr>
        <w:ind w:firstLine="480"/>
        <w:jc w:val="left"/>
        <w:spacing w:line="360" w:lineRule="auto"/>
        <w:rPr>
          <w:color w:val="auto"/>
          <w:sz w:val="24"/>
          <w:highlight w:val="none"/>
        </w:rPr>
      </w:pPr>
      <w:r/>
      <w:bookmarkStart w:id="43" w:name="_Toc28359010"/>
      <w:r/>
      <w:bookmarkStart w:id="44" w:name="_Toc28359087"/>
      <w:r>
        <w:rPr>
          <w:color w:val="auto"/>
          <w:sz w:val="24"/>
          <w:highlight w:val="none"/>
        </w:rPr>
        <w:t xml:space="preserve">名    称：</w:t>
      </w:r>
      <w:r>
        <w:rPr>
          <w:rFonts w:hint="eastAsia"/>
          <w:color w:val="auto"/>
          <w:sz w:val="24"/>
          <w:highlight w:val="none"/>
        </w:rPr>
        <w:t xml:space="preserve">常州中采招投标有限公司</w:t>
      </w:r>
      <w:r/>
    </w:p>
    <w:p>
      <w:pPr>
        <w:ind w:firstLine="480"/>
        <w:jc w:val="left"/>
        <w:spacing w:line="360" w:lineRule="auto"/>
        <w:rPr>
          <w:rFonts w:ascii="宋体" w:hAnsi="宋体"/>
          <w:color w:val="auto"/>
          <w:sz w:val="24"/>
          <w:highlight w:val="none"/>
        </w:rPr>
      </w:pPr>
      <w:r>
        <w:rPr>
          <w:color w:val="auto"/>
          <w:sz w:val="24"/>
          <w:highlight w:val="none"/>
        </w:rPr>
        <w:t xml:space="preserve">地    址：</w:t>
      </w:r>
      <w:r>
        <w:rPr>
          <w:rFonts w:hint="eastAsia"/>
          <w:color w:val="auto"/>
          <w:sz w:val="24"/>
          <w:highlight w:val="none"/>
        </w:rPr>
        <w:t xml:space="preserve">常州市钟楼经济开发区</w:t>
      </w:r>
      <w:r>
        <w:rPr>
          <w:rFonts w:hint="eastAsia" w:ascii="宋体" w:hAnsi="宋体"/>
          <w:color w:val="auto"/>
          <w:sz w:val="24"/>
          <w:highlight w:val="none"/>
        </w:rPr>
        <w:t xml:space="preserve">玉龙南路280号常州大数据产业园2号楼19楼</w:t>
      </w:r>
      <w:r/>
    </w:p>
    <w:p>
      <w:pPr>
        <w:ind w:firstLine="480"/>
        <w:jc w:val="left"/>
        <w:spacing w:line="360" w:lineRule="auto"/>
        <w:rPr>
          <w:rFonts w:ascii="宋体" w:hAnsi="宋体"/>
          <w:color w:val="auto"/>
          <w:sz w:val="24"/>
          <w:highlight w:val="none"/>
          <w:u w:val="single"/>
        </w:rPr>
      </w:pPr>
      <w:r>
        <w:rPr>
          <w:color w:val="auto"/>
          <w:sz w:val="24"/>
          <w:highlight w:val="none"/>
        </w:rPr>
        <w:t xml:space="preserve">联系方式：</w:t>
      </w:r>
      <w:r>
        <w:rPr>
          <w:rFonts w:hint="eastAsia" w:ascii="宋体" w:hAnsi="宋体"/>
          <w:color w:val="auto"/>
          <w:sz w:val="24"/>
          <w:highlight w:val="none"/>
        </w:rPr>
        <w:t xml:space="preserve">0519-86661066</w:t>
      </w:r>
      <w:r/>
    </w:p>
    <w:p>
      <w:pPr>
        <w:ind w:firstLine="482"/>
        <w:spacing w:line="360" w:lineRule="auto"/>
        <w:rPr>
          <w:b/>
          <w:color w:val="auto"/>
          <w:sz w:val="24"/>
          <w:highlight w:val="none"/>
        </w:rPr>
      </w:pPr>
      <w:r>
        <w:rPr>
          <w:b/>
          <w:color w:val="auto"/>
          <w:sz w:val="24"/>
          <w:highlight w:val="none"/>
        </w:rPr>
      </w:r>
      <w:r/>
    </w:p>
    <w:p>
      <w:pPr>
        <w:ind w:firstLine="482"/>
        <w:spacing w:line="360" w:lineRule="auto"/>
        <w:rPr>
          <w:b/>
          <w:color w:val="auto"/>
          <w:sz w:val="24"/>
          <w:highlight w:val="none"/>
          <w:u w:val="single"/>
        </w:rPr>
      </w:pPr>
      <w:r>
        <w:rPr>
          <w:b/>
          <w:color w:val="auto"/>
          <w:sz w:val="24"/>
          <w:highlight w:val="none"/>
        </w:rPr>
        <w:t xml:space="preserve">3.项目联系方式</w:t>
      </w:r>
      <w:bookmarkEnd w:id="43"/>
      <w:r/>
      <w:bookmarkEnd w:id="44"/>
      <w:r/>
      <w:r/>
    </w:p>
    <w:p>
      <w:pPr>
        <w:pStyle w:val="1189"/>
        <w:ind w:firstLine="480"/>
        <w:spacing w:line="360" w:lineRule="auto"/>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项目联系人：戴</w:t>
      </w:r>
      <w:r>
        <w:rPr>
          <w:rFonts w:hAnsi="宋体" w:cs="宋体"/>
          <w:color w:val="auto"/>
          <w:sz w:val="24"/>
          <w:szCs w:val="24"/>
          <w:highlight w:val="none"/>
        </w:rPr>
        <w:t xml:space="preserve">女士</w:t>
      </w:r>
      <w:r/>
    </w:p>
    <w:p>
      <w:pPr>
        <w:pStyle w:val="1189"/>
        <w:ind w:firstLine="480"/>
        <w:spacing w:line="360" w:lineRule="auto"/>
        <w:rPr>
          <w:rFonts w:hint="default"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s="宋体"/>
          <w:color w:val="auto"/>
          <w:sz w:val="24"/>
          <w:szCs w:val="24"/>
          <w:highlight w:val="none"/>
        </w:rPr>
        <w:t xml:space="preserve">0519-86661067</w:t>
      </w:r>
      <w:r/>
    </w:p>
    <w:p>
      <w:pPr>
        <w:jc w:val="center"/>
        <w:spacing w:line="360" w:lineRule="auto"/>
        <w:rPr>
          <w:b/>
          <w:color w:val="auto"/>
          <w:sz w:val="32"/>
          <w:szCs w:val="32"/>
          <w:highlight w:val="none"/>
        </w:rPr>
        <w:outlineLvl w:val="0"/>
      </w:pPr>
      <w:r>
        <w:rPr>
          <w:color w:val="auto"/>
          <w:sz w:val="24"/>
          <w:highlight w:val="none"/>
        </w:rPr>
        <w:br w:type="page" w:clear="all"/>
      </w:r>
      <w:bookmarkStart w:id="45" w:name="_Toc264969275"/>
      <w:r/>
      <w:bookmarkStart w:id="46" w:name="_Toc195842950"/>
      <w:r/>
      <w:bookmarkStart w:id="47" w:name="_Toc305158928"/>
      <w:r/>
      <w:bookmarkStart w:id="48" w:name="_Toc150774783"/>
      <w:r/>
      <w:bookmarkStart w:id="49" w:name="_Toc127161488"/>
      <w:r/>
      <w:bookmarkStart w:id="50" w:name="_Toc353873938"/>
      <w:r/>
      <w:bookmarkStart w:id="51" w:name="_Toc226965856"/>
      <w:r/>
      <w:bookmarkStart w:id="52" w:name="_Toc353825548"/>
      <w:r/>
      <w:bookmarkStart w:id="53" w:name="_Toc127151777"/>
      <w:r/>
      <w:bookmarkStart w:id="54" w:name="_Toc305158854"/>
      <w:r/>
      <w:bookmarkStart w:id="55" w:name="_Toc157413233"/>
      <w:r/>
      <w:bookmarkStart w:id="56" w:name="_Toc512937850"/>
      <w:r/>
      <w:bookmarkStart w:id="57" w:name="_Toc265228423"/>
      <w:r>
        <w:rPr>
          <w:b/>
          <w:color w:val="auto"/>
          <w:sz w:val="36"/>
          <w:szCs w:val="36"/>
          <w:highlight w:val="none"/>
        </w:rPr>
        <w:t xml:space="preserve">第二章   投标人须知</w:t>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r/>
    </w:p>
    <w:p>
      <w:pPr>
        <w:pStyle w:val="1152"/>
        <w:spacing w:before="0" w:line="360" w:lineRule="auto"/>
        <w:tabs>
          <w:tab w:val="center" w:pos="4592" w:leader="none"/>
          <w:tab w:val="left" w:pos="7860" w:leader="none"/>
        </w:tabs>
        <w:rPr>
          <w:rFonts w:ascii="Times New Roman" w:hAnsi="Times New Roman" w:eastAsia="宋体"/>
          <w:color w:val="auto"/>
          <w:sz w:val="28"/>
          <w:highlight w:val="none"/>
        </w:rPr>
      </w:pPr>
      <w:r/>
      <w:bookmarkStart w:id="58" w:name="_Toc151193833"/>
      <w:r/>
      <w:bookmarkStart w:id="59" w:name="_Toc164229214"/>
      <w:r/>
      <w:bookmarkStart w:id="60" w:name="_Toc164229360"/>
      <w:r/>
      <w:bookmarkStart w:id="61" w:name="_Toc150774724"/>
      <w:r/>
      <w:bookmarkStart w:id="62" w:name="_Toc149720812"/>
      <w:r/>
      <w:bookmarkStart w:id="63" w:name="_Toc142311021"/>
      <w:r/>
      <w:bookmarkStart w:id="64" w:name="_Toc226965709"/>
      <w:r/>
      <w:bookmarkStart w:id="65" w:name="_Toc226337215"/>
      <w:r/>
      <w:bookmarkStart w:id="66" w:name="_Toc151190146"/>
      <w:r/>
      <w:bookmarkStart w:id="67" w:name="_Toc150509270"/>
      <w:r/>
      <w:bookmarkStart w:id="68" w:name="_Toc164351613"/>
      <w:r/>
      <w:bookmarkStart w:id="69" w:name="_Toc195842884"/>
      <w:r/>
      <w:bookmarkStart w:id="70" w:name="_Toc127161433"/>
      <w:r/>
      <w:bookmarkStart w:id="71" w:name="_Toc164608633"/>
      <w:r/>
      <w:bookmarkStart w:id="72" w:name="_Toc520356144"/>
      <w:r/>
      <w:bookmarkStart w:id="73" w:name="_Toc151193907"/>
      <w:r/>
      <w:bookmarkStart w:id="74" w:name="_Toc164608788"/>
      <w:r/>
      <w:bookmarkStart w:id="75" w:name="_Toc151193761"/>
      <w:r/>
      <w:bookmarkStart w:id="76" w:name="_Toc151193689"/>
      <w:r/>
      <w:bookmarkStart w:id="77" w:name="_Toc226965792"/>
      <w:r/>
      <w:bookmarkStart w:id="78" w:name="_Toc127151519"/>
      <w:r/>
      <w:bookmarkStart w:id="79" w:name="_Toc150480757"/>
      <w:r/>
      <w:bookmarkStart w:id="80" w:name="_Toc150774619"/>
      <w:r/>
      <w:bookmarkStart w:id="81" w:name="_Toc127151720"/>
      <w:r/>
      <w:bookmarkStart w:id="82" w:name="_Toc226309763"/>
      <w:r/>
      <w:bookmarkStart w:id="83" w:name="_Toc151193617"/>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b/>
          <w:color w:val="auto"/>
          <w:sz w:val="24"/>
          <w:highlight w:val="none"/>
        </w:rPr>
        <w:t xml:space="preserve">■</w:t>
      </w:r>
      <w:r>
        <w:rPr>
          <w:color w:val="auto"/>
          <w:sz w:val="24"/>
          <w:highlight w:val="none"/>
        </w:rPr>
        <w:t xml:space="preserve">”的选项意为适用于本项目，标记“□”的选项意为不适用于本项目。</w:t>
      </w:r>
      <w:r/>
    </w:p>
    <w:tbl>
      <w:tblPr>
        <w:tblStyle w:val="970"/>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b/>
                <w:color w:val="auto"/>
                <w:sz w:val="24"/>
                <w:highlight w:val="none"/>
              </w:rPr>
              <w:t xml:space="preserve">■</w:t>
            </w:r>
            <w:r>
              <w:rPr>
                <w:color w:val="auto"/>
                <w:sz w:val="24"/>
                <w:highlight w:val="none"/>
              </w:rPr>
              <w:t xml:space="preserve">服务</w:t>
            </w:r>
            <w:r/>
          </w:p>
          <w:p>
            <w:pPr>
              <w:jc w:val="left"/>
              <w:rPr>
                <w:color w:val="auto"/>
                <w:sz w:val="24"/>
                <w:highlight w:val="none"/>
              </w:rPr>
            </w:pPr>
            <w:r>
              <w:rPr>
                <w:color w:val="auto"/>
                <w:sz w:val="24"/>
                <w:highlight w:val="none"/>
              </w:rPr>
              <w:t xml:space="preserve">□货物</w:t>
            </w:r>
            <w:r/>
          </w:p>
          <w:p>
            <w:pPr>
              <w:jc w:val="left"/>
              <w:rPr>
                <w:color w:val="auto"/>
                <w:sz w:val="24"/>
                <w:highlight w:val="none"/>
                <w:u w:val="single"/>
              </w:rPr>
            </w:pPr>
            <w:r>
              <w:rPr>
                <w:color w:val="auto"/>
                <w:sz w:val="24"/>
                <w:highlight w:val="none"/>
              </w:rPr>
              <w:t xml:space="preserve">□</w:t>
            </w:r>
            <w:r>
              <w:rPr>
                <w:rFonts w:hint="eastAsia"/>
                <w:color w:val="auto"/>
                <w:sz w:val="24"/>
                <w:highlight w:val="none"/>
              </w:rPr>
              <w:t xml:space="preserve">工程</w:t>
            </w:r>
            <w:r/>
          </w:p>
        </w:tc>
      </w:tr>
      <w:tr>
        <w:trPr>
          <w:cantSplit/>
          <w:jc w:val="center"/>
          <w:trHeight w:val="20"/>
        </w:trPr>
        <w:tc>
          <w:tcPr>
            <w:tcW w:w="988" w:type="dxa"/>
            <w:vAlign w:val="center"/>
            <w:vMerge w:val="restart"/>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不组织</w:t>
            </w:r>
            <w:r/>
          </w:p>
          <w:p>
            <w:pPr>
              <w:jc w:val="left"/>
              <w:rPr>
                <w:bCs/>
                <w:color w:val="auto"/>
                <w:sz w:val="24"/>
                <w:highlight w:val="none"/>
              </w:rPr>
            </w:pPr>
            <w:r>
              <w:rPr>
                <w:color w:val="auto"/>
                <w:sz w:val="24"/>
                <w:highlight w:val="none"/>
              </w:rPr>
              <w:t xml:space="preserve">□组织，考察时间：___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pStyle w:val="1189"/>
              <w:rPr>
                <w:rFonts w:hint="default" w:ascii="Times New Roman" w:hAnsi="Times New Roman"/>
                <w:color w:val="auto"/>
                <w:sz w:val="24"/>
                <w:szCs w:val="24"/>
                <w:highlight w:val="none"/>
              </w:rPr>
            </w:pPr>
            <w:r>
              <w:rPr>
                <w:rFonts w:ascii="Times New Roman" w:hAnsi="Times New Roman"/>
                <w:color w:val="auto"/>
                <w:sz w:val="24"/>
                <w:highlight w:val="none"/>
              </w:rPr>
              <w:t xml:space="preserve">考察地点：___________。</w:t>
            </w:r>
            <w:r/>
          </w:p>
        </w:tc>
      </w:tr>
      <w:tr>
        <w:trPr>
          <w:cantSplit/>
          <w:jc w:val="center"/>
          <w:trHeight w:val="20"/>
        </w:trPr>
        <w:tc>
          <w:tcPr>
            <w:tcW w:w="988" w:type="dxa"/>
            <w:vAlign w:val="center"/>
            <w:vMerge w:val="continue"/>
            <w:textDirection w:val="lrTb"/>
            <w:noWrap w:val="false"/>
          </w:tcPr>
          <w:p>
            <w:pPr>
              <w:pStyle w:val="1189"/>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开标</w:t>
            </w:r>
            <w:r>
              <w:rPr>
                <w:color w:val="auto"/>
                <w:sz w:val="24"/>
                <w:highlight w:val="none"/>
              </w:rPr>
              <w:t xml:space="preserve">前答疑会</w:t>
            </w:r>
            <w:r/>
          </w:p>
        </w:tc>
        <w:tc>
          <w:tcPr>
            <w:tcW w:w="7253" w:type="dxa"/>
            <w:vAlign w:val="center"/>
            <w:textDirection w:val="lrTb"/>
            <w:noWrap w:val="false"/>
          </w:tcPr>
          <w:p>
            <w:pPr>
              <w:jc w:val="left"/>
              <w:rPr>
                <w:color w:val="auto"/>
                <w:sz w:val="24"/>
                <w:highlight w:val="none"/>
              </w:rPr>
            </w:pPr>
            <w:r>
              <w:rPr>
                <w:b/>
                <w:color w:val="auto"/>
                <w:sz w:val="24"/>
                <w:highlight w:val="none"/>
              </w:rPr>
              <w:t xml:space="preserve">■</w:t>
            </w:r>
            <w:r>
              <w:rPr>
                <w:color w:val="auto"/>
                <w:sz w:val="24"/>
                <w:highlight w:val="none"/>
              </w:rPr>
              <w:t xml:space="preserve">不召开</w:t>
            </w:r>
            <w:r/>
          </w:p>
          <w:p>
            <w:pPr>
              <w:jc w:val="left"/>
              <w:rPr>
                <w:color w:val="auto"/>
                <w:sz w:val="24"/>
                <w:highlight w:val="none"/>
              </w:rPr>
            </w:pPr>
            <w:r>
              <w:rPr>
                <w:color w:val="auto"/>
                <w:sz w:val="24"/>
                <w:highlight w:val="none"/>
              </w:rPr>
              <w:t xml:space="preserve">□召开，召开时间：___</w:t>
            </w:r>
            <w:r>
              <w:rPr>
                <w:color w:val="auto"/>
                <w:sz w:val="24"/>
                <w:highlight w:val="none"/>
                <w:lang w:bidi="ar"/>
              </w:rPr>
              <w:t xml:space="preserve">年</w:t>
            </w:r>
            <w:r>
              <w:rPr>
                <w:color w:val="auto"/>
                <w:sz w:val="24"/>
                <w:highlight w:val="none"/>
              </w:rPr>
              <w:t xml:space="preserve">___</w:t>
            </w:r>
            <w:r>
              <w:rPr>
                <w:color w:val="auto"/>
                <w:sz w:val="24"/>
                <w:highlight w:val="none"/>
                <w:lang w:bidi="ar"/>
              </w:rPr>
              <w:t xml:space="preserve">月</w:t>
            </w:r>
            <w:r>
              <w:rPr>
                <w:color w:val="auto"/>
                <w:sz w:val="24"/>
                <w:highlight w:val="none"/>
              </w:rPr>
              <w:t xml:space="preserve">___</w:t>
            </w:r>
            <w:r>
              <w:rPr>
                <w:color w:val="auto"/>
                <w:sz w:val="24"/>
                <w:highlight w:val="none"/>
                <w:lang w:bidi="ar"/>
              </w:rPr>
              <w:t xml:space="preserve">日</w:t>
            </w:r>
            <w:r>
              <w:rPr>
                <w:color w:val="auto"/>
                <w:sz w:val="24"/>
                <w:highlight w:val="none"/>
              </w:rPr>
              <w:t xml:space="preserve">___</w:t>
            </w:r>
            <w:r>
              <w:rPr>
                <w:color w:val="auto"/>
                <w:sz w:val="24"/>
                <w:highlight w:val="none"/>
                <w:lang w:bidi="ar"/>
              </w:rPr>
              <w:t xml:space="preserve">点</w:t>
            </w:r>
            <w:r>
              <w:rPr>
                <w:color w:val="auto"/>
                <w:sz w:val="24"/>
                <w:highlight w:val="none"/>
              </w:rPr>
              <w:t xml:space="preserve">___</w:t>
            </w:r>
            <w:r>
              <w:rPr>
                <w:color w:val="auto"/>
                <w:sz w:val="24"/>
                <w:highlight w:val="none"/>
                <w:lang w:bidi="ar"/>
              </w:rPr>
              <w:t xml:space="preserve">分</w:t>
            </w:r>
            <w:r/>
          </w:p>
          <w:p>
            <w:pPr>
              <w:jc w:val="left"/>
              <w:rPr>
                <w:color w:val="auto"/>
                <w:sz w:val="24"/>
                <w:highlight w:val="none"/>
              </w:rPr>
            </w:pPr>
            <w:r>
              <w:rPr>
                <w:color w:val="auto"/>
                <w:sz w:val="24"/>
                <w:highlight w:val="none"/>
              </w:rPr>
              <w:t xml:space="preserve">召开地点：___________</w:t>
            </w:r>
            <w:r>
              <w:rPr>
                <w:rFonts w:hint="eastAsia"/>
                <w:color w:val="auto"/>
                <w:sz w:val="24"/>
                <w:highlight w:val="none"/>
              </w:rPr>
              <w:t xml:space="preserve">。</w:t>
            </w:r>
            <w:r/>
          </w:p>
        </w:tc>
      </w:tr>
      <w:tr>
        <w:trPr>
          <w:jc w:val="center"/>
          <w:trHeight w:val="738"/>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5.2.5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color w:val="auto"/>
                <w:sz w:val="24"/>
                <w:highlight w:val="none"/>
                <w:u w:val="single"/>
              </w:rPr>
              <w:t xml:space="preserve">其他未列明行业 </w:t>
            </w:r>
            <w:r/>
          </w:p>
        </w:tc>
      </w:tr>
      <w:tr>
        <w:trPr>
          <w:jc w:val="center"/>
          <w:trHeight w:val="738"/>
        </w:trPr>
        <w:tc>
          <w:tcPr>
            <w:shd w:val="clear" w:color="auto" w:fill="auto"/>
            <w:tcW w:w="988" w:type="dxa"/>
            <w:vAlign w:val="center"/>
            <w:textDirection w:val="lrTb"/>
            <w:noWrap w:val="false"/>
          </w:tcPr>
          <w:p>
            <w:pPr>
              <w:pStyle w:val="979"/>
              <w:jc w:val="center"/>
              <w:rPr>
                <w:rFonts w:hint="eastAsia" w:ascii="宋体" w:hAnsi="宋体" w:eastAsia="宋体" w:cs="宋体"/>
                <w:color w:val="auto"/>
                <w:sz w:val="24"/>
                <w:szCs w:val="24"/>
                <w:highlight w:val="none"/>
                <w:lang w:val="en-US" w:eastAsia="zh-CN" w:bidi="ar-SA"/>
              </w:rPr>
            </w:pPr>
            <w:r>
              <w:rPr>
                <w:rFonts w:ascii="Times New Roman" w:hAnsi="Times New Roman"/>
                <w:color w:val="auto"/>
                <w:sz w:val="24"/>
                <w:szCs w:val="24"/>
                <w:highlight w:val="none"/>
              </w:rPr>
              <w:t xml:space="preserve">5.9</w:t>
            </w:r>
            <w:r/>
          </w:p>
        </w:tc>
        <w:tc>
          <w:tcPr>
            <w:shd w:val="clear" w:color="auto" w:fill="auto"/>
            <w:tcW w:w="1701"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color w:val="auto"/>
                <w:sz w:val="24"/>
                <w:highlight w:val="none"/>
              </w:rPr>
              <w:t xml:space="preserve">本国产品政策支持</w:t>
            </w:r>
            <w:r/>
          </w:p>
        </w:tc>
        <w:tc>
          <w:tcPr>
            <w:shd w:val="clear" w:color="auto" w:fill="auto"/>
            <w:tcW w:w="7253" w:type="dxa"/>
            <w:vAlign w:val="center"/>
            <w:textDirection w:val="lrTb"/>
            <w:noWrap w:val="false"/>
          </w:tcPr>
          <w:p>
            <w:pPr>
              <w:jc w:val="left"/>
              <w:spacing w:line="360" w:lineRule="exact"/>
              <w:rPr>
                <w:rFonts w:hint="eastAsia"/>
                <w:color w:val="auto"/>
                <w:sz w:val="24"/>
                <w:highlight w:val="none"/>
              </w:rPr>
            </w:pPr>
            <w:r>
              <w:rPr>
                <w:color w:val="auto"/>
                <w:sz w:val="24"/>
                <w:highlight w:val="none"/>
              </w:rPr>
              <w:t xml:space="preserve">关于</w:t>
            </w:r>
            <w:r>
              <w:rPr>
                <w:rFonts w:hint="eastAsia"/>
                <w:color w:val="auto"/>
                <w:sz w:val="24"/>
                <w:highlight w:val="none"/>
              </w:rPr>
              <w:t xml:space="preserve">对采购本国产品给予政策支持，本项目：</w:t>
            </w:r>
            <w:r>
              <w:rPr>
                <w:color w:val="auto"/>
                <w:sz w:val="24"/>
                <w:highlight w:val="none"/>
              </w:rPr>
              <w:t xml:space="preserve">□</w:t>
            </w:r>
            <w:r>
              <w:rPr>
                <w:rFonts w:hint="eastAsia"/>
                <w:color w:val="auto"/>
                <w:sz w:val="24"/>
                <w:highlight w:val="none"/>
              </w:rPr>
              <w:t xml:space="preserve">适用 </w:t>
            </w:r>
            <w:r>
              <w:rPr>
                <w:b/>
                <w:color w:val="auto"/>
                <w:sz w:val="24"/>
                <w:highlight w:val="none"/>
              </w:rPr>
              <w:t xml:space="preserve">■</w:t>
            </w:r>
            <w:r>
              <w:rPr>
                <w:rFonts w:hint="eastAsia"/>
                <w:color w:val="auto"/>
                <w:sz w:val="24"/>
                <w:highlight w:val="none"/>
              </w:rPr>
              <w:t xml:space="preserve">不适用。</w:t>
            </w:r>
            <w:r/>
          </w:p>
          <w:p>
            <w:pPr>
              <w:pStyle w:val="1152"/>
              <w:jc w:val="both"/>
              <w:keepLines w:val="0"/>
              <w:keepNext w:val="0"/>
              <w:spacing w:before="0" w:line="360" w:lineRule="exact"/>
              <w:shd w:val="clear" w:color="auto" w:fill="ffffff"/>
              <w:widowControl/>
              <w:rPr>
                <w:rFonts w:hint="eastAsia" w:ascii="宋体" w:hAnsi="宋体" w:eastAsia="黑体" w:cs="宋体"/>
                <w:b/>
                <w:color w:val="auto"/>
                <w:sz w:val="24"/>
                <w:szCs w:val="20"/>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b w:val="0"/>
                <w:color w:val="auto"/>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9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投标报价</w:t>
            </w:r>
            <w:r/>
          </w:p>
        </w:tc>
        <w:tc>
          <w:tcPr>
            <w:tcW w:w="7253"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b/>
                <w:color w:val="auto"/>
                <w:sz w:val="24"/>
                <w:highlight w:val="none"/>
              </w:rPr>
              <w:t xml:space="preserve">■</w:t>
            </w:r>
            <w:r>
              <w:rPr>
                <w:color w:val="auto"/>
                <w:sz w:val="24"/>
                <w:highlight w:val="none"/>
              </w:rPr>
              <w:t xml:space="preserve">无</w:t>
            </w:r>
            <w:r/>
          </w:p>
          <w:p>
            <w:pPr>
              <w:jc w:val="left"/>
              <w:rPr>
                <w:color w:val="auto"/>
                <w:sz w:val="24"/>
                <w:highlight w:val="none"/>
              </w:rPr>
            </w:pPr>
            <w:r>
              <w:rPr>
                <w:color w:val="auto"/>
                <w:sz w:val="24"/>
                <w:highlight w:val="none"/>
              </w:rPr>
              <w:t xml:space="preserve">□有，具体情形：___________。</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rPr>
            </w:pPr>
            <w:r>
              <w:rPr>
                <w:color w:val="auto"/>
                <w:sz w:val="24"/>
                <w:highlight w:val="none"/>
              </w:rPr>
              <w:t xml:space="preserve">本项目是否允许分包： </w:t>
            </w:r>
            <w:r/>
          </w:p>
          <w:p>
            <w:pPr>
              <w:jc w:val="left"/>
              <w:rPr>
                <w:color w:val="auto"/>
                <w:sz w:val="24"/>
                <w:highlight w:val="none"/>
              </w:rPr>
            </w:pPr>
            <w:r>
              <w:rPr>
                <w:b/>
                <w:color w:val="auto"/>
                <w:sz w:val="24"/>
                <w:highlight w:val="none"/>
              </w:rPr>
              <w:t xml:space="preserve">■</w:t>
            </w:r>
            <w:r>
              <w:rPr>
                <w:color w:val="auto"/>
                <w:sz w:val="24"/>
                <w:highlight w:val="none"/>
              </w:rPr>
              <w:t xml:space="preserve">不允许</w:t>
            </w:r>
            <w:r/>
          </w:p>
          <w:p>
            <w:pPr>
              <w:jc w:val="left"/>
              <w:rPr>
                <w:color w:val="auto"/>
                <w:sz w:val="24"/>
                <w:highlight w:val="none"/>
              </w:rPr>
            </w:pPr>
            <w:r>
              <w:rPr>
                <w:color w:val="auto"/>
                <w:sz w:val="24"/>
                <w:highlight w:val="none"/>
              </w:rPr>
              <w:t xml:space="preserve">□允许，具体要求：_______。</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color w:val="auto"/>
                <w:sz w:val="24"/>
                <w:highlight w:val="none"/>
              </w:rPr>
              <w:t xml:space="preserve">常州中采招投标有限公司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color w:val="auto"/>
                <w:sz w:val="24"/>
                <w:highlight w:val="none"/>
              </w:rPr>
              <w:t xml:space="preserve">0519-86661066</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color w:val="auto"/>
                <w:sz w:val="24"/>
                <w:highlight w:val="none"/>
              </w:rPr>
              <w:t xml:space="preserve">常州市钟楼经济开发区玉龙南路280号常州大数据产业园2号楼19楼</w:t>
            </w:r>
            <w:r>
              <w:rPr>
                <w:color w:val="auto"/>
                <w:sz w:val="24"/>
                <w:highlight w:val="none"/>
              </w:rPr>
              <w:t xml:space="preserve">。</w:t>
            </w:r>
            <w:r/>
          </w:p>
        </w:tc>
      </w:tr>
      <w:tr>
        <w:trPr>
          <w:jc w:val="center"/>
          <w:trHeight w:val="20"/>
        </w:trPr>
        <w:tc>
          <w:tcPr>
            <w:tcW w:w="988" w:type="dxa"/>
            <w:vAlign w:val="center"/>
            <w:textDirection w:val="lrTb"/>
            <w:noWrap w:val="false"/>
          </w:tcPr>
          <w:p>
            <w:pPr>
              <w:pStyle w:val="1189"/>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W w:w="7253" w:type="dxa"/>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b/>
                <w:color w:val="auto"/>
                <w:sz w:val="24"/>
                <w:highlight w:val="none"/>
              </w:rPr>
              <w:t xml:space="preserve">■</w:t>
            </w:r>
            <w:r>
              <w:rPr>
                <w:rFonts w:hint="eastAsia"/>
                <w:color w:val="auto"/>
                <w:sz w:val="24"/>
                <w:highlight w:val="none"/>
              </w:rPr>
              <w:t xml:space="preserve">招标人</w:t>
            </w:r>
            <w:r/>
          </w:p>
          <w:p>
            <w:pPr>
              <w:jc w:val="left"/>
              <w:rPr>
                <w:color w:val="auto"/>
                <w:sz w:val="24"/>
                <w:highlight w:val="none"/>
              </w:rPr>
            </w:pPr>
            <w:r>
              <w:rPr>
                <w:color w:val="auto"/>
                <w:sz w:val="24"/>
                <w:highlight w:val="none"/>
              </w:rPr>
              <w:t xml:space="preserve">□</w:t>
            </w:r>
            <w:r>
              <w:rPr>
                <w:rFonts w:hint="eastAsia"/>
                <w:color w:val="auto"/>
                <w:sz w:val="24"/>
                <w:highlight w:val="none"/>
              </w:rPr>
              <w:t xml:space="preserve">中标人</w:t>
            </w:r>
            <w:r/>
          </w:p>
          <w:p>
            <w:pPr>
              <w:jc w:val="left"/>
              <w:spacing w:line="360" w:lineRule="auto"/>
              <w:tabs>
                <w:tab w:val="left" w:pos="510" w:leader="none"/>
                <w:tab w:val="left" w:pos="735" w:leader="none"/>
                <w:tab w:val="left" w:pos="945" w:leader="none"/>
                <w:tab w:val="left" w:pos="1129" w:leader="none"/>
                <w:tab w:val="left" w:pos="1155" w:leader="none"/>
              </w:tabs>
              <w:rPr>
                <w:rFonts w:ascii="宋体" w:hAnsi="宋体"/>
                <w:bCs/>
                <w:color w:val="auto"/>
                <w:sz w:val="24"/>
                <w:highlight w:val="none"/>
              </w:rPr>
            </w:pPr>
            <w:r>
              <w:rPr>
                <w:rFonts w:hint="eastAsia" w:ascii="宋体" w:hAnsi="宋体"/>
                <w:bCs/>
                <w:color w:val="auto"/>
                <w:sz w:val="24"/>
                <w:highlight w:val="none"/>
              </w:rPr>
              <w:t xml:space="preserve">1.采购代理服务费收费标准为：</w:t>
            </w:r>
            <w:r/>
          </w:p>
          <w:p>
            <w:pPr>
              <w:ind w:firstLine="240"/>
              <w:jc w:val="left"/>
              <w:spacing w:line="360" w:lineRule="auto"/>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本项目招标代理服务费为19260.00元，由招标人支付。包含所确定的招标范围相应服务的提供、人员（包括工资和补贴）、办公场所及设施、保险、劳保、管理、各种税费、利润、税金、政策性文件规定及合同包含的所有风险、责任等各项应有费用，以及为完成该项服务项目所涉及到的一切相关费用。</w:t>
            </w:r>
            <w:r/>
          </w:p>
          <w:p>
            <w:pPr>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2．在完成招标代理资料整编，提交资料扫描，并由</w:t>
            </w:r>
            <w:r>
              <w:rPr>
                <w:rFonts w:hint="eastAsia" w:ascii="宋体" w:hAnsi="宋体"/>
                <w:bCs/>
                <w:color w:val="auto"/>
                <w:sz w:val="24"/>
                <w:highlight w:val="none"/>
                <w:lang w:val="en-US" w:eastAsia="zh-CN"/>
              </w:rPr>
              <w:t xml:space="preserve">招标人</w:t>
            </w:r>
            <w:r>
              <w:rPr>
                <w:rFonts w:hint="eastAsia" w:ascii="宋体" w:hAnsi="宋体"/>
                <w:bCs/>
                <w:color w:val="auto"/>
                <w:sz w:val="24"/>
                <w:highlight w:val="none"/>
              </w:rPr>
              <w:t xml:space="preserve">验收合格后，开具费用票据及提供相关支付凭证，</w:t>
            </w:r>
            <w:r>
              <w:rPr>
                <w:rFonts w:hint="eastAsia" w:ascii="宋体" w:hAnsi="宋体"/>
                <w:bCs/>
                <w:color w:val="auto"/>
                <w:sz w:val="24"/>
                <w:highlight w:val="none"/>
                <w:lang w:val="en-US" w:eastAsia="zh-CN"/>
              </w:rPr>
              <w:t xml:space="preserve">招标人</w:t>
            </w:r>
            <w:r>
              <w:rPr>
                <w:rFonts w:hint="eastAsia" w:ascii="宋体" w:hAnsi="宋体"/>
                <w:bCs/>
                <w:color w:val="auto"/>
                <w:sz w:val="24"/>
                <w:highlight w:val="none"/>
              </w:rPr>
              <w:t xml:space="preserve">一次性支付到位。</w:t>
            </w:r>
            <w:r/>
          </w:p>
          <w:p>
            <w:pPr>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3.公司账户信息</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单位名称：常州中采招投标有限公司</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账  号：32050162970100001741</w:t>
            </w:r>
            <w:r/>
          </w:p>
          <w:p>
            <w:pPr>
              <w:ind w:firstLine="960"/>
              <w:spacing w:line="360" w:lineRule="auto"/>
              <w:tabs>
                <w:tab w:val="left" w:pos="510" w:leader="none"/>
                <w:tab w:val="left" w:pos="735" w:leader="none"/>
                <w:tab w:val="left" w:pos="945" w:leader="none"/>
                <w:tab w:val="left" w:pos="1155" w:leader="none"/>
                <w:tab w:val="left" w:pos="1980" w:leader="none"/>
              </w:tabs>
              <w:rPr>
                <w:rFonts w:ascii="宋体" w:hAnsi="宋体"/>
                <w:bCs/>
                <w:color w:val="auto"/>
                <w:sz w:val="24"/>
                <w:highlight w:val="none"/>
              </w:rPr>
            </w:pPr>
            <w:r>
              <w:rPr>
                <w:rFonts w:hint="eastAsia" w:ascii="宋体" w:hAnsi="宋体"/>
                <w:bCs/>
                <w:color w:val="auto"/>
                <w:sz w:val="24"/>
                <w:highlight w:val="none"/>
              </w:rPr>
              <w:t xml:space="preserve">开户行：建行常州惠民支行</w:t>
            </w:r>
            <w:r/>
          </w:p>
        </w:tc>
      </w:tr>
    </w:tbl>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ind w:firstLine="480"/>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jc w:val="center"/>
        <w:pageBreakBefore/>
        <w:spacing w:before="240" w:after="240"/>
        <w:rPr>
          <w:b/>
          <w:color w:val="auto"/>
          <w:sz w:val="28"/>
          <w:szCs w:val="28"/>
          <w:highlight w:val="none"/>
        </w:rPr>
      </w:pPr>
      <w:r/>
      <w:bookmarkStart w:id="84" w:name="_Toc142311019"/>
      <w:r/>
      <w:bookmarkStart w:id="85" w:name="_Toc226337213"/>
      <w:r/>
      <w:bookmarkStart w:id="86" w:name="_Toc150774722"/>
      <w:r/>
      <w:bookmarkStart w:id="87" w:name="_Toc127151517"/>
      <w:r/>
      <w:bookmarkStart w:id="88" w:name="_Toc305158785"/>
      <w:r/>
      <w:bookmarkStart w:id="89" w:name="_Toc353873662"/>
      <w:r/>
      <w:bookmarkStart w:id="90" w:name="_Toc226965790"/>
      <w:r/>
      <w:bookmarkStart w:id="91" w:name="_Toc305158859"/>
      <w:r/>
      <w:bookmarkStart w:id="92" w:name="_Toc264969207"/>
      <w:r/>
      <w:bookmarkStart w:id="93" w:name="_Toc353873932"/>
      <w:r/>
      <w:bookmarkStart w:id="94" w:name="_Toc353825542"/>
      <w:r/>
      <w:bookmarkStart w:id="95" w:name="_Toc195842882"/>
      <w:r/>
      <w:bookmarkStart w:id="96" w:name="_Toc150480755"/>
      <w:r/>
      <w:bookmarkStart w:id="97" w:name="_Toc265228355"/>
      <w:r>
        <w:rPr>
          <w:b/>
          <w:color w:val="auto"/>
          <w:sz w:val="28"/>
          <w:szCs w:val="28"/>
          <w:highlight w:val="none"/>
        </w:rPr>
        <w:t xml:space="preserve">投标人须知</w:t>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r/>
    </w:p>
    <w:p>
      <w:pPr>
        <w:pStyle w:val="1152"/>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98" w:name="_Toc520356143"/>
      <w:r/>
      <w:bookmarkStart w:id="99" w:name="_Toc127151518"/>
      <w:r>
        <w:rPr>
          <w:rFonts w:ascii="Times New Roman" w:hAnsi="Times New Roman" w:eastAsia="宋体"/>
          <w:color w:val="auto"/>
          <w:sz w:val="28"/>
          <w:highlight w:val="none"/>
        </w:rPr>
        <w:tab/>
      </w:r>
      <w:bookmarkStart w:id="100" w:name="_Toc150480756"/>
      <w:r/>
      <w:bookmarkStart w:id="101" w:name="_Toc151193906"/>
      <w:r/>
      <w:bookmarkStart w:id="102" w:name="_Toc195842883"/>
      <w:r/>
      <w:bookmarkStart w:id="103" w:name="_Toc151193616"/>
      <w:r/>
      <w:bookmarkStart w:id="104" w:name="_Toc151193688"/>
      <w:r/>
      <w:bookmarkStart w:id="105" w:name="_Toc142311020"/>
      <w:r/>
      <w:bookmarkStart w:id="106" w:name="_Toc305158860"/>
      <w:r/>
      <w:bookmarkStart w:id="107" w:name="_Toc150774618"/>
      <w:r/>
      <w:bookmarkStart w:id="108" w:name="_Toc226337214"/>
      <w:r/>
      <w:bookmarkStart w:id="109" w:name="_Toc151193760"/>
      <w:r/>
      <w:bookmarkStart w:id="110" w:name="_Toc264969208"/>
      <w:r/>
      <w:bookmarkStart w:id="111" w:name="_Toc226965708"/>
      <w:r/>
      <w:bookmarkStart w:id="112" w:name="_Toc151193832"/>
      <w:r/>
      <w:bookmarkStart w:id="113" w:name="_Toc150509269"/>
      <w:r/>
      <w:bookmarkStart w:id="114" w:name="_Toc226309762"/>
      <w:r/>
      <w:bookmarkStart w:id="115" w:name="_Toc305158786"/>
      <w:r/>
      <w:bookmarkStart w:id="116" w:name="_Toc151190145"/>
      <w:r/>
      <w:bookmarkStart w:id="117" w:name="_Toc265228356"/>
      <w:r/>
      <w:bookmarkStart w:id="118" w:name="_Toc150774723"/>
      <w:r/>
      <w:bookmarkStart w:id="119" w:name="_Toc226965791"/>
      <w:r>
        <w:rPr>
          <w:rFonts w:ascii="Times New Roman" w:hAnsi="Times New Roman" w:eastAsia="宋体"/>
          <w:color w:val="auto"/>
          <w:sz w:val="28"/>
          <w:highlight w:val="none"/>
        </w:rPr>
        <w:t xml:space="preserve">一   说  明</w:t>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rFonts w:ascii="Times New Roman" w:hAnsi="Times New Roman" w:eastAsia="宋体"/>
          <w:color w:val="auto"/>
          <w:sz w:val="28"/>
          <w:highlight w:val="none"/>
        </w:rPr>
        <w:tab/>
      </w:r>
      <w:r/>
    </w:p>
    <w:p>
      <w:pPr>
        <w:numPr>
          <w:ilvl w:val="0"/>
          <w:numId w:val="10"/>
        </w:numPr>
        <w:ind w:left="357" w:hanging="357"/>
        <w:spacing w:line="360" w:lineRule="auto"/>
        <w:tabs>
          <w:tab w:val="left" w:pos="360" w:leader="none"/>
        </w:tabs>
        <w:rPr>
          <w:color w:val="auto"/>
          <w:sz w:val="24"/>
          <w:highlight w:val="none"/>
        </w:rPr>
        <w:outlineLvl w:val="1"/>
      </w:pPr>
      <w:r/>
      <w:bookmarkStart w:id="120" w:name="_Toc264969209"/>
      <w:r/>
      <w:bookmarkStart w:id="121" w:name="_Toc265228357"/>
      <w:r/>
      <w:bookmarkStart w:id="122" w:name="_Toc305158787"/>
      <w:r/>
      <w:bookmarkStart w:id="123" w:name="_Toc305158861"/>
      <w:r>
        <w:rPr>
          <w:rFonts w:hint="eastAsia"/>
          <w:color w:val="auto"/>
          <w:sz w:val="24"/>
          <w:highlight w:val="none"/>
        </w:rPr>
        <w:t xml:space="preserve">招标人</w:t>
      </w:r>
      <w:r>
        <w:rPr>
          <w:color w:val="auto"/>
          <w:sz w:val="24"/>
          <w:highlight w:val="none"/>
        </w:rPr>
        <w:t xml:space="preserve">、采购代理机构、投标人</w:t>
      </w:r>
      <w:bookmarkEnd w:id="120"/>
      <w:r/>
      <w:bookmarkEnd w:id="121"/>
      <w:r/>
      <w:bookmarkEnd w:id="122"/>
      <w:r/>
      <w:bookmarkEnd w:id="123"/>
      <w:r>
        <w:rPr>
          <w:rFonts w:hint="eastAsia"/>
          <w:color w:val="auto"/>
          <w:sz w:val="24"/>
          <w:highlight w:val="none"/>
        </w:rPr>
        <w:t xml:space="preserve">、联合体</w:t>
      </w:r>
      <w:r/>
    </w:p>
    <w:p>
      <w:pPr>
        <w:numPr>
          <w:ilvl w:val="1"/>
          <w:numId w:val="10"/>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rFonts w:hint="eastAsia"/>
          <w:color w:val="auto"/>
          <w:sz w:val="24"/>
          <w:highlight w:val="none"/>
        </w:rPr>
        <w:t xml:space="preserve">招标人</w:t>
      </w:r>
      <w:r>
        <w:rPr>
          <w:color w:val="auto"/>
          <w:sz w:val="24"/>
          <w:highlight w:val="none"/>
        </w:rPr>
        <w:t xml:space="preserve">、采购代理机构：指依法进行政府采购的国家机关、事业单位、团体组织，及其委托的采购代理机构。本项目</w:t>
      </w:r>
      <w:r>
        <w:rPr>
          <w:rFonts w:hint="eastAsia"/>
          <w:color w:val="auto"/>
          <w:sz w:val="24"/>
          <w:highlight w:val="none"/>
        </w:rPr>
        <w:t xml:space="preserve">招标人</w:t>
      </w:r>
      <w:r>
        <w:rPr>
          <w:color w:val="auto"/>
          <w:sz w:val="24"/>
          <w:highlight w:val="none"/>
        </w:rPr>
        <w:t xml:space="preserve">、采购代理机构见第一章《投标邀请》。</w:t>
      </w:r>
      <w:r/>
    </w:p>
    <w:p>
      <w:pPr>
        <w:numPr>
          <w:ilvl w:val="1"/>
          <w:numId w:val="10"/>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w:t>
      </w:r>
      <w:r>
        <w:rPr>
          <w:rFonts w:hint="eastAsia"/>
          <w:color w:val="auto"/>
          <w:sz w:val="24"/>
          <w:highlight w:val="none"/>
        </w:rPr>
        <w:t xml:space="preserve">招标人</w:t>
      </w:r>
      <w:r>
        <w:rPr>
          <w:color w:val="auto"/>
          <w:sz w:val="24"/>
          <w:highlight w:val="none"/>
        </w:rPr>
        <w:t xml:space="preserve">提供货物、工程或者服务的法人、其他组织或者自然人。</w:t>
      </w:r>
      <w:r/>
    </w:p>
    <w:p>
      <w:pPr>
        <w:numPr>
          <w:ilvl w:val="1"/>
          <w:numId w:val="10"/>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10"/>
        </w:numPr>
        <w:ind w:left="357" w:hanging="357"/>
        <w:spacing w:line="360" w:lineRule="auto"/>
        <w:tabs>
          <w:tab w:val="left" w:pos="360" w:leader="none"/>
        </w:tabs>
        <w:rPr>
          <w:color w:val="auto"/>
          <w:sz w:val="24"/>
          <w:highlight w:val="none"/>
        </w:rPr>
        <w:outlineLvl w:val="1"/>
      </w:pPr>
      <w:r/>
      <w:bookmarkStart w:id="124" w:name="_Toc150509271"/>
      <w:r/>
      <w:bookmarkStart w:id="125" w:name="_Toc151193762"/>
      <w:r/>
      <w:bookmarkStart w:id="126" w:name="_Toc226965793"/>
      <w:r/>
      <w:bookmarkStart w:id="127" w:name="_Toc164229361"/>
      <w:r/>
      <w:bookmarkStart w:id="128" w:name="_Toc151193834"/>
      <w:r/>
      <w:bookmarkStart w:id="129" w:name="_Toc149720813"/>
      <w:r/>
      <w:bookmarkStart w:id="130" w:name="_Toc151193618"/>
      <w:r/>
      <w:bookmarkStart w:id="131" w:name="_Toc164229215"/>
      <w:r/>
      <w:bookmarkStart w:id="132" w:name="_Toc264969210"/>
      <w:r/>
      <w:bookmarkStart w:id="133" w:name="_Toc150480758"/>
      <w:r/>
      <w:bookmarkStart w:id="134" w:name="_Toc127151520"/>
      <w:r/>
      <w:bookmarkStart w:id="135" w:name="_Toc305158788"/>
      <w:r/>
      <w:bookmarkStart w:id="136" w:name="_Toc195842885"/>
      <w:r/>
      <w:bookmarkStart w:id="137" w:name="_Toc142311022"/>
      <w:r/>
      <w:bookmarkStart w:id="138" w:name="_Toc265228358"/>
      <w:r/>
      <w:bookmarkStart w:id="139" w:name="_Toc151193690"/>
      <w:r/>
      <w:bookmarkStart w:id="140" w:name="_Toc151190147"/>
      <w:r/>
      <w:bookmarkStart w:id="141" w:name="_Toc164608789"/>
      <w:r/>
      <w:bookmarkStart w:id="142" w:name="_Toc226965710"/>
      <w:r/>
      <w:bookmarkStart w:id="143" w:name="_Toc127151721"/>
      <w:r/>
      <w:bookmarkStart w:id="144" w:name="_Toc164608634"/>
      <w:r/>
      <w:bookmarkStart w:id="145" w:name="_Toc150774725"/>
      <w:r/>
      <w:bookmarkStart w:id="146" w:name="_Toc226309764"/>
      <w:r/>
      <w:bookmarkStart w:id="147" w:name="_Toc127161434"/>
      <w:r/>
      <w:bookmarkStart w:id="148" w:name="_Toc305158862"/>
      <w:r/>
      <w:bookmarkStart w:id="149" w:name="_Toc164351614"/>
      <w:r/>
      <w:bookmarkStart w:id="150" w:name="_Toc150774620"/>
      <w:r/>
      <w:bookmarkStart w:id="151" w:name="_Toc226337216"/>
      <w:r/>
      <w:bookmarkStart w:id="152" w:name="_Toc151193908"/>
      <w:r>
        <w:rPr>
          <w:color w:val="auto"/>
          <w:sz w:val="24"/>
          <w:highlight w:val="none"/>
        </w:rPr>
        <w:t xml:space="preserve">资金来源</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rPr>
          <w:color w:val="auto"/>
          <w:sz w:val="24"/>
          <w:highlight w:val="none"/>
        </w:rPr>
        <w:t xml:space="preserve">、项目属性、科研仪器设备采购、核心产品</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10"/>
        </w:numPr>
        <w:ind w:left="1080" w:hanging="720"/>
        <w:spacing w:line="360" w:lineRule="auto"/>
        <w:tabs>
          <w:tab w:val="left" w:pos="1080" w:leader="none"/>
          <w:tab w:val="left" w:pos="1589" w:leader="none"/>
          <w:tab w:val="left" w:pos="1873"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现场考察、开标前答疑会</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53" w:name="_Toc195842887"/>
      <w:r/>
      <w:bookmarkStart w:id="154" w:name="_Toc142311024"/>
      <w:r/>
      <w:bookmarkStart w:id="155" w:name="_Toc520356146"/>
      <w:r/>
      <w:bookmarkStart w:id="156" w:name="_Toc226965795"/>
      <w:r/>
      <w:bookmarkStart w:id="157" w:name="_Toc150509273"/>
      <w:r/>
      <w:bookmarkStart w:id="158" w:name="_Toc226309766"/>
      <w:r/>
      <w:bookmarkStart w:id="159" w:name="_Toc150774622"/>
      <w:r/>
      <w:bookmarkStart w:id="160" w:name="_Toc150480760"/>
      <w:r/>
      <w:bookmarkStart w:id="161" w:name="_Toc265228360"/>
      <w:r/>
      <w:bookmarkStart w:id="162" w:name="_Toc151193692"/>
      <w:r/>
      <w:bookmarkStart w:id="163" w:name="_Toc264969212"/>
      <w:r/>
      <w:bookmarkStart w:id="164" w:name="_Toc150774727"/>
      <w:r/>
      <w:bookmarkStart w:id="165" w:name="_Toc127151522"/>
      <w:r/>
      <w:bookmarkStart w:id="166" w:name="_Toc151193764"/>
      <w:r/>
      <w:bookmarkStart w:id="167" w:name="_Toc151193620"/>
      <w:r/>
      <w:bookmarkStart w:id="168" w:name="_Toc151193910"/>
      <w:r/>
      <w:bookmarkStart w:id="169" w:name="_Toc151190149"/>
      <w:r/>
      <w:bookmarkStart w:id="170" w:name="_Toc226965712"/>
      <w:r/>
      <w:bookmarkStart w:id="171" w:name="_Toc151193836"/>
      <w:r/>
      <w:bookmarkStart w:id="172" w:name="_Toc305158864"/>
      <w:r/>
      <w:bookmarkStart w:id="173" w:name="_Toc305158790"/>
      <w:r/>
      <w:bookmarkStart w:id="174" w:name="_Toc226337218"/>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样品</w:t>
      </w:r>
      <w:r/>
    </w:p>
    <w:p>
      <w:pPr>
        <w:numPr>
          <w:ilvl w:val="1"/>
          <w:numId w:val="10"/>
        </w:numPr>
        <w:ind w:left="1080" w:hanging="720"/>
        <w:spacing w:line="360" w:lineRule="auto"/>
        <w:tabs>
          <w:tab w:val="left" w:pos="1080" w:leader="none"/>
          <w:tab w:val="left" w:pos="1560" w:leader="none"/>
          <w:tab w:val="left" w:pos="1873"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10"/>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进口产品</w:t>
      </w:r>
      <w:r/>
    </w:p>
    <w:p>
      <w:pPr>
        <w:numPr>
          <w:ilvl w:val="2"/>
          <w:numId w:val="10"/>
        </w:numPr>
        <w:ind w:left="1985"/>
        <w:spacing w:line="360" w:lineRule="auto"/>
        <w:tabs>
          <w:tab w:val="left" w:pos="1980" w:leader="none"/>
          <w:tab w:val="left" w:pos="2014" w:leader="none"/>
          <w:tab w:val="clear" w:pos="226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10"/>
        </w:numPr>
        <w:ind w:hanging="1130"/>
        <w:spacing w:line="360" w:lineRule="auto"/>
        <w:tabs>
          <w:tab w:val="left" w:pos="1980" w:leader="none"/>
        </w:tabs>
        <w:rPr>
          <w:color w:val="auto"/>
          <w:sz w:val="24"/>
          <w:highlight w:val="none"/>
        </w:rPr>
      </w:pPr>
      <w:r>
        <w:rPr>
          <w:color w:val="auto"/>
          <w:sz w:val="24"/>
          <w:highlight w:val="none"/>
        </w:rPr>
        <w:t xml:space="preserve">中小企业定义：</w:t>
      </w:r>
      <w:r/>
    </w:p>
    <w:p>
      <w:pPr>
        <w:numPr>
          <w:ilvl w:val="2"/>
          <w:numId w:val="10"/>
        </w:numPr>
        <w:ind w:left="1985" w:hanging="851"/>
        <w:spacing w:line="360" w:lineRule="auto"/>
        <w:tabs>
          <w:tab w:val="left" w:pos="1980" w:leader="none"/>
          <w:tab w:val="clear" w:pos="2264"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2"/>
          <w:numId w:val="10"/>
        </w:numPr>
        <w:ind w:left="1985"/>
        <w:spacing w:line="360" w:lineRule="auto"/>
        <w:tabs>
          <w:tab w:val="left" w:pos="1985" w:leader="none"/>
          <w:tab w:val="clear" w:pos="2264"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1984"/>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left="1984"/>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left="1984"/>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numPr>
          <w:ilvl w:val="2"/>
          <w:numId w:val="10"/>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在货物采购项目中，供应商提供的货物既有中小企业制造货物，也有大型企业制造货物的，不享受中小企业扶持政策。</w:t>
      </w:r>
      <w:r/>
    </w:p>
    <w:p>
      <w:pPr>
        <w:numPr>
          <w:ilvl w:val="2"/>
          <w:numId w:val="10"/>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10"/>
        </w:numPr>
        <w:ind w:left="1985" w:hanging="851"/>
        <w:spacing w:line="360" w:lineRule="auto"/>
        <w:tabs>
          <w:tab w:val="left" w:pos="1985" w:leader="none"/>
          <w:tab w:val="clear" w:pos="2264" w:leader="none"/>
        </w:tabs>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10"/>
        </w:numPr>
        <w:ind w:left="1985" w:hanging="1130"/>
        <w:spacing w:line="360" w:lineRule="auto"/>
        <w:tabs>
          <w:tab w:val="left" w:pos="1985" w:leader="none"/>
          <w:tab w:val="clear" w:pos="2264" w:leader="none"/>
        </w:tabs>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1982"/>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1</w:t>
      </w:r>
      <w:r>
        <w:rPr>
          <w:color w:val="auto"/>
          <w:sz w:val="24"/>
          <w:highlight w:val="none"/>
        </w:rPr>
        <w:t xml:space="preserve">）安置的残疾人占本单位在职职工人数的比例不低于25%（含25%），并且安置的残疾人人数不少于10 人（含10 人）；</w:t>
      </w:r>
      <w:r/>
    </w:p>
    <w:p>
      <w:pPr>
        <w:ind w:left="1982"/>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2</w:t>
      </w:r>
      <w:r>
        <w:rPr>
          <w:color w:val="auto"/>
          <w:sz w:val="24"/>
          <w:highlight w:val="none"/>
        </w:rPr>
        <w:t xml:space="preserve">）依法与安置的每位残疾人签订了一年以上（含一年）的劳动合同或服务协议；</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3</w:t>
      </w:r>
      <w:r>
        <w:rPr>
          <w:color w:val="auto"/>
          <w:sz w:val="24"/>
          <w:highlight w:val="none"/>
        </w:rPr>
        <w:t xml:space="preserve">）为安置的每位残疾人按月足额缴纳了基本养老保险、基本医</w:t>
      </w:r>
      <w:r/>
    </w:p>
    <w:p>
      <w:pPr>
        <w:ind w:left="2268" w:hanging="281"/>
        <w:spacing w:line="360" w:lineRule="auto"/>
        <w:tabs>
          <w:tab w:val="left" w:pos="1985" w:leader="none"/>
        </w:tabs>
        <w:rPr>
          <w:color w:val="auto"/>
          <w:sz w:val="24"/>
          <w:highlight w:val="none"/>
        </w:rPr>
      </w:pPr>
      <w:r>
        <w:rPr>
          <w:color w:val="auto"/>
          <w:sz w:val="24"/>
          <w:highlight w:val="none"/>
        </w:rPr>
        <w:t xml:space="preserve">疗保险、失业保险、工伤保险和生育保险等社会保险费；</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4</w:t>
      </w:r>
      <w:r>
        <w:rPr>
          <w:color w:val="auto"/>
          <w:sz w:val="24"/>
          <w:highlight w:val="none"/>
        </w:rPr>
        <w:t xml:space="preserve">）通过银行等金融机构向安置的每位残疾人，按月支付了不低</w:t>
      </w:r>
      <w:r/>
    </w:p>
    <w:p>
      <w:pPr>
        <w:ind w:left="2268" w:hanging="281"/>
        <w:spacing w:line="360" w:lineRule="auto"/>
        <w:tabs>
          <w:tab w:val="left" w:pos="1985" w:leader="none"/>
        </w:tabs>
        <w:rPr>
          <w:color w:val="auto"/>
          <w:sz w:val="24"/>
          <w:highlight w:val="none"/>
        </w:rPr>
      </w:pPr>
      <w:r>
        <w:rPr>
          <w:color w:val="auto"/>
          <w:sz w:val="24"/>
          <w:highlight w:val="none"/>
        </w:rPr>
        <w:t xml:space="preserve">于单位所在区县适用的经省级人民政府批准的月最低工资标准的</w:t>
      </w:r>
      <w:r/>
    </w:p>
    <w:p>
      <w:pPr>
        <w:ind w:left="2268" w:hanging="281"/>
        <w:spacing w:line="360" w:lineRule="auto"/>
        <w:tabs>
          <w:tab w:val="left" w:pos="1985" w:leader="none"/>
        </w:tabs>
        <w:rPr>
          <w:color w:val="auto"/>
          <w:sz w:val="24"/>
          <w:highlight w:val="none"/>
        </w:rPr>
      </w:pPr>
      <w:r>
        <w:rPr>
          <w:color w:val="auto"/>
          <w:sz w:val="24"/>
          <w:highlight w:val="none"/>
        </w:rPr>
        <w:t xml:space="preserve">工资；</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5</w:t>
      </w:r>
      <w:r>
        <w:rPr>
          <w:color w:val="auto"/>
          <w:sz w:val="24"/>
          <w:highlight w:val="none"/>
        </w:rPr>
        <w:t xml:space="preserve">）提供本单位制造的货物、承担的工程或者服务（以下简称产</w:t>
      </w:r>
      <w:r/>
    </w:p>
    <w:p>
      <w:pPr>
        <w:ind w:left="2268" w:hanging="281"/>
        <w:spacing w:line="360" w:lineRule="auto"/>
        <w:tabs>
          <w:tab w:val="left" w:pos="1985" w:leader="none"/>
        </w:tabs>
        <w:rPr>
          <w:color w:val="auto"/>
          <w:sz w:val="24"/>
          <w:highlight w:val="none"/>
        </w:rPr>
      </w:pPr>
      <w:r>
        <w:rPr>
          <w:color w:val="auto"/>
          <w:sz w:val="24"/>
          <w:highlight w:val="none"/>
        </w:rPr>
        <w:t xml:space="preserve">品），或者提供其他残疾人福利性单位制造的货物（不包括使用非</w:t>
      </w:r>
      <w:r/>
    </w:p>
    <w:p>
      <w:pPr>
        <w:ind w:left="2268" w:hanging="281"/>
        <w:spacing w:line="360" w:lineRule="auto"/>
        <w:tabs>
          <w:tab w:val="left" w:pos="1985" w:leader="none"/>
        </w:tabs>
        <w:rPr>
          <w:color w:val="auto"/>
          <w:sz w:val="24"/>
          <w:highlight w:val="none"/>
        </w:rPr>
      </w:pPr>
      <w:r>
        <w:rPr>
          <w:color w:val="auto"/>
          <w:sz w:val="24"/>
          <w:highlight w:val="none"/>
        </w:rPr>
        <w:t xml:space="preserve">残疾人福利性单位注册商标的货物）；</w:t>
      </w:r>
      <w:r/>
    </w:p>
    <w:p>
      <w:pPr>
        <w:ind w:left="2268" w:hanging="281"/>
        <w:spacing w:line="360" w:lineRule="auto"/>
        <w:tabs>
          <w:tab w:val="left" w:pos="1985" w:leader="none"/>
        </w:tabs>
        <w:rPr>
          <w:color w:val="auto"/>
          <w:sz w:val="24"/>
          <w:highlight w:val="none"/>
        </w:rPr>
      </w:pPr>
      <w:r>
        <w:rPr>
          <w:color w:val="auto"/>
          <w:sz w:val="24"/>
          <w:highlight w:val="none"/>
        </w:rPr>
        <w:t xml:space="preserve">（</w:t>
      </w:r>
      <w:r>
        <w:rPr>
          <w:rFonts w:hint="eastAsia"/>
          <w:color w:val="auto"/>
          <w:sz w:val="24"/>
          <w:highlight w:val="none"/>
        </w:rPr>
        <w:t xml:space="preserve">6</w:t>
      </w:r>
      <w:r>
        <w:rPr>
          <w:color w:val="auto"/>
          <w:sz w:val="24"/>
          <w:highlight w:val="none"/>
        </w:rPr>
        <w:t xml:space="preserve">）前款所称残疾人是指法定劳动年龄内，持有《中华人民共和</w:t>
      </w:r>
      <w:r/>
    </w:p>
    <w:p>
      <w:pPr>
        <w:ind w:left="2268" w:hanging="281"/>
        <w:spacing w:line="360" w:lineRule="auto"/>
        <w:tabs>
          <w:tab w:val="left" w:pos="1985" w:leader="none"/>
        </w:tabs>
        <w:rPr>
          <w:color w:val="auto"/>
          <w:sz w:val="24"/>
          <w:highlight w:val="none"/>
        </w:rPr>
      </w:pPr>
      <w:r>
        <w:rPr>
          <w:color w:val="auto"/>
          <w:sz w:val="24"/>
          <w:highlight w:val="none"/>
        </w:rPr>
        <w:t xml:space="preserve">国残疾人证》或者《中华人民共和国残疾军人证（1 至8 级）》</w:t>
      </w:r>
      <w:r/>
    </w:p>
    <w:p>
      <w:pPr>
        <w:ind w:left="2268" w:hanging="281"/>
        <w:spacing w:line="360" w:lineRule="auto"/>
        <w:tabs>
          <w:tab w:val="left" w:pos="1985" w:leader="none"/>
        </w:tabs>
        <w:rPr>
          <w:color w:val="auto"/>
          <w:sz w:val="24"/>
          <w:highlight w:val="none"/>
        </w:rPr>
      </w:pPr>
      <w:r>
        <w:rPr>
          <w:color w:val="auto"/>
          <w:sz w:val="24"/>
          <w:highlight w:val="none"/>
        </w:rPr>
        <w:t xml:space="preserve">的自然人，包括具有劳动条件和劳动意愿的精神残疾人。在职职工</w:t>
      </w:r>
      <w:r/>
    </w:p>
    <w:p>
      <w:pPr>
        <w:ind w:left="2268" w:hanging="281"/>
        <w:spacing w:line="360" w:lineRule="auto"/>
        <w:tabs>
          <w:tab w:val="left" w:pos="1985" w:leader="none"/>
        </w:tabs>
        <w:rPr>
          <w:color w:val="auto"/>
          <w:sz w:val="24"/>
          <w:highlight w:val="none"/>
        </w:rPr>
      </w:pPr>
      <w:r>
        <w:rPr>
          <w:color w:val="auto"/>
          <w:sz w:val="24"/>
          <w:highlight w:val="none"/>
        </w:rPr>
        <w:t xml:space="preserve">人数是指与残疾人福利性单位建立劳动关系并依法签订劳动合同</w:t>
      </w:r>
      <w:r/>
    </w:p>
    <w:p>
      <w:pPr>
        <w:ind w:left="2268" w:hanging="281"/>
        <w:spacing w:line="360" w:lineRule="auto"/>
        <w:tabs>
          <w:tab w:val="left" w:pos="1985" w:leader="none"/>
        </w:tabs>
        <w:rPr>
          <w:color w:val="auto"/>
          <w:sz w:val="24"/>
          <w:highlight w:val="none"/>
        </w:rPr>
      </w:pPr>
      <w:r>
        <w:rPr>
          <w:color w:val="auto"/>
          <w:sz w:val="24"/>
          <w:highlight w:val="none"/>
        </w:rPr>
        <w:t xml:space="preserve">或服务协议的雇员人数。</w:t>
      </w:r>
      <w:r/>
    </w:p>
    <w:p>
      <w:pPr>
        <w:numPr>
          <w:ilvl w:val="2"/>
          <w:numId w:val="10"/>
        </w:numPr>
        <w:ind w:hanging="1413"/>
        <w:spacing w:line="360" w:lineRule="auto"/>
        <w:tabs>
          <w:tab w:val="left" w:pos="1980" w:leader="none"/>
        </w:tabs>
        <w:rPr>
          <w:color w:val="auto"/>
          <w:sz w:val="24"/>
          <w:highlight w:val="none"/>
        </w:rPr>
      </w:pPr>
      <w:r>
        <w:rPr>
          <w:color w:val="auto"/>
          <w:sz w:val="24"/>
          <w:highlight w:val="none"/>
        </w:rPr>
        <w:t xml:space="preserve">本项目是否专门面向中小企业预留采购份额见第一章《投标邀请》。</w:t>
      </w:r>
      <w:r/>
    </w:p>
    <w:p>
      <w:pPr>
        <w:numPr>
          <w:ilvl w:val="2"/>
          <w:numId w:val="10"/>
        </w:numPr>
        <w:ind w:left="1985" w:hanging="1134"/>
        <w:spacing w:line="360" w:lineRule="auto"/>
        <w:tabs>
          <w:tab w:val="left" w:pos="1985" w:leader="none"/>
          <w:tab w:val="clear" w:pos="2264" w:leader="none"/>
        </w:tabs>
        <w:rPr>
          <w:color w:val="auto"/>
          <w:sz w:val="24"/>
          <w:highlight w:val="none"/>
        </w:rPr>
      </w:pPr>
      <w:r>
        <w:rPr>
          <w:color w:val="auto"/>
          <w:sz w:val="24"/>
          <w:highlight w:val="none"/>
        </w:rPr>
        <w:t xml:space="preserve">采购标的对应的中小企业划分标准所属行业见《投标人须知资料表》。</w:t>
      </w:r>
      <w:r/>
    </w:p>
    <w:p>
      <w:pPr>
        <w:numPr>
          <w:ilvl w:val="2"/>
          <w:numId w:val="10"/>
        </w:numPr>
        <w:ind w:left="1985" w:hanging="1134"/>
        <w:spacing w:line="360" w:lineRule="auto"/>
        <w:tabs>
          <w:tab w:val="left" w:pos="1980" w:leader="none"/>
          <w:tab w:val="clear" w:pos="2264" w:leader="none"/>
        </w:tabs>
        <w:rPr>
          <w:color w:val="auto"/>
          <w:sz w:val="24"/>
          <w:highlight w:val="none"/>
        </w:rPr>
      </w:pPr>
      <w:r>
        <w:rPr>
          <w:color w:val="auto"/>
          <w:sz w:val="24"/>
          <w:highlight w:val="none"/>
        </w:rPr>
        <w:t xml:space="preserve">小微企业价格评审优惠的政策调整：见第四章《评标方法和评标标准》。</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10"/>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10"/>
        </w:numPr>
        <w:ind w:left="1985"/>
        <w:spacing w:line="360" w:lineRule="auto"/>
        <w:tabs>
          <w:tab w:val="left" w:pos="1985" w:leader="none"/>
          <w:tab w:val="clear" w:pos="2264" w:leader="none"/>
        </w:tabs>
        <w:rPr>
          <w:color w:val="auto"/>
          <w:sz w:val="24"/>
          <w:highlight w:val="none"/>
        </w:rPr>
      </w:pPr>
      <w:r>
        <w:rPr>
          <w:rFonts w:hint="eastAsia"/>
          <w:color w:val="auto"/>
          <w:sz w:val="24"/>
          <w:highlight w:val="none"/>
        </w:rPr>
        <w:t xml:space="preserve">招标人</w:t>
      </w:r>
      <w:r>
        <w:rPr>
          <w:color w:val="auto"/>
          <w:sz w:val="24"/>
          <w:highlight w:val="none"/>
        </w:rPr>
        <w:t xml:space="preserve">拟采购的产品属于品目清单范围的，</w:t>
      </w:r>
      <w:r>
        <w:rPr>
          <w:rFonts w:hint="eastAsia"/>
          <w:color w:val="auto"/>
          <w:sz w:val="24"/>
          <w:highlight w:val="none"/>
        </w:rPr>
        <w:t xml:space="preserve">招标人</w:t>
      </w:r>
      <w:r>
        <w:rPr>
          <w:color w:val="auto"/>
          <w:sz w:val="24"/>
          <w:highlight w:val="none"/>
        </w:rPr>
        <w:t xml:space="preserve">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10"/>
        </w:numPr>
        <w:ind w:left="1985"/>
        <w:spacing w:line="360" w:lineRule="auto"/>
        <w:tabs>
          <w:tab w:val="left" w:pos="1985" w:leader="none"/>
          <w:tab w:val="clear" w:pos="2264" w:leader="none"/>
        </w:tabs>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10"/>
        </w:numPr>
        <w:ind w:left="1985"/>
        <w:spacing w:line="360" w:lineRule="auto"/>
        <w:tabs>
          <w:tab w:val="left" w:pos="1985" w:leader="none"/>
          <w:tab w:val="clear" w:pos="2264"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10"/>
        </w:numPr>
        <w:ind w:left="1985"/>
        <w:spacing w:line="360" w:lineRule="auto"/>
        <w:tabs>
          <w:tab w:val="left" w:pos="1985" w:leader="none"/>
          <w:tab w:val="left" w:pos="2014" w:leader="none"/>
          <w:tab w:val="clear" w:pos="226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招标人在招标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支持乡村产业振兴管理</w:t>
      </w:r>
      <w:r/>
    </w:p>
    <w:p>
      <w:pPr>
        <w:numPr>
          <w:ilvl w:val="2"/>
          <w:numId w:val="10"/>
        </w:numPr>
        <w:ind w:left="1985"/>
        <w:spacing w:line="360" w:lineRule="auto"/>
        <w:tabs>
          <w:tab w:val="left" w:pos="1985" w:leader="none"/>
          <w:tab w:val="left" w:pos="2014" w:leader="none"/>
          <w:tab w:val="clear" w:pos="226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正版软件</w:t>
      </w:r>
      <w:r/>
    </w:p>
    <w:p>
      <w:pPr>
        <w:numPr>
          <w:ilvl w:val="2"/>
          <w:numId w:val="10"/>
        </w:numPr>
        <w:ind w:left="1985"/>
        <w:spacing w:line="360" w:lineRule="auto"/>
        <w:tabs>
          <w:tab w:val="left" w:pos="1985" w:leader="none"/>
          <w:tab w:val="clear" w:pos="2264" w:leader="none"/>
        </w:tabs>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10"/>
        </w:numPr>
        <w:ind w:left="1985"/>
        <w:spacing w:line="360" w:lineRule="auto"/>
        <w:tabs>
          <w:tab w:val="left" w:pos="1985" w:leader="none"/>
          <w:tab w:val="clear" w:pos="2264" w:leader="none"/>
        </w:tabs>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10"/>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10"/>
        </w:numPr>
        <w:ind w:left="1985"/>
        <w:spacing w:line="360" w:lineRule="auto"/>
        <w:tabs>
          <w:tab w:val="left" w:pos="1985" w:leader="none"/>
          <w:tab w:val="left" w:pos="2014" w:leader="none"/>
          <w:tab w:val="clear" w:pos="226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10"/>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绿色采购政策</w:t>
      </w:r>
      <w:r/>
    </w:p>
    <w:p>
      <w:pPr>
        <w:numPr>
          <w:ilvl w:val="2"/>
          <w:numId w:val="10"/>
        </w:numPr>
        <w:ind w:hanging="1130"/>
        <w:spacing w:line="360" w:lineRule="auto"/>
        <w:tabs>
          <w:tab w:val="left" w:pos="2014" w:leader="none"/>
        </w:tabs>
        <w:rPr>
          <w:color w:val="auto"/>
          <w:sz w:val="24"/>
          <w:highlight w:val="none"/>
        </w:rPr>
      </w:pPr>
      <w:r>
        <w:rPr>
          <w:rFonts w:hint="eastAsia"/>
          <w:color w:val="auto"/>
          <w:sz w:val="24"/>
          <w:highlight w:val="none"/>
        </w:rPr>
        <w:t xml:space="preserve">绿色数据中心政策</w:t>
      </w:r>
      <w:r/>
    </w:p>
    <w:p>
      <w:pPr>
        <w:pStyle w:val="1163"/>
        <w:ind w:left="1984"/>
        <w:spacing w:line="360" w:lineRule="auto"/>
        <w:rPr>
          <w:rFonts w:ascii="Times New Roman" w:hAnsi="Times New Roman"/>
          <w:color w:val="auto"/>
          <w:highlight w:val="none"/>
        </w:rPr>
      </w:pPr>
      <w:r>
        <w:rPr>
          <w:rFonts w:hint="eastAsia" w:ascii="Times New Roman" w:hAnsi="Times New Roman"/>
          <w:color w:val="auto"/>
          <w:highlight w:val="none"/>
        </w:rPr>
        <w:t xml:space="preserve">依据《绿色数据中心政府采购需求标准（试行）》（财办库〔2023〕7 号）文件精神，采购</w:t>
      </w:r>
      <w:r>
        <w:rPr>
          <w:rFonts w:hint="eastAsia" w:ascii="Times New Roman" w:hAnsi="Times New Roman"/>
          <w:color w:val="auto"/>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10"/>
        </w:numPr>
        <w:ind w:hanging="1130"/>
        <w:spacing w:line="360" w:lineRule="auto"/>
        <w:tabs>
          <w:tab w:val="left" w:pos="2014" w:leader="none"/>
        </w:tabs>
        <w:rPr>
          <w:color w:val="auto"/>
          <w:sz w:val="24"/>
          <w:highlight w:val="none"/>
        </w:rPr>
      </w:pPr>
      <w:r>
        <w:rPr>
          <w:rFonts w:hint="eastAsia"/>
          <w:color w:val="auto"/>
          <w:sz w:val="24"/>
          <w:highlight w:val="none"/>
        </w:rPr>
        <w:t xml:space="preserve">推广应用绿色建材</w:t>
      </w:r>
      <w:r/>
    </w:p>
    <w:p>
      <w:pPr>
        <w:ind w:left="1843" w:firstLine="1"/>
        <w:spacing w:line="360" w:lineRule="auto"/>
        <w:tabs>
          <w:tab w:val="left" w:pos="2014" w:leader="none"/>
        </w:tabs>
        <w:rPr>
          <w:color w:val="auto"/>
          <w:sz w:val="24"/>
          <w:highlight w:val="none"/>
        </w:rPr>
      </w:pPr>
      <w:r>
        <w:rPr>
          <w:rFonts w:hint="eastAsia"/>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10"/>
        </w:numPr>
        <w:ind w:hanging="1130"/>
        <w:spacing w:line="360" w:lineRule="auto"/>
        <w:tabs>
          <w:tab w:val="left" w:pos="2014" w:leader="none"/>
        </w:tabs>
        <w:rPr>
          <w:color w:val="auto"/>
          <w:sz w:val="24"/>
          <w:highlight w:val="none"/>
        </w:rPr>
      </w:pPr>
      <w:r>
        <w:rPr>
          <w:rFonts w:hint="eastAsia"/>
          <w:color w:val="auto"/>
          <w:sz w:val="24"/>
          <w:highlight w:val="none"/>
        </w:rPr>
        <w:t xml:space="preserve">优先使用低挥发性有机化合物产品</w:t>
      </w:r>
      <w:r/>
    </w:p>
    <w:p>
      <w:pPr>
        <w:pStyle w:val="1163"/>
        <w:ind w:left="1842"/>
        <w:spacing w:line="360" w:lineRule="auto"/>
        <w:rPr>
          <w:color w:val="auto"/>
          <w:highlight w:val="none"/>
        </w:rPr>
      </w:pPr>
      <w:r>
        <w:rPr>
          <w:rFonts w:hint="eastAsia"/>
          <w:color w:val="auto"/>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1"/>
          <w:numId w:val="10"/>
        </w:numPr>
        <w:ind w:hanging="1326"/>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履约保证金相关政策</w:t>
      </w:r>
      <w:r/>
    </w:p>
    <w:p>
      <w:pPr>
        <w:numPr>
          <w:ilvl w:val="2"/>
          <w:numId w:val="10"/>
        </w:numPr>
        <w:ind w:left="1985" w:hanging="851"/>
        <w:spacing w:line="360" w:lineRule="auto"/>
        <w:tabs>
          <w:tab w:val="left" w:pos="2014" w:leader="none"/>
          <w:tab w:val="clear" w:pos="2264" w:leader="none"/>
        </w:tabs>
        <w:rPr>
          <w:color w:val="auto"/>
          <w:sz w:val="24"/>
          <w:highlight w:val="none"/>
        </w:rPr>
      </w:pPr>
      <w:r>
        <w:rPr>
          <w:rFonts w:hint="eastAsia"/>
          <w:color w:val="auto"/>
          <w:sz w:val="24"/>
          <w:highlight w:val="none"/>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numPr>
          <w:ilvl w:val="2"/>
          <w:numId w:val="10"/>
        </w:numPr>
        <w:ind w:left="1985" w:hanging="851"/>
        <w:spacing w:line="360" w:lineRule="auto"/>
        <w:tabs>
          <w:tab w:val="left" w:pos="2014" w:leader="none"/>
          <w:tab w:val="clear" w:pos="2264" w:leader="none"/>
        </w:tabs>
        <w:rPr>
          <w:color w:val="auto"/>
          <w:sz w:val="24"/>
          <w:highlight w:val="none"/>
        </w:rPr>
      </w:pPr>
      <w:r>
        <w:rPr>
          <w:rFonts w:hint="eastAsia"/>
          <w:color w:val="auto"/>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投标费用</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w:t>
      </w:r>
      <w:r>
        <w:rPr>
          <w:rFonts w:hint="eastAsia"/>
          <w:color w:val="auto"/>
          <w:sz w:val="24"/>
          <w:highlight w:val="none"/>
        </w:rPr>
        <w:t xml:space="preserve">招标人</w:t>
      </w:r>
      <w:r>
        <w:rPr>
          <w:color w:val="auto"/>
          <w:sz w:val="24"/>
          <w:highlight w:val="none"/>
        </w:rPr>
        <w:t xml:space="preserve">或采购代理机构在任何情况下均无承担这些费用的义务和责任。</w:t>
      </w:r>
      <w:r/>
    </w:p>
    <w:p>
      <w:pPr>
        <w:ind w:left="1080"/>
        <w:spacing w:line="360" w:lineRule="auto"/>
        <w:tabs>
          <w:tab w:val="left" w:pos="1080" w:leader="none"/>
        </w:tabs>
        <w:rPr>
          <w:color w:val="auto"/>
          <w:sz w:val="28"/>
          <w:highlight w:val="none"/>
        </w:rPr>
      </w:pPr>
      <w:r/>
      <w:bookmarkStart w:id="175" w:name="_1.8_计量单位"/>
      <w:r/>
      <w:bookmarkEnd w:id="175"/>
      <w:r/>
      <w:r/>
    </w:p>
    <w:p>
      <w:pPr>
        <w:pStyle w:val="115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bookmarkStart w:id="176" w:name="_Toc305158865"/>
      <w:r/>
      <w:bookmarkStart w:id="177" w:name="_Toc226309767"/>
      <w:r/>
      <w:bookmarkStart w:id="178" w:name="_Toc226965796"/>
      <w:r/>
      <w:bookmarkStart w:id="179" w:name="_Toc195842888"/>
      <w:r/>
      <w:bookmarkStart w:id="180" w:name="_Toc164229218"/>
      <w:r/>
      <w:bookmarkStart w:id="181" w:name="_Toc151193621"/>
      <w:r/>
      <w:bookmarkStart w:id="182" w:name="_Toc151193837"/>
      <w:r/>
      <w:bookmarkStart w:id="183" w:name="_Toc226965713"/>
      <w:r/>
      <w:bookmarkStart w:id="184" w:name="_Toc150480761"/>
      <w:r/>
      <w:bookmarkStart w:id="185" w:name="_Toc127151523"/>
      <w:r/>
      <w:bookmarkStart w:id="186" w:name="_Toc264969213"/>
      <w:r/>
      <w:bookmarkStart w:id="187" w:name="_Toc164608792"/>
      <w:r/>
      <w:bookmarkStart w:id="188" w:name="_Toc142311025"/>
      <w:r/>
      <w:bookmarkStart w:id="189" w:name="_Toc149720816"/>
      <w:r/>
      <w:bookmarkStart w:id="190" w:name="_Toc265228361"/>
      <w:r/>
      <w:bookmarkStart w:id="191" w:name="_Toc151193693"/>
      <w:r/>
      <w:bookmarkStart w:id="192" w:name="_Toc164608637"/>
      <w:r/>
      <w:bookmarkStart w:id="193" w:name="_Toc305158791"/>
      <w:r/>
      <w:bookmarkStart w:id="194" w:name="_Toc520356147"/>
      <w:r/>
      <w:bookmarkStart w:id="195" w:name="_Toc164229364"/>
      <w:r/>
      <w:bookmarkStart w:id="196" w:name="_Toc151190150"/>
      <w:r/>
      <w:bookmarkStart w:id="197" w:name="_Toc127151724"/>
      <w:r/>
      <w:bookmarkStart w:id="198" w:name="_Toc151193765"/>
      <w:r/>
      <w:bookmarkStart w:id="199" w:name="_Toc127161437"/>
      <w:r/>
      <w:bookmarkStart w:id="200" w:name="_Toc150774623"/>
      <w:r/>
      <w:bookmarkStart w:id="201" w:name="_Toc151193911"/>
      <w:r/>
      <w:bookmarkStart w:id="202" w:name="_Toc226337219"/>
      <w:r/>
      <w:bookmarkStart w:id="203" w:name="_Toc150509274"/>
      <w:r/>
      <w:bookmarkStart w:id="204" w:name="_Toc150774728"/>
      <w:r/>
      <w:bookmarkStart w:id="205" w:name="_Toc164351617"/>
      <w:r>
        <w:rPr>
          <w:color w:val="auto"/>
          <w:sz w:val="24"/>
          <w:highlight w:val="none"/>
        </w:rPr>
        <w:t xml:space="preserve">招标文件构</w:t>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rPr>
          <w:color w:val="auto"/>
          <w:sz w:val="24"/>
          <w:highlight w:val="none"/>
        </w:rPr>
        <w:t xml:space="preserve">成</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招标文件包括以下部分：</w:t>
      </w:r>
      <w:r/>
    </w:p>
    <w:p>
      <w:pPr>
        <w:numPr>
          <w:ilvl w:val="0"/>
          <w:numId w:val="11"/>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1"/>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1"/>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1"/>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1"/>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1"/>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1"/>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10"/>
        </w:numPr>
        <w:ind w:left="357" w:hanging="357"/>
        <w:spacing w:line="360" w:lineRule="auto"/>
        <w:tabs>
          <w:tab w:val="left" w:pos="900" w:leader="none"/>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10"/>
        </w:numPr>
        <w:ind w:left="1080" w:hanging="720"/>
        <w:spacing w:line="360" w:lineRule="auto"/>
        <w:tabs>
          <w:tab w:val="left" w:pos="1080" w:leader="none"/>
          <w:tab w:val="left" w:pos="1561"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10"/>
        </w:numPr>
        <w:ind w:left="1080" w:hanging="720"/>
        <w:spacing w:line="360" w:lineRule="auto"/>
        <w:tabs>
          <w:tab w:val="left" w:pos="1080" w:leader="none"/>
          <w:tab w:val="left" w:pos="1561" w:leader="none"/>
          <w:tab w:val="left" w:pos="1589" w:leader="none"/>
          <w:tab w:val="left" w:pos="1873"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152"/>
        <w:spacing w:before="0" w:line="360" w:lineRule="auto"/>
        <w:rPr>
          <w:rFonts w:ascii="Times New Roman" w:hAnsi="Times New Roman" w:eastAsia="宋体"/>
          <w:color w:val="auto"/>
          <w:sz w:val="28"/>
          <w:highlight w:val="none"/>
        </w:rPr>
      </w:pPr>
      <w:r/>
      <w:bookmarkStart w:id="206" w:name="_Toc516367020"/>
      <w:r/>
      <w:bookmarkStart w:id="207" w:name="_Toc305158794"/>
      <w:r/>
      <w:bookmarkStart w:id="208" w:name="_Toc226965716"/>
      <w:r/>
      <w:bookmarkStart w:id="209" w:name="_Toc520356150"/>
      <w:r/>
      <w:bookmarkStart w:id="210" w:name="_Toc150509277"/>
      <w:r/>
      <w:bookmarkStart w:id="211" w:name="_Toc226965799"/>
      <w:r/>
      <w:bookmarkStart w:id="212" w:name="_Toc226309770"/>
      <w:r/>
      <w:bookmarkStart w:id="213" w:name="_Toc142311028"/>
      <w:r/>
      <w:bookmarkStart w:id="214" w:name="_Toc151193840"/>
      <w:r/>
      <w:bookmarkStart w:id="215" w:name="_Toc226337222"/>
      <w:r/>
      <w:bookmarkStart w:id="216" w:name="_Toc265228364"/>
      <w:r/>
      <w:bookmarkStart w:id="217" w:name="_Toc150774731"/>
      <w:r/>
      <w:bookmarkStart w:id="218" w:name="_Toc150774626"/>
      <w:r/>
      <w:bookmarkStart w:id="219" w:name="_Toc151190153"/>
      <w:r/>
      <w:bookmarkStart w:id="220" w:name="_Toc195842891"/>
      <w:r/>
      <w:bookmarkStart w:id="221" w:name="_Toc151193624"/>
      <w:r/>
      <w:bookmarkStart w:id="222" w:name="_Toc305158868"/>
      <w:r/>
      <w:bookmarkStart w:id="223" w:name="_Toc151193768"/>
      <w:r/>
      <w:bookmarkStart w:id="224" w:name="_Toc264969216"/>
      <w:r/>
      <w:bookmarkStart w:id="225" w:name="_Toc151193914"/>
      <w:r/>
      <w:bookmarkStart w:id="226" w:name="_Toc127151526"/>
      <w:r/>
      <w:bookmarkStart w:id="227" w:name="_Toc151193696"/>
      <w:r/>
      <w:bookmarkStart w:id="228" w:name="_Toc150480764"/>
      <w:r>
        <w:rPr>
          <w:rFonts w:ascii="Times New Roman" w:hAnsi="Times New Roman" w:eastAsia="宋体"/>
          <w:color w:val="auto"/>
          <w:sz w:val="28"/>
          <w:highlight w:val="none"/>
        </w:rPr>
        <w:t xml:space="preserve">三   投标文件</w:t>
      </w:r>
      <w:bookmarkEnd w:id="206"/>
      <w:r>
        <w:rPr>
          <w:rFonts w:ascii="Times New Roman" w:hAnsi="Times New Roman" w:eastAsia="宋体"/>
          <w:color w:val="auto"/>
          <w:sz w:val="28"/>
          <w:highlight w:val="none"/>
        </w:rPr>
        <w:t xml:space="preserve">的编制</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bookmarkStart w:id="229" w:name="_Toc264969217"/>
      <w:r/>
      <w:bookmarkStart w:id="230" w:name="_Toc150509278"/>
      <w:r/>
      <w:bookmarkStart w:id="231" w:name="_Toc149720820"/>
      <w:r/>
      <w:bookmarkStart w:id="232" w:name="_Toc305158795"/>
      <w:r/>
      <w:bookmarkStart w:id="233" w:name="_Toc150480765"/>
      <w:r/>
      <w:bookmarkStart w:id="234" w:name="_Toc265228365"/>
      <w:r/>
      <w:bookmarkStart w:id="235" w:name="_Toc226309771"/>
      <w:r/>
      <w:bookmarkStart w:id="236" w:name="_Toc226965717"/>
      <w:r/>
      <w:bookmarkStart w:id="237" w:name="_Toc151193841"/>
      <w:r/>
      <w:bookmarkStart w:id="238" w:name="_Toc516367021"/>
      <w:r/>
      <w:bookmarkStart w:id="239" w:name="_Toc226337223"/>
      <w:r/>
      <w:bookmarkStart w:id="240" w:name="_Toc520356151"/>
      <w:r/>
      <w:bookmarkStart w:id="241" w:name="_Toc164351621"/>
      <w:r/>
      <w:bookmarkStart w:id="242" w:name="_Toc151193697"/>
      <w:r/>
      <w:bookmarkStart w:id="243" w:name="_Toc151190154"/>
      <w:r/>
      <w:bookmarkStart w:id="244" w:name="_Toc164608796"/>
      <w:r/>
      <w:bookmarkStart w:id="245" w:name="_Toc150774627"/>
      <w:r/>
      <w:bookmarkStart w:id="246" w:name="_Toc150774732"/>
      <w:r/>
      <w:bookmarkStart w:id="247" w:name="_Toc164229368"/>
      <w:r/>
      <w:bookmarkStart w:id="248" w:name="_Toc151193915"/>
      <w:r/>
      <w:bookmarkStart w:id="249" w:name="_Toc151193625"/>
      <w:r/>
      <w:bookmarkStart w:id="250" w:name="_Toc127161441"/>
      <w:r/>
      <w:bookmarkStart w:id="251" w:name="_Toc127151728"/>
      <w:r/>
      <w:bookmarkStart w:id="252" w:name="_Toc164229222"/>
      <w:r/>
      <w:bookmarkStart w:id="253" w:name="_Toc164608641"/>
      <w:r/>
      <w:bookmarkStart w:id="254" w:name="_Toc142311029"/>
      <w:r/>
      <w:bookmarkStart w:id="255" w:name="_Toc226965800"/>
      <w:r/>
      <w:bookmarkStart w:id="256" w:name="_Toc195842892"/>
      <w:r/>
      <w:bookmarkStart w:id="257" w:name="_Toc127151527"/>
      <w:r/>
      <w:bookmarkStart w:id="258" w:name="_Toc151193769"/>
      <w:r/>
      <w:bookmarkStart w:id="259" w:name="_Toc305158869"/>
      <w:r>
        <w:rPr>
          <w:color w:val="auto"/>
          <w:sz w:val="24"/>
          <w:highlight w:val="none"/>
        </w:rPr>
        <w:t xml:space="preserve">投标范围、投标文件中计量单位的使用</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color w:val="auto"/>
          <w:sz w:val="24"/>
          <w:highlight w:val="none"/>
        </w:rPr>
        <w:t xml:space="preserve">及投标语言</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bookmarkStart w:id="260" w:name="_Toc516367022"/>
      <w:r/>
      <w:bookmarkStart w:id="261" w:name="_Ref467306195"/>
      <w:r/>
      <w:bookmarkStart w:id="262" w:name="_Ref467306676"/>
      <w:r/>
      <w:bookmarkStart w:id="263" w:name="_Toc305158796"/>
      <w:r/>
      <w:bookmarkStart w:id="264" w:name="_Toc265228366"/>
      <w:r/>
      <w:bookmarkStart w:id="265" w:name="_Toc164229369"/>
      <w:r/>
      <w:bookmarkStart w:id="266" w:name="_Toc127151528"/>
      <w:r/>
      <w:bookmarkStart w:id="267" w:name="_Toc151190155"/>
      <w:r/>
      <w:bookmarkStart w:id="268" w:name="_Toc127151729"/>
      <w:r/>
      <w:bookmarkStart w:id="269" w:name="_Toc226965718"/>
      <w:r/>
      <w:bookmarkStart w:id="270" w:name="_Toc226309772"/>
      <w:r/>
      <w:bookmarkStart w:id="271" w:name="_Toc150509279"/>
      <w:r/>
      <w:bookmarkStart w:id="272" w:name="_Toc164351622"/>
      <w:r/>
      <w:bookmarkStart w:id="273" w:name="_Toc226965801"/>
      <w:r/>
      <w:bookmarkStart w:id="274" w:name="_Toc520356152"/>
      <w:r/>
      <w:bookmarkStart w:id="275" w:name="_Toc150774628"/>
      <w:r/>
      <w:bookmarkStart w:id="276" w:name="_Toc305158870"/>
      <w:r/>
      <w:bookmarkStart w:id="277" w:name="_Toc150480766"/>
      <w:r/>
      <w:bookmarkStart w:id="278" w:name="_Toc127161442"/>
      <w:r/>
      <w:bookmarkStart w:id="279" w:name="_Toc151193626"/>
      <w:r/>
      <w:bookmarkStart w:id="280" w:name="_Toc149720821"/>
      <w:r/>
      <w:bookmarkStart w:id="281" w:name="_Toc151193916"/>
      <w:r/>
      <w:bookmarkStart w:id="282" w:name="_Toc151193770"/>
      <w:r/>
      <w:bookmarkStart w:id="283" w:name="_Toc226337224"/>
      <w:r/>
      <w:bookmarkStart w:id="284" w:name="_Toc164608642"/>
      <w:r/>
      <w:bookmarkStart w:id="285" w:name="_Toc150774733"/>
      <w:r/>
      <w:bookmarkStart w:id="286" w:name="_Toc151193842"/>
      <w:r/>
      <w:bookmarkStart w:id="287" w:name="_Toc164229223"/>
      <w:r/>
      <w:bookmarkStart w:id="288" w:name="_Toc142311030"/>
      <w:r/>
      <w:bookmarkStart w:id="289" w:name="_Toc264969218"/>
      <w:r/>
      <w:bookmarkStart w:id="290" w:name="_Toc151193698"/>
      <w:r/>
      <w:bookmarkStart w:id="291" w:name="_Toc164608797"/>
      <w:r/>
      <w:bookmarkStart w:id="292" w:name="_Toc195842893"/>
      <w:r>
        <w:rPr>
          <w:color w:val="auto"/>
          <w:sz w:val="24"/>
          <w:highlight w:val="none"/>
        </w:rPr>
        <w:t xml:space="preserve">投标文件</w:t>
      </w:r>
      <w:bookmarkEnd w:id="260"/>
      <w:r/>
      <w:bookmarkEnd w:id="261"/>
      <w:r/>
      <w:bookmarkEnd w:id="262"/>
      <w:r>
        <w:rPr>
          <w:color w:val="auto"/>
          <w:sz w:val="24"/>
          <w:highlight w:val="none"/>
        </w:rPr>
        <w:t xml:space="preserve">构成</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bookmarkStart w:id="293"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投标人认为应附的其他材料。</w:t>
      </w:r>
      <w:bookmarkEnd w:id="293"/>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bookmarkStart w:id="294" w:name="_Toc150774630"/>
      <w:r/>
      <w:bookmarkStart w:id="295" w:name="_Toc151193918"/>
      <w:r/>
      <w:bookmarkStart w:id="296" w:name="_Toc151193844"/>
      <w:r/>
      <w:bookmarkStart w:id="297" w:name="_Toc164229225"/>
      <w:r/>
      <w:bookmarkStart w:id="298" w:name="_Toc127151731"/>
      <w:r/>
      <w:bookmarkStart w:id="299" w:name="_Toc150509281"/>
      <w:r/>
      <w:bookmarkStart w:id="300" w:name="_Toc151193628"/>
      <w:r/>
      <w:bookmarkStart w:id="301" w:name="_Toc150480768"/>
      <w:r/>
      <w:bookmarkStart w:id="302" w:name="_Toc164229371"/>
      <w:r/>
      <w:bookmarkStart w:id="303" w:name="_Toc142311032"/>
      <w:r/>
      <w:bookmarkStart w:id="304" w:name="_Toc164608644"/>
      <w:r/>
      <w:bookmarkStart w:id="305" w:name="_Toc520356155"/>
      <w:r/>
      <w:bookmarkStart w:id="306" w:name="_Toc151193700"/>
      <w:r/>
      <w:bookmarkStart w:id="307" w:name="_Toc151190157"/>
      <w:r/>
      <w:bookmarkStart w:id="308" w:name="_Toc150774735"/>
      <w:r/>
      <w:bookmarkStart w:id="309" w:name="_Toc164608799"/>
      <w:r/>
      <w:bookmarkStart w:id="310" w:name="_Toc127161444"/>
      <w:r/>
      <w:bookmarkStart w:id="311" w:name="_Toc151193772"/>
      <w:r/>
      <w:bookmarkStart w:id="312" w:name="_Toc195842895"/>
      <w:r/>
      <w:bookmarkStart w:id="313" w:name="_Toc127151530"/>
      <w:r/>
      <w:bookmarkStart w:id="314" w:name="_Toc164351624"/>
      <w:r/>
      <w:bookmarkStart w:id="315" w:name="_Toc149720823"/>
      <w:r>
        <w:rPr>
          <w:color w:val="auto"/>
          <w:sz w:val="24"/>
          <w:highlight w:val="none"/>
        </w:rPr>
        <w:t xml:space="preserve">投标报价</w:t>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所有投标均以人民币报价。</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10"/>
        </w:numPr>
        <w:ind w:left="1985"/>
        <w:spacing w:line="360" w:lineRule="auto"/>
        <w:tabs>
          <w:tab w:val="left" w:pos="1985" w:leader="none"/>
          <w:tab w:val="clear" w:pos="2264" w:leader="none"/>
        </w:tabs>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10"/>
        </w:numPr>
        <w:ind w:hanging="1130"/>
        <w:spacing w:line="360" w:lineRule="auto"/>
        <w:tabs>
          <w:tab w:val="left" w:pos="1980" w:leader="none"/>
        </w:tabs>
        <w:rPr>
          <w:color w:val="auto"/>
          <w:sz w:val="24"/>
          <w:highlight w:val="none"/>
        </w:rPr>
      </w:pPr>
      <w:r>
        <w:rPr>
          <w:color w:val="auto"/>
          <w:sz w:val="24"/>
          <w:highlight w:val="none"/>
        </w:rPr>
        <w:t xml:space="preserve">按照招标文件要求完成本项目的全部相关服务费用。 </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不得向供应商索要或者接受其给予的赠品、回扣或者与采购无关的其他商品、服务。</w:t>
      </w:r>
      <w:r/>
    </w:p>
    <w:p>
      <w:pPr>
        <w:numPr>
          <w:ilvl w:val="1"/>
          <w:numId w:val="10"/>
        </w:numPr>
        <w:ind w:left="1080"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bookmarkStart w:id="316" w:name="_Toc164608645"/>
      <w:r/>
      <w:bookmarkStart w:id="317" w:name="_Toc127151531"/>
      <w:r/>
      <w:bookmarkStart w:id="318" w:name="_Toc226309775"/>
      <w:r/>
      <w:bookmarkStart w:id="319" w:name="_Ref467306513"/>
      <w:r/>
      <w:bookmarkStart w:id="320" w:name="_Toc150480769"/>
      <w:r/>
      <w:bookmarkStart w:id="321" w:name="_Toc226965721"/>
      <w:r/>
      <w:bookmarkStart w:id="322" w:name="_Toc226965804"/>
      <w:r/>
      <w:bookmarkStart w:id="323" w:name="_Toc149720824"/>
      <w:r/>
      <w:bookmarkStart w:id="324" w:name="_Toc151193701"/>
      <w:r/>
      <w:bookmarkStart w:id="325" w:name="_Toc127161445"/>
      <w:r/>
      <w:bookmarkStart w:id="326" w:name="_Toc151193919"/>
      <w:r/>
      <w:bookmarkStart w:id="327" w:name="_Toc164608800"/>
      <w:r/>
      <w:bookmarkStart w:id="328" w:name="_Toc151193845"/>
      <w:r/>
      <w:bookmarkStart w:id="329" w:name="_Toc150774736"/>
      <w:r/>
      <w:bookmarkStart w:id="330" w:name="_Toc150509282"/>
      <w:r/>
      <w:bookmarkStart w:id="331" w:name="_Toc264969221"/>
      <w:r/>
      <w:bookmarkStart w:id="332" w:name="_Toc151193773"/>
      <w:r/>
      <w:bookmarkStart w:id="333" w:name="_Toc142311033"/>
      <w:r/>
      <w:bookmarkStart w:id="334" w:name="_Toc265228369"/>
      <w:r/>
      <w:bookmarkStart w:id="335" w:name="_Toc520356156"/>
      <w:r/>
      <w:bookmarkStart w:id="336" w:name="_Toc164229226"/>
      <w:r/>
      <w:bookmarkStart w:id="337" w:name="_Toc305158799"/>
      <w:r/>
      <w:bookmarkStart w:id="338" w:name="_Toc127151732"/>
      <w:r/>
      <w:bookmarkStart w:id="339" w:name="_Toc226337227"/>
      <w:r/>
      <w:bookmarkStart w:id="340" w:name="_Toc164351625"/>
      <w:r/>
      <w:bookmarkStart w:id="341" w:name="_Toc151190158"/>
      <w:r/>
      <w:bookmarkStart w:id="342" w:name="_Toc195842896"/>
      <w:r/>
      <w:bookmarkStart w:id="343" w:name="_Toc305158873"/>
      <w:r/>
      <w:bookmarkStart w:id="344" w:name="_Toc164229372"/>
      <w:r/>
      <w:bookmarkStart w:id="345" w:name="_Toc151193629"/>
      <w:r/>
      <w:bookmarkStart w:id="346" w:name="_Toc150774631"/>
      <w:r>
        <w:rPr>
          <w:color w:val="auto"/>
          <w:sz w:val="24"/>
          <w:highlight w:val="none"/>
        </w:rPr>
        <w:t xml:space="preserve">投标保证金</w:t>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rPr>
          <w:rFonts w:hint="eastAsia"/>
          <w:color w:val="auto"/>
          <w:sz w:val="24"/>
          <w:highlight w:val="none"/>
        </w:rPr>
        <w:t xml:space="preserve"> </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根据江苏省和常州市的相关文件规定，免收投标保证金。</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bookmarkStart w:id="347" w:name="_Toc151193846"/>
      <w:r/>
      <w:bookmarkStart w:id="348" w:name="_Toc151190159"/>
      <w:r/>
      <w:bookmarkStart w:id="349" w:name="_Toc226965722"/>
      <w:r/>
      <w:bookmarkStart w:id="350" w:name="_Toc149720825"/>
      <w:r/>
      <w:bookmarkStart w:id="351" w:name="_Toc164229227"/>
      <w:r/>
      <w:bookmarkStart w:id="352" w:name="_Toc164229373"/>
      <w:r/>
      <w:bookmarkStart w:id="353" w:name="_Toc150774632"/>
      <w:r/>
      <w:bookmarkStart w:id="354" w:name="_Toc151193702"/>
      <w:r/>
      <w:bookmarkStart w:id="355" w:name="_Toc142311034"/>
      <w:r/>
      <w:bookmarkStart w:id="356" w:name="_Toc265228370"/>
      <w:r/>
      <w:bookmarkStart w:id="357" w:name="_Toc127151532"/>
      <w:r/>
      <w:bookmarkStart w:id="358" w:name="_Toc520356157"/>
      <w:r/>
      <w:bookmarkStart w:id="359" w:name="_Toc226965805"/>
      <w:r/>
      <w:bookmarkStart w:id="360" w:name="_Toc164608646"/>
      <w:r/>
      <w:bookmarkStart w:id="361" w:name="_Toc150509283"/>
      <w:r/>
      <w:bookmarkStart w:id="362" w:name="_Toc164351626"/>
      <w:r/>
      <w:bookmarkStart w:id="363" w:name="_Toc150480770"/>
      <w:r/>
      <w:bookmarkStart w:id="364" w:name="_Toc151193630"/>
      <w:r/>
      <w:bookmarkStart w:id="365" w:name="_Toc305158874"/>
      <w:r/>
      <w:bookmarkStart w:id="366" w:name="_Toc151193774"/>
      <w:r/>
      <w:bookmarkStart w:id="367" w:name="_Toc150774737"/>
      <w:r/>
      <w:bookmarkStart w:id="368" w:name="_Toc195842897"/>
      <w:r/>
      <w:bookmarkStart w:id="369" w:name="_Toc305158800"/>
      <w:r/>
      <w:bookmarkStart w:id="370" w:name="_Toc264969222"/>
      <w:r/>
      <w:bookmarkStart w:id="371" w:name="_Toc164608801"/>
      <w:r/>
      <w:bookmarkStart w:id="372" w:name="_Toc127151733"/>
      <w:r/>
      <w:bookmarkStart w:id="373" w:name="_Toc226309776"/>
      <w:r/>
      <w:bookmarkStart w:id="374" w:name="_Toc226337228"/>
      <w:r/>
      <w:bookmarkStart w:id="375" w:name="_Toc127161446"/>
      <w:r/>
      <w:bookmarkStart w:id="376" w:name="_Toc151193920"/>
      <w:r>
        <w:rPr>
          <w:color w:val="auto"/>
          <w:sz w:val="24"/>
          <w:highlight w:val="none"/>
        </w:rPr>
        <w:t xml:space="preserve">投标有效期</w:t>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bookmarkStart w:id="377" w:name="_Toc151193921"/>
      <w:r/>
      <w:bookmarkStart w:id="378" w:name="_Toc264969223"/>
      <w:r/>
      <w:bookmarkStart w:id="379" w:name="_Toc150774738"/>
      <w:r/>
      <w:bookmarkStart w:id="380" w:name="_Toc151193847"/>
      <w:r/>
      <w:bookmarkStart w:id="381" w:name="_Toc164229374"/>
      <w:r/>
      <w:bookmarkStart w:id="382" w:name="_Toc149720826"/>
      <w:r/>
      <w:bookmarkStart w:id="383" w:name="_Toc305158801"/>
      <w:r/>
      <w:bookmarkStart w:id="384" w:name="_Toc150509284"/>
      <w:r/>
      <w:bookmarkStart w:id="385" w:name="_Toc150774633"/>
      <w:r/>
      <w:bookmarkStart w:id="386" w:name="_Toc226965806"/>
      <w:r/>
      <w:bookmarkStart w:id="387" w:name="_Toc127161447"/>
      <w:r/>
      <w:bookmarkStart w:id="388" w:name="_Toc164608647"/>
      <w:r/>
      <w:bookmarkStart w:id="389" w:name="_Toc164229228"/>
      <w:r/>
      <w:bookmarkStart w:id="390" w:name="_Toc164351627"/>
      <w:r/>
      <w:bookmarkStart w:id="391" w:name="_Toc151193775"/>
      <w:r/>
      <w:bookmarkStart w:id="392" w:name="_Toc127151533"/>
      <w:r/>
      <w:bookmarkStart w:id="393" w:name="_Toc226965723"/>
      <w:r/>
      <w:bookmarkStart w:id="394" w:name="_Toc226337229"/>
      <w:r/>
      <w:bookmarkStart w:id="395" w:name="_Toc151193703"/>
      <w:r/>
      <w:bookmarkStart w:id="396" w:name="_Toc265228371"/>
      <w:r/>
      <w:bookmarkStart w:id="397" w:name="_Toc226309777"/>
      <w:r/>
      <w:bookmarkStart w:id="398" w:name="_Toc150480771"/>
      <w:r/>
      <w:bookmarkStart w:id="399" w:name="_Toc520356158"/>
      <w:r/>
      <w:bookmarkStart w:id="400" w:name="_Toc151190160"/>
      <w:r/>
      <w:bookmarkStart w:id="401" w:name="_Toc151193631"/>
      <w:r/>
      <w:bookmarkStart w:id="402" w:name="_Toc195842898"/>
      <w:r/>
      <w:bookmarkStart w:id="403" w:name="_Toc142311035"/>
      <w:r/>
      <w:bookmarkStart w:id="404" w:name="_Toc305158875"/>
      <w:r/>
      <w:bookmarkStart w:id="405" w:name="_Toc164608802"/>
      <w:r/>
      <w:bookmarkStart w:id="406" w:name="_Toc127151734"/>
      <w:r>
        <w:rPr>
          <w:color w:val="auto"/>
          <w:sz w:val="24"/>
          <w:highlight w:val="none"/>
        </w:rPr>
        <w:t xml:space="preserve">投标文件的签署</w:t>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rPr>
          <w:color w:val="auto"/>
          <w:sz w:val="24"/>
          <w:highlight w:val="none"/>
        </w:rPr>
        <w:t xml:space="preserve">、加盖公章</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bookmarkStart w:id="407" w:name="_Toc127151534"/>
      <w:r/>
      <w:bookmarkStart w:id="408" w:name="_Toc151193632"/>
      <w:r/>
      <w:bookmarkStart w:id="409" w:name="_Toc142311036"/>
      <w:r/>
      <w:bookmarkStart w:id="410" w:name="_Toc520356159"/>
      <w:r/>
      <w:bookmarkStart w:id="411" w:name="_Toc150774634"/>
      <w:r/>
      <w:bookmarkStart w:id="412" w:name="_Toc151193922"/>
      <w:r/>
      <w:bookmarkStart w:id="413" w:name="_Toc151193704"/>
      <w:r/>
      <w:bookmarkStart w:id="414" w:name="_Toc151190161"/>
      <w:r/>
      <w:bookmarkStart w:id="415" w:name="_Toc150480772"/>
      <w:r/>
      <w:bookmarkStart w:id="416" w:name="_Toc265228372"/>
      <w:r/>
      <w:bookmarkStart w:id="417" w:name="_Toc226309778"/>
      <w:r/>
      <w:bookmarkStart w:id="418" w:name="_Toc195842899"/>
      <w:r/>
      <w:bookmarkStart w:id="419" w:name="_Toc226965724"/>
      <w:r/>
      <w:bookmarkStart w:id="420" w:name="_Toc151193848"/>
      <w:r/>
      <w:bookmarkStart w:id="421" w:name="_Toc150774739"/>
      <w:r/>
      <w:bookmarkStart w:id="422" w:name="_Toc226337230"/>
      <w:r/>
      <w:bookmarkStart w:id="423" w:name="_Toc151193776"/>
      <w:r/>
      <w:bookmarkStart w:id="424" w:name="_Toc264969224"/>
      <w:r/>
      <w:bookmarkStart w:id="425" w:name="_Toc305158802"/>
      <w:r/>
      <w:bookmarkStart w:id="426" w:name="_Toc305158876"/>
      <w:r/>
      <w:bookmarkStart w:id="427" w:name="_Toc226965807"/>
      <w:r/>
      <w:bookmarkStart w:id="428" w:name="_Toc150509285"/>
      <w:r>
        <w:rPr>
          <w:color w:val="auto"/>
          <w:sz w:val="24"/>
          <w:highlight w:val="none"/>
        </w:rPr>
        <w:t xml:space="preserve">招标文件要求加盖公章的内容，须按规定</w:t>
      </w:r>
      <w:r>
        <w:rPr>
          <w:rFonts w:hint="eastAsia" w:ascii="宋体" w:hAnsi="宋体" w:cs="宋体"/>
          <w:color w:val="auto"/>
          <w:sz w:val="24"/>
          <w:highlight w:val="none"/>
        </w:rPr>
        <w:t xml:space="preserve">加盖投标人公章；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152"/>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r/>
    </w:p>
    <w:p>
      <w:pPr>
        <w:numPr>
          <w:ilvl w:val="0"/>
          <w:numId w:val="10"/>
        </w:numPr>
        <w:ind w:left="357" w:hanging="357"/>
        <w:spacing w:line="360" w:lineRule="auto"/>
        <w:tabs>
          <w:tab w:val="left" w:pos="360" w:leader="none"/>
        </w:tabs>
        <w:rPr>
          <w:color w:val="auto"/>
          <w:sz w:val="24"/>
          <w:highlight w:val="none"/>
        </w:rPr>
        <w:outlineLvl w:val="1"/>
      </w:pPr>
      <w:r/>
      <w:bookmarkStart w:id="429" w:name="_Toc150774740"/>
      <w:r/>
      <w:bookmarkStart w:id="430" w:name="_Toc151190162"/>
      <w:r/>
      <w:bookmarkStart w:id="431" w:name="_Toc520356160"/>
      <w:r/>
      <w:bookmarkStart w:id="432" w:name="_Toc150480773"/>
      <w:r/>
      <w:bookmarkStart w:id="433" w:name="_Toc150509286"/>
      <w:r/>
      <w:bookmarkStart w:id="434" w:name="_Toc164229376"/>
      <w:r/>
      <w:bookmarkStart w:id="435" w:name="_Toc164608649"/>
      <w:r/>
      <w:bookmarkStart w:id="436" w:name="_Toc265228373"/>
      <w:r/>
      <w:bookmarkStart w:id="437" w:name="_Toc164608804"/>
      <w:r/>
      <w:bookmarkStart w:id="438" w:name="_Toc151193777"/>
      <w:r/>
      <w:bookmarkStart w:id="439" w:name="_Toc164229230"/>
      <w:r/>
      <w:bookmarkStart w:id="440" w:name="_Toc226965808"/>
      <w:r/>
      <w:bookmarkStart w:id="441" w:name="_Toc226965725"/>
      <w:r/>
      <w:bookmarkStart w:id="442" w:name="_Toc305158803"/>
      <w:r/>
      <w:bookmarkStart w:id="443" w:name="_Toc127151736"/>
      <w:r/>
      <w:bookmarkStart w:id="444" w:name="_Toc226309779"/>
      <w:r/>
      <w:bookmarkStart w:id="445" w:name="_Toc151193705"/>
      <w:r/>
      <w:bookmarkStart w:id="446" w:name="_Toc149720828"/>
      <w:r/>
      <w:bookmarkStart w:id="447" w:name="_Toc226337231"/>
      <w:r/>
      <w:bookmarkStart w:id="448" w:name="_Toc164351629"/>
      <w:r/>
      <w:bookmarkStart w:id="449" w:name="_Toc195842900"/>
      <w:r/>
      <w:bookmarkStart w:id="450" w:name="_Toc305158877"/>
      <w:r/>
      <w:bookmarkStart w:id="451" w:name="_Toc142311037"/>
      <w:r/>
      <w:bookmarkStart w:id="452" w:name="_Toc264969225"/>
      <w:r/>
      <w:bookmarkStart w:id="453" w:name="_Toc150774635"/>
      <w:r/>
      <w:bookmarkStart w:id="454" w:name="_Toc151193633"/>
      <w:r/>
      <w:bookmarkStart w:id="455" w:name="_Toc151193849"/>
      <w:r/>
      <w:bookmarkStart w:id="456" w:name="_Toc151193923"/>
      <w:r/>
      <w:bookmarkStart w:id="457" w:name="_Toc127161449"/>
      <w:r/>
      <w:bookmarkStart w:id="458" w:name="_Toc127151535"/>
      <w:r>
        <w:rPr>
          <w:color w:val="auto"/>
          <w:sz w:val="24"/>
          <w:highlight w:val="none"/>
        </w:rPr>
        <w:t xml:space="preserve">投标文件的</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color w:val="auto"/>
          <w:sz w:val="24"/>
          <w:highlight w:val="none"/>
        </w:rPr>
        <w:t xml:space="preserve">提交</w:t>
      </w:r>
      <w:r/>
    </w:p>
    <w:p>
      <w:pPr>
        <w:numPr>
          <w:ilvl w:val="1"/>
          <w:numId w:val="10"/>
        </w:numPr>
        <w:ind w:left="1134" w:hanging="850"/>
        <w:spacing w:line="360" w:lineRule="auto"/>
        <w:tabs>
          <w:tab w:val="left" w:pos="1080" w:leader="none"/>
          <w:tab w:val="left" w:pos="1873" w:leader="none"/>
          <w:tab w:val="left" w:pos="2014" w:leader="none"/>
        </w:tabs>
        <w:rPr>
          <w:rFonts w:ascii="Calibri" w:hAnsi="Calibri"/>
          <w:color w:val="auto"/>
          <w:sz w:val="24"/>
          <w:highlight w:val="none"/>
        </w:rPr>
      </w:pPr>
      <w:r/>
      <w:bookmarkStart w:id="459" w:name="OLE_LINK42"/>
      <w:r/>
      <w:bookmarkStart w:id="460" w:name="_Toc151193924"/>
      <w:r/>
      <w:bookmarkStart w:id="461" w:name="_Toc164608805"/>
      <w:r/>
      <w:bookmarkStart w:id="462" w:name="_Toc151193850"/>
      <w:r/>
      <w:bookmarkStart w:id="463" w:name="_Toc305158804"/>
      <w:r/>
      <w:bookmarkStart w:id="464" w:name="_Toc150774636"/>
      <w:r/>
      <w:bookmarkStart w:id="465" w:name="_Toc127151737"/>
      <w:r/>
      <w:bookmarkStart w:id="466" w:name="_Toc150480774"/>
      <w:r/>
      <w:bookmarkStart w:id="467" w:name="_Toc150774741"/>
      <w:r/>
      <w:bookmarkStart w:id="468" w:name="_Toc150509287"/>
      <w:r/>
      <w:bookmarkStart w:id="469" w:name="_Toc151190163"/>
      <w:r/>
      <w:bookmarkStart w:id="470" w:name="_Toc305158878"/>
      <w:r/>
      <w:bookmarkStart w:id="471" w:name="_Toc226309780"/>
      <w:r/>
      <w:bookmarkStart w:id="472" w:name="_Toc151193634"/>
      <w:r/>
      <w:bookmarkStart w:id="473" w:name="_Toc226965809"/>
      <w:r/>
      <w:bookmarkStart w:id="474" w:name="_Toc520356161"/>
      <w:r/>
      <w:bookmarkStart w:id="475" w:name="_Toc164229231"/>
      <w:r/>
      <w:bookmarkStart w:id="476" w:name="_Toc127151536"/>
      <w:r/>
      <w:bookmarkStart w:id="477" w:name="_Toc142311038"/>
      <w:r/>
      <w:bookmarkStart w:id="478" w:name="_Toc164351630"/>
      <w:r/>
      <w:bookmarkStart w:id="479" w:name="_Toc151193778"/>
      <w:r/>
      <w:bookmarkStart w:id="480" w:name="_Toc164229377"/>
      <w:r/>
      <w:bookmarkStart w:id="481" w:name="_Toc226337232"/>
      <w:r/>
      <w:bookmarkStart w:id="482" w:name="_Toc265228374"/>
      <w:r/>
      <w:bookmarkStart w:id="483" w:name="_Toc127161450"/>
      <w:r/>
      <w:bookmarkStart w:id="484" w:name="_Toc151193706"/>
      <w:r/>
      <w:bookmarkStart w:id="485" w:name="_Toc149720829"/>
      <w:r/>
      <w:bookmarkStart w:id="486" w:name="_Toc226965726"/>
      <w:r/>
      <w:bookmarkStart w:id="487" w:name="_Toc164608650"/>
      <w:r/>
      <w:bookmarkStart w:id="488" w:name="_Toc264969226"/>
      <w:r/>
      <w:bookmarkStart w:id="489" w:name="_Toc195842901"/>
      <w:r>
        <w:rPr>
          <w:color w:val="auto"/>
          <w:sz w:val="24"/>
          <w:highlight w:val="none"/>
        </w:rPr>
        <w:t xml:space="preserve">本项目使用</w:t>
      </w:r>
      <w:r>
        <w:rPr>
          <w:color w:val="auto"/>
          <w:sz w:val="24"/>
          <w:highlight w:val="none"/>
          <w:lang w:bidi="ar"/>
        </w:rPr>
        <w:t xml:space="preserve">政府采购一体化平台“苏采云”</w:t>
      </w:r>
      <w:r>
        <w:rPr>
          <w:color w:val="auto"/>
          <w:sz w:val="24"/>
          <w:highlight w:val="none"/>
        </w:rPr>
        <w:t xml:space="preserve">。投标人根据招标文件及</w:t>
      </w:r>
      <w:r>
        <w:rPr>
          <w:color w:val="auto"/>
          <w:sz w:val="24"/>
          <w:highlight w:val="none"/>
          <w:lang w:bidi="ar"/>
        </w:rPr>
        <w:t xml:space="preserve">政府采购一体化平台“苏采云”</w:t>
      </w:r>
      <w:r>
        <w:rPr>
          <w:color w:val="auto"/>
          <w:sz w:val="24"/>
          <w:highlight w:val="none"/>
        </w:rPr>
        <w:t xml:space="preserve">供应商操作手册要求编制、生成并提交电子投标文件。</w:t>
      </w:r>
      <w:bookmarkEnd w:id="459"/>
      <w:r/>
      <w:r/>
    </w:p>
    <w:p>
      <w:pPr>
        <w:numPr>
          <w:ilvl w:val="1"/>
          <w:numId w:val="10"/>
        </w:numPr>
        <w:ind w:left="1077" w:hanging="720"/>
        <w:spacing w:line="360" w:lineRule="auto"/>
        <w:tabs>
          <w:tab w:val="left" w:pos="1080" w:leader="none"/>
          <w:tab w:val="left" w:pos="1873" w:leader="none"/>
          <w:tab w:val="left" w:pos="2014" w:leader="none"/>
        </w:tabs>
        <w:rPr>
          <w:rFonts w:hint="eastAsia"/>
          <w:color w:val="auto"/>
          <w:sz w:val="24"/>
          <w:highlight w:val="none"/>
        </w:rPr>
      </w:pPr>
      <w:r>
        <w:rPr>
          <w:rFonts w:hint="eastAsia"/>
          <w:color w:val="auto"/>
          <w:sz w:val="24"/>
          <w:highlight w:val="none"/>
        </w:rPr>
        <w:t xml:space="preserve">招标人</w:t>
      </w:r>
      <w:r>
        <w:rPr>
          <w:color w:val="auto"/>
          <w:sz w:val="24"/>
          <w:highlight w:val="none"/>
        </w:rPr>
        <w:t xml:space="preserve">及</w:t>
      </w:r>
      <w:r>
        <w:rPr>
          <w:rFonts w:hint="eastAsia"/>
          <w:color w:val="auto"/>
          <w:sz w:val="24"/>
          <w:highlight w:val="none"/>
        </w:rPr>
        <w:t xml:space="preserve">采购代理机构</w:t>
      </w:r>
      <w:r>
        <w:rPr>
          <w:color w:val="auto"/>
          <w:sz w:val="24"/>
          <w:highlight w:val="none"/>
        </w:rPr>
        <w:t xml:space="preserve">拒绝接受通过政府采购一体化平台“苏采云”以外任何形式提交的投标文件。</w:t>
      </w:r>
      <w:r/>
    </w:p>
    <w:p>
      <w:pPr>
        <w:numPr>
          <w:ilvl w:val="1"/>
          <w:numId w:val="10"/>
        </w:numPr>
        <w:ind w:left="1077" w:hanging="720"/>
        <w:spacing w:line="360" w:lineRule="auto"/>
        <w:tabs>
          <w:tab w:val="left" w:pos="1080" w:leader="none"/>
          <w:tab w:val="left" w:pos="1873" w:leader="none"/>
          <w:tab w:val="left" w:pos="2014" w:leader="none"/>
        </w:tabs>
        <w:rPr>
          <w:color w:val="auto"/>
          <w:sz w:val="24"/>
          <w:highlight w:val="none"/>
        </w:rPr>
      </w:pPr>
      <w:r/>
      <w:bookmarkStart w:id="490" w:name="OLE_LINK49"/>
      <w:r>
        <w:rPr>
          <w:rFonts w:hint="eastAsia"/>
          <w:b/>
          <w:color w:val="auto"/>
          <w:sz w:val="24"/>
          <w:highlight w:val="none"/>
        </w:rPr>
        <w:t xml:space="preserve">中标后，中标人5个工作日内需提供投标文件共一式叁份，“正本”壹份、“副本”贰份送至代理机构。在每一份投标文件上要标明“正本”或“副本”字样，一旦正本和副本有差异，以正本为准，正本、副本应分别装订成册。</w:t>
      </w:r>
      <w:bookmarkEnd w:id="490"/>
      <w:r/>
      <w:r/>
    </w:p>
    <w:p>
      <w:pPr>
        <w:numPr>
          <w:ilvl w:val="0"/>
          <w:numId w:val="10"/>
        </w:numPr>
        <w:ind w:left="357" w:hanging="357"/>
        <w:spacing w:line="360" w:lineRule="auto"/>
        <w:tabs>
          <w:tab w:val="left" w:pos="360" w:leader="none"/>
        </w:tabs>
        <w:rPr>
          <w:color w:val="auto"/>
          <w:sz w:val="24"/>
          <w:highlight w:val="none"/>
        </w:rPr>
        <w:outlineLvl w:val="1"/>
      </w:pPr>
      <w:r>
        <w:rPr>
          <w:color w:val="auto"/>
          <w:sz w:val="24"/>
          <w:highlight w:val="none"/>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color w:val="auto"/>
          <w:sz w:val="24"/>
          <w:highlight w:val="none"/>
        </w:rPr>
        <w:t xml:space="preserve">时间</w:t>
      </w:r>
      <w:r/>
    </w:p>
    <w:p>
      <w:pPr>
        <w:numPr>
          <w:ilvl w:val="1"/>
          <w:numId w:val="10"/>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投标人应在招标文件要求提交投标文件截止时间前，将电子投标文件提交至”苏采云”政府采购一体化平台。</w:t>
      </w:r>
      <w:r/>
    </w:p>
    <w:p>
      <w:pPr>
        <w:numPr>
          <w:ilvl w:val="0"/>
          <w:numId w:val="10"/>
        </w:numPr>
        <w:ind w:left="357" w:hanging="357"/>
        <w:spacing w:line="360" w:lineRule="auto"/>
        <w:tabs>
          <w:tab w:val="left" w:pos="360" w:leader="none"/>
        </w:tabs>
        <w:rPr>
          <w:color w:val="auto"/>
          <w:sz w:val="24"/>
          <w:highlight w:val="none"/>
        </w:rPr>
        <w:outlineLvl w:val="1"/>
      </w:pPr>
      <w:r/>
      <w:bookmarkStart w:id="491" w:name="_Toc149720830"/>
      <w:r/>
      <w:bookmarkStart w:id="492" w:name="_Toc164608651"/>
      <w:r/>
      <w:bookmarkStart w:id="493" w:name="_Toc151193779"/>
      <w:r/>
      <w:bookmarkStart w:id="494" w:name="_Toc164351631"/>
      <w:r/>
      <w:bookmarkStart w:id="495" w:name="_Toc226965727"/>
      <w:r/>
      <w:bookmarkStart w:id="496" w:name="_Toc151190164"/>
      <w:r/>
      <w:bookmarkStart w:id="497" w:name="_Toc151193635"/>
      <w:r/>
      <w:bookmarkStart w:id="498" w:name="_Toc150480775"/>
      <w:r/>
      <w:bookmarkStart w:id="499" w:name="_Toc305158879"/>
      <w:r/>
      <w:bookmarkStart w:id="500" w:name="_Toc151193707"/>
      <w:r/>
      <w:bookmarkStart w:id="501" w:name="_Toc164229232"/>
      <w:r/>
      <w:bookmarkStart w:id="502" w:name="_Toc520356162"/>
      <w:r/>
      <w:bookmarkStart w:id="503" w:name="_Toc164608806"/>
      <w:r/>
      <w:bookmarkStart w:id="504" w:name="_Toc195842902"/>
      <w:r/>
      <w:bookmarkStart w:id="505" w:name="_Toc264969227"/>
      <w:r/>
      <w:bookmarkStart w:id="506" w:name="_Toc150774637"/>
      <w:r/>
      <w:bookmarkStart w:id="507" w:name="_Toc127161451"/>
      <w:r/>
      <w:bookmarkStart w:id="508" w:name="_Toc127151537"/>
      <w:r/>
      <w:bookmarkStart w:id="509" w:name="_Toc142311039"/>
      <w:r/>
      <w:bookmarkStart w:id="510" w:name="_Toc226337233"/>
      <w:r/>
      <w:bookmarkStart w:id="511" w:name="_Toc305158805"/>
      <w:r/>
      <w:bookmarkStart w:id="512" w:name="_Toc164229378"/>
      <w:r/>
      <w:bookmarkStart w:id="513" w:name="_Toc151193925"/>
      <w:r/>
      <w:bookmarkStart w:id="514" w:name="_Toc151193851"/>
      <w:r/>
      <w:bookmarkStart w:id="515" w:name="_Toc150774742"/>
      <w:r/>
      <w:bookmarkStart w:id="516" w:name="_Toc265228375"/>
      <w:r/>
      <w:bookmarkStart w:id="517" w:name="_Toc127151738"/>
      <w:r/>
      <w:bookmarkStart w:id="518" w:name="_Toc226965810"/>
      <w:r/>
      <w:bookmarkStart w:id="519" w:name="_Toc150509288"/>
      <w:r/>
      <w:bookmarkStart w:id="520" w:name="_Toc226309781"/>
      <w:r>
        <w:rPr>
          <w:color w:val="auto"/>
          <w:sz w:val="24"/>
          <w:highlight w:val="none"/>
        </w:rPr>
        <w:t xml:space="preserve">投标文件的修改与撤回</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numPr>
          <w:ilvl w:val="1"/>
          <w:numId w:val="10"/>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投标截止时间前，投标人可以通过”苏采云”政府采购一体化平台对所提交的投标文件进行补充、修改或者撤回。</w:t>
      </w:r>
      <w:r/>
    </w:p>
    <w:p>
      <w:pPr>
        <w:numPr>
          <w:ilvl w:val="1"/>
          <w:numId w:val="10"/>
        </w:numPr>
        <w:ind w:left="1077" w:hanging="720"/>
        <w:spacing w:line="360" w:lineRule="auto"/>
        <w:tabs>
          <w:tab w:val="left" w:pos="1080" w:leader="none"/>
          <w:tab w:val="left" w:pos="1873" w:leader="none"/>
          <w:tab w:val="left" w:pos="2014" w:leader="none"/>
        </w:tabs>
        <w:rPr>
          <w:color w:val="auto"/>
          <w:sz w:val="24"/>
          <w:highlight w:val="none"/>
        </w:rPr>
      </w:pPr>
      <w:r>
        <w:rPr>
          <w:color w:val="auto"/>
          <w:sz w:val="24"/>
          <w:highlight w:val="none"/>
        </w:rPr>
        <w:t xml:space="preserve">投标人对投标文件的补充、修改的内容应当按照招标文件要求签署、加盖公章，作为投标文件的组成部分。</w:t>
      </w:r>
      <w:r/>
    </w:p>
    <w:p>
      <w:pPr>
        <w:spacing w:line="360" w:lineRule="auto"/>
        <w:rPr>
          <w:color w:val="auto"/>
          <w:sz w:val="24"/>
          <w:highlight w:val="none"/>
        </w:rPr>
      </w:pPr>
      <w:r>
        <w:rPr>
          <w:color w:val="auto"/>
          <w:sz w:val="24"/>
          <w:highlight w:val="none"/>
        </w:rPr>
      </w:r>
      <w:r/>
    </w:p>
    <w:p>
      <w:pPr>
        <w:pStyle w:val="1152"/>
        <w:spacing w:before="0" w:line="360" w:lineRule="auto"/>
        <w:rPr>
          <w:rFonts w:ascii="Times New Roman" w:hAnsi="Times New Roman" w:eastAsia="宋体"/>
          <w:color w:val="auto"/>
          <w:sz w:val="28"/>
          <w:highlight w:val="none"/>
        </w:rPr>
      </w:pPr>
      <w:r/>
      <w:bookmarkStart w:id="521" w:name="_Toc264969228"/>
      <w:r/>
      <w:bookmarkStart w:id="522" w:name="_Toc150774638"/>
      <w:r/>
      <w:bookmarkStart w:id="523" w:name="_Toc151193780"/>
      <w:r/>
      <w:bookmarkStart w:id="524" w:name="_Toc226309782"/>
      <w:r/>
      <w:bookmarkStart w:id="525" w:name="_Toc150509289"/>
      <w:r/>
      <w:bookmarkStart w:id="526" w:name="_Toc226965728"/>
      <w:r/>
      <w:bookmarkStart w:id="527" w:name="_Toc151193708"/>
      <w:r/>
      <w:bookmarkStart w:id="528" w:name="_Toc265228376"/>
      <w:r/>
      <w:bookmarkStart w:id="529" w:name="_Toc151193926"/>
      <w:r/>
      <w:bookmarkStart w:id="530" w:name="_Toc520356163"/>
      <w:r/>
      <w:bookmarkStart w:id="531" w:name="_Toc226337234"/>
      <w:r/>
      <w:bookmarkStart w:id="532" w:name="_Toc150774743"/>
      <w:r/>
      <w:bookmarkStart w:id="533" w:name="_Toc305158880"/>
      <w:r/>
      <w:bookmarkStart w:id="534" w:name="_Toc150480776"/>
      <w:r/>
      <w:bookmarkStart w:id="535" w:name="_Toc151193636"/>
      <w:r/>
      <w:bookmarkStart w:id="536" w:name="_Toc226965811"/>
      <w:r/>
      <w:bookmarkStart w:id="537" w:name="_Toc195842903"/>
      <w:r/>
      <w:bookmarkStart w:id="538" w:name="_Toc127151538"/>
      <w:r/>
      <w:bookmarkStart w:id="539" w:name="_Toc142311040"/>
      <w:r/>
      <w:bookmarkStart w:id="540" w:name="_Toc305158806"/>
      <w:r/>
      <w:bookmarkStart w:id="541" w:name="_Toc151193852"/>
      <w:r/>
      <w:bookmarkStart w:id="542" w:name="_Toc151190165"/>
      <w:r>
        <w:rPr>
          <w:rFonts w:ascii="Times New Roman" w:hAnsi="Times New Roman" w:eastAsia="宋体"/>
          <w:color w:val="auto"/>
          <w:sz w:val="28"/>
          <w:highlight w:val="none"/>
        </w:rPr>
        <w:t xml:space="preserve">五   开标、资格审查及评标</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r/>
    </w:p>
    <w:p>
      <w:pPr>
        <w:numPr>
          <w:ilvl w:val="0"/>
          <w:numId w:val="10"/>
        </w:numPr>
        <w:ind w:left="357" w:hanging="357"/>
        <w:spacing w:line="360" w:lineRule="auto"/>
        <w:tabs>
          <w:tab w:val="left" w:pos="360" w:leader="none"/>
          <w:tab w:val="left" w:pos="900" w:leader="none"/>
        </w:tabs>
        <w:rPr>
          <w:rFonts w:hint="eastAsia"/>
          <w:color w:val="auto"/>
          <w:sz w:val="24"/>
          <w:highlight w:val="none"/>
        </w:rPr>
        <w:outlineLvl w:val="1"/>
      </w:pPr>
      <w:r/>
      <w:bookmarkStart w:id="543" w:name="_Toc264969229"/>
      <w:r/>
      <w:bookmarkStart w:id="544" w:name="_Toc149720832"/>
      <w:r/>
      <w:bookmarkStart w:id="545" w:name="_Toc150480777"/>
      <w:r/>
      <w:bookmarkStart w:id="546" w:name="_Toc226337235"/>
      <w:r/>
      <w:bookmarkStart w:id="547" w:name="_Toc226309783"/>
      <w:r/>
      <w:bookmarkStart w:id="548" w:name="_Toc150509290"/>
      <w:r/>
      <w:bookmarkStart w:id="549" w:name="_Toc150774639"/>
      <w:r/>
      <w:bookmarkStart w:id="550" w:name="_Toc164229380"/>
      <w:r/>
      <w:bookmarkStart w:id="551" w:name="_Toc195842904"/>
      <w:r/>
      <w:bookmarkStart w:id="552" w:name="_Toc127151539"/>
      <w:r/>
      <w:bookmarkStart w:id="553" w:name="_Toc164229234"/>
      <w:r/>
      <w:bookmarkStart w:id="554" w:name="_Toc164608808"/>
      <w:r/>
      <w:bookmarkStart w:id="555" w:name="_Toc151193637"/>
      <w:r/>
      <w:bookmarkStart w:id="556" w:name="_Toc151193853"/>
      <w:r/>
      <w:bookmarkStart w:id="557" w:name="_Toc151190166"/>
      <w:r/>
      <w:bookmarkStart w:id="558" w:name="_Toc226965812"/>
      <w:r/>
      <w:bookmarkStart w:id="559" w:name="_Toc151193709"/>
      <w:r/>
      <w:bookmarkStart w:id="560" w:name="_Toc127161453"/>
      <w:r/>
      <w:bookmarkStart w:id="561" w:name="_Toc151193781"/>
      <w:r/>
      <w:bookmarkStart w:id="562" w:name="_Toc305158807"/>
      <w:r/>
      <w:bookmarkStart w:id="563" w:name="_Toc164351633"/>
      <w:r/>
      <w:bookmarkStart w:id="564" w:name="_Toc305158881"/>
      <w:r/>
      <w:bookmarkStart w:id="565" w:name="_Toc127151740"/>
      <w:r/>
      <w:bookmarkStart w:id="566" w:name="_Toc151193927"/>
      <w:r/>
      <w:bookmarkStart w:id="567" w:name="_Toc226965729"/>
      <w:r/>
      <w:bookmarkStart w:id="568" w:name="_Toc150774744"/>
      <w:r/>
      <w:bookmarkStart w:id="569" w:name="_Toc142311041"/>
      <w:r/>
      <w:bookmarkStart w:id="570" w:name="_Toc265228377"/>
      <w:r/>
      <w:bookmarkStart w:id="571" w:name="_Toc520356164"/>
      <w:r/>
      <w:bookmarkStart w:id="572" w:name="_Toc164608653"/>
      <w:r/>
      <w:bookmarkStart w:id="573" w:name="_Toc520356165"/>
      <w:r>
        <w:rPr>
          <w:color w:val="auto"/>
          <w:sz w:val="24"/>
          <w:highlight w:val="none"/>
        </w:rPr>
        <w:t xml:space="preserve">开标</w:t>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r/>
    </w:p>
    <w:p>
      <w:pPr>
        <w:numPr>
          <w:ilvl w:val="1"/>
          <w:numId w:val="10"/>
        </w:numPr>
        <w:ind w:left="1077" w:hanging="793"/>
        <w:spacing w:line="360" w:lineRule="auto"/>
        <w:tabs>
          <w:tab w:val="left" w:pos="1080" w:leader="none"/>
          <w:tab w:val="left" w:pos="1589" w:leader="none"/>
          <w:tab w:val="left" w:pos="1873" w:leader="none"/>
          <w:tab w:val="left" w:pos="2014" w:leader="none"/>
        </w:tabs>
        <w:rPr>
          <w:rFonts w:hint="eastAsia"/>
          <w:color w:val="auto"/>
          <w:sz w:val="24"/>
          <w:highlight w:val="none"/>
        </w:rPr>
      </w:pPr>
      <w:r>
        <w:rPr>
          <w:rFonts w:hint="eastAsia"/>
          <w:color w:val="auto"/>
          <w:sz w:val="24"/>
          <w:highlight w:val="none"/>
        </w:rPr>
        <w:t xml:space="preserve">招标人</w:t>
      </w:r>
      <w:r>
        <w:rPr>
          <w:color w:val="auto"/>
          <w:sz w:val="24"/>
          <w:highlight w:val="none"/>
        </w:rPr>
        <w:t xml:space="preserve">或采购代理机构将按招标文件的规定，在投标截止时间的同一时间和招标文件预先确定的地点组织开标。</w:t>
      </w:r>
      <w:r/>
    </w:p>
    <w:p>
      <w:pPr>
        <w:numPr>
          <w:ilvl w:val="1"/>
          <w:numId w:val="10"/>
        </w:numPr>
        <w:ind w:left="1134" w:hanging="850"/>
        <w:spacing w:line="360" w:lineRule="auto"/>
        <w:tabs>
          <w:tab w:val="left" w:pos="284" w:leader="none"/>
          <w:tab w:val="left" w:pos="426" w:leader="none"/>
          <w:tab w:val="left" w:pos="1080" w:leader="none"/>
          <w:tab w:val="left" w:pos="1873" w:leader="none"/>
          <w:tab w:val="left" w:pos="2014" w:leader="none"/>
        </w:tabs>
        <w:rPr>
          <w:rFonts w:hint="eastAsia"/>
          <w:color w:val="auto"/>
          <w:sz w:val="24"/>
          <w:highlight w:val="none"/>
        </w:rPr>
      </w:pPr>
      <w:r>
        <w:rPr>
          <w:color w:val="auto"/>
          <w:sz w:val="24"/>
          <w:highlight w:val="none"/>
        </w:rPr>
        <w:t xml:space="preserve">本项目开标</w:t>
      </w:r>
      <w:r>
        <w:rPr>
          <w:rFonts w:ascii="宋体" w:hAnsi="宋体"/>
          <w:color w:val="auto"/>
          <w:sz w:val="24"/>
          <w:highlight w:val="none"/>
        </w:rPr>
        <w:t xml:space="preserve">采用不见面招投标模式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rPr>
        <w:t xml:space="preserve">“苏采云”政府采购一体化平台在线进行开标</w:t>
      </w:r>
      <w:r>
        <w:rPr>
          <w:color w:val="auto"/>
          <w:sz w:val="24"/>
          <w:highlight w:val="none"/>
        </w:rPr>
        <w:t xml:space="preserve">。投标人应在规定的时间内对投标文件进行解密，因非系统原因导致的解密失败，视为</w:t>
      </w:r>
      <w:r>
        <w:rPr>
          <w:b/>
          <w:color w:val="auto"/>
          <w:sz w:val="24"/>
          <w:highlight w:val="none"/>
        </w:rPr>
        <w:t xml:space="preserve">投标无效</w:t>
      </w:r>
      <w:r>
        <w:rPr>
          <w:color w:val="auto"/>
          <w:sz w:val="24"/>
          <w:highlight w:val="none"/>
        </w:rPr>
        <w:t xml:space="preserve">。</w:t>
      </w:r>
      <w:r/>
    </w:p>
    <w:p>
      <w:pPr>
        <w:numPr>
          <w:ilvl w:val="1"/>
          <w:numId w:val="10"/>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color w:val="auto"/>
          <w:sz w:val="24"/>
          <w:highlight w:val="none"/>
        </w:rPr>
        <w:t xml:space="preserve">开标过程将使用</w:t>
      </w:r>
      <w:r>
        <w:rPr>
          <w:rFonts w:hint="eastAsia"/>
          <w:color w:val="auto"/>
          <w:sz w:val="24"/>
          <w:highlight w:val="none"/>
        </w:rPr>
        <w:t xml:space="preserve">“苏采云”政府采购一体化平台公</w:t>
      </w:r>
      <w:r>
        <w:rPr>
          <w:color w:val="auto"/>
          <w:sz w:val="24"/>
          <w:highlight w:val="none"/>
        </w:rPr>
        <w:t xml:space="preserve">布投标人名称、投标价格和招标文件规定的需要宣布的其他内容并进行记录，并由参加开标的各投标人代表</w:t>
      </w:r>
      <w:r>
        <w:rPr>
          <w:rFonts w:hint="eastAsia"/>
          <w:color w:val="auto"/>
          <w:sz w:val="24"/>
          <w:highlight w:val="none"/>
        </w:rPr>
        <w:t xml:space="preserve">在规定时间内</w:t>
      </w:r>
      <w:r>
        <w:rPr>
          <w:color w:val="auto"/>
          <w:sz w:val="24"/>
          <w:highlight w:val="none"/>
        </w:rPr>
        <w:t xml:space="preserve">确认</w:t>
      </w:r>
      <w:r>
        <w:rPr>
          <w:rFonts w:hint="eastAsia"/>
          <w:color w:val="auto"/>
          <w:sz w:val="24"/>
          <w:highlight w:val="none"/>
        </w:rPr>
        <w:t xml:space="preserve">。投标人超过规定时间未确认但是未提出疑义的，系统将视同已确认</w:t>
      </w:r>
      <w:r>
        <w:rPr>
          <w:color w:val="auto"/>
          <w:sz w:val="24"/>
          <w:highlight w:val="none"/>
        </w:rPr>
        <w:t xml:space="preserve">。</w:t>
      </w:r>
      <w:r/>
    </w:p>
    <w:p>
      <w:pPr>
        <w:numPr>
          <w:ilvl w:val="1"/>
          <w:numId w:val="10"/>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color w:val="auto"/>
          <w:sz w:val="24"/>
          <w:highlight w:val="none"/>
        </w:rPr>
        <w:t xml:space="preserve">投标人代表对开标过程和开标记录有疑义，以及认为采购人、采购代理机构相关工作人员有需要回避的情形的，应当场</w:t>
      </w:r>
      <w:r>
        <w:rPr>
          <w:rFonts w:hint="eastAsia"/>
          <w:color w:val="auto"/>
          <w:sz w:val="24"/>
          <w:highlight w:val="none"/>
        </w:rPr>
        <w:t xml:space="preserve">通过业务系统</w:t>
      </w:r>
      <w:r>
        <w:rPr>
          <w:color w:val="auto"/>
          <w:sz w:val="24"/>
          <w:highlight w:val="none"/>
        </w:rPr>
        <w:t xml:space="preserve">提出询问或者回避申请。采购人、采购代理机构对投标人代表提出的询问或者回避申请将及时处理。</w:t>
      </w:r>
      <w:r/>
    </w:p>
    <w:p>
      <w:pPr>
        <w:numPr>
          <w:ilvl w:val="1"/>
          <w:numId w:val="10"/>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rFonts w:hint="eastAsia"/>
          <w:color w:val="auto"/>
          <w:sz w:val="24"/>
          <w:highlight w:val="none"/>
        </w:rPr>
        <w:t xml:space="preserve">投标人不足3家的，不予开标。</w:t>
      </w:r>
      <w:r/>
    </w:p>
    <w:p>
      <w:pPr>
        <w:numPr>
          <w:ilvl w:val="1"/>
          <w:numId w:val="10"/>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color w:val="auto"/>
          <w:sz w:val="24"/>
          <w:highlight w:val="none"/>
        </w:rPr>
        <w:t xml:space="preserve">投标人须在开标前使用“验证CA”功能验证本地计算机的控件环境是否正常，并且在开标</w:t>
      </w:r>
      <w:r>
        <w:rPr>
          <w:rFonts w:hint="eastAsia"/>
          <w:color w:val="auto"/>
          <w:sz w:val="24"/>
          <w:highlight w:val="none"/>
        </w:rPr>
        <w:t xml:space="preserve">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，必须使用验证成功的计算机进行操作，否则造成相应后果由投标</w:t>
      </w:r>
      <w:r>
        <w:rPr>
          <w:rFonts w:hint="eastAsia"/>
          <w:color w:val="auto"/>
          <w:sz w:val="24"/>
          <w:highlight w:val="none"/>
        </w:rPr>
        <w:t xml:space="preserve">人</w:t>
      </w:r>
      <w:r>
        <w:rPr>
          <w:color w:val="auto"/>
          <w:sz w:val="24"/>
          <w:highlight w:val="none"/>
        </w:rPr>
        <w:t xml:space="preserve">自行承担。本地计算机</w:t>
      </w:r>
      <w:r>
        <w:rPr>
          <w:rFonts w:hint="eastAsia"/>
          <w:color w:val="auto"/>
          <w:sz w:val="24"/>
          <w:highlight w:val="none"/>
        </w:rPr>
        <w:t xml:space="preserve">要求安装摄像头、麦克风和音箱，保持网络通畅。</w:t>
      </w:r>
      <w:r/>
    </w:p>
    <w:p>
      <w:pPr>
        <w:numPr>
          <w:ilvl w:val="1"/>
          <w:numId w:val="10"/>
        </w:numPr>
        <w:ind w:left="1134" w:hanging="850"/>
        <w:spacing w:line="360" w:lineRule="auto"/>
        <w:tabs>
          <w:tab w:val="left" w:pos="1080" w:leader="none"/>
          <w:tab w:val="left" w:pos="1134" w:leader="none"/>
          <w:tab w:val="left" w:pos="1873"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开标、评审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color w:val="auto"/>
          <w:sz w:val="24"/>
          <w:highlight w:val="none"/>
        </w:rPr>
        <w:t xml:space="preserve">。</w:t>
      </w:r>
      <w:r/>
    </w:p>
    <w:p>
      <w:pPr>
        <w:numPr>
          <w:ilvl w:val="1"/>
          <w:numId w:val="10"/>
        </w:numPr>
        <w:ind w:left="1134" w:hanging="850"/>
        <w:spacing w:line="360" w:lineRule="auto"/>
        <w:tabs>
          <w:tab w:val="left" w:pos="1080" w:leader="none"/>
          <w:tab w:val="left" w:pos="1134" w:leader="none"/>
          <w:tab w:val="left" w:pos="1873"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rPr>
        <w:t xml:space="preserve">““苏采云”政府采购一体化平台”系统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rPr>
          <w:color w:val="auto"/>
          <w:sz w:val="24"/>
          <w:highlight w:val="none"/>
        </w:rPr>
        <w:br w:type="textWrapping" w:clear="all"/>
      </w:r>
      <w:r>
        <w:rPr>
          <w:rFonts w:hint="eastAsia"/>
          <w:color w:val="auto"/>
          <w:sz w:val="24"/>
          <w:highlight w:val="none"/>
        </w:rPr>
        <w:t xml:space="preserve">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1134"/>
        <w:spacing w:line="360" w:lineRule="auto"/>
        <w:tabs>
          <w:tab w:val="left" w:pos="1080" w:leader="none"/>
          <w:tab w:val="left" w:pos="1134" w:leader="none"/>
          <w:tab w:val="left" w:pos="1731" w:leader="none"/>
          <w:tab w:val="left" w:pos="1873" w:leader="none"/>
          <w:tab w:val="left" w:pos="2014" w:leader="none"/>
        </w:tabs>
        <w:rPr>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numPr>
          <w:ilvl w:val="1"/>
          <w:numId w:val="10"/>
        </w:numPr>
        <w:ind w:left="1134" w:hanging="850"/>
        <w:spacing w:line="360" w:lineRule="auto"/>
        <w:tabs>
          <w:tab w:val="left" w:pos="1080" w:leader="none"/>
          <w:tab w:val="left" w:pos="1134" w:leader="none"/>
          <w:tab w:val="clear" w:pos="1731" w:leader="none"/>
          <w:tab w:val="left" w:pos="1873"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资格审查</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见第三章《资格审查》。</w:t>
      </w:r>
      <w:bookmarkEnd w:id="573"/>
      <w:r/>
    </w:p>
    <w:p>
      <w:pPr>
        <w:numPr>
          <w:ilvl w:val="0"/>
          <w:numId w:val="10"/>
        </w:numPr>
        <w:ind w:left="357" w:hanging="357"/>
        <w:spacing w:line="360" w:lineRule="auto"/>
        <w:tabs>
          <w:tab w:val="left" w:pos="360" w:leader="none"/>
          <w:tab w:val="left" w:pos="900" w:leader="none"/>
        </w:tabs>
        <w:rPr>
          <w:color w:val="auto"/>
          <w:sz w:val="24"/>
          <w:highlight w:val="none"/>
        </w:rPr>
        <w:outlineLvl w:val="1"/>
      </w:pPr>
      <w:r/>
      <w:bookmarkStart w:id="574" w:name="_Toc151193928"/>
      <w:r/>
      <w:bookmarkStart w:id="575" w:name="_Toc265228378"/>
      <w:r/>
      <w:bookmarkStart w:id="576" w:name="_Toc150774745"/>
      <w:r/>
      <w:bookmarkStart w:id="577" w:name="_Toc226965813"/>
      <w:r/>
      <w:bookmarkStart w:id="578" w:name="_Toc226337236"/>
      <w:r/>
      <w:bookmarkStart w:id="579" w:name="_Toc151190167"/>
      <w:r/>
      <w:bookmarkStart w:id="580" w:name="_Toc127161454"/>
      <w:r/>
      <w:bookmarkStart w:id="581" w:name="_Toc150509291"/>
      <w:r/>
      <w:bookmarkStart w:id="582" w:name="_Toc305158808"/>
      <w:r/>
      <w:bookmarkStart w:id="583" w:name="_Toc164351634"/>
      <w:r/>
      <w:bookmarkStart w:id="584" w:name="_Toc164608809"/>
      <w:r/>
      <w:bookmarkStart w:id="585" w:name="_Toc149720833"/>
      <w:r/>
      <w:bookmarkStart w:id="586" w:name="_Toc142311042"/>
      <w:r/>
      <w:bookmarkStart w:id="587" w:name="_Toc195842905"/>
      <w:r/>
      <w:bookmarkStart w:id="588" w:name="_Toc151193710"/>
      <w:r/>
      <w:bookmarkStart w:id="589" w:name="_Toc164229235"/>
      <w:r/>
      <w:bookmarkStart w:id="590" w:name="_Toc226965730"/>
      <w:r/>
      <w:bookmarkStart w:id="591" w:name="_Toc264969230"/>
      <w:r/>
      <w:bookmarkStart w:id="592" w:name="_Toc127151540"/>
      <w:r/>
      <w:bookmarkStart w:id="593" w:name="_Toc151193782"/>
      <w:r/>
      <w:bookmarkStart w:id="594" w:name="_Toc150774640"/>
      <w:r/>
      <w:bookmarkStart w:id="595" w:name="_Toc164229381"/>
      <w:r/>
      <w:bookmarkStart w:id="596" w:name="_Toc127151741"/>
      <w:r/>
      <w:bookmarkStart w:id="597" w:name="_Toc151193638"/>
      <w:r/>
      <w:bookmarkStart w:id="598" w:name="_Toc164608654"/>
      <w:r/>
      <w:bookmarkStart w:id="599" w:name="_Toc151193854"/>
      <w:r/>
      <w:bookmarkStart w:id="600" w:name="_Toc305158882"/>
      <w:r/>
      <w:bookmarkStart w:id="601" w:name="_Toc150480778"/>
      <w:r/>
      <w:bookmarkStart w:id="602" w:name="_Toc226309784"/>
      <w:r>
        <w:rPr>
          <w:color w:val="auto"/>
          <w:sz w:val="24"/>
          <w:highlight w:val="none"/>
        </w:rPr>
        <w:t xml:space="preserve">评标委员会</w:t>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603" w:name="_Toc520356166"/>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w:t>
      </w:r>
      <w:r>
        <w:rPr>
          <w:rFonts w:hint="eastAsia"/>
          <w:color w:val="auto"/>
          <w:sz w:val="24"/>
          <w:highlight w:val="none"/>
        </w:rPr>
        <w:t xml:space="preserve">招标人</w:t>
      </w:r>
      <w:r>
        <w:rPr>
          <w:color w:val="auto"/>
          <w:sz w:val="24"/>
          <w:highlight w:val="none"/>
        </w:rPr>
        <w:t xml:space="preserve">和采购代理机构将查询有关信用记录，对具有行贿、受贿、欺诈等不良信用记录的人员，拒绝其参与政府采购活动。</w:t>
      </w:r>
      <w:bookmarkEnd w:id="603"/>
      <w:r/>
      <w:bookmarkStart w:id="604" w:name="_Toc520356169"/>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评标程序、评标方法和评标标准</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见第四章《评标程序、评标方法和评标标准》。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152"/>
        <w:spacing w:before="0" w:line="360" w:lineRule="auto"/>
        <w:rPr>
          <w:rFonts w:ascii="Times New Roman" w:hAnsi="Times New Roman" w:eastAsia="宋体"/>
          <w:color w:val="auto"/>
          <w:sz w:val="28"/>
          <w:highlight w:val="none"/>
        </w:rPr>
      </w:pPr>
      <w:r/>
      <w:bookmarkStart w:id="605" w:name="_Toc305158887"/>
      <w:r/>
      <w:bookmarkStart w:id="606" w:name="_Toc151190172"/>
      <w:r/>
      <w:bookmarkStart w:id="607" w:name="_Toc151193933"/>
      <w:r/>
      <w:bookmarkStart w:id="608" w:name="_Toc150509296"/>
      <w:r/>
      <w:bookmarkStart w:id="609" w:name="_Toc151193787"/>
      <w:r/>
      <w:bookmarkStart w:id="610" w:name="_Toc151193859"/>
      <w:r/>
      <w:bookmarkStart w:id="611" w:name="_Toc265228383"/>
      <w:r/>
      <w:bookmarkStart w:id="612" w:name="_Toc151193643"/>
      <w:r/>
      <w:bookmarkStart w:id="613" w:name="_Toc264969235"/>
      <w:r/>
      <w:bookmarkStart w:id="614" w:name="_Toc150480783"/>
      <w:r/>
      <w:bookmarkStart w:id="615" w:name="_Toc305158813"/>
      <w:r/>
      <w:bookmarkStart w:id="616" w:name="_Toc226309789"/>
      <w:r/>
      <w:bookmarkStart w:id="617" w:name="_Toc226965818"/>
      <w:r/>
      <w:bookmarkStart w:id="618" w:name="_Toc195842910"/>
      <w:r/>
      <w:bookmarkStart w:id="619" w:name="_Toc226337241"/>
      <w:r/>
      <w:bookmarkStart w:id="620" w:name="_Toc142311047"/>
      <w:r/>
      <w:bookmarkStart w:id="621" w:name="_Toc150774645"/>
      <w:r/>
      <w:bookmarkStart w:id="622" w:name="_Toc127151545"/>
      <w:r/>
      <w:bookmarkStart w:id="623" w:name="_Toc226965735"/>
      <w:r/>
      <w:bookmarkStart w:id="624" w:name="_Toc150774750"/>
      <w:r/>
      <w:bookmarkStart w:id="625" w:name="_Toc151193715"/>
      <w:r>
        <w:rPr>
          <w:rFonts w:ascii="Times New Roman" w:hAnsi="Times New Roman" w:eastAsia="宋体"/>
          <w:color w:val="auto"/>
          <w:sz w:val="28"/>
          <w:highlight w:val="none"/>
        </w:rPr>
        <w:t xml:space="preserve">六   </w:t>
      </w:r>
      <w:bookmarkEnd w:id="604"/>
      <w:r>
        <w:rPr>
          <w:rFonts w:ascii="Times New Roman" w:hAnsi="Times New Roman" w:eastAsia="宋体"/>
          <w:color w:val="auto"/>
          <w:sz w:val="28"/>
          <w:highlight w:val="none"/>
        </w:rPr>
        <w:t xml:space="preserve">确定中标</w:t>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Start w:id="626" w:name="_Toc226965820"/>
      <w:r/>
      <w:bookmarkStart w:id="627" w:name="_Toc195842912"/>
      <w:r/>
      <w:bookmarkStart w:id="628" w:name="_Toc151193935"/>
      <w:r/>
      <w:bookmarkStart w:id="629" w:name="_Toc305158889"/>
      <w:r/>
      <w:bookmarkStart w:id="630" w:name="_Toc127151547"/>
      <w:r/>
      <w:bookmarkStart w:id="631" w:name="_Toc151193861"/>
      <w:r/>
      <w:bookmarkStart w:id="632" w:name="_Toc265228385"/>
      <w:r/>
      <w:bookmarkStart w:id="633" w:name="_Toc305158815"/>
      <w:r/>
      <w:bookmarkStart w:id="634" w:name="_Toc226965737"/>
      <w:r/>
      <w:bookmarkStart w:id="635" w:name="_Toc127151748"/>
      <w:r/>
      <w:bookmarkStart w:id="636" w:name="_Toc264969237"/>
      <w:r/>
      <w:bookmarkStart w:id="637" w:name="_Toc164351641"/>
      <w:r/>
      <w:bookmarkStart w:id="638" w:name="_Toc164229388"/>
      <w:r/>
      <w:bookmarkStart w:id="639" w:name="_Toc150774647"/>
      <w:r/>
      <w:bookmarkStart w:id="640" w:name="_Toc150480785"/>
      <w:r/>
      <w:bookmarkStart w:id="641" w:name="_Toc149720840"/>
      <w:r/>
      <w:bookmarkStart w:id="642" w:name="_Toc151193645"/>
      <w:r/>
      <w:bookmarkStart w:id="643" w:name="_Toc226337243"/>
      <w:r/>
      <w:bookmarkStart w:id="644" w:name="_Toc164229242"/>
      <w:r/>
      <w:bookmarkStart w:id="645" w:name="_Toc151193717"/>
      <w:r/>
      <w:bookmarkStart w:id="646" w:name="_Toc150774752"/>
      <w:r/>
      <w:bookmarkStart w:id="647" w:name="_Toc164608661"/>
      <w:r/>
      <w:bookmarkStart w:id="648" w:name="_Toc226309791"/>
      <w:r/>
      <w:bookmarkStart w:id="649" w:name="_Toc164608816"/>
      <w:r/>
      <w:bookmarkStart w:id="650" w:name="_Toc127161461"/>
      <w:r/>
      <w:bookmarkStart w:id="651" w:name="_Toc150509298"/>
      <w:r/>
      <w:bookmarkStart w:id="652" w:name="_Toc151193789"/>
      <w:r/>
      <w:bookmarkStart w:id="653" w:name="_Toc151190174"/>
      <w:r/>
      <w:bookmarkStart w:id="654" w:name="_Toc142311049"/>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确定中标人</w:t>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将在评标报告确定的中标候选人名单中按顺序确定中标人，中标候选人并列的，由</w:t>
      </w:r>
      <w:r>
        <w:rPr>
          <w:rFonts w:hint="eastAsia"/>
          <w:color w:val="auto"/>
          <w:sz w:val="24"/>
          <w:highlight w:val="none"/>
        </w:rPr>
        <w:t xml:space="preserve">招标人依法</w:t>
      </w:r>
      <w:r>
        <w:rPr>
          <w:color w:val="auto"/>
          <w:sz w:val="24"/>
          <w:highlight w:val="none"/>
        </w:rPr>
        <w:t xml:space="preserve">确定</w:t>
      </w:r>
      <w:r>
        <w:rPr>
          <w:rFonts w:hint="eastAsia"/>
          <w:color w:val="auto"/>
          <w:sz w:val="24"/>
          <w:highlight w:val="none"/>
        </w:rPr>
        <w:t xml:space="preserve">。</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bookmarkStart w:id="655" w:name="_Toc305158891"/>
      <w:r/>
      <w:bookmarkStart w:id="656" w:name="_Toc305158817"/>
      <w:r/>
      <w:bookmarkStart w:id="657" w:name="_Toc150509300"/>
      <w:r/>
      <w:bookmarkStart w:id="658" w:name="_Toc226309793"/>
      <w:r/>
      <w:bookmarkStart w:id="659" w:name="_Toc264969239"/>
      <w:r/>
      <w:bookmarkStart w:id="660" w:name="_Toc151193647"/>
      <w:r/>
      <w:bookmarkStart w:id="661" w:name="_Toc150774754"/>
      <w:r/>
      <w:bookmarkStart w:id="662" w:name="_Toc142311051"/>
      <w:r/>
      <w:bookmarkStart w:id="663" w:name="_Toc226965822"/>
      <w:r/>
      <w:bookmarkStart w:id="664" w:name="_Toc164229390"/>
      <w:r/>
      <w:bookmarkStart w:id="665" w:name="_Toc150480787"/>
      <w:r/>
      <w:bookmarkStart w:id="666" w:name="_Toc127151549"/>
      <w:r/>
      <w:bookmarkStart w:id="667" w:name="_Toc151190176"/>
      <w:r/>
      <w:bookmarkStart w:id="668" w:name="_Toc127161463"/>
      <w:r/>
      <w:bookmarkStart w:id="669" w:name="_Toc149720842"/>
      <w:r/>
      <w:bookmarkStart w:id="670" w:name="_Toc164608663"/>
      <w:r/>
      <w:bookmarkStart w:id="671" w:name="_Toc195842914"/>
      <w:r/>
      <w:bookmarkStart w:id="672" w:name="_Toc226965739"/>
      <w:r/>
      <w:bookmarkStart w:id="673" w:name="_Toc164229244"/>
      <w:r/>
      <w:bookmarkStart w:id="674" w:name="_Toc151193937"/>
      <w:r/>
      <w:bookmarkStart w:id="675" w:name="_Toc265228387"/>
      <w:r/>
      <w:bookmarkStart w:id="676" w:name="_Toc150774649"/>
      <w:r/>
      <w:bookmarkStart w:id="677" w:name="_Toc164608818"/>
      <w:r/>
      <w:bookmarkStart w:id="678" w:name="_Toc127151750"/>
      <w:r/>
      <w:bookmarkStart w:id="679" w:name="_Toc151193863"/>
      <w:r/>
      <w:bookmarkStart w:id="680" w:name="_Toc226337245"/>
      <w:r/>
      <w:bookmarkStart w:id="681" w:name="_Toc164351643"/>
      <w:r/>
      <w:bookmarkStart w:id="682" w:name="_Toc151193719"/>
      <w:r/>
      <w:bookmarkStart w:id="683" w:name="_Toc151193791"/>
      <w:r/>
      <w:bookmarkStart w:id="684" w:name="_Toc520356176"/>
      <w:r/>
      <w:bookmarkStart w:id="685" w:name="_Ref467306425"/>
      <w:r/>
      <w:bookmarkStart w:id="686" w:name="_Ref467307090"/>
      <w:r>
        <w:rPr>
          <w:color w:val="auto"/>
          <w:sz w:val="24"/>
          <w:highlight w:val="none"/>
        </w:rPr>
        <w:t xml:space="preserve">中标公告与中标通知书</w:t>
      </w:r>
      <w:bookmarkEnd w:id="655"/>
      <w:r/>
      <w:bookmarkEnd w:id="656"/>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或采购代理机构自中标人确定之日起2个工作日内，在</w:t>
      </w:r>
      <w:r>
        <w:rPr>
          <w:rFonts w:hint="eastAsia"/>
          <w:color w:val="auto"/>
          <w:sz w:val="24"/>
          <w:highlight w:val="none"/>
        </w:rPr>
        <w:t xml:space="preserve">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中标通知书对</w:t>
      </w:r>
      <w:r>
        <w:rPr>
          <w:rFonts w:hint="eastAsia"/>
          <w:color w:val="auto"/>
          <w:sz w:val="24"/>
          <w:highlight w:val="none"/>
        </w:rPr>
        <w:t xml:space="preserve">招标人</w:t>
      </w:r>
      <w:r>
        <w:rPr>
          <w:color w:val="auto"/>
          <w:sz w:val="24"/>
          <w:highlight w:val="none"/>
        </w:rPr>
        <w:t xml:space="preserve">和中标供应商均具有法律效力。中标通知书发出后，</w:t>
      </w:r>
      <w:r>
        <w:rPr>
          <w:rFonts w:hint="eastAsia"/>
          <w:color w:val="auto"/>
          <w:sz w:val="24"/>
          <w:highlight w:val="none"/>
        </w:rPr>
        <w:t xml:space="preserve">招标人</w:t>
      </w:r>
      <w:r>
        <w:rPr>
          <w:color w:val="auto"/>
          <w:sz w:val="24"/>
          <w:highlight w:val="none"/>
        </w:rPr>
        <w:t xml:space="preserve">改变中标结果的，或者中标供应商放弃中标项目的，应当依法承担法律责任。</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废标</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10"/>
        </w:numPr>
        <w:ind w:left="1985"/>
        <w:spacing w:line="360" w:lineRule="auto"/>
        <w:tabs>
          <w:tab w:val="left" w:pos="1985" w:leader="none"/>
          <w:tab w:val="clear" w:pos="2264" w:leader="none"/>
        </w:tabs>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10"/>
        </w:numPr>
        <w:ind w:hanging="1130"/>
        <w:spacing w:line="360" w:lineRule="auto"/>
        <w:tabs>
          <w:tab w:val="left" w:pos="1980" w:leader="none"/>
        </w:tabs>
        <w:rPr>
          <w:color w:val="auto"/>
          <w:sz w:val="24"/>
          <w:highlight w:val="none"/>
        </w:rPr>
      </w:pPr>
      <w:r>
        <w:rPr>
          <w:color w:val="auto"/>
          <w:sz w:val="24"/>
          <w:highlight w:val="none"/>
        </w:rPr>
        <w:t xml:space="preserve">出现影响采购公正的违法、违规行为的；</w:t>
      </w:r>
      <w:r/>
    </w:p>
    <w:p>
      <w:pPr>
        <w:numPr>
          <w:ilvl w:val="2"/>
          <w:numId w:val="10"/>
        </w:numPr>
        <w:ind w:hanging="1130"/>
        <w:spacing w:line="360" w:lineRule="auto"/>
        <w:tabs>
          <w:tab w:val="left" w:pos="1980" w:leader="none"/>
        </w:tabs>
        <w:rPr>
          <w:color w:val="auto"/>
          <w:sz w:val="24"/>
          <w:highlight w:val="none"/>
        </w:rPr>
      </w:pPr>
      <w:r>
        <w:rPr>
          <w:color w:val="auto"/>
          <w:sz w:val="24"/>
          <w:highlight w:val="none"/>
        </w:rPr>
        <w:t xml:space="preserve">投标人的报价均超过了采购预算，</w:t>
      </w:r>
      <w:r>
        <w:rPr>
          <w:rFonts w:hint="eastAsia"/>
          <w:color w:val="auto"/>
          <w:sz w:val="24"/>
          <w:highlight w:val="none"/>
        </w:rPr>
        <w:t xml:space="preserve">招标人</w:t>
      </w:r>
      <w:r>
        <w:rPr>
          <w:color w:val="auto"/>
          <w:sz w:val="24"/>
          <w:highlight w:val="none"/>
        </w:rPr>
        <w:t xml:space="preserve">不能支付的；</w:t>
      </w:r>
      <w:r/>
    </w:p>
    <w:p>
      <w:pPr>
        <w:numPr>
          <w:ilvl w:val="2"/>
          <w:numId w:val="10"/>
        </w:numPr>
        <w:ind w:hanging="1130"/>
        <w:spacing w:line="360" w:lineRule="auto"/>
        <w:tabs>
          <w:tab w:val="left" w:pos="1980" w:leader="none"/>
        </w:tabs>
        <w:rPr>
          <w:color w:val="auto"/>
          <w:sz w:val="24"/>
          <w:highlight w:val="none"/>
        </w:rPr>
      </w:pPr>
      <w:r>
        <w:rPr>
          <w:color w:val="auto"/>
          <w:sz w:val="24"/>
          <w:highlight w:val="none"/>
        </w:rPr>
        <w:t xml:space="preserve">因重大变故，采购任务取消的。</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废标后，</w:t>
      </w:r>
      <w:r>
        <w:rPr>
          <w:rFonts w:hint="eastAsia"/>
          <w:color w:val="auto"/>
          <w:sz w:val="24"/>
          <w:highlight w:val="none"/>
        </w:rPr>
        <w:t xml:space="preserve">招标人</w:t>
      </w:r>
      <w:r>
        <w:rPr>
          <w:color w:val="auto"/>
          <w:sz w:val="24"/>
          <w:highlight w:val="none"/>
        </w:rPr>
        <w:t xml:space="preserve">将废标理由通知所有投标人。</w:t>
      </w:r>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p>
    <w:p>
      <w:pPr>
        <w:numPr>
          <w:ilvl w:val="0"/>
          <w:numId w:val="10"/>
        </w:numPr>
        <w:ind w:left="357" w:hanging="357"/>
        <w:spacing w:line="360" w:lineRule="auto"/>
        <w:tabs>
          <w:tab w:val="left" w:pos="360" w:leader="none"/>
          <w:tab w:val="left" w:pos="900" w:leader="none"/>
        </w:tabs>
        <w:rPr>
          <w:color w:val="auto"/>
          <w:sz w:val="24"/>
          <w:highlight w:val="none"/>
        </w:rPr>
        <w:outlineLvl w:val="1"/>
      </w:pPr>
      <w:r/>
      <w:bookmarkStart w:id="687" w:name="_Toc150509301"/>
      <w:r/>
      <w:bookmarkStart w:id="688" w:name="_Ref467306978"/>
      <w:r/>
      <w:bookmarkStart w:id="689" w:name="_Toc150774755"/>
      <w:r/>
      <w:bookmarkStart w:id="690" w:name="_Ref467307204"/>
      <w:r/>
      <w:bookmarkStart w:id="691" w:name="_Toc151193648"/>
      <w:r/>
      <w:bookmarkStart w:id="692" w:name="_Toc127151550"/>
      <w:r/>
      <w:bookmarkStart w:id="693" w:name="_Toc151193720"/>
      <w:r/>
      <w:bookmarkStart w:id="694" w:name="_Toc164608664"/>
      <w:r/>
      <w:bookmarkStart w:id="695" w:name="_Toc150774650"/>
      <w:r/>
      <w:bookmarkStart w:id="696" w:name="_Toc305158818"/>
      <w:r/>
      <w:bookmarkStart w:id="697" w:name="_Toc150480788"/>
      <w:r/>
      <w:bookmarkStart w:id="698" w:name="_Toc195842915"/>
      <w:r/>
      <w:bookmarkStart w:id="699" w:name="_Toc151193792"/>
      <w:r/>
      <w:bookmarkStart w:id="700" w:name="_Toc151193864"/>
      <w:r/>
      <w:bookmarkStart w:id="701" w:name="_Toc226965740"/>
      <w:r/>
      <w:bookmarkStart w:id="702" w:name="_Ref467307062"/>
      <w:r/>
      <w:bookmarkStart w:id="703" w:name="_Toc265228388"/>
      <w:r/>
      <w:bookmarkStart w:id="704" w:name="_Toc127151751"/>
      <w:r/>
      <w:bookmarkStart w:id="705" w:name="_Toc151193938"/>
      <w:r/>
      <w:bookmarkStart w:id="706" w:name="_Toc520356175"/>
      <w:r/>
      <w:bookmarkStart w:id="707" w:name="_Toc264969240"/>
      <w:r/>
      <w:bookmarkStart w:id="708" w:name="_Toc164351644"/>
      <w:r/>
      <w:bookmarkStart w:id="709" w:name="_Toc164229391"/>
      <w:r/>
      <w:bookmarkStart w:id="710" w:name="_Toc127161464"/>
      <w:r/>
      <w:bookmarkStart w:id="711" w:name="_Toc151190177"/>
      <w:r/>
      <w:bookmarkStart w:id="712" w:name="_Toc164229245"/>
      <w:r/>
      <w:bookmarkStart w:id="713" w:name="_Toc149720843"/>
      <w:r/>
      <w:bookmarkStart w:id="714" w:name="_Toc226965823"/>
      <w:r/>
      <w:bookmarkStart w:id="715" w:name="_Toc226309794"/>
      <w:r/>
      <w:bookmarkStart w:id="716" w:name="_Toc142311052"/>
      <w:r/>
      <w:bookmarkStart w:id="717" w:name="_Toc305158892"/>
      <w:r/>
      <w:bookmarkStart w:id="718" w:name="_Ref467306377"/>
      <w:r/>
      <w:bookmarkStart w:id="719" w:name="_Toc164608819"/>
      <w:r/>
      <w:bookmarkStart w:id="720" w:name="_Toc226337246"/>
      <w:r>
        <w:rPr>
          <w:color w:val="auto"/>
          <w:sz w:val="24"/>
          <w:highlight w:val="none"/>
        </w:rPr>
        <w:t xml:space="preserve">签订合同</w:t>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招标人</w:t>
      </w:r>
      <w:r>
        <w:rPr>
          <w:color w:val="auto"/>
          <w:sz w:val="24"/>
          <w:highlight w:val="none"/>
        </w:rPr>
        <w:t xml:space="preserve">应当自中标通知书发出之日起30日内，按照招标文件和中标人投标文件的规定签订书面合同。所签订的合同不得对招标文件确定的事项和中标人投标文件作实质性修改。</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w:t>
      </w:r>
      <w:r>
        <w:rPr>
          <w:rFonts w:hint="eastAsia"/>
          <w:color w:val="auto"/>
          <w:sz w:val="24"/>
          <w:highlight w:val="none"/>
        </w:rPr>
        <w:t xml:space="preserve">招标人</w:t>
      </w:r>
      <w:r>
        <w:rPr>
          <w:color w:val="auto"/>
          <w:sz w:val="24"/>
          <w:highlight w:val="none"/>
        </w:rPr>
        <w:t xml:space="preserve">签订合同的，</w:t>
      </w:r>
      <w:r>
        <w:rPr>
          <w:rFonts w:hint="eastAsia"/>
          <w:color w:val="auto"/>
          <w:sz w:val="24"/>
          <w:highlight w:val="none"/>
        </w:rPr>
        <w:t xml:space="preserve">招标人可以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联合体中标的，联合体各方应当共同与</w:t>
      </w:r>
      <w:r>
        <w:rPr>
          <w:rFonts w:hint="eastAsia"/>
          <w:color w:val="auto"/>
          <w:sz w:val="24"/>
          <w:highlight w:val="none"/>
        </w:rPr>
        <w:t xml:space="preserve">招标人</w:t>
      </w:r>
      <w:r>
        <w:rPr>
          <w:color w:val="auto"/>
          <w:sz w:val="24"/>
          <w:highlight w:val="none"/>
        </w:rPr>
        <w:t xml:space="preserve">签订合同，就中标项目向</w:t>
      </w:r>
      <w:r>
        <w:rPr>
          <w:rFonts w:hint="eastAsia"/>
          <w:color w:val="auto"/>
          <w:sz w:val="24"/>
          <w:highlight w:val="none"/>
        </w:rPr>
        <w:t xml:space="preserve">招标人</w:t>
      </w:r>
      <w:r>
        <w:rPr>
          <w:color w:val="auto"/>
          <w:sz w:val="24"/>
          <w:highlight w:val="none"/>
        </w:rPr>
        <w:t xml:space="preserve">承担连带责任。</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政府采购合同不能转包。</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rFonts w:hint="eastAsia"/>
          <w:color w:val="auto"/>
          <w:sz w:val="24"/>
          <w:highlight w:val="none"/>
        </w:rPr>
        <w:t xml:space="preserve">招标人</w:t>
      </w:r>
      <w:r>
        <w:rPr>
          <w:color w:val="auto"/>
          <w:sz w:val="24"/>
          <w:highlight w:val="none"/>
        </w:rPr>
        <w:t xml:space="preserve">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w:t>
      </w:r>
      <w:r>
        <w:rPr>
          <w:rFonts w:hint="eastAsia"/>
          <w:color w:val="auto"/>
          <w:sz w:val="24"/>
          <w:highlight w:val="none"/>
        </w:rPr>
        <w:t xml:space="preserve">招标人</w:t>
      </w:r>
      <w:r>
        <w:rPr>
          <w:color w:val="auto"/>
          <w:sz w:val="24"/>
          <w:highlight w:val="none"/>
        </w:rPr>
        <w:t xml:space="preserve">负责，分包供应商就分包项目承担责任。</w:t>
      </w:r>
      <w:bookmarkEnd w:id="684"/>
      <w:bookmarkEnd w:id="685"/>
      <w:bookmarkEnd w:id="686"/>
      <w:r/>
    </w:p>
    <w:p>
      <w:pPr>
        <w:numPr>
          <w:ilvl w:val="0"/>
          <w:numId w:val="10"/>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询问与质疑</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询问</w:t>
      </w:r>
      <w:r/>
    </w:p>
    <w:p>
      <w:pPr>
        <w:numPr>
          <w:ilvl w:val="2"/>
          <w:numId w:val="10"/>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投标人对政府采购活动事项有疑问的，可依法提出询问，并按《投标人须知资料表》载明的形式送达</w:t>
      </w:r>
      <w:r>
        <w:rPr>
          <w:rFonts w:hint="eastAsia"/>
          <w:color w:val="auto"/>
          <w:sz w:val="24"/>
          <w:highlight w:val="none"/>
        </w:rPr>
        <w:t xml:space="preserve">招标人</w:t>
      </w:r>
      <w:r>
        <w:rPr>
          <w:color w:val="auto"/>
          <w:sz w:val="24"/>
          <w:highlight w:val="none"/>
        </w:rPr>
        <w:t xml:space="preserve">或采购代理机构。</w:t>
      </w:r>
      <w:r/>
    </w:p>
    <w:p>
      <w:pPr>
        <w:numPr>
          <w:ilvl w:val="2"/>
          <w:numId w:val="10"/>
        </w:numPr>
        <w:ind w:left="1985"/>
        <w:spacing w:line="360" w:lineRule="auto"/>
        <w:tabs>
          <w:tab w:val="left" w:pos="1980" w:leader="none"/>
          <w:tab w:val="clear" w:pos="2264" w:leader="none"/>
        </w:tabs>
        <w:rPr>
          <w:color w:val="auto"/>
          <w:sz w:val="24"/>
          <w:highlight w:val="none"/>
        </w:rPr>
      </w:pPr>
      <w:r>
        <w:rPr>
          <w:rFonts w:hint="eastAsia"/>
          <w:color w:val="auto"/>
          <w:sz w:val="24"/>
          <w:highlight w:val="none"/>
        </w:rPr>
        <w:t xml:space="preserve">招标人</w:t>
      </w:r>
      <w:r>
        <w:rPr>
          <w:color w:val="auto"/>
          <w:sz w:val="24"/>
          <w:highlight w:val="none"/>
        </w:rPr>
        <w:t xml:space="preserve">或采购代理机构对供应商依法提出的询问，在3个工作日内作出答复，但答复的内容不得涉及商业秘密。</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质疑</w:t>
      </w:r>
      <w:r/>
    </w:p>
    <w:p>
      <w:pPr>
        <w:numPr>
          <w:ilvl w:val="2"/>
          <w:numId w:val="10"/>
        </w:numPr>
        <w:ind w:left="1985" w:hanging="851"/>
        <w:spacing w:line="360" w:lineRule="auto"/>
        <w:tabs>
          <w:tab w:val="left" w:pos="1985" w:leader="none"/>
          <w:tab w:val="clear" w:pos="2264" w:leader="none"/>
        </w:tabs>
        <w:rPr>
          <w:rFonts w:hint="eastAsia"/>
          <w:color w:val="auto"/>
          <w:sz w:val="24"/>
          <w:highlight w:val="none"/>
        </w:rPr>
      </w:pPr>
      <w:r>
        <w:rPr>
          <w:color w:val="auto"/>
          <w:sz w:val="24"/>
          <w:highlight w:val="none"/>
        </w:rPr>
        <w:t xml:space="preserve">投标人认为</w:t>
      </w:r>
      <w:r>
        <w:rPr>
          <w:rFonts w:hint="eastAsia"/>
          <w:color w:val="auto"/>
          <w:sz w:val="24"/>
          <w:highlight w:val="none"/>
        </w:rPr>
        <w:t xml:space="preserve">招标文件</w:t>
      </w:r>
      <w:r>
        <w:rPr>
          <w:color w:val="auto"/>
          <w:sz w:val="24"/>
          <w:highlight w:val="none"/>
        </w:rPr>
        <w:t xml:space="preserve">、采购过程、中标结果使自己的权益受到损害的，可以在知道或者应知其权益受到损害之日起7个工作日内，由投标人派授权代表以书面形式向</w:t>
      </w:r>
      <w:r>
        <w:rPr>
          <w:rFonts w:hint="eastAsia"/>
          <w:color w:val="auto"/>
          <w:sz w:val="24"/>
          <w:highlight w:val="none"/>
        </w:rPr>
        <w:t xml:space="preserve">招标人</w:t>
      </w:r>
      <w:r>
        <w:rPr>
          <w:color w:val="auto"/>
          <w:sz w:val="24"/>
          <w:highlight w:val="none"/>
        </w:rPr>
        <w:t xml:space="preserve">、采购代理机构提出质疑。</w:t>
      </w:r>
      <w:r>
        <w:rPr>
          <w:rFonts w:hint="eastAsia"/>
          <w:color w:val="auto"/>
          <w:sz w:val="24"/>
          <w:highlight w:val="none"/>
        </w:rPr>
        <w:t xml:space="preserve">招标人</w:t>
      </w:r>
      <w:r>
        <w:rPr>
          <w:color w:val="auto"/>
          <w:sz w:val="24"/>
          <w:highlight w:val="none"/>
        </w:rPr>
        <w:t xml:space="preserve">、采购代理机构在收到质疑函后7个工作日内作出答复。</w:t>
      </w:r>
      <w:r/>
    </w:p>
    <w:p>
      <w:pPr>
        <w:numPr>
          <w:ilvl w:val="2"/>
          <w:numId w:val="10"/>
        </w:numPr>
        <w:ind w:left="1985"/>
        <w:spacing w:line="360" w:lineRule="auto"/>
        <w:tabs>
          <w:tab w:val="left" w:pos="1843" w:leader="none"/>
          <w:tab w:val="left" w:pos="1980" w:leader="none"/>
          <w:tab w:val="clear" w:pos="2264" w:leader="none"/>
        </w:tabs>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000"/>
          <w:color w:val="auto"/>
          <w:highlight w:val="none"/>
        </w:rPr>
        <w:t xml:space="preserve">http://gk</w:t>
      </w:r>
      <w:bookmarkStart w:id="721" w:name="_Hlt100654014"/>
      <w:r>
        <w:rPr>
          <w:rStyle w:val="1000"/>
          <w:color w:val="auto"/>
          <w:highlight w:val="none"/>
        </w:rPr>
        <w:t xml:space="preserve">s</w:t>
      </w:r>
      <w:bookmarkEnd w:id="721"/>
      <w:r>
        <w:rPr>
          <w:rStyle w:val="1000"/>
          <w:color w:val="auto"/>
          <w:highlight w:val="none"/>
        </w:rPr>
        <w:t xml:space="preserve">.m</w:t>
      </w:r>
      <w:bookmarkStart w:id="722" w:name="_Hlt100653993"/>
      <w:r/>
      <w:bookmarkStart w:id="723" w:name="_Hlt100653994"/>
      <w:r>
        <w:rPr>
          <w:rStyle w:val="1000"/>
          <w:color w:val="auto"/>
          <w:highlight w:val="none"/>
        </w:rPr>
        <w:t xml:space="preserve">o</w:t>
      </w:r>
      <w:bookmarkEnd w:id="722"/>
      <w:r/>
      <w:bookmarkEnd w:id="723"/>
      <w:r>
        <w:rPr>
          <w:rStyle w:val="1000"/>
          <w:color w:val="auto"/>
          <w:highlight w:val="none"/>
        </w:rPr>
        <w:t xml:space="preserve">f.gov.cn/ztztz/zhengfucaigouguanli/201802/t20180201_2804589.htm</w:t>
      </w:r>
      <w:r>
        <w:rPr>
          <w:color w:val="auto"/>
          <w:highlight w:val="none"/>
        </w:rPr>
        <w:fldChar w:fldCharType="end"/>
      </w:r>
      <w:r>
        <w:rPr>
          <w:rFonts w:hint="eastAsia"/>
          <w:color w:val="auto"/>
          <w:highlight w:val="none"/>
        </w:rPr>
        <w:t xml:space="preserve">）</w:t>
      </w:r>
      <w:r/>
    </w:p>
    <w:p>
      <w:pPr>
        <w:numPr>
          <w:ilvl w:val="2"/>
          <w:numId w:val="10"/>
        </w:numPr>
        <w:ind w:left="1985"/>
        <w:spacing w:line="360" w:lineRule="auto"/>
        <w:tabs>
          <w:tab w:val="left" w:pos="1980" w:leader="none"/>
          <w:tab w:val="clear" w:pos="2264" w:leader="none"/>
        </w:tabs>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10"/>
        </w:numPr>
        <w:ind w:left="1985"/>
        <w:spacing w:line="360" w:lineRule="auto"/>
        <w:tabs>
          <w:tab w:val="left" w:pos="1985" w:leader="none"/>
          <w:tab w:val="clear" w:pos="2264" w:leader="none"/>
        </w:tabs>
        <w:rPr>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w:t>
      </w:r>
      <w:r>
        <w:rPr>
          <w:rFonts w:hint="eastAsia"/>
          <w:color w:val="auto"/>
          <w:sz w:val="24"/>
          <w:highlight w:val="none"/>
        </w:rPr>
        <w:t xml:space="preserve">招标人</w:t>
      </w:r>
      <w:r>
        <w:rPr>
          <w:color w:val="auto"/>
          <w:sz w:val="24"/>
          <w:highlight w:val="none"/>
        </w:rPr>
        <w:t xml:space="preserve">、采购代理机构有权不予答复。</w:t>
      </w:r>
      <w:r/>
    </w:p>
    <w:p>
      <w:pPr>
        <w:numPr>
          <w:ilvl w:val="1"/>
          <w:numId w:val="10"/>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10"/>
        </w:numPr>
        <w:ind w:left="357" w:hanging="357"/>
        <w:spacing w:line="360" w:lineRule="auto"/>
        <w:tabs>
          <w:tab w:val="left" w:pos="360" w:leader="none"/>
          <w:tab w:val="left" w:pos="900" w:leader="none"/>
        </w:tabs>
        <w:rPr>
          <w:color w:val="auto"/>
          <w:sz w:val="24"/>
          <w:highlight w:val="none"/>
        </w:rPr>
        <w:outlineLvl w:val="1"/>
      </w:pPr>
      <w:r>
        <w:rPr>
          <w:color w:val="auto"/>
          <w:sz w:val="24"/>
          <w:highlight w:val="none"/>
        </w:rPr>
        <w:t xml:space="preserve">代理费</w:t>
      </w:r>
      <w:r/>
    </w:p>
    <w:p>
      <w:pPr>
        <w:numPr>
          <w:ilvl w:val="1"/>
          <w:numId w:val="12"/>
        </w:numPr>
        <w:ind w:left="1077" w:hanging="720"/>
        <w:spacing w:line="360" w:lineRule="auto"/>
        <w:tabs>
          <w:tab w:val="left" w:pos="1080" w:leader="none"/>
          <w:tab w:val="left" w:pos="1589" w:leader="none"/>
          <w:tab w:val="left" w:pos="1873"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bookmarkStart w:id="724" w:name="OLE_LINK15"/>
      <w:r/>
      <w:bookmarkStart w:id="725" w:name="OLE_LINK20"/>
      <w:r/>
      <w:bookmarkStart w:id="726" w:name="OLE_LINK9"/>
      <w:r>
        <w:rPr>
          <w:color w:val="auto"/>
          <w:sz w:val="24"/>
          <w:highlight w:val="none"/>
        </w:rPr>
        <w:t xml:space="preserve">及前期项目相关论证等费用</w:t>
      </w:r>
      <w:bookmarkEnd w:id="724"/>
      <w:r/>
      <w:bookmarkEnd w:id="725"/>
      <w:r/>
      <w:bookmarkEnd w:id="726"/>
      <w:r>
        <w:rPr>
          <w:color w:val="auto"/>
          <w:sz w:val="24"/>
          <w:highlight w:val="none"/>
        </w:rPr>
        <w:t xml:space="preserve">。</w:t>
      </w:r>
      <w:r/>
    </w:p>
    <w:p>
      <w:pPr>
        <w:ind w:left="360"/>
        <w:spacing w:line="360" w:lineRule="auto"/>
        <w:tabs>
          <w:tab w:val="left" w:pos="360" w:leader="none"/>
          <w:tab w:val="left" w:pos="10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outlineLvl w:val="0"/>
      </w:pPr>
      <w:r/>
      <w:bookmarkStart w:id="727" w:name="_Toc353873664"/>
      <w:r/>
      <w:bookmarkStart w:id="728" w:name="_Toc264969244"/>
      <w:r/>
      <w:bookmarkStart w:id="729" w:name="_Toc305158822"/>
      <w:r/>
      <w:bookmarkStart w:id="730" w:name="_Toc226337250"/>
      <w:r/>
      <w:bookmarkStart w:id="731" w:name="_Toc150774759"/>
      <w:r/>
      <w:bookmarkStart w:id="732" w:name="_Toc265228392"/>
      <w:r/>
      <w:bookmarkStart w:id="733" w:name="_Toc127151554"/>
      <w:r/>
      <w:bookmarkStart w:id="734" w:name="_Toc353873934"/>
      <w:r/>
      <w:bookmarkStart w:id="735" w:name="_Toc353825544"/>
      <w:r/>
      <w:bookmarkStart w:id="736" w:name="_Toc305158896"/>
      <w:r/>
      <w:bookmarkStart w:id="737" w:name="_Toc142311056"/>
      <w:r/>
      <w:bookmarkStart w:id="738" w:name="_Toc150480792"/>
      <w:r/>
      <w:bookmarkStart w:id="739" w:name="_Toc226965827"/>
      <w:r>
        <w:rPr>
          <w:color w:val="auto"/>
          <w:sz w:val="24"/>
          <w:highlight w:val="none"/>
        </w:rPr>
        <w:br w:type="page" w:clear="all"/>
      </w:r>
      <w:bookmarkStart w:id="740" w:name="_Toc157413234"/>
      <w:r>
        <w:rPr>
          <w:b/>
          <w:color w:val="auto"/>
          <w:sz w:val="36"/>
          <w:szCs w:val="36"/>
          <w:highlight w:val="none"/>
        </w:rPr>
        <w:t xml:space="preserve">第三章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b/>
          <w:color w:val="auto"/>
          <w:sz w:val="36"/>
          <w:szCs w:val="36"/>
          <w:highlight w:val="none"/>
        </w:rPr>
        <w:t xml:space="preserve">资格审查</w:t>
      </w:r>
      <w:bookmarkEnd w:id="740"/>
      <w:r/>
      <w:bookmarkStart w:id="741" w:name="_Toc487900382"/>
      <w:r/>
      <w:r/>
    </w:p>
    <w:p>
      <w:pPr>
        <w:jc w:val="center"/>
        <w:spacing w:line="360" w:lineRule="auto"/>
        <w:tabs>
          <w:tab w:val="left" w:pos="360" w:leader="none"/>
          <w:tab w:val="left" w:pos="900" w:leader="none"/>
        </w:tabs>
        <w:rPr>
          <w:b/>
          <w:color w:val="auto"/>
          <w:sz w:val="24"/>
          <w:highlight w:val="none"/>
        </w:rPr>
        <w:outlineLvl w:val="1"/>
      </w:pPr>
      <w:r/>
      <w:bookmarkStart w:id="742" w:name="_Toc99301422"/>
      <w:r>
        <w:rPr>
          <w:b/>
          <w:color w:val="auto"/>
          <w:sz w:val="24"/>
          <w:highlight w:val="none"/>
        </w:rPr>
        <w:t xml:space="preserve">一、资格审查程序</w:t>
      </w:r>
      <w:bookmarkEnd w:id="742"/>
      <w:r/>
      <w:r/>
    </w:p>
    <w:p>
      <w:pPr>
        <w:numPr>
          <w:ilvl w:val="0"/>
          <w:numId w:val="13"/>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w:t>
      </w:r>
      <w:r>
        <w:rPr>
          <w:rFonts w:hint="eastAsia"/>
          <w:color w:val="auto"/>
          <w:sz w:val="24"/>
          <w:highlight w:val="none"/>
        </w:rPr>
        <w:t xml:space="preserve">招标人</w:t>
      </w:r>
      <w:r>
        <w:rPr>
          <w:color w:val="auto"/>
          <w:sz w:val="24"/>
          <w:highlight w:val="none"/>
        </w:rPr>
        <w:t xml:space="preserve">将根据《资格审查要求》中的规定，对投标人进行资格审查，并形成资格审查结果。</w:t>
      </w:r>
      <w:r/>
    </w:p>
    <w:p>
      <w:pPr>
        <w:numPr>
          <w:ilvl w:val="0"/>
          <w:numId w:val="13"/>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3"/>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3"/>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9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996"/>
        <w:gridCol w:w="5141"/>
        <w:gridCol w:w="1716"/>
      </w:tblGrid>
      <w:tr>
        <w:trPr>
          <w:cantSplit/>
          <w:trHeight w:val="468"/>
          <w:tblHeader/>
        </w:trPr>
        <w:tc>
          <w:tcPr>
            <w:tcW w:w="455" w:type="pct"/>
            <w:vAlign w:val="center"/>
            <w:textDirection w:val="lrTb"/>
            <w:noWrap w:val="false"/>
          </w:tcPr>
          <w:p>
            <w:pPr>
              <w:jc w:val="center"/>
              <w:tabs>
                <w:tab w:val="left" w:pos="1080" w:leader="none"/>
              </w:tabs>
              <w:rPr>
                <w:b/>
                <w:color w:val="auto"/>
                <w:sz w:val="24"/>
                <w:highlight w:val="none"/>
              </w:rPr>
            </w:pPr>
            <w:r/>
            <w:bookmarkStart w:id="743" w:name="_Hlt487972895"/>
            <w:r/>
            <w:bookmarkEnd w:id="743"/>
            <w:r>
              <w:rPr>
                <w:b/>
                <w:color w:val="auto"/>
                <w:sz w:val="24"/>
                <w:highlight w:val="none"/>
              </w:rPr>
              <w:t xml:space="preserve">序号</w:t>
            </w:r>
            <w:r/>
          </w:p>
        </w:tc>
        <w:tc>
          <w:tcPr>
            <w:tcW w:w="1996"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5141"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1"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99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查询渠道：信用中国网站和中国政府采购网（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资格审查阶段招标人或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招标文件</w:t>
            </w:r>
            <w:r>
              <w:rPr>
                <w:color w:val="auto"/>
                <w:sz w:val="24"/>
                <w:highlight w:val="none"/>
              </w:rPr>
              <w:t xml:space="preserve">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1" w:type="pct"/>
            <w:vAlign w:val="center"/>
            <w:textDirection w:val="lrTb"/>
            <w:noWrap w:val="false"/>
          </w:tcPr>
          <w:p>
            <w:pPr>
              <w:tabs>
                <w:tab w:val="left" w:pos="1080" w:leader="none"/>
              </w:tabs>
              <w:rPr>
                <w:color w:val="auto"/>
                <w:sz w:val="24"/>
                <w:highlight w:val="none"/>
              </w:rPr>
            </w:pPr>
            <w:r>
              <w:rPr>
                <w:rFonts w:hint="eastAsia" w:ascii="宋体" w:hAnsi="宋体" w:cs="宋体"/>
                <w:color w:val="auto"/>
                <w:sz w:val="24"/>
                <w:highlight w:val="none"/>
              </w:rPr>
              <w:t xml:space="preserve">无须投标人提供，</w:t>
            </w:r>
            <w:r>
              <w:rPr>
                <w:color w:val="auto"/>
                <w:sz w:val="24"/>
                <w:highlight w:val="none"/>
              </w:rPr>
              <w:t xml:space="preserve">由</w:t>
            </w:r>
            <w:r>
              <w:rPr>
                <w:rFonts w:hint="eastAsia"/>
                <w:color w:val="auto"/>
                <w:sz w:val="24"/>
                <w:highlight w:val="none"/>
              </w:rPr>
              <w:t xml:space="preserve">招标人查询</w:t>
            </w:r>
            <w:r>
              <w:rPr>
                <w:color w:val="auto"/>
                <w:sz w:val="24"/>
                <w:highlight w:val="none"/>
              </w:rPr>
              <w:t xml:space="preserve">。</w:t>
            </w:r>
            <w:r/>
          </w:p>
        </w:tc>
      </w:tr>
      <w:tr>
        <w:trPr>
          <w:cantSplit/>
          <w:trHeight w:val="0"/>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0"/>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2-1</w:t>
            </w:r>
            <w:r/>
          </w:p>
        </w:tc>
        <w:tc>
          <w:tcPr>
            <w:tcW w:w="1996"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中小企业声明函</w:t>
            </w:r>
            <w:r/>
          </w:p>
        </w:tc>
        <w:tc>
          <w:tcPr>
            <w:tcW w:w="5141" w:type="dxa"/>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color w:val="auto"/>
                <w:sz w:val="24"/>
                <w:highlight w:val="none"/>
              </w:rPr>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监狱企业须提供由省级以上监狱管理局（常州市含教育矫治局）、戒毒管理局（含新疆生产建设兵团）出具的属于监狱企业的证明文件。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881"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格式见《响应文件格式》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2-2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941"/>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本项目不接受联合体投标，</w:t>
            </w:r>
            <w:r>
              <w:rPr>
                <w:rFonts w:hint="eastAsia"/>
                <w:color w:val="auto"/>
                <w:sz w:val="24"/>
                <w:highlight w:val="none"/>
              </w:rPr>
              <w:t xml:space="preserve">投标人不得为联合体</w:t>
            </w:r>
            <w:r>
              <w:rPr>
                <w:color w:val="auto"/>
                <w:sz w:val="24"/>
                <w:highlight w:val="none"/>
              </w:rPr>
              <w:t xml:space="preserve">。</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0"/>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3-2</w:t>
            </w:r>
            <w:r/>
          </w:p>
        </w:tc>
        <w:tc>
          <w:tcPr>
            <w:tcW w:w="1996"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5141"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1" w:type="pct"/>
            <w:vAlign w:val="center"/>
            <w:textDirection w:val="lrTb"/>
            <w:noWrap w:val="false"/>
          </w:tcPr>
          <w:p>
            <w:pPr>
              <w:tabs>
                <w:tab w:val="left" w:pos="1080" w:leader="none"/>
              </w:tabs>
              <w:rPr>
                <w:color w:val="auto"/>
                <w:sz w:val="24"/>
                <w:highlight w:val="none"/>
              </w:rPr>
            </w:pPr>
            <w:r>
              <w:rPr>
                <w:color w:val="auto"/>
                <w:sz w:val="24"/>
                <w:highlight w:val="none"/>
              </w:rPr>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741"/>
            <w:r/>
          </w:p>
        </w:tc>
      </w:tr>
    </w:tbl>
    <w:p>
      <w:pPr>
        <w:jc w:val="center"/>
        <w:spacing w:line="360" w:lineRule="auto"/>
        <w:rPr>
          <w:b/>
          <w:color w:val="auto"/>
          <w:sz w:val="36"/>
          <w:szCs w:val="36"/>
          <w:highlight w:val="none"/>
        </w:rPr>
        <w:outlineLvl w:val="0"/>
      </w:pPr>
      <w:r/>
      <w:bookmarkStart w:id="744" w:name="_Toc127161490"/>
      <w:r/>
      <w:bookmarkStart w:id="745" w:name="_Toc127151779"/>
      <w:r/>
      <w:bookmarkStart w:id="746" w:name="_Toc226965858"/>
      <w:r/>
      <w:bookmarkStart w:id="747" w:name="_Toc353825550"/>
      <w:r/>
      <w:bookmarkStart w:id="748" w:name="_Toc353873940"/>
      <w:r>
        <w:rPr>
          <w:color w:val="auto"/>
          <w:highlight w:val="none"/>
        </w:rPr>
        <w:br w:type="page" w:clear="all"/>
      </w:r>
      <w:bookmarkStart w:id="749" w:name="_Toc157413235"/>
      <w:r>
        <w:rPr>
          <w:b/>
          <w:color w:val="auto"/>
          <w:sz w:val="36"/>
          <w:szCs w:val="36"/>
          <w:highlight w:val="none"/>
        </w:rPr>
        <w:t xml:space="preserve">第四章   </w:t>
      </w:r>
      <w:bookmarkEnd w:id="744"/>
      <w:r/>
      <w:bookmarkEnd w:id="745"/>
      <w:r/>
      <w:bookmarkEnd w:id="746"/>
      <w:r/>
      <w:bookmarkEnd w:id="747"/>
      <w:r/>
      <w:bookmarkEnd w:id="748"/>
      <w:r/>
      <w:bookmarkStart w:id="750" w:name="_Hlt164229061"/>
      <w:r/>
      <w:bookmarkEnd w:id="750"/>
      <w:r>
        <w:rPr>
          <w:b/>
          <w:color w:val="auto"/>
          <w:sz w:val="36"/>
          <w:szCs w:val="36"/>
          <w:highlight w:val="none"/>
        </w:rPr>
        <w:t xml:space="preserve">评标程序、评标方法和评标标准</w:t>
      </w:r>
      <w:bookmarkEnd w:id="749"/>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4"/>
        </w:numPr>
        <w:spacing w:line="360" w:lineRule="auto"/>
        <w:tabs>
          <w:tab w:val="left" w:pos="360" w:leader="none"/>
        </w:tabs>
        <w:rPr>
          <w:color w:val="auto"/>
          <w:sz w:val="24"/>
          <w:highlight w:val="none"/>
        </w:rPr>
        <w:outlineLvl w:val="1"/>
      </w:pPr>
      <w:r/>
      <w:bookmarkStart w:id="751" w:name="_Toc149720834"/>
      <w:r/>
      <w:bookmarkStart w:id="752" w:name="_Toc164229236"/>
      <w:r/>
      <w:bookmarkStart w:id="753" w:name="_Toc150480779"/>
      <w:r/>
      <w:bookmarkStart w:id="754" w:name="_Toc226337237"/>
      <w:r/>
      <w:bookmarkStart w:id="755" w:name="_Toc151190168"/>
      <w:r/>
      <w:bookmarkStart w:id="756" w:name="_Toc150774641"/>
      <w:r/>
      <w:bookmarkStart w:id="757" w:name="_Toc164608655"/>
      <w:r/>
      <w:bookmarkStart w:id="758" w:name="_Toc164229382"/>
      <w:r/>
      <w:bookmarkStart w:id="759" w:name="_Toc127151541"/>
      <w:r/>
      <w:bookmarkStart w:id="760" w:name="_Toc164608810"/>
      <w:r/>
      <w:bookmarkStart w:id="761" w:name="_Toc151193639"/>
      <w:r/>
      <w:bookmarkStart w:id="762" w:name="_Toc164351635"/>
      <w:r/>
      <w:bookmarkStart w:id="763" w:name="_Toc150774746"/>
      <w:r/>
      <w:bookmarkStart w:id="764" w:name="_Toc127161455"/>
      <w:r/>
      <w:bookmarkStart w:id="765" w:name="_Toc151193783"/>
      <w:r/>
      <w:bookmarkStart w:id="766" w:name="_Toc150509292"/>
      <w:r/>
      <w:bookmarkStart w:id="767" w:name="_Toc151193711"/>
      <w:r/>
      <w:bookmarkStart w:id="768" w:name="_Toc305158883"/>
      <w:r/>
      <w:bookmarkStart w:id="769" w:name="_Toc264969231"/>
      <w:r/>
      <w:bookmarkStart w:id="770" w:name="_Toc142311043"/>
      <w:r/>
      <w:bookmarkStart w:id="771" w:name="_Toc151193929"/>
      <w:r/>
      <w:bookmarkStart w:id="772" w:name="_Toc195842906"/>
      <w:r/>
      <w:bookmarkStart w:id="773" w:name="_Toc151193855"/>
      <w:r/>
      <w:bookmarkStart w:id="774" w:name="_Toc265228379"/>
      <w:r/>
      <w:bookmarkStart w:id="775" w:name="_Toc226965731"/>
      <w:r/>
      <w:bookmarkStart w:id="776" w:name="_Toc127151742"/>
      <w:r/>
      <w:bookmarkStart w:id="777" w:name="_Toc226309785"/>
      <w:r/>
      <w:bookmarkStart w:id="778" w:name="_Toc226965814"/>
      <w:r/>
      <w:bookmarkStart w:id="779" w:name="_Toc305158809"/>
      <w:r/>
      <w:bookmarkStart w:id="780" w:name="_Toc353873941"/>
      <w:r/>
      <w:bookmarkStart w:id="781" w:name="_Toc353825551"/>
      <w:r/>
      <w:bookmarkStart w:id="782" w:name="_Toc195842920"/>
      <w:r/>
      <w:bookmarkStart w:id="783" w:name="_Toc127151555"/>
      <w:r/>
      <w:bookmarkStart w:id="784" w:name="_Toc142311057"/>
      <w:r/>
      <w:bookmarkStart w:id="785" w:name="_Toc353873665"/>
      <w:r/>
      <w:bookmarkStart w:id="786" w:name="_Toc353873935"/>
      <w:r/>
      <w:bookmarkStart w:id="787" w:name="_Toc226337251"/>
      <w:r/>
      <w:bookmarkStart w:id="788" w:name="_Toc226965828"/>
      <w:r/>
      <w:bookmarkStart w:id="789" w:name="_Toc353825545"/>
      <w:r/>
      <w:bookmarkStart w:id="790" w:name="_Toc150480793"/>
      <w:r/>
      <w:bookmarkStart w:id="791" w:name="_Toc264969245"/>
      <w:r/>
      <w:bookmarkStart w:id="792" w:name="_Toc305158897"/>
      <w:r/>
      <w:bookmarkStart w:id="793" w:name="_Toc305158823"/>
      <w:r/>
      <w:bookmarkStart w:id="794" w:name="_Toc265228393"/>
      <w:r/>
      <w:bookmarkStart w:id="795" w:name="_Toc150774760"/>
      <w:r>
        <w:rPr>
          <w:color w:val="auto"/>
          <w:sz w:val="24"/>
          <w:highlight w:val="none"/>
        </w:rPr>
        <w:t xml:space="preserve">投标文件的符合性审查</w:t>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96" w:name="_Toc520356167"/>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96"/>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97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1662"/>
        <w:gridCol w:w="6171"/>
      </w:tblGrid>
      <w:tr>
        <w:trPr>
          <w:jc w:val="center"/>
          <w:trHeight w:val="300"/>
        </w:trPr>
        <w:tc>
          <w:tcPr>
            <w:tcW w:w="404"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0"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1219"/>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投标函、法人授权书和政府采购供应商信用承诺书</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按招标文件要求提供</w:t>
            </w:r>
            <w:r>
              <w:rPr>
                <w:rFonts w:hint="eastAsia"/>
                <w:color w:val="auto"/>
                <w:sz w:val="24"/>
                <w:highlight w:val="none"/>
              </w:rPr>
              <w:t xml:space="preserve">投标函、法人授权书和政府采购供应商信用承诺书</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投标完整性</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投标报价</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超过招标文件中规定的项目/采购包预算金额或者项目/采购包最高限价；</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投标有效期</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w:t>
            </w:r>
            <w:r/>
          </w:p>
        </w:tc>
      </w:tr>
      <w:tr>
        <w:trPr>
          <w:jc w:val="center"/>
          <w:trHeight w:val="685"/>
        </w:trPr>
        <w:tc>
          <w:tcPr>
            <w:tcW w:w="404"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3620"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p>
        </w:tc>
      </w:tr>
      <w:tr>
        <w:trPr>
          <w:jc w:val="center"/>
          <w:trHeight w:val="685"/>
        </w:trPr>
        <w:tc>
          <w:tcPr>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中招标文件</w:t>
            </w:r>
            <w:r>
              <w:rPr>
                <w:rFonts w:hint="eastAsia"/>
                <w:color w:val="auto"/>
                <w:sz w:val="24"/>
                <w:highlight w:val="none"/>
              </w:rPr>
              <w:t xml:space="preserve">要求提供；</w:t>
            </w:r>
            <w:r>
              <w:rPr>
                <w:color w:val="auto"/>
                <w:sz w:val="24"/>
                <w:highlight w:val="none"/>
              </w:rPr>
              <w:t xml:space="preserve"> </w:t>
            </w:r>
            <w:r/>
          </w:p>
        </w:tc>
      </w:tr>
      <w:tr>
        <w:trPr>
          <w:jc w:val="center"/>
          <w:trHeight w:val="685"/>
        </w:trPr>
        <w:tc>
          <w:tcPr>
            <w:shd w:val="clear" w:color="auto" w:fill="auto"/>
            <w:tcW w:w="404"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shd w:val="clear" w:color="auto" w:fill="auto"/>
            <w:tcW w:w="1900" w:type="dxa"/>
            <w:vAlign w:val="center"/>
            <w:textDirection w:val="lrTb"/>
            <w:noWrap w:val="false"/>
          </w:tcPr>
          <w:p>
            <w:pPr>
              <w:jc w:val="left"/>
              <w:widowControl/>
              <w:rPr>
                <w:color w:val="auto"/>
                <w:sz w:val="24"/>
                <w:highlight w:val="none"/>
              </w:rPr>
            </w:pPr>
            <w:r>
              <w:rPr>
                <w:rFonts w:hint="eastAsia" w:ascii="宋体" w:hAnsi="宋体" w:cs="Segoe UI Symbol"/>
                <w:color w:val="auto"/>
                <w:sz w:val="24"/>
                <w:highlight w:val="none"/>
              </w:rPr>
              <w:t xml:space="preserve">实质性</w:t>
            </w:r>
            <w:r>
              <w:rPr>
                <w:rFonts w:ascii="宋体" w:hAnsi="宋体"/>
                <w:color w:val="auto"/>
                <w:sz w:val="24"/>
                <w:highlight w:val="none"/>
              </w:rPr>
              <w:t xml:space="preserve">条款</w:t>
            </w:r>
            <w:r/>
          </w:p>
        </w:tc>
        <w:tc>
          <w:tcPr>
            <w:shd w:val="clear" w:color="auto" w:fill="auto"/>
            <w:tcW w:w="7053" w:type="dxa"/>
            <w:vAlign w:val="center"/>
            <w:textDirection w:val="lrTb"/>
            <w:noWrap w:val="false"/>
          </w:tcPr>
          <w:p>
            <w:pPr>
              <w:jc w:val="left"/>
              <w:widowControl/>
              <w:rPr>
                <w:color w:val="auto"/>
                <w:sz w:val="24"/>
                <w:highlight w:val="none"/>
              </w:rPr>
            </w:pPr>
            <w:r>
              <w:rPr>
                <w:rFonts w:hint="eastAsia"/>
                <w:color w:val="auto"/>
                <w:sz w:val="24"/>
                <w:highlight w:val="none"/>
              </w:rPr>
              <w:t xml:space="preserve">投标文件满足招标文件第五章《采购需求》中实质性条款（斜体且有下划线部分的、或者加“★”号的、或者以文字说明属于实质性要求的内容）要求的，在下列表单逐项提供相关证明材料。</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lang w:val="en-US" w:eastAsia="zh-CN"/>
              </w:rPr>
              <w:t xml:space="preserve">9</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报价的修正（如有）</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不涉及报价修正，或投标文件报价出现前后不一致时，投标人对修正后的报价予以确认；（如有）</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0</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报价合理性</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1</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公平竞争</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2</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串通投标</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3</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附加条件</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投标文件未含有</w:t>
            </w:r>
            <w:r>
              <w:rPr>
                <w:rFonts w:hint="eastAsia"/>
                <w:color w:val="auto"/>
                <w:sz w:val="24"/>
                <w:highlight w:val="none"/>
                <w:lang w:val="en-US" w:eastAsia="zh-CN"/>
              </w:rPr>
              <w:t xml:space="preserve">招标</w:t>
            </w:r>
            <w:r>
              <w:rPr>
                <w:rFonts w:hint="eastAsia"/>
                <w:color w:val="auto"/>
                <w:sz w:val="24"/>
                <w:highlight w:val="none"/>
              </w:rPr>
              <w:t xml:space="preserve">人不能接受的附加条件的；</w:t>
            </w:r>
            <w:r/>
          </w:p>
        </w:tc>
      </w:tr>
      <w:tr>
        <w:trPr>
          <w:jc w:val="center"/>
          <w:trHeight w:val="685"/>
        </w:trPr>
        <w:tc>
          <w:tcPr>
            <w:shd w:val="clear" w:color="auto" w:fill="auto"/>
            <w:tcW w:w="404"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1</w:t>
            </w:r>
            <w:r>
              <w:rPr>
                <w:rFonts w:hint="eastAsia"/>
                <w:color w:val="auto"/>
                <w:sz w:val="24"/>
                <w:highlight w:val="none"/>
                <w:lang w:val="en-US" w:eastAsia="zh-CN"/>
              </w:rPr>
              <w:t xml:space="preserve">4</w:t>
            </w:r>
            <w:r/>
          </w:p>
        </w:tc>
        <w:tc>
          <w:tcPr>
            <w:shd w:val="clear" w:color="auto" w:fill="auto"/>
            <w:tcW w:w="975" w:type="pct"/>
            <w:vAlign w:val="center"/>
            <w:textDirection w:val="lrTb"/>
            <w:noWrap w:val="false"/>
          </w:tcPr>
          <w:p>
            <w:pPr>
              <w:jc w:val="left"/>
              <w:widowControl/>
              <w:rPr>
                <w:color w:val="auto"/>
                <w:sz w:val="24"/>
                <w:highlight w:val="none"/>
              </w:rPr>
            </w:pPr>
            <w:r>
              <w:rPr>
                <w:rFonts w:hint="eastAsia"/>
                <w:color w:val="auto"/>
                <w:sz w:val="24"/>
                <w:highlight w:val="none"/>
              </w:rPr>
              <w:t xml:space="preserve">其他无效情形</w:t>
            </w:r>
            <w:r/>
          </w:p>
        </w:tc>
        <w:tc>
          <w:tcPr>
            <w:shd w:val="clear" w:color="auto" w:fill="auto"/>
            <w:tcW w:w="3620" w:type="pct"/>
            <w:vAlign w:val="center"/>
            <w:textDirection w:val="lrTb"/>
            <w:noWrap w:val="false"/>
          </w:tcPr>
          <w:p>
            <w:pPr>
              <w:jc w:val="left"/>
              <w:widowControl/>
              <w:rPr>
                <w:color w:val="auto"/>
                <w:sz w:val="24"/>
                <w:highlight w:val="none"/>
              </w:rPr>
            </w:pPr>
            <w:r>
              <w:rPr>
                <w:rFonts w:hint="eastAsia"/>
                <w:color w:val="auto"/>
                <w:sz w:val="24"/>
                <w:highlight w:val="none"/>
              </w:rPr>
              <w:t xml:space="preserve">投标人、投标文件不存在不符合法律、法规和招标文件规定的其他无效情形。</w:t>
            </w:r>
            <w:r/>
          </w:p>
        </w:tc>
      </w:tr>
    </w:tbl>
    <w:p>
      <w:pPr>
        <w:numPr>
          <w:ilvl w:val="0"/>
          <w:numId w:val="14"/>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评标过程中，</w:t>
      </w:r>
      <w:r>
        <w:rPr>
          <w:rFonts w:hint="eastAsia"/>
          <w:color w:val="auto"/>
          <w:sz w:val="24"/>
          <w:highlight w:val="none"/>
        </w:rPr>
        <w:t xml:space="preserve">对投标文件中含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表签字，并不得超出投标文件的范围或者改变投标文件的实质性内容。</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评标委员会认为投标人的报价明显低于其他通过符合性审查投标人的报价，有可能影响产品质量或者不能诚信履约的，有权要求该投标人在</w:t>
      </w:r>
      <w:r>
        <w:rPr>
          <w:rFonts w:hint="eastAsia"/>
          <w:color w:val="auto"/>
          <w:sz w:val="24"/>
          <w:highlight w:val="none"/>
        </w:rPr>
        <w:t xml:space="preserve">规定</w:t>
      </w:r>
      <w:r>
        <w:rPr>
          <w:color w:val="auto"/>
          <w:sz w:val="24"/>
          <w:highlight w:val="none"/>
        </w:rPr>
        <w:t xml:space="preserve">的时间内提供书面说明，必要时提交相关证明材料；若投标人不能证明其报价合理性，评标委员会将其作为</w:t>
      </w:r>
      <w:r>
        <w:rPr>
          <w:b/>
          <w:color w:val="auto"/>
          <w:sz w:val="24"/>
          <w:highlight w:val="none"/>
        </w:rPr>
        <w:t xml:space="preserve">无效投标处理</w:t>
      </w:r>
      <w:r>
        <w:rPr>
          <w:color w:val="auto"/>
          <w:sz w:val="24"/>
          <w:highlight w:val="none"/>
        </w:rPr>
        <w:t xml:space="preserve">。</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根据财库〔2026〕2号文件规定，</w:t>
      </w:r>
      <w:r>
        <w:rPr>
          <w:rFonts w:hint="eastAsia"/>
          <w:color w:val="auto"/>
          <w:sz w:val="24"/>
          <w:highlight w:val="none"/>
        </w:rPr>
        <w:t xml:space="preserve">评审过程中出现下列情形之一的，评审委员会应当启动异常低价投标（响应）审查程序：</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（1）投标（响应）报价低于全部通过符合性审查供应商投标（响应）报价平均值50%的，即投标（响应）报价&lt;全部通过符合性审查供应商投标（响应）报价平均值×50%；</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（2）投标（响应）报价低于通过符合性审查的次低报价供应商投标（响应）报价50%的，即投标（响应）报价&lt;通过符合性审查的次低报价供应商投标（响应）报价×50%；</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（3）投标（响应）报价低于采购项目最高限价45%的，即投标（响应）报价&lt;采购项目最高限价×45%；</w:t>
      </w:r>
      <w:r/>
    </w:p>
    <w:p>
      <w:pPr>
        <w:ind w:left="191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（4）评审委员会基于专业判断，认为供应商报价过低，有可能影响产品质量或者不能诚信履约的其他情形。</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color w:val="auto"/>
          <w:sz w:val="24"/>
          <w:highlight w:val="none"/>
        </w:rPr>
      </w:pPr>
      <w:r>
        <w:rPr>
          <w:rFonts w:hint="eastAsia"/>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numPr>
          <w:ilvl w:val="2"/>
          <w:numId w:val="14"/>
        </w:numPr>
        <w:ind w:left="2035"/>
        <w:spacing w:line="360" w:lineRule="auto"/>
        <w:tabs>
          <w:tab w:val="left" w:pos="1080" w:leader="none"/>
          <w:tab w:val="left" w:pos="1589" w:leader="none"/>
          <w:tab w:val="left" w:pos="2035" w:leader="none"/>
          <w:tab w:val="left" w:pos="2114"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4"/>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w:t>
      </w:r>
      <w:r>
        <w:rPr>
          <w:rFonts w:hint="eastAsia"/>
          <w:b/>
          <w:color w:val="auto"/>
          <w:sz w:val="24"/>
          <w:highlight w:val="none"/>
        </w:rPr>
        <w:t xml:space="preserve">/</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b/>
          <w:color w:val="auto"/>
          <w:sz w:val="28"/>
          <w:highlight w:val="none"/>
        </w:rPr>
        <w:t xml:space="preserve">■</w:t>
      </w:r>
      <w:r>
        <w:rPr>
          <w:color w:val="auto"/>
          <w:sz w:val="24"/>
          <w:highlight w:val="none"/>
        </w:rPr>
        <w:t xml:space="preserve">无，按下述2.4.2-2.4.7项规定修正。</w:t>
      </w:r>
      <w:r/>
    </w:p>
    <w:p>
      <w:pPr>
        <w:numPr>
          <w:ilvl w:val="2"/>
          <w:numId w:val="14"/>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4"/>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4"/>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4"/>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4"/>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4"/>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3</w:t>
      </w:r>
      <w:r>
        <w:rPr>
          <w:color w:val="auto"/>
          <w:sz w:val="24"/>
          <w:highlight w:val="none"/>
        </w:rPr>
        <w:t xml:space="preserve">%的扣除，用扣除后的价格参加评审。</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4"/>
        </w:numPr>
        <w:ind w:left="2035"/>
        <w:spacing w:line="360" w:lineRule="auto"/>
        <w:tabs>
          <w:tab w:val="left" w:pos="1080" w:leader="none"/>
          <w:tab w:val="left" w:pos="1589" w:leader="none"/>
          <w:tab w:val="clear" w:pos="1980"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1"/>
          <w:numId w:val="14"/>
        </w:numPr>
        <w:ind w:left="1077" w:hanging="720"/>
        <w:spacing w:line="360" w:lineRule="auto"/>
        <w:tabs>
          <w:tab w:val="left" w:pos="1080"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落实政府采购政策（采购本国产品的支持政策）的价格调整：</w:t>
      </w:r>
      <w:r/>
    </w:p>
    <w:p>
      <w:pPr>
        <w:numPr>
          <w:ilvl w:val="2"/>
          <w:numId w:val="14"/>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4"/>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当采购项目或者采购包中含有多种产品，供应商为该采购项目或者采购包提供的符合本国产品标准的产品成本之和占该供应商提供的全部产品成本之和的比例达到80%以上时（供应商需在“第七章 投标文件格式”的“附件5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4"/>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供应商需按照招标文件的要求提供《关于符合本国产品标准的声明函》（以下简称《声明函》），如不提供将不享受本国产品价格评审优惠。</w:t>
      </w:r>
      <w:r/>
    </w:p>
    <w:p>
      <w:pPr>
        <w:numPr>
          <w:ilvl w:val="2"/>
          <w:numId w:val="14"/>
        </w:numPr>
        <w:ind w:left="2035"/>
        <w:spacing w:line="360" w:lineRule="auto"/>
        <w:tabs>
          <w:tab w:val="left" w:pos="1080" w:leader="none"/>
          <w:tab w:val="left" w:pos="1589" w:leader="none"/>
          <w:tab w:val="left" w:pos="2035" w:leader="none"/>
        </w:tabs>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4"/>
        </w:numPr>
        <w:ind w:left="2035"/>
        <w:spacing w:line="360" w:lineRule="auto"/>
        <w:tabs>
          <w:tab w:val="left" w:pos="1080" w:leader="none"/>
          <w:tab w:val="left" w:pos="1589" w:leader="none"/>
          <w:tab w:val="left" w:pos="2035" w:leader="none"/>
        </w:tabs>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rFonts w:hint="eastAsia" w:ascii="Times New Roman" w:hAnsi="Times New Roman" w:eastAsia="宋体" w:cs="Times New Roman"/>
          <w:color w:val="auto"/>
          <w:sz w:val="24"/>
          <w:highlight w:val="none"/>
        </w:rPr>
        <w:t xml:space="preserve">对本国产品给予的价格评审优惠与小微企业价格扣减的优惠政策可重复享受。</w:t>
      </w:r>
      <w:r/>
    </w:p>
    <w:p>
      <w:pPr>
        <w:numPr>
          <w:ilvl w:val="0"/>
          <w:numId w:val="14"/>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80"/>
      <w:r/>
      <w:bookmarkEnd w:id="781"/>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rFonts w:hint="eastAsia"/>
          <w:color w:val="auto"/>
          <w:sz w:val="24"/>
          <w:highlight w:val="none"/>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w:t>
      </w:r>
      <w:r>
        <w:rPr>
          <w:rFonts w:hint="eastAsia"/>
          <w:color w:val="auto"/>
          <w:sz w:val="24"/>
          <w:highlight w:val="none"/>
        </w:rPr>
        <w:t xml:space="preserve">招标人</w:t>
      </w:r>
      <w:r>
        <w:rPr>
          <w:color w:val="auto"/>
          <w:sz w:val="24"/>
          <w:highlight w:val="none"/>
        </w:rPr>
        <w:t xml:space="preserve">或者</w:t>
      </w:r>
      <w:r>
        <w:rPr>
          <w:rFonts w:hint="eastAsia"/>
          <w:color w:val="auto"/>
          <w:sz w:val="24"/>
          <w:highlight w:val="none"/>
        </w:rPr>
        <w:t xml:space="preserve">招标人</w:t>
      </w:r>
      <w:r>
        <w:rPr>
          <w:color w:val="auto"/>
          <w:sz w:val="24"/>
          <w:highlight w:val="none"/>
        </w:rPr>
        <w:t xml:space="preserve">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color w:val="auto"/>
          <w:sz w:val="24"/>
          <w:highlight w:val="none"/>
          <w:u w:val="single"/>
        </w:rPr>
        <w:t xml:space="preserve">  / </w:t>
      </w:r>
      <w:r>
        <w:rPr>
          <w:rFonts w:hint="eastAsia"/>
          <w:color w:val="auto"/>
          <w:sz w:val="24"/>
          <w:highlight w:val="none"/>
        </w:rPr>
        <w:t xml:space="preserve"> </w:t>
      </w:r>
      <w:r>
        <w:rPr>
          <w:color w:val="auto"/>
          <w:sz w:val="24"/>
          <w:highlight w:val="none"/>
        </w:rPr>
        <w:t xml:space="preserve">。</w:t>
      </w:r>
      <w:r/>
    </w:p>
    <w:p>
      <w:pPr>
        <w:numPr>
          <w:ilvl w:val="2"/>
          <w:numId w:val="14"/>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color w:val="auto"/>
          <w:sz w:val="24"/>
          <w:highlight w:val="none"/>
          <w:u w:val="single"/>
        </w:rPr>
        <w:t xml:space="preserve">  /  </w:t>
      </w:r>
      <w:r>
        <w:rPr>
          <w:color w:val="auto"/>
          <w:sz w:val="24"/>
          <w:highlight w:val="none"/>
        </w:rPr>
        <w:t xml:space="preserve">。</w:t>
      </w:r>
      <w:r/>
    </w:p>
    <w:p>
      <w:pPr>
        <w:numPr>
          <w:ilvl w:val="0"/>
          <w:numId w:val="14"/>
        </w:numPr>
        <w:spacing w:line="360" w:lineRule="auto"/>
        <w:tabs>
          <w:tab w:val="left" w:pos="360" w:leader="none"/>
        </w:tabs>
        <w:rPr>
          <w:color w:val="auto"/>
          <w:sz w:val="24"/>
          <w:highlight w:val="none"/>
        </w:rPr>
        <w:outlineLvl w:val="1"/>
      </w:pPr>
      <w:r>
        <w:rPr>
          <w:color w:val="auto"/>
          <w:sz w:val="24"/>
          <w:highlight w:val="none"/>
        </w:rPr>
        <w:t xml:space="preserve">确定</w:t>
      </w:r>
      <w:bookmarkStart w:id="797" w:name="_Toc264969236"/>
      <w:r/>
      <w:bookmarkStart w:id="798" w:name="_Toc195842911"/>
      <w:r/>
      <w:bookmarkStart w:id="799" w:name="_Toc305158814"/>
      <w:r/>
      <w:bookmarkStart w:id="800" w:name="_Toc164608815"/>
      <w:r/>
      <w:bookmarkStart w:id="801" w:name="_Toc164351640"/>
      <w:r/>
      <w:bookmarkStart w:id="802" w:name="_Toc127151546"/>
      <w:r/>
      <w:bookmarkStart w:id="803" w:name="_Toc151193934"/>
      <w:r/>
      <w:bookmarkStart w:id="804" w:name="_Toc164608660"/>
      <w:r/>
      <w:bookmarkStart w:id="805" w:name="_Toc226965736"/>
      <w:r/>
      <w:bookmarkStart w:id="806" w:name="_Toc149720839"/>
      <w:r/>
      <w:bookmarkStart w:id="807" w:name="_Toc226309790"/>
      <w:r/>
      <w:bookmarkStart w:id="808" w:name="_Toc226965819"/>
      <w:r/>
      <w:bookmarkStart w:id="809" w:name="_Toc150774751"/>
      <w:r/>
      <w:bookmarkStart w:id="810" w:name="_Toc151193860"/>
      <w:r/>
      <w:bookmarkStart w:id="811" w:name="_Toc305158888"/>
      <w:r/>
      <w:bookmarkStart w:id="812" w:name="_Toc127161460"/>
      <w:r/>
      <w:bookmarkStart w:id="813" w:name="_Toc150774646"/>
      <w:r/>
      <w:bookmarkStart w:id="814" w:name="_Toc151190173"/>
      <w:r/>
      <w:bookmarkStart w:id="815" w:name="_Toc265228384"/>
      <w:r/>
      <w:bookmarkStart w:id="816" w:name="_Toc150480784"/>
      <w:r/>
      <w:bookmarkStart w:id="817" w:name="_Toc520356170"/>
      <w:r/>
      <w:bookmarkStart w:id="818" w:name="_Toc150509297"/>
      <w:r/>
      <w:bookmarkStart w:id="819" w:name="_Toc164229241"/>
      <w:r/>
      <w:bookmarkStart w:id="820" w:name="_Toc164229387"/>
      <w:r/>
      <w:bookmarkStart w:id="821" w:name="_Toc226337242"/>
      <w:r/>
      <w:bookmarkStart w:id="822" w:name="_Toc142311048"/>
      <w:r/>
      <w:bookmarkStart w:id="823" w:name="_Toc127151747"/>
      <w:r/>
      <w:bookmarkStart w:id="824" w:name="_Toc151193644"/>
      <w:r/>
      <w:bookmarkStart w:id="825" w:name="_Ref467307010"/>
      <w:r/>
      <w:bookmarkStart w:id="826" w:name="_Toc151193716"/>
      <w:r/>
      <w:bookmarkStart w:id="827" w:name="_Toc151193788"/>
      <w:r>
        <w:rPr>
          <w:color w:val="auto"/>
          <w:sz w:val="24"/>
          <w:highlight w:val="none"/>
        </w:rPr>
        <w:t xml:space="preserve">中标候选人名单</w:t>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89"/>
        <w:ind w:left="993" w:firstLine="137"/>
        <w:spacing w:line="360" w:lineRule="auto"/>
        <w:tabs>
          <w:tab w:val="left" w:pos="900" w:leader="none"/>
          <w:tab w:val="left" w:pos="2127" w:leader="none"/>
        </w:tabs>
        <w:rPr>
          <w:rFonts w:hint="default" w:ascii="Times New Roman" w:hAnsi="Times New Roman"/>
          <w:color w:val="auto"/>
          <w:sz w:val="24"/>
          <w:szCs w:val="24"/>
          <w:highlight w:val="none"/>
        </w:rPr>
      </w:pPr>
      <w:r>
        <w:rPr>
          <w:rFonts w:hint="eastAsia" w:ascii="Times New Roman" w:hAnsi="Times New Roman"/>
          <w:color w:val="auto"/>
          <w:sz w:val="24"/>
          <w:szCs w:val="24"/>
          <w:highlight w:val="none"/>
          <w:lang w:eastAsia="zh-CN"/>
        </w:rPr>
        <w:t xml:space="preserve">■</w:t>
      </w:r>
      <w:r>
        <w:rPr>
          <w:rFonts w:ascii="Times New Roman" w:hAnsi="Times New Roman"/>
          <w:color w:val="auto"/>
          <w:sz w:val="24"/>
          <w:szCs w:val="24"/>
          <w:highlight w:val="none"/>
        </w:rPr>
        <w:t xml:space="preserve">随机抽取</w:t>
      </w:r>
      <w:r/>
    </w:p>
    <w:p>
      <w:pPr>
        <w:pStyle w:val="1189"/>
        <w:ind w:left="993" w:firstLine="137"/>
        <w:spacing w:line="360" w:lineRule="auto"/>
        <w:tabs>
          <w:tab w:val="left" w:pos="900" w:leader="none"/>
          <w:tab w:val="left" w:pos="2127" w:leader="none"/>
        </w:tabs>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□其他方式，具体要求：_____</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4"/>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4"/>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w:t>
      </w:r>
      <w:r>
        <w:rPr>
          <w:rFonts w:hint="eastAsia"/>
          <w:color w:val="auto"/>
          <w:sz w:val="24"/>
          <w:highlight w:val="none"/>
        </w:rPr>
        <w:t xml:space="preserve">招标人</w:t>
      </w:r>
      <w:r>
        <w:rPr>
          <w:color w:val="auto"/>
          <w:sz w:val="24"/>
          <w:highlight w:val="none"/>
        </w:rPr>
        <w:t xml:space="preserve">、采购代理机构或者有关部门报告的职责。</w:t>
      </w:r>
      <w:r/>
    </w:p>
    <w:p>
      <w:pPr>
        <w:numPr>
          <w:ilvl w:val="0"/>
          <w:numId w:val="15"/>
        </w:numPr>
        <w:jc w:val="center"/>
        <w:spacing w:line="360" w:lineRule="auto"/>
        <w:tabs>
          <w:tab w:val="left" w:pos="360" w:leader="none"/>
          <w:tab w:val="left" w:pos="900" w:leader="none"/>
        </w:tabs>
        <w:rPr>
          <w:b/>
          <w:color w:val="auto"/>
          <w:sz w:val="24"/>
          <w:highlight w:val="none"/>
        </w:rPr>
        <w:outlineLvl w:val="1"/>
      </w:pPr>
      <w:r>
        <w:rPr>
          <w:b/>
          <w:color w:val="auto"/>
          <w:sz w:val="24"/>
          <w:highlight w:val="none"/>
        </w:rPr>
        <w:br w:type="page" w:clear="all"/>
      </w:r>
      <w:r>
        <w:rPr>
          <w:b/>
          <w:color w:val="auto"/>
          <w:sz w:val="24"/>
          <w:highlight w:val="none"/>
        </w:rPr>
        <w:t xml:space="preserve">评标标准</w:t>
      </w:r>
      <w:r/>
    </w:p>
    <w:tbl>
      <w:tblPr>
        <w:tblStyle w:val="970"/>
        <w:tblW w:w="9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514"/>
        <w:gridCol w:w="754"/>
        <w:gridCol w:w="4964"/>
        <w:gridCol w:w="1957"/>
      </w:tblGrid>
      <w:tr>
        <w:trPr>
          <w:jc w:val="center"/>
          <w:trHeight w:val="90"/>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评审因素</w:t>
            </w:r>
            <w:r/>
          </w:p>
        </w:tc>
        <w:tc>
          <w:tcPr>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Borders>
              <w:top w:val="single" w:color="auto" w:sz="4" w:space="0"/>
              <w:left w:val="none" w:color="000000" w:sz="4" w:space="0"/>
              <w:bottom w:val="single" w:color="auto" w:sz="4" w:space="0"/>
              <w:right w:val="single" w:color="auto" w:sz="4" w:space="0"/>
            </w:tcBorders>
            <w:tcW w:w="1957" w:type="dxa"/>
            <w:vAlign w:val="center"/>
            <w:textDirection w:val="lrTb"/>
            <w:noWrap w:val="false"/>
          </w:tcPr>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评标依据</w:t>
            </w:r>
            <w:r/>
          </w:p>
        </w:tc>
      </w:tr>
      <w:tr>
        <w:trPr>
          <w:jc w:val="center"/>
          <w:trHeight w:val="90"/>
        </w:trPr>
        <w:tc>
          <w:tcPr>
            <w:gridSpan w:val="5"/>
            <w:tcBorders>
              <w:top w:val="single" w:color="auto" w:sz="4" w:space="0"/>
              <w:left w:val="single" w:color="auto" w:sz="4" w:space="0"/>
              <w:bottom w:val="single" w:color="auto" w:sz="4" w:space="0"/>
              <w:right w:val="single" w:color="auto" w:sz="4" w:space="0"/>
            </w:tcBorders>
            <w:tcW w:w="9937" w:type="dxa"/>
            <w:vAlign w:val="center"/>
            <w:textDirection w:val="lrTb"/>
            <w:noWrap w:val="false"/>
          </w:tcPr>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一、价格分（10分）</w:t>
            </w:r>
            <w:r/>
          </w:p>
        </w:tc>
      </w:tr>
      <w:tr>
        <w:trPr>
          <w:jc w:val="center"/>
          <w:trHeight w:val="455"/>
        </w:trPr>
        <w:tc>
          <w:tcPr>
            <w:shd w:val="clear" w:color="auto" w:fill="auto"/>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1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价格分</w:t>
            </w:r>
            <w:r/>
          </w:p>
        </w:tc>
        <w:tc>
          <w:tcPr>
            <w:shd w:val="clear" w:color="auto" w:fill="auto"/>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10</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w:t>
            </w:r>
            <w:r>
              <w:rPr>
                <w:rFonts w:hint="eastAsia" w:ascii="宋体" w:hAnsi="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文件要求且</w:t>
            </w:r>
            <w:r>
              <w:rPr>
                <w:rFonts w:hint="eastAsia" w:ascii="宋体" w:hAnsi="宋体" w:cs="宋体"/>
                <w:color w:val="auto"/>
                <w:sz w:val="24"/>
                <w:szCs w:val="24"/>
                <w:highlight w:val="none"/>
                <w:lang w:val="en-US" w:eastAsia="zh-CN"/>
              </w:rPr>
              <w:t xml:space="preserve">报价</w:t>
            </w:r>
            <w:r>
              <w:rPr>
                <w:rFonts w:hint="eastAsia" w:ascii="宋体" w:hAnsi="宋体" w:eastAsia="宋体" w:cs="宋体"/>
                <w:color w:val="auto"/>
                <w:sz w:val="24"/>
                <w:szCs w:val="24"/>
                <w:highlight w:val="none"/>
              </w:rPr>
              <w:t xml:space="preserve">最低的</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报价为</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基准价，其价格分为满分10分。其他</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的价格分统一按照下列公式计算：</w:t>
            </w:r>
            <w:r/>
          </w:p>
          <w:p>
            <w:pPr>
              <w:spacing w:line="276"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报价得分=</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基准价</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报价×</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×100。</w:t>
            </w:r>
            <w:r/>
          </w:p>
        </w:tc>
        <w:tc>
          <w:tcPr>
            <w:tcBorders>
              <w:top w:val="single" w:color="auto" w:sz="4" w:space="0"/>
              <w:left w:val="none" w:color="000000" w:sz="4" w:space="0"/>
              <w:bottom w:val="single" w:color="auto" w:sz="4" w:space="0"/>
              <w:right w:val="single" w:color="auto" w:sz="4" w:space="0"/>
            </w:tcBorders>
            <w:tcW w:w="1957" w:type="dxa"/>
            <w:vAlign w:val="center"/>
            <w:textDirection w:val="lrTb"/>
            <w:noWrap w:val="false"/>
          </w:tcPr>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本项目属于专门面向中小企业预留份额采购项目，按规定不再执行小微型企业价格扣除政策。</w:t>
            </w:r>
            <w:r/>
          </w:p>
        </w:tc>
      </w:tr>
      <w:tr>
        <w:trPr>
          <w:jc w:val="center"/>
          <w:trHeight w:val="90"/>
        </w:trPr>
        <w:tc>
          <w:tcPr>
            <w:gridSpan w:val="5"/>
            <w:tcBorders>
              <w:top w:val="single" w:color="auto" w:sz="4" w:space="0"/>
              <w:left w:val="single" w:color="auto" w:sz="4" w:space="0"/>
              <w:bottom w:val="single" w:color="auto" w:sz="4" w:space="0"/>
              <w:right w:val="single" w:color="auto" w:sz="4" w:space="0"/>
            </w:tcBorders>
            <w:tcW w:w="9937" w:type="dxa"/>
            <w:vAlign w:val="center"/>
            <w:textDirection w:val="lrTb"/>
            <w:noWrap w:val="false"/>
          </w:tcPr>
          <w:p>
            <w:pPr>
              <w:spacing w:line="276"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二、商务分（</w:t>
            </w:r>
            <w:r>
              <w:rPr>
                <w:rFonts w:hint="eastAsia" w:ascii="宋体" w:hAnsi="宋体" w:cs="宋体"/>
                <w:b/>
                <w:color w:val="auto"/>
                <w:sz w:val="24"/>
                <w:szCs w:val="24"/>
                <w:highlight w:val="none"/>
                <w:lang w:val="en-US" w:eastAsia="zh-CN"/>
              </w:rPr>
              <w:t xml:space="preserve">30</w:t>
            </w:r>
            <w:r>
              <w:rPr>
                <w:rFonts w:hint="eastAsia" w:ascii="宋体" w:hAnsi="宋体" w:eastAsia="宋体" w:cs="宋体"/>
                <w:b/>
                <w:color w:val="auto"/>
                <w:sz w:val="24"/>
                <w:szCs w:val="24"/>
                <w:highlight w:val="none"/>
              </w:rPr>
              <w:t xml:space="preserve">分）</w:t>
            </w:r>
            <w:r/>
          </w:p>
        </w:tc>
      </w:tr>
      <w:tr>
        <w:trPr>
          <w:jc w:val="center"/>
          <w:trHeight w:val="52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年1月1日以来，投标人有</w:t>
            </w:r>
            <w:r>
              <w:rPr>
                <w:rFonts w:hint="eastAsia" w:ascii="宋体" w:hAnsi="宋体" w:cs="宋体"/>
                <w:color w:val="auto"/>
                <w:sz w:val="24"/>
                <w:szCs w:val="24"/>
                <w:highlight w:val="none"/>
                <w:lang w:val="en-US" w:eastAsia="zh-CN"/>
              </w:rPr>
              <w:t xml:space="preserve">住房置业</w:t>
            </w:r>
            <w:r>
              <w:rPr>
                <w:rFonts w:hint="eastAsia" w:ascii="宋体" w:hAnsi="宋体" w:eastAsia="宋体" w:cs="宋体"/>
                <w:color w:val="auto"/>
                <w:sz w:val="24"/>
                <w:szCs w:val="24"/>
                <w:highlight w:val="none"/>
              </w:rPr>
              <w:t xml:space="preserve">担保业绩的，每提供一份得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分，最高得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195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投标文件中提供上述业绩相关合同扫描件或扫描件并加盖公章，否则不得分。</w:t>
            </w:r>
            <w:r/>
          </w:p>
        </w:tc>
      </w:tr>
      <w:tr>
        <w:trPr>
          <w:jc w:val="center"/>
          <w:trHeight w:val="2430"/>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项目负责人</w:t>
            </w:r>
            <w:r/>
          </w:p>
        </w:tc>
        <w:tc>
          <w:tcPr>
            <w:shd w:val="clear" w:color="auto" w:fill="auto"/>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项目负责人：</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①本科及以上学历得2分，大专学历得1分。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②具有高级及以上职称的得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分，具有中级职称的得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p>
            <w:pPr>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195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本项目限评一人。</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提供证书扫描件和投标人为上述人员缴纳的近三个月中任意一个月（自开标之日起往前推算）的社保证明材料加盖投标人公章。</w:t>
            </w:r>
            <w:r/>
          </w:p>
        </w:tc>
      </w:tr>
      <w:tr>
        <w:trPr>
          <w:jc w:val="center"/>
          <w:trHeight w:val="81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团队成员</w:t>
            </w:r>
            <w:r/>
          </w:p>
        </w:tc>
        <w:tc>
          <w:tcPr>
            <w:shd w:val="clear" w:color="auto" w:fill="auto"/>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团队成员（不含项目负责人）：</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①团队成员中具有高级及以上会计师证书的得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分，具有中级会计师证书的得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②具有中华人民共和国法律职业资格证书的，每有一个得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分，本项最高得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③具有高级经济师职称证书的得4分，具有经济师中级职称的得2分。本项最高得4分。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④具有档案管理方面专业技术资格证书中级及以上的每个的2分，中级以下的每个得1分，本项最高得2分。</w:t>
            </w:r>
            <w:r/>
          </w:p>
          <w:p>
            <w:pPr>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本项最高得1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Borders>
              <w:top w:val="single" w:color="auto" w:sz="4" w:space="0"/>
              <w:left w:val="none" w:color="000000" w:sz="4" w:space="0"/>
              <w:bottom w:val="single" w:color="auto" w:sz="4" w:space="0"/>
              <w:right w:val="single" w:color="auto" w:sz="4" w:space="0"/>
            </w:tcBorders>
            <w:tcW w:w="1957" w:type="dxa"/>
            <w:vAlign w:val="center"/>
            <w:textDirection w:val="lrTb"/>
            <w:noWrap w:val="false"/>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提供相关证书扫描件和投标人为上述人员缴纳的近三个月中任意一个月（自开标之日起往前推算）的社保证明材料加盖投标人公章。</w:t>
            </w:r>
            <w:r/>
          </w:p>
        </w:tc>
      </w:tr>
      <w:tr>
        <w:trPr>
          <w:jc w:val="center"/>
          <w:trHeight w:val="755"/>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驻点服务</w:t>
            </w:r>
            <w:r/>
          </w:p>
        </w:tc>
        <w:tc>
          <w:tcPr>
            <w:shd w:val="clear" w:color="auto" w:fill="auto"/>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276"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投标人承诺在常州市区（覆盖钟楼区、天宁区）、新北区、武进区（覆盖经开区）、金坛区和溧阳市分别设立担保服务网点至少5个的得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投标人承诺在常州市区（覆盖钟楼区、天宁区）、新北区、武进区（覆盖经开区）、金坛区和溧阳市分别设立担保服务网点至少4个的得4分；投标人承诺在常州市区（覆盖钟楼区、天宁区）、新北区、武进区（覆盖经开区）、金坛区和溧阳市分别设立担保服务网点至少3个的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分；投标人承诺在常州市区（覆盖钟楼区、天宁区）、新北区、武进区（覆盖经开区）、金坛区和溧阳市分别设立担保服务网点至少2个的得1分。</w:t>
            </w:r>
            <w:r/>
          </w:p>
        </w:tc>
        <w:tc>
          <w:tcPr>
            <w:tcBorders>
              <w:top w:val="single" w:color="auto" w:sz="4" w:space="0"/>
              <w:left w:val="none" w:color="000000" w:sz="4" w:space="0"/>
              <w:bottom w:val="single" w:color="auto" w:sz="4" w:space="0"/>
              <w:right w:val="single" w:color="auto" w:sz="4" w:space="0"/>
            </w:tcBorders>
            <w:tcW w:w="1957" w:type="dxa"/>
            <w:vAlign w:val="center"/>
            <w:textDirection w:val="lrTb"/>
            <w:noWrap w:val="false"/>
          </w:tcPr>
          <w:p>
            <w:pPr>
              <w:spacing w:line="276"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提供承诺函加盖公章，格式自拟，否则不得分。</w:t>
            </w:r>
            <w:r/>
          </w:p>
        </w:tc>
      </w:tr>
      <w:tr>
        <w:trPr>
          <w:jc w:val="center"/>
          <w:trHeight w:val="90"/>
        </w:trPr>
        <w:tc>
          <w:tcPr>
            <w:gridSpan w:val="5"/>
            <w:tcBorders>
              <w:top w:val="single" w:color="auto" w:sz="4" w:space="0"/>
              <w:left w:val="single" w:color="auto" w:sz="4" w:space="0"/>
              <w:bottom w:val="single" w:color="auto" w:sz="4" w:space="0"/>
              <w:right w:val="single" w:color="auto" w:sz="4" w:space="0"/>
            </w:tcBorders>
            <w:tcW w:w="9937"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三、技术分（</w:t>
            </w:r>
            <w:r>
              <w:rPr>
                <w:rFonts w:hint="eastAsia" w:ascii="宋体" w:hAnsi="宋体" w:cs="宋体"/>
                <w:b/>
                <w:color w:val="auto"/>
                <w:sz w:val="24"/>
                <w:szCs w:val="24"/>
                <w:highlight w:val="none"/>
                <w:lang w:val="en-US" w:eastAsia="zh-CN"/>
              </w:rPr>
              <w:t xml:space="preserve">60</w:t>
            </w:r>
            <w:r>
              <w:rPr>
                <w:rFonts w:hint="eastAsia" w:ascii="宋体" w:hAnsi="宋体" w:eastAsia="宋体" w:cs="宋体"/>
                <w:b/>
                <w:color w:val="auto"/>
                <w:sz w:val="24"/>
                <w:szCs w:val="24"/>
                <w:highlight w:val="none"/>
              </w:rPr>
              <w:t xml:space="preserve">分）</w:t>
            </w:r>
            <w:r/>
          </w:p>
        </w:tc>
      </w:tr>
      <w:tr>
        <w:trPr>
          <w:jc w:val="center"/>
          <w:trHeight w:val="987"/>
        </w:trPr>
        <w:tc>
          <w:tcPr>
            <w:tcBorders>
              <w:top w:val="none" w:color="000000"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51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实施方案</w:t>
            </w:r>
            <w:r/>
          </w:p>
        </w:tc>
        <w:tc>
          <w:tcPr>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根据</w:t>
            </w: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提供的</w:t>
            </w:r>
            <w:r>
              <w:rPr>
                <w:rFonts w:hint="eastAsia" w:ascii="宋体" w:hAnsi="宋体" w:eastAsia="宋体" w:cs="宋体"/>
                <w:color w:val="auto"/>
                <w:sz w:val="24"/>
                <w:szCs w:val="24"/>
                <w:highlight w:val="none"/>
              </w:rPr>
              <w:t xml:space="preserve">整体服务方案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包括但不限于：服务流程、服务承诺，服务保障、安全保密措施等</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进行综合评价。</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（1）内容能够充分考虑招标人的需求标准、服务特点和具体情况，方案详尽、精细、科学性强，操作性强，规范合理的得10分；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（2）方案较为全面、科学性较强，操作性较强，较规范合理的得8分；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（3）方案简单，操作性欠缺，规范欠缺的，得6分；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（4）方案较差，操作性欠缺，规范欠缺的，得4分；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（5）未提供不得分。</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13"/>
        </w:trPr>
        <w:tc>
          <w:tcPr>
            <w:tcBorders>
              <w:top w:val="none" w:color="000000"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51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制度建设</w:t>
            </w:r>
            <w:r/>
          </w:p>
        </w:tc>
        <w:tc>
          <w:tcPr>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根据投标人提供的管理制度（包括但不限于：业务管理、风险管理、考核管理、财务管理、内控管理等方面）进行综合评价。</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制度健全、合理，可行性高的得10分；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制度较健全、合理，可行性较高的得8分；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制度有缺漏，合理、可行性一般的得6分，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制度较差，合理、可行性较差的得4分；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未提供的不计分。</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23"/>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培训计划</w:t>
            </w:r>
            <w:r/>
          </w:p>
        </w:tc>
        <w:tc>
          <w:tcPr>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根据投标人提供的培训计划内容（包括但不限于包括但不限于业务实操、风险合规、系统操作、保密服务、考核机制、常态化培训等方面）进行综合评价</w:t>
            </w:r>
            <w:r>
              <w:rPr>
                <w:rFonts w:hint="eastAsia" w:ascii="宋体" w:hAnsi="宋体" w:cs="宋体"/>
                <w:color w:val="auto"/>
                <w:sz w:val="24"/>
                <w:szCs w:val="24"/>
                <w:highlight w:val="none"/>
                <w:lang w:eastAsia="zh-CN"/>
              </w:rPr>
              <w:t xml:space="preserve">。</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培训计划全面、合理的得10分；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培训计划较为全面、合理的得8分；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培训计划内容简单的得6分；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（4）培训计划内容有明显缺陷的得4分；</w:t>
            </w:r>
            <w:r/>
          </w:p>
          <w:p>
            <w:pPr>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（5）未提供的不计分。</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581"/>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管理信息系统</w:t>
            </w:r>
            <w:r/>
          </w:p>
        </w:tc>
        <w:tc>
          <w:tcPr>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投标人具有完善的担保业务系统</w:t>
            </w:r>
            <w:r>
              <w:rPr>
                <w:rFonts w:hint="eastAsia" w:ascii="宋体" w:hAnsi="宋体" w:cs="宋体"/>
                <w:color w:val="auto"/>
                <w:sz w:val="24"/>
                <w:szCs w:val="24"/>
                <w:highlight w:val="none"/>
                <w:lang w:eastAsia="zh-CN"/>
              </w:rPr>
              <w:t xml:space="preserve">：</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系统完善且运营维护到位得10分；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系统完善且运营维护一般的得8分；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系统完善且运营维护有明显缺陷的得6分；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系统完善且运营维护较差的得4分。</w:t>
            </w:r>
            <w:r/>
          </w:p>
          <w:p>
            <w:pPr>
              <w:spacing w:line="276"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投标人提供系统建设费用凭证，维保合同、系统操作手册（操作说明）等，未提供的不计分。</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639"/>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保后服务</w:t>
            </w:r>
            <w:r/>
          </w:p>
        </w:tc>
        <w:tc>
          <w:tcPr>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根据投标人提供的</w:t>
            </w:r>
            <w:r>
              <w:rPr>
                <w:rFonts w:hint="eastAsia" w:ascii="宋体" w:hAnsi="宋体" w:cs="宋体"/>
                <w:color w:val="auto"/>
                <w:sz w:val="24"/>
                <w:szCs w:val="24"/>
                <w:highlight w:val="none"/>
                <w:lang w:val="en-US" w:eastAsia="zh-CN"/>
              </w:rPr>
              <w:t xml:space="preserve">保后服务方案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包括但不限于抵押管理、日常运维、催收管理、投诉处置、风险应对、应急保障等方面）进行综合评价</w:t>
            </w:r>
            <w:r>
              <w:rPr>
                <w:rFonts w:hint="eastAsia" w:ascii="宋体" w:hAnsi="宋体" w:cs="宋体"/>
                <w:color w:val="auto"/>
                <w:sz w:val="24"/>
                <w:szCs w:val="24"/>
                <w:highlight w:val="none"/>
                <w:lang w:eastAsia="zh-CN"/>
              </w:rPr>
              <w:t xml:space="preserve">。</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后期服务方案完善，对应急问题能快速、及时反应，提供的服务方案完善科学、合理得10分；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服务方案较科学、合理得8分；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服务方案简单的得6分；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服务方案有明显缺陷的得4分；</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未提供的不计分。</w:t>
            </w:r>
            <w:r/>
          </w:p>
        </w:tc>
        <w:tc>
          <w:tcPr>
            <w:tcBorders>
              <w:top w:val="none" w:color="000000" w:sz="4" w:space="0"/>
              <w:left w:val="none" w:color="000000" w:sz="4" w:space="0"/>
              <w:bottom w:val="single" w:color="auto" w:sz="4" w:space="0"/>
              <w:right w:val="single" w:color="auto" w:sz="4" w:space="0"/>
            </w:tcBorders>
            <w:tcW w:w="1957"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r>
        <w:trPr>
          <w:jc w:val="center"/>
          <w:trHeight w:val="815"/>
        </w:trPr>
        <w:tc>
          <w:tcPr>
            <w:tcBorders>
              <w:top w:val="single" w:color="auto" w:sz="4" w:space="0"/>
              <w:left w:val="single" w:color="auto" w:sz="4" w:space="0"/>
              <w:bottom w:val="single" w:color="auto" w:sz="4" w:space="0"/>
              <w:right w:val="single" w:color="auto" w:sz="4" w:space="0"/>
            </w:tcBorders>
            <w:tcW w:w="748" w:type="dxa"/>
            <w:vAlign w:val="center"/>
            <w:textDirection w:val="lrTb"/>
            <w:noWrap w:val="false"/>
          </w:tcPr>
          <w:p>
            <w:pPr>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51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工作任务档案归档制度</w:t>
            </w:r>
            <w:r/>
          </w:p>
        </w:tc>
        <w:tc>
          <w:tcPr>
            <w:tcBorders>
              <w:top w:val="single" w:color="auto" w:sz="4" w:space="0"/>
              <w:left w:val="none" w:color="000000" w:sz="4" w:space="0"/>
              <w:bottom w:val="single" w:color="auto" w:sz="4" w:space="0"/>
              <w:right w:val="single" w:color="auto" w:sz="4" w:space="0"/>
            </w:tcBorders>
            <w:tcW w:w="754" w:type="dxa"/>
            <w:vAlign w:val="center"/>
            <w:textDirection w:val="lrTb"/>
            <w:noWrap w:val="false"/>
          </w:tcPr>
          <w:p>
            <w:pPr>
              <w:jc w:val="center"/>
              <w:spacing w:line="276"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4964" w:type="dxa"/>
            <w:vAlign w:val="center"/>
            <w:textDirection w:val="lrTb"/>
            <w:noWrap w:val="false"/>
          </w:tcPr>
          <w:p>
            <w:pPr>
              <w:spacing w:line="276"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根据投标人提供的工作任务档案归档制度（包括但不限于档案的收集、整理、移交、保管、借阅、销毁等工作方案的合理性、完整性等）进行综合评价</w:t>
            </w:r>
            <w:r>
              <w:rPr>
                <w:rFonts w:hint="eastAsia" w:ascii="宋体" w:hAnsi="宋体" w:cs="宋体"/>
                <w:color w:val="auto"/>
                <w:sz w:val="24"/>
                <w:szCs w:val="24"/>
                <w:highlight w:val="none"/>
                <w:lang w:eastAsia="zh-CN"/>
              </w:rPr>
              <w:t xml:space="preserve">。</w:t>
            </w:r>
            <w:r/>
          </w:p>
          <w:p>
            <w:pPr>
              <w:spacing w:line="276"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方案完全科学、合理的得10分；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（2）方案较科学、合理的得8分；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（3）方案不满足，科学、合理性一般的得6分；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（4）方案不满足，科学、合理性较差的得4分；</w:t>
            </w:r>
            <w:r/>
          </w:p>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（5）未提供的不计分。</w:t>
            </w:r>
            <w:r/>
          </w:p>
        </w:tc>
        <w:tc>
          <w:tcPr>
            <w:tcBorders>
              <w:top w:val="single" w:color="auto" w:sz="4" w:space="0"/>
              <w:left w:val="none" w:color="000000" w:sz="4" w:space="0"/>
              <w:bottom w:val="single" w:color="auto" w:sz="4" w:space="0"/>
              <w:right w:val="single" w:color="auto" w:sz="4" w:space="0"/>
            </w:tcBorders>
            <w:tcW w:w="1957" w:type="dxa"/>
            <w:vAlign w:val="center"/>
            <w:textDirection w:val="lrTb"/>
            <w:noWrap w:val="false"/>
          </w:tcPr>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c>
      </w:tr>
    </w:tbl>
    <w:p>
      <w:pPr>
        <w:jc w:val="left"/>
        <w:spacing w:line="312" w:lineRule="auto"/>
        <w:tabs>
          <w:tab w:val="left" w:pos="59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注：1、评分细则中要求提供的证明文件及资料等在投标文件中提供扫描件，过时不予接收。</w:t>
      </w:r>
      <w:r/>
    </w:p>
    <w:p>
      <w:pPr>
        <w:ind w:firstLine="480"/>
        <w:jc w:val="both"/>
        <w:spacing w:line="312" w:lineRule="auto"/>
        <w:tabs>
          <w:tab w:val="left" w:pos="5940" w:leader="none"/>
        </w:tabs>
        <w:rPr>
          <w:rFonts w:hint="eastAsia" w:ascii="宋体" w:hAnsi="宋体" w:cs="宋体"/>
          <w:bCs/>
          <w:color w:val="auto"/>
          <w:sz w:val="24"/>
          <w:highlight w:val="none"/>
        </w:rPr>
      </w:pPr>
      <w:r>
        <w:rPr>
          <w:rFonts w:hint="eastAsia" w:ascii="宋体" w:hAnsi="宋体" w:cs="宋体"/>
          <w:bCs/>
          <w:color w:val="auto"/>
          <w:sz w:val="24"/>
          <w:highlight w:val="none"/>
        </w:rPr>
        <w:t xml:space="preserve">2、评标时，未能按以上要求提供相应证明的，不作为评标依据，不得分。</w:t>
      </w:r>
      <w:r/>
    </w:p>
    <w:p>
      <w:pPr>
        <w:ind w:firstLine="480"/>
        <w:jc w:val="center"/>
        <w:spacing w:line="312" w:lineRule="auto"/>
        <w:tabs>
          <w:tab w:val="left" w:pos="5940" w:leader="none"/>
        </w:tabs>
        <w:rPr>
          <w:b/>
          <w:color w:val="auto"/>
          <w:sz w:val="36"/>
          <w:szCs w:val="36"/>
          <w:highlight w:val="none"/>
        </w:rPr>
      </w:pPr>
      <w:r>
        <w:rPr>
          <w:rFonts w:hint="eastAsia" w:ascii="宋体" w:hAnsi="宋体" w:cs="宋体"/>
          <w:bCs/>
          <w:color w:val="auto"/>
          <w:sz w:val="24"/>
          <w:highlight w:val="none"/>
        </w:rPr>
        <w:br w:type="page" w:clear="all"/>
      </w:r>
      <w:bookmarkStart w:id="828" w:name="_Toc157413236"/>
      <w:r>
        <w:rPr>
          <w:b/>
          <w:color w:val="auto"/>
          <w:sz w:val="36"/>
          <w:szCs w:val="36"/>
          <w:highlight w:val="none"/>
        </w:rPr>
        <w:t xml:space="preserve">第五章   采购需求</w:t>
      </w:r>
      <w:bookmarkEnd w:id="828"/>
      <w:r/>
      <w:r/>
    </w:p>
    <w:p>
      <w:pPr>
        <w:jc w:val="left"/>
        <w:spacing w:line="360" w:lineRule="auto"/>
        <w:tabs>
          <w:tab w:val="left" w:pos="735" w:leader="none"/>
          <w:tab w:val="left" w:pos="945" w:leader="none"/>
          <w:tab w:val="left" w:pos="1155" w:leader="none"/>
        </w:tabs>
        <w:rPr>
          <w:rFonts w:ascii="宋体" w:hAnsi="宋体" w:cs="宋体"/>
          <w:b/>
          <w:color w:val="auto"/>
          <w:sz w:val="24"/>
          <w:highlight w:val="none"/>
        </w:rPr>
      </w:pPr>
      <w:r/>
      <w:bookmarkStart w:id="829" w:name="_Toc157413237"/>
      <w:r>
        <w:rPr>
          <w:rFonts w:hint="eastAsia" w:ascii="宋体" w:hAnsi="宋体"/>
          <w:b/>
          <w:bCs/>
          <w:color w:val="auto"/>
          <w:sz w:val="24"/>
          <w:highlight w:val="none"/>
        </w:rPr>
        <w:t xml:space="preserve">一、</w:t>
      </w:r>
      <w:r>
        <w:rPr>
          <w:rFonts w:hint="eastAsia" w:ascii="宋体" w:hAnsi="宋体" w:cs="宋体"/>
          <w:b/>
          <w:color w:val="auto"/>
          <w:sz w:val="24"/>
          <w:highlight w:val="none"/>
        </w:rPr>
        <w:t xml:space="preserve">采购标的</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Theme="minorEastAsia" w:hAnsiTheme="minorEastAsia" w:eastAsiaTheme="minorEastAsia"/>
          <w:color w:val="auto"/>
          <w:sz w:val="24"/>
          <w:highlight w:val="none"/>
          <w:lang w:eastAsia="zh-CN"/>
        </w:rPr>
        <w:t xml:space="preserve">支持住房困难工薪群体购买商品住房资助款担保服务项目</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2.预算金额：</w:t>
      </w:r>
      <w:r>
        <w:rPr>
          <w:rFonts w:hint="eastAsia" w:asciiTheme="minorEastAsia" w:hAnsiTheme="minorEastAsia" w:eastAsiaTheme="minorEastAsia"/>
          <w:color w:val="auto"/>
          <w:sz w:val="24"/>
          <w:highlight w:val="none"/>
          <w:lang w:eastAsia="zh-CN"/>
        </w:rPr>
        <w:t xml:space="preserve">180万元（两年）</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3.最高限价：</w:t>
      </w:r>
      <w:r>
        <w:rPr>
          <w:rFonts w:hint="eastAsia" w:asciiTheme="minorEastAsia" w:hAnsiTheme="minorEastAsia" w:eastAsiaTheme="minorEastAsia"/>
          <w:color w:val="auto"/>
          <w:sz w:val="24"/>
          <w:highlight w:val="none"/>
          <w:lang w:eastAsia="zh-CN"/>
        </w:rPr>
        <w:t xml:space="preserve">担保服务费率不超过4.00‰</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4.采购需求（简介）：</w:t>
      </w:r>
      <w:r>
        <w:rPr>
          <w:rFonts w:hint="eastAsia" w:ascii="宋体" w:hAnsi="宋体"/>
          <w:bCs/>
          <w:color w:val="auto"/>
          <w:sz w:val="24"/>
          <w:highlight w:val="none"/>
        </w:rPr>
        <w:t xml:space="preserve">本项目为</w:t>
      </w:r>
      <w:r>
        <w:rPr>
          <w:rFonts w:hint="eastAsia" w:ascii="宋体" w:hAnsi="宋体"/>
          <w:bCs/>
          <w:color w:val="auto"/>
          <w:sz w:val="24"/>
          <w:highlight w:val="none"/>
          <w:lang w:eastAsia="zh-CN"/>
        </w:rPr>
        <w:t xml:space="preserve">支持住房困难工薪群体购买商品住房资助款担保服务项目。</w:t>
      </w:r>
      <w:r>
        <w:rPr>
          <w:rFonts w:hint="eastAsia" w:ascii="宋体" w:hAnsi="宋体"/>
          <w:bCs/>
          <w:color w:val="auto"/>
          <w:sz w:val="24"/>
          <w:highlight w:val="none"/>
        </w:rPr>
        <w:t xml:space="preserve">为确保我市购房资助资金安全、规范、高效运行，提升整体资金安全水平，现拟采购购房资助担保服务。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5.合同履行期限：</w:t>
      </w:r>
      <w:r>
        <w:rPr>
          <w:rFonts w:hint="eastAsia" w:ascii="宋体" w:hAnsi="宋体" w:cs="宋体"/>
          <w:color w:val="auto"/>
          <w:sz w:val="24"/>
          <w:highlight w:val="none"/>
          <w:lang w:eastAsia="zh-CN"/>
        </w:rPr>
        <w:t xml:space="preserve">合同一签</w:t>
      </w:r>
      <w:r>
        <w:rPr>
          <w:rFonts w:hint="eastAsia" w:ascii="宋体" w:hAnsi="宋体" w:cs="宋体"/>
          <w:color w:val="auto"/>
          <w:sz w:val="24"/>
          <w:highlight w:val="none"/>
          <w:lang w:val="en-US" w:eastAsia="zh-CN"/>
        </w:rPr>
        <w:t xml:space="preserve">两</w:t>
      </w:r>
      <w:r>
        <w:rPr>
          <w:rFonts w:hint="eastAsia" w:ascii="宋体" w:hAnsi="宋体" w:cs="宋体"/>
          <w:color w:val="auto"/>
          <w:sz w:val="24"/>
          <w:highlight w:val="none"/>
          <w:lang w:eastAsia="zh-CN"/>
        </w:rPr>
        <w:t xml:space="preserve">年。年度平均考核低于90分的，招标人有权解除委托管理合同</w:t>
      </w:r>
      <w:r>
        <w:rPr>
          <w:rFonts w:hint="eastAsia" w:asciiTheme="minorEastAsia" w:hAnsiTheme="minorEastAsia"/>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6.是/否接受联合体投标：不接</w:t>
      </w:r>
      <w:r>
        <w:rPr>
          <w:rFonts w:hint="eastAsia" w:ascii="宋体" w:hAnsi="宋体" w:cs="宋体"/>
          <w:color w:val="auto"/>
          <w:sz w:val="24"/>
          <w:highlight w:val="none"/>
          <w:lang w:val="en-US" w:eastAsia="zh-CN"/>
        </w:rPr>
        <w:t xml:space="preserve">受</w:t>
      </w:r>
      <w:r>
        <w:rPr>
          <w:rFonts w:hint="eastAsia" w:ascii="宋体" w:hAnsi="宋体" w:cs="宋体"/>
          <w:color w:val="auto"/>
          <w:sz w:val="24"/>
          <w:highlight w:val="none"/>
        </w:rPr>
        <w:t xml:space="preserve">联合体投标</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7.是/否接受分支机构参与响应：</w:t>
      </w:r>
      <w:r>
        <w:rPr>
          <w:rFonts w:hint="eastAsia" w:ascii="宋体" w:hAnsi="宋体" w:cs="宋体"/>
          <w:bCs/>
          <w:color w:val="auto"/>
          <w:sz w:val="24"/>
          <w:highlight w:val="none"/>
        </w:rPr>
        <w:t xml:space="preserve">否</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8.是/否属于政府购买服务：</w:t>
      </w:r>
      <w:r>
        <w:rPr>
          <w:rFonts w:hint="eastAsia" w:ascii="宋体" w:hAnsi="宋体" w:cs="宋体"/>
          <w:color w:val="auto"/>
          <w:sz w:val="24"/>
          <w:highlight w:val="none"/>
          <w:lang w:val="en-US" w:eastAsia="zh-CN"/>
        </w:rPr>
        <w:t xml:space="preserve">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9.是/否接受进口产品投标：否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10.是/否专门面向中小企业预留采购份额：是</w:t>
      </w:r>
      <w:r/>
    </w:p>
    <w:p>
      <w:pPr>
        <w:ind w:firstLine="480"/>
        <w:spacing w:line="360" w:lineRule="auto"/>
        <w:rPr>
          <w:rFonts w:hint="eastAsia" w:ascii="宋体" w:hAnsi="宋体" w:eastAsia="宋体" w:cs="宋体"/>
          <w:bCs/>
          <w:color w:val="auto"/>
          <w:sz w:val="24"/>
          <w:highlight w:val="none"/>
          <w:lang w:eastAsia="zh-CN"/>
        </w:rPr>
      </w:pPr>
      <w:r>
        <w:rPr>
          <w:rFonts w:hint="eastAsia" w:ascii="宋体" w:hAnsi="宋体" w:cs="宋体"/>
          <w:color w:val="auto"/>
          <w:sz w:val="24"/>
          <w:highlight w:val="none"/>
        </w:rPr>
        <w:t xml:space="preserve">11.本项目的特定资格要求：</w:t>
      </w:r>
      <w:r>
        <w:rPr>
          <w:rFonts w:hint="eastAsia"/>
          <w:color w:val="auto"/>
          <w:sz w:val="24"/>
          <w:highlight w:val="none"/>
        </w:rPr>
        <w:t xml:space="preserve">投标人能够从事住房置业担保专业业务，能降低资金使用风险，保障财政资金使用安全，且获得《融资担保业务经营许可证》，许可经营范围应包含住房置业担保。投标人应提供有效的《融资担保业务经营许可证》扫描件并加盖投标人公章</w:t>
      </w:r>
      <w:r>
        <w:rPr>
          <w:rFonts w:hint="eastAsia" w:ascii="宋体" w:hAnsi="宋体" w:cs="宋体"/>
          <w:color w:val="auto"/>
          <w:sz w:val="24"/>
          <w:highlight w:val="none"/>
          <w:lang w:eastAsia="zh-CN"/>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12.项目类别：服务类</w:t>
      </w:r>
      <w:r/>
    </w:p>
    <w:p>
      <w:pPr>
        <w:jc w:val="left"/>
        <w:spacing w:line="360" w:lineRule="auto"/>
        <w:rPr>
          <w:rFonts w:ascii="宋体" w:hAnsi="宋体"/>
          <w:b/>
          <w:color w:val="auto"/>
          <w:sz w:val="24"/>
          <w:highlight w:val="none"/>
        </w:rPr>
      </w:pPr>
      <w:r>
        <w:rPr>
          <w:rFonts w:hint="eastAsia" w:ascii="宋体" w:hAnsi="宋体"/>
          <w:b/>
          <w:color w:val="auto"/>
          <w:sz w:val="24"/>
          <w:highlight w:val="none"/>
        </w:rPr>
        <w:t xml:space="preserve">二、商务要求</w:t>
      </w:r>
      <w:r/>
    </w:p>
    <w:p>
      <w:pPr>
        <w:ind w:firstLine="480"/>
        <w:spacing w:line="360" w:lineRule="auto"/>
        <w:rPr>
          <w:rFonts w:ascii="宋体" w:hAnsi="宋体" w:cs="宋体"/>
          <w:b/>
          <w:bCs/>
          <w:i/>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一</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交付（实施）的时间（期限）和地点（范围）</w:t>
      </w:r>
      <w:r/>
    </w:p>
    <w:p>
      <w:pPr>
        <w:ind w:firstLine="48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时间：</w:t>
      </w:r>
      <w:r>
        <w:rPr>
          <w:rFonts w:hint="eastAsia" w:ascii="宋体" w:hAnsi="宋体" w:cs="宋体"/>
          <w:color w:val="auto"/>
          <w:sz w:val="24"/>
          <w:highlight w:val="none"/>
          <w:lang w:eastAsia="zh-CN"/>
        </w:rPr>
        <w:t xml:space="preserve">合同一签</w:t>
      </w:r>
      <w:r>
        <w:rPr>
          <w:rFonts w:hint="eastAsia" w:ascii="宋体" w:hAnsi="宋体" w:cs="宋体"/>
          <w:color w:val="auto"/>
          <w:sz w:val="24"/>
          <w:highlight w:val="none"/>
          <w:lang w:val="en-US" w:eastAsia="zh-CN"/>
        </w:rPr>
        <w:t xml:space="preserve">两</w:t>
      </w:r>
      <w:r>
        <w:rPr>
          <w:rFonts w:hint="eastAsia" w:ascii="宋体" w:hAnsi="宋体" w:cs="宋体"/>
          <w:color w:val="auto"/>
          <w:sz w:val="24"/>
          <w:highlight w:val="none"/>
          <w:lang w:eastAsia="zh-CN"/>
        </w:rPr>
        <w:t xml:space="preserve">年。年度平均考核低于90分的，招标人有权解除委托管理合同。</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2.服务</w:t>
      </w:r>
      <w:r>
        <w:rPr>
          <w:rFonts w:hint="eastAsia" w:ascii="宋体" w:hAnsi="宋体" w:cs="宋体"/>
          <w:b/>
          <w:bCs/>
          <w:color w:val="auto"/>
          <w:sz w:val="24"/>
          <w:highlight w:val="none"/>
        </w:rPr>
        <w:t xml:space="preserve">地点：</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人指定地点。</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二</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付款条件（进度和方式）</w:t>
      </w:r>
      <w:r/>
    </w:p>
    <w:p>
      <w:pPr>
        <w:ind w:firstLine="480"/>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付款方式：</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人通过银行转账的方式向中标人付款。</w:t>
      </w:r>
      <w:r/>
    </w:p>
    <w:p>
      <w:pPr>
        <w:ind w:firstLine="48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付款进度：</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预付款：自乙方完成本项目约定的实质性履约义务后，</w:t>
      </w:r>
      <w:r>
        <w:rPr>
          <w:rFonts w:hint="eastAsia" w:ascii="宋体" w:hAnsi="宋体" w:cs="宋体"/>
          <w:color w:val="auto"/>
          <w:sz w:val="24"/>
          <w:highlight w:val="none"/>
          <w:lang w:val="en-US" w:eastAsia="zh-CN"/>
        </w:rPr>
        <w:t xml:space="preserve">招标人</w:t>
      </w:r>
      <w:r>
        <w:rPr>
          <w:rFonts w:hint="eastAsia" w:ascii="宋体" w:hAnsi="宋体" w:cs="宋体"/>
          <w:color w:val="auto"/>
          <w:sz w:val="24"/>
          <w:highlight w:val="none"/>
        </w:rPr>
        <w:t xml:space="preserve">在收到发票10个工作日内，向</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支付预付款</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万元人民币（大写：</w:t>
      </w:r>
      <w:r>
        <w:rPr>
          <w:rFonts w:hint="eastAsia" w:ascii="宋体" w:hAnsi="宋体" w:cs="宋体"/>
          <w:color w:val="auto"/>
          <w:sz w:val="24"/>
          <w:highlight w:val="none"/>
          <w:lang w:val="en-US" w:eastAsia="zh-CN"/>
        </w:rPr>
        <w:t xml:space="preserve">贰</w:t>
      </w:r>
      <w:r>
        <w:rPr>
          <w:rFonts w:hint="eastAsia" w:ascii="宋体" w:hAnsi="宋体" w:cs="宋体"/>
          <w:color w:val="auto"/>
          <w:sz w:val="24"/>
          <w:highlight w:val="none"/>
        </w:rPr>
        <w:t xml:space="preserve">拾万元整）。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按实结算：根据项目实施进度与考核情况计算支付，按核定的当期担保服务费（即按当期所担保的购房资助款金额*中标标的担保服务费率-考核扣罚金额）向</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支付，</w:t>
      </w:r>
      <w:r>
        <w:rPr>
          <w:rFonts w:hint="eastAsia" w:ascii="宋体" w:hAnsi="宋体" w:cs="宋体"/>
          <w:color w:val="auto"/>
          <w:sz w:val="24"/>
          <w:highlight w:val="none"/>
          <w:lang w:val="en-US" w:eastAsia="zh-CN"/>
        </w:rPr>
        <w:t xml:space="preserve">招标人</w:t>
      </w:r>
      <w:r>
        <w:rPr>
          <w:rFonts w:hint="eastAsia" w:ascii="宋体" w:hAnsi="宋体" w:cs="宋体"/>
          <w:color w:val="auto"/>
          <w:sz w:val="24"/>
          <w:highlight w:val="none"/>
        </w:rPr>
        <w:t xml:space="preserve">自收到发票10个工作日内支付款项。支付时需优先扣除已支付的预付款，扣除后的余额为当期实际应付金额，预付款扣除完毕后，后续担保服务费按核定金额全额支付。</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最终结算价(人民币)=所担保的购房资助款金额×中标标的担保服务费率</w:t>
      </w:r>
      <w:r>
        <w:rPr>
          <w:rFonts w:hint="eastAsia" w:ascii="宋体" w:hAnsi="宋体" w:cs="宋体"/>
          <w:color w:val="auto"/>
          <w:sz w:val="24"/>
          <w:highlight w:val="none"/>
          <w:lang w:val="en-US" w:eastAsia="zh-CN"/>
        </w:rPr>
        <w:t xml:space="preserve">-考核扣款</w:t>
      </w:r>
      <w:r>
        <w:rPr>
          <w:rFonts w:hint="eastAsia" w:ascii="宋体" w:hAnsi="宋体" w:cs="宋体"/>
          <w:color w:val="auto"/>
          <w:sz w:val="24"/>
          <w:highlight w:val="none"/>
        </w:rPr>
        <w:t xml:space="preserve">，结算时四舍五入保留两位小数。</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自本项目合同生效之日起</w:t>
      </w:r>
      <w:r>
        <w:rPr>
          <w:rFonts w:hint="eastAsia" w:ascii="宋体" w:hAnsi="宋体" w:cs="宋体"/>
          <w:color w:val="auto"/>
          <w:sz w:val="24"/>
          <w:highlight w:val="none"/>
          <w:lang w:val="en-US" w:eastAsia="zh-CN"/>
        </w:rPr>
        <w:t xml:space="preserve">两</w:t>
      </w:r>
      <w:r>
        <w:rPr>
          <w:rFonts w:hint="eastAsia" w:ascii="宋体" w:hAnsi="宋体" w:cs="宋体"/>
          <w:color w:val="auto"/>
          <w:sz w:val="24"/>
          <w:highlight w:val="none"/>
        </w:rPr>
        <w:t xml:space="preserve">年内，累计最终结算价不得超过</w:t>
      </w:r>
      <w:r>
        <w:rPr>
          <w:rFonts w:hint="eastAsia" w:ascii="宋体" w:hAnsi="宋体" w:cs="宋体"/>
          <w:color w:val="auto"/>
          <w:sz w:val="24"/>
          <w:highlight w:val="none"/>
          <w:lang w:eastAsia="zh-CN"/>
        </w:rPr>
        <w:t xml:space="preserve">180万元</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当累计最终结算价达到</w:t>
      </w:r>
      <w:r>
        <w:rPr>
          <w:rFonts w:hint="eastAsia" w:ascii="宋体" w:hAnsi="宋体" w:cs="宋体"/>
          <w:color w:val="auto"/>
          <w:sz w:val="24"/>
          <w:highlight w:val="none"/>
          <w:lang w:eastAsia="zh-CN"/>
        </w:rPr>
        <w:t xml:space="preserve">180万元</w:t>
      </w:r>
      <w:r>
        <w:rPr>
          <w:rFonts w:hint="eastAsia" w:ascii="宋体" w:hAnsi="宋体" w:cs="宋体"/>
          <w:color w:val="auto"/>
          <w:sz w:val="24"/>
          <w:highlight w:val="none"/>
        </w:rPr>
        <w:t xml:space="preserve">时，本合同自动终止，但</w:t>
      </w:r>
      <w:r>
        <w:rPr>
          <w:rFonts w:hint="eastAsia" w:ascii="宋体" w:hAnsi="宋体" w:cs="宋体"/>
          <w:color w:val="auto"/>
          <w:sz w:val="24"/>
          <w:highlight w:val="none"/>
          <w:lang w:val="en-US" w:eastAsia="zh-CN"/>
        </w:rPr>
        <w:t xml:space="preserve">中标人</w:t>
      </w:r>
      <w:r>
        <w:rPr>
          <w:rFonts w:hint="eastAsia" w:ascii="宋体" w:hAnsi="宋体" w:cs="宋体"/>
          <w:color w:val="auto"/>
          <w:sz w:val="24"/>
          <w:highlight w:val="none"/>
        </w:rPr>
        <w:t xml:space="preserve">就所担保项目应承担的质保义务，仍应按本合同约定继续履行</w:t>
      </w:r>
      <w:r>
        <w:rPr>
          <w:rFonts w:hint="eastAsia" w:ascii="宋体" w:hAnsi="宋体" w:cs="宋体"/>
          <w:color w:val="auto"/>
          <w:sz w:val="24"/>
          <w:highlight w:val="none"/>
          <w:lang w:eastAsia="zh-CN"/>
        </w:rPr>
        <w:t xml:space="preserve">，直至对应借款人全额退还购房资助资金、担保义务完全解除、所有担保债权处置完毕。</w:t>
      </w:r>
      <w:r/>
    </w:p>
    <w:p>
      <w:pPr>
        <w:ind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报价要求</w:t>
      </w:r>
      <w:r/>
    </w:p>
    <w:p>
      <w:pPr>
        <w:ind w:firstLine="480"/>
        <w:spacing w:line="360" w:lineRule="auto"/>
        <w:rPr>
          <w:rFonts w:hint="eastAsia" w:ascii="宋体" w:hAnsi="宋体" w:cs="宋体"/>
          <w:color w:val="auto"/>
          <w:spacing w:val="2"/>
          <w:sz w:val="24"/>
          <w:highlight w:val="none"/>
        </w:rPr>
      </w:pPr>
      <w:r>
        <w:rPr>
          <w:rFonts w:hint="eastAsia" w:ascii="宋体" w:hAnsi="宋体" w:cs="宋体"/>
          <w:color w:val="auto"/>
          <w:sz w:val="24"/>
          <w:highlight w:val="none"/>
        </w:rPr>
        <w:t xml:space="preserve">本项目为</w:t>
      </w:r>
      <w:r>
        <w:rPr>
          <w:rFonts w:hint="eastAsia" w:ascii="宋体" w:hAnsi="宋体" w:cs="宋体"/>
          <w:b/>
          <w:bCs/>
          <w:color w:val="auto"/>
          <w:sz w:val="24"/>
          <w:highlight w:val="none"/>
          <w:lang w:val="en-US" w:eastAsia="zh-CN"/>
        </w:rPr>
        <w:t xml:space="preserve">固定费率</w:t>
      </w:r>
      <w:r>
        <w:rPr>
          <w:rFonts w:hint="eastAsia" w:ascii="宋体" w:hAnsi="宋体" w:cs="宋体"/>
          <w:color w:val="auto"/>
          <w:sz w:val="24"/>
          <w:highlight w:val="none"/>
        </w:rPr>
        <w:t xml:space="preserve">，</w:t>
      </w:r>
      <w:r>
        <w:rPr>
          <w:rFonts w:hint="eastAsia" w:ascii="宋体" w:hAnsi="宋体" w:cs="宋体"/>
          <w:color w:val="auto"/>
          <w:spacing w:val="2"/>
          <w:sz w:val="24"/>
          <w:highlight w:val="none"/>
          <w:lang w:val="en-US" w:eastAsia="zh-CN"/>
        </w:rPr>
        <w:t xml:space="preserve">投标</w:t>
      </w:r>
      <w:r>
        <w:rPr>
          <w:rFonts w:hint="eastAsia" w:ascii="宋体" w:hAnsi="宋体" w:cs="宋体"/>
          <w:color w:val="auto"/>
          <w:spacing w:val="2"/>
          <w:sz w:val="24"/>
          <w:highlight w:val="none"/>
        </w:rPr>
        <w:t xml:space="preserve">报价应包括</w:t>
      </w:r>
      <w:r>
        <w:rPr>
          <w:rFonts w:hint="eastAsia" w:ascii="宋体" w:hAnsi="宋体" w:cs="宋体"/>
          <w:color w:val="auto"/>
          <w:spacing w:val="2"/>
          <w:sz w:val="24"/>
          <w:highlight w:val="none"/>
          <w:lang w:val="en-US" w:eastAsia="zh-CN"/>
        </w:rPr>
        <w:t xml:space="preserve">招标</w:t>
      </w:r>
      <w:r>
        <w:rPr>
          <w:rFonts w:hint="eastAsia" w:ascii="宋体" w:hAnsi="宋体" w:cs="宋体"/>
          <w:color w:val="auto"/>
          <w:spacing w:val="2"/>
          <w:sz w:val="24"/>
          <w:highlight w:val="none"/>
        </w:rPr>
        <w:t xml:space="preserve">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w:t>
      </w:r>
      <w:r>
        <w:rPr>
          <w:rFonts w:hint="eastAsia" w:ascii="宋体" w:hAnsi="宋体" w:cs="宋体"/>
          <w:color w:val="auto"/>
          <w:sz w:val="24"/>
          <w:highlight w:val="none"/>
          <w:lang w:val="en-US" w:eastAsia="zh-CN"/>
        </w:rPr>
        <w:t xml:space="preserve">招标</w:t>
      </w:r>
      <w:r>
        <w:rPr>
          <w:rFonts w:hint="eastAsia" w:ascii="宋体" w:hAnsi="宋体" w:cs="宋体"/>
          <w:color w:val="auto"/>
          <w:sz w:val="24"/>
          <w:highlight w:val="none"/>
        </w:rPr>
        <w:t xml:space="preserve">人</w:t>
      </w:r>
      <w:r>
        <w:rPr>
          <w:rFonts w:hint="eastAsia" w:ascii="宋体" w:hAnsi="宋体" w:cs="宋体"/>
          <w:color w:val="auto"/>
          <w:spacing w:val="2"/>
          <w:sz w:val="24"/>
          <w:highlight w:val="none"/>
        </w:rPr>
        <w:t xml:space="preserve">不再支付其他任何费用。</w:t>
      </w:r>
      <w:r/>
    </w:p>
    <w:p>
      <w:pPr>
        <w:ind w:firstLine="480"/>
        <w:spacing w:line="360" w:lineRule="auto"/>
        <w:rPr>
          <w:rFonts w:hint="eastAsia" w:ascii="宋体" w:hAnsi="宋体" w:cs="宋体"/>
          <w:b/>
          <w:bCs/>
          <w:color w:val="auto"/>
          <w:sz w:val="24"/>
          <w:highlight w:val="none"/>
          <w:lang w:eastAsia="zh-CN"/>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）售后服务（质保期）</w:t>
      </w:r>
      <w:r/>
    </w:p>
    <w:p>
      <w:pPr>
        <w:ind w:firstLine="488"/>
        <w:spacing w:line="360" w:lineRule="auto"/>
        <w:rPr>
          <w:rFonts w:hint="eastAsia" w:ascii="宋体" w:hAnsi="宋体" w:cs="宋体"/>
          <w:color w:val="auto"/>
          <w:spacing w:val="2"/>
          <w:sz w:val="24"/>
          <w:highlight w:val="none"/>
        </w:rPr>
      </w:pPr>
      <w:r>
        <w:rPr>
          <w:rFonts w:hint="eastAsia" w:ascii="宋体" w:hAnsi="宋体" w:cs="宋体"/>
          <w:color w:val="auto"/>
          <w:spacing w:val="2"/>
          <w:sz w:val="24"/>
          <w:highlight w:val="none"/>
        </w:rPr>
        <w:t xml:space="preserve">担保服务持续至使用购房资助款项进行房屋交易的资助款担保全部完成。其担保责任至购房资助款项全额退还为止。</w:t>
      </w:r>
      <w:r/>
    </w:p>
    <w:p>
      <w:pPr>
        <w:numPr>
          <w:ilvl w:val="0"/>
          <w:numId w:val="15"/>
        </w:numPr>
        <w:ind w:left="0" w:firstLine="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技术要求</w:t>
      </w:r>
      <w:r/>
    </w:p>
    <w:p>
      <w:pPr>
        <w:contextualSpacing/>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（一）基本要求</w:t>
      </w:r>
      <w:r/>
    </w:p>
    <w:p>
      <w:pPr>
        <w:contextualSpacing/>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1.人员配备及服务保障</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（1）建立覆盖全市范围的担保服务体系，人员配备及业务办理满足招标人担保服务管理要求。</w:t>
      </w:r>
      <w:r/>
    </w:p>
    <w:p>
      <w:pPr>
        <w:contextualSpacing/>
        <w:ind w:firstLine="241"/>
        <w:spacing w:line="360" w:lineRule="auto"/>
        <w:widowControl/>
        <w:rPr>
          <w:rFonts w:hint="eastAsia" w:ascii="宋体" w:hAnsi="宋体" w:eastAsia="宋体" w:cs="宋体"/>
          <w:b/>
          <w:bCs/>
          <w:i/>
          <w:iCs/>
          <w:color w:val="auto"/>
          <w:sz w:val="24"/>
          <w:szCs w:val="24"/>
          <w:highlight w:val="none"/>
        </w:rPr>
      </w:pPr>
      <w:r>
        <w:rPr>
          <w:rFonts w:hint="eastAsia" w:ascii="宋体" w:hAnsi="宋体" w:eastAsia="宋体" w:cs="宋体"/>
          <w:b/>
          <w:bCs/>
          <w:i/>
          <w:iCs/>
          <w:color w:val="auto"/>
          <w:sz w:val="24"/>
          <w:szCs w:val="24"/>
          <w:highlight w:val="none"/>
          <w:u w:val="single"/>
        </w:rPr>
        <w:t xml:space="preserve">★（2）</w:t>
      </w:r>
      <w:r>
        <w:rPr>
          <w:rFonts w:hint="eastAsia" w:ascii="宋体" w:hAnsi="宋体" w:eastAsia="宋体" w:cs="宋体"/>
          <w:b/>
          <w:bCs/>
          <w:i/>
          <w:iCs/>
          <w:color w:val="auto"/>
          <w:sz w:val="24"/>
          <w:szCs w:val="24"/>
          <w:highlight w:val="none"/>
          <w:u w:val="single"/>
          <w:lang w:val="en-US" w:eastAsia="zh-CN"/>
        </w:rPr>
        <w:t xml:space="preserve">中标人须在中标后30日内，</w:t>
      </w:r>
      <w:r>
        <w:rPr>
          <w:rFonts w:hint="eastAsia" w:ascii="宋体" w:hAnsi="宋体" w:eastAsia="宋体" w:cs="宋体"/>
          <w:b/>
          <w:bCs/>
          <w:i/>
          <w:iCs/>
          <w:color w:val="auto"/>
          <w:sz w:val="24"/>
          <w:szCs w:val="24"/>
          <w:highlight w:val="none"/>
          <w:u w:val="single"/>
        </w:rPr>
        <w:t xml:space="preserve">建成覆盖</w:t>
      </w:r>
      <w:r>
        <w:rPr>
          <w:rFonts w:hint="eastAsia" w:ascii="宋体" w:hAnsi="宋体" w:eastAsia="宋体" w:cs="宋体"/>
          <w:b/>
          <w:bCs/>
          <w:i/>
          <w:iCs/>
          <w:color w:val="auto"/>
          <w:sz w:val="24"/>
          <w:szCs w:val="24"/>
          <w:highlight w:val="none"/>
          <w:u w:val="single"/>
          <w:lang w:val="en-US" w:eastAsia="zh-CN"/>
        </w:rPr>
        <w:t xml:space="preserve">常州市全域的担保服务网点，覆盖范围包含</w:t>
      </w:r>
      <w:r>
        <w:rPr>
          <w:rFonts w:hint="eastAsia" w:ascii="宋体" w:hAnsi="宋体" w:eastAsia="宋体" w:cs="宋体"/>
          <w:b/>
          <w:bCs/>
          <w:i/>
          <w:iCs/>
          <w:color w:val="auto"/>
          <w:sz w:val="24"/>
          <w:szCs w:val="24"/>
          <w:highlight w:val="none"/>
          <w:u w:val="single"/>
        </w:rPr>
        <w:t xml:space="preserve">钟楼区、天宁区、新北区、武进区（</w:t>
      </w:r>
      <w:r>
        <w:rPr>
          <w:rFonts w:hint="eastAsia" w:ascii="宋体" w:hAnsi="宋体" w:eastAsia="宋体" w:cs="宋体"/>
          <w:b/>
          <w:bCs/>
          <w:i/>
          <w:iCs/>
          <w:color w:val="auto"/>
          <w:sz w:val="24"/>
          <w:szCs w:val="24"/>
          <w:highlight w:val="none"/>
          <w:u w:val="single"/>
          <w:lang w:val="en-US" w:eastAsia="zh-CN"/>
        </w:rPr>
        <w:t xml:space="preserve">含</w:t>
      </w:r>
      <w:r>
        <w:rPr>
          <w:rFonts w:hint="eastAsia" w:ascii="宋体" w:hAnsi="宋体" w:eastAsia="宋体" w:cs="宋体"/>
          <w:b/>
          <w:bCs/>
          <w:i/>
          <w:iCs/>
          <w:color w:val="auto"/>
          <w:sz w:val="24"/>
          <w:szCs w:val="24"/>
          <w:highlight w:val="none"/>
          <w:u w:val="single"/>
        </w:rPr>
        <w:t xml:space="preserve">经开区）、金坛区、溧阳市</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rPr>
        <w:t xml:space="preserve">中标后须无条件完整承接住房资助款担保服务项目</w:t>
      </w:r>
      <w:r>
        <w:rPr>
          <w:rFonts w:hint="eastAsia" w:ascii="宋体" w:hAnsi="宋体" w:eastAsia="宋体" w:cs="宋体"/>
          <w:b/>
          <w:bCs/>
          <w:i/>
          <w:iCs/>
          <w:color w:val="auto"/>
          <w:sz w:val="24"/>
          <w:szCs w:val="24"/>
          <w:highlight w:val="none"/>
          <w:u w:val="single"/>
          <w:lang w:val="en-US" w:eastAsia="zh-CN"/>
        </w:rPr>
        <w:t xml:space="preserve">过渡期内的全部</w:t>
      </w:r>
      <w:r>
        <w:rPr>
          <w:rFonts w:hint="eastAsia" w:ascii="宋体" w:hAnsi="宋体" w:eastAsia="宋体" w:cs="宋体"/>
          <w:b/>
          <w:bCs/>
          <w:i/>
          <w:iCs/>
          <w:color w:val="auto"/>
          <w:sz w:val="24"/>
          <w:szCs w:val="24"/>
          <w:highlight w:val="none"/>
          <w:u w:val="single"/>
        </w:rPr>
        <w:t xml:space="preserve">存量担保业务、在保债权、存量客户、业务档案及抵押相关资料，全面承继原中标人在本项目项下的全部担保权利与义务</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中标人须严格按照</w:t>
      </w:r>
      <w:r>
        <w:rPr>
          <w:rFonts w:hint="eastAsia" w:ascii="宋体" w:hAnsi="宋体" w:eastAsia="宋体" w:cs="宋体"/>
          <w:b/>
          <w:bCs/>
          <w:i/>
          <w:iCs/>
          <w:color w:val="auto"/>
          <w:sz w:val="24"/>
          <w:szCs w:val="24"/>
          <w:highlight w:val="none"/>
          <w:u w:val="single"/>
        </w:rPr>
        <w:t xml:space="preserve">招标人业务需求足额配置专职驻点</w:t>
      </w:r>
      <w:r>
        <w:rPr>
          <w:rFonts w:hint="eastAsia" w:ascii="宋体" w:hAnsi="宋体" w:eastAsia="宋体" w:cs="宋体"/>
          <w:b/>
          <w:bCs/>
          <w:i/>
          <w:iCs/>
          <w:color w:val="auto"/>
          <w:sz w:val="24"/>
          <w:szCs w:val="24"/>
          <w:highlight w:val="none"/>
          <w:u w:val="single"/>
          <w:lang w:val="en-US" w:eastAsia="zh-CN"/>
        </w:rPr>
        <w:t xml:space="preserve">工作</w:t>
      </w:r>
      <w:r>
        <w:rPr>
          <w:rFonts w:hint="eastAsia" w:ascii="宋体" w:hAnsi="宋体" w:eastAsia="宋体" w:cs="宋体"/>
          <w:b/>
          <w:bCs/>
          <w:i/>
          <w:iCs/>
          <w:color w:val="auto"/>
          <w:sz w:val="24"/>
          <w:szCs w:val="24"/>
          <w:highlight w:val="none"/>
          <w:u w:val="single"/>
        </w:rPr>
        <w:t xml:space="preserve">人员，</w:t>
      </w:r>
      <w:r>
        <w:rPr>
          <w:rFonts w:hint="eastAsia" w:ascii="宋体" w:hAnsi="宋体" w:eastAsia="宋体" w:cs="宋体"/>
          <w:b/>
          <w:bCs/>
          <w:i/>
          <w:iCs/>
          <w:color w:val="auto"/>
          <w:sz w:val="24"/>
          <w:szCs w:val="24"/>
          <w:highlight w:val="none"/>
          <w:u w:val="single"/>
          <w:lang w:val="en-US" w:eastAsia="zh-CN"/>
        </w:rPr>
        <w:t xml:space="preserve">保障常州</w:t>
      </w:r>
      <w:r>
        <w:rPr>
          <w:rFonts w:hint="eastAsia" w:ascii="宋体" w:hAnsi="宋体" w:eastAsia="宋体" w:cs="宋体"/>
          <w:b/>
          <w:bCs/>
          <w:i/>
          <w:iCs/>
          <w:color w:val="auto"/>
          <w:sz w:val="24"/>
          <w:szCs w:val="24"/>
          <w:highlight w:val="none"/>
          <w:u w:val="single"/>
        </w:rPr>
        <w:t xml:space="preserve">市一体化服务网络稳定运营，落实便民利民服务要求，确保市民就近办理担保业务不受</w:t>
      </w:r>
      <w:r>
        <w:rPr>
          <w:rFonts w:hint="eastAsia" w:ascii="宋体" w:hAnsi="宋体" w:eastAsia="宋体" w:cs="宋体"/>
          <w:b/>
          <w:bCs/>
          <w:i/>
          <w:iCs/>
          <w:color w:val="auto"/>
          <w:sz w:val="24"/>
          <w:szCs w:val="24"/>
          <w:highlight w:val="none"/>
          <w:u w:val="single"/>
          <w:lang w:val="en-US" w:eastAsia="zh-CN"/>
        </w:rPr>
        <w:t xml:space="preserve">项目</w:t>
      </w:r>
      <w:r>
        <w:rPr>
          <w:rFonts w:hint="eastAsia" w:ascii="宋体" w:hAnsi="宋体" w:eastAsia="宋体" w:cs="宋体"/>
          <w:b/>
          <w:bCs/>
          <w:i/>
          <w:iCs/>
          <w:color w:val="auto"/>
          <w:sz w:val="24"/>
          <w:szCs w:val="24"/>
          <w:highlight w:val="none"/>
          <w:u w:val="single"/>
        </w:rPr>
        <w:t xml:space="preserve">交接影响</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同时，中标人须在</w:t>
      </w:r>
      <w:r>
        <w:rPr>
          <w:rFonts w:hint="eastAsia" w:ascii="宋体" w:hAnsi="宋体" w:eastAsia="宋体" w:cs="宋体"/>
          <w:b/>
          <w:bCs/>
          <w:i/>
          <w:iCs/>
          <w:color w:val="auto"/>
          <w:sz w:val="24"/>
          <w:szCs w:val="24"/>
          <w:highlight w:val="none"/>
          <w:u w:val="single"/>
        </w:rPr>
        <w:t xml:space="preserve">中标后</w:t>
      </w:r>
      <w:r>
        <w:rPr>
          <w:rFonts w:hint="eastAsia" w:ascii="宋体" w:hAnsi="宋体" w:eastAsia="宋体" w:cs="宋体"/>
          <w:b/>
          <w:bCs/>
          <w:i/>
          <w:iCs/>
          <w:color w:val="auto"/>
          <w:sz w:val="24"/>
          <w:szCs w:val="24"/>
          <w:highlight w:val="none"/>
          <w:u w:val="single"/>
          <w:lang w:val="en-US" w:eastAsia="zh-CN"/>
        </w:rPr>
        <w:t xml:space="preserve">30</w:t>
      </w:r>
      <w:r>
        <w:rPr>
          <w:rFonts w:hint="eastAsia" w:ascii="宋体" w:hAnsi="宋体" w:eastAsia="宋体" w:cs="宋体"/>
          <w:b/>
          <w:bCs/>
          <w:i/>
          <w:iCs/>
          <w:color w:val="auto"/>
          <w:sz w:val="24"/>
          <w:szCs w:val="24"/>
          <w:highlight w:val="none"/>
          <w:u w:val="single"/>
        </w:rPr>
        <w:t xml:space="preserve">日内</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rPr>
        <w:t xml:space="preserve">完成全域网点对接、存量业务清点、档案移交、系统互通、合作银行及不动产登记部门协同、存量客户告知等全部交接工作并制定专项平稳过渡方案，过渡期严禁出现业务停办、抵押漏办、代偿延误、大规模投诉等问题，若</w:t>
      </w:r>
      <w:r>
        <w:rPr>
          <w:rFonts w:hint="eastAsia" w:ascii="宋体" w:hAnsi="宋体" w:eastAsia="宋体" w:cs="宋体"/>
          <w:b/>
          <w:bCs/>
          <w:i/>
          <w:iCs/>
          <w:color w:val="auto"/>
          <w:sz w:val="24"/>
          <w:szCs w:val="24"/>
          <w:highlight w:val="none"/>
          <w:u w:val="single"/>
          <w:lang w:val="en-US" w:eastAsia="zh-CN"/>
        </w:rPr>
        <w:t xml:space="preserve">因中标人自身原因造成</w:t>
      </w:r>
      <w:r>
        <w:rPr>
          <w:rFonts w:hint="eastAsia" w:ascii="宋体" w:hAnsi="宋体" w:eastAsia="宋体" w:cs="宋体"/>
          <w:b/>
          <w:bCs/>
          <w:i/>
          <w:iCs/>
          <w:color w:val="auto"/>
          <w:sz w:val="24"/>
          <w:szCs w:val="24"/>
          <w:highlight w:val="none"/>
          <w:u w:val="single"/>
        </w:rPr>
        <w:t xml:space="preserve">交接</w:t>
      </w:r>
      <w:r>
        <w:rPr>
          <w:rFonts w:hint="eastAsia" w:ascii="宋体" w:hAnsi="宋体" w:eastAsia="宋体" w:cs="宋体"/>
          <w:b/>
          <w:bCs/>
          <w:i/>
          <w:iCs/>
          <w:color w:val="auto"/>
          <w:sz w:val="24"/>
          <w:szCs w:val="24"/>
          <w:highlight w:val="none"/>
          <w:u w:val="single"/>
          <w:lang w:val="en-US" w:eastAsia="zh-CN"/>
        </w:rPr>
        <w:t xml:space="preserve">工作</w:t>
      </w:r>
      <w:r>
        <w:rPr>
          <w:rFonts w:hint="eastAsia" w:ascii="宋体" w:hAnsi="宋体" w:eastAsia="宋体" w:cs="宋体"/>
          <w:b/>
          <w:bCs/>
          <w:i/>
          <w:iCs/>
          <w:color w:val="auto"/>
          <w:sz w:val="24"/>
          <w:szCs w:val="24"/>
          <w:highlight w:val="none"/>
          <w:u w:val="single"/>
        </w:rPr>
        <w:t xml:space="preserve">落实不到位、服务网点无法正常运营、拒不承接存量业务等情况，进而影响招标人日常业务正常开展的，招标人有权终止合同，由此产生的一切损失均由中标人全部承担。（</w:t>
      </w:r>
      <w:r>
        <w:rPr>
          <w:rFonts w:hint="eastAsia" w:ascii="宋体" w:hAnsi="宋体" w:eastAsia="宋体" w:cs="宋体"/>
          <w:b/>
          <w:bCs/>
          <w:i/>
          <w:iCs/>
          <w:color w:val="auto"/>
          <w:sz w:val="24"/>
          <w:szCs w:val="24"/>
          <w:highlight w:val="none"/>
          <w:u w:val="single"/>
          <w:lang w:val="en-US" w:eastAsia="zh-CN"/>
        </w:rPr>
        <w:t xml:space="preserve">投标人须按上述要求提</w:t>
      </w:r>
      <w:r>
        <w:rPr>
          <w:rFonts w:hint="eastAsia" w:ascii="宋体" w:hAnsi="宋体" w:eastAsia="宋体" w:cs="宋体"/>
          <w:b/>
          <w:bCs/>
          <w:i/>
          <w:iCs/>
          <w:color w:val="auto"/>
          <w:sz w:val="24"/>
          <w:szCs w:val="24"/>
          <w:highlight w:val="none"/>
          <w:u w:val="single"/>
        </w:rPr>
        <w:t xml:space="preserve">供承诺函加盖投标人公章，格式自拟。本项为实质性要求，不提供视为无效投标。）</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（3）投标人根据招标人业务量及网点需求安排专人临柜办理业务，设立专门窗口，告知申请人有关</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内容并指导申请人签署相关</w:t>
      </w:r>
      <w:r>
        <w:rPr>
          <w:rFonts w:hint="eastAsia" w:ascii="宋体" w:hAnsi="宋体" w:eastAsia="宋体" w:cs="宋体"/>
          <w:color w:val="auto"/>
          <w:sz w:val="24"/>
          <w:szCs w:val="24"/>
          <w:highlight w:val="none"/>
          <w:lang w:val="en-US" w:eastAsia="zh-CN"/>
        </w:rPr>
        <w:t xml:space="preserve">担保</w:t>
      </w:r>
      <w:r>
        <w:rPr>
          <w:rFonts w:hint="eastAsia" w:ascii="宋体" w:hAnsi="宋体" w:eastAsia="宋体" w:cs="宋体"/>
          <w:color w:val="auto"/>
          <w:sz w:val="24"/>
          <w:szCs w:val="24"/>
          <w:highlight w:val="none"/>
        </w:rPr>
        <w:t xml:space="preserve">文本</w:t>
      </w:r>
      <w:r>
        <w:rPr>
          <w:rFonts w:hint="eastAsia" w:ascii="宋体" w:hAnsi="宋体" w:eastAsia="宋体" w:cs="宋体"/>
          <w:color w:val="auto"/>
          <w:sz w:val="24"/>
          <w:szCs w:val="24"/>
          <w:highlight w:val="none"/>
          <w:lang w:val="en-US" w:eastAsia="zh-CN"/>
        </w:rPr>
        <w:t xml:space="preserve">材料</w:t>
      </w:r>
      <w:r>
        <w:rPr>
          <w:rFonts w:hint="eastAsia" w:ascii="宋体" w:hAnsi="宋体" w:eastAsia="宋体" w:cs="宋体"/>
          <w:color w:val="auto"/>
          <w:sz w:val="24"/>
          <w:szCs w:val="24"/>
          <w:highlight w:val="none"/>
        </w:rPr>
        <w:t xml:space="preserve">。依规操作、规范使用相关担保业务信息化系统，同时前台工作人员严格遵守行为准则和服务规范，确保申请人的合理诉求能够得到满足。</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（4）投标人应按照招标人服务要求开展服务，招标人将对中标人进行服务考核（考核标准见附件1）。</w:t>
      </w:r>
      <w:r/>
    </w:p>
    <w:p>
      <w:pPr>
        <w:contextualSpacing/>
        <w:ind w:firstLine="24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i/>
          <w:iCs/>
          <w:color w:val="auto"/>
          <w:sz w:val="24"/>
          <w:szCs w:val="24"/>
          <w:highlight w:val="none"/>
          <w:u w:val="single"/>
        </w:rPr>
        <w:t xml:space="preserve">（5）投标人须</w:t>
      </w:r>
      <w:r>
        <w:rPr>
          <w:rFonts w:hint="eastAsia" w:ascii="宋体" w:hAnsi="宋体" w:eastAsia="宋体" w:cs="宋体"/>
          <w:b/>
          <w:bCs/>
          <w:i/>
          <w:iCs/>
          <w:color w:val="auto"/>
          <w:sz w:val="24"/>
          <w:szCs w:val="24"/>
          <w:highlight w:val="none"/>
          <w:u w:val="single"/>
          <w:lang w:val="en-US" w:eastAsia="zh-CN"/>
        </w:rPr>
        <w:t xml:space="preserve">具备</w:t>
      </w:r>
      <w:r>
        <w:rPr>
          <w:rFonts w:hint="eastAsia" w:ascii="宋体" w:hAnsi="宋体" w:eastAsia="宋体" w:cs="宋体"/>
          <w:b/>
          <w:bCs/>
          <w:i/>
          <w:iCs/>
          <w:color w:val="auto"/>
          <w:sz w:val="24"/>
          <w:szCs w:val="24"/>
          <w:highlight w:val="none"/>
          <w:u w:val="single"/>
        </w:rPr>
        <w:t xml:space="preserve">成熟完备的自有担保业务操作系统</w:t>
      </w:r>
      <w:r>
        <w:rPr>
          <w:rFonts w:hint="eastAsia" w:ascii="宋体" w:hAnsi="宋体" w:eastAsia="宋体" w:cs="宋体"/>
          <w:b/>
          <w:bCs/>
          <w:i/>
          <w:iCs/>
          <w:color w:val="auto"/>
          <w:sz w:val="24"/>
          <w:szCs w:val="24"/>
          <w:highlight w:val="none"/>
          <w:u w:val="single"/>
          <w:lang w:eastAsia="zh-CN"/>
        </w:rPr>
        <w:t xml:space="preserve">，</w:t>
      </w:r>
      <w:r>
        <w:rPr>
          <w:rFonts w:hint="eastAsia" w:ascii="宋体" w:hAnsi="宋体" w:eastAsia="宋体" w:cs="宋体"/>
          <w:b/>
          <w:bCs/>
          <w:i/>
          <w:iCs/>
          <w:color w:val="auto"/>
          <w:sz w:val="24"/>
          <w:szCs w:val="24"/>
          <w:highlight w:val="none"/>
          <w:u w:val="single"/>
          <w:lang w:val="en-US" w:eastAsia="zh-CN"/>
        </w:rPr>
        <w:t xml:space="preserve">拥有</w:t>
      </w:r>
      <w:r>
        <w:rPr>
          <w:rFonts w:hint="eastAsia" w:ascii="宋体" w:hAnsi="宋体" w:eastAsia="宋体" w:cs="宋体"/>
          <w:b/>
          <w:bCs/>
          <w:i/>
          <w:iCs/>
          <w:color w:val="auto"/>
          <w:sz w:val="24"/>
          <w:szCs w:val="24"/>
          <w:highlight w:val="none"/>
          <w:u w:val="single"/>
        </w:rPr>
        <w:t xml:space="preserve">根据招标人业务需求完成功能迭代、接口改造、数据互通的技术能力，可实现自有系统与招标人指定业务系统、常州市不动产登记部门线上服务系统全面对接、数据共享，保障存量及新增担保业务不间断正常开展；中标后</w:t>
      </w:r>
      <w:r>
        <w:rPr>
          <w:rFonts w:hint="eastAsia" w:ascii="宋体" w:hAnsi="宋体" w:eastAsia="宋体" w:cs="宋体"/>
          <w:b/>
          <w:bCs/>
          <w:i/>
          <w:iCs/>
          <w:color w:val="auto"/>
          <w:sz w:val="24"/>
          <w:szCs w:val="24"/>
          <w:highlight w:val="none"/>
          <w:u w:val="single"/>
          <w:lang w:val="en-US" w:eastAsia="zh-CN"/>
        </w:rPr>
        <w:t xml:space="preserve">30</w:t>
      </w:r>
      <w:r>
        <w:rPr>
          <w:rFonts w:hint="eastAsia" w:ascii="宋体" w:hAnsi="宋体" w:eastAsia="宋体" w:cs="宋体"/>
          <w:b/>
          <w:bCs/>
          <w:i/>
          <w:iCs/>
          <w:color w:val="auto"/>
          <w:sz w:val="24"/>
          <w:szCs w:val="24"/>
          <w:highlight w:val="none"/>
          <w:u w:val="single"/>
        </w:rPr>
        <w:t xml:space="preserve">日内须完成系统适配、联调、存量数据迁移等全部对接工作，若</w:t>
      </w:r>
      <w:r>
        <w:rPr>
          <w:rFonts w:hint="eastAsia" w:ascii="宋体" w:hAnsi="宋体" w:eastAsia="宋体" w:cs="宋体"/>
          <w:b/>
          <w:bCs/>
          <w:i/>
          <w:iCs/>
          <w:color w:val="auto"/>
          <w:sz w:val="24"/>
          <w:szCs w:val="24"/>
          <w:highlight w:val="none"/>
          <w:u w:val="single"/>
          <w:lang w:val="en-US" w:eastAsia="zh-CN"/>
        </w:rPr>
        <w:t xml:space="preserve">因中标人自身原因造成</w:t>
      </w:r>
      <w:r>
        <w:rPr>
          <w:rFonts w:hint="eastAsia" w:ascii="宋体" w:hAnsi="宋体" w:eastAsia="宋体" w:cs="宋体"/>
          <w:b/>
          <w:bCs/>
          <w:i/>
          <w:iCs/>
          <w:color w:val="auto"/>
          <w:sz w:val="24"/>
          <w:szCs w:val="24"/>
          <w:highlight w:val="none"/>
          <w:u w:val="single"/>
        </w:rPr>
        <w:t xml:space="preserve">系统改造对接滞后、无法实现数据互通，造成业务办理受阻的，招标人</w:t>
      </w:r>
      <w:r>
        <w:rPr>
          <w:rFonts w:hint="eastAsia" w:ascii="宋体" w:hAnsi="宋体" w:eastAsia="宋体" w:cs="宋体"/>
          <w:b/>
          <w:bCs/>
          <w:i/>
          <w:iCs/>
          <w:color w:val="auto"/>
          <w:sz w:val="24"/>
          <w:szCs w:val="24"/>
          <w:highlight w:val="none"/>
          <w:u w:val="single"/>
          <w:lang w:val="en-US" w:eastAsia="zh-CN"/>
        </w:rPr>
        <w:t xml:space="preserve">可要求中标人限期时整改</w:t>
      </w:r>
      <w:r>
        <w:rPr>
          <w:rFonts w:hint="eastAsia" w:ascii="宋体" w:hAnsi="宋体" w:eastAsia="宋体" w:cs="宋体"/>
          <w:b/>
          <w:bCs/>
          <w:i/>
          <w:iCs/>
          <w:color w:val="auto"/>
          <w:sz w:val="24"/>
          <w:szCs w:val="24"/>
          <w:highlight w:val="none"/>
          <w:u w:val="single"/>
        </w:rPr>
        <w:t xml:space="preserve">，若限时未整改或整改后仍达不到上述要求的，招标人有权终止合同，中标人承担由此造成的一切责任。（</w:t>
      </w:r>
      <w:r>
        <w:rPr>
          <w:rFonts w:hint="eastAsia" w:ascii="宋体" w:hAnsi="宋体" w:eastAsia="宋体" w:cs="宋体"/>
          <w:b/>
          <w:bCs/>
          <w:i/>
          <w:iCs/>
          <w:color w:val="auto"/>
          <w:sz w:val="24"/>
          <w:szCs w:val="24"/>
          <w:highlight w:val="none"/>
          <w:u w:val="single"/>
          <w:lang w:val="en-US" w:eastAsia="zh-CN"/>
        </w:rPr>
        <w:t xml:space="preserve">投标人须按上述要求提</w:t>
      </w:r>
      <w:r>
        <w:rPr>
          <w:rFonts w:hint="eastAsia" w:ascii="宋体" w:hAnsi="宋体" w:eastAsia="宋体" w:cs="宋体"/>
          <w:b/>
          <w:bCs/>
          <w:i/>
          <w:iCs/>
          <w:color w:val="auto"/>
          <w:sz w:val="24"/>
          <w:szCs w:val="24"/>
          <w:highlight w:val="none"/>
          <w:u w:val="single"/>
        </w:rPr>
        <w:t xml:space="preserve">供承诺函加盖投标人公章，格式自拟。本项为实质性要求，不提供视为无效投标。）</w:t>
      </w:r>
      <w:r/>
    </w:p>
    <w:p>
      <w:pPr>
        <w:contextualSpacing/>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2.保前审核</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（1）建立严格的担保业务流程管理，明确职责要求，确保责任落实到人，定期对网点服务、管理、业务操作规范等进行现场检查。</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（2）根据相关法律法规规章制度，结合业务实际工作情况，建立从办理业务的受理、合同文本面签、整档建档和档案移交等全部环节的规范化业务操作流程。</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（3）定期开展网点巡查：投标人需定期开展柜面巡查，通过访谈人员、抽查资料等方式提高员工的风险合规意识，避免业务差错及风险的发生。</w:t>
      </w:r>
      <w:r/>
    </w:p>
    <w:p>
      <w:pPr>
        <w:contextualSpacing/>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3.担保机构资质要求</w:t>
      </w:r>
      <w:r/>
    </w:p>
    <w:p>
      <w:pPr>
        <w:contextualSpacing/>
        <w:ind w:firstLine="480"/>
        <w:spacing w:line="360" w:lineRule="auto"/>
        <w:widowControl/>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投标人能够从事</w:t>
      </w:r>
      <w:r>
        <w:rPr>
          <w:rFonts w:hint="eastAsia" w:ascii="宋体" w:hAnsi="宋体" w:eastAsia="宋体" w:cs="宋体"/>
          <w:b/>
          <w:bCs/>
          <w:iCs/>
          <w:color w:val="auto"/>
          <w:sz w:val="24"/>
          <w:szCs w:val="24"/>
          <w:highlight w:val="none"/>
          <w:u w:val="single"/>
        </w:rPr>
        <w:t xml:space="preserve">住房置业</w:t>
      </w:r>
      <w:r>
        <w:rPr>
          <w:rFonts w:hint="eastAsia" w:ascii="宋体" w:hAnsi="宋体" w:eastAsia="宋体" w:cs="宋体"/>
          <w:b/>
          <w:bCs/>
          <w:color w:val="auto"/>
          <w:sz w:val="24"/>
          <w:szCs w:val="24"/>
          <w:highlight w:val="none"/>
          <w:u w:val="single"/>
        </w:rPr>
        <w:t xml:space="preserve">担保专业业务，能降低资金使用风险，保障财政资金使用安全，且获得《融资担保业务经营许可证》，许可经营范围应包含住房置业担保。投标人应提供有效的《融资担保业务经营许可证》扫描件并加盖投标人公章。</w:t>
      </w:r>
      <w:r/>
    </w:p>
    <w:p>
      <w:pPr>
        <w:contextualSpacing/>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4.保后管理</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（1）投标人应建立严格的管理制度和操作流程，负责抵押权落实、催收、产权变更、注销、投诉处理等工作。</w:t>
      </w:r>
      <w:r/>
    </w:p>
    <w:p>
      <w:pPr>
        <w:contextualSpacing/>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（2）抵押权证管理：须通过不动产登记部门系统在线上完成购房资助抵押登记业务。建立从抵押登记、权证催收到入库保管覆盖全部环节的管理流程，安排专人负责对接抵押办理事务。</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（3）产权变更服务：</w:t>
      </w:r>
      <w:r>
        <w:rPr>
          <w:rFonts w:hint="eastAsia" w:hAnsi="宋体" w:cs="宋体"/>
          <w:color w:val="auto"/>
          <w:sz w:val="24"/>
          <w:szCs w:val="24"/>
          <w:highlight w:val="none"/>
        </w:rPr>
        <w:t xml:space="preserve">借款存续期间，在保障资助资金安全的前提下，满足客户合理的变更诉求，如增加减少共有人、变更房屋地址等。</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（4）抵押注销服务：有效利用服务网点，配合招标人开展购房资助款项退还手续，并在客户退还结清购房资助款后，为前来办理抵押注销手续的客户提供相关服务。</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（5）投诉处理：安排专人负责对投诉进行处理及反馈。</w:t>
      </w:r>
      <w:r/>
    </w:p>
    <w:p>
      <w:pPr>
        <w:contextualSpacing/>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5.代偿</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（1）建立从启动代偿材料的审核、评审到审批等环节的规范化业务操作流程，明确职责要求，确保责任落实到人。</w:t>
      </w:r>
      <w:r/>
    </w:p>
    <w:p>
      <w:pPr>
        <w:contextualSpacing/>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（2）安排专人负责对接代偿事务，投标人在收到招标人书面通知后，于约定时间内完成归还购房资助款项。</w:t>
      </w:r>
      <w:r/>
    </w:p>
    <w:p>
      <w:pPr>
        <w:contextualSpacing/>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6.风险处置</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人应在依法合规的前提下开展追偿工作，避免社会矛盾激化，多措并举积极追偿。需聘请专业律师团队负责司法诉讼工作，由风险专员负责对案件的调查、立案、审理、执行等各环节进行监督与管理。同时根据实际情况采取和解、调解等多种方式实现处置回收。</w:t>
      </w:r>
      <w:r/>
    </w:p>
    <w:p>
      <w:pPr>
        <w:contextualSpacing/>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（二）人员要求</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入本项目服务人数不少于30人。项目负责人、专业总控团队（负责整个项目的整体运营及服务工作，控制项目的专业财务核算、风险评估、经济分析、及合规管控等，需要法律职业资格、会计师资格、经济师资格）、行政管理人员、前台咨询人员、受理人员、风险专员、会计、贷中担保审查人员、贷后资产管理人员、档案管理人员（负责全流程档案管理工作，需要档案资格）等。★</w:t>
      </w:r>
      <w:r>
        <w:rPr>
          <w:rFonts w:hint="eastAsia" w:ascii="宋体" w:hAnsi="宋体" w:eastAsia="宋体" w:cs="宋体"/>
          <w:b/>
          <w:bCs/>
          <w:i/>
          <w:color w:val="auto"/>
          <w:sz w:val="24"/>
          <w:szCs w:val="24"/>
          <w:highlight w:val="none"/>
          <w:u w:val="single"/>
        </w:rPr>
        <w:t xml:space="preserve">投标人须承诺中标后</w:t>
      </w:r>
      <w:r>
        <w:rPr>
          <w:rFonts w:hint="eastAsia" w:ascii="宋体" w:hAnsi="宋体" w:cs="宋体"/>
          <w:b/>
          <w:bCs/>
          <w:i/>
          <w:color w:val="auto"/>
          <w:sz w:val="24"/>
          <w:szCs w:val="24"/>
          <w:highlight w:val="none"/>
          <w:u w:val="single"/>
          <w:lang w:val="en-US" w:eastAsia="zh-CN"/>
        </w:rPr>
        <w:t xml:space="preserve">30</w:t>
      </w:r>
      <w:r>
        <w:rPr>
          <w:rFonts w:hint="eastAsia" w:ascii="宋体" w:hAnsi="宋体" w:eastAsia="宋体" w:cs="宋体"/>
          <w:b/>
          <w:bCs/>
          <w:i/>
          <w:color w:val="auto"/>
          <w:sz w:val="24"/>
          <w:szCs w:val="24"/>
          <w:highlight w:val="none"/>
          <w:u w:val="single"/>
        </w:rPr>
        <w:t xml:space="preserve">日内人员配备到位，并为本项目工作人员依法缴纳社保。（须提供承诺函加盖投标人公章，格式自拟。本项为实质性要求，不提供视为无效投标。）</w:t>
      </w:r>
      <w:r/>
    </w:p>
    <w:p>
      <w:pPr>
        <w:contextualSpacing/>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（三）其他服务要求</w:t>
      </w:r>
      <w:r/>
    </w:p>
    <w:p>
      <w:pPr>
        <w:contextualSpacing/>
        <w:ind w:firstLine="480"/>
        <w:spacing w:line="360" w:lineRule="auto"/>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（1）投标人中标后，应做好交接工作。</w:t>
      </w:r>
      <w:r/>
    </w:p>
    <w:p>
      <w:pPr>
        <w:contextualSpacing/>
        <w:ind w:firstLine="480"/>
        <w:spacing w:line="360" w:lineRule="auto"/>
        <w:widowControl/>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（2）为确保</w:t>
      </w:r>
      <w:r>
        <w:rPr>
          <w:rFonts w:hint="eastAsia" w:ascii="宋体" w:hAnsi="宋体" w:eastAsia="宋体" w:cs="宋体"/>
          <w:iCs/>
          <w:color w:val="auto"/>
          <w:sz w:val="24"/>
          <w:szCs w:val="24"/>
          <w:highlight w:val="none"/>
        </w:rPr>
        <w:t xml:space="preserve">招标人工作的有序进行，投标人应具有持续经营的能力。</w:t>
      </w:r>
      <w:r/>
    </w:p>
    <w:p>
      <w:pPr>
        <w:contextualSpacing/>
        <w:ind w:firstLine="480"/>
        <w:spacing w:line="360" w:lineRule="auto"/>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为避免申请人资料的外泄，投标人中标后，应对参与本项目所有人员进行保密管理培训，并与招标人签订保密协议。涉及到本项目的信息均属于保密事项。如有泄密，招标人将依法进行追责，中标人应承担相应责任。</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（4）</w:t>
      </w:r>
      <w:r>
        <w:rPr>
          <w:rFonts w:hint="eastAsia" w:ascii="宋体" w:hAnsi="宋体" w:eastAsia="宋体" w:cs="宋体"/>
          <w:color w:val="auto"/>
          <w:sz w:val="24"/>
          <w:szCs w:val="24"/>
          <w:highlight w:val="none"/>
        </w:rPr>
        <w:t xml:space="preserve">中标人应定期组织内部培训，积极参与招标人组织的业务培训，不断提高经办人员业务水平，确保工作质量。</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本次采购包含自购房资助政策执行以来所形成的存量担保责任的承接。招标人已提供《住房困难工薪群体购房资助协议范本》（详见附件2），投标人须基于该资料及所有公开政策资料，完全理解并承诺依法承继</w:t>
      </w:r>
      <w:r>
        <w:rPr>
          <w:rFonts w:hint="eastAsia" w:ascii="宋体" w:hAnsi="宋体" w:cs="宋体"/>
          <w:color w:val="auto"/>
          <w:sz w:val="24"/>
          <w:szCs w:val="24"/>
          <w:highlight w:val="none"/>
          <w:lang w:val="en-US" w:eastAsia="zh-CN"/>
        </w:rPr>
        <w:t xml:space="preserve">过渡期</w:t>
      </w:r>
      <w:r>
        <w:rPr>
          <w:rFonts w:hint="eastAsia" w:ascii="宋体" w:hAnsi="宋体" w:eastAsia="宋体" w:cs="宋体"/>
          <w:color w:val="auto"/>
          <w:sz w:val="24"/>
          <w:szCs w:val="24"/>
          <w:highlight w:val="none"/>
        </w:rPr>
        <w:t xml:space="preserve">存量担保的权利与义务。</w:t>
      </w:r>
      <w:r/>
    </w:p>
    <w:p>
      <w:pPr>
        <w:contextualSpacing/>
        <w:ind w:firstLine="24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i/>
          <w:iCs/>
          <w:color w:val="auto"/>
          <w:sz w:val="24"/>
          <w:szCs w:val="24"/>
          <w:highlight w:val="none"/>
          <w:u w:val="single"/>
        </w:rPr>
        <w:t xml:space="preserve">（6）中标人承诺，在承接本项目担保责任后，其所有的操作变更与流程调整均应遵循业务平稳过渡、服务影响最小化的原则。中标人负有及时、全面履行与合作银行及借款人的告知、对接与协调职责，以保障贷款及担保服务的连续性。在承继</w:t>
      </w:r>
      <w:r>
        <w:rPr>
          <w:rFonts w:hint="eastAsia" w:ascii="宋体" w:hAnsi="宋体" w:cs="宋体"/>
          <w:b/>
          <w:bCs/>
          <w:i/>
          <w:iCs/>
          <w:color w:val="auto"/>
          <w:sz w:val="24"/>
          <w:szCs w:val="24"/>
          <w:highlight w:val="none"/>
          <w:u w:val="single"/>
          <w:lang w:val="en-US" w:eastAsia="zh-CN"/>
        </w:rPr>
        <w:t xml:space="preserve">过渡期</w:t>
      </w:r>
      <w:r>
        <w:rPr>
          <w:rFonts w:hint="eastAsia" w:ascii="宋体" w:hAnsi="宋体" w:eastAsia="宋体" w:cs="宋体"/>
          <w:b/>
          <w:bCs/>
          <w:i/>
          <w:iCs/>
          <w:color w:val="auto"/>
          <w:sz w:val="24"/>
          <w:szCs w:val="24"/>
          <w:highlight w:val="none"/>
          <w:u w:val="single"/>
        </w:rPr>
        <w:t xml:space="preserve">存量及办理新增购房资助资金担保业务时，中标人必须采取所有必要法律措施（包括但不限于办理抵押登记），确保其享有的担保权益依法设立并优先受偿，以保障担保债权的安全。（须提供承诺函加盖投标人公章，格式自拟。本项为实质性要求，不提供视为无效投标。）</w:t>
      </w:r>
      <w:r/>
    </w:p>
    <w:p>
      <w:pPr>
        <w:contextualSpacing/>
        <w:ind w:firstLine="480"/>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（四）验收标准</w:t>
      </w:r>
      <w:r/>
    </w:p>
    <w:p>
      <w:pPr>
        <w:contextualSpacing/>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按照《支持住房困难工薪群体购买商品住房资助款担保服务项目管理考核表》进行考核。考核表详见附件。年度平均考核低于90分的，招标人有权解除委托管理合同。</w:t>
      </w:r>
      <w:r/>
    </w:p>
    <w:p>
      <w:pPr>
        <w:ind w:firstLine="480"/>
        <w:spacing w:line="360" w:lineRule="auto"/>
        <w:rPr>
          <w:rFonts w:hint="eastAsia" w:ascii="宋体" w:hAnsi="宋体" w:eastAsia="宋体" w:cs="宋体"/>
          <w:i/>
          <w:color w:val="auto"/>
          <w:sz w:val="24"/>
          <w:szCs w:val="24"/>
          <w:highlight w:val="none"/>
          <w:u w:val="single"/>
        </w:rPr>
      </w:pPr>
      <w:r>
        <w:rPr>
          <w:rFonts w:hint="eastAsia" w:ascii="宋体" w:hAnsi="宋体" w:eastAsia="宋体" w:cs="宋体"/>
          <w:b/>
          <w:bCs/>
          <w:color w:val="auto"/>
          <w:sz w:val="24"/>
          <w:szCs w:val="24"/>
          <w:highlight w:val="none"/>
        </w:rPr>
        <w:t xml:space="preserve">（五）实质性要求汇总</w:t>
      </w:r>
      <w:r/>
    </w:p>
    <w:tbl>
      <w:tblPr>
        <w:tblStyle w:val="970"/>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5430"/>
        <w:gridCol w:w="2371"/>
      </w:tblGrid>
      <w:tr>
        <w:trPr>
          <w:trHeight w:val="651"/>
        </w:trPr>
        <w:tc>
          <w:tcPr>
            <w:tcW w:w="423"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序号</w:t>
            </w:r>
            <w:r/>
          </w:p>
        </w:tc>
        <w:tc>
          <w:tcPr>
            <w:tcW w:w="3186"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实质性要求</w:t>
            </w:r>
            <w:r/>
          </w:p>
        </w:tc>
        <w:tc>
          <w:tcPr>
            <w:tcW w:w="1391"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证明材料</w:t>
            </w:r>
            <w:r/>
          </w:p>
        </w:tc>
      </w:tr>
      <w:tr>
        <w:trPr>
          <w:trHeight w:val="1445"/>
        </w:trPr>
        <w:tc>
          <w:tcPr>
            <w:tcW w:w="423"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1</w:t>
            </w:r>
            <w:r/>
          </w:p>
        </w:tc>
        <w:tc>
          <w:tcPr>
            <w:tcW w:w="3186" w:type="pct"/>
            <w:vAlign w:val="center"/>
            <w:textDirection w:val="lrTb"/>
            <w:noWrap w:val="false"/>
          </w:tcPr>
          <w:p>
            <w:pPr>
              <w:jc w:val="left"/>
              <w:rPr>
                <w:rFonts w:hint="eastAsia" w:ascii="宋体" w:hAnsi="宋体" w:eastAsia="宋体" w:cs="宋体"/>
                <w:bCs/>
                <w:iCs/>
                <w:color w:val="auto"/>
                <w:sz w:val="24"/>
                <w:szCs w:val="24"/>
                <w:highlight w:val="none"/>
              </w:rPr>
            </w:pPr>
            <w:r>
              <w:rPr>
                <w:rFonts w:hint="eastAsia" w:ascii="宋体" w:hAnsi="宋体" w:eastAsia="宋体" w:cs="宋体"/>
                <w:b w:val="0"/>
                <w:bCs/>
                <w:i w:val="0"/>
                <w:iCs/>
                <w:color w:val="auto"/>
                <w:sz w:val="24"/>
                <w:szCs w:val="24"/>
                <w:highlight w:val="none"/>
                <w:u w:val="none"/>
                <w:lang w:val="en-US" w:eastAsia="zh-CN"/>
              </w:rPr>
              <w:t xml:space="preserve">中标人须在中标后30日内，建成覆盖常州市全域的担保服务网点，覆盖范围包含钟楼区、天宁区、新北区、武进区（含经开区）、金坛区、溧阳市。中标后须无条件完整承接住房资助款担保服务项目过渡期内的全部存量担保业务、在保债权、存量客户、业务档案及抵押相关资料，全面承继原中标人在本项目项下的全部担保权利与义务。中标人须严格按照招标人业务需求足额配置专职驻点工作人员，保障常州市一体化服务网络稳定运营，落实便民利民服务要求，确保市民就近办理担保业务不受项目</w:t>
            </w:r>
            <w:r>
              <w:rPr>
                <w:rFonts w:hint="eastAsia" w:ascii="宋体" w:hAnsi="宋体" w:eastAsia="宋体" w:cs="宋体"/>
                <w:b w:val="0"/>
                <w:bCs/>
                <w:i w:val="0"/>
                <w:iCs/>
                <w:color w:val="auto"/>
                <w:sz w:val="24"/>
                <w:szCs w:val="24"/>
                <w:highlight w:val="none"/>
                <w:u w:val="none"/>
                <w:lang w:val="en-US" w:eastAsia="zh-CN"/>
              </w:rPr>
              <w:t xml:space="preserve">交接影响。同时，中标人须在中标后30日内，完成全域网点对接、存量业务清点、档案移交、系统互通、合作银行及不动产登记部门协同、存量客户告知等全部交接工作并制定专项平稳过渡方案，过渡期严禁出现业务停办、抵押漏办、代偿延误、大规模投诉等问题，若因中标人自身原因造成交接工作落实不到位、服务网点无法正常运营、拒不承接存量业务等情况，进而影响招标人日常业务正常开展的，招标人有权终止合同，由此产生的一切损失均由中标人全部承担。（投标人须按上述要求提供承诺函加盖投标人公章，格式自拟。本项为实质性要求，不提供视为无效投标。）</w:t>
            </w:r>
            <w:r/>
          </w:p>
        </w:tc>
        <w:tc>
          <w:tcPr>
            <w:tcW w:w="1391"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须提供承诺函加盖投标人公章，格式自拟。</w:t>
            </w:r>
            <w:r/>
          </w:p>
        </w:tc>
      </w:tr>
      <w:tr>
        <w:trPr>
          <w:trHeight w:val="90"/>
        </w:trPr>
        <w:tc>
          <w:tcPr>
            <w:tcW w:w="423"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2</w:t>
            </w:r>
            <w:r/>
          </w:p>
        </w:tc>
        <w:tc>
          <w:tcPr>
            <w:tcW w:w="3186" w:type="pct"/>
            <w:vAlign w:val="center"/>
            <w:textDirection w:val="lrTb"/>
            <w:noWrap w:val="false"/>
          </w:tcPr>
          <w:p>
            <w:pPr>
              <w:jc w:val="left"/>
              <w:rPr>
                <w:rFonts w:hint="eastAsia" w:ascii="宋体" w:hAnsi="宋体" w:eastAsia="宋体" w:cs="宋体"/>
                <w:bCs/>
                <w:iCs/>
                <w:color w:val="auto"/>
                <w:sz w:val="24"/>
                <w:szCs w:val="24"/>
                <w:highlight w:val="none"/>
                <w:u w:val="none"/>
              </w:rPr>
            </w:pPr>
            <w:r>
              <w:rPr>
                <w:rFonts w:hint="eastAsia" w:ascii="宋体" w:hAnsi="宋体" w:eastAsia="宋体" w:cs="宋体"/>
                <w:b w:val="0"/>
                <w:bCs/>
                <w:i w:val="0"/>
                <w:iCs/>
                <w:color w:val="auto"/>
                <w:sz w:val="24"/>
                <w:szCs w:val="24"/>
                <w:highlight w:val="none"/>
                <w:u w:val="none"/>
              </w:rPr>
              <w:t xml:space="preserve">投标人须具备成熟完备的自有担保业务操作系统，拥有根据招标人业务需求完成功能迭代、接</w:t>
            </w:r>
            <w:r>
              <w:rPr>
                <w:rFonts w:hint="eastAsia" w:ascii="宋体" w:hAnsi="宋体" w:eastAsia="宋体" w:cs="宋体"/>
                <w:b w:val="0"/>
                <w:bCs/>
                <w:i w:val="0"/>
                <w:iCs/>
                <w:color w:val="auto"/>
                <w:sz w:val="24"/>
                <w:szCs w:val="24"/>
                <w:highlight w:val="none"/>
                <w:u w:val="none"/>
              </w:rPr>
              <w:t xml:space="preserve">口改造、数据互通的技术能力，可实现自有系统与招标人指定业务系统、常州市不动产登记部门线上服务系统全面对接、数据共享，保障存量及新增担保业务不间断正常开展；中标后30日内须完成系统适配、联调、存量数据迁移等全部对接工作，若因中标人自身原因造成系统改造对接滞后、无法实现数据互通，造成业务办理受阻的，招标人可要求中标人限期时整改，若限时未整改或整改后仍达不到上述要求的，招标人有权终止合同，中标人承担由此造成的一切责任。（投标人须按上述要求提供承诺函加盖投标人公章，格式自拟。本项为实质性要求，不提供视为无效投标。）</w:t>
            </w:r>
            <w:r/>
          </w:p>
        </w:tc>
        <w:tc>
          <w:tcPr>
            <w:tcW w:w="1391"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须提供承诺函加盖投标人公章，格式自拟。</w:t>
            </w:r>
            <w:r/>
          </w:p>
        </w:tc>
      </w:tr>
      <w:tr>
        <w:trPr>
          <w:trHeight w:val="907"/>
        </w:trPr>
        <w:tc>
          <w:tcPr>
            <w:tcW w:w="423"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3</w:t>
            </w:r>
            <w:r/>
          </w:p>
        </w:tc>
        <w:tc>
          <w:tcPr>
            <w:tcW w:w="3186" w:type="pct"/>
            <w:vAlign w:val="center"/>
            <w:textDirection w:val="lrTb"/>
            <w:noWrap w:val="false"/>
          </w:tcPr>
          <w:p>
            <w:pPr>
              <w:jc w:val="left"/>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投标人须承诺中标后</w:t>
            </w:r>
            <w:r>
              <w:rPr>
                <w:rFonts w:hint="eastAsia" w:ascii="宋体" w:hAnsi="宋体" w:cs="宋体"/>
                <w:bCs/>
                <w:iCs/>
                <w:color w:val="auto"/>
                <w:sz w:val="24"/>
                <w:szCs w:val="24"/>
                <w:highlight w:val="none"/>
                <w:lang w:val="en-US" w:eastAsia="zh-CN"/>
              </w:rPr>
              <w:t xml:space="preserve">30</w:t>
            </w:r>
            <w:r>
              <w:rPr>
                <w:rFonts w:hint="eastAsia" w:ascii="宋体" w:hAnsi="宋体" w:eastAsia="宋体" w:cs="宋体"/>
                <w:bCs/>
                <w:iCs/>
                <w:color w:val="auto"/>
                <w:sz w:val="24"/>
                <w:szCs w:val="24"/>
                <w:highlight w:val="none"/>
              </w:rPr>
              <w:t xml:space="preserve">日内人员配备到位，并为本项目工作人员依法缴纳社保。（须提供承诺函加盖投标人公章，格式自拟。本项为实质性要求，不提供视为无效投标。）</w:t>
            </w:r>
            <w:r/>
          </w:p>
        </w:tc>
        <w:tc>
          <w:tcPr>
            <w:tcW w:w="1391"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须提供承诺函加盖投标人公章，格式自拟。</w:t>
            </w:r>
            <w:r/>
          </w:p>
        </w:tc>
      </w:tr>
      <w:tr>
        <w:trPr>
          <w:trHeight w:val="907"/>
        </w:trPr>
        <w:tc>
          <w:tcPr>
            <w:tcW w:w="423"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4</w:t>
            </w:r>
            <w:r/>
          </w:p>
        </w:tc>
        <w:tc>
          <w:tcPr>
            <w:tcW w:w="3186" w:type="pct"/>
            <w:vAlign w:val="center"/>
            <w:textDirection w:val="lrTb"/>
            <w:noWrap w:val="false"/>
          </w:tcPr>
          <w:p>
            <w:pPr>
              <w:jc w:val="left"/>
              <w:rPr>
                <w:rFonts w:hint="eastAsia" w:ascii="宋体" w:hAnsi="宋体" w:eastAsia="宋体" w:cs="宋体"/>
                <w:bCs/>
                <w:iCs/>
                <w:color w:val="auto"/>
                <w:sz w:val="24"/>
                <w:szCs w:val="24"/>
                <w:highlight w:val="none"/>
              </w:rPr>
            </w:pPr>
            <w:r>
              <w:rPr>
                <w:rFonts w:hint="eastAsia" w:ascii="宋体" w:hAnsi="宋体" w:eastAsia="宋体" w:cs="宋体"/>
                <w:color w:val="auto"/>
                <w:sz w:val="24"/>
                <w:szCs w:val="24"/>
                <w:highlight w:val="none"/>
              </w:rPr>
              <w:t xml:space="preserve">中标人承诺，在承接本项目担保责任后，其所有的操作变更与流程调整均应遵循业务平稳过渡、服务影响最小化的原则。中标人负有及时、全面履行与合作银行及借款人的告知、对接与协调职责，以保障贷款及担保服务的连续性。在承继</w:t>
            </w:r>
            <w:r>
              <w:rPr>
                <w:rFonts w:hint="eastAsia" w:ascii="宋体" w:hAnsi="宋体" w:cs="宋体"/>
                <w:color w:val="auto"/>
                <w:sz w:val="24"/>
                <w:szCs w:val="24"/>
                <w:highlight w:val="none"/>
                <w:lang w:val="en-US" w:eastAsia="zh-CN"/>
              </w:rPr>
              <w:t xml:space="preserve">过渡期</w:t>
            </w:r>
            <w:r>
              <w:rPr>
                <w:rFonts w:hint="eastAsia" w:ascii="宋体" w:hAnsi="宋体" w:eastAsia="宋体" w:cs="宋体"/>
                <w:color w:val="auto"/>
                <w:sz w:val="24"/>
                <w:szCs w:val="24"/>
                <w:highlight w:val="none"/>
              </w:rPr>
              <w:t xml:space="preserve">存量及办理新增购房资助资金担保业务时，中标人必须采取所有必要法律措施（包括但不限于办理抵押登记），确保其享有的担保权益依法设立并优先受偿，以保障担保债权的安全。（须提供承诺函加盖投标人公章，格式自拟。本项为实质性要求，不提供视为无效投标。）</w:t>
            </w:r>
            <w:r/>
          </w:p>
        </w:tc>
        <w:tc>
          <w:tcPr>
            <w:tcW w:w="1391" w:type="pct"/>
            <w:vAlign w:val="center"/>
            <w:textDirection w:val="lrTb"/>
            <w:noWrap w:val="false"/>
          </w:tcPr>
          <w:p>
            <w:pPr>
              <w:jc w:val="center"/>
              <w:rPr>
                <w:rFonts w:hint="eastAsia" w:ascii="宋体" w:hAnsi="宋体" w:eastAsia="宋体" w:cs="宋体"/>
                <w:bCs/>
                <w:iCs/>
                <w:color w:val="auto"/>
                <w:sz w:val="24"/>
                <w:szCs w:val="24"/>
                <w:highlight w:val="none"/>
              </w:rPr>
            </w:pPr>
            <w:r>
              <w:rPr>
                <w:rFonts w:hint="eastAsia" w:ascii="宋体" w:hAnsi="宋体" w:eastAsia="宋体" w:cs="宋体"/>
                <w:bCs/>
                <w:iCs/>
                <w:color w:val="auto"/>
                <w:sz w:val="24"/>
                <w:szCs w:val="24"/>
                <w:highlight w:val="none"/>
              </w:rPr>
              <w:t xml:space="preserve">须提供承诺函加盖投标人公章，格式自拟。</w:t>
            </w:r>
            <w:r/>
          </w:p>
        </w:tc>
      </w:tr>
    </w:tbl>
    <w:p>
      <w:pPr>
        <w:numPr>
          <w:ilvl w:val="0"/>
          <w:numId w:val="0"/>
        </w:numPr>
        <w:spacing w:line="360" w:lineRule="auto"/>
        <w:rPr>
          <w:rFonts w:hint="default" w:ascii="宋体" w:hAnsi="宋体" w:cs="宋体"/>
          <w:b/>
          <w:bCs/>
          <w:color w:val="auto"/>
          <w:sz w:val="24"/>
          <w:szCs w:val="24"/>
          <w:highlight w:val="none"/>
          <w:lang w:val="en-US" w:eastAsia="zh-CN"/>
        </w:rPr>
      </w:pPr>
      <w:r>
        <w:rPr>
          <w:rFonts w:hint="default" w:ascii="宋体" w:hAnsi="宋体" w:cs="宋体"/>
          <w:b/>
          <w:bCs/>
          <w:color w:val="auto"/>
          <w:sz w:val="24"/>
          <w:szCs w:val="24"/>
          <w:highlight w:val="none"/>
          <w:lang w:val="en-US" w:eastAsia="zh-CN"/>
        </w:rPr>
      </w:r>
      <w:r/>
    </w:p>
    <w:p>
      <w:pPr>
        <w:ind w:firstLine="482"/>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w:t>
      </w:r>
      <w:r>
        <w:rPr>
          <w:rFonts w:hint="eastAsia" w:ascii="宋体" w:hAnsi="宋体" w:cs="宋体"/>
          <w:b/>
          <w:bCs/>
          <w:color w:val="auto"/>
          <w:sz w:val="24"/>
          <w:highlight w:val="none"/>
        </w:rPr>
        <w:t xml:space="preserve">采购标的对应的中小企业划分标准所属行业一览表</w:t>
      </w:r>
      <w:r/>
    </w:p>
    <w:tbl>
      <w:tblPr>
        <w:tblStyle w:val="970"/>
        <w:tblW w:w="456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7"/>
        <w:gridCol w:w="3497"/>
        <w:gridCol w:w="3258"/>
      </w:tblGrid>
      <w:tr>
        <w:trPr>
          <w:cantSplit/>
          <w:jc w:val="center"/>
        </w:trPr>
        <w:tc>
          <w:tcPr>
            <w:tcW w:w="66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2247"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采购标的</w:t>
            </w:r>
            <w:r/>
          </w:p>
        </w:tc>
        <w:tc>
          <w:tcPr>
            <w:tcW w:w="2093"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对应中小企业划分标准所属行业</w:t>
            </w:r>
            <w:r/>
          </w:p>
        </w:tc>
      </w:tr>
      <w:tr>
        <w:trPr>
          <w:cantSplit/>
          <w:jc w:val="center"/>
          <w:trHeight w:val="291"/>
        </w:trPr>
        <w:tc>
          <w:tcPr>
            <w:tcW w:w="660" w:type="pct"/>
            <w:vAlign w:val="center"/>
            <w:textDirection w:val="lrTb"/>
            <w:noWrap w:val="false"/>
          </w:tcPr>
          <w:p>
            <w:pPr>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p>
        </w:tc>
        <w:tc>
          <w:tcPr>
            <w:tcW w:w="2247" w:type="pct"/>
            <w:vAlign w:val="center"/>
            <w:textDirection w:val="lrTb"/>
            <w:noWrap w:val="false"/>
          </w:tcPr>
          <w:p>
            <w:pPr>
              <w:jc w:val="center"/>
              <w:spacing w:line="360" w:lineRule="auto"/>
              <w:rPr>
                <w:rFonts w:hint="eastAsia" w:ascii="宋体" w:hAnsi="宋体" w:eastAsia="宋体" w:cs="宋体"/>
                <w:color w:val="auto"/>
                <w:sz w:val="24"/>
                <w:highlight w:val="none"/>
                <w:lang w:eastAsia="zh-CN"/>
              </w:rPr>
            </w:pPr>
            <w:r>
              <w:rPr>
                <w:rFonts w:hint="eastAsia" w:asciiTheme="minorEastAsia" w:hAnsiTheme="minorEastAsia" w:eastAsiaTheme="minorEastAsia"/>
                <w:color w:val="auto"/>
                <w:sz w:val="24"/>
                <w:highlight w:val="none"/>
                <w:lang w:eastAsia="zh-CN"/>
              </w:rPr>
              <w:t xml:space="preserve">支持住房困难工薪群体购买商品住房资助款担保服务项目</w:t>
            </w:r>
            <w:r/>
          </w:p>
        </w:tc>
        <w:tc>
          <w:tcPr>
            <w:tcW w:w="2093" w:type="pct"/>
            <w:vAlign w:val="center"/>
            <w:textDirection w:val="lrTb"/>
            <w:noWrap w:val="false"/>
          </w:tcPr>
          <w:p>
            <w:pPr>
              <w:jc w:val="cente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其他未列明行业</w:t>
            </w:r>
            <w:r/>
          </w:p>
        </w:tc>
      </w:tr>
    </w:tbl>
    <w:p>
      <w:pPr>
        <w:jc w:val="left"/>
        <w:widowControl/>
        <w:rPr>
          <w:rFonts w:ascii="宋体" w:hAnsi="宋体"/>
          <w:color w:val="auto"/>
          <w:sz w:val="24"/>
          <w:highlight w:val="none"/>
        </w:rPr>
      </w:pPr>
      <w:r>
        <w:rPr>
          <w:rFonts w:ascii="宋体" w:hAnsi="宋体"/>
          <w:color w:val="auto"/>
          <w:sz w:val="24"/>
          <w:highlight w:val="none"/>
        </w:rPr>
      </w:r>
      <w:r/>
    </w:p>
    <w:p>
      <w:pPr>
        <w:jc w:val="left"/>
        <w:widowControl/>
        <w:rPr>
          <w:rFonts w:ascii="宋体" w:hAnsi="宋体"/>
          <w:color w:val="auto"/>
          <w:sz w:val="24"/>
          <w:highlight w:val="none"/>
        </w:rPr>
      </w:pPr>
      <w:r>
        <w:rPr>
          <w:rFonts w:ascii="宋体" w:hAnsi="宋体"/>
          <w:color w:val="auto"/>
          <w:sz w:val="24"/>
          <w:highlight w:val="none"/>
        </w:rPr>
      </w:r>
      <w:r/>
    </w:p>
    <w:p>
      <w:pPr>
        <w:pageBreakBefore/>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附件1：《支持住房困难工薪群体购买商品住房资助款担保服务项目管理考核表》</w:t>
      </w:r>
      <w:r/>
    </w:p>
    <w:tbl>
      <w:tblPr>
        <w:tblStyle w:val="970"/>
        <w:tblW w:w="858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2943"/>
        <w:gridCol w:w="4367"/>
      </w:tblGrid>
      <w:tr>
        <w:trPr>
          <w:trHeight w:val="697"/>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考核要求</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扣分标准</w:t>
            </w:r>
            <w:r/>
          </w:p>
        </w:tc>
      </w:tr>
      <w:tr>
        <w:trPr>
          <w:cantSplit/>
          <w:trHeight w:val="1433"/>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组织保障</w:t>
            </w:r>
            <w:r/>
          </w:p>
          <w:p>
            <w:pPr>
              <w:jc w:val="center"/>
              <w:rPr>
                <w:rFonts w:hint="eastAsia" w:ascii="宋体" w:hAnsi="宋体" w:eastAsia="宋体" w:cs="宋体"/>
                <w:color w:val="auto"/>
                <w:sz w:val="24"/>
                <w:szCs w:val="24"/>
                <w:highlight w:val="none"/>
              </w:rPr>
            </w:pPr>
            <w:r/>
            <w:bookmarkStart w:id="830" w:name="OLE_LINK4"/>
            <w:r/>
            <w:bookmarkStart w:id="831" w:name="OLE_LINK3"/>
            <w:r/>
            <w:bookmarkStart w:id="832" w:name="OLE_LINK5"/>
            <w:r>
              <w:rPr>
                <w:rFonts w:hint="eastAsia" w:ascii="宋体" w:hAnsi="宋体" w:eastAsia="宋体" w:cs="宋体"/>
                <w:color w:val="auto"/>
                <w:sz w:val="24"/>
                <w:szCs w:val="24"/>
                <w:highlight w:val="none"/>
              </w:rPr>
              <w:t xml:space="preserve">（20分）</w:t>
            </w:r>
            <w:bookmarkEnd w:id="830"/>
            <w:r/>
            <w:bookmarkEnd w:id="831"/>
            <w:r/>
            <w:bookmarkEnd w:id="832"/>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1.根据业务需求指定对应部门和人员，负责和中心相关科室建立沟通协调机制。（5分）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未建立沟通机制或沟通不畅影响业务工作的，</w:t>
            </w:r>
            <w:bookmarkStart w:id="833" w:name="OLE_LINK8"/>
            <w:r>
              <w:rPr>
                <w:rFonts w:hint="eastAsia" w:ascii="宋体" w:hAnsi="宋体" w:eastAsia="宋体" w:cs="宋体"/>
                <w:color w:val="auto"/>
                <w:sz w:val="24"/>
                <w:szCs w:val="24"/>
                <w:highlight w:val="none"/>
              </w:rPr>
              <w:t xml:space="preserve">有一项扣1分，扣完为止。</w:t>
            </w:r>
            <w:bookmarkEnd w:id="83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964"/>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2.根据业务需要配备相关设施及人员。（5分）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设施和人员配备不到位的，有一项扣1分，扣完为止。</w:t>
            </w:r>
            <w:r/>
          </w:p>
        </w:tc>
      </w:tr>
      <w:tr>
        <w:trPr>
          <w:cantSplit/>
          <w:trHeight w:val="729"/>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3.加强对分支机构、服务网点的管理。（5分）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对分支机构管理不善，造成业务办理混乱的，有一项扣1分，扣完为止。</w:t>
            </w:r>
            <w:r/>
          </w:p>
        </w:tc>
      </w:tr>
      <w:tr>
        <w:trPr>
          <w:cantSplit/>
          <w:trHeight w:val="204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4.落实业务经办人员岗位职责，定期组织内部培训，积极参与中心的业务培训，不断提高经办人员业务水平，确保工作质量。</w:t>
            </w:r>
            <w:bookmarkStart w:id="834" w:name="OLE_LINK23"/>
            <w:r/>
            <w:bookmarkStart w:id="835" w:name="OLE_LINK22"/>
            <w:r>
              <w:rPr>
                <w:rFonts w:hint="eastAsia" w:ascii="宋体" w:hAnsi="宋体" w:eastAsia="宋体" w:cs="宋体"/>
                <w:color w:val="auto"/>
                <w:sz w:val="24"/>
                <w:szCs w:val="24"/>
                <w:highlight w:val="none"/>
              </w:rPr>
              <w:t xml:space="preserve">（5分）</w:t>
            </w:r>
            <w:bookmarkEnd w:id="834"/>
            <w:r/>
            <w:bookmarkEnd w:id="835"/>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人员未经培训上岗操作的，查实一项扣1分，扣完为止。</w:t>
            </w:r>
            <w:r/>
          </w:p>
        </w:tc>
      </w:tr>
      <w:tr>
        <w:trPr>
          <w:trHeight w:val="1241"/>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担保业务受理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5.严格按照政策标准、办理时限完成新增及存量资助购房担保业务受理、材料核验工作。</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bookmarkStart w:id="836" w:name="OLE_LINK12"/>
            <w:r/>
            <w:bookmarkStart w:id="837" w:name="OLE_LINK13"/>
            <w:r>
              <w:rPr>
                <w:rFonts w:hint="eastAsia" w:ascii="宋体" w:hAnsi="宋体" w:eastAsia="宋体" w:cs="宋体"/>
                <w:color w:val="auto"/>
                <w:sz w:val="24"/>
                <w:szCs w:val="24"/>
                <w:highlight w:val="none"/>
              </w:rPr>
              <w:t xml:space="preserve">因被考核人原因，未按要求和时限做好资助购房担保受理的，有一项扣0.5分，扣完为止。</w:t>
            </w:r>
            <w:bookmarkEnd w:id="836"/>
            <w:r/>
            <w:bookmarkEnd w:id="837"/>
            <w:r/>
            <w:r/>
          </w:p>
        </w:tc>
      </w:tr>
      <w:tr>
        <w:trPr>
          <w:cantSplit/>
          <w:trHeight w:val="1010"/>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保后管理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6.及时做好资助购房房产的抵押登记工作。（5分）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bookmarkStart w:id="838" w:name="OLE_LINK14"/>
            <w:r>
              <w:rPr>
                <w:rFonts w:hint="eastAsia" w:ascii="宋体" w:hAnsi="宋体" w:eastAsia="宋体" w:cs="宋体"/>
                <w:color w:val="auto"/>
                <w:sz w:val="24"/>
                <w:szCs w:val="24"/>
                <w:highlight w:val="none"/>
              </w:rPr>
              <w:t xml:space="preserve">因被考核人原因，未及时办理抵押登记的，</w:t>
            </w:r>
            <w:bookmarkStart w:id="839" w:name="OLE_LINK16"/>
            <w:r/>
            <w:bookmarkStart w:id="840" w:name="OLE_LINK17"/>
            <w:r>
              <w:rPr>
                <w:rFonts w:hint="eastAsia" w:ascii="宋体" w:hAnsi="宋体" w:eastAsia="宋体" w:cs="宋体"/>
                <w:color w:val="auto"/>
                <w:sz w:val="24"/>
                <w:szCs w:val="24"/>
                <w:highlight w:val="none"/>
              </w:rPr>
              <w:t xml:space="preserve">有一项扣0.5分，扣完为止。</w:t>
            </w:r>
            <w:bookmarkEnd w:id="838"/>
            <w:r/>
            <w:bookmarkEnd w:id="839"/>
            <w:r/>
            <w:bookmarkEnd w:id="840"/>
            <w:r/>
            <w:r/>
          </w:p>
        </w:tc>
      </w:tr>
      <w:tr>
        <w:trPr>
          <w:cantSplit/>
          <w:trHeight w:val="1121"/>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7.配合招标人督促开发企业做好产权登记工作。（5分）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bookmarkStart w:id="841" w:name="OLE_LINK2"/>
            <w:r/>
            <w:bookmarkStart w:id="842" w:name="OLE_LINK1"/>
            <w:r>
              <w:rPr>
                <w:rFonts w:hint="eastAsia" w:ascii="宋体" w:hAnsi="宋体" w:eastAsia="宋体" w:cs="宋体"/>
                <w:color w:val="auto"/>
                <w:sz w:val="24"/>
                <w:szCs w:val="24"/>
                <w:highlight w:val="none"/>
              </w:rPr>
              <w:t xml:space="preserve">因被考核人原因</w:t>
            </w:r>
            <w:bookmarkEnd w:id="841"/>
            <w:r/>
            <w:bookmarkEnd w:id="842"/>
            <w:r>
              <w:rPr>
                <w:rFonts w:hint="eastAsia" w:ascii="宋体" w:hAnsi="宋体" w:eastAsia="宋体" w:cs="宋体"/>
                <w:color w:val="auto"/>
                <w:sz w:val="24"/>
                <w:szCs w:val="24"/>
                <w:highlight w:val="none"/>
              </w:rPr>
              <w:t xml:space="preserve">，查实一项扣0.5分，扣完为止。</w:t>
            </w:r>
            <w:r/>
          </w:p>
        </w:tc>
      </w:tr>
      <w:tr>
        <w:trPr>
          <w:cantSplit/>
          <w:trHeight w:val="1036"/>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8.及时做好抵押注销工作。（5分）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因被考核人原因，未及时办理抵押注销的，有一项扣0.5分，扣完为止。</w:t>
            </w:r>
            <w:r/>
          </w:p>
        </w:tc>
      </w:tr>
      <w:tr>
        <w:trPr>
          <w:trHeight w:val="1074"/>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履行担保责任</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9.按要求和时限做好资助款未归还担保代偿工作。（15分）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未按要求履行担保代偿责任的，查实一笔扣1分，扣完为止。</w:t>
            </w:r>
            <w:r/>
          </w:p>
        </w:tc>
      </w:tr>
      <w:tr>
        <w:trPr>
          <w:cantSplit/>
          <w:trHeight w:val="1074"/>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服务管理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10.向资助购房客户提供规范、文明、优质服务。（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中心检查发现未提供规范服务的，查实一次0.5分。 </w:t>
            </w:r>
            <w:r/>
          </w:p>
        </w:tc>
      </w:tr>
      <w:tr>
        <w:trPr>
          <w:cantSplit/>
          <w:trHeight w:val="1074"/>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11.定期提供抵押明细台账、担保代偿等信息。（</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未按时、准确报送的，</w:t>
            </w:r>
            <w:bookmarkStart w:id="843" w:name="OLE_LINK19"/>
            <w:r/>
            <w:bookmarkStart w:id="844" w:name="OLE_LINK18"/>
            <w:r>
              <w:rPr>
                <w:rFonts w:hint="eastAsia" w:ascii="宋体" w:hAnsi="宋体" w:eastAsia="宋体" w:cs="宋体"/>
                <w:color w:val="auto"/>
                <w:sz w:val="24"/>
                <w:szCs w:val="24"/>
                <w:highlight w:val="none"/>
              </w:rPr>
              <w:t xml:space="preserve">查实一次扣0.5分。</w:t>
            </w:r>
            <w:bookmarkEnd w:id="843"/>
            <w:r/>
            <w:bookmarkEnd w:id="844"/>
            <w:r/>
            <w:r/>
          </w:p>
        </w:tc>
      </w:tr>
      <w:tr>
        <w:trPr>
          <w:cantSplit/>
          <w:trHeight w:val="1074"/>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12.确保数据安全，无数据泄露、数据丢失等情况。（</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查实一次扣</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trHeight w:val="1074"/>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系统保障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4分</w:t>
            </w:r>
            <w:r>
              <w:rPr>
                <w:rFonts w:hint="eastAsia" w:ascii="宋体" w:hAnsi="宋体" w:eastAsia="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13.担保系统稳定运行，做好系统日常运维，保障业务线上办理不间断。（</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线上业务停办、系统故障影响群众办事，查实</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次扣0.5分。</w:t>
            </w:r>
            <w:r/>
          </w:p>
        </w:tc>
      </w:tr>
      <w:tr>
        <w:trPr>
          <w:trHeight w:val="1074"/>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投诉处理（5分）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.安排专人负责对投诉进行处理及反馈。（5分）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因被考核人原因被客户投诉造成重大影响的，一次扣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r>
      <w:tr>
        <w:trPr>
          <w:trHeight w:val="959"/>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档案管理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.按要求、时限做好档案的收集、整理、管理工作。（</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未按要求、时限做好档案的收集、整理、管理工作，查实一次扣0.5分。</w:t>
            </w:r>
            <w:r/>
          </w:p>
        </w:tc>
      </w:tr>
      <w:tr>
        <w:trPr>
          <w:trHeight w:val="8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其它</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gridSpan w:val="2"/>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发生其他严重问题的扣5分；对招标人或第三方造成损失或其他严重后果的，还应负责赔偿经济损失，承担相应的法律责任。</w:t>
            </w:r>
            <w:r/>
          </w:p>
        </w:tc>
      </w:tr>
      <w:tr>
        <w:trPr>
          <w:trHeight w:val="882"/>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合计</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（100分）</w:t>
            </w:r>
            <w:r/>
          </w:p>
        </w:tc>
        <w:tc>
          <w:tcPr>
            <w:gridSpan w:val="2"/>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spacing w:before="183" w:beforeAutospacing="0" w:line="312"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注：考核周期内，得分在95分（含9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分）以上，全额支付应付担保服务费。得分处于 90 分（含）至 95 分区间内的，以 95 分为基准进行扣罚：每低于基准 1 分，扣罚 2万元；若得分非整数，扣罚金额按对应分数差额比例折算</w:t>
      </w:r>
      <w:r>
        <w:rPr>
          <w:rFonts w:hint="eastAsia" w:ascii="宋体" w:hAnsi="宋体" w:cs="宋体"/>
          <w:color w:val="auto"/>
          <w:sz w:val="24"/>
          <w:szCs w:val="24"/>
          <w:highlight w:val="none"/>
          <w:lang w:eastAsia="zh-CN"/>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spacing w:line="360" w:lineRule="auto"/>
        <w:widowControl/>
        <w:rPr>
          <w:rFonts w:hint="eastAsia" w:ascii="宋体" w:hAnsi="宋体" w:eastAsia="宋体" w:cs="宋体"/>
          <w:color w:val="auto"/>
          <w:sz w:val="24"/>
          <w:szCs w:val="24"/>
          <w:highlight w:val="none"/>
        </w:rPr>
        <w:sectPr>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auto"/>
          <w:sz w:val="24"/>
          <w:szCs w:val="24"/>
          <w:highlight w:val="none"/>
        </w:rPr>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附件2：</w:t>
      </w:r>
      <w:r/>
    </w:p>
    <w:p>
      <w:pPr>
        <w:ind w:firstLine="4560"/>
        <w:jc w:val="center"/>
        <w:spacing w:line="640" w:lineRule="exact"/>
        <w:widowControl/>
        <w:rPr>
          <w:rFonts w:hint="eastAsia" w:ascii="宋体" w:hAnsi="宋体" w:eastAsia="宋体" w:cs="宋体"/>
          <w:color w:val="auto"/>
          <w:sz w:val="24"/>
          <w:szCs w:val="24"/>
          <w:highlight w:val="none"/>
        </w:rPr>
      </w:pPr>
      <w:r/>
      <w:bookmarkStart w:id="845" w:name="OLE_LINK90"/>
      <w:r/>
      <w:bookmarkStart w:id="846" w:name="OLE_LINK91"/>
      <w:r>
        <w:rPr>
          <w:rFonts w:hint="eastAsia" w:ascii="宋体" w:hAnsi="宋体" w:eastAsia="宋体" w:cs="宋体"/>
          <w:color w:val="auto"/>
          <w:sz w:val="24"/>
          <w:szCs w:val="24"/>
          <w:highlight w:val="none"/>
          <w:lang w:bidi="ar"/>
        </w:rPr>
        <w:t xml:space="preserve">编号：</w:t>
      </w:r>
      <w:r>
        <w:rPr>
          <w:rFonts w:hint="eastAsia" w:ascii="宋体" w:hAnsi="宋体" w:eastAsia="宋体" w:cs="宋体"/>
          <w:color w:val="auto"/>
          <w:sz w:val="24"/>
          <w:szCs w:val="24"/>
          <w:highlight w:val="none"/>
          <w:u w:val="single"/>
          <w:lang w:bidi="ar"/>
        </w:rPr>
        <w:t xml:space="preserve">          </w:t>
      </w:r>
      <w:r/>
    </w:p>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jc w:val="center"/>
        <w:spacing w:line="64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住房困难工薪群体购房资助协议</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w:t>
      </w:r>
      <w:bookmarkStart w:id="847" w:name="_Hlk194236241"/>
      <w:r>
        <w:rPr>
          <w:rFonts w:hint="eastAsia" w:ascii="宋体" w:hAnsi="宋体" w:eastAsia="宋体" w:cs="宋体"/>
          <w:color w:val="auto"/>
          <w:sz w:val="24"/>
          <w:szCs w:val="24"/>
          <w:highlight w:val="none"/>
          <w:u w:val="single"/>
          <w:lang w:bidi="ar"/>
        </w:rPr>
        <w:t xml:space="preserve">           常州市住房保障中心             </w:t>
      </w:r>
      <w:bookmarkEnd w:id="847"/>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乙方（购房人）：</w:t>
      </w:r>
      <w:r>
        <w:rPr>
          <w:rFonts w:hint="eastAsia" w:ascii="宋体" w:hAnsi="宋体" w:eastAsia="宋体" w:cs="宋体"/>
          <w:color w:val="auto"/>
          <w:sz w:val="24"/>
          <w:szCs w:val="24"/>
          <w:highlight w:val="none"/>
          <w:u w:val="single"/>
          <w:lang w:bidi="ar"/>
        </w:rPr>
        <w:t xml:space="preserve">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住址：</w:t>
      </w:r>
      <w:r>
        <w:rPr>
          <w:rFonts w:hint="eastAsia" w:ascii="宋体" w:hAnsi="宋体" w:eastAsia="宋体" w:cs="宋体"/>
          <w:color w:val="auto"/>
          <w:sz w:val="24"/>
          <w:szCs w:val="24"/>
          <w:highlight w:val="none"/>
          <w:u w:val="single"/>
          <w:lang w:bidi="ar"/>
        </w:rPr>
        <w:t xml:space="preserve">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身份证号码：</w:t>
      </w:r>
      <w:r>
        <w:rPr>
          <w:rFonts w:hint="eastAsia" w:ascii="宋体" w:hAnsi="宋体" w:eastAsia="宋体" w:cs="宋体"/>
          <w:color w:val="auto"/>
          <w:sz w:val="24"/>
          <w:szCs w:val="24"/>
          <w:highlight w:val="none"/>
          <w:u w:val="single"/>
          <w:lang w:bidi="ar"/>
        </w:rPr>
        <w:t xml:space="preserve">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联系电话：</w:t>
      </w:r>
      <w:r>
        <w:rPr>
          <w:rFonts w:hint="eastAsia" w:ascii="宋体" w:hAnsi="宋体" w:eastAsia="宋体" w:cs="宋体"/>
          <w:color w:val="auto"/>
          <w:sz w:val="24"/>
          <w:szCs w:val="24"/>
          <w:highlight w:val="none"/>
          <w:u w:val="single"/>
          <w:lang w:bidi="ar"/>
        </w:rPr>
        <w:t xml:space="preserve">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丙方：</w:t>
      </w:r>
      <w:r>
        <w:rPr>
          <w:rFonts w:hint="eastAsia" w:ascii="宋体" w:hAnsi="宋体" w:eastAsia="宋体" w:cs="宋体"/>
          <w:color w:val="auto"/>
          <w:sz w:val="24"/>
          <w:szCs w:val="24"/>
          <w:highlight w:val="none"/>
          <w:u w:val="single"/>
          <w:lang w:bidi="ar"/>
        </w:rPr>
        <w:t xml:space="preserve">          （担保公司）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为贯彻落实进一步资助住房困难工薪群体购买商品住房的相关政策，经三方友好协商，订立如下协议：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第一条 经认定，乙方具备住房困难工薪群体购房资助资格，并在购房资助资格凭证有效期内购买了“</w:t>
      </w:r>
      <w:bookmarkStart w:id="848" w:name="OLE_LINK81"/>
      <w:r/>
      <w:bookmarkStart w:id="849" w:name="OLE_LINK80"/>
      <w:r>
        <w:rPr>
          <w:rFonts w:hint="eastAsia" w:ascii="宋体" w:hAnsi="宋体" w:eastAsia="宋体" w:cs="宋体"/>
          <w:color w:val="auto"/>
          <w:sz w:val="24"/>
          <w:szCs w:val="24"/>
          <w:highlight w:val="none"/>
          <w:lang w:bidi="ar"/>
        </w:rPr>
        <w:t xml:space="preserve">□</w:t>
      </w:r>
      <w:bookmarkEnd w:id="848"/>
      <w:r/>
      <w:bookmarkEnd w:id="849"/>
      <w:r/>
      <w:bookmarkStart w:id="850" w:name="OLE_LINK10"/>
      <w:r>
        <w:rPr>
          <w:rFonts w:hint="eastAsia" w:ascii="宋体" w:hAnsi="宋体" w:eastAsia="宋体" w:cs="宋体"/>
          <w:color w:val="auto"/>
          <w:sz w:val="24"/>
          <w:szCs w:val="24"/>
          <w:highlight w:val="none"/>
          <w:lang w:bidi="ar"/>
        </w:rPr>
        <w:t xml:space="preserve">刚需型新建商品住房房源库</w:t>
      </w:r>
      <w:bookmarkEnd w:id="850"/>
      <w:r>
        <w:rPr>
          <w:rFonts w:hint="eastAsia" w:ascii="宋体" w:hAnsi="宋体" w:eastAsia="宋体" w:cs="宋体"/>
          <w:color w:val="auto"/>
          <w:sz w:val="24"/>
          <w:szCs w:val="24"/>
          <w:highlight w:val="none"/>
          <w:lang w:bidi="ar"/>
        </w:rPr>
        <w:t xml:space="preserve"> □存量商品住房房源库”中坐落于</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的房屋（以下简称“该房屋”），建筑面积为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m</w:t>
      </w:r>
      <w:r>
        <w:rPr>
          <w:rFonts w:hint="eastAsia" w:ascii="宋体" w:hAnsi="宋体" w:eastAsia="宋体" w:cs="宋体"/>
          <w:color w:val="auto"/>
          <w:sz w:val="24"/>
          <w:szCs w:val="24"/>
          <w:highlight w:val="none"/>
          <w:vertAlign w:val="superscript"/>
          <w:lang w:bidi="ar"/>
        </w:rPr>
        <w:t xml:space="preserve">2</w:t>
      </w:r>
      <w:r>
        <w:rPr>
          <w:rFonts w:hint="eastAsia" w:ascii="宋体" w:hAnsi="宋体" w:eastAsia="宋体" w:cs="宋体"/>
          <w:color w:val="auto"/>
          <w:sz w:val="24"/>
          <w:szCs w:val="24"/>
          <w:highlight w:val="none"/>
          <w:lang w:bidi="ar"/>
        </w:rPr>
        <w:t xml:space="preserve">，购房合同编号为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。该房屋总价为人民币（大写）</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），可享受的购房资助为人民币（大写）</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乙方购买刚需型新建商品住房房源库房源的，同意</w:t>
      </w:r>
      <w:bookmarkStart w:id="851" w:name="OLE_LINK85"/>
      <w:r/>
      <w:bookmarkStart w:id="852" w:name="OLE_LINK84"/>
      <w:r>
        <w:rPr>
          <w:rFonts w:hint="eastAsia" w:ascii="宋体" w:hAnsi="宋体" w:eastAsia="宋体" w:cs="宋体"/>
          <w:color w:val="auto"/>
          <w:sz w:val="24"/>
          <w:szCs w:val="24"/>
          <w:highlight w:val="none"/>
        </w:rPr>
        <w:t xml:space="preserve">由甲方直接向开发企业兑付购房资助资金，并将资金按规定转入指定的预售资金托管机构。</w:t>
      </w:r>
      <w:bookmarkEnd w:id="851"/>
      <w:r/>
      <w:bookmarkEnd w:id="852"/>
      <w:r>
        <w:rPr>
          <w:rFonts w:hint="eastAsia" w:ascii="宋体" w:hAnsi="宋体" w:eastAsia="宋体" w:cs="宋体"/>
          <w:color w:val="auto"/>
          <w:sz w:val="24"/>
          <w:szCs w:val="24"/>
          <w:highlight w:val="none"/>
        </w:rPr>
        <w:t xml:space="preserve">乙方承诺在该新建商品住房具备办证条件并收到开发企业交房通知后及时办理房屋产权证，并配合办理抵押登记手续。</w:t>
      </w:r>
      <w:r/>
    </w:p>
    <w:p>
      <w:pPr>
        <w:ind w:firstLine="480"/>
        <w:spacing w:line="52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乙方购买存量商品住房房源库房源的，同意将交易资金全额</w:t>
      </w:r>
      <w:r>
        <w:rPr>
          <w:rFonts w:hint="eastAsia" w:ascii="宋体" w:hAnsi="宋体" w:eastAsia="宋体" w:cs="宋体"/>
          <w:color w:val="auto"/>
          <w:sz w:val="24"/>
          <w:szCs w:val="24"/>
          <w:highlight w:val="none"/>
        </w:rPr>
        <w:t xml:space="preserve">（房屋交易合同价款）</w:t>
      </w:r>
      <w:r>
        <w:rPr>
          <w:rFonts w:hint="eastAsia" w:ascii="宋体" w:hAnsi="宋体" w:eastAsia="宋体" w:cs="宋体"/>
          <w:color w:val="auto"/>
          <w:sz w:val="24"/>
          <w:szCs w:val="24"/>
          <w:highlight w:val="none"/>
          <w:lang w:bidi="ar"/>
        </w:rPr>
        <w:t xml:space="preserve">纳入资金监管范畴，若乙方与出售存量商品住房的产权人商定将定金、押金、保证金等其他房屋交易相关资金不纳入监管范畴，交易过程中由该类未监管部分资金引发的矛盾纠纷由乙方与出售存量商品住房的产权人自行解决并承担相应责任；在该存量商品住房完成不动产转移登记时，乙方同步办理抵押登记手续，并同意将购房资助资格凭证记录到出售存量商品住房的产权人名下。出售存量商品住房的产权人在规定的期限内使用该购房资助资格凭证购买</w:t>
      </w:r>
      <w:bookmarkStart w:id="853" w:name="OLE_LINK86"/>
      <w:r>
        <w:rPr>
          <w:rFonts w:hint="eastAsia" w:ascii="宋体" w:hAnsi="宋体" w:eastAsia="宋体" w:cs="宋体"/>
          <w:color w:val="auto"/>
          <w:sz w:val="24"/>
          <w:szCs w:val="24"/>
          <w:highlight w:val="none"/>
          <w:lang w:bidi="ar"/>
        </w:rPr>
        <w:t xml:space="preserve">刚需型新建商品住房房源库或改善型新建商品住房房源库</w:t>
      </w:r>
      <w:bookmarkEnd w:id="853"/>
      <w:r>
        <w:rPr>
          <w:rFonts w:hint="eastAsia" w:ascii="宋体" w:hAnsi="宋体" w:eastAsia="宋体" w:cs="宋体"/>
          <w:color w:val="auto"/>
          <w:sz w:val="24"/>
          <w:szCs w:val="24"/>
          <w:highlight w:val="none"/>
          <w:lang w:bidi="ar"/>
        </w:rPr>
        <w:t xml:space="preserve">房源后，由甲方直接向开发企业兑付购房资助资金，并将资金按规定转入指定的预售资金托管机构。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第三条 若乙方未持有购房资助资格凭证、未在购房资助资格凭证有效期内购买该房屋、所购房屋不在刚需型新建商品住房房源库和存量商品住房房源库的，甲方对购房资助将不予兑付或不将购房资助资格凭证记录到出售存量商品住房的产权人名下，由此产生的后果由乙方承担，与甲方无关。</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第四条 该房屋产权性质为资助购房，因继承、离婚析产等法定原因发生房屋所有权转让的，房产性质不变。</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第五条 乙方购买该房屋产生的税费及住宅专项维修资金等费用，全部由乙方承担。</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第六条 乙方持有该房屋期间承担整套住房的业主义务。</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第七条 乙方购买刚需型新建商品住房房源库中房源的，如解除该房屋的商品房买卖合同，应向甲方全额退还已发放的购房资助资金（不计息）。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第八条 乙方（购房资助的申请人与共同申请人）在我市如需购买其他商品住房，在购买前应向甲方全额退还购房资助资金（不计息）。</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第九条 乙方使用购房资助购买的房屋如上市交易或变更为完全产权，乙方（或产权人）应当按规定向甲方全额退还购房资助资金（不计息）。</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第十条 丙方同意为乙方根据本协议向甲方退还购房资助款的义务提供连带责任担保，乙方同意将该房屋作为反担保抵押给丙方。</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第十一条 本协议生效后，甲、乙、丙三方均应履行协议约定的义务，任何一方不履行或不完全履行约定义务的，违约方应当赔偿守约方的相应损失。</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第十二条 本协议履行过程中若有争议，甲、乙、丙三方应友好协商解决；协商不成的，向常州仲裁委员会申请仲裁。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第十三条 本协议自甲、乙、丙三方签字盖章之日起生效。</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第十四条 本协议一式肆份，甲、乙、丙三方各执壹份，壹份办理抵押登记。肆份具有同等法律效力。</w:t>
      </w:r>
      <w:r/>
    </w:p>
    <w:p>
      <w:pPr>
        <w:ind w:firstLine="20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甲方（盖章）：                    乙方（签字）：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（或授权代表）：                   </w:t>
      </w:r>
      <w:r/>
    </w:p>
    <w:p>
      <w:pPr>
        <w:ind w:firstLine="96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年    月    日                   年    月    日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丙方（盖章）：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（或授权代表）：               </w:t>
      </w:r>
      <w:r/>
    </w:p>
    <w:p>
      <w:pPr>
        <w:ind w:firstLine="1024"/>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年    月    日</w:t>
      </w:r>
      <w:bookmarkEnd w:id="845"/>
      <w:r/>
      <w:bookmarkEnd w:id="846"/>
      <w:r/>
      <w:r/>
    </w:p>
    <w:p>
      <w:pPr>
        <w:jc w:val="center"/>
        <w:keepLines w:val="0"/>
        <w:keepNext w:val="0"/>
        <w:pageBreakBefore/>
        <w:spacing w:line="360" w:lineRule="auto"/>
        <w:widowControl w:val="off"/>
        <w:rPr>
          <w:b/>
          <w:color w:val="auto"/>
          <w:sz w:val="36"/>
          <w:szCs w:val="36"/>
          <w:highlight w:val="none"/>
        </w:rPr>
        <w:outlineLvl w:val="0"/>
      </w:pPr>
      <w:r>
        <w:rPr>
          <w:b/>
          <w:color w:val="auto"/>
          <w:sz w:val="36"/>
          <w:szCs w:val="36"/>
          <w:highlight w:val="none"/>
        </w:rPr>
        <w:t xml:space="preserve">第六章   合同文本</w:t>
      </w:r>
      <w:bookmarkEnd w:id="829"/>
      <w:r/>
      <w:r/>
    </w:p>
    <w:p>
      <w:pPr>
        <w:spacing w:line="480" w:lineRule="auto"/>
        <w:rPr>
          <w:rFonts w:ascii="黑体" w:hAnsi="黑体" w:eastAsia="黑体"/>
          <w:color w:val="auto"/>
          <w:sz w:val="28"/>
          <w:szCs w:val="28"/>
          <w:highlight w:val="none"/>
          <w:u w:val="single"/>
        </w:rPr>
      </w:pPr>
      <w:r>
        <w:rPr>
          <w:rFonts w:hint="eastAsia" w:ascii="黑体" w:hAnsi="黑体" w:eastAsia="黑体"/>
          <w:color w:val="auto"/>
          <w:sz w:val="28"/>
          <w:szCs w:val="28"/>
          <w:highlight w:val="none"/>
        </w:rPr>
        <w:t xml:space="preserve">合同编号：</w:t>
      </w:r>
      <w:r/>
    </w:p>
    <w:p>
      <w:pPr>
        <w:jc w:val="right"/>
        <w:rPr>
          <w:rFonts w:ascii="仿宋" w:hAnsi="仿宋" w:eastAsia="仿宋"/>
          <w:color w:val="auto"/>
          <w:sz w:val="30"/>
          <w:szCs w:val="30"/>
          <w:highlight w:val="none"/>
        </w:rPr>
      </w:pPr>
      <w:r>
        <w:rPr>
          <w:rFonts w:hint="eastAsia" w:ascii="仿宋" w:hAnsi="仿宋" w:eastAsia="仿宋"/>
          <w:color w:val="auto"/>
          <w:sz w:val="30"/>
          <w:szCs w:val="30"/>
          <w:highlight w:val="none"/>
        </w:rPr>
        <w:t xml:space="preserve">参考格式</w:t>
      </w:r>
      <w:r/>
    </w:p>
    <w:p>
      <w:pPr>
        <w:jc w:val="right"/>
        <w:rPr>
          <w:rFonts w:ascii="仿宋" w:hAnsi="仿宋" w:eastAsia="仿宋"/>
          <w:color w:val="auto"/>
          <w:sz w:val="30"/>
          <w:szCs w:val="30"/>
          <w:highlight w:val="none"/>
        </w:rPr>
      </w:pPr>
      <w:r>
        <w:rPr>
          <w:rFonts w:ascii="仿宋" w:hAnsi="仿宋" w:eastAsia="仿宋"/>
          <w:color w:val="auto"/>
          <w:sz w:val="30"/>
          <w:szCs w:val="30"/>
          <w:highlight w:val="none"/>
        </w:rPr>
      </w:r>
      <w:r/>
    </w:p>
    <w:p>
      <w:pPr>
        <w:jc w:val="center"/>
        <w:spacing w:line="480" w:lineRule="auto"/>
        <w:rPr>
          <w:rFonts w:ascii="华文中宋" w:hAnsi="华文中宋" w:eastAsia="华文中宋"/>
          <w:color w:val="auto"/>
          <w:sz w:val="48"/>
          <w:szCs w:val="28"/>
          <w:highlight w:val="none"/>
        </w:rPr>
      </w:pPr>
      <w:r>
        <w:rPr>
          <w:rFonts w:ascii="华文中宋" w:hAnsi="华文中宋" w:eastAsia="华文中宋"/>
          <w:color w:val="auto"/>
          <w:sz w:val="48"/>
          <w:szCs w:val="28"/>
          <w:highlight w:val="none"/>
        </w:rPr>
      </w:r>
      <w:r/>
    </w:p>
    <w:p>
      <w:pPr>
        <w:jc w:val="center"/>
        <w:spacing w:line="480" w:lineRule="auto"/>
        <w:rPr>
          <w:rFonts w:ascii="华文中宋" w:hAnsi="华文中宋" w:eastAsia="华文中宋"/>
          <w:color w:val="auto"/>
          <w:sz w:val="48"/>
          <w:szCs w:val="28"/>
          <w:highlight w:val="none"/>
        </w:rPr>
      </w:pPr>
      <w:r>
        <w:rPr>
          <w:rFonts w:ascii="华文中宋" w:hAnsi="华文中宋" w:eastAsia="华文中宋"/>
          <w:color w:val="auto"/>
          <w:sz w:val="48"/>
          <w:szCs w:val="28"/>
          <w:highlight w:val="none"/>
        </w:rPr>
      </w:r>
      <w:r/>
    </w:p>
    <w:p>
      <w:pPr>
        <w:jc w:val="center"/>
        <w:spacing w:line="480" w:lineRule="auto"/>
        <w:rPr>
          <w:rFonts w:ascii="华文中宋" w:hAnsi="华文中宋" w:eastAsia="华文中宋"/>
          <w:color w:val="auto"/>
          <w:sz w:val="48"/>
          <w:szCs w:val="28"/>
          <w:highlight w:val="none"/>
        </w:rPr>
      </w:pPr>
      <w:r>
        <w:rPr>
          <w:rFonts w:hint="eastAsia" w:ascii="华文中宋" w:hAnsi="华文中宋" w:eastAsia="华文中宋"/>
          <w:color w:val="auto"/>
          <w:sz w:val="48"/>
          <w:szCs w:val="28"/>
          <w:highlight w:val="none"/>
          <w:lang w:eastAsia="zh-CN"/>
        </w:rPr>
        <w:t xml:space="preserve">支持住房困难工薪群体购买商品住房资助款担保服务项目</w:t>
      </w:r>
      <w:r>
        <w:rPr>
          <w:rFonts w:hint="eastAsia" w:ascii="华文中宋" w:hAnsi="华文中宋" w:eastAsia="华文中宋"/>
          <w:color w:val="auto"/>
          <w:sz w:val="48"/>
          <w:szCs w:val="28"/>
          <w:highlight w:val="none"/>
        </w:rPr>
        <w:t xml:space="preserve">合同 </w:t>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hint="eastAsia" w:ascii="楷体" w:hAnsi="楷体" w:eastAsia="楷体"/>
          <w:color w:val="auto"/>
          <w:sz w:val="24"/>
          <w:highlight w:val="none"/>
        </w:rPr>
        <w:t xml:space="preserve"> </w:t>
      </w:r>
      <w:r/>
    </w:p>
    <w:p>
      <w:pPr>
        <w:jc w:val="left"/>
        <w:rPr>
          <w:rFonts w:ascii="楷体" w:hAnsi="楷体" w:eastAsia="楷体"/>
          <w:color w:val="auto"/>
          <w:sz w:val="24"/>
          <w:highlight w:val="none"/>
        </w:rPr>
      </w:pPr>
      <w:r>
        <w:rPr>
          <w:rFonts w:hint="eastAsia" w:ascii="楷体" w:hAnsi="楷体" w:eastAsia="楷体"/>
          <w:color w:val="auto"/>
          <w:sz w:val="24"/>
          <w:highlight w:val="none"/>
        </w:rPr>
        <w:t xml:space="preserve"> </w:t>
      </w:r>
      <w:r/>
    </w:p>
    <w:p>
      <w:pPr>
        <w:jc w:val="left"/>
        <w:rPr>
          <w:rFonts w:ascii="楷体" w:hAnsi="楷体" w:eastAsia="楷体"/>
          <w:color w:val="auto"/>
          <w:sz w:val="24"/>
          <w:highlight w:val="none"/>
        </w:rPr>
      </w:pPr>
      <w:r>
        <w:rPr>
          <w:rFonts w:ascii="楷体" w:hAnsi="楷体" w:eastAsia="楷体"/>
          <w:color w:val="auto"/>
          <w:sz w:val="24"/>
          <w:highlight w:val="none"/>
        </w:rPr>
      </w:r>
      <w:r/>
    </w:p>
    <w:p>
      <w:pPr>
        <w:jc w:val="left"/>
        <w:rPr>
          <w:rFonts w:ascii="楷体" w:hAnsi="楷体" w:eastAsia="楷体"/>
          <w:color w:val="auto"/>
          <w:sz w:val="24"/>
          <w:highlight w:val="none"/>
        </w:rPr>
      </w:pPr>
      <w:r>
        <w:rPr>
          <w:rFonts w:ascii="楷体" w:hAnsi="楷体" w:eastAsia="楷体"/>
          <w:color w:val="auto"/>
          <w:sz w:val="24"/>
          <w:highlight w:val="none"/>
        </w:rPr>
      </w:r>
      <w:r/>
    </w:p>
    <w:p>
      <w:pPr>
        <w:ind w:firstLine="1606"/>
        <w:spacing w:before="120" w:line="240" w:lineRule="atLeast"/>
        <w:rPr>
          <w:rFonts w:hint="eastAsia" w:ascii="楷体" w:hAnsi="楷体" w:eastAsia="楷体"/>
          <w:b/>
          <w:bCs/>
          <w:color w:val="auto"/>
          <w:sz w:val="32"/>
          <w:szCs w:val="32"/>
          <w:highlight w:val="none"/>
          <w:lang w:eastAsia="zh-CN"/>
        </w:rPr>
      </w:pPr>
      <w:r>
        <w:rPr>
          <w:rFonts w:hint="eastAsia" w:ascii="楷体" w:hAnsi="楷体" w:eastAsia="楷体"/>
          <w:b/>
          <w:bCs/>
          <w:color w:val="auto"/>
          <w:sz w:val="32"/>
          <w:szCs w:val="32"/>
          <w:highlight w:val="none"/>
        </w:rPr>
        <w:t xml:space="preserve">甲方：</w:t>
      </w:r>
      <w:r>
        <w:rPr>
          <w:rFonts w:hint="eastAsia" w:ascii="楷体" w:hAnsi="楷体" w:eastAsia="楷体"/>
          <w:b/>
          <w:bCs/>
          <w:color w:val="auto"/>
          <w:sz w:val="32"/>
          <w:szCs w:val="32"/>
          <w:highlight w:val="none"/>
          <w:lang w:eastAsia="zh-CN"/>
        </w:rPr>
        <w:t xml:space="preserve">常州市住房保障中心</w:t>
      </w:r>
      <w:r/>
    </w:p>
    <w:p>
      <w:pPr>
        <w:ind w:firstLine="1606"/>
        <w:spacing w:before="120" w:line="240" w:lineRule="atLeast"/>
        <w:rPr>
          <w:rFonts w:ascii="楷体" w:hAnsi="楷体" w:eastAsia="楷体"/>
          <w:b/>
          <w:bCs/>
          <w:color w:val="auto"/>
          <w:sz w:val="32"/>
          <w:szCs w:val="32"/>
          <w:highlight w:val="none"/>
        </w:rPr>
      </w:pPr>
      <w:r>
        <w:rPr>
          <w:rFonts w:hint="eastAsia" w:ascii="楷体" w:hAnsi="楷体" w:eastAsia="楷体"/>
          <w:b/>
          <w:bCs/>
          <w:color w:val="auto"/>
          <w:sz w:val="32"/>
          <w:szCs w:val="32"/>
          <w:highlight w:val="none"/>
        </w:rPr>
        <w:t xml:space="preserve">乙方：</w:t>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ind w:firstLine="1280"/>
        <w:spacing w:before="120" w:line="240" w:lineRule="atLeast"/>
        <w:rPr>
          <w:rFonts w:ascii="黑体" w:hAnsi="黑体" w:eastAsia="黑体"/>
          <w:color w:val="auto"/>
          <w:sz w:val="32"/>
          <w:szCs w:val="28"/>
          <w:highlight w:val="none"/>
        </w:rPr>
      </w:pPr>
      <w:r>
        <w:rPr>
          <w:rFonts w:ascii="黑体" w:hAnsi="黑体" w:eastAsia="黑体"/>
          <w:color w:val="auto"/>
          <w:sz w:val="32"/>
          <w:szCs w:val="28"/>
          <w:highlight w:val="none"/>
        </w:rPr>
      </w:r>
      <w:r/>
    </w:p>
    <w:p>
      <w:pPr>
        <w:jc w:val="center"/>
        <w:spacing w:before="120" w:line="240" w:lineRule="atLeast"/>
        <w:rPr>
          <w:rFonts w:ascii="仿宋" w:hAnsi="仿宋" w:eastAsia="仿宋"/>
          <w:color w:val="auto"/>
          <w:sz w:val="32"/>
          <w:szCs w:val="32"/>
          <w:highlight w:val="none"/>
        </w:rPr>
        <w:sectPr>
          <w:footerReference w:type="default" r:id="rId17"/>
          <w:footnotePr/>
          <w:endnotePr/>
          <w:type w:val="nextPage"/>
          <w:pgSz w:w="11906" w:h="16838" w:orient="portrait"/>
          <w:pgMar w:top="1111" w:right="1191" w:bottom="1111" w:left="1191" w:header="851" w:footer="705" w:gutter="0"/>
          <w:cols w:num="1" w:sep="0" w:space="1701" w:equalWidth="1"/>
          <w:docGrid w:linePitch="360"/>
        </w:sectPr>
      </w:pPr>
      <w:r>
        <w:rPr>
          <w:rFonts w:hint="eastAsia" w:ascii="黑体" w:hAnsi="黑体" w:eastAsia="黑体"/>
          <w:color w:val="auto"/>
          <w:sz w:val="28"/>
          <w:szCs w:val="28"/>
          <w:highlight w:val="none"/>
        </w:rPr>
        <w:t xml:space="preserve">签订日期：   年   月   日</w:t>
      </w:r>
      <w:r/>
    </w:p>
    <w:p>
      <w:pPr>
        <w:ind w:firstLine="480"/>
        <w:jc w:val="left"/>
        <w:spacing w:line="288" w:lineRule="auto"/>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eastAsia="宋体" w:cs="宋体"/>
          <w:color w:val="auto"/>
          <w:sz w:val="24"/>
          <w:szCs w:val="24"/>
          <w:highlight w:val="none"/>
          <w:u w:val="single"/>
          <w:lang w:eastAsia="zh-CN"/>
        </w:rPr>
        <w:t xml:space="preserve">常州市住房保障中心</w:t>
      </w:r>
      <w:r>
        <w:rPr>
          <w:rFonts w:hint="eastAsia" w:ascii="宋体" w:hAnsi="宋体" w:eastAsia="宋体" w:cs="宋体"/>
          <w:color w:val="auto"/>
          <w:sz w:val="24"/>
          <w:szCs w:val="24"/>
          <w:highlight w:val="none"/>
        </w:rPr>
        <w:t xml:space="preserve">以</w:t>
      </w:r>
      <w:r>
        <w:rPr>
          <w:rFonts w:hint="eastAsia" w:ascii="宋体" w:hAnsi="宋体" w:eastAsia="宋体" w:cs="宋体"/>
          <w:color w:val="auto"/>
          <w:sz w:val="24"/>
          <w:szCs w:val="24"/>
          <w:highlight w:val="none"/>
          <w:u w:val="single"/>
          <w:lang w:val="en-US" w:eastAsia="zh-CN"/>
        </w:rPr>
        <w:t xml:space="preserve">公开招标</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u w:val="single"/>
          <w:lang w:eastAsia="zh-CN"/>
        </w:rPr>
        <w:t xml:space="preserve">支持住房困难工薪群体购买商品住房资助款担保服务项目</w:t>
      </w:r>
      <w:r>
        <w:rPr>
          <w:rFonts w:hint="eastAsia" w:ascii="宋体" w:hAnsi="宋体" w:eastAsia="宋体" w:cs="宋体"/>
          <w:color w:val="auto"/>
          <w:sz w:val="24"/>
          <w:szCs w:val="24"/>
          <w:highlight w:val="none"/>
        </w:rPr>
        <w:t xml:space="preserve">进行了采购。经评定，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为该项目</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。现于中标通知书发出之日起三十日内，按照</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文件确定的事项签订本合同。</w:t>
      </w:r>
      <w:r/>
    </w:p>
    <w:p>
      <w:pPr>
        <w:ind w:firstLine="480"/>
        <w:jc w:val="left"/>
        <w:spacing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根据《中华人民共和国民法典》、《中华人民共和国政府采购法》等相关法律法规之规定，按照平等、自愿、公平和诚实信用的原则，经</w:t>
      </w:r>
      <w:r>
        <w:rPr>
          <w:rFonts w:hint="eastAsia" w:ascii="宋体" w:hAnsi="宋体" w:eastAsia="宋体" w:cs="宋体"/>
          <w:color w:val="auto"/>
          <w:sz w:val="24"/>
          <w:szCs w:val="24"/>
          <w:highlight w:val="none"/>
          <w:u w:val="single"/>
          <w:lang w:eastAsia="zh-CN"/>
        </w:rPr>
        <w:t xml:space="preserve">常州市住房保障中心</w:t>
      </w:r>
      <w:r>
        <w:rPr>
          <w:rFonts w:hint="eastAsia" w:ascii="宋体" w:hAnsi="宋体" w:eastAsia="宋体" w:cs="宋体"/>
          <w:color w:val="auto"/>
          <w:sz w:val="24"/>
          <w:szCs w:val="24"/>
          <w:highlight w:val="none"/>
        </w:rPr>
        <w:t xml:space="preserve">以下简称：甲方)和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中标人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 xml:space="preserve">(以下简称：乙方)协商一致，约定以下合同条款，以兹共同遵守、全面履行。</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标的名称：支持住房困难工薪群体购买商品住房资助款担保服务项目</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1.2标的质量：按甲方要求。</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标的数量（规模）：为确保我市购房资助资金安全、规范、高效运行，提升整体资金安全水平，现拟采购购房资助担保服务。</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履行时间（期限）：合同一签</w:t>
      </w:r>
      <w:r>
        <w:rPr>
          <w:rFonts w:hint="eastAsia"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年。年度平均考核低于90分的,甲方有权解除委托管理合同。</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1.5质保期：担保服务持续至使用购房资助款项进行房屋交易的资助款担保全部完成。其担保责任至购房资助款项全额退还为止。</w:t>
      </w:r>
      <w:r/>
    </w:p>
    <w:p>
      <w:pPr>
        <w:pStyle w:val="1189"/>
        <w:ind w:firstLine="480"/>
        <w:spacing w:before="120" w:after="120" w:line="288"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1.6 履行地点：常州市</w:t>
      </w:r>
      <w:r>
        <w:rPr>
          <w:rFonts w:hint="eastAsia" w:hAnsi="宋体" w:cs="宋体"/>
          <w:color w:val="auto"/>
          <w:sz w:val="24"/>
          <w:szCs w:val="24"/>
          <w:highlight w:val="none"/>
          <w:lang w:eastAsia="zh-CN"/>
        </w:rPr>
        <w:t xml:space="preserve">。</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1.7履行方式：按甲方要求履行。</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w:t>
      </w:r>
      <w:bookmarkStart w:id="854" w:name="OLE_LINK21"/>
      <w:r/>
      <w:bookmarkStart w:id="855" w:name="OLE_LINK24"/>
      <w:r>
        <w:rPr>
          <w:rFonts w:hint="eastAsia" w:ascii="宋体" w:hAnsi="宋体" w:eastAsia="宋体" w:cs="宋体"/>
          <w:color w:val="auto"/>
          <w:sz w:val="24"/>
          <w:szCs w:val="24"/>
          <w:highlight w:val="none"/>
        </w:rPr>
        <w:t xml:space="preserve">本合同担保服务费率为：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最终结算价(人民币)=所担保的购房资助款金额×中标标的担保服务费率</w:t>
      </w:r>
      <w:r>
        <w:rPr>
          <w:rFonts w:hint="eastAsia" w:ascii="宋体" w:hAnsi="宋体" w:eastAsia="宋体" w:cs="宋体"/>
          <w:color w:val="auto"/>
          <w:sz w:val="24"/>
          <w:szCs w:val="24"/>
          <w:highlight w:val="none"/>
          <w:lang w:val="en-US" w:eastAsia="zh-CN"/>
        </w:rPr>
        <w:t xml:space="preserve">-考核扣款</w:t>
      </w:r>
      <w:r>
        <w:rPr>
          <w:rFonts w:hint="eastAsia" w:ascii="宋体" w:hAnsi="宋体" w:eastAsia="宋体" w:cs="宋体"/>
          <w:color w:val="auto"/>
          <w:sz w:val="24"/>
          <w:szCs w:val="24"/>
          <w:highlight w:val="none"/>
        </w:rPr>
        <w:t xml:space="preserve">，结算时四舍五入保留两位小数。</w:t>
      </w:r>
      <w:bookmarkEnd w:id="854"/>
      <w:bookmarkEnd w:id="855"/>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自本合同生效之日起</w:t>
      </w:r>
      <w:r>
        <w:rPr>
          <w:rFonts w:hint="eastAsia" w:hAnsi="宋体" w:cs="宋体"/>
          <w:color w:val="auto"/>
          <w:sz w:val="24"/>
          <w:szCs w:val="24"/>
          <w:highlight w:val="none"/>
          <w:lang w:val="en-US" w:eastAsia="zh-CN"/>
        </w:rPr>
        <w:t xml:space="preserve">两</w:t>
      </w:r>
      <w:r>
        <w:rPr>
          <w:rFonts w:hint="eastAsia" w:ascii="宋体" w:hAnsi="宋体" w:eastAsia="宋体" w:cs="宋体"/>
          <w:color w:val="auto"/>
          <w:sz w:val="24"/>
          <w:szCs w:val="24"/>
          <w:highlight w:val="none"/>
        </w:rPr>
        <w:t xml:space="preserve">年内，累计最终结算价不得超过</w:t>
      </w:r>
      <w:r>
        <w:rPr>
          <w:rFonts w:hint="eastAsia" w:ascii="宋体" w:hAnsi="宋体" w:eastAsia="宋体" w:cs="宋体"/>
          <w:color w:val="auto"/>
          <w:sz w:val="24"/>
          <w:szCs w:val="24"/>
          <w:highlight w:val="none"/>
          <w:lang w:eastAsia="zh-CN"/>
        </w:rPr>
        <w:t xml:space="preserve">180万元</w:t>
      </w:r>
      <w:r>
        <w:rPr>
          <w:rFonts w:hint="eastAsia" w:ascii="宋体" w:hAnsi="宋体" w:eastAsia="宋体" w:cs="宋体"/>
          <w:color w:val="auto"/>
          <w:sz w:val="24"/>
          <w:szCs w:val="24"/>
          <w:highlight w:val="none"/>
        </w:rPr>
        <w:t xml:space="preserve">。</w:t>
      </w:r>
      <w:r/>
    </w:p>
    <w:p>
      <w:pPr>
        <w:pStyle w:val="1189"/>
        <w:ind w:firstLine="480"/>
        <w:jc w:val="left"/>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当累计最终结算价达到</w:t>
      </w:r>
      <w:r>
        <w:rPr>
          <w:rFonts w:hint="eastAsia" w:ascii="宋体" w:hAnsi="宋体" w:eastAsia="宋体" w:cs="宋体"/>
          <w:color w:val="auto"/>
          <w:sz w:val="24"/>
          <w:szCs w:val="24"/>
          <w:highlight w:val="none"/>
          <w:lang w:eastAsia="zh-CN"/>
        </w:rPr>
        <w:t xml:space="preserve">180万元</w:t>
      </w:r>
      <w:r>
        <w:rPr>
          <w:rFonts w:hint="eastAsia" w:ascii="宋体" w:hAnsi="宋体" w:eastAsia="宋体" w:cs="宋体"/>
          <w:color w:val="auto"/>
          <w:sz w:val="24"/>
          <w:szCs w:val="24"/>
          <w:highlight w:val="none"/>
        </w:rPr>
        <w:t xml:space="preserve">时，本合同自动终止，但乙方就所担保项目应承担的质保义务，</w:t>
      </w:r>
      <w:r>
        <w:rPr>
          <w:rFonts w:hint="eastAsia" w:ascii="宋体" w:hAnsi="宋体" w:cs="宋体"/>
          <w:color w:val="auto"/>
          <w:sz w:val="24"/>
          <w:highlight w:val="none"/>
        </w:rPr>
        <w:t xml:space="preserve">仍应按本合同约定继续履行</w:t>
      </w:r>
      <w:r>
        <w:rPr>
          <w:rFonts w:hint="eastAsia" w:ascii="宋体" w:hAnsi="宋体" w:cs="宋体"/>
          <w:color w:val="auto"/>
          <w:sz w:val="24"/>
          <w:highlight w:val="none"/>
          <w:lang w:eastAsia="zh-CN"/>
        </w:rPr>
        <w:t xml:space="preserve">，直至对应借款人全额退还购房资助资金、担保义务完全解除、所有担保债权处置完毕</w:t>
      </w:r>
      <w:r>
        <w:rPr>
          <w:rFonts w:hint="eastAsia" w:ascii="宋体" w:hAnsi="宋体" w:eastAsia="宋体" w:cs="宋体"/>
          <w:color w:val="auto"/>
          <w:sz w:val="24"/>
          <w:szCs w:val="24"/>
          <w:highlight w:val="none"/>
        </w:rPr>
        <w:t xml:space="preserve">。</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3.1乙方应按招标文件规定的时间向甲方提供服务（包含与服务相关的货物）的有关技术资料。</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四、服务内容</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4.1服务范围</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建立覆盖全市范围的担保服务体系，人员配备及业务办理满足</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担保服务管理要求。</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4.2服务要求                     </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4.2.1人员配备及服务保障</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（1）建立覆盖全市范围的担保服务体系，人员配备及业务办理满足常州市住房保障中心相关业务要求。</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（2）乙方中标后，必须30日内在常州市区（覆盖钟楼区、天宁区）、新北区、武进区（覆盖经开区）、金坛区和溧阳市设立担保服务网点，</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b w:val="0"/>
          <w:bCs w:val="0"/>
          <w:i w:val="0"/>
          <w:iCs w:val="0"/>
          <w:color w:val="auto"/>
          <w:sz w:val="24"/>
          <w:szCs w:val="24"/>
          <w:highlight w:val="none"/>
          <w:u w:val="none"/>
        </w:rPr>
        <w:t xml:space="preserve">须无条件完整承接</w:t>
      </w:r>
      <w:r>
        <w:rPr>
          <w:rFonts w:hint="eastAsia" w:ascii="宋体" w:hAnsi="宋体" w:eastAsia="宋体" w:cs="宋体"/>
          <w:b w:val="0"/>
          <w:bCs w:val="0"/>
          <w:i w:val="0"/>
          <w:iCs w:val="0"/>
          <w:color w:val="auto"/>
          <w:sz w:val="24"/>
          <w:szCs w:val="24"/>
          <w:highlight w:val="none"/>
          <w:u w:val="none"/>
          <w:lang w:val="en-US" w:eastAsia="zh-CN"/>
        </w:rPr>
        <w:t xml:space="preserve">过渡期内（合同签订之日起</w:t>
      </w:r>
      <w:r>
        <w:rPr>
          <w:rFonts w:hint="eastAsia" w:hAnsi="宋体" w:cs="宋体"/>
          <w:b w:val="0"/>
          <w:bCs w:val="0"/>
          <w:i w:val="0"/>
          <w:iCs w:val="0"/>
          <w:color w:val="auto"/>
          <w:sz w:val="24"/>
          <w:szCs w:val="24"/>
          <w:highlight w:val="none"/>
          <w:u w:val="none"/>
          <w:lang w:val="en-US" w:eastAsia="zh-CN"/>
        </w:rPr>
        <w:t xml:space="preserve">30日</w:t>
      </w:r>
      <w:r>
        <w:rPr>
          <w:rFonts w:hint="eastAsia" w:ascii="宋体" w:hAnsi="宋体" w:eastAsia="宋体" w:cs="宋体"/>
          <w:b w:val="0"/>
          <w:bCs w:val="0"/>
          <w:i w:val="0"/>
          <w:iCs w:val="0"/>
          <w:color w:val="auto"/>
          <w:sz w:val="24"/>
          <w:szCs w:val="24"/>
          <w:highlight w:val="none"/>
          <w:u w:val="none"/>
          <w:lang w:val="en-US" w:eastAsia="zh-CN"/>
        </w:rPr>
        <w:t xml:space="preserve">内）的全部</w:t>
      </w:r>
      <w:r>
        <w:rPr>
          <w:rFonts w:hint="eastAsia" w:ascii="宋体" w:hAnsi="宋体" w:eastAsia="宋体" w:cs="宋体"/>
          <w:b w:val="0"/>
          <w:bCs w:val="0"/>
          <w:i w:val="0"/>
          <w:iCs w:val="0"/>
          <w:color w:val="auto"/>
          <w:sz w:val="24"/>
          <w:szCs w:val="24"/>
          <w:highlight w:val="none"/>
          <w:u w:val="none"/>
        </w:rPr>
        <w:t xml:space="preserve">存量担保业务、在保债权、存量客户、业务档案及抵押相关资料，全面承继原中标人在本项目项下的全部担保权利与义务</w:t>
      </w:r>
      <w:r>
        <w:rPr>
          <w:rFonts w:hint="eastAsia" w:ascii="宋体" w:hAnsi="宋体" w:eastAsia="宋体" w:cs="宋体"/>
          <w:b w:val="0"/>
          <w:bCs w:val="0"/>
          <w:i w:val="0"/>
          <w:iCs w:val="0"/>
          <w:color w:val="auto"/>
          <w:sz w:val="24"/>
          <w:szCs w:val="24"/>
          <w:highlight w:val="none"/>
          <w:u w:val="none"/>
          <w:lang w:eastAsia="zh-CN"/>
        </w:rPr>
        <w:t xml:space="preserve">，</w:t>
      </w:r>
      <w:r>
        <w:rPr>
          <w:rFonts w:hint="eastAsia" w:ascii="宋体" w:hAnsi="宋体" w:eastAsia="宋体" w:cs="宋体"/>
          <w:color w:val="auto"/>
          <w:sz w:val="24"/>
          <w:szCs w:val="24"/>
          <w:highlight w:val="none"/>
        </w:rPr>
        <w:t xml:space="preserve">对上一轮项目尚未办结、尚未完成履约的住房担保相关服务事项，由乙方全权接续办理、全程负责履约，承担全部对应责任，保障项目服务连续性、合规性与稳定性。并根据甲方需求，配置专职驻点人员，建立覆盖全市范围的服务网络，同时积极响应甲方便民利民要求，方便市民就近享受担保服务。（3）乙方根据甲方业务量及网点需求安排专人临柜办理业务，设立专门窗口，告知申请人有关合同内容并指导申请人签署相关合同文本。依规操作、规范使用相关担保业务信息化系统，同时前台工作人员严格遵守行为准则和服务规范，确保申请人的合理诉求能够得到满足。</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（4）乙方应按照甲方服务要求开展服务，甲方将对乙方进行服务考核。</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（5）乙方在中标后30日内，应根据甲方业务要求开发相应业务操作系统，自有担保业务系统应与甲方指定系统及常州市不动产登记部门线上服务系统做好数据共享等工作，保障业务顺利开展。</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4.2.2保前审核</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（1）建立严格的担保业务流程管理，明确职责要求，确保责任落实到人，定期对网点服务、管理、业务操作规范等进行现场检查。</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（2）根据相关法律法规规章制度，结合业务实际工作情况，建立从办理业务的受理、合同文本面签、整档建档和档案移交等全部环节的规范化业务操作流程。</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（3）定期开展网点巡查：乙方需定期开展柜面巡查，通过访谈人员、抽查资料等方式提高员工的风险合规意识，避免业务差错及风险的发生。</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4.2.3保后管理</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（1）乙方应建立严格的管理制度和操作流程，负责抵押权落实、催收、产权变更、注销、投诉处理等工作。</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（2）抵押权证管理：须通过不动产登记部门系统在线上完成购房资助抵押登记业务。建立从抵押登记、权证催收到入库保管覆盖全部环节的管理流程，安排专人负责对接抵押办理事务。</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（3）产权变更服务：</w:t>
      </w:r>
      <w:r>
        <w:rPr>
          <w:rFonts w:hint="eastAsia" w:hAnsi="宋体" w:cs="宋体"/>
          <w:color w:val="auto"/>
          <w:sz w:val="24"/>
          <w:szCs w:val="24"/>
          <w:highlight w:val="none"/>
        </w:rPr>
        <w:t xml:space="preserve">借款存续期间，在保障资助资金安全的前提下，满足客户合理的变更诉求，如增加减少共有人、变更房屋地址等。</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（4）抵押注销服务：有效利用服务网点，配合甲方开展购房资助款项退还手续，并在客户退还结清购房资助款后，为前来办理抵押注销手续的客户提供相关服务。</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（5）投诉处理：安排专人负责对投诉进行处理及反馈。</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4.2.4代偿</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（1）建立从启动代偿材料的审核、评审到审批等环节的规范化业务操作流程，明确职责要求，确保责任落实到人。</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（2）安排专人负责对接代偿事务，乙方在收到采购人书面通知后，于约定时间内完成归还购房资助款项。</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4.2.5风险处置</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应在依法合规的前提下开展追偿工作，避免社会矛盾激化，多措并举积极追偿。需聘请专业律师团队负责司法诉讼工作，由风险专员负责对案件的调查、立案、审理、执行等各环节进行监督与管理。同时根据实际情况采取和解、调解等多种方式实现处置回收。</w:t>
      </w:r>
      <w:r/>
    </w:p>
    <w:p>
      <w:pPr>
        <w:ind w:firstLine="482"/>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验收标准</w:t>
      </w:r>
      <w:r/>
    </w:p>
    <w:p>
      <w:pPr>
        <w:contextualSpacing/>
        <w:ind w:firstLine="48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按照《支持住房困难工薪群体购买商品住房资助款担保服务项目管理考核表》进行考核。考核表详见附件。年度平均考核低于90分的，甲方有权解除委托管理合同。</w:t>
      </w:r>
      <w:r/>
    </w:p>
    <w:p>
      <w:pPr>
        <w:ind w:firstLine="482"/>
        <w:spacing w:line="288"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其他要求</w:t>
      </w:r>
      <w:r/>
    </w:p>
    <w:p>
      <w:pPr>
        <w:contextualSpacing/>
        <w:ind w:firstLine="480"/>
        <w:spacing w:line="288" w:lineRule="auto"/>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（1）乙方应做好交接工作。</w:t>
      </w:r>
      <w:r/>
    </w:p>
    <w:p>
      <w:pPr>
        <w:contextualSpacing/>
        <w:ind w:firstLine="480"/>
        <w:spacing w:line="288" w:lineRule="auto"/>
        <w:widowControl/>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rPr>
        <w:t xml:space="preserve">（2）为确保</w:t>
      </w:r>
      <w:r>
        <w:rPr>
          <w:rFonts w:hint="eastAsia" w:ascii="宋体" w:hAnsi="宋体" w:eastAsia="宋体" w:cs="宋体"/>
          <w:iCs/>
          <w:color w:val="auto"/>
          <w:sz w:val="24"/>
          <w:szCs w:val="24"/>
          <w:highlight w:val="none"/>
        </w:rPr>
        <w:t xml:space="preserve">甲方工作的有序进行，乙方应具有持续经营的能力。</w:t>
      </w:r>
      <w:r/>
    </w:p>
    <w:p>
      <w:pPr>
        <w:contextualSpacing/>
        <w:ind w:firstLine="480"/>
        <w:spacing w:line="288" w:lineRule="auto"/>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（3）为避免申请人的个人资料的外泄，乙方及参与人员应对本项目进行保密管理并签订保密协议，涉及到本项目相关的信息均应进行保密，如有泄密，甲方将依法进行追责，乙方应承担一切责任。</w:t>
      </w:r>
      <w:r/>
    </w:p>
    <w:p>
      <w:pPr>
        <w:contextualSpacing/>
        <w:ind w:firstLine="48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（4）乙方</w:t>
      </w:r>
      <w:r>
        <w:rPr>
          <w:rFonts w:hint="eastAsia" w:ascii="宋体" w:hAnsi="宋体" w:eastAsia="宋体" w:cs="宋体"/>
          <w:color w:val="auto"/>
          <w:sz w:val="24"/>
          <w:szCs w:val="24"/>
          <w:highlight w:val="none"/>
        </w:rPr>
        <w:t xml:space="preserve">应定期组织内部培训，积极参与甲方组织的业务培训，不断提高经办人员业务水平，确保工作质量。</w:t>
      </w:r>
      <w:r/>
    </w:p>
    <w:p>
      <w:pPr>
        <w:contextualSpacing/>
        <w:ind w:firstLine="480"/>
        <w:spacing w:line="288" w:lineRule="auto"/>
        <w:widowControl/>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（5）本次采购包含自购房资助政策执行以来所形成的存量担保责任的承接。甲方已提供《住房困难工薪群体购房资助协议范本》（详见附件2），乙方须基于该资料及所有公开政策资料，完全理解并承诺依法承继</w:t>
      </w:r>
      <w:r>
        <w:rPr>
          <w:rFonts w:hint="eastAsia" w:ascii="宋体" w:hAnsi="宋体" w:cs="宋体"/>
          <w:iCs/>
          <w:color w:val="auto"/>
          <w:sz w:val="24"/>
          <w:szCs w:val="24"/>
          <w:highlight w:val="none"/>
          <w:lang w:val="en-US" w:eastAsia="zh-CN"/>
        </w:rPr>
        <w:t xml:space="preserve">过渡期</w:t>
      </w:r>
      <w:r>
        <w:rPr>
          <w:rFonts w:hint="eastAsia" w:ascii="宋体" w:hAnsi="宋体" w:eastAsia="宋体" w:cs="宋体"/>
          <w:iCs/>
          <w:color w:val="auto"/>
          <w:sz w:val="24"/>
          <w:szCs w:val="24"/>
          <w:highlight w:val="none"/>
        </w:rPr>
        <w:t xml:space="preserve">存量担保的权利与义务。</w:t>
      </w:r>
      <w:r/>
    </w:p>
    <w:p>
      <w:pPr>
        <w:contextualSpacing/>
        <w:ind w:firstLine="480"/>
        <w:spacing w:line="288" w:lineRule="auto"/>
        <w:widowControl/>
        <w:rPr>
          <w:rFonts w:hint="eastAsia" w:ascii="宋体" w:hAnsi="宋体" w:eastAsia="宋体" w:cs="宋体"/>
          <w:color w:val="auto"/>
          <w:sz w:val="24"/>
          <w:szCs w:val="24"/>
          <w:highlight w:val="none"/>
        </w:rPr>
      </w:pPr>
      <w:r>
        <w:rPr>
          <w:rFonts w:hint="eastAsia" w:ascii="宋体" w:hAnsi="宋体" w:eastAsia="宋体" w:cs="宋体"/>
          <w:iCs/>
          <w:color w:val="auto"/>
          <w:sz w:val="24"/>
          <w:szCs w:val="24"/>
          <w:highlight w:val="none"/>
        </w:rPr>
        <w:t xml:space="preserve">（6）乙方在承接本</w:t>
      </w:r>
      <w:r>
        <w:rPr>
          <w:rFonts w:hint="eastAsia" w:ascii="宋体" w:hAnsi="宋体" w:eastAsia="宋体" w:cs="宋体"/>
          <w:color w:val="auto"/>
          <w:sz w:val="24"/>
          <w:szCs w:val="24"/>
          <w:highlight w:val="none"/>
        </w:rPr>
        <w:t xml:space="preserve">项目担保责任后，其所有的操作变更与流程调整均应遵循业务平稳过渡、服务影响最小化的原则。</w:t>
      </w:r>
      <w:r>
        <w:rPr>
          <w:rFonts w:hint="eastAsia" w:ascii="宋体" w:hAnsi="宋体" w:eastAsia="宋体" w:cs="宋体"/>
          <w:iCs/>
          <w:color w:val="auto"/>
          <w:sz w:val="24"/>
          <w:szCs w:val="24"/>
          <w:highlight w:val="none"/>
        </w:rPr>
        <w:t xml:space="preserve">乙方</w:t>
      </w:r>
      <w:r>
        <w:rPr>
          <w:rFonts w:hint="eastAsia" w:ascii="宋体" w:hAnsi="宋体" w:eastAsia="宋体" w:cs="宋体"/>
          <w:color w:val="auto"/>
          <w:sz w:val="24"/>
          <w:szCs w:val="24"/>
          <w:highlight w:val="none"/>
        </w:rPr>
        <w:t xml:space="preserve">负有及时、全面履行与合作银行及借款人的告知、对接与协调职责，以保障贷款及担保服务的连续性。在承继</w:t>
      </w:r>
      <w:r>
        <w:rPr>
          <w:rFonts w:hint="eastAsia" w:ascii="宋体" w:hAnsi="宋体" w:cs="宋体"/>
          <w:color w:val="auto"/>
          <w:sz w:val="24"/>
          <w:szCs w:val="24"/>
          <w:highlight w:val="none"/>
          <w:lang w:val="en-US" w:eastAsia="zh-CN"/>
        </w:rPr>
        <w:t xml:space="preserve">过渡期</w:t>
      </w:r>
      <w:r>
        <w:rPr>
          <w:rFonts w:hint="eastAsia" w:ascii="宋体" w:hAnsi="宋体" w:eastAsia="宋体" w:cs="宋体"/>
          <w:color w:val="auto"/>
          <w:sz w:val="24"/>
          <w:szCs w:val="24"/>
          <w:highlight w:val="none"/>
        </w:rPr>
        <w:t xml:space="preserve">存量及办理新增购房资助资金担保业务时，</w:t>
      </w:r>
      <w:r>
        <w:rPr>
          <w:rFonts w:hint="eastAsia" w:ascii="宋体" w:hAnsi="宋体" w:eastAsia="宋体" w:cs="宋体"/>
          <w:iCs/>
          <w:color w:val="auto"/>
          <w:sz w:val="24"/>
          <w:szCs w:val="24"/>
          <w:highlight w:val="none"/>
        </w:rPr>
        <w:t xml:space="preserve">乙方</w:t>
      </w:r>
      <w:r>
        <w:rPr>
          <w:rFonts w:hint="eastAsia" w:ascii="宋体" w:hAnsi="宋体" w:eastAsia="宋体" w:cs="宋体"/>
          <w:color w:val="auto"/>
          <w:sz w:val="24"/>
          <w:szCs w:val="24"/>
          <w:highlight w:val="none"/>
        </w:rPr>
        <w:t xml:space="preserve">必须采取所有必要法律措施（包括但不限于办理抵押登记），确保其享有的担保权益依法设立并优先受偿，以保障担保债权的</w:t>
      </w:r>
      <w:r>
        <w:rPr>
          <w:rFonts w:hint="eastAsia" w:ascii="宋体" w:hAnsi="宋体" w:eastAsia="宋体" w:cs="宋体"/>
          <w:i/>
          <w:iCs/>
          <w:color w:val="auto"/>
          <w:sz w:val="24"/>
          <w:szCs w:val="24"/>
          <w:highlight w:val="none"/>
        </w:rPr>
        <w:t xml:space="preserve">安全。</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七、知识产权</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7.1乙方应保证甲方在使用、接受本合同服务（包含与服务相关的货物）或其任何一部分时不受第三方提出侵犯其专利权、版权、商标权和工业设计权等知识产权的起诉。一旦出现侵权，由乙方负全部责任。</w:t>
      </w:r>
      <w:r/>
    </w:p>
    <w:p>
      <w:pPr>
        <w:pStyle w:val="1189"/>
        <w:ind w:firstLine="482"/>
        <w:spacing w:before="120" w:after="120" w:line="288"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八、产权担保</w:t>
      </w:r>
      <w:r/>
    </w:p>
    <w:p>
      <w:pPr>
        <w:pStyle w:val="1189"/>
        <w:ind w:firstLine="480"/>
        <w:spacing w:before="120" w:after="120" w:line="288"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8.1 乙方保证所交付的服务（包含与服务相关的货物）的所有权完全属于乙方且无任何抵押、查封等产权瑕疵。</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九、履约保证金</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不收取</w:t>
      </w:r>
      <w:r>
        <w:rPr>
          <w:rFonts w:hint="eastAsia" w:ascii="宋体" w:hAnsi="宋体" w:eastAsia="宋体" w:cs="宋体"/>
          <w:color w:val="auto"/>
          <w:sz w:val="24"/>
          <w:szCs w:val="24"/>
          <w:highlight w:val="none"/>
        </w:rPr>
        <w:t xml:space="preserve">履约保证金。</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乙方交纳人民币</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元作为本合同的履约保证金。（不得超过合同金额的5%）。供应商可以自主选择以支票、汇票、本票、保函（保险）等非现金形式交纳或提交，按照省市有关文件精神，鼓励优先采用电子履约保函（保险）形式。</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9.2合同履行结束后，甲方应及时退还交纳的履约保证金。</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9.2.1履约保证金退还方式：/</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9.2.2履约保证金退还时间：/</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9.2.3履约保证金退还条件：/</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9.2.4履约保证金不予退还的情形：/</w:t>
      </w:r>
      <w:r/>
    </w:p>
    <w:p>
      <w:pPr>
        <w:ind w:firstLine="482"/>
        <w:spacing w:before="156" w:after="156"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十、合同转包或分包</w:t>
      </w:r>
      <w:r/>
    </w:p>
    <w:p>
      <w:pPr>
        <w:ind w:firstLine="480"/>
        <w:spacing w:before="156" w:after="156"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10.1乙方不得将合同标的转包给他人履行。</w:t>
      </w:r>
      <w:r/>
    </w:p>
    <w:p>
      <w:pPr>
        <w:ind w:firstLine="480"/>
        <w:spacing w:before="156" w:after="156"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10.2乙方不得将合同标的分包给他人履行。</w:t>
      </w:r>
      <w:r/>
    </w:p>
    <w:p>
      <w:pPr>
        <w:ind w:firstLine="480"/>
        <w:spacing w:before="156" w:after="156"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10.3乙方如有转包或未经甲方同意的分包行为，甲方有权解除合同。</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十一、合同款项支付</w:t>
      </w:r>
      <w:r/>
    </w:p>
    <w:p>
      <w:pPr>
        <w:ind w:firstLine="480"/>
        <w:jc w:val="left"/>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分期付款：</w:t>
      </w:r>
      <w:r/>
    </w:p>
    <w:p>
      <w:pPr>
        <w:ind w:firstLine="480"/>
        <w:jc w:val="left"/>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bookmarkStart w:id="856" w:name="OLE_LINK6"/>
      <w:r/>
      <w:bookmarkStart w:id="857" w:name="OLE_LINK7"/>
      <w:r>
        <w:rPr>
          <w:rFonts w:hint="eastAsia" w:ascii="宋体" w:hAnsi="宋体" w:eastAsia="宋体" w:cs="宋体"/>
          <w:color w:val="auto"/>
          <w:sz w:val="24"/>
          <w:szCs w:val="24"/>
          <w:highlight w:val="none"/>
        </w:rPr>
        <w:t xml:space="preserve">预付款：自乙方完成本项目约定的实质性履约义务后，甲方在收到发票10个工作日内，向乙方支付预付款</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万元人民币（大写：</w:t>
      </w:r>
      <w:r>
        <w:rPr>
          <w:rFonts w:hint="eastAsia" w:ascii="宋体" w:hAnsi="宋体" w:cs="宋体"/>
          <w:color w:val="auto"/>
          <w:sz w:val="24"/>
          <w:szCs w:val="24"/>
          <w:highlight w:val="none"/>
          <w:lang w:val="en-US" w:eastAsia="zh-CN"/>
        </w:rPr>
        <w:t xml:space="preserve">贰</w:t>
      </w:r>
      <w:r>
        <w:rPr>
          <w:rFonts w:hint="eastAsia" w:ascii="宋体" w:hAnsi="宋体" w:eastAsia="宋体" w:cs="宋体"/>
          <w:color w:val="auto"/>
          <w:sz w:val="24"/>
          <w:szCs w:val="24"/>
          <w:highlight w:val="none"/>
        </w:rPr>
        <w:t xml:space="preserve">拾万元整）。</w:t>
      </w:r>
      <w:r/>
    </w:p>
    <w:p>
      <w:pPr>
        <w:ind w:firstLine="480"/>
        <w:jc w:val="left"/>
        <w:spacing w:line="288"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实结算：根据项目实施进度与考核情况计算支付，按核定的当期担保服务费（即按当期所担保的购房资助款金额*中标标的担保服务费率-考核扣罚金额）向乙方支付，甲方自收到发票10个工作日内支付款项。支付时需优先扣除已支付的预付款，扣除后的余额为当期实际应付金额，预付款扣除完毕后，后续担保服务费按核定金额全额支付。</w:t>
      </w:r>
      <w:bookmarkEnd w:id="856"/>
      <w:r/>
      <w:bookmarkEnd w:id="857"/>
      <w:r/>
      <w:r/>
    </w:p>
    <w:p>
      <w:pPr>
        <w:ind w:firstLine="482"/>
        <w:spacing w:before="156" w:after="156"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十二、税费</w:t>
      </w:r>
      <w:r/>
    </w:p>
    <w:p>
      <w:pPr>
        <w:ind w:firstLine="480"/>
        <w:spacing w:before="156" w:after="156"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12.1本合同执行中相关的一切税费均由乙方负担。</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十三、项目验收</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甲方依法组织履约验收工作。</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对于实际使用人和甲方分离的项目，甲方邀请实际使用人参与验收。</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13.4 如有必要，甲方邀请参加本项目的其他供应商或第三方专业机构及专家参与验收，相关意见将作为验收书的参考资料。</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十四、违约责任</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甲方无正当理由拒绝接受乙方提供服务的，甲方向乙方偿付拒绝接受服务合同价款总值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甲方无故逾期验收和办理合同款项支付手续的,甲方应按逾期付款总额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每日向乙方支付违约金。</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14.4 乙方所提供服务的标准不符合合同规定及招标文件规定标准的，甲方有权拒绝接受服务，并可单方面解除合同。</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十五、不可抗力事件处理</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在合同有效期内，任何一方因不可抗力事件导致不能履行合同，则合同履行期可延长，其延长期与不可抗力影响 期相同。</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不可抗力事件发生后，应立即通知对方，并寄送有关权威机构出具的证明。</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不可抗力事件延续120天以上，双方应通过友好协商，确定是否继续履行合同。</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十六、解决争议的方法</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16.1双方在签订、履行合同中所发生的一切争议，应通过友好协商解决。如协商不成，由甲方住所地人民法院管辖。</w:t>
      </w:r>
      <w:r/>
    </w:p>
    <w:p>
      <w:pPr>
        <w:pStyle w:val="1189"/>
        <w:ind w:firstLine="482"/>
        <w:spacing w:before="120" w:after="120" w:line="288"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十七、合同生效及其它</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合同经双方法定代表人或授权委托代表人签字并加盖单位公章后生效。</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17.2本合同未尽事宜，遵照《民法典》、《政府采购法》有关条文执行。</w:t>
      </w:r>
      <w:r/>
    </w:p>
    <w:p>
      <w:pPr>
        <w:pStyle w:val="1189"/>
        <w:ind w:firstLine="480"/>
        <w:spacing w:before="120" w:after="120" w:line="28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本协议一式</w:t>
      </w:r>
      <w:r>
        <w:rPr>
          <w:rFonts w:hint="eastAsia" w:ascii="宋体" w:hAnsi="宋体" w:eastAsia="宋体" w:cs="宋体"/>
          <w:color w:val="auto"/>
          <w:sz w:val="24"/>
          <w:szCs w:val="24"/>
          <w:highlight w:val="none"/>
          <w:u w:val="single"/>
        </w:rPr>
        <w:t xml:space="preserve"> 伍 </w:t>
      </w:r>
      <w:r>
        <w:rPr>
          <w:rFonts w:hint="eastAsia" w:ascii="宋体" w:hAnsi="宋体" w:eastAsia="宋体" w:cs="宋体"/>
          <w:color w:val="auto"/>
          <w:sz w:val="24"/>
          <w:szCs w:val="24"/>
          <w:highlight w:val="none"/>
        </w:rPr>
        <w:t xml:space="preserve">份，具有同等法律效力，甲方执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贰 </w:t>
      </w:r>
      <w:r>
        <w:rPr>
          <w:rFonts w:hint="eastAsia" w:ascii="宋体" w:hAnsi="宋体" w:eastAsia="宋体" w:cs="宋体"/>
          <w:color w:val="auto"/>
          <w:sz w:val="24"/>
          <w:szCs w:val="24"/>
          <w:highlight w:val="none"/>
        </w:rPr>
        <w:t xml:space="preserve">份，代理采购机构执</w:t>
      </w:r>
      <w:r>
        <w:rPr>
          <w:rFonts w:hint="eastAsia" w:ascii="宋体" w:hAnsi="宋体" w:eastAsia="宋体" w:cs="宋体"/>
          <w:color w:val="auto"/>
          <w:sz w:val="24"/>
          <w:szCs w:val="24"/>
          <w:highlight w:val="none"/>
          <w:u w:val="single"/>
        </w:rPr>
        <w:t xml:space="preserve">壹</w:t>
      </w:r>
      <w:r>
        <w:rPr>
          <w:rFonts w:hint="eastAsia" w:ascii="宋体" w:hAnsi="宋体" w:eastAsia="宋体" w:cs="宋体"/>
          <w:color w:val="auto"/>
          <w:sz w:val="24"/>
          <w:szCs w:val="24"/>
          <w:highlight w:val="none"/>
        </w:rPr>
        <w:t xml:space="preserve">份。</w:t>
      </w:r>
      <w:r/>
    </w:p>
    <w:p>
      <w:pPr>
        <w:pStyle w:val="1189"/>
        <w:ind w:left="480" w:hanging="480"/>
        <w:spacing w:before="120" w:after="120"/>
        <w:rPr>
          <w:rFonts w:hAnsi="宋体" w:cs="宋体"/>
          <w:color w:val="auto"/>
          <w:sz w:val="24"/>
          <w:szCs w:val="24"/>
          <w:highlight w:val="none"/>
        </w:rPr>
      </w:pPr>
      <w:r>
        <w:rPr>
          <w:rFonts w:hAnsi="宋体" w:cs="宋体"/>
          <w:color w:val="auto"/>
          <w:sz w:val="24"/>
          <w:szCs w:val="24"/>
          <w:highlight w:val="none"/>
        </w:rPr>
      </w:r>
      <w:r/>
    </w:p>
    <w:p>
      <w:pPr>
        <w:pStyle w:val="1189"/>
        <w:ind w:firstLine="240"/>
        <w:spacing w:before="120" w:after="120" w:line="0" w:lineRule="atLeast"/>
        <w:rPr>
          <w:rFonts w:hint="eastAsia" w:hAnsi="宋体" w:cs="宋体"/>
          <w:color w:val="auto"/>
          <w:sz w:val="24"/>
          <w:szCs w:val="24"/>
          <w:highlight w:val="none"/>
        </w:rPr>
      </w:pPr>
      <w:r>
        <w:rPr>
          <w:rFonts w:hint="eastAsia" w:hAnsi="宋体" w:cs="宋体"/>
          <w:color w:val="auto"/>
          <w:sz w:val="24"/>
          <w:szCs w:val="24"/>
          <w:highlight w:val="none"/>
        </w:rPr>
        <w:t xml:space="preserve">  </w:t>
      </w:r>
      <w:r/>
    </w:p>
    <w:tbl>
      <w:tblPr>
        <w:tblStyle w:val="997"/>
        <w:tblW w:w="85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80"/>
        <w:gridCol w:w="4280"/>
      </w:tblGrid>
      <w:tr>
        <w:trPr>
          <w:jc w:val="center"/>
          <w:trHeight w:val="470"/>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pStyle w:val="1189"/>
              <w:jc w:val="left"/>
              <w:spacing w:before="120" w:after="120" w:line="0" w:lineRule="atLeast"/>
              <w:rPr>
                <w:rFonts w:hint="eastAsia" w:hAnsi="宋体" w:cs="宋体"/>
                <w:color w:val="auto"/>
                <w:sz w:val="22"/>
                <w:szCs w:val="22"/>
                <w:highlight w:val="none"/>
                <w:vertAlign w:val="baseline"/>
              </w:rPr>
            </w:pPr>
            <w:r>
              <w:rPr>
                <w:rFonts w:hint="eastAsia" w:hAnsi="宋体" w:cs="宋体"/>
                <w:color w:val="auto"/>
                <w:sz w:val="22"/>
                <w:szCs w:val="22"/>
                <w:highlight w:val="none"/>
              </w:rPr>
              <w:t xml:space="preserve">甲方：</w:t>
            </w:r>
            <w:r/>
          </w:p>
        </w:tc>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pStyle w:val="1189"/>
              <w:jc w:val="left"/>
              <w:spacing w:before="120" w:after="120" w:line="0" w:lineRule="atLeast"/>
              <w:rPr>
                <w:rFonts w:hint="eastAsia" w:hAnsi="宋体" w:cs="宋体"/>
                <w:color w:val="auto"/>
                <w:sz w:val="22"/>
                <w:szCs w:val="22"/>
                <w:highlight w:val="none"/>
                <w:vertAlign w:val="baseline"/>
              </w:rPr>
            </w:pPr>
            <w:r>
              <w:rPr>
                <w:rFonts w:hint="eastAsia" w:hAnsi="宋体" w:cs="宋体"/>
                <w:color w:val="auto"/>
                <w:sz w:val="22"/>
                <w:szCs w:val="22"/>
                <w:highlight w:val="none"/>
                <w:lang w:val="en-US" w:eastAsia="zh-CN"/>
              </w:rPr>
              <w:t xml:space="preserve">乙</w:t>
            </w:r>
            <w:r>
              <w:rPr>
                <w:rFonts w:hint="eastAsia" w:hAnsi="宋体" w:cs="宋体"/>
                <w:color w:val="auto"/>
                <w:sz w:val="22"/>
                <w:szCs w:val="22"/>
                <w:highlight w:val="none"/>
              </w:rPr>
              <w:t xml:space="preserve">方：</w:t>
            </w:r>
            <w:r/>
          </w:p>
        </w:tc>
      </w:tr>
      <w:tr>
        <w:trPr>
          <w:jc w:val="center"/>
          <w:trHeight w:val="470"/>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pStyle w:val="1189"/>
              <w:jc w:val="left"/>
              <w:spacing w:before="120" w:after="120" w:line="0" w:lineRule="atLeast"/>
              <w:rPr>
                <w:rFonts w:hint="eastAsia" w:hAnsi="宋体" w:cs="宋体"/>
                <w:color w:val="auto"/>
                <w:sz w:val="22"/>
                <w:szCs w:val="22"/>
                <w:highlight w:val="none"/>
                <w:vertAlign w:val="baseline"/>
              </w:rPr>
            </w:pPr>
            <w:r>
              <w:rPr>
                <w:rFonts w:hint="eastAsia" w:hAnsi="宋体" w:cs="宋体"/>
                <w:color w:val="auto"/>
                <w:sz w:val="22"/>
                <w:szCs w:val="22"/>
                <w:highlight w:val="none"/>
              </w:rPr>
              <w:t xml:space="preserve">地址： </w:t>
            </w:r>
            <w:r/>
          </w:p>
        </w:tc>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pStyle w:val="1189"/>
              <w:jc w:val="left"/>
              <w:spacing w:before="120" w:after="120" w:line="0" w:lineRule="atLeast"/>
              <w:rPr>
                <w:rFonts w:hint="eastAsia" w:hAnsi="宋体" w:cs="宋体"/>
                <w:color w:val="auto"/>
                <w:sz w:val="22"/>
                <w:szCs w:val="22"/>
                <w:highlight w:val="none"/>
                <w:vertAlign w:val="baseline"/>
              </w:rPr>
            </w:pPr>
            <w:r>
              <w:rPr>
                <w:rFonts w:hint="eastAsia" w:hAnsi="宋体" w:cs="宋体"/>
                <w:color w:val="auto"/>
                <w:sz w:val="22"/>
                <w:szCs w:val="22"/>
                <w:highlight w:val="none"/>
              </w:rPr>
              <w:t xml:space="preserve">地址： </w:t>
            </w:r>
            <w:r/>
          </w:p>
        </w:tc>
      </w:tr>
      <w:tr>
        <w:trPr>
          <w:jc w:val="center"/>
          <w:trHeight w:val="470"/>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pStyle w:val="1189"/>
              <w:jc w:val="left"/>
              <w:spacing w:before="120" w:after="120" w:line="0" w:lineRule="atLeast"/>
              <w:rPr>
                <w:rFonts w:hint="eastAsia" w:hAnsi="宋体" w:cs="宋体"/>
                <w:color w:val="auto"/>
                <w:sz w:val="22"/>
                <w:szCs w:val="22"/>
                <w:highlight w:val="none"/>
                <w:vertAlign w:val="baseline"/>
              </w:rPr>
            </w:pPr>
            <w:r>
              <w:rPr>
                <w:rFonts w:hint="eastAsia" w:hAnsi="宋体" w:cs="宋体"/>
                <w:color w:val="auto"/>
                <w:sz w:val="22"/>
                <w:szCs w:val="22"/>
                <w:highlight w:val="none"/>
              </w:rPr>
              <w:t xml:space="preserve">法定代表人或授权代表</w:t>
            </w:r>
            <w:r>
              <w:rPr>
                <w:rFonts w:hint="eastAsia" w:hAnsi="宋体" w:cs="宋体"/>
                <w:color w:val="auto"/>
                <w:sz w:val="22"/>
                <w:szCs w:val="22"/>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pStyle w:val="1189"/>
              <w:jc w:val="left"/>
              <w:spacing w:before="120" w:after="120" w:line="0" w:lineRule="atLeast"/>
              <w:rPr>
                <w:rFonts w:hint="eastAsia" w:hAnsi="宋体" w:cs="宋体"/>
                <w:color w:val="auto"/>
                <w:sz w:val="22"/>
                <w:szCs w:val="22"/>
                <w:highlight w:val="none"/>
                <w:vertAlign w:val="baseline"/>
              </w:rPr>
            </w:pPr>
            <w:r>
              <w:rPr>
                <w:rFonts w:hint="eastAsia" w:hAnsi="宋体" w:cs="宋体"/>
                <w:color w:val="auto"/>
                <w:sz w:val="22"/>
                <w:szCs w:val="22"/>
                <w:highlight w:val="none"/>
              </w:rPr>
              <w:t xml:space="preserve">法定代表人或授权代表</w:t>
            </w:r>
            <w:r>
              <w:rPr>
                <w:rFonts w:hint="eastAsia" w:hAnsi="宋体" w:cs="宋体"/>
                <w:color w:val="auto"/>
                <w:sz w:val="22"/>
                <w:szCs w:val="22"/>
                <w:highlight w:val="none"/>
                <w:lang w:eastAsia="zh-CN"/>
              </w:rPr>
              <w:t xml:space="preserve">：</w:t>
            </w:r>
            <w:r/>
          </w:p>
        </w:tc>
      </w:tr>
      <w:tr>
        <w:trPr>
          <w:jc w:val="center"/>
          <w:trHeight w:val="597"/>
        </w:trPr>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jc w:val="left"/>
              <w:spacing w:before="120" w:after="120" w:line="360" w:lineRule="auto"/>
              <w:rPr>
                <w:rFonts w:hint="eastAsia" w:hAnsi="宋体" w:cs="宋体"/>
                <w:color w:val="auto"/>
                <w:sz w:val="22"/>
                <w:szCs w:val="22"/>
                <w:highlight w:val="none"/>
                <w:vertAlign w:val="baseline"/>
              </w:rPr>
            </w:pPr>
            <w:r>
              <w:rPr>
                <w:rFonts w:hint="eastAsia" w:ascii="宋体" w:hAnsi="宋体" w:cs="宋体"/>
                <w:color w:val="auto"/>
                <w:sz w:val="22"/>
                <w:szCs w:val="22"/>
                <w:highlight w:val="none"/>
              </w:rPr>
              <w:t xml:space="preserve">联系电话</w:t>
            </w:r>
            <w:r>
              <w:rPr>
                <w:rFonts w:hint="eastAsia" w:ascii="宋体" w:hAnsi="宋体" w:cs="宋体"/>
                <w:color w:val="auto"/>
                <w:sz w:val="22"/>
                <w:szCs w:val="22"/>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4280" w:type="dxa"/>
            <w:vAlign w:val="center"/>
            <w:textDirection w:val="lrTb"/>
            <w:noWrap w:val="false"/>
          </w:tcPr>
          <w:p>
            <w:pPr>
              <w:jc w:val="left"/>
              <w:spacing w:before="120" w:after="120" w:line="360" w:lineRule="auto"/>
              <w:rPr>
                <w:rFonts w:hint="eastAsia" w:hAnsi="宋体" w:cs="宋体"/>
                <w:color w:val="auto"/>
                <w:sz w:val="22"/>
                <w:szCs w:val="22"/>
                <w:highlight w:val="none"/>
                <w:vertAlign w:val="baseline"/>
              </w:rPr>
            </w:pPr>
            <w:r>
              <w:rPr>
                <w:rFonts w:hint="eastAsia" w:ascii="宋体" w:hAnsi="宋体" w:cs="宋体"/>
                <w:color w:val="auto"/>
                <w:sz w:val="22"/>
                <w:szCs w:val="22"/>
                <w:highlight w:val="none"/>
              </w:rPr>
              <w:t xml:space="preserve">联系电话</w:t>
            </w:r>
            <w:r>
              <w:rPr>
                <w:rFonts w:hint="eastAsia" w:ascii="宋体" w:hAnsi="宋体" w:cs="宋体"/>
                <w:color w:val="auto"/>
                <w:sz w:val="22"/>
                <w:szCs w:val="22"/>
                <w:highlight w:val="none"/>
                <w:lang w:eastAsia="zh-CN"/>
              </w:rPr>
              <w:t xml:space="preserve">：</w:t>
            </w:r>
            <w:r/>
          </w:p>
        </w:tc>
      </w:tr>
    </w:tbl>
    <w:p>
      <w:pPr>
        <w:pStyle w:val="1189"/>
        <w:ind w:firstLine="240"/>
        <w:spacing w:before="120" w:after="120" w:line="0" w:lineRule="atLeast"/>
        <w:rPr>
          <w:rFonts w:hAnsi="宋体" w:cs="宋体"/>
          <w:color w:val="auto"/>
          <w:sz w:val="24"/>
          <w:szCs w:val="24"/>
          <w:highlight w:val="none"/>
        </w:rPr>
      </w:pPr>
      <w:r>
        <w:rPr>
          <w:rFonts w:hint="eastAsia" w:hAnsi="宋体" w:cs="宋体"/>
          <w:color w:val="auto"/>
          <w:sz w:val="24"/>
          <w:szCs w:val="24"/>
          <w:highlight w:val="none"/>
        </w:rPr>
        <w:t xml:space="preserve"> </w:t>
      </w:r>
      <w:r>
        <w:rPr>
          <w:rFonts w:hint="eastAsia" w:hAnsi="宋体"/>
          <w:color w:val="auto"/>
          <w:sz w:val="24"/>
          <w:szCs w:val="24"/>
          <w:highlight w:val="none"/>
        </w:rPr>
        <w:t xml:space="preserve">         </w:t>
      </w:r>
      <w:r>
        <w:rPr>
          <w:rFonts w:hint="eastAsia" w:hAnsi="宋体" w:cs="宋体"/>
          <w:color w:val="auto"/>
          <w:sz w:val="24"/>
          <w:szCs w:val="24"/>
          <w:highlight w:val="none"/>
        </w:rPr>
        <w:t xml:space="preserve">                                </w:t>
      </w:r>
      <w:r/>
    </w:p>
    <w:p>
      <w:pPr>
        <w:ind w:firstLine="241"/>
        <w:spacing w:line="560" w:lineRule="exact"/>
        <w:rPr>
          <w:rFonts w:ascii="宋体" w:hAnsi="宋体" w:cs="仿宋"/>
          <w:b/>
          <w:color w:val="auto"/>
          <w:sz w:val="24"/>
          <w:highlight w:val="none"/>
        </w:rPr>
      </w:pPr>
      <w:r>
        <w:rPr>
          <w:rFonts w:hint="eastAsia" w:ascii="宋体" w:hAnsi="宋体" w:cs="仿宋"/>
          <w:b/>
          <w:color w:val="auto"/>
          <w:sz w:val="24"/>
          <w:highlight w:val="none"/>
        </w:rPr>
        <w:t xml:space="preserve">合同备案</w:t>
      </w:r>
      <w:r/>
    </w:p>
    <w:p>
      <w:pPr>
        <w:ind w:firstLine="240"/>
        <w:spacing w:line="560" w:lineRule="exact"/>
        <w:rPr>
          <w:rFonts w:ascii="宋体" w:hAnsi="宋体" w:cs="仿宋"/>
          <w:color w:val="auto"/>
          <w:sz w:val="24"/>
          <w:highlight w:val="none"/>
        </w:rPr>
      </w:pPr>
      <w:r>
        <w:rPr>
          <w:rFonts w:hint="eastAsia" w:ascii="宋体" w:hAnsi="宋体" w:cs="仿宋"/>
          <w:color w:val="auto"/>
          <w:sz w:val="24"/>
          <w:highlight w:val="none"/>
        </w:rPr>
        <w:t xml:space="preserve">代理机构（盖章）：常州中采招投标有限公司</w:t>
      </w:r>
      <w:r/>
    </w:p>
    <w:p>
      <w:pPr>
        <w:pStyle w:val="1189"/>
        <w:ind w:firstLine="240"/>
        <w:spacing w:before="120" w:after="120" w:line="0" w:lineRule="atLeast"/>
        <w:rPr>
          <w:rFonts w:ascii="宋体" w:hAnsi="宋体" w:cs="宋体"/>
          <w:color w:val="auto"/>
          <w:sz w:val="24"/>
          <w:szCs w:val="24"/>
          <w:highlight w:val="none"/>
        </w:rPr>
      </w:pPr>
      <w:r>
        <w:rPr>
          <w:rFonts w:hint="eastAsia" w:ascii="宋体" w:hAnsi="宋体"/>
          <w:color w:val="auto"/>
          <w:sz w:val="24"/>
          <w:highlight w:val="none"/>
        </w:rPr>
        <w:t xml:space="preserve">日  期：</w:t>
      </w:r>
      <w:r/>
    </w:p>
    <w:p>
      <w:pPr>
        <w:keepLines w:val="0"/>
        <w:keepNext w:val="0"/>
        <w:pageBreakBefore/>
        <w:widowControl w:val="off"/>
        <w:rPr>
          <w:rFonts w:ascii="仿宋_GB2312" w:eastAsia="仿宋_GB2312"/>
          <w:color w:val="auto"/>
          <w:sz w:val="24"/>
          <w:highlight w:val="none"/>
        </w:rPr>
      </w:pPr>
      <w:r>
        <w:rPr>
          <w:rFonts w:hint="eastAsia" w:ascii="宋体" w:hAnsi="宋体" w:cs="宋体"/>
          <w:b/>
          <w:bCs/>
          <w:color w:val="auto"/>
          <w:sz w:val="24"/>
          <w:szCs w:val="24"/>
          <w:highlight w:val="none"/>
        </w:rPr>
        <w:t xml:space="preserve">附件：《支持住房困难工薪群体购买商品住房资助款担保服务项目管理考核表》</w:t>
      </w:r>
      <w:r/>
    </w:p>
    <w:tbl>
      <w:tblPr>
        <w:tblStyle w:val="970"/>
        <w:tblW w:w="8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2943"/>
        <w:gridCol w:w="4367"/>
      </w:tblGrid>
      <w:tr>
        <w:trPr>
          <w:jc w:val="center"/>
          <w:trHeight w:val="697"/>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考核内容</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考核要求</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扣分标准</w:t>
            </w:r>
            <w:r/>
          </w:p>
        </w:tc>
      </w:tr>
      <w:tr>
        <w:trPr>
          <w:cantSplit/>
          <w:jc w:val="center"/>
          <w:trHeight w:val="1433"/>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组织保障</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1.根据业务需求指定对应部门和人员，负责和中心相关科室建立沟通协调机制。（5分）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未建立沟通机制或沟通不畅影响业务工作的，有一项扣1分，扣完为止。</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64"/>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2.根据业务需要配备相关设施及人员。（5分）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设施和人员配备不到位的，有一项扣1分，扣完为止。</w:t>
            </w:r>
            <w:r/>
          </w:p>
        </w:tc>
      </w:tr>
      <w:tr>
        <w:trPr>
          <w:cantSplit/>
          <w:jc w:val="center"/>
          <w:trHeight w:val="57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3.加强对分支机构、服务网点的管理。（5分）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对分支机构管理不善，造成业务办理混乱的，有一项扣1分，扣完为止。</w:t>
            </w:r>
            <w:r/>
          </w:p>
        </w:tc>
      </w:tr>
      <w:tr>
        <w:trPr>
          <w:cantSplit/>
          <w:jc w:val="center"/>
          <w:trHeight w:val="2042"/>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4.落实业务经办人员岗位职责，定期组织内部培训，积极参与中心的业务培训，不断提高经办人员业务水平，确保工作质量。（5分）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人员未经培训上岗操作的，查实一项扣1分，扣完为止。</w:t>
            </w:r>
            <w:r/>
          </w:p>
        </w:tc>
      </w:tr>
      <w:tr>
        <w:trPr>
          <w:jc w:val="center"/>
          <w:trHeight w:val="1241"/>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担保业务受理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5.严格按照政策标准、办理时限完成新增及存量资助购房担保业务受理、材料核验工作。</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因被考核人原因，未按要求和时限做好资助购房担保受理的，有一项扣0.5分，扣完为止。</w:t>
            </w:r>
            <w:r/>
          </w:p>
        </w:tc>
      </w:tr>
      <w:tr>
        <w:trPr>
          <w:cantSplit/>
          <w:jc w:val="center"/>
          <w:trHeight w:val="1010"/>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保后管理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6.及时做好资助购房房产的抵押登记工作。（5分）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因被考核人原因，未及时办理抵押登记的，有一项扣0.5分，扣完为止。</w:t>
            </w:r>
            <w:r/>
          </w:p>
        </w:tc>
      </w:tr>
      <w:tr>
        <w:trPr>
          <w:cantSplit/>
          <w:jc w:val="center"/>
          <w:trHeight w:val="1121"/>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7.配合招标人督促开发企业做好产权登记工作。（5分）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因被考核人原因，查实一项扣0.5分，扣完为止。</w:t>
            </w:r>
            <w:r/>
          </w:p>
        </w:tc>
      </w:tr>
      <w:tr>
        <w:trPr>
          <w:cantSplit/>
          <w:jc w:val="center"/>
          <w:trHeight w:val="1036"/>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8.及时做好抵押注销工作。（5分）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因被考核人原因，未及时办理抵押注销的，有一项扣0.5分，扣完为止。</w:t>
            </w:r>
            <w:r/>
          </w:p>
        </w:tc>
      </w:tr>
      <w:tr>
        <w:trPr>
          <w:jc w:val="center"/>
          <w:trHeight w:val="1074"/>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履行担保责任</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9.按要求和时限做好资助款未归还担保代偿工作。（15分）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未按要求履行担保代偿责任的，查实一笔扣1分，扣完为止。</w:t>
            </w:r>
            <w:r/>
          </w:p>
        </w:tc>
      </w:tr>
      <w:tr>
        <w:trPr>
          <w:cantSplit/>
          <w:jc w:val="center"/>
          <w:trHeight w:val="1071"/>
        </w:trPr>
        <w:tc>
          <w:tcPr>
            <w:tcBorders>
              <w:top w:val="single" w:color="000000" w:sz="4" w:space="0"/>
              <w:left w:val="single" w:color="000000" w:sz="4" w:space="0"/>
              <w:bottom w:val="single" w:color="000000" w:sz="4" w:space="0"/>
              <w:right w:val="single" w:color="000000" w:sz="4" w:space="0"/>
            </w:tcBorders>
            <w:tcW w:w="1277"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服务管理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10.向资助购房客户提供规范、文明、优质服务。（</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中心检查发现未提供规范服务的，查实一次0.5分。 </w:t>
            </w:r>
            <w:r/>
          </w:p>
        </w:tc>
      </w:tr>
      <w:tr>
        <w:trPr>
          <w:cantSplit/>
          <w:jc w:val="center"/>
          <w:trHeight w:val="1074"/>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11.定期提供抵押明细台账、担保代偿等信息。（</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未按时、准确报送的，查实一次扣0.5分。</w:t>
            </w:r>
            <w:r/>
          </w:p>
        </w:tc>
      </w:tr>
      <w:tr>
        <w:trPr>
          <w:cantSplit/>
          <w:jc w:val="center"/>
          <w:trHeight w:val="1074"/>
        </w:trPr>
        <w:tc>
          <w:tcPr>
            <w:tcBorders>
              <w:top w:val="single" w:color="000000" w:sz="4" w:space="0"/>
              <w:left w:val="single" w:color="000000" w:sz="4" w:space="0"/>
              <w:bottom w:val="single" w:color="000000" w:sz="4" w:space="0"/>
              <w:right w:val="single" w:color="000000" w:sz="4" w:space="0"/>
            </w:tcBorders>
            <w:tcW w:w="127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12.确保数据安全，无数据泄露、数据丢失等情况。（</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查实一次扣</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r>
      <w:tr>
        <w:trPr>
          <w:jc w:val="center"/>
          <w:trHeight w:val="1074"/>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ascii="宋体" w:hAnsi="宋体" w:eastAsia="宋体" w:cs="宋体"/>
                <w:color w:val="auto"/>
                <w:sz w:val="24"/>
                <w:szCs w:val="24"/>
                <w:highlight w:val="none"/>
              </w:rPr>
              <w:t xml:space="preserve">系统保障</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4分</w:t>
            </w:r>
            <w:r>
              <w:rPr>
                <w:rFonts w:hint="eastAsia" w:ascii="宋体" w:hAnsi="宋体" w:cs="宋体"/>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13.担保系统稳定运行，做好系统日常运维，保障业务线上办理不间断。（</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线上业务停办、系统故障影响群众办事，查实</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次扣0.5分。</w:t>
            </w:r>
            <w:r/>
          </w:p>
        </w:tc>
      </w:tr>
      <w:tr>
        <w:trPr>
          <w:jc w:val="center"/>
          <w:trHeight w:val="959"/>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投诉处理（5分）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.安排专人负责对投诉进行处理及反馈。（5分）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因被考核人原因被客户投诉造成重大影响的，一次扣</w:t>
            </w:r>
            <w:r>
              <w:rPr>
                <w:rFonts w:hint="eastAsia" w:ascii="宋体" w:hAnsi="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分。</w:t>
            </w:r>
            <w:r/>
          </w:p>
        </w:tc>
      </w:tr>
      <w:tr>
        <w:trPr>
          <w:jc w:val="center"/>
          <w:trHeight w:val="880"/>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档案管理</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.按要求、时限做好档案的收集、整理、管理工作。（</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4367"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未按要求、时限做好档案的收集、整理、管理工作，查实一次扣0.5分。</w:t>
            </w:r>
            <w:r/>
          </w:p>
        </w:tc>
      </w:tr>
      <w:tr>
        <w:trPr>
          <w:jc w:val="center"/>
          <w:trHeight w:val="882"/>
        </w:trPr>
        <w:tc>
          <w:tcPr>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其它</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（10分）</w:t>
            </w:r>
            <w:r/>
          </w:p>
        </w:tc>
        <w:tc>
          <w:tcPr>
            <w:gridSpan w:val="2"/>
            <w:tcBorders>
              <w:top w:val="single" w:color="000000" w:sz="4" w:space="0"/>
              <w:left w:val="single" w:color="000000" w:sz="4" w:space="0"/>
              <w:bottom w:val="single" w:color="000000" w:sz="4" w:space="0"/>
              <w:right w:val="single" w:color="000000" w:sz="4" w:space="0"/>
            </w:tcBorders>
            <w:tcW w:w="7310" w:type="dxa"/>
            <w:vAlign w:val="center"/>
            <w:textDirection w:val="lrTb"/>
            <w:noWrap w:val="false"/>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发生其他严重问题的</w:t>
            </w:r>
            <w:r>
              <w:rPr>
                <w:rFonts w:hint="eastAsia" w:ascii="宋体" w:hAnsi="宋体" w:cs="宋体"/>
                <w:color w:val="auto"/>
                <w:sz w:val="24"/>
                <w:szCs w:val="24"/>
                <w:highlight w:val="none"/>
                <w:lang w:val="en-US" w:eastAsia="zh-CN"/>
              </w:rPr>
              <w:t xml:space="preserve">有一项</w:t>
            </w:r>
            <w:r>
              <w:rPr>
                <w:rFonts w:hint="eastAsia" w:ascii="宋体" w:hAnsi="宋体" w:eastAsia="宋体" w:cs="宋体"/>
                <w:color w:val="auto"/>
                <w:sz w:val="24"/>
                <w:szCs w:val="24"/>
                <w:highlight w:val="none"/>
              </w:rPr>
              <w:t xml:space="preserve">扣5分；对招标人或第三方造成损失或其他严重后果的，还应负责赔偿经济损失，承担相应的法律责任。</w:t>
            </w:r>
            <w:r/>
          </w:p>
        </w:tc>
      </w:tr>
    </w:tbl>
    <w:p>
      <w:pPr>
        <w:spacing w:before="159" w:beforeAutospacing="0" w:line="288" w:lineRule="auto"/>
        <w:rPr>
          <w:rFonts w:ascii="仿宋_GB2312"/>
          <w:color w:val="auto"/>
          <w:sz w:val="24"/>
          <w:highlight w:val="none"/>
        </w:rPr>
      </w:pPr>
      <w:r>
        <w:rPr>
          <w:rFonts w:hint="eastAsia" w:ascii="宋体" w:hAnsi="宋体" w:cs="宋体"/>
          <w:color w:val="auto"/>
          <w:sz w:val="24"/>
          <w:szCs w:val="24"/>
          <w:highlight w:val="none"/>
        </w:rPr>
        <w:t xml:space="preserve">注：考核周期内，得分在</w:t>
      </w:r>
      <w:r>
        <w:rPr>
          <w:rFonts w:ascii="宋体" w:hAnsi="宋体" w:cs="宋体"/>
          <w:color w:val="auto"/>
          <w:sz w:val="24"/>
          <w:szCs w:val="24"/>
          <w:highlight w:val="none"/>
        </w:rPr>
        <w:t xml:space="preserve">95</w:t>
      </w:r>
      <w:r>
        <w:rPr>
          <w:rFonts w:hint="eastAsia" w:ascii="宋体" w:hAnsi="宋体" w:cs="宋体"/>
          <w:color w:val="auto"/>
          <w:sz w:val="24"/>
          <w:szCs w:val="24"/>
          <w:highlight w:val="none"/>
        </w:rPr>
        <w:t xml:space="preserve">分（含9</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分）以上，全额支付应付担保服务费。得分处于 90 分（含）至 95 分区间内的，以 95 分为基准进行扣罚：每低于基准 1 分，扣罚 </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万元；若得分非整数，扣罚金额按对应分数差额比例折算。</w:t>
      </w:r>
      <w:r/>
    </w:p>
    <w:p>
      <w:pPr>
        <w:jc w:val="center"/>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ind w:firstLine="4560"/>
        <w:jc w:val="center"/>
        <w:keepLines w:val="0"/>
        <w:keepNext w:val="0"/>
        <w:pageBreakBefore/>
        <w:spacing w:line="6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编号：</w:t>
      </w:r>
      <w:r>
        <w:rPr>
          <w:rFonts w:hint="eastAsia" w:ascii="宋体" w:hAnsi="宋体" w:eastAsia="宋体" w:cs="宋体"/>
          <w:color w:val="auto"/>
          <w:sz w:val="24"/>
          <w:szCs w:val="24"/>
          <w:highlight w:val="none"/>
          <w:u w:val="single"/>
          <w:lang w:bidi="ar"/>
        </w:rPr>
        <w:t xml:space="preserve">          </w:t>
      </w:r>
      <w:r/>
    </w:p>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jc w:val="center"/>
        <w:spacing w:line="640" w:lineRule="exact"/>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住房困难工薪群体购房资助协议</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w:t>
      </w:r>
      <w:r>
        <w:rPr>
          <w:rFonts w:hint="eastAsia" w:ascii="宋体" w:hAnsi="宋体" w:eastAsia="宋体" w:cs="宋体"/>
          <w:color w:val="auto"/>
          <w:sz w:val="24"/>
          <w:szCs w:val="24"/>
          <w:highlight w:val="none"/>
          <w:u w:val="single"/>
          <w:lang w:bidi="ar"/>
        </w:rPr>
        <w:t xml:space="preserve">           常州市住房保障中心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乙方（购房人）：</w:t>
      </w:r>
      <w:r>
        <w:rPr>
          <w:rFonts w:hint="eastAsia" w:ascii="宋体" w:hAnsi="宋体" w:eastAsia="宋体" w:cs="宋体"/>
          <w:color w:val="auto"/>
          <w:sz w:val="24"/>
          <w:szCs w:val="24"/>
          <w:highlight w:val="none"/>
          <w:u w:val="single"/>
          <w:lang w:bidi="ar"/>
        </w:rPr>
        <w:t xml:space="preserve">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住址：</w:t>
      </w:r>
      <w:r>
        <w:rPr>
          <w:rFonts w:hint="eastAsia" w:ascii="宋体" w:hAnsi="宋体" w:eastAsia="宋体" w:cs="宋体"/>
          <w:color w:val="auto"/>
          <w:sz w:val="24"/>
          <w:szCs w:val="24"/>
          <w:highlight w:val="none"/>
          <w:u w:val="single"/>
          <w:lang w:bidi="ar"/>
        </w:rPr>
        <w:t xml:space="preserve">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身份证号码：</w:t>
      </w:r>
      <w:r>
        <w:rPr>
          <w:rFonts w:hint="eastAsia" w:ascii="宋体" w:hAnsi="宋体" w:eastAsia="宋体" w:cs="宋体"/>
          <w:color w:val="auto"/>
          <w:sz w:val="24"/>
          <w:szCs w:val="24"/>
          <w:highlight w:val="none"/>
          <w:u w:val="single"/>
          <w:lang w:bidi="ar"/>
        </w:rPr>
        <w:t xml:space="preserve">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联系电话：</w:t>
      </w:r>
      <w:r>
        <w:rPr>
          <w:rFonts w:hint="eastAsia" w:ascii="宋体" w:hAnsi="宋体" w:eastAsia="宋体" w:cs="宋体"/>
          <w:color w:val="auto"/>
          <w:sz w:val="24"/>
          <w:szCs w:val="24"/>
          <w:highlight w:val="none"/>
          <w:u w:val="single"/>
          <w:lang w:bidi="ar"/>
        </w:rPr>
        <w:t xml:space="preserve">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丙方：</w:t>
      </w:r>
      <w:r>
        <w:rPr>
          <w:rFonts w:hint="eastAsia" w:ascii="宋体" w:hAnsi="宋体" w:eastAsia="宋体" w:cs="宋体"/>
          <w:color w:val="auto"/>
          <w:sz w:val="24"/>
          <w:szCs w:val="24"/>
          <w:highlight w:val="none"/>
          <w:u w:val="single"/>
          <w:lang w:bidi="ar"/>
        </w:rPr>
        <w:t xml:space="preserve">          （担保公司）                    </w:t>
      </w:r>
      <w:r/>
    </w:p>
    <w:p>
      <w:pPr>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为贯彻落实进一步资助住房困难工薪群体购买商品住房的相关政策，经三方友好协商，订立如下协议：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第一条 经认定，乙方具备住房困难工薪群体购房资助资格，并在购房资助资格凭证有效期内购买了“□刚需型新建商品住房房源库 □存量商品住房房源库”中坐落于</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的房屋（以下简称“该房屋”），建筑面积为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m</w:t>
      </w:r>
      <w:r>
        <w:rPr>
          <w:rFonts w:hint="eastAsia" w:ascii="宋体" w:hAnsi="宋体" w:eastAsia="宋体" w:cs="宋体"/>
          <w:color w:val="auto"/>
          <w:sz w:val="24"/>
          <w:szCs w:val="24"/>
          <w:highlight w:val="none"/>
          <w:vertAlign w:val="superscript"/>
          <w:lang w:bidi="ar"/>
        </w:rPr>
        <w:t xml:space="preserve">2</w:t>
      </w:r>
      <w:r>
        <w:rPr>
          <w:rFonts w:hint="eastAsia" w:ascii="宋体" w:hAnsi="宋体" w:eastAsia="宋体" w:cs="宋体"/>
          <w:color w:val="auto"/>
          <w:sz w:val="24"/>
          <w:szCs w:val="24"/>
          <w:highlight w:val="none"/>
          <w:lang w:bidi="ar"/>
        </w:rPr>
        <w:t xml:space="preserve">，购房合同编号为</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。该房屋总价为人民币（大写）</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），可享受的购房资助为人民币（大写）</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元（¥</w:t>
      </w:r>
      <w:r>
        <w:rPr>
          <w:rFonts w:hint="eastAsia" w:ascii="宋体" w:hAnsi="宋体" w:eastAsia="宋体" w:cs="宋体"/>
          <w:color w:val="auto"/>
          <w:sz w:val="24"/>
          <w:szCs w:val="24"/>
          <w:highlight w:val="none"/>
          <w:u w:val="single"/>
          <w:lang w:bidi="ar"/>
        </w:rPr>
        <w:t xml:space="preserve">      </w:t>
      </w:r>
      <w:r>
        <w:rPr>
          <w:rFonts w:hint="eastAsia" w:ascii="宋体" w:hAnsi="宋体" w:eastAsia="宋体" w:cs="宋体"/>
          <w:color w:val="auto"/>
          <w:sz w:val="24"/>
          <w:szCs w:val="24"/>
          <w:highlight w:val="none"/>
          <w:lang w:bidi="ar"/>
        </w:rPr>
        <w:t xml:space="preserve">）。</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第二条 乙方购买刚需型新建商品住房房源库房源的，同意由甲方直接向开发企业兑付购房资助资金，并将资金按规定转入指定的预售资金托管机构。乙方承诺在该新建商品住房具备办证条件并收到开发企业交房通知后及时办理房屋产权证，并配合办理抵押登记手续。</w:t>
      </w:r>
      <w:r/>
    </w:p>
    <w:p>
      <w:pPr>
        <w:ind w:firstLine="480"/>
        <w:spacing w:line="52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乙方购买存量商品住房房源库房源的，同意将交易资金全额</w:t>
      </w:r>
      <w:r>
        <w:rPr>
          <w:rFonts w:hint="eastAsia" w:ascii="宋体" w:hAnsi="宋体" w:eastAsia="宋体" w:cs="宋体"/>
          <w:color w:val="auto"/>
          <w:sz w:val="24"/>
          <w:szCs w:val="24"/>
          <w:highlight w:val="none"/>
        </w:rPr>
        <w:t xml:space="preserve">（房屋交易合同价款）</w:t>
      </w:r>
      <w:r>
        <w:rPr>
          <w:rFonts w:hint="eastAsia" w:ascii="宋体" w:hAnsi="宋体" w:eastAsia="宋体" w:cs="宋体"/>
          <w:color w:val="auto"/>
          <w:sz w:val="24"/>
          <w:szCs w:val="24"/>
          <w:highlight w:val="none"/>
          <w:lang w:bidi="ar"/>
        </w:rPr>
        <w:t xml:space="preserve">纳入资金监管范畴，若乙方与</w:t>
      </w:r>
      <w:r>
        <w:rPr>
          <w:rFonts w:hint="eastAsia" w:ascii="宋体" w:hAnsi="宋体" w:eastAsia="宋体" w:cs="宋体"/>
          <w:color w:val="auto"/>
          <w:sz w:val="24"/>
          <w:szCs w:val="24"/>
          <w:highlight w:val="none"/>
          <w:lang w:bidi="ar"/>
        </w:rPr>
        <w:t xml:space="preserve">出售存量商品住房的产权人商定将定金、押金、保证金等其他房屋交易相关资金不纳入监管范畴，交易过程中由该类未监管部分资金引发的矛盾纠纷由乙方与出售存量商品住房的产权人自行解决并承担相应责任；在该存量商品住房完成不动产转移登记时，乙方同步办理抵押登记手续，并同意将购房资助资格凭证记录到出售存量商品住房的产权人名下。出售存量商品住房的产权人在规定的期限内使用该购房资助资格凭证购买刚需型新建商品住房房源库或改善型新建商品住房房源库房源后，由甲方直接向开发企业兑付购房资助资金，并将资金按规定转入指定的预售资金托管机构。</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第三条 若乙方未持有购房资助资格凭证、未在购房资助资格凭证有效期内购买该房屋、所购房屋不在刚需型新建商品住房房源库和存量商品住房房源库的，甲方对购房资助将不予兑付或不将购房资助资格凭证记录到出售存量商品住房的产权人名下，由此产生的后果由乙方承担，与甲方无关。</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第四条 该房屋产权性质为资助购房，因继承、离婚析产等法定原因发生房屋所有权转让的，房产性质不变。</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第五条 乙方购买该房屋产生的税费及住宅专项维修资金等费用，全部由乙方承担。</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第六条 乙方持有该房屋期间承担整套住房的业主义务。</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第七条 乙方购买刚需型新建商品住房房源库中房源的，如解除该房屋的商品房买卖合同，应向甲方全额退还已发放的购房资助资金（不计息）。</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第八条 乙方（购房资助的申请人与共同申请人）在我市如需购买其他商品住房，在购买前应向甲方全额退还购房资助资金（不计息）。</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第九条 乙方使用购房资助购买的房屋如上市交易或变更为完全产权，乙方（或产权人）应当按规定向甲方全额退还购房资助资金（不计息）。</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第十条 丙方同意为乙方根据本协议向甲方退还购房资助款的义务提供连带责任担保，乙方同意将该房屋作为反担保抵押给丙方。</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第十一条 本协议生效后，甲、乙、丙三方均应履行协议约定的义务，任何一方不履行或不完全履行约定义务的，违约方应当赔偿守约方的相应损失。</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第十二条 本协议履行过程中若有争议，甲、乙、丙三方应友好协商解决；协商不成的，向常州仲裁委员会申请仲裁。</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第十三条 本协议自甲、乙、丙三方签字盖章之日起生效。</w:t>
      </w:r>
      <w:r/>
    </w:p>
    <w:p>
      <w:pPr>
        <w:ind w:firstLine="48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第十四条 本协议一式肆份，甲、乙、丙三方各执壹份，壹份办理抵押登记。肆份具有同等法律效力。</w:t>
      </w:r>
      <w:r/>
    </w:p>
    <w:p>
      <w:pPr>
        <w:ind w:firstLine="20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甲方（盖章）：                    乙方（签字）：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（或授权代表）：                   </w:t>
      </w:r>
      <w:r/>
    </w:p>
    <w:p>
      <w:pPr>
        <w:ind w:firstLine="96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年    月    日                   年    月    日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丙方（盖章）：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法定代表人                    </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（或授权代表）：               </w:t>
      </w:r>
      <w:r/>
    </w:p>
    <w:p>
      <w:pPr>
        <w:ind w:firstLine="1024"/>
        <w:jc w:val="lef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年    月    日</w:t>
      </w:r>
      <w:r/>
    </w:p>
    <w:p>
      <w:pPr>
        <w:pStyle w:val="1189"/>
        <w:ind w:left="480" w:hanging="480"/>
        <w:spacing w:before="120" w:after="120" w:line="0" w:lineRule="atLeast"/>
        <w:rPr>
          <w:rFonts w:hint="eastAsia" w:hAnsi="宋体" w:cs="宋体"/>
          <w:color w:val="auto"/>
          <w:sz w:val="24"/>
          <w:szCs w:val="24"/>
          <w:highlight w:val="none"/>
        </w:rPr>
      </w:pPr>
      <w:r>
        <w:rPr>
          <w:rFonts w:hint="eastAsia" w:hAnsi="宋体" w:cs="宋体"/>
          <w:color w:val="auto"/>
          <w:sz w:val="24"/>
          <w:szCs w:val="24"/>
          <w:highlight w:val="none"/>
        </w:rPr>
      </w:r>
      <w:r/>
    </w:p>
    <w:p>
      <w:pPr>
        <w:pStyle w:val="996"/>
        <w:spacing w:after="0" w:line="360" w:lineRule="auto"/>
        <w:rPr>
          <w:rFonts w:ascii="宋体" w:hAnsi="宋体"/>
          <w:color w:val="auto"/>
          <w:highlight w:val="none"/>
        </w:rPr>
      </w:pPr>
      <w:r>
        <w:rPr>
          <w:rFonts w:ascii="宋体" w:hAnsi="宋体"/>
          <w:color w:val="auto"/>
          <w:highlight w:val="none"/>
        </w:rPr>
      </w:r>
      <w:r/>
    </w:p>
    <w:p>
      <w:pPr>
        <w:jc w:val="center"/>
        <w:keepLines w:val="0"/>
        <w:keepNext w:val="0"/>
        <w:pageBreakBefore/>
        <w:spacing w:line="312" w:lineRule="auto"/>
        <w:widowControl w:val="off"/>
        <w:rPr>
          <w:rStyle w:val="1249"/>
          <w:rFonts w:hint="eastAsia" w:ascii="宋体" w:hAnsi="宋体" w:eastAsia="宋体" w:cs="宋体"/>
          <w:b/>
          <w:bCs/>
          <w:color w:val="auto"/>
          <w:sz w:val="24"/>
          <w:szCs w:val="24"/>
          <w:highlight w:val="none"/>
        </w:rPr>
      </w:pPr>
      <w:r>
        <w:rPr>
          <w:rStyle w:val="1249"/>
          <w:rFonts w:hint="eastAsia" w:ascii="宋体" w:hAnsi="宋体" w:eastAsia="宋体" w:cs="宋体"/>
          <w:b/>
          <w:bCs/>
          <w:color w:val="auto"/>
          <w:sz w:val="24"/>
          <w:szCs w:val="24"/>
          <w:highlight w:val="none"/>
        </w:rPr>
        <w:t xml:space="preserve">合作项目保密协议</w:t>
      </w:r>
      <w:r/>
    </w:p>
    <w:p>
      <w:pPr>
        <w:jc w:val="both"/>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w:t>
      </w:r>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 </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甲、乙双方正在进行</w:t>
      </w:r>
      <w:r>
        <w:rPr>
          <w:rFonts w:hint="eastAsia" w:ascii="宋体" w:hAnsi="宋体" w:eastAsia="宋体" w:cs="宋体"/>
          <w:color w:val="auto"/>
          <w:sz w:val="24"/>
          <w:szCs w:val="24"/>
          <w:highlight w:val="none"/>
          <w:u w:val="single"/>
        </w:rPr>
        <w:t xml:space="preserve">支持住房困难工薪群体购买商品住房资助款担保服务</w:t>
      </w:r>
      <w:r>
        <w:rPr>
          <w:rFonts w:hint="eastAsia" w:ascii="宋体" w:hAnsi="宋体" w:eastAsia="宋体" w:cs="宋体"/>
          <w:color w:val="auto"/>
          <w:sz w:val="24"/>
          <w:szCs w:val="24"/>
          <w:highlight w:val="none"/>
        </w:rPr>
        <w:t xml:space="preserve">项目（以下简称“项目”）；双方就该项目的实施以及合作过程中，向对方提供有关保密信息，且该保密信息属提供方合法所有；甲乙双方均希望对本协议所述保密信息予以有效保护，经双方协商，达成本协议。</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一、本协议所指保密信息是指：</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1、甲方向乙方提供： </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作过程中，乙方从甲方（或子公司、关联公司）获得的与合作有关或因合作产生的任何商业、营销、技术、运营数据或其他性质的资料，无论以何种形式或载于何种载体，无论在披露时是否以口头、图像或以书面方式表明其具有保密性。</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2、乙方向甲方提供：</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作过程中，甲方从乙方（或其母公司、子公司、关联公司）获得的与合作有关或因合作产生的任何商业、营销、技术、运营数据或其他性质的资料，无论以何种形式或载于何种载体，无论在披露时是否以口头、图像或以书面方式表明其具有保密性。</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上述保密信息可以以数据、文字及记载上述内容的资料、光盘、软件、图书等有形媒介体现，也可通过口头等视听形式传递。</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任何一方不得向合作项目无关的第三方（包括但不限于其他担保机构、非合作银行等）披露保密信息。若因业务需要需向合作银行、律师事务所等必要第三方披露，应提前取得对方书面同意，并要求该第三方签署与本协议同等严格的保密文件，同时承担该第三方的保密违约连带责任。</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4、保密义务的例外</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本协议规定的保密义务不适用于以下信息：</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（1）在披露时或披露前已为公众所知悉的信息；</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（2）能证明在披露前已为接收方合法持有且无需承担保密义务的信息；</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（3）接收方未依赖披露方信息而独立开发的信息；</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（4）根据法律法规、有管辖权的法院或政府机关的要求而必须披露的信息（但在该等情况下，接收方应在法律允许的范围内及时通知披露方，并协助披露方采取合理的保护措施）。</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二、双方权利与义务</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1.双方保证该保密信息仅用于与合作有关的用途或目的。</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2.双方各自保证对对方所提供的保密信息予以妥善保存。</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3.双方各自保证对对方所提供的保密信息按本协议约定予以保密，并至少采取适用于对自己的保密信息同样的保护措施和审慎程度进行保密。</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任何一方在提供保密信息时，如以书面形式提供，应注明“保密”等相关字样；如以口头或可视形式透露，应在透露前告知接受方为保密信息，并在告知后5日内以书面形式确认，该确认应包含有所透露的信息为保密信息的内容。　</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双方保证保密信息仅可在各自一方从事该项目研究的负责人和雇员范围内知悉。在双方上述人员知悉该保密信息前，应向其提示保密信息的保密性和应承担的义务，并保证上述人员以书面形式同意接受本协议条款的约束，确保上述人员承担保密责任的程度不低于本协议规定的程度。</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三、违约与赔偿</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1、任何一方违反本协议的规定，应在第一时间采取一切必要措施防止保密信息的扩散，尽最大可能消除影响，并应承担违约责任，向守约方支付违约金，违约金的具体数额为双方合作项目金额的</w:t>
      </w:r>
      <w:r>
        <w:rPr>
          <w:rFonts w:hint="eastAsia" w:ascii="宋体" w:hAnsi="宋体" w:eastAsia="宋体" w:cs="宋体"/>
          <w:color w:val="auto"/>
          <w:sz w:val="24"/>
          <w:szCs w:val="24"/>
          <w:highlight w:val="none"/>
          <w:u w:val="single"/>
        </w:rPr>
        <w:t xml:space="preserve"> 30  </w:t>
      </w:r>
      <w:r>
        <w:rPr>
          <w:rFonts w:hint="eastAsia" w:ascii="宋体" w:hAnsi="宋体" w:eastAsia="宋体" w:cs="宋体"/>
          <w:color w:val="auto"/>
          <w:sz w:val="24"/>
          <w:szCs w:val="24"/>
          <w:highlight w:val="none"/>
        </w:rPr>
        <w:t xml:space="preserve">%。</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2、上述违约金数额并不影响受损害方向违约方要求赔偿因此遭受的全部实际损失（包括但不限于直接经济损失、商誉损失以及为维权而支出的律师费、诉讼费、保全费、调查取证费等合理费用）。</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四、本协议一式两份，甲、乙双方各执一份。本协议自签订之日起生效，并持续有效，双方协商一致可终止协议。双方合作项目的终止并不影响和协议的效力。</w:t>
      </w:r>
      <w:r/>
    </w:p>
    <w:p>
      <w:pPr>
        <w:numPr>
          <w:ilvl w:val="0"/>
          <w:numId w:val="16"/>
        </w:num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任何通过友好协商后不能解决的争议，均应提交甲方所在地人民法院通过诉讼解决。</w:t>
      </w:r>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997"/>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30"/>
        <w:gridCol w:w="4630"/>
      </w:tblGrid>
      <w:tr>
        <w:trPr>
          <w:jc w:val="center"/>
          <w:trHeight w:val="517"/>
        </w:trPr>
        <w:tc>
          <w:tcPr>
            <w:tcBorders>
              <w:top w:val="none" w:color="000000" w:sz="4" w:space="0"/>
              <w:left w:val="none" w:color="000000" w:sz="4" w:space="0"/>
              <w:bottom w:val="none" w:color="000000" w:sz="4" w:space="0"/>
              <w:right w:val="none" w:color="000000" w:sz="4" w:space="0"/>
            </w:tcBorders>
            <w:tcW w:w="4630" w:type="dxa"/>
            <w:vAlign w:val="center"/>
            <w:textDirection w:val="lrTb"/>
            <w:noWrap w:val="false"/>
          </w:tcPr>
          <w:p>
            <w:pPr>
              <w:pStyle w:val="1189"/>
              <w:jc w:val="left"/>
              <w:spacing w:before="120" w:after="120" w:line="0" w:lineRule="atLeast"/>
              <w:rPr>
                <w:rFonts w:hint="eastAsia" w:hAnsi="宋体" w:cs="宋体"/>
                <w:color w:val="auto"/>
                <w:sz w:val="24"/>
                <w:szCs w:val="24"/>
                <w:highlight w:val="none"/>
                <w:vertAlign w:val="baseline"/>
              </w:rPr>
            </w:pPr>
            <w:r>
              <w:rPr>
                <w:rFonts w:hint="eastAsia" w:hAnsi="宋体" w:cs="宋体"/>
                <w:color w:val="auto"/>
                <w:sz w:val="24"/>
                <w:szCs w:val="24"/>
                <w:highlight w:val="none"/>
              </w:rPr>
              <w:t xml:space="preserve">甲方：</w:t>
            </w:r>
            <w:r/>
          </w:p>
        </w:tc>
        <w:tc>
          <w:tcPr>
            <w:tcBorders>
              <w:top w:val="none" w:color="000000" w:sz="4" w:space="0"/>
              <w:left w:val="none" w:color="000000" w:sz="4" w:space="0"/>
              <w:bottom w:val="none" w:color="000000" w:sz="4" w:space="0"/>
              <w:right w:val="none" w:color="000000" w:sz="4" w:space="0"/>
            </w:tcBorders>
            <w:tcW w:w="4630" w:type="dxa"/>
            <w:vAlign w:val="center"/>
            <w:textDirection w:val="lrTb"/>
            <w:noWrap w:val="false"/>
          </w:tcPr>
          <w:p>
            <w:pPr>
              <w:pStyle w:val="1189"/>
              <w:jc w:val="left"/>
              <w:spacing w:before="120" w:after="120" w:line="0" w:lineRule="atLeast"/>
              <w:rPr>
                <w:rFonts w:hint="eastAsia" w:hAnsi="宋体" w:cs="宋体"/>
                <w:color w:val="auto"/>
                <w:sz w:val="24"/>
                <w:szCs w:val="24"/>
                <w:highlight w:val="none"/>
                <w:vertAlign w:val="baseline"/>
              </w:rPr>
            </w:pPr>
            <w:r>
              <w:rPr>
                <w:rFonts w:hint="eastAsia" w:hAnsi="宋体" w:cs="宋体"/>
                <w:color w:val="auto"/>
                <w:sz w:val="24"/>
                <w:szCs w:val="24"/>
                <w:highlight w:val="none"/>
                <w:lang w:val="en-US" w:eastAsia="zh-CN"/>
              </w:rPr>
              <w:t xml:space="preserve">乙</w:t>
            </w:r>
            <w:r>
              <w:rPr>
                <w:rFonts w:hint="eastAsia" w:hAnsi="宋体" w:cs="宋体"/>
                <w:color w:val="auto"/>
                <w:sz w:val="24"/>
                <w:szCs w:val="24"/>
                <w:highlight w:val="none"/>
              </w:rPr>
              <w:t xml:space="preserve">方：</w:t>
            </w:r>
            <w:r/>
          </w:p>
        </w:tc>
      </w:tr>
      <w:tr>
        <w:trPr>
          <w:jc w:val="center"/>
          <w:trHeight w:val="517"/>
        </w:trPr>
        <w:tc>
          <w:tcPr>
            <w:tcBorders>
              <w:top w:val="none" w:color="000000" w:sz="4" w:space="0"/>
              <w:left w:val="none" w:color="000000" w:sz="4" w:space="0"/>
              <w:bottom w:val="none" w:color="000000" w:sz="4" w:space="0"/>
              <w:right w:val="none" w:color="000000" w:sz="4" w:space="0"/>
            </w:tcBorders>
            <w:tcW w:w="4630" w:type="dxa"/>
            <w:vAlign w:val="center"/>
            <w:textDirection w:val="lrTb"/>
            <w:noWrap w:val="false"/>
          </w:tcPr>
          <w:p>
            <w:pPr>
              <w:pStyle w:val="1189"/>
              <w:jc w:val="left"/>
              <w:spacing w:before="120" w:after="120" w:line="0" w:lineRule="atLeast"/>
              <w:rPr>
                <w:rFonts w:hint="eastAsia" w:hAnsi="宋体" w:cs="宋体"/>
                <w:color w:val="auto"/>
                <w:sz w:val="24"/>
                <w:szCs w:val="24"/>
                <w:highlight w:val="none"/>
                <w:vertAlign w:val="baseline"/>
              </w:rPr>
            </w:pPr>
            <w:r>
              <w:rPr>
                <w:rFonts w:hint="eastAsia" w:hAnsi="宋体" w:cs="宋体"/>
                <w:color w:val="auto"/>
                <w:sz w:val="24"/>
                <w:szCs w:val="24"/>
                <w:highlight w:val="none"/>
              </w:rPr>
              <w:t xml:space="preserve">地址： </w:t>
            </w:r>
            <w:r/>
          </w:p>
        </w:tc>
        <w:tc>
          <w:tcPr>
            <w:tcBorders>
              <w:top w:val="none" w:color="000000" w:sz="4" w:space="0"/>
              <w:left w:val="none" w:color="000000" w:sz="4" w:space="0"/>
              <w:bottom w:val="none" w:color="000000" w:sz="4" w:space="0"/>
              <w:right w:val="none" w:color="000000" w:sz="4" w:space="0"/>
            </w:tcBorders>
            <w:tcW w:w="4630" w:type="dxa"/>
            <w:vAlign w:val="center"/>
            <w:textDirection w:val="lrTb"/>
            <w:noWrap w:val="false"/>
          </w:tcPr>
          <w:p>
            <w:pPr>
              <w:pStyle w:val="1189"/>
              <w:jc w:val="left"/>
              <w:spacing w:before="120" w:after="120" w:line="0" w:lineRule="atLeast"/>
              <w:rPr>
                <w:rFonts w:hint="eastAsia" w:hAnsi="宋体" w:cs="宋体"/>
                <w:color w:val="auto"/>
                <w:sz w:val="24"/>
                <w:szCs w:val="24"/>
                <w:highlight w:val="none"/>
                <w:vertAlign w:val="baseline"/>
              </w:rPr>
            </w:pPr>
            <w:r>
              <w:rPr>
                <w:rFonts w:hint="eastAsia" w:hAnsi="宋体" w:cs="宋体"/>
                <w:color w:val="auto"/>
                <w:sz w:val="24"/>
                <w:szCs w:val="24"/>
                <w:highlight w:val="none"/>
              </w:rPr>
              <w:t xml:space="preserve">地址： </w:t>
            </w:r>
            <w:r/>
          </w:p>
        </w:tc>
      </w:tr>
      <w:tr>
        <w:trPr>
          <w:jc w:val="center"/>
          <w:trHeight w:val="517"/>
        </w:trPr>
        <w:tc>
          <w:tcPr>
            <w:tcBorders>
              <w:top w:val="none" w:color="000000" w:sz="4" w:space="0"/>
              <w:left w:val="none" w:color="000000" w:sz="4" w:space="0"/>
              <w:bottom w:val="none" w:color="000000" w:sz="4" w:space="0"/>
              <w:right w:val="none" w:color="000000" w:sz="4" w:space="0"/>
            </w:tcBorders>
            <w:tcW w:w="4630" w:type="dxa"/>
            <w:vAlign w:val="center"/>
            <w:textDirection w:val="lrTb"/>
            <w:noWrap w:val="false"/>
          </w:tcPr>
          <w:p>
            <w:pPr>
              <w:pStyle w:val="1189"/>
              <w:jc w:val="left"/>
              <w:spacing w:before="120" w:after="120" w:line="0" w:lineRule="atLeast"/>
              <w:rPr>
                <w:rFonts w:hint="eastAsia" w:hAnsi="宋体" w:cs="宋体"/>
                <w:color w:val="auto"/>
                <w:sz w:val="24"/>
                <w:szCs w:val="24"/>
                <w:highlight w:val="none"/>
                <w:vertAlign w:val="baseline"/>
              </w:rPr>
            </w:pPr>
            <w:r>
              <w:rPr>
                <w:rFonts w:hint="eastAsia" w:hAnsi="宋体" w:cs="宋体"/>
                <w:color w:val="auto"/>
                <w:sz w:val="24"/>
                <w:szCs w:val="24"/>
                <w:highlight w:val="none"/>
              </w:rPr>
              <w:t xml:space="preserve">法定代表人或授权代表</w:t>
            </w:r>
            <w:r>
              <w:rPr>
                <w:rFonts w:hint="eastAsia" w:hAnsi="宋体" w:cs="宋体"/>
                <w:color w:val="auto"/>
                <w:sz w:val="24"/>
                <w:szCs w:val="24"/>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4630" w:type="dxa"/>
            <w:vAlign w:val="center"/>
            <w:textDirection w:val="lrTb"/>
            <w:noWrap w:val="false"/>
          </w:tcPr>
          <w:p>
            <w:pPr>
              <w:pStyle w:val="1189"/>
              <w:jc w:val="left"/>
              <w:spacing w:before="120" w:after="120" w:line="0" w:lineRule="atLeast"/>
              <w:rPr>
                <w:rFonts w:hint="eastAsia" w:hAnsi="宋体" w:cs="宋体"/>
                <w:color w:val="auto"/>
                <w:sz w:val="24"/>
                <w:szCs w:val="24"/>
                <w:highlight w:val="none"/>
                <w:vertAlign w:val="baseline"/>
              </w:rPr>
            </w:pPr>
            <w:r>
              <w:rPr>
                <w:rFonts w:hint="eastAsia" w:hAnsi="宋体" w:cs="宋体"/>
                <w:color w:val="auto"/>
                <w:sz w:val="24"/>
                <w:szCs w:val="24"/>
                <w:highlight w:val="none"/>
              </w:rPr>
              <w:t xml:space="preserve">法定代表人或授权代表</w:t>
            </w:r>
            <w:r>
              <w:rPr>
                <w:rFonts w:hint="eastAsia" w:hAnsi="宋体" w:cs="宋体"/>
                <w:color w:val="auto"/>
                <w:sz w:val="24"/>
                <w:szCs w:val="24"/>
                <w:highlight w:val="none"/>
                <w:lang w:eastAsia="zh-CN"/>
              </w:rPr>
              <w:t xml:space="preserve">：</w:t>
            </w:r>
            <w:r/>
          </w:p>
        </w:tc>
      </w:tr>
      <w:tr>
        <w:trPr>
          <w:jc w:val="center"/>
          <w:trHeight w:val="662"/>
        </w:trPr>
        <w:tc>
          <w:tcPr>
            <w:tcBorders>
              <w:top w:val="none" w:color="000000" w:sz="4" w:space="0"/>
              <w:left w:val="none" w:color="000000" w:sz="4" w:space="0"/>
              <w:bottom w:val="none" w:color="000000" w:sz="4" w:space="0"/>
              <w:right w:val="none" w:color="000000" w:sz="4" w:space="0"/>
            </w:tcBorders>
            <w:tcW w:w="4630" w:type="dxa"/>
            <w:vAlign w:val="center"/>
            <w:textDirection w:val="lrTb"/>
            <w:noWrap w:val="false"/>
          </w:tcPr>
          <w:p>
            <w:pPr>
              <w:jc w:val="left"/>
              <w:spacing w:before="120" w:after="120" w:line="360" w:lineRule="auto"/>
              <w:rPr>
                <w:rFonts w:hint="eastAsia" w:hAnsi="宋体" w:cs="宋体"/>
                <w:color w:val="auto"/>
                <w:sz w:val="24"/>
                <w:szCs w:val="24"/>
                <w:highlight w:val="none"/>
                <w:vertAlign w:val="baseli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p>
        </w:tc>
        <w:tc>
          <w:tcPr>
            <w:tcBorders>
              <w:top w:val="none" w:color="000000" w:sz="4" w:space="0"/>
              <w:left w:val="none" w:color="000000" w:sz="4" w:space="0"/>
              <w:bottom w:val="none" w:color="000000" w:sz="4" w:space="0"/>
              <w:right w:val="none" w:color="000000" w:sz="4" w:space="0"/>
            </w:tcBorders>
            <w:tcW w:w="4630" w:type="dxa"/>
            <w:vAlign w:val="center"/>
            <w:textDirection w:val="lrTb"/>
            <w:noWrap w:val="false"/>
          </w:tcPr>
          <w:p>
            <w:pPr>
              <w:jc w:val="left"/>
              <w:spacing w:before="120" w:after="120" w:line="360" w:lineRule="auto"/>
              <w:rPr>
                <w:rFonts w:hint="eastAsia" w:hAnsi="宋体" w:cs="宋体"/>
                <w:color w:val="auto"/>
                <w:sz w:val="24"/>
                <w:szCs w:val="24"/>
                <w:highlight w:val="none"/>
                <w:vertAlign w:val="baseli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w:t>
            </w:r>
            <w:r/>
          </w:p>
        </w:tc>
      </w:tr>
    </w:tbl>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75"/>
        <w:spacing w:line="312" w:lineRule="auto"/>
        <w:tabs>
          <w:tab w:val="left" w:pos="0" w:leader="none"/>
        </w:tabs>
        <w:rPr>
          <w:rFonts w:hint="eastAsia" w:ascii="宋体" w:hAnsi="宋体" w:eastAsia="宋体" w:cs="宋体"/>
          <w:color w:val="auto"/>
          <w:sz w:val="24"/>
          <w:szCs w:val="24"/>
          <w:highlight w:val="none"/>
        </w:rPr>
        <w:sectPr>
          <w:footerReference w:type="even" r:id="rId18"/>
          <w:footnotePr/>
          <w:endnotePr/>
          <w:type w:val="nextPage"/>
          <w:pgSz w:w="11906" w:h="16838" w:orient="portrait"/>
          <w:pgMar w:top="1440" w:right="1416" w:bottom="1440" w:left="1418" w:header="851" w:footer="992" w:gutter="0"/>
          <w:cols w:num="1" w:sep="0" w:space="720" w:equalWidth="1"/>
          <w:docGrid w:linePitch="360"/>
        </w:sectPr>
      </w:pPr>
      <w:r>
        <w:rPr>
          <w:rFonts w:hint="eastAsia" w:ascii="宋体" w:hAnsi="宋体" w:eastAsia="宋体" w:cs="宋体"/>
          <w:color w:val="auto"/>
          <w:sz w:val="24"/>
          <w:szCs w:val="24"/>
          <w:highlight w:val="none"/>
        </w:rPr>
        <w:t xml:space="preserve">签订时间：      年    月    日</w:t>
      </w:r>
      <w:r/>
    </w:p>
    <w:p>
      <w:pPr>
        <w:jc w:val="center"/>
        <w:spacing w:line="360" w:lineRule="auto"/>
        <w:rPr>
          <w:b/>
          <w:color w:val="auto"/>
          <w:sz w:val="36"/>
          <w:szCs w:val="36"/>
          <w:highlight w:val="none"/>
        </w:rPr>
        <w:outlineLvl w:val="0"/>
      </w:pPr>
      <w:r/>
      <w:bookmarkStart w:id="858" w:name="_Toc157413252"/>
      <w:r>
        <w:rPr>
          <w:b/>
          <w:color w:val="auto"/>
          <w:sz w:val="36"/>
          <w:szCs w:val="36"/>
          <w:highlight w:val="none"/>
        </w:rPr>
        <w:t xml:space="preserve">第七章   投标文件格式</w:t>
      </w:r>
      <w:bookmarkEnd w:id="858"/>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sectPr>
          <w:footerReference w:type="default" r:id="rId19"/>
          <w:footnotePr/>
          <w:endnotePr/>
          <w:type w:val="nextPage"/>
          <w:pgSz w:w="11906" w:h="16838" w:orient="portrait"/>
          <w:pgMar w:top="1440" w:right="1800" w:bottom="1440" w:left="1800" w:header="851" w:footer="992" w:gutter="0"/>
          <w:cols w:num="1" w:sep="0" w:space="720" w:equalWidth="1"/>
          <w:docGrid w:linePitch="360"/>
        </w:sectPr>
      </w:pPr>
      <w:r>
        <w:rPr>
          <w:rFonts w:hint="eastAsia"/>
          <w:color w:val="auto"/>
          <w:sz w:val="24"/>
          <w:highlight w:val="none"/>
        </w:rPr>
        <w:t xml:space="preserve">4、实行电子化不见面交易方式的，加盖公章、签名等均通过投标文件编制工具加盖电子公章、签字、签章或印鉴。</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r/>
    </w:p>
    <w:p>
      <w:pPr>
        <w:jc w:val="left"/>
        <w:keepLines/>
        <w:keepNext/>
        <w:spacing w:before="120" w:line="300" w:lineRule="auto"/>
        <w:rPr>
          <w:b/>
          <w:color w:val="auto"/>
          <w:spacing w:val="20"/>
          <w:sz w:val="24"/>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163"/>
        <w:rPr>
          <w:color w:val="auto"/>
          <w:highlight w:val="none"/>
        </w:rPr>
      </w:pPr>
      <w:r>
        <w:rPr>
          <w:color w:val="auto"/>
          <w:highlight w:val="none"/>
        </w:rPr>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154"/>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投标人资格声明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1153"/>
        <w:ind w:firstLine="480"/>
        <w:spacing w:line="460" w:lineRule="exact"/>
        <w:rPr>
          <w:color w:val="auto"/>
          <w:highlight w:val="none"/>
        </w:rPr>
      </w:pPr>
      <w:r>
        <w:rPr>
          <w:color w:val="auto"/>
          <w:highlight w:val="none"/>
        </w:rPr>
      </w:r>
      <w:r/>
    </w:p>
    <w:p>
      <w:pPr>
        <w:pStyle w:val="1153"/>
        <w:ind w:firstLine="480"/>
        <w:spacing w:line="460" w:lineRule="exact"/>
        <w:rPr>
          <w:color w:val="auto"/>
          <w:highlight w:val="none"/>
        </w:rPr>
      </w:pPr>
      <w:r>
        <w:rPr>
          <w:rFonts w:hint="eastAsia"/>
          <w:color w:val="auto"/>
          <w:highlight w:val="none"/>
        </w:rPr>
        <w:t xml:space="preserve">致：常州中采招投标有限公司</w:t>
      </w:r>
      <w:r/>
    </w:p>
    <w:p>
      <w:pPr>
        <w:pStyle w:val="1153"/>
        <w:ind w:firstLine="960"/>
        <w:spacing w:line="460" w:lineRule="exact"/>
        <w:rPr>
          <w:color w:val="auto"/>
          <w:highlight w:val="none"/>
          <w:u w:val="single"/>
        </w:rPr>
      </w:pPr>
      <w:r>
        <w:rPr>
          <w:rFonts w:hint="eastAsia"/>
          <w:color w:val="auto"/>
          <w:highlight w:val="none"/>
          <w:u w:val="single"/>
        </w:rPr>
        <w:t xml:space="preserve">（招标人名称）</w:t>
      </w:r>
      <w:r/>
    </w:p>
    <w:p>
      <w:pPr>
        <w:pStyle w:val="1153"/>
        <w:ind w:firstLine="480"/>
        <w:spacing w:line="460" w:lineRule="exact"/>
        <w:rPr>
          <w:color w:val="auto"/>
          <w:highlight w:val="none"/>
        </w:rPr>
      </w:pPr>
      <w:r>
        <w:rPr>
          <w:color w:val="auto"/>
          <w:highlight w:val="none"/>
        </w:rPr>
      </w:r>
      <w:r/>
    </w:p>
    <w:p>
      <w:pPr>
        <w:pStyle w:val="1153"/>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1153"/>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153"/>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1153"/>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1153"/>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153"/>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153"/>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153"/>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153"/>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1153"/>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1153"/>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153"/>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153"/>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153"/>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1153"/>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1153"/>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153"/>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153"/>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153"/>
        <w:ind w:firstLine="480"/>
        <w:spacing w:line="460" w:lineRule="exact"/>
        <w:rPr>
          <w:color w:val="auto"/>
          <w:highlight w:val="none"/>
        </w:rPr>
      </w:pPr>
      <w:r>
        <w:rPr>
          <w:color w:val="auto"/>
          <w:highlight w:val="none"/>
        </w:rPr>
      </w:r>
      <w:r/>
    </w:p>
    <w:p>
      <w:pPr>
        <w:pStyle w:val="1153"/>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153"/>
        <w:ind w:firstLine="480"/>
        <w:spacing w:line="460" w:lineRule="exact"/>
        <w:rPr>
          <w:color w:val="auto"/>
          <w:highlight w:val="none"/>
        </w:rPr>
      </w:pPr>
      <w:r>
        <w:rPr>
          <w:color w:val="auto"/>
          <w:highlight w:val="none"/>
        </w:rPr>
      </w:r>
      <w:r/>
    </w:p>
    <w:p>
      <w:pPr>
        <w:pStyle w:val="1153"/>
        <w:ind w:firstLine="480"/>
        <w:spacing w:line="460" w:lineRule="exact"/>
        <w:rPr>
          <w:color w:val="auto"/>
          <w:highlight w:val="none"/>
        </w:rPr>
      </w:pPr>
      <w:r>
        <w:rPr>
          <w:color w:val="auto"/>
          <w:highlight w:val="none"/>
        </w:rPr>
      </w:r>
      <w:r/>
    </w:p>
    <w:p>
      <w:pPr>
        <w:pStyle w:val="1153"/>
        <w:ind w:firstLine="480"/>
        <w:spacing w:line="460" w:lineRule="exact"/>
        <w:rPr>
          <w:color w:val="auto"/>
          <w:highlight w:val="none"/>
        </w:rPr>
      </w:pPr>
      <w:r>
        <w:rPr>
          <w:rFonts w:hint="eastAsia"/>
          <w:color w:val="auto"/>
          <w:highlight w:val="none"/>
        </w:rPr>
        <w:t xml:space="preserve">                                         投标人：（加盖公章）</w:t>
      </w:r>
      <w:r/>
    </w:p>
    <w:p>
      <w:pPr>
        <w:pStyle w:val="1153"/>
        <w:ind w:firstLine="480"/>
        <w:spacing w:line="460" w:lineRule="exact"/>
        <w:rPr>
          <w:color w:val="auto"/>
          <w:highlight w:val="none"/>
        </w:rPr>
      </w:pPr>
      <w:r>
        <w:rPr>
          <w:rFonts w:hint="eastAsia"/>
          <w:color w:val="auto"/>
          <w:highlight w:val="none"/>
        </w:rPr>
        <w:t xml:space="preserve">                                        法定代表人（或单位负责人）签字或盖章：</w:t>
      </w:r>
      <w:r/>
    </w:p>
    <w:p>
      <w:pPr>
        <w:pStyle w:val="1153"/>
        <w:ind w:firstLine="456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r>
      <w:r/>
    </w:p>
    <w:p>
      <w:pPr>
        <w:pStyle w:val="1154"/>
        <w:pageBreakBefore/>
        <w:rPr>
          <w:rFonts w:hAnsi="宋体"/>
          <w:color w:val="auto"/>
          <w:szCs w:val="24"/>
          <w:highlight w:val="none"/>
          <w:u w:val="none"/>
        </w:rPr>
      </w:pPr>
      <w:r>
        <w:rPr>
          <w:rFonts w:hint="eastAsia" w:hAnsi="宋体"/>
          <w:color w:val="auto"/>
          <w:szCs w:val="24"/>
          <w:highlight w:val="none"/>
          <w:u w:val="none"/>
        </w:rPr>
        <w:t xml:space="preserve">1-2  企业营业执照或事业单位法人证书或自然人身份证明文件（实质性格式）</w:t>
      </w:r>
      <w:r/>
    </w:p>
    <w:p>
      <w:pPr>
        <w:pStyle w:val="1154"/>
        <w:rPr>
          <w:color w:val="auto"/>
          <w:highlight w:val="none"/>
        </w:rPr>
        <w:sectPr>
          <w:headerReference w:type="even" r:id="rId10"/>
          <w:headerReference w:type="first" r:id="rId11"/>
          <w:footerReference w:type="default" r:id="rId20"/>
          <w:footerReference w:type="even" r:id="rId21"/>
          <w:footerReference w:type="first" r:id="rId22"/>
          <w:footnotePr/>
          <w:endnotePr/>
          <w:type w:val="nextPage"/>
          <w:pgSz w:w="11906" w:h="16838" w:orient="portrait"/>
          <w:pgMar w:top="1276" w:right="1474" w:bottom="1276" w:left="1276" w:header="851" w:footer="463" w:gutter="0"/>
          <w:cols w:num="1" w:sep="0" w:space="720" w:equalWidth="1"/>
          <w:docGrid w:linePitch="360"/>
        </w:sectPr>
      </w:pPr>
      <w:r>
        <w:rPr>
          <w:color w:val="auto"/>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rFonts w:hint="eastAsia"/>
          <w:color w:val="auto"/>
          <w:sz w:val="24"/>
          <w:szCs w:val="20"/>
          <w:highlight w:val="none"/>
        </w:rPr>
        <w:outlineLvl w:val="2"/>
      </w:pPr>
      <w:r>
        <w:rPr>
          <w:rFonts w:hint="eastAsia"/>
          <w:color w:val="auto"/>
          <w:sz w:val="24"/>
          <w:szCs w:val="20"/>
          <w:highlight w:val="none"/>
        </w:rPr>
        <w:t xml:space="preserve">2-1</w:t>
      </w:r>
      <w:r>
        <w:rPr>
          <w:color w:val="auto"/>
          <w:sz w:val="24"/>
          <w:szCs w:val="20"/>
          <w:highlight w:val="none"/>
        </w:rPr>
        <w:t xml:space="preserve">本项目专门面向中小企业。</w:t>
      </w:r>
      <w:r>
        <w:rPr>
          <w:rFonts w:hint="eastAsia"/>
          <w:color w:val="auto"/>
          <w:sz w:val="24"/>
          <w:szCs w:val="20"/>
          <w:highlight w:val="none"/>
        </w:rPr>
        <w:t xml:space="preserve"> </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spacing w:line="360" w:lineRule="auto"/>
        <w:tabs>
          <w:tab w:val="left" w:pos="5580" w:leader="none"/>
        </w:tabs>
        <w:rPr>
          <w:color w:val="auto"/>
          <w:sz w:val="24"/>
          <w:highlight w:val="none"/>
        </w:rPr>
      </w:pPr>
      <w:r>
        <w:rPr>
          <w:rFonts w:hint="eastAsia"/>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4）中小企业认定标准以《关于印发中小企业划型标准规定的通知》（工信部联企业〔2011〕300号）文件规定为准。</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color w:val="auto"/>
          <w:highlight w:val="none"/>
        </w:rPr>
        <w:fldChar w:fldCharType="begin"/>
      </w:r>
      <w:r>
        <w:rPr>
          <w:color w:val="auto"/>
          <w:highlight w:val="none"/>
        </w:rPr>
        <w:instrText xml:space="preserve"> HYPERLINK "http://202.106.120.146/baosong/appweb/orgScale.html" </w:instrText>
      </w:r>
      <w:r>
        <w:rPr>
          <w:color w:val="auto"/>
          <w:highlight w:val="none"/>
        </w:rPr>
        <w:fldChar w:fldCharType="separate"/>
      </w:r>
      <w:r>
        <w:rPr>
          <w:rStyle w:val="1000"/>
          <w:color w:val="auto"/>
          <w:sz w:val="24"/>
          <w:highlight w:val="none"/>
        </w:rPr>
        <w:t xml:space="preserve">http://202.106.120.146/baosong/appweb/orgScale.html</w:t>
      </w:r>
      <w:r>
        <w:rPr>
          <w:rStyle w:val="1000"/>
          <w:color w:val="auto"/>
          <w:sz w:val="24"/>
          <w:highlight w:val="none"/>
        </w:rPr>
        <w:fldChar w:fldCharType="end"/>
      </w:r>
      <w:r>
        <w:rPr>
          <w:rFonts w:hint="eastAsia"/>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color w:val="auto"/>
          <w:sz w:val="24"/>
          <w:highlight w:val="none"/>
        </w:rPr>
        <w:t xml:space="preserve">6）</w:t>
      </w:r>
      <w:r>
        <w:rPr>
          <w:rFonts w:ascii="宋体" w:hAnsi="宋体"/>
          <w:b/>
          <w:color w:val="auto"/>
          <w:sz w:val="24"/>
          <w:highlight w:val="none"/>
        </w:rPr>
        <w:t xml:space="preserve">在货物采购项目中，供应商提供的货物既有中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spacing w:line="360" w:lineRule="auto"/>
        <w:tabs>
          <w:tab w:val="left" w:pos="5580" w:leader="none"/>
        </w:tabs>
        <w:rPr>
          <w:rFonts w:ascii="宋体" w:hAnsi="宋体"/>
          <w:b/>
          <w:color w:val="auto"/>
          <w:sz w:val="24"/>
          <w:highlight w:val="none"/>
        </w:rPr>
      </w:pPr>
      <w:r>
        <w:rPr>
          <w:rFonts w:hint="eastAsia" w:ascii="宋体" w:hAnsi="宋体"/>
          <w:b/>
          <w:color w:val="auto"/>
          <w:sz w:val="24"/>
          <w:highlight w:val="none"/>
        </w:rPr>
        <w:t xml:space="preserve">7）小微企业未提供声明函的，价格分评审将不予价格扣除。</w:t>
      </w:r>
      <w:r/>
    </w:p>
    <w:p>
      <w:pPr>
        <w:jc w:val="left"/>
        <w:widowControl/>
        <w:rPr>
          <w:color w:val="auto"/>
          <w:sz w:val="24"/>
          <w:highlight w:val="none"/>
        </w:rPr>
      </w:pPr>
      <w:r>
        <w:rPr>
          <w:b/>
          <w:bCs/>
          <w:color w:val="auto"/>
          <w:sz w:val="24"/>
          <w:highlight w:val="none"/>
        </w:rPr>
        <w:br w:type="page" w:clear="all"/>
      </w:r>
      <w:r/>
    </w:p>
    <w:p>
      <w:pPr>
        <w:jc w:val="center"/>
        <w:spacing w:line="360" w:lineRule="auto"/>
        <w:rPr>
          <w:b/>
          <w:bCs/>
          <w:color w:val="auto"/>
          <w:sz w:val="24"/>
          <w:highlight w:val="none"/>
        </w:rPr>
      </w:pPr>
      <w:r>
        <w:rPr>
          <w:rFonts w:hint="eastAsia"/>
          <w:b/>
          <w:color w:val="auto"/>
          <w:sz w:val="36"/>
          <w:szCs w:val="36"/>
          <w:highlight w:val="none"/>
        </w:rPr>
        <w:t xml:space="preserve">中小企业声明函（服务）格式</w:t>
      </w:r>
      <w:r/>
    </w:p>
    <w:p>
      <w:pPr>
        <w:ind w:firstLine="504"/>
        <w:spacing w:line="360" w:lineRule="auto"/>
        <w:rPr>
          <w:color w:val="auto"/>
          <w:spacing w:val="6"/>
          <w:sz w:val="24"/>
          <w:highlight w:val="none"/>
        </w:rPr>
      </w:pPr>
      <w:r>
        <w:rPr>
          <w:rFonts w:hint="eastAsia"/>
          <w:color w:val="auto"/>
          <w:spacing w:val="6"/>
          <w:sz w:val="24"/>
          <w:highlight w:val="none"/>
        </w:rPr>
        <w:t xml:space="preserve">本公司（联合体）郑重声明，根据《政府采购促进中小企业发展管理办法》（财库﹝</w:t>
      </w:r>
      <w:r>
        <w:rPr>
          <w:color w:val="auto"/>
          <w:spacing w:val="6"/>
          <w:sz w:val="24"/>
          <w:highlight w:val="none"/>
        </w:rPr>
        <w:t xml:space="preserve">2020</w:t>
      </w:r>
      <w:r>
        <w:rPr>
          <w:rFonts w:hint="eastAsia"/>
          <w:color w:val="auto"/>
          <w:spacing w:val="6"/>
          <w:sz w:val="24"/>
          <w:highlight w:val="none"/>
        </w:rPr>
        <w:t xml:space="preserve">﹞</w:t>
      </w:r>
      <w:r>
        <w:rPr>
          <w:color w:val="auto"/>
          <w:spacing w:val="6"/>
          <w:sz w:val="24"/>
          <w:highlight w:val="none"/>
        </w:rPr>
        <w:t xml:space="preserve">46 </w:t>
      </w:r>
      <w:r>
        <w:rPr>
          <w:rFonts w:hint="eastAsia"/>
          <w:color w:val="auto"/>
          <w:spacing w:val="6"/>
          <w:sz w:val="24"/>
          <w:highlight w:val="none"/>
        </w:rPr>
        <w:t xml:space="preserve">号）的规定，本公司（联合体）参加常州中采招投标有限公司组织的（采购单位名称</w:t>
      </w:r>
      <w:r>
        <w:rPr>
          <w:rFonts w:hint="eastAsia"/>
          <w:color w:val="auto"/>
          <w:spacing w:val="6"/>
          <w:sz w:val="24"/>
          <w:highlight w:val="none"/>
          <w:u w:val="single"/>
        </w:rPr>
        <w:t xml:space="preserve">①</w:t>
      </w:r>
      <w:r>
        <w:rPr>
          <w:rFonts w:hint="eastAsia"/>
          <w:color w:val="auto"/>
          <w:spacing w:val="6"/>
          <w:sz w:val="24"/>
          <w:highlight w:val="none"/>
        </w:rPr>
        <w:t xml:space="preserve">）采购编号为</w:t>
      </w:r>
      <w:r>
        <w:rPr>
          <w:rFonts w:hint="eastAsia"/>
          <w:color w:val="auto"/>
          <w:spacing w:val="6"/>
          <w:sz w:val="24"/>
          <w:highlight w:val="none"/>
          <w:u w:val="single"/>
        </w:rPr>
        <w:t xml:space="preserve">②  </w:t>
      </w:r>
      <w:r>
        <w:rPr>
          <w:rFonts w:hint="eastAsia"/>
          <w:color w:val="auto"/>
          <w:spacing w:val="6"/>
          <w:sz w:val="24"/>
          <w:highlight w:val="none"/>
        </w:rPr>
        <w:t xml:space="preserve">（项目名称</w:t>
      </w:r>
      <w:r>
        <w:rPr>
          <w:rFonts w:hint="eastAsia"/>
          <w:color w:val="auto"/>
          <w:spacing w:val="6"/>
          <w:sz w:val="24"/>
          <w:highlight w:val="none"/>
          <w:u w:val="single"/>
        </w:rPr>
        <w:t xml:space="preserve">③</w:t>
      </w:r>
      <w:r>
        <w:rPr>
          <w:rFonts w:hint="eastAsia"/>
          <w:color w:val="auto"/>
          <w:spacing w:val="6"/>
          <w:sz w:val="24"/>
          <w:highlight w:val="none"/>
        </w:rPr>
        <w:t xml:space="preserve">）（分包号</w:t>
      </w:r>
      <w:r>
        <w:rPr>
          <w:rFonts w:hint="eastAsia"/>
          <w:color w:val="auto"/>
          <w:spacing w:val="6"/>
          <w:sz w:val="24"/>
          <w:highlight w:val="none"/>
          <w:u w:val="single"/>
        </w:rPr>
        <w:t xml:space="preserve">④</w:t>
      </w:r>
      <w:r>
        <w:rPr>
          <w:rFonts w:hint="eastAsia"/>
          <w:color w:val="auto"/>
          <w:spacing w:val="6"/>
          <w:sz w:val="24"/>
          <w:highlight w:val="none"/>
        </w:rPr>
        <w:t xml:space="preserve">）的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rFonts w:hint="eastAsia"/>
          <w:color w:val="auto"/>
          <w:spacing w:val="6"/>
          <w:sz w:val="24"/>
          <w:highlight w:val="none"/>
          <w:u w:val="single"/>
        </w:rPr>
        <w:t xml:space="preserve">（标的名称⑤）</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（采购文件中明确的所属行业⑥）</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（企业名称⑦）</w:t>
      </w:r>
      <w:r>
        <w:rPr>
          <w:rFonts w:hint="eastAsia"/>
          <w:color w:val="auto"/>
          <w:spacing w:val="6"/>
          <w:sz w:val="24"/>
          <w:highlight w:val="none"/>
        </w:rPr>
        <w:t xml:space="preserve">，从业人员</w:t>
      </w:r>
      <w:r>
        <w:rPr>
          <w:color w:val="auto"/>
          <w:spacing w:val="6"/>
          <w:sz w:val="24"/>
          <w:highlight w:val="none"/>
        </w:rPr>
        <w:t xml:space="preserve">__</w:t>
      </w:r>
      <w:r>
        <w:rPr>
          <w:rFonts w:hint="eastAsia"/>
          <w:color w:val="auto"/>
          <w:spacing w:val="6"/>
          <w:sz w:val="24"/>
          <w:highlight w:val="none"/>
          <w:u w:val="single"/>
        </w:rPr>
        <w:t xml:space="preserve">⑧</w:t>
      </w:r>
      <w:r>
        <w:rPr>
          <w:color w:val="auto"/>
          <w:spacing w:val="6"/>
          <w:sz w:val="24"/>
          <w:highlight w:val="none"/>
        </w:rPr>
        <w:t xml:space="preserve">__</w:t>
      </w:r>
      <w:r>
        <w:rPr>
          <w:rFonts w:hint="eastAsia"/>
          <w:color w:val="auto"/>
          <w:spacing w:val="6"/>
          <w:sz w:val="24"/>
          <w:highlight w:val="none"/>
        </w:rPr>
        <w:t xml:space="preserve">人，营业收入为</w:t>
      </w:r>
      <w:r>
        <w:rPr>
          <w:color w:val="auto"/>
          <w:spacing w:val="6"/>
          <w:sz w:val="24"/>
          <w:highlight w:val="none"/>
        </w:rPr>
        <w:t xml:space="preserve">_</w:t>
      </w:r>
      <w:r>
        <w:rPr>
          <w:rFonts w:hint="eastAsia"/>
          <w:color w:val="auto"/>
          <w:spacing w:val="6"/>
          <w:sz w:val="24"/>
          <w:highlight w:val="none"/>
          <w:u w:val="single"/>
        </w:rPr>
        <w:t xml:space="preserve">⑨</w:t>
      </w:r>
      <w:r>
        <w:rPr>
          <w:color w:val="auto"/>
          <w:spacing w:val="6"/>
          <w:sz w:val="24"/>
          <w:highlight w:val="none"/>
        </w:rPr>
        <w:t xml:space="preserve">_</w:t>
      </w:r>
      <w:r>
        <w:rPr>
          <w:rFonts w:hint="eastAsia"/>
          <w:color w:val="auto"/>
          <w:spacing w:val="6"/>
          <w:sz w:val="24"/>
          <w:highlight w:val="none"/>
        </w:rPr>
        <w:t xml:space="preserve">万元，资产总额为</w:t>
      </w:r>
      <w:r>
        <w:rPr>
          <w:color w:val="auto"/>
          <w:spacing w:val="6"/>
          <w:sz w:val="24"/>
          <w:highlight w:val="none"/>
        </w:rPr>
        <w:t xml:space="preserve">_</w:t>
      </w:r>
      <w:r>
        <w:rPr>
          <w:rFonts w:hint="eastAsia"/>
          <w:color w:val="auto"/>
          <w:spacing w:val="6"/>
          <w:sz w:val="24"/>
          <w:highlight w:val="none"/>
          <w:u w:val="single"/>
        </w:rPr>
        <w:t xml:space="preserve">⑩</w:t>
      </w:r>
      <w:r>
        <w:rPr>
          <w:color w:val="auto"/>
          <w:spacing w:val="6"/>
          <w:sz w:val="24"/>
          <w:highlight w:val="none"/>
        </w:rPr>
        <w:t xml:space="preserve">__</w:t>
      </w:r>
      <w:r>
        <w:rPr>
          <w:rFonts w:hint="eastAsia"/>
          <w:color w:val="auto"/>
          <w:spacing w:val="6"/>
          <w:sz w:val="24"/>
          <w:highlight w:val="none"/>
        </w:rPr>
        <w:t xml:space="preserve">万元</w:t>
      </w:r>
      <w:r>
        <w:rPr>
          <w:color w:val="auto"/>
          <w:spacing w:val="6"/>
          <w:sz w:val="24"/>
          <w:highlight w:val="none"/>
          <w:vertAlign w:val="superscript"/>
        </w:rPr>
        <w:t xml:space="preserve">1</w:t>
      </w:r>
      <w:r>
        <w:rPr>
          <w:rFonts w:hint="eastAsia"/>
          <w:color w:val="auto"/>
          <w:spacing w:val="6"/>
          <w:sz w:val="24"/>
          <w:highlight w:val="none"/>
        </w:rPr>
        <w:t xml:space="preserve">，属于（中型企业、小型企业、微型企业</w:t>
      </w:r>
      <w:r>
        <w:rPr>
          <w:rFonts w:ascii="Cambria Math" w:hAnsi="Cambria Math" w:eastAsia="仿宋_GB2312" w:cs="Cambria Math"/>
          <w:color w:val="auto"/>
          <w:sz w:val="24"/>
          <w:szCs w:val="28"/>
          <w:highlight w:val="none"/>
          <w:u w:val="single"/>
        </w:rPr>
        <w:t xml:space="preserve">⑪</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2.</w:t>
      </w:r>
      <w:r>
        <w:rPr>
          <w:rFonts w:hint="eastAsia"/>
          <w:color w:val="auto"/>
          <w:spacing w:val="6"/>
          <w:sz w:val="24"/>
          <w:highlight w:val="none"/>
          <w:u w:val="single"/>
        </w:rPr>
        <w:t xml:space="preserve">（标的名称）</w:t>
      </w:r>
      <w:r>
        <w:rPr>
          <w:rFonts w:hint="eastAsia"/>
          <w:color w:val="auto"/>
          <w:spacing w:val="6"/>
          <w:sz w:val="24"/>
          <w:highlight w:val="none"/>
        </w:rPr>
        <w:t xml:space="preserve">，属于</w:t>
      </w:r>
      <w:r>
        <w:rPr>
          <w:rFonts w:hint="eastAsia"/>
          <w:color w:val="auto"/>
          <w:spacing w:val="6"/>
          <w:sz w:val="24"/>
          <w:highlight w:val="none"/>
          <w:u w:val="single"/>
        </w:rPr>
        <w:t xml:space="preserve">（采购文件中明确的所属行业）</w:t>
      </w:r>
      <w:r>
        <w:rPr>
          <w:rFonts w:hint="eastAsia"/>
          <w:color w:val="auto"/>
          <w:spacing w:val="6"/>
          <w:sz w:val="24"/>
          <w:highlight w:val="none"/>
        </w:rPr>
        <w:t xml:space="preserve">行业；承接企业为</w:t>
      </w:r>
      <w:r>
        <w:rPr>
          <w:rFonts w:hint="eastAsia"/>
          <w:color w:val="auto"/>
          <w:spacing w:val="6"/>
          <w:sz w:val="24"/>
          <w:highlight w:val="none"/>
          <w:u w:val="single"/>
        </w:rPr>
        <w:t xml:space="preserve">（企业名称）</w:t>
      </w:r>
      <w:r>
        <w:rPr>
          <w:rFonts w:hint="eastAsia"/>
          <w:color w:val="auto"/>
          <w:spacing w:val="6"/>
          <w:sz w:val="24"/>
          <w:highlight w:val="none"/>
        </w:rPr>
        <w:t xml:space="preserve">，从业人员</w:t>
      </w:r>
      <w:r>
        <w:rPr>
          <w:color w:val="auto"/>
          <w:spacing w:val="6"/>
          <w:sz w:val="24"/>
          <w:highlight w:val="none"/>
        </w:rPr>
        <w:t xml:space="preserve">______</w:t>
      </w:r>
      <w:r>
        <w:rPr>
          <w:rFonts w:hint="eastAsia"/>
          <w:color w:val="auto"/>
          <w:spacing w:val="6"/>
          <w:sz w:val="24"/>
          <w:highlight w:val="none"/>
        </w:rPr>
        <w:t xml:space="preserve">人，营业收入为</w:t>
      </w:r>
      <w:r>
        <w:rPr>
          <w:color w:val="auto"/>
          <w:spacing w:val="6"/>
          <w:sz w:val="24"/>
          <w:highlight w:val="none"/>
        </w:rPr>
        <w:t xml:space="preserve">______</w:t>
      </w:r>
      <w:r>
        <w:rPr>
          <w:rFonts w:hint="eastAsia"/>
          <w:color w:val="auto"/>
          <w:spacing w:val="6"/>
          <w:sz w:val="24"/>
          <w:highlight w:val="none"/>
        </w:rPr>
        <w:t xml:space="preserve">万元，资产总额为</w:t>
      </w:r>
      <w:r>
        <w:rPr>
          <w:color w:val="auto"/>
          <w:spacing w:val="6"/>
          <w:sz w:val="24"/>
          <w:highlight w:val="none"/>
        </w:rPr>
        <w:t xml:space="preserve">______</w:t>
      </w:r>
      <w:r>
        <w:rPr>
          <w:rFonts w:hint="eastAsia"/>
          <w:color w:val="auto"/>
          <w:spacing w:val="6"/>
          <w:sz w:val="24"/>
          <w:highlight w:val="none"/>
        </w:rPr>
        <w:t xml:space="preserve">万元，属于</w:t>
      </w:r>
      <w:r>
        <w:rPr>
          <w:rFonts w:hint="eastAsia"/>
          <w:color w:val="auto"/>
          <w:spacing w:val="6"/>
          <w:sz w:val="24"/>
          <w:highlight w:val="none"/>
          <w:u w:val="single"/>
        </w:rPr>
        <w:t xml:space="preserve">（中型企业、小型企业、微型企业）</w:t>
      </w:r>
      <w:r>
        <w:rPr>
          <w:rFonts w:hint="eastAsia"/>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rFonts w:hint="eastAsia"/>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rFonts w:hint="eastAsia"/>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rFonts w:hint="eastAsia"/>
          <w:color w:val="auto"/>
          <w:sz w:val="24"/>
          <w:highlight w:val="none"/>
        </w:rPr>
        <w:t xml:space="preserve">企业名称（盖章）：</w:t>
      </w:r>
      <w:r>
        <w:rPr>
          <w:color w:val="auto"/>
          <w:sz w:val="24"/>
          <w:highlight w:val="none"/>
        </w:rPr>
        <w:t xml:space="preserve">__</w:t>
      </w:r>
      <w:r>
        <w:rPr>
          <w:rFonts w:ascii="Cambria Math" w:hAnsi="Cambria Math" w:cs="Cambria Math"/>
          <w:color w:val="auto"/>
          <w:spacing w:val="6"/>
          <w:sz w:val="28"/>
          <w:szCs w:val="21"/>
          <w:highlight w:val="none"/>
          <w:u w:val="single"/>
        </w:rPr>
        <w:t xml:space="preserve">⑫</w:t>
      </w:r>
      <w:r>
        <w:rPr>
          <w:color w:val="auto"/>
          <w:sz w:val="24"/>
          <w:highlight w:val="none"/>
        </w:rPr>
        <w:t xml:space="preserve">______</w:t>
      </w:r>
      <w:r/>
    </w:p>
    <w:p>
      <w:pPr>
        <w:ind w:right="360" w:firstLine="480"/>
        <w:jc w:val="right"/>
        <w:spacing w:line="360" w:lineRule="auto"/>
        <w:rPr>
          <w:color w:val="auto"/>
          <w:sz w:val="24"/>
          <w:highlight w:val="none"/>
        </w:rPr>
      </w:pPr>
      <w:r>
        <w:rPr>
          <w:rFonts w:hint="eastAsia"/>
          <w:color w:val="auto"/>
          <w:sz w:val="24"/>
          <w:highlight w:val="none"/>
        </w:rPr>
        <w:t xml:space="preserve">日</w:t>
      </w:r>
      <w:r>
        <w:rPr>
          <w:color w:val="auto"/>
          <w:sz w:val="24"/>
          <w:highlight w:val="none"/>
        </w:rPr>
        <w:t xml:space="preserve"> </w:t>
      </w:r>
      <w:r>
        <w:rPr>
          <w:rFonts w:hint="eastAsia"/>
          <w:color w:val="auto"/>
          <w:sz w:val="24"/>
          <w:highlight w:val="none"/>
        </w:rPr>
        <w:t xml:space="preserve">期：</w:t>
      </w:r>
      <w:r>
        <w:rPr>
          <w:color w:val="auto"/>
          <w:sz w:val="24"/>
          <w:highlight w:val="none"/>
        </w:rPr>
        <w:t xml:space="preserve">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970"/>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Borders>
              <w:top w:val="single" w:color="auto" w:sz="4" w:space="0"/>
              <w:left w:val="none" w:color="000000" w:sz="4" w:space="0"/>
              <w:bottom w:val="none" w:color="000000" w:sz="4" w:space="0"/>
              <w:right w:val="none" w:color="000000" w:sz="4" w:space="0"/>
            </w:tcBorders>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rFonts w:hint="eastAsia"/>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spacing w:line="570" w:lineRule="exact"/>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r>
      <w:r/>
    </w:p>
    <w:p>
      <w:pPr>
        <w:keepLines w:val="0"/>
        <w:keepNext w:val="0"/>
        <w:pageBreakBefore/>
        <w:spacing w:line="570" w:lineRule="exact"/>
        <w:widowControl w:val="off"/>
        <w:rPr>
          <w:rFonts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填写说明：</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1.（采购单位名称①）：填写本项目采购人单位名称，如常州市XXX局。</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2.采购编号为②：填写本项目编号，如JSZC-3204XX-JZCG-G20XX-XX。</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3.（项目名称③）：填写本项目名称，如常州市XXX项目。</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4.（分包号：④）：填写分包编号，如有分包的，分别填写分包号，没有的填“无”。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5.（标的名称⑤）：填写本项目标的名称，如有产品清单的请根据采购文件“第四章采购需求”-“服务内容及要求/货物技术要求”-“产品清单”中列出的名称进行填写，如：物业服务、保安服务、审计服务等；如没有产品清单的可以填项目名称。</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6.（采购文件中明确的所属行业⑥）：填写本项目采购标的所属行业。须根据采购文件“第二章供应商须知料表”表格中列明的所属行业进行填写。如：软件和信息技术服务业、租赁和商务服务业等。</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7.（企业名称⑦）：填写投标人或供应商的名称，如XXX公司。</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8.从业人员⑧人，营业收入为⑨万元，资产总额为⑩万元：填报投标人或供应商的从业人员、营业收入、资产总额上一年度数据，无上一年度数据的新成立企业可不填报。</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9.（中型企业、小型企业、微型企业</w:t>
      </w:r>
      <w:r>
        <w:rPr>
          <w:rFonts w:ascii="Cambria Math" w:hAnsi="Cambria Math" w:cs="Cambria Math"/>
          <w:color w:val="auto"/>
          <w:spacing w:val="6"/>
          <w:sz w:val="24"/>
          <w:highlight w:val="none"/>
        </w:rPr>
        <w:t xml:space="preserve">⑪</w:t>
      </w:r>
      <w:r>
        <w:rPr>
          <w:rFonts w:hint="eastAsia" w:ascii="宋体" w:hAnsi="宋体"/>
          <w:color w:val="auto"/>
          <w:spacing w:val="6"/>
          <w:sz w:val="24"/>
          <w:highlight w:val="none"/>
        </w:rPr>
        <w:t xml:space="preserve">）：根据投标人或供应商的企业规模情况填写中型企业、小型企业或微型企业（只能填写三种其中的一种）。中小企业划分见《关于印发中小企业划型标准规定的通知》（工信部联企业〔2011〕300号) 。</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10.企业名称（盖章）</w:t>
      </w:r>
      <w:r>
        <w:rPr>
          <w:rFonts w:ascii="Cambria Math" w:hAnsi="Cambria Math" w:cs="Cambria Math"/>
          <w:color w:val="auto"/>
          <w:spacing w:val="6"/>
          <w:sz w:val="24"/>
          <w:highlight w:val="none"/>
        </w:rPr>
        <w:t xml:space="preserve">⑫</w:t>
      </w:r>
      <w:r>
        <w:rPr>
          <w:rFonts w:hint="eastAsia" w:ascii="宋体" w:hAnsi="宋体"/>
          <w:color w:val="auto"/>
          <w:spacing w:val="6"/>
          <w:sz w:val="24"/>
          <w:highlight w:val="none"/>
        </w:rPr>
        <w:t xml:space="preserve">：加盖投标人或供应商CA电子公章。</w:t>
      </w:r>
      <w:r/>
    </w:p>
    <w:p>
      <w:pPr>
        <w:ind w:firstLine="504"/>
        <w:jc w:val="left"/>
        <w:spacing w:line="360" w:lineRule="auto"/>
        <w:rPr>
          <w:rFonts w:ascii="宋体" w:hAnsi="宋体"/>
          <w:color w:val="auto"/>
          <w:spacing w:val="6"/>
          <w:sz w:val="24"/>
          <w:highlight w:val="none"/>
        </w:rPr>
      </w:pPr>
      <w:r>
        <w:rPr>
          <w:rFonts w:hint="eastAsia" w:ascii="宋体" w:hAnsi="宋体"/>
          <w:color w:val="auto"/>
          <w:spacing w:val="6"/>
          <w:sz w:val="24"/>
          <w:highlight w:val="none"/>
        </w:rPr>
        <w:t xml:space="preserve">11.如是专门面向中小企业预留份额的采购项目，供应商未提供此声明函的，资格审查不予通过，作为无效投标（响应）。如是非专门面向中小企业预留份额的采购项目，供应商未提供此声明函的，评审时不享受小微型企业价格扣除政策。此声明函将随中标成交结果同时公告，接受社会监督。供应商应当自行核实是否属于中小微企业，并认真填写声明函，若有虚假将追究其责任。</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12.温馨提示</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（1）对于已纳入统计部门统计范围的企业，所属行业、从业人员、营业收入、资产总额、规模类型应与统计部门报表保持一致。</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2）对于未纳入统计部门统计范围的企业，应对照《国民经济行业分类》确定所属行业，当企业从事两种以上的经济活动时，则按照主要活动确定其所属行业；从业人数可以社会保险参保人数为准；营业收入、资产总额可以第三方出具的报告为准。</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3）供应商提供第三方（如制造商）书面声明、检测报告等资料作为投标文件组成部分的，供应商应保证投标所提供第三方资料内容真实、完整、准确。如相关第三方书面声明、相关检测报告等资料虚假，监管部门有权根据调查情形认定其是否属于提供虚假材料谋取中标，并严肃处理。</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4）对于采购文件确实允许非独立法人参与采购活动的，应按其所属集团公司合并财务报表数据情况予以填报。以联合体形式参加或者合同分包的，需填写联合体中的中小企业或签订分包意向协议的中小企业相关信息。</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5）《中小企业声明函》真实性由其出具的供应商负责。《中小企业声明函》中相关企业[制造商、承建（承接）企业]所属行业应当与采购标的的所属行业相一致。《中小企业声明函》应当充分、准确反映供应商的信息。</w:t>
      </w:r>
      <w:r/>
    </w:p>
    <w:p>
      <w:pPr>
        <w:pStyle w:val="1412"/>
        <w:ind w:firstLine="480"/>
        <w:spacing w:line="360" w:lineRule="auto"/>
        <w:rPr>
          <w:rFonts w:ascii="宋体" w:hAnsi="宋体"/>
          <w:color w:val="auto"/>
          <w:spacing w:val="6"/>
          <w:sz w:val="24"/>
          <w:szCs w:val="24"/>
          <w:highlight w:val="none"/>
        </w:rPr>
      </w:pPr>
      <w:r>
        <w:rPr>
          <w:rFonts w:hint="eastAsia" w:ascii="宋体" w:hAnsi="宋体"/>
          <w:color w:val="auto"/>
          <w:spacing w:val="6"/>
          <w:sz w:val="24"/>
          <w:szCs w:val="24"/>
          <w:highlight w:val="none"/>
        </w:rPr>
        <w:t xml:space="preserve">（6）经调查发现供应商提供《中小企业声明函》内容与实际不符的，政府采购监管部门有权根据《中小企业声明函》与实际情况的差异视情形认定其是否属于虚假材料谋取中标。</w:t>
      </w:r>
      <w:r/>
    </w:p>
    <w:p>
      <w:pPr>
        <w:ind w:firstLine="504"/>
        <w:spacing w:line="360" w:lineRule="auto"/>
        <w:rPr>
          <w:color w:val="auto"/>
          <w:szCs w:val="21"/>
          <w:highlight w:val="none"/>
          <w:vertAlign w:val="superscript"/>
        </w:rPr>
      </w:pPr>
      <w:r>
        <w:rPr>
          <w:rFonts w:hint="eastAsia" w:ascii="宋体" w:hAnsi="宋体"/>
          <w:color w:val="auto"/>
          <w:spacing w:val="6"/>
          <w:sz w:val="24"/>
          <w:highlight w:val="none"/>
        </w:rPr>
        <w:t xml:space="preserve">（7）根据《财政部关于规范政府采购行政处罚有关问题的通知》（财库〔2015〕150 号）规定，各级人民政府财政部门依法对供应商作出的禁止参加政府采购活动的行政处罚决定在全国范围内生效。</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br w:type="page" w:clear="all"/>
      </w:r>
      <w:r/>
    </w:p>
    <w:p>
      <w:pPr>
        <w:jc w:val="center"/>
        <w:spacing w:before="240" w:after="240" w:line="360" w:lineRule="auto"/>
        <w:rPr>
          <w:color w:val="auto"/>
          <w:sz w:val="36"/>
          <w:szCs w:val="36"/>
          <w:highlight w:val="none"/>
        </w:rPr>
      </w:pPr>
      <w:r>
        <w:rPr>
          <w:b/>
          <w:bCs/>
          <w:color w:val="auto"/>
          <w:sz w:val="36"/>
          <w:szCs w:val="36"/>
          <w:highlight w:val="none"/>
        </w:rPr>
        <w:t xml:space="preserve">残疾人福利性单位声明函格式</w:t>
      </w:r>
      <w:r>
        <w:rPr>
          <w:color w:val="auto"/>
          <w:sz w:val="36"/>
          <w:szCs w:val="36"/>
          <w:highlight w:val="none"/>
        </w:rPr>
        <w:t xml:space="preserve"> </w:t>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单位名称（加盖公章）：</w:t>
      </w:r>
      <w:r/>
    </w:p>
    <w:p>
      <w:pPr>
        <w:spacing w:line="360" w:lineRule="auto"/>
        <w:rPr>
          <w:rFonts w:hint="eastAsia"/>
          <w:color w:val="auto"/>
          <w:sz w:val="24"/>
          <w:szCs w:val="20"/>
          <w:highlight w:val="none"/>
        </w:rPr>
        <w:outlineLvl w:val="2"/>
      </w:pPr>
      <w:r>
        <w:rPr>
          <w:color w:val="auto"/>
          <w:spacing w:val="6"/>
          <w:sz w:val="24"/>
          <w:highlight w:val="none"/>
        </w:rPr>
        <w:t xml:space="preserve">       日  期：</w:t>
      </w:r>
      <w:r/>
    </w:p>
    <w:p>
      <w:pPr>
        <w:pageBreakBefore/>
        <w:spacing w:line="360" w:lineRule="auto"/>
        <w:rPr>
          <w:color w:val="auto"/>
          <w:sz w:val="24"/>
          <w:szCs w:val="20"/>
          <w:highlight w:val="none"/>
        </w:rPr>
        <w:outlineLvl w:val="2"/>
      </w:pPr>
      <w:r>
        <w:rPr>
          <w:color w:val="auto"/>
          <w:sz w:val="24"/>
          <w:szCs w:val="20"/>
          <w:highlight w:val="none"/>
        </w:rPr>
        <w:t xml:space="preserve">3 本项目的特定资格要求</w:t>
      </w:r>
      <w:r>
        <w:rPr>
          <w:rFonts w:hint="eastAsia"/>
          <w:color w:val="auto"/>
          <w:sz w:val="24"/>
          <w:szCs w:val="20"/>
          <w:highlight w:val="none"/>
        </w:rPr>
        <w:t xml:space="preserve">：</w:t>
      </w:r>
      <w:r>
        <w:rPr>
          <w:color w:val="auto"/>
          <w:sz w:val="24"/>
          <w:szCs w:val="20"/>
          <w:highlight w:val="none"/>
        </w:rPr>
        <w:t xml:space="preserve">无</w:t>
      </w:r>
      <w:r>
        <w:rPr>
          <w:rFonts w:hint="eastAsia"/>
          <w:color w:val="auto"/>
          <w:sz w:val="24"/>
          <w:szCs w:val="20"/>
          <w:highlight w:val="none"/>
        </w:rPr>
        <w:t xml:space="preserve">。</w:t>
      </w:r>
      <w:r/>
    </w:p>
    <w:p>
      <w:pPr>
        <w:spacing w:line="360" w:lineRule="auto"/>
        <w:rPr>
          <w:color w:val="auto"/>
          <w:sz w:val="24"/>
          <w:szCs w:val="20"/>
          <w:highlight w:val="none"/>
        </w:rPr>
        <w:outlineLvl w:val="2"/>
      </w:pPr>
      <w:r>
        <w:rPr>
          <w:color w:val="auto"/>
          <w:sz w:val="24"/>
          <w:szCs w:val="20"/>
          <w:highlight w:val="none"/>
        </w:rPr>
        <w:t xml:space="preserve">3-1联合协议</w:t>
      </w:r>
      <w:r>
        <w:rPr>
          <w:rFonts w:hint="eastAsia"/>
          <w:color w:val="auto"/>
          <w:sz w:val="24"/>
          <w:szCs w:val="20"/>
          <w:highlight w:val="none"/>
        </w:rPr>
        <w:t xml:space="preserve">：</w:t>
      </w:r>
      <w:r>
        <w:rPr>
          <w:color w:val="auto"/>
          <w:sz w:val="24"/>
          <w:szCs w:val="20"/>
          <w:highlight w:val="none"/>
        </w:rPr>
        <w:t xml:space="preserve">本项目不接受联合体投标</w:t>
      </w:r>
      <w:r>
        <w:rPr>
          <w:rFonts w:hint="eastAsia"/>
          <w:color w:val="auto"/>
          <w:sz w:val="24"/>
          <w:szCs w:val="20"/>
          <w:highlight w:val="none"/>
        </w:rPr>
        <w:t xml:space="preserve">。</w:t>
      </w:r>
      <w:r/>
    </w:p>
    <w:p>
      <w:pPr>
        <w:spacing w:line="360" w:lineRule="auto"/>
        <w:rPr>
          <w:rFonts w:hint="eastAsia" w:eastAsia="宋体"/>
          <w:color w:val="auto"/>
          <w:sz w:val="24"/>
          <w:szCs w:val="20"/>
          <w:highlight w:val="none"/>
          <w:lang w:val="en-US" w:eastAsia="zh-CN"/>
        </w:rPr>
      </w:pPr>
      <w:r>
        <w:rPr>
          <w:color w:val="auto"/>
          <w:sz w:val="24"/>
          <w:szCs w:val="20"/>
          <w:highlight w:val="none"/>
        </w:rPr>
        <w:t xml:space="preserve">3-2其他特定资格要求</w:t>
      </w:r>
      <w:r>
        <w:rPr>
          <w:rFonts w:hint="eastAsia"/>
          <w:color w:val="auto"/>
          <w:sz w:val="24"/>
          <w:szCs w:val="20"/>
          <w:highlight w:val="none"/>
        </w:rPr>
        <w:t xml:space="preserve">：投标人能够从事住房置业担保专业业务，能降低资金使用风险，保障财政资金使用安全，且获得《融资担保业务经营许可证》，许可经营范围应包含住房置业担保。投标人应提供有效的《融资担保业务经营许可证》扫描件并加盖投标人公章。</w:t>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jc w:val="left"/>
        <w:keepLines/>
        <w:keepNext/>
        <w:spacing w:before="120" w:line="300" w:lineRule="auto"/>
        <w:rPr>
          <w:b/>
          <w:color w:val="auto"/>
          <w:spacing w:val="20"/>
          <w:sz w:val="24"/>
          <w:highlight w:val="none"/>
        </w:rPr>
        <w:outlineLvl w:val="1"/>
      </w:pPr>
      <w:r>
        <w:rPr>
          <w:color w:val="auto"/>
          <w:sz w:val="24"/>
          <w:szCs w:val="20"/>
          <w:highlight w:val="none"/>
        </w:rPr>
        <w:br w:type="page" w:clear="all"/>
      </w:r>
      <w:r>
        <w:rPr>
          <w:b/>
          <w:color w:val="auto"/>
          <w:spacing w:val="20"/>
          <w:sz w:val="24"/>
          <w:highlight w:val="none"/>
        </w:rPr>
        <w:t xml:space="preserve">二、商务技术文件格式</w:t>
      </w:r>
      <w:bookmarkStart w:id="859" w:name="_Toc226965829"/>
      <w:r/>
      <w:bookmarkStart w:id="860" w:name="_Toc150774761"/>
      <w:r/>
      <w:bookmarkStart w:id="861" w:name="_Ref467988698"/>
      <w:r/>
      <w:bookmarkStart w:id="862" w:name="_Toc226309800"/>
      <w:r/>
      <w:bookmarkStart w:id="863" w:name="_Toc480942349"/>
      <w:r/>
      <w:bookmarkStart w:id="864" w:name="_Toc195842921"/>
      <w:r/>
      <w:bookmarkStart w:id="865" w:name="_Toc226965746"/>
      <w:r/>
      <w:bookmarkStart w:id="866" w:name="_Toc142311058"/>
      <w:r/>
      <w:bookmarkStart w:id="867" w:name="_Toc150480794"/>
      <w:r/>
      <w:bookmarkStart w:id="868" w:name="_Toc226337252"/>
      <w:r/>
      <w:bookmarkStart w:id="869" w:name="_Toc520356217"/>
      <w:r/>
      <w:bookmarkStart w:id="870" w:name="_Toc127151556"/>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outlineLvl w:val="2"/>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w:t>
      </w:r>
      <w:r>
        <w:rPr>
          <w:rFonts w:hint="eastAsia"/>
          <w:color w:val="auto"/>
          <w:sz w:val="24"/>
          <w:highlight w:val="none"/>
          <w:u w:val="single"/>
        </w:rPr>
        <w:t xml:space="preserve">招标人</w:t>
      </w:r>
      <w:r>
        <w:rPr>
          <w:color w:val="auto"/>
          <w:sz w:val="24"/>
          <w:highlight w:val="none"/>
          <w:u w:val="single"/>
        </w:rPr>
        <w:t xml:space="preserve">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871" w:name="_Hlt520355938"/>
      <w:r/>
      <w:bookmarkEnd w:id="871"/>
      <w:r/>
      <w:bookmarkStart w:id="872" w:name="_Hlt520356243"/>
      <w:r/>
      <w:bookmarkEnd w:id="872"/>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spacing w:line="360" w:lineRule="auto"/>
        <w:rPr>
          <w:rFonts w:hint="eastAsia"/>
          <w:color w:val="auto"/>
          <w:sz w:val="24"/>
          <w:highlight w:val="none"/>
        </w:rPr>
        <w:outlineLvl w:val="2"/>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法人授权书</w:t>
      </w:r>
      <w:r>
        <w:rPr>
          <w:color w:val="auto"/>
          <w:sz w:val="24"/>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t xml:space="preserve">法人授权书</w:t>
      </w:r>
      <w:r/>
    </w:p>
    <w:p>
      <w:pPr>
        <w:pStyle w:val="975"/>
        <w:tabs>
          <w:tab w:val="left" w:pos="567" w:leader="none"/>
        </w:tabs>
        <w:rPr>
          <w:color w:val="auto"/>
          <w:highlight w:val="none"/>
        </w:rPr>
      </w:pPr>
      <w:r>
        <w:rPr>
          <w:color w:val="auto"/>
          <w:highlight w:val="none"/>
        </w:rPr>
      </w:r>
      <w:r/>
    </w:p>
    <w:p>
      <w:pPr>
        <w:pStyle w:val="1277"/>
        <w:ind w:firstLine="480"/>
        <w:spacing w:line="360" w:lineRule="auto"/>
        <w:rPr>
          <w:color w:val="auto"/>
          <w:highlight w:val="none"/>
        </w:rPr>
      </w:pPr>
      <w:r>
        <w:rPr>
          <w:rFonts w:hint="eastAsia"/>
          <w:color w:val="auto"/>
          <w:highlight w:val="none"/>
        </w:rPr>
        <w:t xml:space="preserve">本授权书声明：____________（投标人名称）授权________________（被授权人的姓名）为我方就JSZC-</w:t>
      </w:r>
      <w:r>
        <w:rPr>
          <w:rFonts w:hint="eastAsia"/>
          <w:color w:val="auto"/>
          <w:highlight w:val="none"/>
          <w:u w:val="single"/>
        </w:rPr>
        <w:t xml:space="preserve">        </w:t>
      </w:r>
      <w:r>
        <w:rPr>
          <w:rFonts w:hint="eastAsia"/>
          <w:color w:val="auto"/>
          <w:highlight w:val="none"/>
        </w:rPr>
        <w:t xml:space="preserve">号项目采购活动的合法代理人，以本单位名义全权处理一切与该项目采购有关的事务。</w:t>
      </w:r>
      <w:r/>
    </w:p>
    <w:p>
      <w:pPr>
        <w:pStyle w:val="1277"/>
        <w:ind w:firstLine="480"/>
        <w:spacing w:line="360" w:lineRule="auto"/>
        <w:rPr>
          <w:color w:val="auto"/>
          <w:highlight w:val="none"/>
        </w:rPr>
      </w:pPr>
      <w:r>
        <w:rPr>
          <w:rFonts w:hint="eastAsia"/>
          <w:color w:val="auto"/>
          <w:highlight w:val="none"/>
        </w:rPr>
        <w:t xml:space="preserve">本授权书于______年____月____日起生效，特此声明。</w:t>
      </w:r>
      <w:r/>
    </w:p>
    <w:p>
      <w:pPr>
        <w:pStyle w:val="1277"/>
        <w:spacing w:line="360" w:lineRule="auto"/>
        <w:rPr>
          <w:color w:val="auto"/>
          <w:highlight w:val="none"/>
          <w:u w:val="single"/>
        </w:rPr>
      </w:pPr>
      <w:r>
        <w:rPr>
          <w:rFonts w:hint="eastAsia"/>
          <w:color w:val="auto"/>
          <w:highlight w:val="none"/>
        </w:rPr>
        <w:t xml:space="preserve">          被授权人身份证号码：</w:t>
      </w:r>
      <w:r>
        <w:rPr>
          <w:rFonts w:hint="eastAsia"/>
          <w:color w:val="auto"/>
          <w:highlight w:val="none"/>
          <w:u w:val="single"/>
        </w:rPr>
        <w:t xml:space="preserve">                              </w:t>
      </w:r>
      <w:r/>
    </w:p>
    <w:p>
      <w:pPr>
        <w:pStyle w:val="1277"/>
        <w:spacing w:line="360" w:lineRule="auto"/>
        <w:rPr>
          <w:color w:val="auto"/>
          <w:highlight w:val="none"/>
          <w:u w:val="single"/>
        </w:rPr>
      </w:pPr>
      <w:r>
        <w:rPr>
          <w:rFonts w:hint="eastAsia"/>
          <w:color w:val="auto"/>
          <w:highlight w:val="none"/>
        </w:rPr>
        <w:t xml:space="preserve">          被授权人联系电话：（手机）</w:t>
      </w:r>
      <w:r>
        <w:rPr>
          <w:rFonts w:hint="eastAsia"/>
          <w:color w:val="auto"/>
          <w:highlight w:val="none"/>
          <w:u w:val="single"/>
        </w:rPr>
        <w:t xml:space="preserve">                          </w:t>
      </w:r>
      <w:r/>
    </w:p>
    <w:p>
      <w:pPr>
        <w:pStyle w:val="1277"/>
        <w:ind w:firstLine="1200"/>
        <w:spacing w:line="360" w:lineRule="auto"/>
        <w:rPr>
          <w:rFonts w:hint="eastAsia"/>
          <w:color w:val="auto"/>
          <w:highlight w:val="none"/>
        </w:rPr>
      </w:pPr>
      <w:r>
        <w:rPr>
          <w:rFonts w:hint="eastAsia"/>
          <w:color w:val="auto"/>
          <w:highlight w:val="none"/>
        </w:rPr>
      </w:r>
      <w:r/>
    </w:p>
    <w:p>
      <w:pPr>
        <w:pStyle w:val="1277"/>
        <w:ind w:firstLine="1200"/>
        <w:spacing w:line="360" w:lineRule="auto"/>
        <w:rPr>
          <w:rFonts w:hint="eastAsia"/>
          <w:color w:val="auto"/>
          <w:highlight w:val="none"/>
        </w:rPr>
      </w:pPr>
      <w:r>
        <w:rPr>
          <w:rFonts w:hint="eastAsia"/>
          <w:color w:val="auto"/>
          <w:highlight w:val="none"/>
        </w:rPr>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代理人身份证：</w:t>
      </w:r>
      <w:r/>
    </w:p>
    <w:p>
      <w:pPr>
        <w:ind w:firstLine="480"/>
        <w:spacing w:line="360" w:lineRule="auto"/>
        <w:rPr>
          <w:rFonts w:ascii="宋体" w:hAnsi="宋体"/>
          <w:color w:val="auto"/>
          <w:sz w:val="24"/>
          <w:szCs w:val="22"/>
          <w:highlight w:val="none"/>
        </w:rPr>
      </w:pPr>
      <w:r>
        <w:rPr>
          <w:rFonts w:hint="eastAsia" w:ascii="宋体" w:hAnsi="宋体"/>
          <w:color w:val="auto"/>
          <w:sz w:val="24"/>
          <w:szCs w:val="22"/>
          <w:highlight w:val="none"/>
        </w:rPr>
        <w:t xml:space="preserve">（双面复印件）粘贴处</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i/>
          <w:color w:val="auto"/>
          <w:sz w:val="24"/>
          <w:szCs w:val="20"/>
          <w:highlight w:val="none"/>
          <w:u w:val="singl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pStyle w:val="975"/>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75"/>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75"/>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pStyle w:val="975"/>
        <w:rPr>
          <w:color w:val="auto"/>
          <w:sz w:val="24"/>
          <w:highlight w:val="none"/>
        </w:rPr>
      </w:pPr>
      <w:r>
        <w:rPr>
          <w:color w:val="auto"/>
          <w:sz w:val="24"/>
          <w:highlight w:val="none"/>
        </w:rPr>
      </w:r>
      <w:r/>
    </w:p>
    <w:p>
      <w:pPr>
        <w:rPr>
          <w:color w:val="auto"/>
          <w:highlight w:val="none"/>
        </w:rPr>
      </w:pPr>
      <w:r>
        <w:rPr>
          <w:color w:val="auto"/>
          <w:highlight w:val="none"/>
        </w:rPr>
      </w:r>
      <w:r/>
    </w:p>
    <w:p>
      <w:pPr>
        <w:jc w:val="left"/>
        <w:widowControl/>
        <w:rPr>
          <w:color w:val="auto"/>
          <w:sz w:val="24"/>
          <w:highlight w:val="none"/>
        </w:rPr>
      </w:pPr>
      <w:r>
        <w:rPr>
          <w:color w:val="auto"/>
          <w:sz w:val="24"/>
          <w:highlight w:val="none"/>
        </w:rPr>
      </w:r>
      <w:r/>
    </w:p>
    <w:p>
      <w:pPr>
        <w:pStyle w:val="1277"/>
        <w:ind w:firstLine="1200"/>
        <w:spacing w:line="360" w:lineRule="auto"/>
        <w:rPr>
          <w:color w:val="auto"/>
          <w:highlight w:val="none"/>
        </w:rPr>
      </w:pPr>
      <w:r>
        <w:rPr>
          <w:rFonts w:hint="eastAsia"/>
          <w:color w:val="auto"/>
          <w:highlight w:val="none"/>
        </w:rPr>
        <w:t xml:space="preserve">授权单位名称：</w:t>
      </w:r>
      <w:r>
        <w:rPr>
          <w:rFonts w:hint="eastAsia"/>
          <w:color w:val="auto"/>
          <w:highlight w:val="none"/>
          <w:u w:val="single"/>
        </w:rPr>
        <w:t xml:space="preserve">（加盖CA电子公章）</w:t>
      </w:r>
      <w:r/>
    </w:p>
    <w:p>
      <w:pPr>
        <w:pStyle w:val="1277"/>
        <w:ind w:firstLine="480"/>
        <w:spacing w:line="360" w:lineRule="auto"/>
        <w:rPr>
          <w:color w:val="auto"/>
          <w:highlight w:val="none"/>
          <w:u w:val="single"/>
        </w:rPr>
      </w:pPr>
      <w:r>
        <w:rPr>
          <w:rFonts w:hint="eastAsia"/>
          <w:color w:val="auto"/>
          <w:highlight w:val="none"/>
        </w:rPr>
        <w:t xml:space="preserve">      单位地址：</w:t>
      </w:r>
      <w:r>
        <w:rPr>
          <w:rFonts w:hint="eastAsia"/>
          <w:color w:val="auto"/>
          <w:highlight w:val="none"/>
          <w:u w:val="single"/>
        </w:rPr>
        <w:t xml:space="preserve">                                         </w:t>
      </w:r>
      <w:r/>
    </w:p>
    <w:p>
      <w:pPr>
        <w:pStyle w:val="1277"/>
        <w:ind w:firstLine="480"/>
        <w:spacing w:line="360" w:lineRule="auto"/>
        <w:rPr>
          <w:color w:val="auto"/>
          <w:highlight w:val="none"/>
        </w:rPr>
      </w:pPr>
      <w:r>
        <w:rPr>
          <w:rFonts w:hint="eastAsia"/>
          <w:color w:val="auto"/>
          <w:highlight w:val="none"/>
        </w:rPr>
        <w:t xml:space="preserve">      日期：</w:t>
      </w:r>
      <w:bookmarkStart w:id="873" w:name="_格式3__银行出具的资信证明"/>
      <w:r/>
      <w:bookmarkEnd w:id="873"/>
      <w:r/>
      <w:bookmarkStart w:id="874" w:name="_Hlt26955070"/>
      <w:r/>
      <w:bookmarkEnd w:id="874"/>
      <w:r/>
      <w:bookmarkStart w:id="875" w:name="_Hlt26671380"/>
      <w:r/>
      <w:bookmarkEnd w:id="875"/>
      <w:r>
        <w:rPr>
          <w:rFonts w:hint="eastAsia"/>
          <w:color w:val="auto"/>
          <w:highlight w:val="none"/>
          <w:u w:val="single"/>
        </w:rPr>
        <w:t xml:space="preserve">                                         </w:t>
      </w:r>
      <w:r/>
    </w:p>
    <w:p>
      <w:pPr>
        <w:jc w:val="left"/>
        <w:widowControl/>
        <w:rPr>
          <w:color w:val="auto"/>
          <w:sz w:val="24"/>
          <w:highlight w:val="none"/>
        </w:rPr>
      </w:pPr>
      <w:r>
        <w:rPr>
          <w:color w:val="auto"/>
          <w:sz w:val="24"/>
          <w:highlight w:val="none"/>
        </w:rPr>
      </w:r>
      <w:r/>
    </w:p>
    <w:p>
      <w:pPr>
        <w:keepLines w:val="0"/>
        <w:keepNext w:val="0"/>
        <w:pageBreakBefore/>
        <w:spacing w:line="360" w:lineRule="auto"/>
        <w:widowControl w:val="off"/>
        <w:rPr>
          <w:color w:val="auto"/>
          <w:sz w:val="24"/>
          <w:highlight w:val="none"/>
        </w:rPr>
        <w:outlineLvl w:val="2"/>
      </w:pPr>
      <w:r>
        <w:rPr>
          <w:rFonts w:hint="eastAsia"/>
          <w:color w:val="auto"/>
          <w:sz w:val="24"/>
          <w:highlight w:val="none"/>
        </w:rPr>
        <w:t xml:space="preserve">3  政府采购供应商信用承诺书</w:t>
      </w:r>
      <w:r>
        <w:rPr>
          <w:color w:val="auto"/>
          <w:sz w:val="24"/>
          <w:highlight w:val="none"/>
        </w:rPr>
        <w:t xml:space="preserve">（实质性格式）</w:t>
      </w:r>
      <w:r/>
    </w:p>
    <w:p>
      <w:pPr>
        <w:ind w:firstLine="321"/>
        <w:jc w:val="center"/>
        <w:spacing w:line="560" w:lineRule="exact"/>
        <w:rPr>
          <w:rFonts w:ascii="黑体" w:hAnsi="黑体" w:eastAsia="黑体"/>
          <w:b/>
          <w:color w:val="auto"/>
          <w:sz w:val="32"/>
          <w:szCs w:val="32"/>
          <w:highlight w:val="none"/>
        </w:rPr>
      </w:pPr>
      <w:r>
        <w:rPr>
          <w:rFonts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97"/>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bookmarkStart w:id="876" w:name="_Hlt520355504"/>
      <w:r/>
      <w:bookmarkEnd w:id="876"/>
      <w:r/>
      <w:bookmarkStart w:id="877" w:name="_Hlt520343000"/>
      <w:r/>
      <w:bookmarkEnd w:id="877"/>
      <w:r/>
      <w:bookmarkStart w:id="878" w:name="_Hlt520274065"/>
      <w:r/>
      <w:bookmarkEnd w:id="878"/>
      <w:r/>
      <w:bookmarkStart w:id="879" w:name="_Hlt520350918"/>
      <w:r/>
      <w:bookmarkEnd w:id="879"/>
      <w:r/>
      <w:bookmarkStart w:id="880" w:name="_Hlt520271212"/>
      <w:r/>
      <w:bookmarkEnd w:id="880"/>
      <w:r/>
      <w:bookmarkStart w:id="881" w:name="_Hlt520274121"/>
      <w:r/>
      <w:bookmarkEnd w:id="881"/>
      <w:r/>
      <w:bookmarkStart w:id="882" w:name="_Hlt520274407"/>
      <w:r/>
      <w:bookmarkEnd w:id="882"/>
      <w:r/>
      <w:bookmarkStart w:id="883" w:name="_Hlt520343392"/>
      <w:r/>
      <w:bookmarkEnd w:id="883"/>
      <w:r/>
      <w:bookmarkStart w:id="884" w:name="_Hlt520274393"/>
      <w:r/>
      <w:bookmarkEnd w:id="884"/>
      <w:r/>
      <w:bookmarkStart w:id="885" w:name="_Hlt520273711"/>
      <w:r/>
      <w:bookmarkEnd w:id="885"/>
      <w:r/>
      <w:bookmarkStart w:id="886" w:name="_Toc265228395"/>
      <w:r/>
      <w:bookmarkStart w:id="887" w:name="_Toc480942350"/>
      <w:r/>
      <w:bookmarkStart w:id="888" w:name="_Toc127151557"/>
      <w:r/>
      <w:bookmarkStart w:id="889" w:name="_Toc226965830"/>
      <w:r/>
      <w:bookmarkStart w:id="890" w:name="_Toc305158825"/>
      <w:r/>
      <w:bookmarkStart w:id="891" w:name="_Toc226965747"/>
      <w:r/>
      <w:bookmarkStart w:id="892" w:name="_Toc226309801"/>
      <w:r/>
      <w:bookmarkStart w:id="893" w:name="_Toc195842922"/>
      <w:r/>
      <w:bookmarkStart w:id="894" w:name="_Toc226337253"/>
      <w:r/>
      <w:bookmarkStart w:id="895" w:name="_Toc142311059"/>
      <w:r/>
      <w:bookmarkStart w:id="896" w:name="_Toc150774762"/>
      <w:r/>
      <w:bookmarkStart w:id="897" w:name="_Ref467988705"/>
      <w:r/>
      <w:bookmarkStart w:id="898" w:name="_Toc264969247"/>
      <w:r/>
      <w:bookmarkStart w:id="899" w:name="_Toc305158899"/>
      <w:r/>
      <w:bookmarkStart w:id="900" w:name="_Toc520356218"/>
      <w:r/>
      <w:bookmarkStart w:id="901" w:name="_Toc150480795"/>
      <w:r/>
      <w:r/>
    </w:p>
    <w:p>
      <w:pPr>
        <w:jc w:val="left"/>
        <w:rPr>
          <w:rFonts w:ascii="宋体" w:hAnsi="宋体" w:cs="宋体"/>
          <w:color w:val="auto"/>
          <w:sz w:val="24"/>
          <w:highlight w:val="none"/>
        </w:rPr>
      </w:pPr>
      <w:r>
        <w:rPr>
          <w:rFonts w:ascii="宋体" w:hAnsi="宋体" w:cs="宋体"/>
          <w:color w:val="auto"/>
          <w:sz w:val="24"/>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4</w:t>
      </w:r>
      <w:r>
        <w:rPr>
          <w:color w:val="auto"/>
          <w:sz w:val="24"/>
          <w:szCs w:val="20"/>
          <w:highlight w:val="none"/>
        </w:rPr>
        <w:t xml:space="preserve">  </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bookmarkEnd w:id="901"/>
      <w:r>
        <w:rPr>
          <w:rFonts w:hint="eastAsia"/>
          <w:color w:val="auto"/>
          <w:sz w:val="24"/>
          <w:szCs w:val="20"/>
          <w:highlight w:val="none"/>
        </w:rPr>
        <w:t xml:space="preserve">开标一览表</w:t>
      </w:r>
      <w:r>
        <w:rPr>
          <w:rFonts w:hint="eastAsia" w:ascii="宋体" w:hAnsi="宋体" w:cs="宋体"/>
          <w:color w:val="auto"/>
          <w:sz w:val="24"/>
          <w:szCs w:val="20"/>
          <w:highlight w:val="none"/>
        </w:rPr>
        <w:t xml:space="preserve">（实质性格式）</w:t>
      </w:r>
      <w:r/>
    </w:p>
    <w:p>
      <w:pPr>
        <w:spacing w:line="360" w:lineRule="auto"/>
        <w:rPr>
          <w:rFonts w:ascii="宋体" w:hAnsi="宋体"/>
          <w:b/>
          <w:color w:val="auto"/>
          <w:sz w:val="24"/>
          <w:highlight w:val="none"/>
        </w:rPr>
      </w:pPr>
      <w:r>
        <w:rPr>
          <w:rFonts w:ascii="宋体" w:hAnsi="宋体"/>
          <w:b/>
          <w:color w:val="auto"/>
          <w:sz w:val="24"/>
          <w:highlight w:val="none"/>
        </w:rPr>
      </w:r>
      <w:r/>
    </w:p>
    <w:p>
      <w:pPr>
        <w:jc w:val="center"/>
        <w:spacing w:line="360" w:lineRule="exact"/>
        <w:rPr>
          <w:rFonts w:ascii="宋体" w:hAnsi="宋体" w:cs="宋体"/>
          <w:b/>
          <w:color w:val="auto"/>
          <w:sz w:val="36"/>
          <w:szCs w:val="36"/>
          <w:highlight w:val="none"/>
        </w:rPr>
      </w:pPr>
      <w:r/>
      <w:bookmarkStart w:id="902" w:name="_Toc226337254"/>
      <w:r/>
      <w:bookmarkStart w:id="903" w:name="_Toc226309802"/>
      <w:r/>
      <w:bookmarkStart w:id="904" w:name="_Toc164608672"/>
      <w:r/>
      <w:bookmarkStart w:id="905" w:name="_Toc305158826"/>
      <w:r/>
      <w:bookmarkStart w:id="906" w:name="_Toc195842923"/>
      <w:r/>
      <w:bookmarkStart w:id="907" w:name="_Toc226965831"/>
      <w:r/>
      <w:bookmarkStart w:id="908" w:name="_Toc226965748"/>
      <w:r/>
      <w:bookmarkStart w:id="909" w:name="_Toc264969248"/>
      <w:r/>
      <w:bookmarkStart w:id="910" w:name="_Toc305158900"/>
      <w:r/>
      <w:bookmarkStart w:id="911" w:name="_Toc265228396"/>
      <w:r/>
      <w:bookmarkStart w:id="912" w:name="_Toc164608827"/>
      <w:r/>
      <w:bookmarkStart w:id="913" w:name="_Toc305158903"/>
      <w:r/>
      <w:bookmarkStart w:id="914" w:name="_Toc127151562"/>
      <w:r/>
      <w:bookmarkStart w:id="915" w:name="_Toc305158830"/>
      <w:r/>
      <w:bookmarkStart w:id="916" w:name="_Toc305158829"/>
      <w:r/>
      <w:bookmarkStart w:id="917" w:name="_Toc226965834"/>
      <w:r/>
      <w:bookmarkStart w:id="918" w:name="_Toc226337258"/>
      <w:r/>
      <w:bookmarkStart w:id="919" w:name="_Toc195842927"/>
      <w:r/>
      <w:bookmarkStart w:id="920" w:name="_Toc150480798"/>
      <w:r/>
      <w:bookmarkStart w:id="921" w:name="_Toc226965751"/>
      <w:r/>
      <w:bookmarkStart w:id="922" w:name="_Toc265228400"/>
      <w:r/>
      <w:bookmarkStart w:id="923" w:name="_Toc226965835"/>
      <w:r/>
      <w:bookmarkStart w:id="924" w:name="_Toc195842926"/>
      <w:r/>
      <w:bookmarkStart w:id="925" w:name="_Toc226309805"/>
      <w:r/>
      <w:bookmarkStart w:id="926" w:name="_Toc150774764"/>
      <w:r/>
      <w:bookmarkStart w:id="927" w:name="_Toc264969252"/>
      <w:r/>
      <w:bookmarkStart w:id="928" w:name="_Toc226337257"/>
      <w:r/>
      <w:bookmarkStart w:id="929" w:name="_Toc226965752"/>
      <w:r/>
      <w:bookmarkStart w:id="930" w:name="_Toc265228399"/>
      <w:r/>
      <w:bookmarkStart w:id="931" w:name="_Toc127151561"/>
      <w:r/>
      <w:bookmarkStart w:id="932" w:name="_Toc142311062"/>
      <w:r/>
      <w:bookmarkStart w:id="933" w:name="_Toc150480797"/>
      <w:r/>
      <w:bookmarkStart w:id="934" w:name="_Toc305158904"/>
      <w:r/>
      <w:bookmarkStart w:id="935" w:name="_Toc150774765"/>
      <w:r/>
      <w:bookmarkStart w:id="936" w:name="_Toc226309806"/>
      <w:r/>
      <w:bookmarkStart w:id="937" w:name="_Toc264969251"/>
      <w:r/>
      <w:bookmarkStart w:id="938" w:name="_Toc142311061"/>
      <w:r/>
      <w:bookmarkEnd w:id="902"/>
      <w:bookmarkEnd w:id="903"/>
      <w:bookmarkEnd w:id="904"/>
      <w:bookmarkEnd w:id="905"/>
      <w:bookmarkEnd w:id="906"/>
      <w:bookmarkEnd w:id="907"/>
      <w:bookmarkEnd w:id="908"/>
      <w:bookmarkEnd w:id="909"/>
      <w:bookmarkEnd w:id="910"/>
      <w:bookmarkEnd w:id="911"/>
      <w:bookmarkEnd w:id="912"/>
      <w:r/>
    </w:p>
    <w:p>
      <w:pPr>
        <w:jc w:val="center"/>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b/>
          <w:color w:val="auto"/>
          <w:sz w:val="36"/>
          <w:szCs w:val="36"/>
          <w:highlight w:val="none"/>
        </w:rPr>
        <w:t xml:space="preserve">开标一览表</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ascii="宋体" w:hAnsi="宋体" w:cs="宋体"/>
          <w:color w:val="auto"/>
          <w:sz w:val="24"/>
          <w:highlight w:val="none"/>
        </w:rPr>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ascii="宋体" w:hAnsi="宋体" w:cs="宋体"/>
          <w:color w:val="auto"/>
          <w:sz w:val="24"/>
          <w:highlight w:val="none"/>
        </w:rPr>
        <w:t xml:space="preserve">投标供应商全称（加盖CA电子签章）：</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color w:val="auto"/>
          <w:highlight w:val="none"/>
          <w:u w:val="single"/>
        </w:rPr>
      </w:pPr>
      <w:r>
        <w:rPr>
          <w:rFonts w:hint="eastAsia" w:ascii="宋体" w:hAnsi="宋体" w:cs="宋体"/>
          <w:color w:val="auto"/>
          <w:sz w:val="24"/>
          <w:highlight w:val="none"/>
        </w:rPr>
        <w:t xml:space="preserve">项目名称：</w:t>
      </w:r>
      <w:r>
        <w:rPr>
          <w:rFonts w:hint="eastAsia"/>
          <w:color w:val="auto"/>
          <w:highlight w:val="none"/>
          <w:u w:val="single"/>
        </w:rPr>
        <w:t xml:space="preserve">                                      </w:t>
      </w:r>
      <w:r/>
    </w:p>
    <w:p>
      <w:pPr>
        <w:ind w:firstLine="240"/>
        <w:jc w:val="left"/>
        <w:spacing w:line="360" w:lineRule="auto"/>
        <w:tabs>
          <w:tab w:val="left" w:pos="1800" w:leader="none"/>
          <w:tab w:val="left" w:pos="5580" w:leader="none"/>
        </w:tabs>
        <w:rPr>
          <w:rFonts w:ascii="宋体" w:hAnsi="宋体" w:cs="宋体"/>
          <w:color w:val="auto"/>
          <w:sz w:val="24"/>
          <w:highlight w:val="none"/>
        </w:rPr>
      </w:pPr>
      <w:r>
        <w:rPr>
          <w:rFonts w:hint="eastAsia" w:cs="宋体"/>
          <w:color w:val="auto"/>
          <w:sz w:val="24"/>
          <w:highlight w:val="none"/>
        </w:rPr>
        <w:t xml:space="preserve">项目编号：</w:t>
      </w:r>
      <w:r>
        <w:rPr>
          <w:rFonts w:hint="eastAsia"/>
          <w:color w:val="auto"/>
          <w:sz w:val="24"/>
          <w:highlight w:val="none"/>
          <w:u w:val="single"/>
        </w:rPr>
        <w:t xml:space="preserve">                                      </w:t>
      </w:r>
      <w:r>
        <w:rPr>
          <w:rFonts w:hint="eastAsia"/>
          <w:color w:val="auto"/>
          <w:sz w:val="24"/>
          <w:highlight w:val="none"/>
        </w:rPr>
        <w:t xml:space="preserve">                                      </w:t>
      </w:r>
      <w:r/>
    </w:p>
    <w:tbl>
      <w:tblPr>
        <w:tblStyle w:val="97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8555"/>
      </w:tblGrid>
      <w:tr>
        <w:trPr>
          <w:trHeight w:val="738"/>
        </w:trPr>
        <w:tc>
          <w:tcPr>
            <w:tcW w:w="817" w:type="dxa"/>
            <w:vAlign w:val="top"/>
            <w:textDirection w:val="lrTb"/>
            <w:noWrap w:val="false"/>
          </w:tcPr>
          <w:p>
            <w:pPr>
              <w:pStyle w:val="975"/>
              <w:tabs>
                <w:tab w:val="left" w:pos="567" w:leader="none"/>
              </w:tabs>
              <w:rPr>
                <w:rFonts w:hint="eastAsia"/>
                <w:color w:val="auto"/>
                <w:highlight w:val="none"/>
              </w:rPr>
            </w:pPr>
            <w:r>
              <w:rPr>
                <w:rFonts w:hint="eastAsia"/>
                <w:color w:val="auto"/>
                <w:highlight w:val="none"/>
              </w:rPr>
            </w:r>
            <w:r/>
          </w:p>
        </w:tc>
        <w:tc>
          <w:tcPr>
            <w:tcW w:w="8555" w:type="dxa"/>
            <w:vAlign w:val="center"/>
            <w:textDirection w:val="lrTb"/>
            <w:noWrap w:val="false"/>
          </w:tcPr>
          <w:p>
            <w:pPr>
              <w:pStyle w:val="975"/>
              <w:jc w:val="center"/>
              <w:tabs>
                <w:tab w:val="left" w:pos="567" w:leader="none"/>
              </w:tabs>
              <w:rPr>
                <w:rFonts w:hint="eastAsia" w:eastAsia="宋体"/>
                <w:color w:val="auto"/>
                <w:highlight w:val="none"/>
                <w:lang w:eastAsia="zh-CN"/>
              </w:rPr>
            </w:pPr>
            <w:r>
              <w:rPr>
                <w:rFonts w:hint="eastAsia"/>
                <w:color w:val="auto"/>
                <w:highlight w:val="none"/>
              </w:rPr>
              <w:t xml:space="preserve">投标</w:t>
            </w:r>
            <w:r>
              <w:rPr>
                <w:rFonts w:hint="eastAsia"/>
                <w:b/>
                <w:color w:val="auto"/>
                <w:highlight w:val="none"/>
                <w:lang w:val="en-US" w:eastAsia="zh-CN"/>
              </w:rPr>
              <w:t xml:space="preserve">费率</w:t>
            </w:r>
            <w:bookmarkStart w:id="945" w:name="_GoBack"/>
            <w:r/>
            <w:bookmarkEnd w:id="945"/>
            <w:r/>
            <w:r/>
          </w:p>
        </w:tc>
      </w:tr>
      <w:tr>
        <w:trPr>
          <w:trHeight w:val="1014"/>
        </w:trPr>
        <w:tc>
          <w:tcPr>
            <w:tcW w:w="817" w:type="dxa"/>
            <w:vAlign w:val="top"/>
            <w:textDirection w:val="lrTb"/>
            <w:noWrap w:val="false"/>
          </w:tcPr>
          <w:p>
            <w:pPr>
              <w:pStyle w:val="975"/>
              <w:tabs>
                <w:tab w:val="left" w:pos="567" w:leader="none"/>
              </w:tabs>
              <w:rPr>
                <w:rFonts w:hint="eastAsia"/>
                <w:color w:val="auto"/>
                <w:highlight w:val="none"/>
              </w:rPr>
            </w:pPr>
            <w:r>
              <w:rPr>
                <w:rFonts w:hint="eastAsia"/>
                <w:color w:val="auto"/>
                <w:highlight w:val="none"/>
              </w:rPr>
            </w:r>
            <w:r/>
          </w:p>
        </w:tc>
        <w:tc>
          <w:tcPr>
            <w:tcW w:w="8555" w:type="dxa"/>
            <w:vAlign w:val="center"/>
            <w:textDirection w:val="lrTb"/>
            <w:noWrap w:val="false"/>
          </w:tcPr>
          <w:p>
            <w:pPr>
              <w:pStyle w:val="975"/>
              <w:tabs>
                <w:tab w:val="left" w:pos="567" w:leader="none"/>
              </w:tabs>
              <w:rPr>
                <w:rFonts w:hint="eastAsia"/>
                <w:color w:val="auto"/>
                <w:highlight w:val="none"/>
                <w:u w:val="single"/>
              </w:rPr>
            </w:pPr>
            <w:r>
              <w:rPr>
                <w:rFonts w:hint="eastAsia"/>
                <w:color w:val="auto"/>
                <w:highlight w:val="none"/>
              </w:rPr>
              <w:t xml:space="preserve">小写：</w:t>
            </w:r>
            <w:r>
              <w:rPr>
                <w:rFonts w:hint="eastAsia"/>
                <w:color w:val="auto"/>
                <w:highlight w:val="none"/>
                <w:u w:val="single"/>
              </w:rPr>
              <w:t xml:space="preserve">         </w:t>
            </w:r>
            <w:r>
              <w:rPr>
                <w:rFonts w:hint="eastAsia" w:ascii="宋体" w:hAnsi="宋体" w:cs="宋体"/>
                <w:color w:val="auto"/>
                <w:highlight w:val="none"/>
              </w:rPr>
              <w:t xml:space="preserve">（报价单位：‰）</w:t>
            </w:r>
            <w:r/>
          </w:p>
        </w:tc>
      </w:tr>
    </w:tbl>
    <w:p>
      <w:pPr>
        <w:pStyle w:val="1163"/>
        <w:rPr>
          <w:color w:val="auto"/>
          <w:highlight w:val="none"/>
        </w:rPr>
      </w:pPr>
      <w:r>
        <w:rPr>
          <w:color w:val="auto"/>
          <w:highlight w:val="none"/>
        </w:rPr>
      </w:r>
      <w:r/>
    </w:p>
    <w:p>
      <w:pPr>
        <w:ind w:left="4200" w:hanging="4200"/>
        <w:rPr>
          <w:color w:val="auto"/>
          <w:sz w:val="30"/>
          <w:szCs w:val="30"/>
          <w:highlight w:val="none"/>
        </w:rPr>
      </w:pPr>
      <w:r>
        <w:rPr>
          <w:rFonts w:hint="eastAsia"/>
          <w:color w:val="auto"/>
          <w:highlight w:val="none"/>
        </w:rPr>
        <w:t xml:space="preserve">                                                          </w:t>
      </w:r>
      <w:r>
        <w:rPr>
          <w:rFonts w:hint="eastAsia"/>
          <w:color w:val="auto"/>
          <w:sz w:val="30"/>
          <w:szCs w:val="30"/>
          <w:highlight w:val="none"/>
        </w:rPr>
        <w:t xml:space="preserve">年   月   日</w:t>
      </w:r>
      <w:r/>
    </w:p>
    <w:p>
      <w:pPr>
        <w:ind w:firstLine="480"/>
        <w:spacing w:before="25" w:after="25" w:line="360" w:lineRule="auto"/>
        <w:rPr>
          <w:rFonts w:hint="eastAsia"/>
          <w:color w:val="auto"/>
          <w:sz w:val="24"/>
          <w:highlight w:val="none"/>
        </w:rPr>
      </w:pPr>
      <w:r>
        <w:rPr>
          <w:rFonts w:hint="eastAsia" w:ascii="宋体" w:hAnsi="宋体"/>
          <w:b/>
          <w:bCs/>
          <w:color w:val="auto"/>
          <w:sz w:val="24"/>
          <w:highlight w:val="none"/>
        </w:rPr>
        <w:t xml:space="preserve">注：</w:t>
      </w:r>
      <w:r>
        <w:rPr>
          <w:rFonts w:hint="eastAsia" w:ascii="宋体" w:hAnsi="宋体"/>
          <w:bCs/>
          <w:color w:val="auto"/>
          <w:sz w:val="24"/>
          <w:highlight w:val="none"/>
        </w:rPr>
        <w:t xml:space="preserve">1</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本项目报价为</w:t>
      </w:r>
      <w:r>
        <w:rPr>
          <w:rFonts w:hint="eastAsia"/>
          <w:color w:val="auto"/>
          <w:sz w:val="24"/>
          <w:highlight w:val="none"/>
          <w:lang w:eastAsia="zh-CN"/>
        </w:rPr>
        <w:t xml:space="preserve">担保服务费率，担保服务费率不超过4.00‰</w:t>
      </w:r>
      <w:r>
        <w:rPr>
          <w:rFonts w:hint="eastAsia"/>
          <w:color w:val="auto"/>
          <w:sz w:val="24"/>
          <w:highlight w:val="none"/>
          <w:lang w:val="en-US" w:eastAsia="zh-CN"/>
        </w:rPr>
        <w:t xml:space="preserve"> </w:t>
      </w:r>
      <w:r>
        <w:rPr>
          <w:rFonts w:hint="eastAsia"/>
          <w:color w:val="auto"/>
          <w:sz w:val="24"/>
          <w:highlight w:val="none"/>
        </w:rPr>
        <w:t xml:space="preserve">，否则投标无效。</w:t>
      </w:r>
      <w:r/>
    </w:p>
    <w:p>
      <w:pPr>
        <w:ind w:firstLine="960"/>
        <w:spacing w:before="25" w:after="25" w:line="360" w:lineRule="auto"/>
        <w:rPr>
          <w:rFonts w:hint="default" w:ascii="宋体" w:hAnsi="宋体"/>
          <w:color w:val="auto"/>
          <w:sz w:val="24"/>
          <w:highlight w:val="none"/>
          <w:lang w:val="en-US" w:eastAsia="zh-CN"/>
        </w:rPr>
      </w:pPr>
      <w:r>
        <w:rPr>
          <w:rFonts w:hint="eastAsia"/>
          <w:color w:val="auto"/>
          <w:sz w:val="24"/>
          <w:highlight w:val="none"/>
          <w:lang w:val="en-US" w:eastAsia="zh-CN"/>
        </w:rPr>
        <w:t xml:space="preserve">2.由于系统原</w:t>
      </w:r>
      <w:r>
        <w:rPr>
          <w:rFonts w:hint="eastAsia" w:ascii="宋体" w:hAnsi="宋体"/>
          <w:color w:val="auto"/>
          <w:sz w:val="24"/>
          <w:highlight w:val="none"/>
          <w:lang w:val="en-US" w:eastAsia="zh-CN"/>
        </w:rPr>
        <w:t xml:space="preserve">因，优惠率即为费率，报价单位为‰ ，例：报价费率为3.00‰，系统报价填写3。</w:t>
      </w:r>
      <w:r/>
    </w:p>
    <w:p>
      <w:pPr>
        <w:jc w:val="left"/>
        <w:tabs>
          <w:tab w:val="left" w:pos="2809"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ab/>
      </w:r>
      <w:r/>
    </w:p>
    <w:p>
      <w:pPr>
        <w:spacing w:line="360" w:lineRule="auto"/>
        <w:rPr>
          <w:rFonts w:hint="default"/>
          <w:color w:val="auto"/>
          <w:sz w:val="24"/>
          <w:highlight w:val="none"/>
          <w:lang w:val="en-US" w:eastAsia="zh-CN"/>
        </w:rPr>
        <w:outlineLvl w:val="2"/>
      </w:pPr>
      <w:r>
        <w:rPr>
          <w:rFonts w:hint="eastAsia" w:ascii="宋体" w:hAnsi="宋体" w:cs="宋体"/>
          <w:color w:val="auto"/>
          <w:sz w:val="24"/>
          <w:szCs w:val="20"/>
          <w:highlight w:val="none"/>
        </w:rPr>
        <w:br w:type="page" w:clear="all"/>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bookmarkEnd w:id="925"/>
      <w:r/>
      <w:bookmarkEnd w:id="926"/>
      <w:r/>
      <w:bookmarkEnd w:id="927"/>
      <w:r/>
      <w:bookmarkEnd w:id="928"/>
      <w:r/>
      <w:bookmarkEnd w:id="929"/>
      <w:r/>
      <w:bookmarkEnd w:id="930"/>
      <w:r/>
      <w:bookmarkEnd w:id="931"/>
      <w:r/>
      <w:bookmarkEnd w:id="932"/>
      <w:r/>
      <w:bookmarkEnd w:id="933"/>
      <w:r/>
      <w:bookmarkEnd w:id="934"/>
      <w:r/>
      <w:bookmarkEnd w:id="935"/>
      <w:r/>
      <w:bookmarkEnd w:id="936"/>
      <w:r/>
      <w:bookmarkEnd w:id="937"/>
      <w:r/>
      <w:bookmarkEnd w:id="938"/>
      <w:r>
        <w:rPr>
          <w:rFonts w:hint="eastAsia"/>
          <w:color w:val="auto"/>
          <w:sz w:val="24"/>
          <w:szCs w:val="20"/>
          <w:highlight w:val="none"/>
          <w:lang w:val="en-US" w:eastAsia="zh-CN"/>
        </w:rPr>
        <w:t xml:space="preserve">5</w:t>
      </w:r>
      <w:r>
        <w:rPr>
          <w:color w:val="auto"/>
          <w:sz w:val="24"/>
          <w:szCs w:val="20"/>
          <w:highlight w:val="none"/>
        </w:rPr>
        <w:t xml:space="preserve">  </w:t>
      </w:r>
      <w:r>
        <w:rPr>
          <w:rFonts w:hint="eastAsia"/>
          <w:color w:val="auto"/>
          <w:sz w:val="24"/>
          <w:highlight w:val="none"/>
          <w:lang w:val="en-US" w:eastAsia="zh-CN"/>
        </w:rPr>
        <w:t xml:space="preserve">商务要求响应及偏离表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lang w:val="en-US" w:eastAsia="zh-CN"/>
        </w:rPr>
        <w:t xml:space="preserve">商务要求响应及</w:t>
      </w:r>
      <w:r>
        <w:rPr>
          <w:rFonts w:hint="eastAsia"/>
          <w:b/>
          <w:color w:val="auto"/>
          <w:sz w:val="36"/>
          <w:szCs w:val="36"/>
          <w:highlight w:val="none"/>
        </w:rPr>
        <w:t xml:space="preserve">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9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w:t>
      </w:r>
      <w:r>
        <w:rPr>
          <w:rFonts w:hint="eastAsia"/>
          <w:color w:val="auto"/>
          <w:sz w:val="24"/>
          <w:highlight w:val="none"/>
          <w:lang w:val="en-US" w:eastAsia="zh-CN"/>
        </w:rPr>
        <w:t xml:space="preserve">投标人</w:t>
      </w:r>
      <w:r>
        <w:rPr>
          <w:color w:val="auto"/>
          <w:sz w:val="24"/>
          <w:highlight w:val="none"/>
        </w:rPr>
        <w:t xml:space="preserve">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rPr>
          <w:rFonts w:hint="eastAsia" w:ascii="宋体" w:hAnsi="宋体" w:cs="宋体"/>
          <w:color w:val="auto"/>
          <w:sz w:val="24"/>
          <w:highlight w:val="none"/>
        </w:rPr>
        <w:t xml:space="preserve">或“无偏离”</w:t>
      </w:r>
      <w:r>
        <w:rPr>
          <w:rFonts w:hint="eastAsia"/>
          <w:color w:val="auto"/>
          <w:sz w:val="24"/>
          <w:highlight w:val="none"/>
        </w:rPr>
        <w:t xml:space="preserve">。</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rFonts w:hint="eastAsia"/>
          <w:color w:val="auto"/>
          <w:sz w:val="24"/>
          <w:highlight w:val="none"/>
          <w:lang w:val="en-US" w:eastAsia="zh-CN"/>
        </w:rPr>
        <w:outlineLvl w:val="2"/>
      </w:pPr>
      <w:r>
        <w:rPr>
          <w:color w:val="auto"/>
          <w:sz w:val="24"/>
          <w:szCs w:val="20"/>
          <w:highlight w:val="none"/>
        </w:rPr>
        <w:br w:type="page" w:clear="all"/>
      </w:r>
      <w:r>
        <w:rPr>
          <w:rFonts w:hint="eastAsia"/>
          <w:color w:val="auto"/>
          <w:sz w:val="24"/>
          <w:szCs w:val="20"/>
          <w:highlight w:val="none"/>
          <w:lang w:val="en-US" w:eastAsia="zh-CN"/>
        </w:rPr>
        <w:t xml:space="preserve">6</w:t>
      </w:r>
      <w:r>
        <w:rPr>
          <w:color w:val="auto"/>
          <w:sz w:val="24"/>
          <w:szCs w:val="20"/>
          <w:highlight w:val="none"/>
        </w:rPr>
        <w:t xml:space="preserve">  </w:t>
      </w:r>
      <w:r>
        <w:rPr>
          <w:rFonts w:hint="eastAsia"/>
          <w:color w:val="auto"/>
          <w:sz w:val="24"/>
          <w:highlight w:val="none"/>
          <w:lang w:val="en-US" w:eastAsia="zh-CN"/>
        </w:rPr>
        <w:t xml:space="preserve">技术要求响应及偏离表</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技术要求响应及偏离表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97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0" w:type="auto"/>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项目技术</w:t>
            </w:r>
            <w:r>
              <w:rPr>
                <w:b/>
                <w:color w:val="auto"/>
                <w:sz w:val="24"/>
                <w:highlight w:val="none"/>
              </w:rPr>
              <w:t xml:space="preserve">要求条款的偏离情况（请进行勾选）：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（如有</w:t>
            </w:r>
            <w:r>
              <w:rPr>
                <w:rFonts w:hint="eastAsia"/>
                <w:color w:val="auto"/>
                <w:sz w:val="24"/>
                <w:highlight w:val="none"/>
              </w:rPr>
              <w:t xml:space="preserve">超出或者</w:t>
            </w:r>
            <w:r>
              <w:rPr>
                <w:color w:val="auto"/>
                <w:sz w:val="24"/>
                <w:highlight w:val="none"/>
              </w:rPr>
              <w:t xml:space="preserve">偏离，则须在本表中对</w:t>
            </w:r>
            <w:r>
              <w:rPr>
                <w:rFonts w:hint="eastAsia"/>
                <w:color w:val="auto"/>
                <w:sz w:val="24"/>
                <w:highlight w:val="none"/>
              </w:rPr>
              <w:t xml:space="preserve">超出或者</w:t>
            </w:r>
            <w:r>
              <w:rPr>
                <w:color w:val="auto"/>
                <w:sz w:val="24"/>
                <w:highlight w:val="none"/>
              </w:rPr>
              <w:t xml:space="preserve">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rFonts w:hint="eastAsia" w:ascii="宋体" w:hAnsi="宋体"/>
                <w:color w:val="auto"/>
                <w:sz w:val="24"/>
                <w:highlight w:val="none"/>
              </w:rPr>
              <w:t xml:space="preserve">投标响应情况</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w:t>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填写“正偏离”、“负偏离”</w:t>
      </w:r>
      <w:r>
        <w:rPr>
          <w:rFonts w:hint="eastAsia"/>
          <w:color w:val="auto"/>
          <w:sz w:val="24"/>
          <w:highlight w:val="none"/>
          <w:lang w:val="en-US" w:eastAsia="zh-CN"/>
        </w:rPr>
        <w:t xml:space="preserve">或“无偏离”</w:t>
      </w:r>
      <w:r>
        <w:rPr>
          <w:rFonts w:hint="eastAsia"/>
          <w:color w:val="auto"/>
          <w:sz w:val="24"/>
          <w:highlight w:val="none"/>
        </w:rPr>
        <w:t xml:space="preserve">。</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jc w:val="left"/>
        <w:rPr>
          <w:rFonts w:ascii="宋体" w:hAnsi="宋体" w:cs="宋体"/>
          <w:color w:val="auto"/>
          <w:sz w:val="24"/>
          <w:szCs w:val="20"/>
          <w:highlight w:val="none"/>
        </w:rPr>
      </w:pPr>
      <w:r>
        <w:rPr>
          <w:color w:val="auto"/>
          <w:sz w:val="24"/>
          <w:szCs w:val="20"/>
          <w:highlight w:val="none"/>
        </w:rPr>
        <w:br w:type="page" w:clear="all"/>
      </w:r>
      <w:r>
        <w:rPr>
          <w:rFonts w:hint="eastAsia"/>
          <w:color w:val="auto"/>
          <w:sz w:val="24"/>
          <w:szCs w:val="20"/>
          <w:highlight w:val="none"/>
          <w:lang w:val="en-US" w:eastAsia="zh-CN"/>
        </w:rPr>
        <w:t xml:space="preserve">7</w:t>
      </w:r>
      <w:r>
        <w:rPr>
          <w:color w:val="auto"/>
          <w:sz w:val="24"/>
          <w:szCs w:val="20"/>
          <w:highlight w:val="none"/>
        </w:rPr>
        <w:t xml:space="preserve"> </w:t>
      </w:r>
      <w:r>
        <w:rPr>
          <w:rFonts w:hint="eastAsia"/>
          <w:color w:val="auto"/>
          <w:sz w:val="24"/>
          <w:szCs w:val="20"/>
          <w:highlight w:val="none"/>
        </w:rPr>
        <w:t xml:space="preserve">项目完整技术和实施方案</w:t>
      </w:r>
      <w:r/>
    </w:p>
    <w:p>
      <w:pPr>
        <w:ind w:firstLine="480"/>
        <w:spacing w:line="560" w:lineRule="exact"/>
        <w:rPr>
          <w:color w:val="auto"/>
          <w:sz w:val="24"/>
          <w:szCs w:val="20"/>
          <w:highlight w:val="none"/>
        </w:rPr>
      </w:pPr>
      <w:r>
        <w:rPr>
          <w:rFonts w:hint="eastAsia"/>
          <w:color w:val="auto"/>
          <w:sz w:val="24"/>
          <w:highlight w:val="none"/>
        </w:rPr>
        <w:t xml:space="preserve">本项目的完整的技术和实施方案，包括但不限于：项目技术、组织、实施方案；项目管理方案；拟达到的标准，配备的人员、设备配置等；培训方案、技术支持等方案；优惠条款或承诺；其他。</w:t>
      </w:r>
      <w:r/>
    </w:p>
    <w:p>
      <w:pPr>
        <w:ind w:firstLine="480"/>
        <w:spacing w:line="560" w:lineRule="exact"/>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rPr>
          <w:color w:val="auto"/>
          <w:sz w:val="24"/>
          <w:szCs w:val="20"/>
          <w:highlight w:val="none"/>
        </w:rPr>
      </w:pPr>
      <w:r>
        <w:rPr>
          <w:color w:val="auto"/>
          <w:sz w:val="24"/>
          <w:szCs w:val="20"/>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163"/>
        <w:rPr>
          <w:color w:val="auto"/>
          <w:highlight w:val="none"/>
        </w:rPr>
      </w:pPr>
      <w:r>
        <w:rPr>
          <w:color w:val="auto"/>
          <w:highlight w:val="none"/>
        </w:rPr>
      </w:r>
      <w:r/>
    </w:p>
    <w:p>
      <w:pPr>
        <w:pStyle w:val="1163"/>
        <w:rPr>
          <w:color w:val="auto"/>
          <w:highlight w:val="none"/>
        </w:rPr>
      </w:pPr>
      <w:r>
        <w:rPr>
          <w:color w:val="auto"/>
          <w:highlight w:val="none"/>
        </w:rPr>
      </w:r>
      <w:r/>
    </w:p>
    <w:p>
      <w:pPr>
        <w:rPr>
          <w:color w:val="auto"/>
          <w:highlight w:val="none"/>
        </w:rPr>
      </w:pPr>
      <w:r>
        <w:rPr>
          <w:color w:val="auto"/>
          <w:highlight w:val="none"/>
        </w:rPr>
      </w:r>
      <w:r/>
    </w:p>
    <w:p>
      <w:pPr>
        <w:pStyle w:val="1250"/>
        <w:ind w:firstLine="0"/>
        <w:keepLines w:val="0"/>
        <w:keepNext w:val="0"/>
        <w:pageBreakBefore/>
        <w:spacing w:before="120" w:after="120"/>
        <w:widowControl w:val="off"/>
        <w:rPr>
          <w:color w:val="auto"/>
          <w:sz w:val="24"/>
          <w:szCs w:val="24"/>
          <w:highlight w:val="none"/>
        </w:rPr>
      </w:pPr>
      <w:r>
        <w:rPr>
          <w:rFonts w:hint="eastAsia"/>
          <w:color w:val="auto"/>
          <w:sz w:val="24"/>
          <w:szCs w:val="24"/>
          <w:highlight w:val="none"/>
          <w:lang w:val="en-US" w:eastAsia="zh-CN"/>
        </w:rPr>
        <w:t xml:space="preserve">8</w:t>
      </w:r>
      <w:r>
        <w:rPr>
          <w:rFonts w:hint="eastAsia"/>
          <w:color w:val="auto"/>
          <w:sz w:val="24"/>
          <w:szCs w:val="24"/>
          <w:highlight w:val="none"/>
        </w:rPr>
        <w:t xml:space="preserve">  参加本项目人员一览表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70"/>
        <w:tblW w:w="945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jc w:val="cente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spacing w:line="360" w:lineRule="auto"/>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lang w:val="zh-CN"/>
        </w:rPr>
      </w:pPr>
      <w:r>
        <w:rPr>
          <w:rFonts w:hint="eastAsia" w:ascii="宋体" w:hAnsi="宋体" w:cs="宋体"/>
          <w:b/>
          <w:color w:val="auto"/>
          <w:sz w:val="24"/>
          <w:highlight w:val="none"/>
          <w:lang w:val="zh-CN"/>
        </w:rPr>
        <w:t xml:space="preserve">注：参加本项目人员须是供应商正式职工。</w:t>
      </w:r>
      <w:r/>
    </w:p>
    <w:p>
      <w:pPr>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pStyle w:val="1250"/>
        <w:ind w:firstLine="0"/>
        <w:spacing w:before="120" w:after="120"/>
        <w:rPr>
          <w:color w:val="auto"/>
          <w:sz w:val="24"/>
          <w:szCs w:val="24"/>
          <w:highlight w:val="none"/>
        </w:rPr>
      </w:pPr>
      <w:r>
        <w:rPr>
          <w:color w:val="auto"/>
          <w:sz w:val="22"/>
          <w:highlight w:val="none"/>
        </w:rPr>
        <w:br w:type="page" w:clear="all"/>
      </w:r>
      <w:bookmarkStart w:id="939" w:name="_Toc288738839"/>
      <w:r/>
      <w:bookmarkStart w:id="940" w:name="_Toc288738397"/>
      <w:r>
        <w:rPr>
          <w:rFonts w:hint="eastAsia"/>
          <w:color w:val="auto"/>
          <w:sz w:val="24"/>
          <w:szCs w:val="24"/>
          <w:highlight w:val="none"/>
          <w:lang w:val="en-US" w:eastAsia="zh-CN"/>
        </w:rPr>
        <w:t xml:space="preserve">9</w:t>
      </w:r>
      <w:r>
        <w:rPr>
          <w:rFonts w:hint="eastAsia"/>
          <w:color w:val="auto"/>
          <w:sz w:val="24"/>
          <w:szCs w:val="24"/>
          <w:highlight w:val="none"/>
        </w:rPr>
        <w:t xml:space="preserve">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39"/>
      <w:r/>
      <w:bookmarkEnd w:id="940"/>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70"/>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pStyle w:val="1163"/>
        <w:rPr>
          <w:color w:val="auto"/>
          <w:highlight w:val="none"/>
        </w:rPr>
      </w:pPr>
      <w:r>
        <w:rPr>
          <w:color w:val="auto"/>
          <w:highlight w:val="none"/>
        </w:rPr>
      </w:r>
      <w:r/>
    </w:p>
    <w:p>
      <w:pPr>
        <w:rPr>
          <w:color w:val="auto"/>
          <w:highlight w:val="none"/>
        </w:rPr>
      </w:pPr>
      <w:r>
        <w:rPr>
          <w:color w:val="auto"/>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rFonts w:hint="eastAsia"/>
          <w:color w:val="auto"/>
          <w:sz w:val="24"/>
          <w:szCs w:val="20"/>
          <w:highlight w:val="none"/>
        </w:rPr>
        <w:t xml:space="preserve">1</w:t>
      </w:r>
      <w:r>
        <w:rPr>
          <w:rFonts w:hint="eastAsia"/>
          <w:color w:val="auto"/>
          <w:sz w:val="24"/>
          <w:szCs w:val="20"/>
          <w:highlight w:val="none"/>
          <w:lang w:val="en-US" w:eastAsia="zh-CN"/>
        </w:rPr>
        <w:t xml:space="preserve">0</w:t>
      </w:r>
      <w:r>
        <w:rPr>
          <w:rFonts w:hint="eastAsia"/>
          <w:color w:val="auto"/>
          <w:sz w:val="24"/>
          <w:szCs w:val="20"/>
          <w:highlight w:val="none"/>
        </w:rPr>
        <w:t xml:space="preserve">  </w:t>
      </w:r>
      <w:r>
        <w:rPr>
          <w:color w:val="auto"/>
          <w:sz w:val="24"/>
          <w:szCs w:val="20"/>
          <w:highlight w:val="none"/>
        </w:rPr>
        <w:t xml:space="preserve">招标文件要求提供或投标人认为应附的其他材料</w:t>
      </w:r>
      <w:r/>
    </w:p>
    <w:p>
      <w:pPr>
        <w:jc w:val="center"/>
        <w:keepLines/>
        <w:keepNext/>
        <w:pageBreakBefore/>
        <w:spacing w:before="120" w:line="300" w:lineRule="auto"/>
        <w:widowControl w:val="off"/>
        <w:rPr>
          <w:rFonts w:ascii="黑体" w:hAnsi="黑体" w:eastAsia="黑体"/>
          <w:b/>
          <w:color w:val="auto"/>
          <w:spacing w:val="20"/>
          <w:sz w:val="32"/>
          <w:szCs w:val="32"/>
          <w:highlight w:val="none"/>
        </w:rPr>
        <w:outlineLvl w:val="1"/>
      </w:pPr>
      <w:r/>
      <w:bookmarkStart w:id="941" w:name="OLE_LINK169"/>
      <w:r>
        <w:rPr>
          <w:rFonts w:hint="eastAsia" w:ascii="黑体" w:hAnsi="黑体" w:eastAsia="黑体"/>
          <w:b/>
          <w:color w:val="auto"/>
          <w:spacing w:val="20"/>
          <w:sz w:val="32"/>
          <w:szCs w:val="32"/>
          <w:highlight w:val="none"/>
        </w:rPr>
        <w:t xml:space="preserve">投标（响应）文件通用模版编制和评审要求</w:t>
      </w:r>
      <w:r/>
    </w:p>
    <w:p>
      <w:pPr>
        <w:spacing w:line="460" w:lineRule="exact"/>
        <w:rPr>
          <w:rFonts w:ascii="宋体" w:hAnsi="宋体"/>
          <w:bCs/>
          <w:color w:val="auto"/>
          <w:sz w:val="24"/>
          <w:highlight w:val="none"/>
        </w:rPr>
      </w:pPr>
      <w:r>
        <w:rPr>
          <w:rFonts w:hint="eastAsia" w:ascii="宋体" w:hAnsi="宋体"/>
          <w:b/>
          <w:color w:val="auto"/>
          <w:sz w:val="24"/>
          <w:highlight w:val="none"/>
        </w:rPr>
        <w:t xml:space="preserve">（</w:t>
      </w:r>
      <w:r>
        <w:rPr>
          <w:rFonts w:hint="eastAsia" w:ascii="宋体" w:hAnsi="宋体" w:cs="宋体"/>
          <w:b/>
          <w:bCs/>
          <w:color w:val="auto"/>
          <w:sz w:val="24"/>
          <w:highlight w:val="none"/>
        </w:rPr>
        <w:t xml:space="preserve">本表为</w:t>
      </w:r>
      <w:r>
        <w:rPr>
          <w:rFonts w:hint="eastAsia" w:ascii="宋体" w:hAnsi="宋体" w:cs="宋体"/>
          <w:b/>
          <w:bCs/>
          <w:color w:val="auto"/>
          <w:sz w:val="24"/>
          <w:highlight w:val="none"/>
          <w:u w:val="single"/>
        </w:rPr>
        <w:t xml:space="preserve">通用格式</w:t>
      </w:r>
      <w:r>
        <w:rPr>
          <w:rFonts w:hint="eastAsia" w:ascii="宋体" w:hAnsi="宋体" w:cs="宋体"/>
          <w:b/>
          <w:bCs/>
          <w:color w:val="auto"/>
          <w:sz w:val="24"/>
          <w:highlight w:val="none"/>
        </w:rPr>
        <w:t xml:space="preserve">，项目采购文件</w:t>
      </w:r>
      <w:r>
        <w:rPr>
          <w:rFonts w:hint="eastAsia" w:ascii="宋体" w:hAnsi="宋体" w:cs="宋体"/>
          <w:b/>
          <w:bCs/>
          <w:color w:val="auto"/>
          <w:sz w:val="24"/>
          <w:highlight w:val="none"/>
          <w:u w:val="single"/>
        </w:rPr>
        <w:t xml:space="preserve">可能会根据实际情况对栏目作出调整，投标人（供应商）按照制作工具显示的栏目编制即可</w:t>
      </w:r>
      <w:r>
        <w:rPr>
          <w:rFonts w:hint="eastAsia" w:ascii="宋体" w:hAnsi="宋体"/>
          <w:b/>
          <w:color w:val="auto"/>
          <w:sz w:val="24"/>
          <w:highlight w:val="none"/>
        </w:rPr>
        <w:t xml:space="preserve">）</w:t>
      </w:r>
      <w:r/>
    </w:p>
    <w:tbl>
      <w:tblPr>
        <w:tblStyle w:val="970"/>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类型</w:t>
            </w:r>
            <w:r/>
          </w:p>
        </w:tc>
        <w:tc>
          <w:tcPr>
            <w:tcW w:w="2946"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栏目名称</w:t>
            </w:r>
            <w:r/>
          </w:p>
        </w:tc>
        <w:tc>
          <w:tcPr>
            <w:tcW w:w="5321" w:type="dxa"/>
            <w:vAlign w:val="center"/>
            <w:textDirection w:val="lrTb"/>
            <w:noWrap w:val="false"/>
          </w:tcPr>
          <w:p>
            <w:pPr>
              <w:jc w:val="center"/>
              <w:widowControl/>
              <w:rPr>
                <w:rFonts w:ascii="宋体" w:hAnsi="宋体" w:cs="宋体"/>
                <w:b/>
                <w:bCs/>
                <w:color w:val="auto"/>
                <w:highlight w:val="none"/>
              </w:rPr>
            </w:pPr>
            <w:r>
              <w:rPr>
                <w:rFonts w:hint="eastAsia" w:ascii="宋体" w:hAnsi="宋体" w:cs="宋体"/>
                <w:b/>
                <w:bCs/>
                <w:color w:val="auto"/>
                <w:highlight w:val="none"/>
              </w:rPr>
              <w:t xml:space="preserve">编制和评审要求</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投标（响应）文件封面</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按照招标（采购）文件的规定格式。(格式见</w:t>
            </w:r>
            <w:r>
              <w:rPr>
                <w:rFonts w:hint="eastAsia" w:ascii="宋体" w:hAnsi="宋体" w:cs="宋体"/>
                <w:bCs/>
                <w:color w:val="auto"/>
                <w:highlight w:val="none"/>
              </w:rPr>
              <w:t xml:space="preserve">《投标（响应）文件格式》</w:t>
            </w:r>
            <w:r>
              <w:rPr>
                <w:rFonts w:hint="eastAsia" w:ascii="宋体" w:hAnsi="宋体" w:cs="宋体"/>
                <w:color w:val="auto"/>
                <w:highlight w:val="none"/>
              </w:rPr>
              <w:t xml:space="preserve">)</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开标一览表（响应一览表）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《开标一览表（响应一览表）》</w:t>
            </w:r>
            <w:r>
              <w:rPr>
                <w:rFonts w:hint="eastAsia" w:ascii="宋体" w:hAnsi="宋体" w:cs="宋体"/>
                <w:color w:val="auto"/>
                <w:highlight w:val="none"/>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技术要求响应及偏离表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《技术要求响应及偏离表》</w:t>
            </w:r>
            <w:r>
              <w:rPr>
                <w:rFonts w:hint="eastAsia" w:ascii="宋体" w:hAnsi="宋体" w:cs="宋体"/>
                <w:color w:val="auto"/>
                <w:highlight w:val="none"/>
              </w:rPr>
              <w:t xml:space="preserve">。(格式见《投标（响应）文件格式》)</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商务要求响应及偏离表</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按照招标（采购）文件的规定格式提供</w:t>
            </w:r>
            <w:r>
              <w:rPr>
                <w:rFonts w:hint="eastAsia" w:ascii="宋体" w:hAnsi="宋体" w:cs="宋体"/>
                <w:b/>
                <w:bCs/>
                <w:color w:val="auto"/>
                <w:highlight w:val="none"/>
              </w:rPr>
              <w:t xml:space="preserve">《商务要求响应及偏离表》</w:t>
            </w:r>
            <w:r>
              <w:rPr>
                <w:rFonts w:hint="eastAsia" w:ascii="宋体" w:hAnsi="宋体" w:cs="宋体"/>
                <w:color w:val="auto"/>
                <w:highlight w:val="none"/>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基本目录</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项目完整技术和实施方案</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投标人（供应商）资格声明函</w:t>
            </w:r>
            <w:r/>
          </w:p>
        </w:tc>
        <w:tc>
          <w:tcPr>
            <w:shd w:val="clear" w:color="000000" w:fill="fafafa"/>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《投标人（供应商）资格声明函》</w:t>
            </w:r>
            <w:r>
              <w:rPr>
                <w:rFonts w:hint="eastAsia" w:ascii="宋体" w:hAnsi="宋体" w:cs="宋体"/>
                <w:color w:val="auto"/>
                <w:highlight w:val="none"/>
              </w:rPr>
              <w:t xml:space="preserve">。(格式见《投标（响应）文件格式》)</w:t>
            </w:r>
            <w:r/>
          </w:p>
        </w:tc>
      </w:tr>
      <w:tr>
        <w:trPr>
          <w:trHeight w:val="216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fff00"/>
            <w:tcW w:w="294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highlight w:val="none"/>
              </w:rPr>
              <w:t xml:space="preserve">中小企业声明函等</w:t>
            </w:r>
            <w:r/>
          </w:p>
        </w:tc>
        <w:tc>
          <w:tcPr>
            <w:shd w:val="clear" w:color="000000" w:fill="ffff00"/>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提供符合招标（采购）文件要求的</w:t>
            </w:r>
            <w:r>
              <w:rPr>
                <w:rFonts w:hint="eastAsia" w:ascii="宋体" w:hAnsi="宋体" w:cs="宋体"/>
                <w:b/>
                <w:bCs/>
                <w:color w:val="auto"/>
                <w:highlight w:val="none"/>
              </w:rPr>
              <w:t xml:space="preserve">《中小企业声明函》或者《残疾人福利性单位声明函》或者监狱企业证明文件</w:t>
            </w:r>
            <w:r>
              <w:rPr>
                <w:rFonts w:hint="eastAsia" w:ascii="宋体" w:hAnsi="宋体" w:cs="宋体"/>
                <w:color w:val="auto"/>
                <w:highlight w:val="none"/>
              </w:rPr>
              <w:t xml:space="preserve">。(格式见《投标（响应）文件格式》)</w:t>
            </w:r>
            <w:r>
              <w:rPr>
                <w:rFonts w:hint="eastAsia" w:ascii="宋体" w:hAnsi="宋体" w:cs="宋体"/>
                <w:b/>
                <w:bCs/>
                <w:color w:val="auto"/>
                <w:highlight w:val="none"/>
              </w:rPr>
              <w:t xml:space="preserve">（如是属于非专门面向中小企业预留份额的项目，该项删除，无需提供）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其他落实政府采购政策的资格要求</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如有的提供，否则无需提供。详见第一章《投标（竞谈、磋商、询价）邀请》相关要求。</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是否接受联合体投标（响应）</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如是接受联合体投标（响应），且投标人（供应商）组成联合体投标（响应）的必须提供</w:t>
            </w:r>
            <w:r>
              <w:rPr>
                <w:rFonts w:hint="eastAsia" w:ascii="宋体" w:hAnsi="宋体" w:cs="宋体"/>
                <w:b/>
                <w:bCs/>
                <w:color w:val="auto"/>
                <w:highlight w:val="none"/>
              </w:rPr>
              <w:t xml:space="preserve">《联合体协议》</w:t>
            </w:r>
            <w:r>
              <w:rPr>
                <w:rFonts w:hint="eastAsia" w:ascii="宋体" w:hAnsi="宋体" w:cs="宋体"/>
                <w:color w:val="auto"/>
                <w:highlight w:val="none"/>
              </w:rPr>
              <w:t xml:space="preserve">原件的电子件，格式见《投标（响应）文件格式》)，否则无需提供。</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资格审查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本项目的特定资格要求</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如有特定资格要求的提供，详见第一章《投标（竞谈、磋商、询价）邀请》本项目的特定资格要求中规定要求提供的证明文件或材料，否则无需提供。</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法人授权书、投标（响应）函</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按招标（采购）文件要求提供</w:t>
            </w:r>
            <w:r>
              <w:rPr>
                <w:rFonts w:hint="eastAsia" w:ascii="宋体" w:hAnsi="宋体" w:cs="宋体"/>
                <w:b/>
                <w:bCs/>
                <w:color w:val="auto"/>
                <w:highlight w:val="none"/>
              </w:rPr>
              <w:t xml:space="preserve">《法人授权书》</w:t>
            </w:r>
            <w:r>
              <w:rPr>
                <w:rFonts w:hint="eastAsia" w:ascii="宋体" w:hAnsi="宋体" w:cs="宋体"/>
                <w:color w:val="auto"/>
                <w:highlight w:val="none"/>
              </w:rPr>
              <w:t xml:space="preserve">、</w:t>
            </w:r>
            <w:r>
              <w:rPr>
                <w:rFonts w:hint="eastAsia" w:ascii="宋体" w:hAnsi="宋体" w:cs="宋体"/>
                <w:b/>
                <w:bCs/>
                <w:color w:val="auto"/>
                <w:highlight w:val="none"/>
              </w:rPr>
              <w:t xml:space="preserve">《投标（响应）函》</w:t>
            </w:r>
            <w:r>
              <w:rPr>
                <w:rFonts w:hint="eastAsia" w:ascii="宋体" w:hAnsi="宋体" w:cs="宋体"/>
                <w:color w:val="auto"/>
                <w:highlight w:val="none"/>
              </w:rPr>
              <w:t xml:space="preserve">。(格式见《投标（响应）文件格式》)</w:t>
            </w:r>
            <w:r/>
          </w:p>
        </w:tc>
      </w:tr>
      <w:tr>
        <w:trPr>
          <w:trHeight w:val="81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投标（响应）报价</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w:t>
            </w:r>
            <w:bookmarkStart w:id="942" w:name="OLE_LINK167"/>
            <w:r/>
            <w:bookmarkStart w:id="943" w:name="OLE_LINK166"/>
            <w:r/>
            <w:bookmarkStart w:id="944" w:name="OLE_LINK168"/>
            <w:r>
              <w:rPr>
                <w:rFonts w:hint="eastAsia" w:ascii="宋体" w:hAnsi="宋体" w:cs="宋体"/>
                <w:color w:val="auto"/>
                <w:highlight w:val="none"/>
              </w:rPr>
              <w:t xml:space="preserve">投标人（供应商）</w:t>
            </w:r>
            <w:bookmarkEnd w:id="942"/>
            <w:r/>
            <w:bookmarkEnd w:id="943"/>
            <w:r/>
            <w:bookmarkEnd w:id="944"/>
            <w:r>
              <w:rPr>
                <w:rFonts w:hint="eastAsia" w:ascii="宋体" w:hAnsi="宋体" w:cs="宋体"/>
                <w:color w:val="auto"/>
                <w:highlight w:val="none"/>
              </w:rPr>
              <w:t xml:space="preserve">提供材料。开标一览表（响应一览表）投标报价（响应报价）未超过招标（采购）文件中规定的项目/采购包预算金额或者项目/采购包最高限价。</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报价唯一性</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投标（响应）文件未出现可选择性或可调整的报价（招标（采购）文件另有规定的除外）；提供</w:t>
            </w:r>
            <w:r>
              <w:rPr>
                <w:rFonts w:hint="eastAsia" w:ascii="宋体" w:hAnsi="宋体" w:cs="宋体"/>
                <w:b/>
                <w:bCs/>
                <w:color w:val="auto"/>
                <w:highlight w:val="none"/>
              </w:rPr>
              <w:t xml:space="preserve">《分项报价表》</w:t>
            </w:r>
            <w:r>
              <w:rPr>
                <w:rFonts w:hint="eastAsia" w:ascii="宋体" w:hAnsi="宋体" w:cs="宋体"/>
                <w:color w:val="auto"/>
                <w:highlight w:val="none"/>
              </w:rPr>
              <w:t xml:space="preserve">。(格式见《投标（响应）文件格式》)</w:t>
            </w:r>
            <w:r/>
          </w:p>
        </w:tc>
      </w:tr>
      <w:tr>
        <w:trPr>
          <w:trHeight w:val="108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报价合理性</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报价合理，或投标人（供应商）的报价明显低于其他通过符合性审查投标人（供应商）的报价，有可能影响产品质量或诚信履约的，能够应评标委员会要求在规定时间内证明其报价合理性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报价的修正（如有）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由评委审查，无需投标人（供应商）提供材料。不涉及报价修正，或投标（响应）文件报价出现前后不一致时，投标人（供应商）对修正后的报价予以确认。</w:t>
            </w:r>
            <w:r/>
          </w:p>
        </w:tc>
      </w:tr>
      <w:tr>
        <w:trPr>
          <w:trHeight w:val="810"/>
        </w:trPr>
        <w:tc>
          <w:tcPr>
            <w:shd w:val="clear" w:color="000000" w:fill="fafafa"/>
            <w:tcW w:w="1089"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hint="eastAsia" w:ascii="宋体" w:hAnsi="宋体" w:cs="宋体"/>
                <w:color w:val="auto"/>
                <w:highlight w:val="none"/>
              </w:rPr>
            </w:pPr>
            <w:r>
              <w:rPr>
                <w:rFonts w:hint="eastAsia" w:ascii="宋体" w:hAnsi="宋体" w:cs="宋体"/>
                <w:color w:val="auto"/>
                <w:highlight w:val="none"/>
              </w:rPr>
              <w:t xml:space="preserve">投标有效期</w:t>
            </w:r>
            <w:r/>
          </w:p>
        </w:tc>
        <w:tc>
          <w:tcPr>
            <w:shd w:val="clear" w:color="000000" w:fill="fafafa"/>
            <w:tcW w:w="5321" w:type="dxa"/>
            <w:vAlign w:val="center"/>
            <w:textDirection w:val="lrTb"/>
            <w:noWrap w:val="false"/>
          </w:tcPr>
          <w:p>
            <w:pPr>
              <w:jc w:val="left"/>
              <w:widowControl/>
              <w:rPr>
                <w:rFonts w:hint="eastAsia" w:ascii="宋体" w:hAnsi="宋体" w:cs="宋体"/>
                <w:color w:val="auto"/>
                <w:highlight w:val="none"/>
              </w:rPr>
            </w:pPr>
            <w:r>
              <w:rPr>
                <w:rFonts w:hint="eastAsia" w:ascii="宋体" w:hAnsi="宋体" w:cs="宋体"/>
                <w:color w:val="auto"/>
                <w:highlight w:val="none"/>
              </w:rPr>
              <w:t xml:space="preserve">投标文件中承诺的投标有效期满足招标文件中载明的投标有效期的；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签署、加盖公章</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由评委审查，无需投标人（供应商）提供材料。按照招标（采购）文件要求签署、加盖公章的。</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进口产品（如有）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由评委审查，无需投标人（供应商）提供材料。招标（采购）文件不接受进口产品投标的内容时，投标人（供应商）所投产品均为非进口产品。</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投标完整性</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由评委审查，无需投标人（供应商）提供材料。投标人（供应商）未将一个采购包中的内容拆开投标。</w:t>
            </w:r>
            <w:r/>
          </w:p>
        </w:tc>
      </w:tr>
      <w:tr>
        <w:trPr>
          <w:trHeight w:val="135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公平竞争</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auto" w:fill="auto"/>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国家有关部门对投标产品有强制性规定或要求的</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附加条件</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由评委审查，无需投标人（供应商）提供材料。投标（响应）文件未含有采购人不能接受的附加条件的。</w:t>
            </w:r>
            <w:r/>
          </w:p>
        </w:tc>
      </w:tr>
      <w:tr>
        <w:trPr>
          <w:trHeight w:val="810"/>
        </w:trPr>
        <w:tc>
          <w:tcPr>
            <w:shd w:val="clear" w:color="000000" w:fill="fafafa"/>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afafa"/>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其他无效情形</w:t>
            </w:r>
            <w:r/>
          </w:p>
        </w:tc>
        <w:tc>
          <w:tcPr>
            <w:shd w:val="clear" w:color="000000" w:fill="fafafa"/>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由评委审查，无需投标人（供应商）提供材料。投标人（供应商）、投标（响应）文件不存在不符合法律、法规和招标（采购）文件规定的其他无效情形。</w:t>
            </w:r>
            <w:r/>
          </w:p>
        </w:tc>
      </w:tr>
      <w:tr>
        <w:trPr>
          <w:trHeight w:val="108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w:t>
            </w:r>
            <w:r/>
          </w:p>
        </w:tc>
        <w:tc>
          <w:tcPr>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投标（响应）文件满足招标（采购）文件第五章《采购需求》中实质性条款（斜体且有下划线部分的、或者加“★”号的、或者以文字说明属于实质性要求的内容）要求的，在下列表单逐项提供相关证明材料。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实质性条款响应1</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实质性条款响应2</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符合性审查</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shd w:val="clear" w:color="000000" w:fill="ffff00"/>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r>
      <w:tr>
        <w:trPr>
          <w:trHeight w:val="54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综合评审评分项</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270"/>
        </w:trPr>
        <w:tc>
          <w:tcPr>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w:t>
            </w:r>
            <w:r/>
          </w:p>
        </w:tc>
        <w:tc>
          <w:tcPr>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　</w:t>
            </w:r>
            <w:r/>
          </w:p>
        </w:tc>
        <w:tc>
          <w:tcPr>
            <w:tcW w:w="5321"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逐项提供相关证明材料</w:t>
            </w:r>
            <w:r/>
          </w:p>
        </w:tc>
      </w:tr>
      <w:tr>
        <w:trPr>
          <w:trHeight w:val="1080"/>
        </w:trPr>
        <w:tc>
          <w:tcPr>
            <w:shd w:val="clear" w:color="000000" w:fill="ffff00"/>
            <w:tcW w:w="1089"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价格折扣文件格式</w:t>
            </w:r>
            <w:r/>
          </w:p>
        </w:tc>
        <w:tc>
          <w:tcPr>
            <w:shd w:val="clear" w:color="000000" w:fill="ffff00"/>
            <w:tcW w:w="2946" w:type="dxa"/>
            <w:vAlign w:val="center"/>
            <w:textDirection w:val="lrTb"/>
            <w:noWrap w:val="false"/>
          </w:tcPr>
          <w:p>
            <w:pPr>
              <w:jc w:val="center"/>
              <w:widowControl/>
              <w:rPr>
                <w:rFonts w:ascii="宋体" w:hAnsi="宋体" w:cs="宋体"/>
                <w:color w:val="auto"/>
                <w:highlight w:val="none"/>
              </w:rPr>
            </w:pPr>
            <w:r>
              <w:rPr>
                <w:rFonts w:hint="eastAsia" w:ascii="宋体" w:hAnsi="宋体" w:cs="宋体"/>
                <w:color w:val="auto"/>
                <w:highlight w:val="none"/>
              </w:rPr>
              <w:t xml:space="preserve">小微企业声明函</w:t>
            </w:r>
            <w:r/>
          </w:p>
        </w:tc>
        <w:tc>
          <w:tcPr>
            <w:shd w:val="clear" w:color="000000" w:fill="ffff00"/>
            <w:tcW w:w="5321" w:type="dxa"/>
            <w:vAlign w:val="center"/>
            <w:textDirection w:val="lrTb"/>
            <w:noWrap w:val="false"/>
          </w:tcPr>
          <w:p>
            <w:pPr>
              <w:jc w:val="left"/>
              <w:widowControl/>
              <w:rPr>
                <w:rFonts w:ascii="宋体" w:hAnsi="宋体" w:cs="宋体"/>
                <w:color w:val="auto"/>
                <w:highlight w:val="none"/>
              </w:rPr>
            </w:pPr>
            <w:r>
              <w:rPr>
                <w:rFonts w:hint="eastAsia" w:ascii="宋体" w:hAnsi="宋体" w:cs="宋体"/>
                <w:color w:val="auto"/>
                <w:highlight w:val="none"/>
              </w:rPr>
              <w:t xml:space="preserve">属于小微企业的提供符合招标（采购）文件要求的</w:t>
            </w:r>
            <w:r>
              <w:rPr>
                <w:rFonts w:hint="eastAsia" w:ascii="宋体" w:hAnsi="宋体" w:cs="宋体"/>
                <w:b/>
                <w:bCs/>
                <w:color w:val="auto"/>
                <w:highlight w:val="none"/>
              </w:rPr>
              <w:t xml:space="preserve">《小微企业声明函》</w:t>
            </w:r>
            <w:r>
              <w:rPr>
                <w:rFonts w:hint="eastAsia" w:ascii="宋体" w:hAnsi="宋体" w:cs="宋体"/>
                <w:color w:val="auto"/>
                <w:highlight w:val="none"/>
              </w:rPr>
              <w:t xml:space="preserve">或者</w:t>
            </w:r>
            <w:r>
              <w:rPr>
                <w:rFonts w:hint="eastAsia" w:ascii="宋体" w:hAnsi="宋体" w:cs="宋体"/>
                <w:b/>
                <w:bCs/>
                <w:color w:val="auto"/>
                <w:highlight w:val="none"/>
              </w:rPr>
              <w:t xml:space="preserve">《残疾人福利性单位声明函》</w:t>
            </w:r>
            <w:r>
              <w:rPr>
                <w:rFonts w:hint="eastAsia" w:ascii="宋体" w:hAnsi="宋体" w:cs="宋体"/>
                <w:color w:val="auto"/>
                <w:highlight w:val="none"/>
              </w:rPr>
              <w:t xml:space="preserve">或者</w:t>
            </w:r>
            <w:r>
              <w:rPr>
                <w:rFonts w:hint="eastAsia" w:ascii="宋体" w:hAnsi="宋体" w:cs="宋体"/>
                <w:b/>
                <w:bCs/>
                <w:color w:val="auto"/>
                <w:highlight w:val="none"/>
              </w:rPr>
              <w:t xml:space="preserve">监狱企业证明文件</w:t>
            </w:r>
            <w:r>
              <w:rPr>
                <w:rFonts w:hint="eastAsia" w:ascii="宋体" w:hAnsi="宋体" w:cs="宋体"/>
                <w:color w:val="auto"/>
                <w:highlight w:val="none"/>
              </w:rPr>
              <w:t xml:space="preserve">。(格式见《投标（响应）文件格式》)</w:t>
            </w:r>
            <w:r>
              <w:rPr>
                <w:rFonts w:hint="eastAsia" w:ascii="宋体" w:hAnsi="宋体" w:cs="宋体"/>
                <w:b/>
                <w:bCs/>
                <w:color w:val="auto"/>
                <w:highlight w:val="none"/>
              </w:rPr>
              <w:t xml:space="preserve">（如是属于专门面向中小企业预留份额的项目，该项删除）</w:t>
            </w:r>
            <w:r/>
          </w:p>
        </w:tc>
      </w:tr>
      <w:tr>
        <w:trPr>
          <w:trHeight w:val="1080"/>
        </w:trPr>
        <w:tc>
          <w:tcPr>
            <w:shd w:val="clear" w:color="000000" w:fill="ffff00"/>
            <w:tcW w:w="1089" w:type="dxa"/>
            <w:vAlign w:val="center"/>
            <w:textDirection w:val="lrTb"/>
            <w:noWrap w:val="false"/>
          </w:tcPr>
          <w:p>
            <w:pPr>
              <w:jc w:val="center"/>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rPr>
              <w:t xml:space="preserve">价格折扣文件格式</w:t>
            </w:r>
            <w:r/>
          </w:p>
        </w:tc>
        <w:tc>
          <w:tcPr>
            <w:shd w:val="clear" w:color="000000" w:fill="ffff00"/>
            <w:tcW w:w="2946" w:type="dxa"/>
            <w:vAlign w:val="center"/>
            <w:textDirection w:val="lrTb"/>
            <w:noWrap w:val="false"/>
          </w:tcPr>
          <w:p>
            <w:pPr>
              <w:jc w:val="center"/>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highlight w:val="none"/>
              </w:rPr>
              <w:t xml:space="preserve">本国产品政策支持</w:t>
            </w:r>
            <w:r/>
          </w:p>
        </w:tc>
        <w:tc>
          <w:tcPr>
            <w:shd w:val="clear" w:color="000000" w:fill="ffff00"/>
            <w:tcW w:w="5321" w:type="dxa"/>
            <w:vAlign w:val="center"/>
            <w:textDirection w:val="lrTb"/>
            <w:noWrap w:val="false"/>
          </w:tcPr>
          <w:p>
            <w:pPr>
              <w:jc w:val="left"/>
              <w:widowControl/>
              <w:rPr>
                <w:rFonts w:hint="eastAsia" w:ascii="宋体" w:hAnsi="宋体" w:cs="宋体"/>
                <w:color w:val="auto"/>
                <w:sz w:val="21"/>
                <w:szCs w:val="21"/>
                <w:highlight w:val="none"/>
              </w:rPr>
            </w:pPr>
            <w:r>
              <w:rPr>
                <w:rFonts w:hint="eastAsia" w:ascii="宋体" w:hAnsi="宋体" w:cs="宋体"/>
                <w:color w:val="auto"/>
                <w:highlight w:val="none"/>
              </w:rPr>
              <w:t xml:space="preserve">关于对</w:t>
            </w:r>
            <w:r>
              <w:rPr>
                <w:rFonts w:hint="eastAsia" w:ascii="宋体" w:hAnsi="宋体" w:cs="宋体"/>
                <w:color w:val="auto"/>
                <w:sz w:val="21"/>
                <w:szCs w:val="21"/>
                <w:highlight w:val="none"/>
              </w:rPr>
              <w:t xml:space="preserve">采购本国产品给予政策支持，本项目：</w:t>
            </w:r>
            <w:r>
              <w:rPr>
                <w:color w:val="auto"/>
                <w:sz w:val="21"/>
                <w:szCs w:val="21"/>
                <w:highlight w:val="none"/>
              </w:rPr>
              <w:t xml:space="preserve">□</w:t>
            </w:r>
            <w:r>
              <w:rPr>
                <w:rFonts w:hint="eastAsia"/>
                <w:color w:val="auto"/>
                <w:sz w:val="21"/>
                <w:szCs w:val="21"/>
                <w:highlight w:val="none"/>
              </w:rPr>
              <w:t xml:space="preserve">适用 </w:t>
            </w:r>
            <w:r>
              <w:rPr>
                <w:b/>
                <w:color w:val="auto"/>
                <w:sz w:val="21"/>
                <w:szCs w:val="21"/>
                <w:highlight w:val="none"/>
              </w:rPr>
              <w:t xml:space="preserve">■</w:t>
            </w:r>
            <w:r>
              <w:rPr>
                <w:rFonts w:hint="eastAsia"/>
                <w:color w:val="auto"/>
                <w:sz w:val="21"/>
                <w:szCs w:val="21"/>
                <w:highlight w:val="none"/>
              </w:rPr>
              <w:t xml:space="preserve">不适用</w:t>
            </w:r>
            <w:r>
              <w:rPr>
                <w:rFonts w:hint="eastAsia" w:ascii="宋体" w:hAnsi="宋体" w:cs="宋体"/>
                <w:color w:val="auto"/>
                <w:sz w:val="21"/>
                <w:szCs w:val="21"/>
                <w:highlight w:val="none"/>
              </w:rPr>
              <w:t xml:space="preserve">。</w:t>
            </w:r>
            <w:r/>
          </w:p>
          <w:p>
            <w:pPr>
              <w:jc w:val="left"/>
              <w:widowControl/>
              <w:rPr>
                <w:rFonts w:hint="eastAsia" w:ascii="宋体" w:hAnsi="宋体" w:eastAsia="宋体" w:cs="宋体"/>
                <w:color w:val="auto"/>
                <w:sz w:val="21"/>
                <w:szCs w:val="24"/>
                <w:highlight w:val="none"/>
                <w:lang w:val="en-US" w:eastAsia="zh-CN" w:bidi="ar-SA"/>
              </w:rPr>
            </w:pPr>
            <w:r>
              <w:rPr>
                <w:rFonts w:hint="eastAsia" w:ascii="宋体" w:hAnsi="宋体" w:cs="宋体"/>
                <w:color w:val="auto"/>
                <w:sz w:val="21"/>
                <w:szCs w:val="21"/>
                <w:highlight w:val="none"/>
              </w:rPr>
              <w:t xml:space="preserve">在填写《关于符合</w:t>
            </w:r>
            <w:r>
              <w:rPr>
                <w:rFonts w:hint="eastAsia" w:ascii="宋体" w:hAnsi="宋体" w:cs="宋体"/>
                <w:color w:val="auto"/>
                <w:highlight w:val="none"/>
              </w:rPr>
              <w:t xml:space="preserve">本国产品标准的声明函》时，如未提供声明函、信息填写错误、未完整填报或不符合《关于在政府采购中实施本国产品标准及相关政策的通知》要求的，则会导致报价不作相应扣除。</w:t>
            </w:r>
            <w:bookmarkEnd w:id="941"/>
            <w:r/>
          </w:p>
        </w:tc>
      </w:tr>
    </w:tbl>
    <w:p>
      <w:pPr>
        <w:pStyle w:val="975"/>
        <w:tabs>
          <w:tab w:val="left" w:pos="567" w:leader="none"/>
        </w:tabs>
        <w:rPr>
          <w:color w:val="auto"/>
          <w:highlight w:val="none"/>
        </w:rPr>
      </w:pPr>
      <w:r>
        <w:rPr>
          <w:color w:val="auto"/>
          <w:highlight w:val="none"/>
        </w:rPr>
      </w:r>
      <w:r/>
    </w:p>
    <w:p>
      <w:pPr>
        <w:jc w:val="left"/>
        <w:widowControl/>
        <w:rPr>
          <w:b/>
          <w:color w:val="auto"/>
          <w:sz w:val="36"/>
          <w:szCs w:val="36"/>
          <w:highlight w:val="none"/>
        </w:rPr>
      </w:pPr>
      <w:r>
        <w:rPr>
          <w:b/>
          <w:color w:val="auto"/>
          <w:sz w:val="36"/>
          <w:szCs w:val="36"/>
          <w:highlight w:val="none"/>
        </w:rPr>
      </w:r>
      <w:r/>
    </w:p>
    <w:sectPr>
      <w:headerReference w:type="even" r:id="rId12"/>
      <w:headerReference w:type="first" r:id="rId13"/>
      <w:footerReference w:type="even" r:id="rId23"/>
      <w:footerReference w:type="first" r:id="rId24"/>
      <w:footnotePr/>
      <w:endnotePr/>
      <w:type w:val="nextPage"/>
      <w:pgSz w:w="11906" w:h="16838" w:orient="portrait"/>
      <w:pgMar w:top="1276" w:right="1274" w:bottom="1276" w:left="1276" w:header="851" w:footer="313"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仿宋">
    <w:panose1 w:val="02010609060101010101"/>
  </w:font>
  <w:font w:name="Cambria Math">
    <w:panose1 w:val="02040503050406030204"/>
  </w:font>
  <w:font w:name="MS Gothic">
    <w:panose1 w:val="020B0609070205080204"/>
  </w:font>
  <w:font w:name="CESI黑体-GB2312">
    <w:panose1 w:val="020B0503020202020204"/>
  </w:font>
  <w:font w:name="方正黑体_GBK">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pPr>
    <w:r/>
    <w:r/>
  </w:p>
  <w:p>
    <w:pPr>
      <w:pStyle w:val="11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left" w:pos="3900" w:leader="none"/>
        <w:tab w:val="center" w:pos="4960" w:leader="none"/>
      </w:tabs>
      <w:rPr>
        <w:rFonts w:ascii="Calibri" w:hAnsi="Calibri"/>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98"/>
                            <w:rPr>
                              <w:rFonts w:hint="eastAsia"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46</w:t>
                          </w:r>
                          <w:r>
                            <w:rPr>
                              <w:rFonts w:hint="eastAsia" w:ascii="宋体" w:hAnsi="宋体" w:cs="宋体"/>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98"/>
                      <w:rPr>
                        <w:rFonts w:hint="eastAsia"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46</w:t>
                    </w:r>
                    <w:r>
                      <w:rPr>
                        <w:rFonts w:hint="eastAsia" w:ascii="宋体" w:hAnsi="宋体" w:cs="宋体"/>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left" w:pos="3900" w:leader="none"/>
        <w:tab w:val="center" w:pos="4960" w:leader="none"/>
      </w:tabs>
      <w:rPr>
        <w:rFonts w:ascii="Calibri" w:hAnsi="Calibri"/>
        <w:sz w:val="21"/>
        <w:szCs w:val="22"/>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clear" w:pos="7143" w:leader="none"/>
        <w:tab w:val="right" w:pos="8306" w:leader="none"/>
        <w:tab w:val="clear" w:pos="14287" w:leader="none"/>
      </w:tabs>
      <w:rPr>
        <w:rStyle w:val="999"/>
      </w:rPr>
    </w:pPr>
    <w:r>
      <w:rPr>
        <w:rStyle w:val="999"/>
      </w:rPr>
      <w:fldChar w:fldCharType="begin"/>
    </w:r>
    <w:r>
      <w:rPr>
        <w:rStyle w:val="999"/>
      </w:rPr>
      <w:instrText xml:space="preserve">PAGE  </w:instrText>
    </w:r>
    <w:r>
      <w:rPr>
        <w:rStyle w:val="999"/>
      </w:rPr>
      <w:fldChar w:fldCharType="end"/>
    </w:r>
    <w:r/>
  </w:p>
  <w:p>
    <w:pPr>
      <w:pStyle w:val="983"/>
      <w:tabs>
        <w:tab w:val="center" w:pos="4153" w:leader="none"/>
        <w:tab w:val="clear" w:pos="7143" w:leader="none"/>
        <w:tab w:val="right" w:pos="8306" w:leader="none"/>
        <w:tab w:val="clear" w:pos="14287"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3"/>
                          </w:pPr>
                          <w:r>
                            <w:fldChar w:fldCharType="begin"/>
                          </w:r>
                          <w:r>
                            <w:instrText xml:space="preserve"> PAGE  \* MERGEFORMAT </w:instrText>
                          </w:r>
                          <w:r>
                            <w:fldChar w:fldCharType="separate"/>
                          </w:r>
                          <w:r>
                            <w:t xml:space="preserve">40</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83"/>
                          </w:pPr>
                          <w:r>
                            <w:fldChar w:fldCharType="begin"/>
                          </w:r>
                          <w:r>
                            <w:instrText xml:space="preserve"> PAGE  \* MERGEFORMAT </w:instrText>
                          </w:r>
                          <w:r>
                            <w:fldChar w:fldCharType="separate"/>
                          </w:r>
                          <w:r>
                            <w:t xml:space="preserve">50</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3"/>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p>
    <w:pPr>
      <w:pStyle w:val="1198"/>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rPr>
        <w:rStyle w:val="1222"/>
      </w:rPr>
      <w:framePr w:wrap="around" w:vAnchor="text" w:hAnchor="margin" w:xAlign="right" w:y="1"/>
    </w:pPr>
    <w:r>
      <w:rPr>
        <w:rStyle w:val="1222"/>
      </w:rPr>
      <w:fldChar w:fldCharType="begin"/>
    </w:r>
    <w:r>
      <w:rPr>
        <w:rStyle w:val="1222"/>
      </w:rPr>
      <w:instrText xml:space="preserve">PAGE  </w:instrText>
    </w:r>
    <w:r>
      <w:rPr>
        <w:rStyle w:val="1222"/>
      </w:rPr>
      <w:fldChar w:fldCharType="end"/>
    </w:r>
    <w:r/>
  </w:p>
  <w:p>
    <w:pPr>
      <w:pStyle w:val="1198"/>
      <w:ind w:right="360"/>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rPr>
        <w:rStyle w:val="1222"/>
      </w:rPr>
      <w:framePr w:wrap="around" w:vAnchor="text" w:hAnchor="margin" w:xAlign="right" w:y="1"/>
    </w:pPr>
    <w:r>
      <w:rPr>
        <w:rStyle w:val="1222"/>
      </w:rPr>
      <w:fldChar w:fldCharType="begin"/>
    </w:r>
    <w:r>
      <w:rPr>
        <w:rStyle w:val="1222"/>
      </w:rPr>
      <w:instrText xml:space="preserve">PAGE  </w:instrText>
    </w:r>
    <w:r>
      <w:rPr>
        <w:rStyle w:val="1222"/>
      </w:rPr>
      <w:fldChar w:fldCharType="end"/>
    </w:r>
    <w:r/>
  </w:p>
  <w:p>
    <w:pPr>
      <w:pStyle w:val="1198"/>
      <w:ind w:right="360"/>
    </w:pPr>
    <w:r/>
    <w:r/>
  </w:p>
  <w:p>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jc w:val="both"/>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1871980</wp:posOffset>
              </wp:positionH>
              <wp:positionV relativeFrom="paragraph">
                <wp:posOffset>-105409</wp:posOffset>
              </wp:positionV>
              <wp:extent cx="2016760" cy="204470"/>
              <wp:effectExtent l="0" t="0" r="0" b="0"/>
              <wp:wrapTopAndBottom/>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016760" cy="20447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147.4pt;mso-position-horizontal:absolute;mso-position-vertical-relative:text;margin-top:-8.3pt;mso-position-vertical:absolute;width:158.8pt;height:16.1pt;mso-wrap-distance-left:9.0pt;mso-wrap-distance-top:0.0pt;mso-wrap-distance-right:9.0pt;mso-wrap-distance-bottom:0.0pt;" stroked="f">
              <v:path textboxrect="0,0,0,0"/>
              <w10:wrap type="topAndBottom"/>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pPr>
    <w:r/>
    <w:r/>
  </w:p>
  <w:p>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57"/>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1184" w:hanging="900"/>
        <w:tabs>
          <w:tab w:val="left" w:pos="1184" w:leader="none"/>
        </w:tabs>
      </w:pPr>
      <w:rPr>
        <w:rFonts w:hint="eastAsia"/>
      </w:rPr>
    </w:lvl>
    <w:lvl w:ilvl="1">
      <w:start w:val="1"/>
      <w:numFmt w:val="decimal"/>
      <w:isLgl w:val="false"/>
      <w:suff w:val="tab"/>
      <w:lvlText w:val="%1.%2"/>
      <w:lvlJc w:val="left"/>
      <w:pPr>
        <w:ind w:left="1610" w:hanging="900"/>
        <w:tabs>
          <w:tab w:val="left" w:pos="1731" w:leader="none"/>
        </w:tabs>
      </w:pPr>
      <w:rPr>
        <w:rFonts w:ascii="Times New Roman" w:hAnsi="Times New Roman" w:cs="Times New Roman"/>
        <w:sz w:val="24"/>
        <w:szCs w:val="24"/>
      </w:rPr>
    </w:lvl>
    <w:lvl w:ilvl="2">
      <w:start w:val="1"/>
      <w:numFmt w:val="decimal"/>
      <w:isLgl w:val="false"/>
      <w:suff w:val="tab"/>
      <w:lvlText w:val="%1.%2.%3"/>
      <w:lvlJc w:val="left"/>
      <w:pPr>
        <w:ind w:left="2264" w:hanging="900"/>
        <w:tabs>
          <w:tab w:val="left" w:pos="2264" w:leader="none"/>
        </w:tabs>
      </w:pPr>
      <w:rPr>
        <w:rFonts w:hint="eastAsia"/>
      </w:rPr>
    </w:lvl>
    <w:lvl w:ilvl="3">
      <w:start w:val="1"/>
      <w:numFmt w:val="decimal"/>
      <w:isLgl w:val="false"/>
      <w:suff w:val="tab"/>
      <w:lvlText w:val="%1.%2.%3.%4"/>
      <w:lvlJc w:val="left"/>
      <w:pPr>
        <w:ind w:left="1184" w:hanging="900"/>
        <w:tabs>
          <w:tab w:val="left" w:pos="1184" w:leader="none"/>
        </w:tabs>
      </w:pPr>
      <w:rPr>
        <w:rFonts w:hint="eastAsia"/>
      </w:rPr>
    </w:lvl>
    <w:lvl w:ilvl="4">
      <w:start w:val="1"/>
      <w:numFmt w:val="decimal"/>
      <w:isLgl w:val="false"/>
      <w:suff w:val="tab"/>
      <w:lvlText w:val="%1.%2.%3.%4.%5"/>
      <w:lvlJc w:val="left"/>
      <w:pPr>
        <w:ind w:left="1184" w:hanging="900"/>
        <w:tabs>
          <w:tab w:val="left" w:pos="1184" w:leader="none"/>
        </w:tabs>
      </w:pPr>
      <w:rPr>
        <w:rFonts w:hint="eastAsia"/>
      </w:rPr>
    </w:lvl>
    <w:lvl w:ilvl="5">
      <w:start w:val="1"/>
      <w:numFmt w:val="decimal"/>
      <w:isLgl w:val="false"/>
      <w:suff w:val="tab"/>
      <w:lvlText w:val="%1.%2.%3.%4.%5.%6"/>
      <w:lvlJc w:val="left"/>
      <w:pPr>
        <w:ind w:left="1184" w:hanging="900"/>
        <w:tabs>
          <w:tab w:val="left" w:pos="1184" w:leader="none"/>
        </w:tabs>
      </w:pPr>
      <w:rPr>
        <w:rFonts w:hint="eastAsia"/>
      </w:rPr>
    </w:lvl>
    <w:lvl w:ilvl="6">
      <w:start w:val="1"/>
      <w:numFmt w:val="decimal"/>
      <w:isLgl w:val="false"/>
      <w:suff w:val="tab"/>
      <w:lvlText w:val="%1.%2.%3.%4.%5.%6.%7"/>
      <w:lvlJc w:val="left"/>
      <w:pPr>
        <w:ind w:left="1184" w:hanging="900"/>
        <w:tabs>
          <w:tab w:val="left" w:pos="1184" w:leader="none"/>
        </w:tabs>
      </w:pPr>
      <w:rPr>
        <w:rFonts w:hint="eastAsia"/>
      </w:rPr>
    </w:lvl>
    <w:lvl w:ilvl="7">
      <w:start w:val="1"/>
      <w:numFmt w:val="decimal"/>
      <w:isLgl w:val="false"/>
      <w:suff w:val="tab"/>
      <w:lvlText w:val="%1.%2.%3.%4.%5.%6.%7.%8"/>
      <w:lvlJc w:val="left"/>
      <w:pPr>
        <w:ind w:left="1184" w:hanging="900"/>
        <w:tabs>
          <w:tab w:val="left" w:pos="1184" w:leader="none"/>
        </w:tabs>
      </w:pPr>
      <w:rPr>
        <w:rFonts w:hint="eastAsia"/>
      </w:rPr>
    </w:lvl>
    <w:lvl w:ilvl="8">
      <w:start w:val="1"/>
      <w:numFmt w:val="decimal"/>
      <w:isLgl w:val="false"/>
      <w:suff w:val="tab"/>
      <w:lvlText w:val="%1.%2.%3.%4.%5.%6.%7.%8.%9"/>
      <w:lvlJc w:val="left"/>
      <w:pPr>
        <w:ind w:left="1184" w:hanging="900"/>
        <w:tabs>
          <w:tab w:val="left" w:pos="1184" w:leader="none"/>
        </w:tabs>
      </w:pPr>
      <w:rPr>
        <w:rFonts w:hint="eastAsia"/>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1184" w:hanging="900"/>
        <w:tabs>
          <w:tab w:val="left" w:pos="1184" w:leader="none"/>
        </w:tabs>
      </w:pPr>
      <w:rPr>
        <w:rFonts w:hint="eastAsia"/>
      </w:rPr>
    </w:lvl>
    <w:lvl w:ilvl="1">
      <w:start w:val="1"/>
      <w:numFmt w:val="decimal"/>
      <w:isLgl w:val="false"/>
      <w:suff w:val="tab"/>
      <w:lvlText w:val="%1.%2"/>
      <w:lvlJc w:val="left"/>
      <w:pPr>
        <w:ind w:left="1610" w:hanging="900"/>
        <w:tabs>
          <w:tab w:val="left" w:pos="1731" w:leader="none"/>
        </w:tabs>
      </w:pPr>
      <w:rPr>
        <w:rFonts w:hint="default" w:ascii="Times New Roman" w:hAnsi="Times New Roman" w:cs="Times New Roman"/>
        <w:sz w:val="24"/>
        <w:szCs w:val="24"/>
      </w:rPr>
    </w:lvl>
    <w:lvl w:ilvl="2">
      <w:start w:val="1"/>
      <w:numFmt w:val="decimal"/>
      <w:isLgl w:val="false"/>
      <w:suff w:val="tab"/>
      <w:lvlText w:val="%1.%2.%3"/>
      <w:lvlJc w:val="left"/>
      <w:pPr>
        <w:ind w:left="2264" w:hanging="900"/>
        <w:tabs>
          <w:tab w:val="left" w:pos="2264" w:leader="none"/>
        </w:tabs>
      </w:pPr>
      <w:rPr>
        <w:rFonts w:hint="eastAsia"/>
      </w:rPr>
    </w:lvl>
    <w:lvl w:ilvl="3">
      <w:start w:val="1"/>
      <w:numFmt w:val="decimal"/>
      <w:isLgl w:val="false"/>
      <w:suff w:val="tab"/>
      <w:lvlText w:val="%1.%2.%3.%4"/>
      <w:lvlJc w:val="left"/>
      <w:pPr>
        <w:ind w:left="1184" w:hanging="900"/>
        <w:tabs>
          <w:tab w:val="left" w:pos="1184" w:leader="none"/>
        </w:tabs>
      </w:pPr>
      <w:rPr>
        <w:rFonts w:hint="eastAsia"/>
      </w:rPr>
    </w:lvl>
    <w:lvl w:ilvl="4">
      <w:start w:val="1"/>
      <w:numFmt w:val="decimal"/>
      <w:isLgl w:val="false"/>
      <w:suff w:val="tab"/>
      <w:lvlText w:val="%1.%2.%3.%4.%5"/>
      <w:lvlJc w:val="left"/>
      <w:pPr>
        <w:ind w:left="1184" w:hanging="900"/>
        <w:tabs>
          <w:tab w:val="left" w:pos="1184" w:leader="none"/>
        </w:tabs>
      </w:pPr>
      <w:rPr>
        <w:rFonts w:hint="eastAsia"/>
      </w:rPr>
    </w:lvl>
    <w:lvl w:ilvl="5">
      <w:start w:val="1"/>
      <w:numFmt w:val="decimal"/>
      <w:isLgl w:val="false"/>
      <w:suff w:val="tab"/>
      <w:lvlText w:val="%1.%2.%3.%4.%5.%6"/>
      <w:lvlJc w:val="left"/>
      <w:pPr>
        <w:ind w:left="1184" w:hanging="900"/>
        <w:tabs>
          <w:tab w:val="left" w:pos="1184" w:leader="none"/>
        </w:tabs>
      </w:pPr>
      <w:rPr>
        <w:rFonts w:hint="eastAsia"/>
      </w:rPr>
    </w:lvl>
    <w:lvl w:ilvl="6">
      <w:start w:val="1"/>
      <w:numFmt w:val="decimal"/>
      <w:isLgl w:val="false"/>
      <w:suff w:val="tab"/>
      <w:lvlText w:val="%1.%2.%3.%4.%5.%6.%7"/>
      <w:lvlJc w:val="left"/>
      <w:pPr>
        <w:ind w:left="1184" w:hanging="900"/>
        <w:tabs>
          <w:tab w:val="left" w:pos="1184" w:leader="none"/>
        </w:tabs>
      </w:pPr>
      <w:rPr>
        <w:rFonts w:hint="eastAsia"/>
      </w:rPr>
    </w:lvl>
    <w:lvl w:ilvl="7">
      <w:start w:val="1"/>
      <w:numFmt w:val="decimal"/>
      <w:isLgl w:val="false"/>
      <w:suff w:val="tab"/>
      <w:lvlText w:val="%1.%2.%3.%4.%5.%6.%7.%8"/>
      <w:lvlJc w:val="left"/>
      <w:pPr>
        <w:ind w:left="1184" w:hanging="900"/>
        <w:tabs>
          <w:tab w:val="left" w:pos="1184" w:leader="none"/>
        </w:tabs>
      </w:pPr>
      <w:rPr>
        <w:rFonts w:hint="eastAsia"/>
      </w:rPr>
    </w:lvl>
    <w:lvl w:ilvl="8">
      <w:start w:val="1"/>
      <w:numFmt w:val="decimal"/>
      <w:isLgl w:val="false"/>
      <w:suff w:val="tab"/>
      <w:lvlText w:val="%1.%2.%3.%4.%5.%6.%7.%8.%9"/>
      <w:lvlJc w:val="left"/>
      <w:pPr>
        <w:ind w:left="1184" w:hanging="900"/>
        <w:tabs>
          <w:tab w:val="left" w:pos="1184" w:leader="none"/>
        </w:tabs>
      </w:pPr>
      <w:rPr>
        <w:rFonts w:hint="eastAsia"/>
      </w:rPr>
    </w:lvl>
  </w:abstractNum>
  <w:abstractNum w:abstractNumId="5">
    <w:multiLevelType w:val="hybridMultilevel"/>
    <w:lvl w:ilvl="0">
      <w:start w:val="1"/>
      <w:numFmt w:val="decimal"/>
      <w:pStyle w:val="1402"/>
      <w:isLgl w:val="false"/>
      <w:suff w:val="tab"/>
      <w:lvlText w:val="表%1  "/>
      <w:lvlJc w:val="center"/>
      <w:pPr>
        <w:ind w:left="0" w:firstLine="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bullet"/>
      <w:pStyle w:val="1405"/>
      <w:isLgl w:val="false"/>
      <w:suff w:val="tab"/>
      <w:lvlText w:val=""/>
      <w:lvlJc w:val="left"/>
      <w:pPr>
        <w:ind w:left="851" w:hanging="284"/>
        <w:tabs>
          <w:tab w:val="left" w:pos="927" w:leader="none"/>
        </w:tabs>
      </w:pPr>
      <w:rPr>
        <w:rFonts w:ascii="Wingdings" w:hAnsi="Wingdings"/>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52"/>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251"/>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88"/>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87"/>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96"/>
      <w:isLgl w:val="false"/>
      <w:suff w:val="nothing"/>
      <w:lvlText w:val="%1.%2.%3.%4.%5.%6　"/>
      <w:lvlJc w:val="left"/>
      <w:pPr>
        <w:ind w:left="-25" w:firstLine="0"/>
      </w:pPr>
      <w:rPr>
        <w:rFonts w:ascii="Times New Roman" w:hAnsi="Times New Roman" w:eastAsia="宋体"/>
        <w:b/>
        <w:i w:val="0"/>
        <w:sz w:val="28"/>
      </w:rPr>
    </w:lvl>
    <w:lvl w:ilvl="6">
      <w:start w:val="1"/>
      <w:numFmt w:val="lowerLetter"/>
      <w:pStyle w:val="1309"/>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72"/>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lowerLetter"/>
      <w:pStyle w:val="1333"/>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1">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2">
    <w:multiLevelType w:val="hybridMultilevel"/>
    <w:lvl w:ilvl="0">
      <w:start w:val="1"/>
      <w:numFmt w:val="decimal"/>
      <w:pStyle w:val="1303"/>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258"/>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358"/>
      <w:isLgl w:val="false"/>
      <w:suff w:val="tab"/>
      <w:lvlText w:val="%1"/>
      <w:lvlJc w:val="left"/>
      <w:pPr>
        <w:ind w:left="680" w:hanging="680"/>
      </w:pPr>
      <w:rPr>
        <w:rFonts w:hint="eastAsia" w:ascii="宋体" w:hAnsi="宋体" w:eastAsia="宋体"/>
      </w:rPr>
    </w:lvl>
    <w:lvl w:ilvl="1">
      <w:start w:val="1"/>
      <w:numFmt w:val="decimal"/>
      <w:pStyle w:val="1359"/>
      <w:isLgl w:val="false"/>
      <w:suff w:val="tab"/>
      <w:lvlText w:val="%1.%2"/>
      <w:lvlJc w:val="left"/>
      <w:pPr>
        <w:ind w:left="851" w:hanging="851"/>
      </w:pPr>
      <w:rPr>
        <w:rFonts w:hint="eastAsia" w:ascii="宋体" w:hAnsi="宋体" w:eastAsia="宋体"/>
        <w:color w:val="000000"/>
      </w:rPr>
    </w:lvl>
    <w:lvl w:ilvl="2">
      <w:start w:val="1"/>
      <w:numFmt w:val="decimal"/>
      <w:pStyle w:val="1360"/>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90"/>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num w:numId="1">
    <w:abstractNumId w:val="7"/>
  </w:num>
  <w:num w:numId="2">
    <w:abstractNumId w:val="0"/>
  </w:num>
  <w:num w:numId="3">
    <w:abstractNumId w:val="13"/>
  </w:num>
  <w:num w:numId="4">
    <w:abstractNumId w:val="15"/>
  </w:num>
  <w:num w:numId="5">
    <w:abstractNumId w:val="12"/>
  </w:num>
  <w:num w:numId="6">
    <w:abstractNumId w:val="10"/>
  </w:num>
  <w:num w:numId="7">
    <w:abstractNumId w:val="14"/>
  </w:num>
  <w:num w:numId="8">
    <w:abstractNumId w:val="5"/>
  </w:num>
  <w:num w:numId="9">
    <w:abstractNumId w:val="6"/>
  </w:num>
  <w:num w:numId="10">
    <w:abstractNumId w:val="2"/>
  </w:num>
  <w:num w:numId="11">
    <w:abstractNumId w:val="11"/>
  </w:num>
  <w:num w:numId="12">
    <w:abstractNumId w:val="4"/>
  </w:num>
  <w:num w:numId="13">
    <w:abstractNumId w:val="8"/>
  </w:num>
  <w:num w:numId="14">
    <w:abstractNumId w:val="3"/>
  </w:num>
  <w:num w:numId="15">
    <w:abstractNumId w:val="9"/>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69"/>
    <w:link w:val="960"/>
    <w:uiPriority w:val="9"/>
    <w:rPr>
      <w:rFonts w:ascii="Arial" w:hAnsi="Arial" w:eastAsia="Arial" w:cs="Arial"/>
      <w:sz w:val="40"/>
      <w:szCs w:val="40"/>
    </w:rPr>
  </w:style>
  <w:style w:type="character" w:styleId="15">
    <w:name w:val="Heading 2 Char"/>
    <w:basedOn w:val="969"/>
    <w:link w:val="961"/>
    <w:uiPriority w:val="9"/>
    <w:rPr>
      <w:rFonts w:ascii="Arial" w:hAnsi="Arial" w:eastAsia="Arial" w:cs="Arial"/>
      <w:sz w:val="34"/>
    </w:rPr>
  </w:style>
  <w:style w:type="character" w:styleId="17">
    <w:name w:val="Heading 3 Char"/>
    <w:basedOn w:val="969"/>
    <w:link w:val="962"/>
    <w:uiPriority w:val="9"/>
    <w:rPr>
      <w:rFonts w:ascii="Arial" w:hAnsi="Arial" w:eastAsia="Arial" w:cs="Arial"/>
      <w:sz w:val="30"/>
      <w:szCs w:val="30"/>
    </w:rPr>
  </w:style>
  <w:style w:type="character" w:styleId="19">
    <w:name w:val="Heading 4 Char"/>
    <w:basedOn w:val="969"/>
    <w:link w:val="963"/>
    <w:uiPriority w:val="9"/>
    <w:rPr>
      <w:rFonts w:ascii="Arial" w:hAnsi="Arial" w:eastAsia="Arial" w:cs="Arial"/>
      <w:b/>
      <w:bCs/>
      <w:sz w:val="26"/>
      <w:szCs w:val="26"/>
    </w:rPr>
  </w:style>
  <w:style w:type="character" w:styleId="21">
    <w:name w:val="Heading 5 Char"/>
    <w:basedOn w:val="969"/>
    <w:link w:val="964"/>
    <w:uiPriority w:val="9"/>
    <w:rPr>
      <w:rFonts w:ascii="Arial" w:hAnsi="Arial" w:eastAsia="Arial" w:cs="Arial"/>
      <w:b/>
      <w:bCs/>
      <w:sz w:val="24"/>
      <w:szCs w:val="24"/>
    </w:rPr>
  </w:style>
  <w:style w:type="character" w:styleId="23">
    <w:name w:val="Heading 6 Char"/>
    <w:basedOn w:val="969"/>
    <w:link w:val="965"/>
    <w:uiPriority w:val="9"/>
    <w:rPr>
      <w:rFonts w:ascii="Arial" w:hAnsi="Arial" w:eastAsia="Arial" w:cs="Arial"/>
      <w:b/>
      <w:bCs/>
      <w:sz w:val="22"/>
      <w:szCs w:val="22"/>
    </w:rPr>
  </w:style>
  <w:style w:type="character" w:styleId="25">
    <w:name w:val="Heading 7 Char"/>
    <w:basedOn w:val="969"/>
    <w:link w:val="966"/>
    <w:uiPriority w:val="9"/>
    <w:rPr>
      <w:rFonts w:ascii="Arial" w:hAnsi="Arial" w:eastAsia="Arial" w:cs="Arial"/>
      <w:b/>
      <w:bCs/>
      <w:i/>
      <w:iCs/>
      <w:sz w:val="22"/>
      <w:szCs w:val="22"/>
    </w:rPr>
  </w:style>
  <w:style w:type="character" w:styleId="27">
    <w:name w:val="Heading 8 Char"/>
    <w:basedOn w:val="969"/>
    <w:link w:val="967"/>
    <w:uiPriority w:val="9"/>
    <w:rPr>
      <w:rFonts w:ascii="Arial" w:hAnsi="Arial" w:eastAsia="Arial" w:cs="Arial"/>
      <w:i/>
      <w:iCs/>
      <w:sz w:val="22"/>
      <w:szCs w:val="22"/>
    </w:rPr>
  </w:style>
  <w:style w:type="character" w:styleId="29">
    <w:name w:val="Heading 9 Char"/>
    <w:basedOn w:val="969"/>
    <w:link w:val="968"/>
    <w:uiPriority w:val="9"/>
    <w:rPr>
      <w:rFonts w:ascii="Arial" w:hAnsi="Arial" w:eastAsia="Arial" w:cs="Arial"/>
      <w:i/>
      <w:iCs/>
      <w:sz w:val="21"/>
      <w:szCs w:val="21"/>
    </w:rPr>
  </w:style>
  <w:style w:type="character" w:styleId="34">
    <w:name w:val="Title Char"/>
    <w:basedOn w:val="969"/>
    <w:link w:val="994"/>
    <w:uiPriority w:val="10"/>
    <w:rPr>
      <w:sz w:val="48"/>
      <w:szCs w:val="48"/>
    </w:rPr>
  </w:style>
  <w:style w:type="character" w:styleId="36">
    <w:name w:val="Subtitle Char"/>
    <w:basedOn w:val="969"/>
    <w:link w:val="987"/>
    <w:uiPriority w:val="11"/>
    <w:rPr>
      <w:sz w:val="24"/>
      <w:szCs w:val="24"/>
    </w:rPr>
  </w:style>
  <w:style w:type="character" w:styleId="38">
    <w:name w:val="Quote Char"/>
    <w:link w:val="1016"/>
    <w:uiPriority w:val="29"/>
    <w:rPr>
      <w:i/>
    </w:rPr>
  </w:style>
  <w:style w:type="character" w:styleId="40">
    <w:name w:val="Intense Quote Char"/>
    <w:link w:val="1018"/>
    <w:uiPriority w:val="30"/>
    <w:rPr>
      <w:i/>
    </w:rPr>
  </w:style>
  <w:style w:type="character" w:styleId="42">
    <w:name w:val="Header Char"/>
    <w:basedOn w:val="969"/>
    <w:link w:val="984"/>
    <w:uiPriority w:val="99"/>
  </w:style>
  <w:style w:type="character" w:styleId="46">
    <w:name w:val="Caption Char"/>
    <w:basedOn w:val="973"/>
    <w:link w:val="983"/>
    <w:uiPriority w:val="99"/>
  </w:style>
  <w:style w:type="character" w:styleId="175">
    <w:name w:val="Footnote Text Char"/>
    <w:link w:val="988"/>
    <w:uiPriority w:val="99"/>
    <w:rPr>
      <w:sz w:val="18"/>
    </w:rPr>
  </w:style>
  <w:style w:type="character" w:styleId="178">
    <w:name w:val="Endnote Text Char"/>
    <w:link w:val="981"/>
    <w:uiPriority w:val="99"/>
    <w:rPr>
      <w:sz w:val="20"/>
    </w:rPr>
  </w:style>
  <w:style w:type="paragraph" w:styleId="189">
    <w:name w:val="TOC Heading"/>
    <w:uiPriority w:val="39"/>
    <w:unhideWhenUsed/>
  </w:style>
  <w:style w:type="paragraph" w:styleId="959" w:default="1">
    <w:name w:val="Normal"/>
    <w:link w:val="1249"/>
    <w:uiPriority w:val="0"/>
    <w:qFormat/>
    <w:pPr>
      <w:jc w:val="both"/>
      <w:widowControl w:val="off"/>
    </w:pPr>
    <w:rPr>
      <w:rFonts w:ascii="Times New Roman" w:hAnsi="Times New Roman" w:eastAsia="宋体" w:cs="Times New Roman"/>
      <w:sz w:val="21"/>
      <w:szCs w:val="24"/>
      <w:lang w:val="en-US" w:eastAsia="zh-CN" w:bidi="ar-SA"/>
    </w:rPr>
  </w:style>
  <w:style w:type="paragraph" w:styleId="960">
    <w:name w:val="Heading 1"/>
    <w:basedOn w:val="959"/>
    <w:next w:val="959"/>
    <w:link w:val="1003"/>
    <w:uiPriority w:val="9"/>
    <w:qFormat/>
    <w:pPr>
      <w:keepLines/>
      <w:keepNext/>
      <w:spacing w:before="480" w:after="200"/>
      <w:outlineLvl w:val="0"/>
    </w:pPr>
    <w:rPr>
      <w:rFonts w:ascii="Arial" w:hAnsi="Arial" w:eastAsia="Arial" w:cs="Arial"/>
      <w:sz w:val="40"/>
      <w:szCs w:val="40"/>
    </w:rPr>
  </w:style>
  <w:style w:type="paragraph" w:styleId="961">
    <w:name w:val="Heading 2"/>
    <w:basedOn w:val="959"/>
    <w:next w:val="959"/>
    <w:link w:val="1004"/>
    <w:uiPriority w:val="9"/>
    <w:unhideWhenUsed/>
    <w:qFormat/>
    <w:pPr>
      <w:keepLines/>
      <w:keepNext/>
      <w:spacing w:before="360" w:after="200"/>
      <w:outlineLvl w:val="1"/>
    </w:pPr>
    <w:rPr>
      <w:rFonts w:ascii="Arial" w:hAnsi="Arial" w:eastAsia="Arial" w:cs="Arial"/>
      <w:sz w:val="34"/>
    </w:rPr>
  </w:style>
  <w:style w:type="paragraph" w:styleId="962">
    <w:name w:val="Heading 3"/>
    <w:basedOn w:val="959"/>
    <w:next w:val="959"/>
    <w:link w:val="1005"/>
    <w:uiPriority w:val="9"/>
    <w:unhideWhenUsed/>
    <w:qFormat/>
    <w:pPr>
      <w:keepLines/>
      <w:keepNext/>
      <w:spacing w:before="320" w:after="200"/>
      <w:outlineLvl w:val="2"/>
    </w:pPr>
    <w:rPr>
      <w:rFonts w:ascii="Arial" w:hAnsi="Arial" w:eastAsia="Arial" w:cs="Arial"/>
      <w:sz w:val="30"/>
      <w:szCs w:val="30"/>
    </w:rPr>
  </w:style>
  <w:style w:type="paragraph" w:styleId="963">
    <w:name w:val="Heading 4"/>
    <w:basedOn w:val="959"/>
    <w:next w:val="959"/>
    <w:link w:val="1006"/>
    <w:uiPriority w:val="9"/>
    <w:unhideWhenUsed/>
    <w:qFormat/>
    <w:pPr>
      <w:keepLines/>
      <w:keepNext/>
      <w:spacing w:before="320" w:after="200"/>
      <w:outlineLvl w:val="3"/>
    </w:pPr>
    <w:rPr>
      <w:rFonts w:ascii="Arial" w:hAnsi="Arial" w:eastAsia="Arial" w:cs="Arial"/>
      <w:b/>
      <w:bCs/>
      <w:sz w:val="26"/>
      <w:szCs w:val="26"/>
    </w:rPr>
  </w:style>
  <w:style w:type="paragraph" w:styleId="964">
    <w:name w:val="Heading 5"/>
    <w:basedOn w:val="959"/>
    <w:next w:val="959"/>
    <w:link w:val="1007"/>
    <w:uiPriority w:val="9"/>
    <w:unhideWhenUsed/>
    <w:qFormat/>
    <w:pPr>
      <w:keepLines/>
      <w:keepNext/>
      <w:spacing w:before="320" w:after="200"/>
      <w:outlineLvl w:val="4"/>
    </w:pPr>
    <w:rPr>
      <w:rFonts w:ascii="Arial" w:hAnsi="Arial" w:eastAsia="Arial" w:cs="Arial"/>
      <w:b/>
      <w:bCs/>
      <w:sz w:val="24"/>
    </w:rPr>
  </w:style>
  <w:style w:type="paragraph" w:styleId="965">
    <w:name w:val="Heading 6"/>
    <w:basedOn w:val="959"/>
    <w:next w:val="959"/>
    <w:link w:val="1008"/>
    <w:uiPriority w:val="9"/>
    <w:unhideWhenUsed/>
    <w:qFormat/>
    <w:pPr>
      <w:keepLines/>
      <w:keepNext/>
      <w:spacing w:before="320" w:after="200"/>
      <w:outlineLvl w:val="5"/>
    </w:pPr>
    <w:rPr>
      <w:rFonts w:ascii="Arial" w:hAnsi="Arial" w:eastAsia="Arial" w:cs="Arial"/>
      <w:b/>
      <w:bCs/>
      <w:sz w:val="22"/>
      <w:szCs w:val="22"/>
    </w:rPr>
  </w:style>
  <w:style w:type="paragraph" w:styleId="966">
    <w:name w:val="Heading 7"/>
    <w:basedOn w:val="959"/>
    <w:next w:val="959"/>
    <w:link w:val="1009"/>
    <w:uiPriority w:val="9"/>
    <w:unhideWhenUsed/>
    <w:qFormat/>
    <w:pPr>
      <w:keepLines/>
      <w:keepNext/>
      <w:spacing w:before="320" w:after="200"/>
      <w:outlineLvl w:val="6"/>
    </w:pPr>
    <w:rPr>
      <w:rFonts w:ascii="Arial" w:hAnsi="Arial" w:eastAsia="Arial" w:cs="Arial"/>
      <w:b/>
      <w:bCs/>
      <w:i/>
      <w:iCs/>
      <w:sz w:val="22"/>
      <w:szCs w:val="22"/>
    </w:rPr>
  </w:style>
  <w:style w:type="paragraph" w:styleId="967">
    <w:name w:val="Heading 8"/>
    <w:basedOn w:val="959"/>
    <w:next w:val="959"/>
    <w:link w:val="1010"/>
    <w:uiPriority w:val="9"/>
    <w:unhideWhenUsed/>
    <w:qFormat/>
    <w:pPr>
      <w:keepLines/>
      <w:keepNext/>
      <w:spacing w:before="320" w:after="200"/>
      <w:outlineLvl w:val="7"/>
    </w:pPr>
    <w:rPr>
      <w:rFonts w:ascii="Arial" w:hAnsi="Arial" w:eastAsia="Arial" w:cs="Arial"/>
      <w:i/>
      <w:iCs/>
      <w:sz w:val="22"/>
      <w:szCs w:val="22"/>
    </w:rPr>
  </w:style>
  <w:style w:type="paragraph" w:styleId="968">
    <w:name w:val="Heading 9"/>
    <w:basedOn w:val="959"/>
    <w:next w:val="959"/>
    <w:link w:val="1011"/>
    <w:uiPriority w:val="9"/>
    <w:unhideWhenUsed/>
    <w:qFormat/>
    <w:pPr>
      <w:keepLines/>
      <w:keepNext/>
      <w:spacing w:before="320" w:after="200"/>
      <w:outlineLvl w:val="8"/>
    </w:pPr>
    <w:rPr>
      <w:rFonts w:ascii="Arial" w:hAnsi="Arial" w:eastAsia="Arial" w:cs="Arial"/>
      <w:i/>
      <w:iCs/>
      <w:szCs w:val="21"/>
    </w:rPr>
  </w:style>
  <w:style w:type="character" w:styleId="969" w:default="1">
    <w:name w:val="Default Paragraph Font"/>
    <w:uiPriority w:val="1"/>
    <w:semiHidden/>
    <w:unhideWhenUsed/>
    <w:qFormat/>
  </w:style>
  <w:style w:type="table" w:styleId="970" w:default="1">
    <w:name w:val="Normal Table"/>
    <w:uiPriority w:val="99"/>
    <w:semiHidden/>
    <w:unhideWhenUsed/>
    <w:qFormat/>
    <w:tblPr>
      <w:tblCellMar>
        <w:left w:w="108" w:type="dxa"/>
        <w:top w:w="0" w:type="dxa"/>
        <w:right w:w="108" w:type="dxa"/>
        <w:bottom w:w="0" w:type="dxa"/>
      </w:tblCellMar>
    </w:tblPr>
  </w:style>
  <w:style w:type="paragraph" w:styleId="971">
    <w:name w:val="toc 7"/>
    <w:basedOn w:val="959"/>
    <w:next w:val="959"/>
    <w:uiPriority w:val="39"/>
    <w:unhideWhenUsed/>
    <w:qFormat/>
    <w:pPr>
      <w:ind w:left="1701"/>
      <w:spacing w:after="57"/>
    </w:pPr>
  </w:style>
  <w:style w:type="paragraph" w:styleId="972">
    <w:name w:val="Normal Indent"/>
    <w:basedOn w:val="959"/>
    <w:next w:val="959"/>
    <w:uiPriority w:val="0"/>
    <w:qFormat/>
    <w:pPr>
      <w:ind w:firstLine="420"/>
    </w:pPr>
    <w:rPr>
      <w:rFonts w:ascii="Times New Roman" w:hAnsi="Times New Roman" w:eastAsia="宋体" w:cs="Times New Roman"/>
      <w:szCs w:val="20"/>
    </w:rPr>
  </w:style>
  <w:style w:type="paragraph" w:styleId="973">
    <w:name w:val="Caption"/>
    <w:basedOn w:val="959"/>
    <w:next w:val="959"/>
    <w:uiPriority w:val="35"/>
    <w:semiHidden/>
    <w:unhideWhenUsed/>
    <w:qFormat/>
    <w:pPr>
      <w:spacing w:line="276" w:lineRule="auto"/>
    </w:pPr>
    <w:rPr>
      <w:b/>
      <w:bCs/>
      <w:color w:val="4f81bd"/>
      <w:sz w:val="18"/>
      <w:szCs w:val="18"/>
    </w:rPr>
  </w:style>
  <w:style w:type="paragraph" w:styleId="974">
    <w:name w:val="annotation text"/>
    <w:basedOn w:val="959"/>
    <w:link w:val="1422"/>
    <w:uiPriority w:val="99"/>
    <w:semiHidden/>
    <w:unhideWhenUsed/>
    <w:qFormat/>
    <w:pPr>
      <w:jc w:val="left"/>
    </w:pPr>
  </w:style>
  <w:style w:type="paragraph" w:styleId="975">
    <w:name w:val="Body Text"/>
    <w:basedOn w:val="959"/>
    <w:next w:val="959"/>
    <w:uiPriority w:val="0"/>
    <w:unhideWhenUsed/>
    <w:qFormat/>
    <w:pPr>
      <w:spacing w:after="120"/>
    </w:pPr>
  </w:style>
  <w:style w:type="paragraph" w:styleId="976">
    <w:name w:val="Body Text Indent"/>
    <w:basedOn w:val="959"/>
    <w:uiPriority w:val="99"/>
    <w:qFormat/>
    <w:pPr>
      <w:ind w:firstLine="576"/>
    </w:pPr>
    <w:rPr>
      <w:rFonts w:ascii="Times New Roman" w:hAnsi="Times New Roman" w:eastAsia="宋体" w:cs="Times New Roman"/>
      <w:b/>
      <w:sz w:val="30"/>
      <w:szCs w:val="20"/>
    </w:rPr>
  </w:style>
  <w:style w:type="paragraph" w:styleId="977">
    <w:name w:val="toc 5"/>
    <w:basedOn w:val="959"/>
    <w:next w:val="959"/>
    <w:uiPriority w:val="39"/>
    <w:unhideWhenUsed/>
    <w:qFormat/>
    <w:pPr>
      <w:ind w:left="1134"/>
      <w:spacing w:after="57"/>
    </w:pPr>
  </w:style>
  <w:style w:type="paragraph" w:styleId="978">
    <w:name w:val="toc 3"/>
    <w:basedOn w:val="959"/>
    <w:next w:val="959"/>
    <w:uiPriority w:val="39"/>
    <w:unhideWhenUsed/>
    <w:qFormat/>
    <w:pPr>
      <w:ind w:left="567"/>
      <w:spacing w:after="57"/>
    </w:pPr>
  </w:style>
  <w:style w:type="paragraph" w:styleId="979">
    <w:name w:val="Plain Text"/>
    <w:basedOn w:val="959"/>
    <w:uiPriority w:val="0"/>
    <w:qFormat/>
    <w:rPr>
      <w:rFonts w:hint="eastAsia" w:ascii="宋体" w:hAnsi="Courier New"/>
      <w:szCs w:val="20"/>
    </w:rPr>
  </w:style>
  <w:style w:type="paragraph" w:styleId="980">
    <w:name w:val="toc 8"/>
    <w:basedOn w:val="959"/>
    <w:next w:val="959"/>
    <w:uiPriority w:val="39"/>
    <w:unhideWhenUsed/>
    <w:qFormat/>
    <w:pPr>
      <w:ind w:left="1984"/>
      <w:spacing w:after="57"/>
    </w:pPr>
  </w:style>
  <w:style w:type="paragraph" w:styleId="981">
    <w:name w:val="endnote text"/>
    <w:basedOn w:val="959"/>
    <w:link w:val="1149"/>
    <w:uiPriority w:val="99"/>
    <w:semiHidden/>
    <w:unhideWhenUsed/>
    <w:qFormat/>
    <w:rPr>
      <w:sz w:val="20"/>
    </w:rPr>
  </w:style>
  <w:style w:type="paragraph" w:styleId="982">
    <w:name w:val="Balloon Text"/>
    <w:basedOn w:val="959"/>
    <w:link w:val="1424"/>
    <w:uiPriority w:val="99"/>
    <w:semiHidden/>
    <w:unhideWhenUsed/>
    <w:qFormat/>
    <w:rPr>
      <w:sz w:val="18"/>
      <w:szCs w:val="18"/>
    </w:rPr>
  </w:style>
  <w:style w:type="paragraph" w:styleId="983">
    <w:name w:val="Footer"/>
    <w:basedOn w:val="959"/>
    <w:link w:val="1022"/>
    <w:uiPriority w:val="99"/>
    <w:unhideWhenUsed/>
    <w:qFormat/>
    <w:pPr>
      <w:tabs>
        <w:tab w:val="center" w:pos="7143" w:leader="none"/>
        <w:tab w:val="right" w:pos="14287" w:leader="none"/>
      </w:tabs>
    </w:pPr>
  </w:style>
  <w:style w:type="paragraph" w:styleId="984">
    <w:name w:val="Header"/>
    <w:basedOn w:val="959"/>
    <w:link w:val="1020"/>
    <w:uiPriority w:val="99"/>
    <w:unhideWhenUsed/>
    <w:qFormat/>
    <w:pPr>
      <w:tabs>
        <w:tab w:val="center" w:pos="7143" w:leader="none"/>
        <w:tab w:val="right" w:pos="14287" w:leader="none"/>
      </w:tabs>
    </w:pPr>
  </w:style>
  <w:style w:type="paragraph" w:styleId="985">
    <w:name w:val="toc 1"/>
    <w:basedOn w:val="959"/>
    <w:next w:val="959"/>
    <w:uiPriority w:val="39"/>
    <w:unhideWhenUsed/>
    <w:qFormat/>
    <w:pPr>
      <w:spacing w:after="57"/>
    </w:pPr>
  </w:style>
  <w:style w:type="paragraph" w:styleId="986">
    <w:name w:val="toc 4"/>
    <w:basedOn w:val="959"/>
    <w:next w:val="959"/>
    <w:uiPriority w:val="39"/>
    <w:unhideWhenUsed/>
    <w:qFormat/>
    <w:pPr>
      <w:ind w:left="850"/>
      <w:spacing w:after="57"/>
    </w:pPr>
  </w:style>
  <w:style w:type="paragraph" w:styleId="987">
    <w:name w:val="Subtitle"/>
    <w:basedOn w:val="959"/>
    <w:next w:val="959"/>
    <w:link w:val="1015"/>
    <w:uiPriority w:val="11"/>
    <w:qFormat/>
    <w:pPr>
      <w:spacing w:before="200" w:after="200"/>
    </w:pPr>
    <w:rPr>
      <w:sz w:val="24"/>
    </w:rPr>
  </w:style>
  <w:style w:type="paragraph" w:styleId="988">
    <w:name w:val="footnote text"/>
    <w:basedOn w:val="959"/>
    <w:link w:val="1148"/>
    <w:uiPriority w:val="99"/>
    <w:semiHidden/>
    <w:unhideWhenUsed/>
    <w:qFormat/>
    <w:pPr>
      <w:spacing w:after="40"/>
    </w:pPr>
    <w:rPr>
      <w:sz w:val="18"/>
    </w:rPr>
  </w:style>
  <w:style w:type="paragraph" w:styleId="989">
    <w:name w:val="toc 6"/>
    <w:basedOn w:val="959"/>
    <w:next w:val="959"/>
    <w:uiPriority w:val="39"/>
    <w:unhideWhenUsed/>
    <w:qFormat/>
    <w:pPr>
      <w:ind w:left="1417"/>
      <w:spacing w:after="57"/>
    </w:pPr>
  </w:style>
  <w:style w:type="paragraph" w:styleId="990">
    <w:name w:val="table of figures"/>
    <w:basedOn w:val="959"/>
    <w:next w:val="959"/>
    <w:uiPriority w:val="99"/>
    <w:unhideWhenUsed/>
    <w:qFormat/>
  </w:style>
  <w:style w:type="paragraph" w:styleId="991">
    <w:name w:val="toc 2"/>
    <w:basedOn w:val="959"/>
    <w:next w:val="959"/>
    <w:uiPriority w:val="39"/>
    <w:unhideWhenUsed/>
    <w:qFormat/>
    <w:pPr>
      <w:ind w:left="283"/>
      <w:spacing w:after="57"/>
    </w:pPr>
  </w:style>
  <w:style w:type="paragraph" w:styleId="992">
    <w:name w:val="toc 9"/>
    <w:basedOn w:val="959"/>
    <w:next w:val="959"/>
    <w:uiPriority w:val="39"/>
    <w:unhideWhenUsed/>
    <w:qFormat/>
    <w:pPr>
      <w:ind w:left="2268"/>
      <w:spacing w:after="57"/>
    </w:pPr>
  </w:style>
  <w:style w:type="paragraph" w:styleId="993">
    <w:name w:val="Normal (Web)"/>
    <w:basedOn w:val="959"/>
    <w:uiPriority w:val="99"/>
    <w:unhideWhenUsed/>
    <w:qFormat/>
    <w:pPr>
      <w:jc w:val="left"/>
      <w:spacing w:before="100" w:beforeAutospacing="1" w:after="100" w:afterAutospacing="1"/>
      <w:widowControl/>
    </w:pPr>
    <w:rPr>
      <w:rFonts w:ascii="宋体" w:hAnsi="宋体" w:cs="宋体"/>
      <w:sz w:val="24"/>
    </w:rPr>
  </w:style>
  <w:style w:type="paragraph" w:styleId="994">
    <w:name w:val="Title"/>
    <w:basedOn w:val="959"/>
    <w:next w:val="959"/>
    <w:link w:val="1014"/>
    <w:uiPriority w:val="10"/>
    <w:qFormat/>
    <w:pPr>
      <w:contextualSpacing/>
      <w:spacing w:before="300" w:after="200"/>
    </w:pPr>
    <w:rPr>
      <w:sz w:val="48"/>
      <w:szCs w:val="48"/>
    </w:rPr>
  </w:style>
  <w:style w:type="paragraph" w:styleId="995">
    <w:name w:val="annotation subject"/>
    <w:basedOn w:val="974"/>
    <w:next w:val="974"/>
    <w:link w:val="1423"/>
    <w:uiPriority w:val="99"/>
    <w:semiHidden/>
    <w:unhideWhenUsed/>
    <w:qFormat/>
    <w:rPr>
      <w:b/>
      <w:bCs/>
    </w:rPr>
  </w:style>
  <w:style w:type="paragraph" w:styleId="996">
    <w:name w:val="Body Text First Indent 2"/>
    <w:basedOn w:val="976"/>
    <w:uiPriority w:val="0"/>
    <w:qFormat/>
    <w:pPr>
      <w:ind w:left="420" w:firstLine="420"/>
      <w:spacing w:after="120" w:line="480" w:lineRule="exact"/>
    </w:pPr>
  </w:style>
  <w:style w:type="table" w:styleId="9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8">
    <w:name w:val="endnote reference"/>
    <w:uiPriority w:val="99"/>
    <w:semiHidden/>
    <w:unhideWhenUsed/>
    <w:qFormat/>
    <w:rPr>
      <w:vertAlign w:val="superscript"/>
    </w:rPr>
  </w:style>
  <w:style w:type="character" w:styleId="999">
    <w:name w:val="page number"/>
    <w:uiPriority w:val="0"/>
    <w:qFormat/>
  </w:style>
  <w:style w:type="character" w:styleId="1000">
    <w:name w:val="Hyperlink"/>
    <w:uiPriority w:val="99"/>
    <w:unhideWhenUsed/>
    <w:qFormat/>
    <w:rPr>
      <w:color w:val="0000ff"/>
      <w:u w:val="single"/>
    </w:rPr>
  </w:style>
  <w:style w:type="character" w:styleId="1001">
    <w:name w:val="annotation reference"/>
    <w:uiPriority w:val="99"/>
    <w:semiHidden/>
    <w:unhideWhenUsed/>
    <w:qFormat/>
    <w:rPr>
      <w:sz w:val="21"/>
      <w:szCs w:val="21"/>
    </w:rPr>
  </w:style>
  <w:style w:type="character" w:styleId="1002">
    <w:name w:val="footnote reference"/>
    <w:uiPriority w:val="99"/>
    <w:unhideWhenUsed/>
    <w:qFormat/>
    <w:rPr>
      <w:vertAlign w:val="superscript"/>
    </w:rPr>
  </w:style>
  <w:style w:type="character" w:styleId="1003" w:customStyle="1">
    <w:name w:val="标题 1 Char1"/>
    <w:link w:val="960"/>
    <w:uiPriority w:val="9"/>
    <w:qFormat/>
    <w:rPr>
      <w:rFonts w:ascii="Arial" w:hAnsi="Arial" w:eastAsia="Arial" w:cs="Arial"/>
      <w:sz w:val="40"/>
      <w:szCs w:val="40"/>
    </w:rPr>
  </w:style>
  <w:style w:type="character" w:styleId="1004" w:customStyle="1">
    <w:name w:val="标题 2 Char2"/>
    <w:link w:val="961"/>
    <w:uiPriority w:val="9"/>
    <w:qFormat/>
    <w:rPr>
      <w:rFonts w:ascii="Arial" w:hAnsi="Arial" w:eastAsia="Arial" w:cs="Arial"/>
      <w:sz w:val="34"/>
    </w:rPr>
  </w:style>
  <w:style w:type="character" w:styleId="1005" w:customStyle="1">
    <w:name w:val="标题 3 Char2"/>
    <w:link w:val="962"/>
    <w:uiPriority w:val="9"/>
    <w:qFormat/>
    <w:rPr>
      <w:rFonts w:ascii="Arial" w:hAnsi="Arial" w:eastAsia="Arial" w:cs="Arial"/>
      <w:sz w:val="30"/>
      <w:szCs w:val="30"/>
    </w:rPr>
  </w:style>
  <w:style w:type="character" w:styleId="1006" w:customStyle="1">
    <w:name w:val="标题 4 Char1"/>
    <w:link w:val="963"/>
    <w:uiPriority w:val="9"/>
    <w:qFormat/>
    <w:rPr>
      <w:rFonts w:ascii="Arial" w:hAnsi="Arial" w:eastAsia="Arial" w:cs="Arial"/>
      <w:b/>
      <w:bCs/>
      <w:sz w:val="26"/>
      <w:szCs w:val="26"/>
    </w:rPr>
  </w:style>
  <w:style w:type="character" w:styleId="1007" w:customStyle="1">
    <w:name w:val="标题 5 Char1"/>
    <w:link w:val="964"/>
    <w:uiPriority w:val="9"/>
    <w:qFormat/>
    <w:rPr>
      <w:rFonts w:ascii="Arial" w:hAnsi="Arial" w:eastAsia="Arial" w:cs="Arial"/>
      <w:b/>
      <w:bCs/>
      <w:sz w:val="24"/>
      <w:szCs w:val="24"/>
    </w:rPr>
  </w:style>
  <w:style w:type="character" w:styleId="1008" w:customStyle="1">
    <w:name w:val="标题 6 Char1"/>
    <w:link w:val="965"/>
    <w:uiPriority w:val="9"/>
    <w:qFormat/>
    <w:rPr>
      <w:rFonts w:ascii="Arial" w:hAnsi="Arial" w:eastAsia="Arial" w:cs="Arial"/>
      <w:b/>
      <w:bCs/>
      <w:sz w:val="22"/>
      <w:szCs w:val="22"/>
    </w:rPr>
  </w:style>
  <w:style w:type="character" w:styleId="1009" w:customStyle="1">
    <w:name w:val="标题 7 Char1"/>
    <w:link w:val="966"/>
    <w:uiPriority w:val="9"/>
    <w:qFormat/>
    <w:rPr>
      <w:rFonts w:ascii="Arial" w:hAnsi="Arial" w:eastAsia="Arial" w:cs="Arial"/>
      <w:b/>
      <w:bCs/>
      <w:i/>
      <w:iCs/>
      <w:sz w:val="22"/>
      <w:szCs w:val="22"/>
    </w:rPr>
  </w:style>
  <w:style w:type="character" w:styleId="1010" w:customStyle="1">
    <w:name w:val="标题 8 Char1"/>
    <w:link w:val="967"/>
    <w:uiPriority w:val="9"/>
    <w:qFormat/>
    <w:rPr>
      <w:rFonts w:ascii="Arial" w:hAnsi="Arial" w:eastAsia="Arial" w:cs="Arial"/>
      <w:i/>
      <w:iCs/>
      <w:sz w:val="22"/>
      <w:szCs w:val="22"/>
    </w:rPr>
  </w:style>
  <w:style w:type="character" w:styleId="1011" w:customStyle="1">
    <w:name w:val="标题 9 Char1"/>
    <w:link w:val="968"/>
    <w:uiPriority w:val="9"/>
    <w:qFormat/>
    <w:rPr>
      <w:rFonts w:ascii="Arial" w:hAnsi="Arial" w:eastAsia="Arial" w:cs="Arial"/>
      <w:i/>
      <w:iCs/>
      <w:sz w:val="21"/>
      <w:szCs w:val="21"/>
    </w:rPr>
  </w:style>
  <w:style w:type="paragraph" w:styleId="1012">
    <w:name w:val="List Paragraph"/>
    <w:basedOn w:val="959"/>
    <w:uiPriority w:val="34"/>
    <w:qFormat/>
    <w:pPr>
      <w:contextualSpacing/>
      <w:ind w:left="720"/>
    </w:pPr>
  </w:style>
  <w:style w:type="paragraph" w:styleId="1013">
    <w:name w:val="No Spacing"/>
    <w:uiPriority w:val="1"/>
    <w:qFormat/>
    <w:rPr>
      <w:rFonts w:ascii="Times New Roman" w:hAnsi="Times New Roman" w:eastAsia="宋体" w:cs="Times New Roman"/>
      <w:lang w:val="en-US" w:eastAsia="zh-CN" w:bidi="ar-SA"/>
    </w:rPr>
  </w:style>
  <w:style w:type="character" w:styleId="1014" w:customStyle="1">
    <w:name w:val="标题 Char2"/>
    <w:link w:val="994"/>
    <w:uiPriority w:val="10"/>
    <w:qFormat/>
    <w:rPr>
      <w:sz w:val="48"/>
      <w:szCs w:val="48"/>
    </w:rPr>
  </w:style>
  <w:style w:type="character" w:styleId="1015" w:customStyle="1">
    <w:name w:val="副标题 Char"/>
    <w:link w:val="987"/>
    <w:uiPriority w:val="11"/>
    <w:qFormat/>
    <w:rPr>
      <w:sz w:val="24"/>
      <w:szCs w:val="24"/>
    </w:rPr>
  </w:style>
  <w:style w:type="paragraph" w:styleId="1016">
    <w:name w:val="Quote"/>
    <w:basedOn w:val="959"/>
    <w:next w:val="959"/>
    <w:link w:val="1017"/>
    <w:uiPriority w:val="29"/>
    <w:qFormat/>
    <w:pPr>
      <w:ind w:left="720" w:right="720"/>
    </w:pPr>
    <w:rPr>
      <w:i/>
    </w:rPr>
  </w:style>
  <w:style w:type="character" w:styleId="1017" w:customStyle="1">
    <w:name w:val="引用 Char"/>
    <w:link w:val="1016"/>
    <w:uiPriority w:val="29"/>
    <w:qFormat/>
    <w:rPr>
      <w:i/>
    </w:rPr>
  </w:style>
  <w:style w:type="paragraph" w:styleId="1018">
    <w:name w:val="Intense Quote"/>
    <w:basedOn w:val="959"/>
    <w:next w:val="959"/>
    <w:link w:val="10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9" w:customStyle="1">
    <w:name w:val="明显引用 Char"/>
    <w:link w:val="1018"/>
    <w:uiPriority w:val="30"/>
    <w:qFormat/>
    <w:rPr>
      <w:i/>
    </w:rPr>
  </w:style>
  <w:style w:type="character" w:styleId="1020" w:customStyle="1">
    <w:name w:val="页眉 Char2"/>
    <w:link w:val="984"/>
    <w:uiPriority w:val="99"/>
    <w:qFormat/>
  </w:style>
  <w:style w:type="character" w:styleId="1021" w:customStyle="1">
    <w:name w:val="Footer Char"/>
    <w:uiPriority w:val="99"/>
    <w:qFormat/>
  </w:style>
  <w:style w:type="character" w:styleId="1022" w:customStyle="1">
    <w:name w:val="页脚 Char2"/>
    <w:link w:val="983"/>
    <w:uiPriority w:val="99"/>
    <w:qFormat/>
  </w:style>
  <w:style w:type="table" w:styleId="102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26" w:customStyle="1">
    <w:name w:val="Plain Table 3"/>
    <w:uiPriority w:val="99"/>
    <w:qFormat/>
    <w:tblPr>
      <w:tblCellMar>
        <w:left w:w="0" w:type="dxa"/>
        <w:top w:w="0" w:type="dxa"/>
        <w:right w:w="0" w:type="dxa"/>
        <w:bottom w:w="0" w:type="dxa"/>
      </w:tblCellMar>
    </w:tblPr>
  </w:style>
  <w:style w:type="table" w:styleId="1027" w:customStyle="1">
    <w:name w:val="Plain Table 4"/>
    <w:uiPriority w:val="99"/>
    <w:qFormat/>
    <w:tblPr>
      <w:tblCellMar>
        <w:left w:w="0" w:type="dxa"/>
        <w:top w:w="0" w:type="dxa"/>
        <w:right w:w="0" w:type="dxa"/>
        <w:bottom w:w="0" w:type="dxa"/>
      </w:tblCellMar>
    </w:tblPr>
  </w:style>
  <w:style w:type="table" w:styleId="1028" w:customStyle="1">
    <w:name w:val="Plain Table 5"/>
    <w:uiPriority w:val="99"/>
    <w:qFormat/>
    <w:tblPr>
      <w:tblCellMar>
        <w:left w:w="0" w:type="dxa"/>
        <w:top w:w="0" w:type="dxa"/>
        <w:right w:w="0" w:type="dxa"/>
        <w:bottom w:w="0" w:type="dxa"/>
      </w:tblCellMar>
    </w:tblPr>
  </w:style>
  <w:style w:type="table" w:styleId="102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3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5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5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5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5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7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7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78" w:customStyle="1">
    <w:name w:val="List Table 1 Light"/>
    <w:uiPriority w:val="99"/>
    <w:qFormat/>
    <w:tblPr>
      <w:tblCellMar>
        <w:left w:w="0" w:type="dxa"/>
        <w:top w:w="0" w:type="dxa"/>
        <w:right w:w="0" w:type="dxa"/>
        <w:bottom w:w="0" w:type="dxa"/>
      </w:tblCellMar>
    </w:tblPr>
  </w:style>
  <w:style w:type="table" w:styleId="1079" w:customStyle="1">
    <w:name w:val="List Table 1 Light - Accent 1"/>
    <w:uiPriority w:val="99"/>
    <w:qFormat/>
    <w:tblPr>
      <w:tblCellMar>
        <w:left w:w="0" w:type="dxa"/>
        <w:top w:w="0" w:type="dxa"/>
        <w:right w:w="0" w:type="dxa"/>
        <w:bottom w:w="0" w:type="dxa"/>
      </w:tblCellMar>
    </w:tblPr>
  </w:style>
  <w:style w:type="table" w:styleId="1080" w:customStyle="1">
    <w:name w:val="List Table 1 Light - Accent 2"/>
    <w:uiPriority w:val="99"/>
    <w:qFormat/>
    <w:tblPr>
      <w:tblCellMar>
        <w:left w:w="0" w:type="dxa"/>
        <w:top w:w="0" w:type="dxa"/>
        <w:right w:w="0" w:type="dxa"/>
        <w:bottom w:w="0" w:type="dxa"/>
      </w:tblCellMar>
    </w:tblPr>
  </w:style>
  <w:style w:type="table" w:styleId="1081" w:customStyle="1">
    <w:name w:val="List Table 1 Light - Accent 3"/>
    <w:uiPriority w:val="99"/>
    <w:qFormat/>
    <w:tblPr>
      <w:tblCellMar>
        <w:left w:w="0" w:type="dxa"/>
        <w:top w:w="0" w:type="dxa"/>
        <w:right w:w="0" w:type="dxa"/>
        <w:bottom w:w="0" w:type="dxa"/>
      </w:tblCellMar>
    </w:tblPr>
  </w:style>
  <w:style w:type="table" w:styleId="1082" w:customStyle="1">
    <w:name w:val="List Table 1 Light - Accent 4"/>
    <w:uiPriority w:val="99"/>
    <w:qFormat/>
    <w:tblPr>
      <w:tblCellMar>
        <w:left w:w="0" w:type="dxa"/>
        <w:top w:w="0" w:type="dxa"/>
        <w:right w:w="0" w:type="dxa"/>
        <w:bottom w:w="0" w:type="dxa"/>
      </w:tblCellMar>
    </w:tblPr>
  </w:style>
  <w:style w:type="table" w:styleId="1083" w:customStyle="1">
    <w:name w:val="List Table 1 Light - Accent 5"/>
    <w:uiPriority w:val="99"/>
    <w:qFormat/>
    <w:tblPr>
      <w:tblCellMar>
        <w:left w:w="0" w:type="dxa"/>
        <w:top w:w="0" w:type="dxa"/>
        <w:right w:w="0" w:type="dxa"/>
        <w:bottom w:w="0" w:type="dxa"/>
      </w:tblCellMar>
    </w:tblPr>
  </w:style>
  <w:style w:type="table" w:styleId="1084" w:customStyle="1">
    <w:name w:val="List Table 1 Light - Accent 6"/>
    <w:uiPriority w:val="99"/>
    <w:qFormat/>
    <w:tblPr>
      <w:tblCellMar>
        <w:left w:w="0" w:type="dxa"/>
        <w:top w:w="0" w:type="dxa"/>
        <w:right w:w="0" w:type="dxa"/>
        <w:bottom w:w="0" w:type="dxa"/>
      </w:tblCellMar>
    </w:tblPr>
  </w:style>
  <w:style w:type="table" w:styleId="108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8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8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8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8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9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9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9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9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9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9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9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9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9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0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0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0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0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0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0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0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1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1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1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1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1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1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1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1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2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2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2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2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2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27" w:customStyle="1">
    <w:name w:val="Lined - Accent"/>
    <w:uiPriority w:val="99"/>
    <w:qFormat/>
    <w:rPr>
      <w:color w:val="404040"/>
    </w:rPr>
    <w:tblPr>
      <w:tblCellMar>
        <w:left w:w="0" w:type="dxa"/>
        <w:top w:w="0" w:type="dxa"/>
        <w:right w:w="0" w:type="dxa"/>
        <w:bottom w:w="0" w:type="dxa"/>
      </w:tblCellMar>
    </w:tblPr>
  </w:style>
  <w:style w:type="table" w:styleId="1128" w:customStyle="1">
    <w:name w:val="Lined - Accent 1"/>
    <w:uiPriority w:val="99"/>
    <w:qFormat/>
    <w:rPr>
      <w:color w:val="404040"/>
    </w:rPr>
    <w:tblPr>
      <w:tblCellMar>
        <w:left w:w="0" w:type="dxa"/>
        <w:top w:w="0" w:type="dxa"/>
        <w:right w:w="0" w:type="dxa"/>
        <w:bottom w:w="0" w:type="dxa"/>
      </w:tblCellMar>
    </w:tblPr>
  </w:style>
  <w:style w:type="table" w:styleId="1129" w:customStyle="1">
    <w:name w:val="Lined - Accent 2"/>
    <w:uiPriority w:val="99"/>
    <w:qFormat/>
    <w:rPr>
      <w:color w:val="404040"/>
    </w:rPr>
    <w:tblPr>
      <w:tblCellMar>
        <w:left w:w="0" w:type="dxa"/>
        <w:top w:w="0" w:type="dxa"/>
        <w:right w:w="0" w:type="dxa"/>
        <w:bottom w:w="0" w:type="dxa"/>
      </w:tblCellMar>
    </w:tblPr>
  </w:style>
  <w:style w:type="table" w:styleId="1130" w:customStyle="1">
    <w:name w:val="Lined - Accent 3"/>
    <w:uiPriority w:val="99"/>
    <w:qFormat/>
    <w:rPr>
      <w:color w:val="404040"/>
    </w:rPr>
    <w:tblPr>
      <w:tblCellMar>
        <w:left w:w="0" w:type="dxa"/>
        <w:top w:w="0" w:type="dxa"/>
        <w:right w:w="0" w:type="dxa"/>
        <w:bottom w:w="0" w:type="dxa"/>
      </w:tblCellMar>
    </w:tblPr>
  </w:style>
  <w:style w:type="table" w:styleId="1131" w:customStyle="1">
    <w:name w:val="Lined - Accent 4"/>
    <w:uiPriority w:val="99"/>
    <w:qFormat/>
    <w:rPr>
      <w:color w:val="404040"/>
    </w:rPr>
    <w:tblPr>
      <w:tblCellMar>
        <w:left w:w="0" w:type="dxa"/>
        <w:top w:w="0" w:type="dxa"/>
        <w:right w:w="0" w:type="dxa"/>
        <w:bottom w:w="0" w:type="dxa"/>
      </w:tblCellMar>
    </w:tblPr>
  </w:style>
  <w:style w:type="table" w:styleId="1132" w:customStyle="1">
    <w:name w:val="Lined - Accent 5"/>
    <w:uiPriority w:val="99"/>
    <w:qFormat/>
    <w:rPr>
      <w:color w:val="404040"/>
    </w:rPr>
    <w:tblPr>
      <w:tblCellMar>
        <w:left w:w="0" w:type="dxa"/>
        <w:top w:w="0" w:type="dxa"/>
        <w:right w:w="0" w:type="dxa"/>
        <w:bottom w:w="0" w:type="dxa"/>
      </w:tblCellMar>
    </w:tblPr>
  </w:style>
  <w:style w:type="table" w:styleId="1133" w:customStyle="1">
    <w:name w:val="Lined - Accent 6"/>
    <w:uiPriority w:val="99"/>
    <w:qFormat/>
    <w:rPr>
      <w:color w:val="404040"/>
    </w:rPr>
    <w:tblPr>
      <w:tblCellMar>
        <w:left w:w="0" w:type="dxa"/>
        <w:top w:w="0" w:type="dxa"/>
        <w:right w:w="0" w:type="dxa"/>
        <w:bottom w:w="0" w:type="dxa"/>
      </w:tblCellMar>
    </w:tblPr>
  </w:style>
  <w:style w:type="table" w:styleId="113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3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3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3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3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4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48" w:customStyle="1">
    <w:name w:val="脚注文本 Char"/>
    <w:link w:val="988"/>
    <w:uiPriority w:val="99"/>
    <w:qFormat/>
    <w:rPr>
      <w:sz w:val="18"/>
    </w:rPr>
  </w:style>
  <w:style w:type="character" w:styleId="1149" w:customStyle="1">
    <w:name w:val="尾注文本 Char"/>
    <w:link w:val="981"/>
    <w:uiPriority w:val="99"/>
    <w:qFormat/>
    <w:rPr>
      <w:sz w:val="20"/>
    </w:rPr>
  </w:style>
  <w:style w:type="paragraph" w:styleId="1150" w:customStyle="1">
    <w:name w:val="TOC 标题1"/>
    <w:uiPriority w:val="39"/>
    <w:unhideWhenUsed/>
    <w:qFormat/>
    <w:rPr>
      <w:rFonts w:ascii="Times New Roman" w:hAnsi="Times New Roman" w:eastAsia="宋体" w:cs="Times New Roman"/>
      <w:lang w:val="en-US" w:eastAsia="zh-CN" w:bidi="ar-SA"/>
    </w:rPr>
  </w:style>
  <w:style w:type="paragraph" w:styleId="1151" w:customStyle="1">
    <w:name w:val="标题 11"/>
    <w:basedOn w:val="959"/>
    <w:next w:val="959"/>
    <w:link w:val="1165"/>
    <w:uiPriority w:val="9"/>
    <w:qFormat/>
    <w:pPr>
      <w:jc w:val="center"/>
      <w:keepLines/>
      <w:keepNext/>
      <w:spacing w:before="240" w:after="120" w:line="300" w:lineRule="auto"/>
      <w:outlineLvl w:val="0"/>
    </w:pPr>
    <w:rPr>
      <w:rFonts w:ascii="宋体"/>
      <w:b/>
      <w:sz w:val="32"/>
      <w:szCs w:val="20"/>
    </w:rPr>
  </w:style>
  <w:style w:type="paragraph" w:styleId="1152" w:customStyle="1">
    <w:name w:val="标题 21"/>
    <w:basedOn w:val="959"/>
    <w:next w:val="1153"/>
    <w:link w:val="1166"/>
    <w:uiPriority w:val="0"/>
    <w:qFormat/>
    <w:pPr>
      <w:jc w:val="center"/>
      <w:keepLines/>
      <w:keepNext/>
      <w:spacing w:before="120" w:line="300" w:lineRule="auto"/>
      <w:outlineLvl w:val="1"/>
    </w:pPr>
    <w:rPr>
      <w:rFonts w:ascii="Arial" w:hAnsi="Arial" w:eastAsia="黑体"/>
      <w:b/>
      <w:sz w:val="30"/>
      <w:szCs w:val="20"/>
    </w:rPr>
  </w:style>
  <w:style w:type="paragraph" w:styleId="1153" w:customStyle="1">
    <w:name w:val="正文缩进11"/>
    <w:basedOn w:val="959"/>
    <w:link w:val="1167"/>
    <w:uiPriority w:val="0"/>
    <w:qFormat/>
    <w:pPr>
      <w:ind w:firstLine="420"/>
      <w:jc w:val="left"/>
    </w:pPr>
    <w:rPr>
      <w:rFonts w:ascii="宋体"/>
      <w:sz w:val="24"/>
    </w:rPr>
  </w:style>
  <w:style w:type="paragraph" w:styleId="1154" w:customStyle="1">
    <w:name w:val="标题 31"/>
    <w:basedOn w:val="959"/>
    <w:next w:val="1153"/>
    <w:link w:val="1168"/>
    <w:uiPriority w:val="0"/>
    <w:qFormat/>
    <w:pPr>
      <w:jc w:val="left"/>
      <w:keepLines/>
      <w:keepNext/>
      <w:spacing w:before="360" w:after="120"/>
      <w:outlineLvl w:val="2"/>
    </w:pPr>
    <w:rPr>
      <w:rFonts w:ascii="宋体"/>
      <w:b/>
      <w:sz w:val="24"/>
      <w:szCs w:val="20"/>
      <w:u w:val="single"/>
    </w:rPr>
  </w:style>
  <w:style w:type="paragraph" w:styleId="1155" w:customStyle="1">
    <w:name w:val="标题 41"/>
    <w:basedOn w:val="959"/>
    <w:next w:val="959"/>
    <w:link w:val="1169"/>
    <w:uiPriority w:val="0"/>
    <w:qFormat/>
    <w:pPr>
      <w:keepLines/>
      <w:keepNext/>
      <w:spacing w:before="280" w:after="290" w:line="376" w:lineRule="atLeast"/>
      <w:outlineLvl w:val="3"/>
    </w:pPr>
    <w:rPr>
      <w:rFonts w:ascii="Arial" w:hAnsi="Arial" w:eastAsia="黑体"/>
      <w:b/>
      <w:sz w:val="28"/>
      <w:szCs w:val="20"/>
    </w:rPr>
  </w:style>
  <w:style w:type="paragraph" w:styleId="1156" w:customStyle="1">
    <w:name w:val="标题 51"/>
    <w:basedOn w:val="959"/>
    <w:next w:val="959"/>
    <w:link w:val="1170"/>
    <w:uiPriority w:val="0"/>
    <w:qFormat/>
    <w:pPr>
      <w:keepLines/>
      <w:keepNext/>
      <w:spacing w:before="280" w:after="290" w:line="376" w:lineRule="atLeast"/>
      <w:outlineLvl w:val="4"/>
    </w:pPr>
    <w:rPr>
      <w:b/>
      <w:sz w:val="28"/>
      <w:szCs w:val="20"/>
    </w:rPr>
  </w:style>
  <w:style w:type="paragraph" w:styleId="1157" w:customStyle="1">
    <w:name w:val="标题 61"/>
    <w:basedOn w:val="959"/>
    <w:next w:val="959"/>
    <w:link w:val="1171"/>
    <w:uiPriority w:val="0"/>
    <w:qFormat/>
    <w:pPr>
      <w:keepLines/>
      <w:keepNext/>
      <w:spacing w:before="240" w:after="64" w:line="320" w:lineRule="atLeast"/>
      <w:outlineLvl w:val="5"/>
    </w:pPr>
    <w:rPr>
      <w:rFonts w:ascii="Arial" w:hAnsi="Arial" w:eastAsia="黑体"/>
      <w:b/>
      <w:sz w:val="24"/>
      <w:szCs w:val="20"/>
    </w:rPr>
  </w:style>
  <w:style w:type="paragraph" w:styleId="1158" w:customStyle="1">
    <w:name w:val="标题 71"/>
    <w:basedOn w:val="959"/>
    <w:next w:val="959"/>
    <w:link w:val="1172"/>
    <w:uiPriority w:val="0"/>
    <w:qFormat/>
    <w:pPr>
      <w:keepLines/>
      <w:keepNext/>
      <w:spacing w:before="240" w:after="64" w:line="320" w:lineRule="atLeast"/>
      <w:outlineLvl w:val="6"/>
    </w:pPr>
    <w:rPr>
      <w:b/>
      <w:sz w:val="24"/>
      <w:szCs w:val="20"/>
    </w:rPr>
  </w:style>
  <w:style w:type="paragraph" w:styleId="1159" w:customStyle="1">
    <w:name w:val="标题 81"/>
    <w:basedOn w:val="959"/>
    <w:next w:val="959"/>
    <w:link w:val="1173"/>
    <w:uiPriority w:val="0"/>
    <w:qFormat/>
    <w:pPr>
      <w:keepLines/>
      <w:keepNext/>
      <w:spacing w:before="240" w:after="64" w:line="320" w:lineRule="atLeast"/>
      <w:outlineLvl w:val="7"/>
    </w:pPr>
    <w:rPr>
      <w:rFonts w:ascii="Arial" w:hAnsi="Arial" w:eastAsia="黑体"/>
      <w:sz w:val="24"/>
      <w:szCs w:val="20"/>
    </w:rPr>
  </w:style>
  <w:style w:type="paragraph" w:styleId="1160" w:customStyle="1">
    <w:name w:val="标题 91"/>
    <w:basedOn w:val="959"/>
    <w:next w:val="959"/>
    <w:link w:val="1174"/>
    <w:uiPriority w:val="0"/>
    <w:qFormat/>
    <w:pPr>
      <w:keepLines/>
      <w:keepNext/>
      <w:spacing w:before="240" w:after="64" w:line="320" w:lineRule="atLeast"/>
      <w:outlineLvl w:val="8"/>
    </w:pPr>
    <w:rPr>
      <w:rFonts w:ascii="Arial" w:hAnsi="Arial" w:eastAsia="黑体"/>
      <w:szCs w:val="20"/>
    </w:rPr>
  </w:style>
  <w:style w:type="character" w:styleId="1161" w:customStyle="1">
    <w:name w:val="默认段落字体1"/>
    <w:uiPriority w:val="1"/>
    <w:unhideWhenUsed/>
    <w:qFormat/>
  </w:style>
  <w:style w:type="table" w:styleId="1162" w:customStyle="1">
    <w:name w:val="普通表格1"/>
    <w:uiPriority w:val="99"/>
    <w:unhideWhenUsed/>
    <w:qFormat/>
    <w:tblPr>
      <w:tblCellMar>
        <w:left w:w="0" w:type="dxa"/>
        <w:top w:w="0" w:type="dxa"/>
        <w:right w:w="0" w:type="dxa"/>
        <w:bottom w:w="0" w:type="dxa"/>
      </w:tblCellMar>
    </w:tblPr>
  </w:style>
  <w:style w:type="paragraph" w:styleId="1163" w:customStyle="1">
    <w:name w:val="正文文本1"/>
    <w:basedOn w:val="959"/>
    <w:next w:val="959"/>
    <w:link w:val="1164"/>
    <w:uiPriority w:val="0"/>
    <w:qFormat/>
    <w:pPr>
      <w:spacing w:before="120" w:line="22" w:lineRule="atLeast"/>
      <w:tabs>
        <w:tab w:val="left" w:pos="567" w:leader="none"/>
      </w:tabs>
    </w:pPr>
    <w:rPr>
      <w:rFonts w:ascii="宋体" w:hAnsi="宋体"/>
      <w:sz w:val="24"/>
    </w:rPr>
  </w:style>
  <w:style w:type="character" w:styleId="1164" w:customStyle="1">
    <w:name w:val="正文文本 Char"/>
    <w:link w:val="1163"/>
    <w:uiPriority w:val="0"/>
    <w:qFormat/>
    <w:rPr>
      <w:rFonts w:ascii="宋体" w:hAnsi="宋体"/>
      <w:sz w:val="24"/>
      <w:szCs w:val="24"/>
    </w:rPr>
  </w:style>
  <w:style w:type="character" w:styleId="1165" w:customStyle="1">
    <w:name w:val="标题 1 Char"/>
    <w:link w:val="1151"/>
    <w:uiPriority w:val="9"/>
    <w:qFormat/>
    <w:rPr>
      <w:rFonts w:ascii="宋体"/>
      <w:b/>
      <w:sz w:val="32"/>
    </w:rPr>
  </w:style>
  <w:style w:type="character" w:styleId="1166" w:customStyle="1">
    <w:name w:val="标题 2 Char1"/>
    <w:link w:val="1152"/>
    <w:uiPriority w:val="0"/>
    <w:qFormat/>
    <w:rPr>
      <w:rFonts w:ascii="Arial" w:hAnsi="Arial" w:eastAsia="黑体"/>
      <w:b/>
      <w:sz w:val="30"/>
      <w:lang w:val="en-US" w:eastAsia="zh-CN" w:bidi="ar-SA"/>
    </w:rPr>
  </w:style>
  <w:style w:type="character" w:styleId="1167" w:customStyle="1">
    <w:name w:val="正文缩进 Char1"/>
    <w:link w:val="1153"/>
    <w:uiPriority w:val="0"/>
    <w:qFormat/>
    <w:rPr>
      <w:rFonts w:ascii="宋体" w:eastAsia="宋体"/>
      <w:sz w:val="24"/>
      <w:szCs w:val="24"/>
      <w:lang w:val="en-US" w:eastAsia="zh-CN" w:bidi="ar-SA"/>
    </w:rPr>
  </w:style>
  <w:style w:type="character" w:styleId="1168" w:customStyle="1">
    <w:name w:val="标题 3 Char1"/>
    <w:link w:val="1154"/>
    <w:uiPriority w:val="0"/>
    <w:qFormat/>
    <w:rPr>
      <w:rFonts w:ascii="宋体" w:eastAsia="宋体"/>
      <w:b/>
      <w:sz w:val="24"/>
      <w:u w:val="single"/>
      <w:lang w:val="en-US" w:eastAsia="zh-CN" w:bidi="ar-SA"/>
    </w:rPr>
  </w:style>
  <w:style w:type="character" w:styleId="1169" w:customStyle="1">
    <w:name w:val="标题 4 Char"/>
    <w:link w:val="1155"/>
    <w:uiPriority w:val="0"/>
    <w:qFormat/>
    <w:rPr>
      <w:rFonts w:ascii="Arial" w:hAnsi="Arial" w:eastAsia="黑体"/>
      <w:b/>
      <w:sz w:val="28"/>
    </w:rPr>
  </w:style>
  <w:style w:type="character" w:styleId="1170" w:customStyle="1">
    <w:name w:val="标题 5 Char"/>
    <w:link w:val="1156"/>
    <w:uiPriority w:val="0"/>
    <w:qFormat/>
    <w:rPr>
      <w:b/>
      <w:sz w:val="28"/>
    </w:rPr>
  </w:style>
  <w:style w:type="character" w:styleId="1171" w:customStyle="1">
    <w:name w:val="标题 6 Char"/>
    <w:link w:val="1157"/>
    <w:uiPriority w:val="0"/>
    <w:qFormat/>
    <w:rPr>
      <w:rFonts w:ascii="Arial" w:hAnsi="Arial" w:eastAsia="黑体"/>
      <w:b/>
      <w:sz w:val="24"/>
    </w:rPr>
  </w:style>
  <w:style w:type="character" w:styleId="1172" w:customStyle="1">
    <w:name w:val="标题 7 Char"/>
    <w:link w:val="1158"/>
    <w:uiPriority w:val="0"/>
    <w:qFormat/>
    <w:rPr>
      <w:b/>
      <w:sz w:val="24"/>
    </w:rPr>
  </w:style>
  <w:style w:type="character" w:styleId="1173" w:customStyle="1">
    <w:name w:val="标题 8 Char"/>
    <w:link w:val="1159"/>
    <w:uiPriority w:val="0"/>
    <w:qFormat/>
    <w:rPr>
      <w:rFonts w:ascii="Arial" w:hAnsi="Arial" w:eastAsia="黑体"/>
      <w:sz w:val="24"/>
    </w:rPr>
  </w:style>
  <w:style w:type="character" w:styleId="1174" w:customStyle="1">
    <w:name w:val="标题 9 Char"/>
    <w:link w:val="1160"/>
    <w:uiPriority w:val="0"/>
    <w:qFormat/>
    <w:rPr>
      <w:rFonts w:ascii="Arial" w:hAnsi="Arial" w:eastAsia="黑体"/>
      <w:sz w:val="21"/>
    </w:rPr>
  </w:style>
  <w:style w:type="paragraph" w:styleId="1175" w:customStyle="1">
    <w:name w:val="目录 71"/>
    <w:basedOn w:val="959"/>
    <w:next w:val="959"/>
    <w:uiPriority w:val="0"/>
    <w:qFormat/>
    <w:pPr>
      <w:ind w:left="2520"/>
    </w:pPr>
  </w:style>
  <w:style w:type="paragraph" w:styleId="1176" w:customStyle="1">
    <w:name w:val="题注1"/>
    <w:basedOn w:val="959"/>
    <w:next w:val="959"/>
    <w:uiPriority w:val="0"/>
    <w:qFormat/>
    <w:pPr>
      <w:spacing w:line="480" w:lineRule="auto"/>
    </w:pPr>
    <w:rPr>
      <w:rFonts w:ascii="华文中宋" w:hAnsi="华文中宋" w:eastAsia="华文中宋"/>
      <w:sz w:val="36"/>
      <w:szCs w:val="20"/>
    </w:rPr>
  </w:style>
  <w:style w:type="paragraph" w:styleId="1177" w:customStyle="1">
    <w:name w:val="文档结构图1"/>
    <w:basedOn w:val="959"/>
    <w:link w:val="1178"/>
    <w:uiPriority w:val="99"/>
    <w:qFormat/>
    <w:pPr>
      <w:shd w:val="clear" w:color="auto" w:fill="000080"/>
    </w:pPr>
  </w:style>
  <w:style w:type="character" w:styleId="1178" w:customStyle="1">
    <w:name w:val="文档结构图 Char"/>
    <w:link w:val="1177"/>
    <w:uiPriority w:val="99"/>
    <w:qFormat/>
    <w:rPr>
      <w:sz w:val="21"/>
      <w:szCs w:val="24"/>
      <w:shd w:val="clear" w:color="auto" w:fill="000080"/>
    </w:rPr>
  </w:style>
  <w:style w:type="paragraph" w:styleId="1179" w:customStyle="1">
    <w:name w:val="批注文字1"/>
    <w:basedOn w:val="959"/>
    <w:link w:val="1180"/>
    <w:uiPriority w:val="99"/>
    <w:qFormat/>
    <w:pPr>
      <w:jc w:val="left"/>
    </w:pPr>
  </w:style>
  <w:style w:type="character" w:styleId="1180" w:customStyle="1">
    <w:name w:val="批注文字 Char1"/>
    <w:link w:val="1179"/>
    <w:uiPriority w:val="99"/>
    <w:qFormat/>
    <w:rPr>
      <w:sz w:val="21"/>
      <w:szCs w:val="24"/>
    </w:rPr>
  </w:style>
  <w:style w:type="paragraph" w:styleId="1181" w:customStyle="1">
    <w:name w:val="正文文本 31"/>
    <w:basedOn w:val="959"/>
    <w:link w:val="1182"/>
    <w:uiPriority w:val="0"/>
    <w:qFormat/>
    <w:pPr>
      <w:spacing w:after="120"/>
    </w:pPr>
    <w:rPr>
      <w:sz w:val="16"/>
      <w:szCs w:val="16"/>
    </w:rPr>
  </w:style>
  <w:style w:type="character" w:styleId="1182" w:customStyle="1">
    <w:name w:val="正文文本 3 Char"/>
    <w:link w:val="1181"/>
    <w:uiPriority w:val="0"/>
    <w:qFormat/>
    <w:rPr>
      <w:sz w:val="16"/>
      <w:szCs w:val="16"/>
    </w:rPr>
  </w:style>
  <w:style w:type="paragraph" w:styleId="1183" w:customStyle="1">
    <w:name w:val="正文文本缩进11"/>
    <w:basedOn w:val="959"/>
    <w:link w:val="1184"/>
    <w:uiPriority w:val="0"/>
    <w:qFormat/>
    <w:pPr>
      <w:ind w:firstLine="570"/>
      <w:spacing w:line="360" w:lineRule="auto"/>
    </w:pPr>
    <w:rPr>
      <w:sz w:val="24"/>
    </w:rPr>
  </w:style>
  <w:style w:type="character" w:styleId="1184" w:customStyle="1">
    <w:name w:val="正文文本缩进 Char2"/>
    <w:link w:val="1183"/>
    <w:uiPriority w:val="0"/>
    <w:qFormat/>
    <w:rPr>
      <w:rFonts w:eastAsia="宋体"/>
      <w:sz w:val="24"/>
      <w:szCs w:val="24"/>
      <w:lang w:val="en-US" w:eastAsia="zh-CN" w:bidi="ar-SA"/>
    </w:rPr>
  </w:style>
  <w:style w:type="paragraph" w:styleId="1185" w:customStyle="1">
    <w:name w:val="列表 21"/>
    <w:basedOn w:val="959"/>
    <w:uiPriority w:val="0"/>
    <w:qFormat/>
    <w:pPr>
      <w:ind w:left="100" w:hanging="200"/>
    </w:pPr>
  </w:style>
  <w:style w:type="paragraph" w:styleId="1186" w:customStyle="1">
    <w:name w:val="文本块1"/>
    <w:basedOn w:val="959"/>
    <w:uiPriority w:val="0"/>
    <w:qFormat/>
    <w:pPr>
      <w:ind w:left="480" w:right="-341" w:firstLine="513"/>
      <w:widowControl/>
    </w:pPr>
    <w:rPr>
      <w:sz w:val="24"/>
      <w:szCs w:val="20"/>
    </w:rPr>
  </w:style>
  <w:style w:type="paragraph" w:styleId="1187" w:customStyle="1">
    <w:name w:val="目录 51"/>
    <w:basedOn w:val="959"/>
    <w:next w:val="959"/>
    <w:uiPriority w:val="0"/>
    <w:qFormat/>
    <w:pPr>
      <w:ind w:left="1680"/>
    </w:pPr>
  </w:style>
  <w:style w:type="paragraph" w:styleId="1188" w:customStyle="1">
    <w:name w:val="目录 31"/>
    <w:basedOn w:val="959"/>
    <w:next w:val="959"/>
    <w:uiPriority w:val="39"/>
    <w:qFormat/>
    <w:pPr>
      <w:ind w:left="840"/>
    </w:pPr>
  </w:style>
  <w:style w:type="paragraph" w:styleId="1189" w:customStyle="1">
    <w:name w:val="纯文本1"/>
    <w:basedOn w:val="959"/>
    <w:link w:val="1190"/>
    <w:uiPriority w:val="0"/>
    <w:qFormat/>
    <w:rPr>
      <w:rFonts w:hint="eastAsia" w:ascii="宋体" w:hAnsi="Courier New"/>
      <w:szCs w:val="20"/>
    </w:rPr>
  </w:style>
  <w:style w:type="character" w:styleId="1190" w:customStyle="1">
    <w:name w:val="纯文本 Char"/>
    <w:link w:val="1189"/>
    <w:uiPriority w:val="0"/>
    <w:qFormat/>
    <w:rPr>
      <w:rFonts w:hint="eastAsia" w:ascii="宋体" w:hAnsi="Courier New" w:eastAsia="宋体" w:cs="宋体"/>
      <w:sz w:val="21"/>
    </w:rPr>
  </w:style>
  <w:style w:type="paragraph" w:styleId="1191" w:customStyle="1">
    <w:name w:val="目录 81"/>
    <w:basedOn w:val="959"/>
    <w:next w:val="959"/>
    <w:uiPriority w:val="0"/>
    <w:qFormat/>
    <w:pPr>
      <w:ind w:left="2940"/>
    </w:pPr>
  </w:style>
  <w:style w:type="paragraph" w:styleId="1192" w:customStyle="1">
    <w:name w:val="日期1"/>
    <w:basedOn w:val="959"/>
    <w:next w:val="959"/>
    <w:link w:val="1193"/>
    <w:uiPriority w:val="0"/>
    <w:qFormat/>
    <w:pPr>
      <w:ind w:left="100"/>
    </w:pPr>
    <w:rPr>
      <w:rFonts w:ascii="仿宋_GB2312" w:hAnsi="宋体" w:eastAsia="仿宋_GB2312"/>
      <w:color w:val="000000"/>
      <w:sz w:val="24"/>
    </w:rPr>
  </w:style>
  <w:style w:type="character" w:styleId="1193" w:customStyle="1">
    <w:name w:val="日期 Char"/>
    <w:link w:val="1192"/>
    <w:uiPriority w:val="0"/>
    <w:qFormat/>
    <w:rPr>
      <w:rFonts w:ascii="仿宋_GB2312" w:hAnsi="宋体" w:eastAsia="仿宋_GB2312"/>
      <w:color w:val="000000"/>
      <w:sz w:val="24"/>
      <w:szCs w:val="24"/>
    </w:rPr>
  </w:style>
  <w:style w:type="paragraph" w:styleId="1194" w:customStyle="1">
    <w:name w:val="正文文本缩进 21"/>
    <w:basedOn w:val="959"/>
    <w:link w:val="1195"/>
    <w:uiPriority w:val="0"/>
    <w:qFormat/>
    <w:pPr>
      <w:ind w:firstLine="480"/>
    </w:pPr>
    <w:rPr>
      <w:rFonts w:ascii="仿宋_GB2312" w:eastAsia="仿宋_GB2312"/>
      <w:sz w:val="24"/>
    </w:rPr>
  </w:style>
  <w:style w:type="character" w:styleId="1195" w:customStyle="1">
    <w:name w:val="正文文本缩进 2 Char"/>
    <w:link w:val="1194"/>
    <w:uiPriority w:val="0"/>
    <w:qFormat/>
    <w:rPr>
      <w:rFonts w:ascii="仿宋_GB2312" w:eastAsia="仿宋_GB2312"/>
      <w:sz w:val="24"/>
      <w:szCs w:val="24"/>
    </w:rPr>
  </w:style>
  <w:style w:type="paragraph" w:styleId="1196" w:customStyle="1">
    <w:name w:val="批注框文本1"/>
    <w:basedOn w:val="959"/>
    <w:link w:val="1197"/>
    <w:uiPriority w:val="99"/>
    <w:qFormat/>
    <w:rPr>
      <w:sz w:val="18"/>
      <w:szCs w:val="18"/>
    </w:rPr>
  </w:style>
  <w:style w:type="character" w:styleId="1197" w:customStyle="1">
    <w:name w:val="批注框文本 Char"/>
    <w:link w:val="1196"/>
    <w:uiPriority w:val="99"/>
    <w:qFormat/>
    <w:rPr>
      <w:sz w:val="18"/>
      <w:szCs w:val="18"/>
    </w:rPr>
  </w:style>
  <w:style w:type="paragraph" w:styleId="1198" w:customStyle="1">
    <w:name w:val="页脚1"/>
    <w:basedOn w:val="959"/>
    <w:link w:val="1199"/>
    <w:uiPriority w:val="99"/>
    <w:qFormat/>
    <w:pPr>
      <w:jc w:val="left"/>
      <w:tabs>
        <w:tab w:val="center" w:pos="4153" w:leader="none"/>
        <w:tab w:val="right" w:pos="8306" w:leader="none"/>
      </w:tabs>
    </w:pPr>
    <w:rPr>
      <w:rFonts w:ascii="宋体"/>
      <w:sz w:val="18"/>
      <w:szCs w:val="20"/>
    </w:rPr>
  </w:style>
  <w:style w:type="character" w:styleId="1199" w:customStyle="1">
    <w:name w:val="页脚 Char1"/>
    <w:link w:val="1198"/>
    <w:uiPriority w:val="99"/>
    <w:qFormat/>
    <w:rPr>
      <w:rFonts w:ascii="宋体" w:eastAsia="宋体"/>
      <w:sz w:val="18"/>
      <w:lang w:val="en-US" w:eastAsia="zh-CN" w:bidi="ar-SA"/>
    </w:rPr>
  </w:style>
  <w:style w:type="paragraph" w:styleId="1200" w:customStyle="1">
    <w:name w:val="页眉1"/>
    <w:basedOn w:val="959"/>
    <w:link w:val="1201"/>
    <w:uiPriority w:val="0"/>
    <w:qFormat/>
    <w:pPr>
      <w:jc w:val="center"/>
      <w:tabs>
        <w:tab w:val="center" w:pos="4153" w:leader="none"/>
        <w:tab w:val="right" w:pos="8306" w:leader="none"/>
      </w:tabs>
      <w:pBdr>
        <w:bottom w:val="single" w:color="000000" w:sz="6" w:space="1"/>
      </w:pBdr>
    </w:pPr>
    <w:rPr>
      <w:sz w:val="18"/>
      <w:szCs w:val="18"/>
    </w:rPr>
  </w:style>
  <w:style w:type="character" w:styleId="1201" w:customStyle="1">
    <w:name w:val="页眉 Char1"/>
    <w:link w:val="1200"/>
    <w:uiPriority w:val="0"/>
    <w:qFormat/>
    <w:rPr>
      <w:rFonts w:eastAsia="宋体"/>
      <w:sz w:val="18"/>
      <w:szCs w:val="18"/>
      <w:lang w:val="en-US" w:eastAsia="zh-CN" w:bidi="ar-SA"/>
    </w:rPr>
  </w:style>
  <w:style w:type="paragraph" w:styleId="1202" w:customStyle="1">
    <w:name w:val="目录 11"/>
    <w:basedOn w:val="959"/>
    <w:next w:val="959"/>
    <w:uiPriority w:val="39"/>
    <w:qFormat/>
    <w:pPr>
      <w:spacing w:line="300" w:lineRule="auto"/>
      <w:tabs>
        <w:tab w:val="left" w:pos="1050" w:leader="none"/>
        <w:tab w:val="right" w:pos="8937" w:leader="dot"/>
      </w:tabs>
    </w:pPr>
    <w:rPr>
      <w:rFonts w:ascii="宋体" w:hAnsi="宋体"/>
      <w:b/>
      <w:sz w:val="24"/>
    </w:rPr>
  </w:style>
  <w:style w:type="paragraph" w:styleId="1203" w:customStyle="1">
    <w:name w:val="目录 41"/>
    <w:basedOn w:val="959"/>
    <w:next w:val="959"/>
    <w:uiPriority w:val="0"/>
    <w:qFormat/>
    <w:pPr>
      <w:ind w:left="1260"/>
    </w:pPr>
  </w:style>
  <w:style w:type="paragraph" w:styleId="1204" w:customStyle="1">
    <w:name w:val="目录 61"/>
    <w:basedOn w:val="959"/>
    <w:next w:val="959"/>
    <w:uiPriority w:val="0"/>
    <w:qFormat/>
    <w:pPr>
      <w:ind w:left="2100"/>
    </w:pPr>
  </w:style>
  <w:style w:type="paragraph" w:styleId="1205" w:customStyle="1">
    <w:name w:val="正文文本缩进 31"/>
    <w:basedOn w:val="959"/>
    <w:link w:val="1206"/>
    <w:uiPriority w:val="0"/>
    <w:qFormat/>
    <w:pPr>
      <w:ind w:left="720" w:firstLine="480"/>
      <w:jc w:val="left"/>
      <w:spacing w:before="120" w:line="22" w:lineRule="atLeast"/>
    </w:pPr>
    <w:rPr>
      <w:rFonts w:ascii="宋体"/>
      <w:sz w:val="24"/>
      <w:szCs w:val="20"/>
    </w:rPr>
  </w:style>
  <w:style w:type="character" w:styleId="1206" w:customStyle="1">
    <w:name w:val="正文文本缩进 3 Char"/>
    <w:link w:val="1205"/>
    <w:uiPriority w:val="0"/>
    <w:qFormat/>
    <w:rPr>
      <w:rFonts w:ascii="宋体"/>
      <w:sz w:val="24"/>
    </w:rPr>
  </w:style>
  <w:style w:type="paragraph" w:styleId="1207" w:customStyle="1">
    <w:name w:val="目录 21"/>
    <w:basedOn w:val="959"/>
    <w:next w:val="959"/>
    <w:uiPriority w:val="39"/>
    <w:qFormat/>
    <w:pPr>
      <w:ind w:left="420"/>
      <w:spacing w:line="312" w:lineRule="auto"/>
      <w:tabs>
        <w:tab w:val="right" w:pos="8937" w:leader="dot"/>
      </w:tabs>
    </w:pPr>
  </w:style>
  <w:style w:type="paragraph" w:styleId="1208" w:customStyle="1">
    <w:name w:val="目录 91"/>
    <w:basedOn w:val="959"/>
    <w:next w:val="959"/>
    <w:uiPriority w:val="0"/>
    <w:qFormat/>
    <w:pPr>
      <w:ind w:left="3360"/>
    </w:pPr>
  </w:style>
  <w:style w:type="paragraph" w:styleId="1209" w:customStyle="1">
    <w:name w:val="HTML 预设格式1"/>
    <w:basedOn w:val="959"/>
    <w:link w:val="121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210" w:customStyle="1">
    <w:name w:val="HTML 预设格式 Char"/>
    <w:link w:val="1209"/>
    <w:uiPriority w:val="0"/>
    <w:qFormat/>
    <w:rPr>
      <w:rFonts w:ascii="宋体" w:hAnsi="宋体" w:cs="宋体"/>
      <w:sz w:val="24"/>
      <w:szCs w:val="24"/>
    </w:rPr>
  </w:style>
  <w:style w:type="paragraph" w:styleId="1211" w:customStyle="1">
    <w:name w:val="普通(网站)11"/>
    <w:basedOn w:val="959"/>
    <w:link w:val="1401"/>
    <w:uiPriority w:val="99"/>
    <w:unhideWhenUsed/>
    <w:qFormat/>
    <w:pPr>
      <w:jc w:val="left"/>
      <w:spacing w:before="100" w:beforeAutospacing="1" w:after="100" w:afterAutospacing="1"/>
      <w:widowControl/>
    </w:pPr>
    <w:rPr>
      <w:rFonts w:ascii="宋体" w:hAnsi="宋体" w:cs="宋体"/>
      <w:sz w:val="24"/>
    </w:rPr>
  </w:style>
  <w:style w:type="paragraph" w:styleId="1212" w:customStyle="1">
    <w:name w:val="索引 11"/>
    <w:basedOn w:val="959"/>
    <w:next w:val="959"/>
    <w:uiPriority w:val="0"/>
    <w:qFormat/>
    <w:rPr>
      <w:szCs w:val="20"/>
    </w:rPr>
  </w:style>
  <w:style w:type="paragraph" w:styleId="1213" w:customStyle="1">
    <w:name w:val="标题1"/>
    <w:basedOn w:val="959"/>
    <w:link w:val="1214"/>
    <w:uiPriority w:val="0"/>
    <w:qFormat/>
    <w:pPr>
      <w:jc w:val="center"/>
      <w:outlineLvl w:val="0"/>
    </w:pPr>
    <w:rPr>
      <w:b/>
      <w:sz w:val="32"/>
      <w:szCs w:val="20"/>
    </w:rPr>
  </w:style>
  <w:style w:type="character" w:styleId="1214" w:customStyle="1">
    <w:name w:val="标题 Char1"/>
    <w:link w:val="1213"/>
    <w:uiPriority w:val="0"/>
    <w:qFormat/>
    <w:rPr>
      <w:b/>
      <w:sz w:val="32"/>
    </w:rPr>
  </w:style>
  <w:style w:type="paragraph" w:styleId="1215" w:customStyle="1">
    <w:name w:val="批注主题1"/>
    <w:basedOn w:val="1179"/>
    <w:next w:val="1179"/>
    <w:link w:val="1216"/>
    <w:uiPriority w:val="0"/>
    <w:qFormat/>
    <w:rPr>
      <w:b/>
      <w:bCs/>
    </w:rPr>
  </w:style>
  <w:style w:type="character" w:styleId="1216" w:customStyle="1">
    <w:name w:val="批注主题 Char"/>
    <w:link w:val="1215"/>
    <w:uiPriority w:val="0"/>
    <w:qFormat/>
    <w:rPr>
      <w:rFonts w:ascii="Times New Roman" w:hAnsi="Times New Roman" w:eastAsia="宋体" w:cs="Times New Roman"/>
      <w:b/>
      <w:bCs/>
      <w:sz w:val="21"/>
      <w:szCs w:val="24"/>
      <w:lang w:val="en-US" w:eastAsia="zh-CN" w:bidi="ar-SA"/>
    </w:rPr>
  </w:style>
  <w:style w:type="paragraph" w:styleId="1217" w:customStyle="1">
    <w:name w:val="正文首行缩进 21"/>
    <w:basedOn w:val="1183"/>
    <w:link w:val="1218"/>
    <w:uiPriority w:val="0"/>
    <w:qFormat/>
    <w:pPr>
      <w:ind w:left="420" w:firstLine="420"/>
      <w:spacing w:after="120" w:line="480" w:lineRule="exact"/>
    </w:pPr>
  </w:style>
  <w:style w:type="character" w:styleId="1218" w:customStyle="1">
    <w:name w:val="正文首行缩进 2 Char"/>
    <w:link w:val="1217"/>
    <w:uiPriority w:val="0"/>
    <w:qFormat/>
    <w:rPr>
      <w:rFonts w:eastAsia="宋体"/>
      <w:sz w:val="24"/>
      <w:szCs w:val="24"/>
      <w:lang w:val="en-US" w:eastAsia="zh-CN" w:bidi="ar-SA"/>
    </w:rPr>
  </w:style>
  <w:style w:type="table" w:styleId="1219" w:customStyle="1">
    <w:name w:val="网格型1"/>
    <w:basedOn w:val="1162"/>
    <w:uiPriority w:val="59"/>
    <w:qFormat/>
    <w:tblPr>
      <w:tblCellMar>
        <w:left w:w="0" w:type="dxa"/>
        <w:top w:w="0" w:type="dxa"/>
        <w:right w:w="0" w:type="dxa"/>
        <w:bottom w:w="0" w:type="dxa"/>
      </w:tblCellMar>
    </w:tblPr>
  </w:style>
  <w:style w:type="table" w:styleId="1220" w:customStyle="1">
    <w:name w:val="中等深浅网格 1 - 强调文字颜色 21"/>
    <w:basedOn w:val="1162"/>
    <w:uiPriority w:val="0"/>
    <w:qFormat/>
    <w:rPr>
      <w:sz w:val="21"/>
      <w:szCs w:val="24"/>
    </w:rPr>
    <w:tblPr>
      <w:tblCellMar>
        <w:left w:w="0" w:type="dxa"/>
        <w:top w:w="0" w:type="dxa"/>
        <w:right w:w="0" w:type="dxa"/>
        <w:bottom w:w="0" w:type="dxa"/>
      </w:tblCellMar>
    </w:tblPr>
  </w:style>
  <w:style w:type="character" w:styleId="1221" w:customStyle="1">
    <w:name w:val="要点1"/>
    <w:uiPriority w:val="22"/>
    <w:qFormat/>
    <w:rPr>
      <w:b/>
      <w:bCs/>
    </w:rPr>
  </w:style>
  <w:style w:type="character" w:styleId="1222" w:customStyle="1">
    <w:name w:val="页码1"/>
    <w:uiPriority w:val="0"/>
    <w:qFormat/>
  </w:style>
  <w:style w:type="character" w:styleId="1223" w:customStyle="1">
    <w:name w:val="访问过的超链接1"/>
    <w:uiPriority w:val="0"/>
    <w:qFormat/>
    <w:rPr>
      <w:color w:val="800080"/>
      <w:u w:val="single"/>
    </w:rPr>
  </w:style>
  <w:style w:type="character" w:styleId="1224" w:customStyle="1">
    <w:name w:val="强调1"/>
    <w:uiPriority w:val="0"/>
    <w:qFormat/>
    <w:rPr>
      <w:color w:val="cc0033"/>
    </w:rPr>
  </w:style>
  <w:style w:type="character" w:styleId="1225" w:customStyle="1">
    <w:name w:val="超链接1"/>
    <w:uiPriority w:val="99"/>
    <w:qFormat/>
    <w:rPr>
      <w:color w:val="0000ff"/>
      <w:u w:val="single"/>
    </w:rPr>
  </w:style>
  <w:style w:type="character" w:styleId="1226" w:customStyle="1">
    <w:name w:val="批注引用1"/>
    <w:uiPriority w:val="0"/>
    <w:qFormat/>
    <w:rPr>
      <w:sz w:val="21"/>
      <w:szCs w:val="21"/>
    </w:rPr>
  </w:style>
  <w:style w:type="character" w:styleId="1227" w:customStyle="1">
    <w:name w:val="HTML 引文1"/>
    <w:uiPriority w:val="0"/>
    <w:qFormat/>
    <w:rPr>
      <w:i/>
      <w:iCs/>
    </w:rPr>
  </w:style>
  <w:style w:type="character" w:styleId="1228" w:customStyle="1">
    <w:name w:val="批注文字 字符"/>
    <w:uiPriority w:val="99"/>
    <w:qFormat/>
    <w:rPr>
      <w:rFonts w:ascii="Times New Roman" w:hAnsi="Times New Roman" w:eastAsia="宋体" w:cs="Times New Roman"/>
      <w:sz w:val="24"/>
      <w:lang w:val="en-US" w:eastAsia="zh-CN" w:bidi="ar-SA"/>
    </w:rPr>
  </w:style>
  <w:style w:type="character" w:styleId="1229" w:customStyle="1">
    <w:name w:val="c21"/>
    <w:uiPriority w:val="0"/>
    <w:qFormat/>
    <w:rPr>
      <w:rFonts w:ascii="ˎ̥" w:hAnsi="ˎ̥"/>
      <w:color w:val="000000"/>
      <w:sz w:val="20"/>
      <w:szCs w:val="20"/>
      <w:u w:val="none"/>
    </w:rPr>
  </w:style>
  <w:style w:type="character" w:styleId="1230" w:customStyle="1">
    <w:name w:val="title4"/>
    <w:uiPriority w:val="0"/>
    <w:qFormat/>
    <w:rPr>
      <w:b/>
      <w:bCs/>
      <w:color w:val="1d87b3"/>
      <w:sz w:val="15"/>
      <w:szCs w:val="15"/>
    </w:rPr>
  </w:style>
  <w:style w:type="character" w:styleId="1231" w:customStyle="1">
    <w:name w:val="标题 2 Char Char"/>
    <w:uiPriority w:val="0"/>
    <w:qFormat/>
    <w:rPr>
      <w:rFonts w:ascii="Arial" w:hAnsi="Arial" w:eastAsia="黑体"/>
      <w:b/>
      <w:bCs/>
      <w:sz w:val="32"/>
      <w:szCs w:val="32"/>
      <w:lang w:val="en-US" w:eastAsia="zh-CN" w:bidi="ar-SA"/>
    </w:rPr>
  </w:style>
  <w:style w:type="character" w:styleId="1232" w:customStyle="1">
    <w:name w:val="black1"/>
    <w:uiPriority w:val="0"/>
    <w:qFormat/>
    <w:rPr>
      <w:color w:val="000000"/>
    </w:rPr>
  </w:style>
  <w:style w:type="character" w:styleId="1233" w:customStyle="1">
    <w:name w:val="street-address"/>
    <w:uiPriority w:val="0"/>
    <w:qFormat/>
  </w:style>
  <w:style w:type="character" w:styleId="1234" w:customStyle="1">
    <w:name w:val="locality"/>
    <w:uiPriority w:val="0"/>
    <w:qFormat/>
  </w:style>
  <w:style w:type="character" w:styleId="1235" w:customStyle="1">
    <w:name w:val="正文文本缩进 Char1"/>
    <w:link w:val="1236"/>
    <w:uiPriority w:val="0"/>
    <w:qFormat/>
    <w:rPr>
      <w:rFonts w:ascii="宋体" w:hAnsi="宋体" w:eastAsia="宋体"/>
      <w:sz w:val="24"/>
      <w:szCs w:val="24"/>
      <w:lang w:bidi="ar-SA"/>
    </w:rPr>
  </w:style>
  <w:style w:type="paragraph" w:styleId="1236" w:customStyle="1">
    <w:name w:val="正文文本缩进1"/>
    <w:basedOn w:val="959"/>
    <w:next w:val="959"/>
    <w:link w:val="1235"/>
    <w:uiPriority w:val="0"/>
    <w:qFormat/>
    <w:pPr>
      <w:ind w:firstLine="480"/>
      <w:spacing w:line="480" w:lineRule="exact"/>
    </w:pPr>
    <w:rPr>
      <w:rFonts w:ascii="宋体" w:hAnsi="宋体"/>
      <w:sz w:val="24"/>
    </w:rPr>
  </w:style>
  <w:style w:type="character" w:styleId="1237" w:customStyle="1">
    <w:name w:val="Char Char11"/>
    <w:uiPriority w:val="0"/>
    <w:qFormat/>
    <w:rPr>
      <w:rFonts w:ascii="宋体" w:eastAsia="宋体"/>
      <w:b/>
      <w:sz w:val="24"/>
      <w:u w:val="single"/>
      <w:lang w:val="en-US" w:eastAsia="zh-CN" w:bidi="ar-SA"/>
    </w:rPr>
  </w:style>
  <w:style w:type="character" w:styleId="1238" w:customStyle="1">
    <w:name w:val="txt"/>
    <w:uiPriority w:val="0"/>
    <w:qFormat/>
  </w:style>
  <w:style w:type="character" w:styleId="1239" w:customStyle="1">
    <w:name w:val="正文缩进 Char Char"/>
    <w:link w:val="1240"/>
    <w:uiPriority w:val="0"/>
    <w:qFormat/>
    <w:rPr>
      <w:rFonts w:ascii="宋体" w:eastAsia="宋体"/>
      <w:color w:val="000000"/>
      <w:sz w:val="28"/>
      <w:lang w:bidi="ar-SA"/>
    </w:rPr>
  </w:style>
  <w:style w:type="paragraph" w:styleId="1240" w:customStyle="1">
    <w:name w:val="正文缩进1"/>
    <w:basedOn w:val="959"/>
    <w:link w:val="1239"/>
    <w:uiPriority w:val="0"/>
    <w:qFormat/>
    <w:pPr>
      <w:ind w:firstLine="567"/>
      <w:spacing w:line="480" w:lineRule="exact"/>
      <w:widowControl/>
    </w:pPr>
    <w:rPr>
      <w:rFonts w:ascii="宋体"/>
      <w:color w:val="000000"/>
      <w:sz w:val="28"/>
      <w:szCs w:val="20"/>
    </w:rPr>
  </w:style>
  <w:style w:type="character" w:styleId="1241" w:customStyle="1">
    <w:name w:val="普通文字1 Char1"/>
    <w:uiPriority w:val="0"/>
    <w:qFormat/>
    <w:rPr>
      <w:rFonts w:ascii="宋体" w:hAnsi="Courier New" w:eastAsia="宋体"/>
      <w:sz w:val="21"/>
      <w:lang w:val="en-US" w:eastAsia="zh-CN" w:bidi="ar-SA"/>
    </w:rPr>
  </w:style>
  <w:style w:type="character" w:styleId="1242" w:customStyle="1">
    <w:name w:val="chanpin1"/>
    <w:uiPriority w:val="0"/>
    <w:qFormat/>
    <w:rPr>
      <w:rFonts w:ascii="ˎ̥" w:hAnsi="ˎ̥"/>
      <w:color w:val="000000"/>
      <w:sz w:val="20"/>
      <w:szCs w:val="20"/>
      <w:u w:val="none"/>
    </w:rPr>
  </w:style>
  <w:style w:type="character" w:styleId="1243" w:customStyle="1">
    <w:name w:val="列出段落 Char1"/>
    <w:link w:val="1244"/>
    <w:uiPriority w:val="34"/>
    <w:qFormat/>
    <w:rPr>
      <w:rFonts w:ascii="Calibri" w:hAnsi="Calibri" w:eastAsia="宋体"/>
      <w:sz w:val="21"/>
      <w:szCs w:val="22"/>
      <w:lang w:val="en-US" w:eastAsia="zh-CN" w:bidi="ar-SA"/>
    </w:rPr>
  </w:style>
  <w:style w:type="paragraph" w:styleId="1244" w:customStyle="1">
    <w:name w:val="列出段落1"/>
    <w:basedOn w:val="959"/>
    <w:link w:val="1243"/>
    <w:uiPriority w:val="34"/>
    <w:qFormat/>
    <w:pPr>
      <w:ind w:firstLine="420"/>
    </w:pPr>
    <w:rPr>
      <w:rFonts w:ascii="Calibri" w:hAnsi="Calibri"/>
      <w:szCs w:val="22"/>
    </w:rPr>
  </w:style>
  <w:style w:type="character" w:styleId="1245" w:customStyle="1">
    <w:name w:val="标题 3 Char Char"/>
    <w:uiPriority w:val="0"/>
    <w:qFormat/>
    <w:rPr>
      <w:rFonts w:eastAsia="宋体"/>
      <w:b/>
      <w:bCs/>
      <w:sz w:val="32"/>
      <w:szCs w:val="32"/>
      <w:lang w:val="en-US" w:eastAsia="zh-CN" w:bidi="ar-SA"/>
    </w:rPr>
  </w:style>
  <w:style w:type="character" w:styleId="1246" w:customStyle="1">
    <w:name w:val="段1 Char"/>
    <w:uiPriority w:val="0"/>
    <w:qFormat/>
    <w:rPr>
      <w:rFonts w:ascii="宋体" w:eastAsia="宋体"/>
      <w:sz w:val="24"/>
      <w:lang w:val="en-US" w:eastAsia="zh-CN" w:bidi="ar-SA"/>
    </w:rPr>
  </w:style>
  <w:style w:type="character" w:styleId="1247" w:customStyle="1">
    <w:name w:val="chanpin拷贝"/>
    <w:uiPriority w:val="0"/>
    <w:qFormat/>
  </w:style>
  <w:style w:type="character" w:styleId="1248" w:customStyle="1">
    <w:name w:val="纯文本 Char1"/>
    <w:uiPriority w:val="0"/>
    <w:qFormat/>
    <w:rPr>
      <w:rFonts w:ascii="宋体" w:hAnsi="Courier New" w:eastAsia="宋体"/>
      <w:sz w:val="21"/>
      <w:lang w:val="en-US" w:eastAsia="zh-CN" w:bidi="ar-SA"/>
    </w:rPr>
  </w:style>
  <w:style w:type="character" w:styleId="1249" w:customStyle="1">
    <w:name w:val="apple-style-span"/>
    <w:link w:val="959"/>
    <w:uiPriority w:val="0"/>
    <w:qFormat/>
    <w:rPr>
      <w:rFonts w:ascii="Times New Roman" w:hAnsi="Times New Roman" w:eastAsia="宋体" w:cs="Times New Roman"/>
      <w:sz w:val="21"/>
      <w:szCs w:val="24"/>
      <w:lang w:val="en-US" w:eastAsia="zh-CN" w:bidi="ar-SA"/>
    </w:rPr>
  </w:style>
  <w:style w:type="paragraph" w:styleId="1250" w:customStyle="1">
    <w:name w:val="二级条标题"/>
    <w:basedOn w:val="1251"/>
    <w:next w:val="959"/>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251" w:customStyle="1">
    <w:name w:val="一级条标题"/>
    <w:basedOn w:val="1252"/>
    <w:next w:val="959"/>
    <w:uiPriority w:val="0"/>
    <w:qFormat/>
    <w:pPr>
      <w:numPr>
        <w:ilvl w:val="1"/>
      </w:numPr>
      <w:ind w:left="0" w:hanging="840"/>
      <w:tabs>
        <w:tab w:val="left" w:pos="360" w:leader="none"/>
        <w:tab w:val="left" w:pos="840" w:leader="none"/>
      </w:tabs>
      <w:outlineLvl w:val="1"/>
    </w:pPr>
  </w:style>
  <w:style w:type="paragraph" w:styleId="1252" w:customStyle="1">
    <w:name w:val="章标题"/>
    <w:next w:val="959"/>
    <w:uiPriority w:val="0"/>
    <w:qFormat/>
    <w:pPr>
      <w:numPr>
        <w:ilvl w:val="0"/>
        <w:numId w:val="1"/>
      </w:numPr>
      <w:ind w:left="0"/>
      <w:jc w:val="both"/>
      <w:spacing w:before="156" w:after="156" w:line="460" w:lineRule="exact"/>
      <w:outlineLvl w:val="0"/>
    </w:pPr>
    <w:rPr>
      <w:rFonts w:ascii="黑体" w:hAnsi="Times New Roman" w:eastAsia="黑体" w:cs="Times New Roman"/>
      <w:b/>
      <w:sz w:val="28"/>
      <w:lang w:val="en-US" w:eastAsia="zh-CN" w:bidi="ar-SA"/>
    </w:rPr>
  </w:style>
  <w:style w:type="paragraph" w:styleId="1253" w:customStyle="1">
    <w:name w:val="font7"/>
    <w:basedOn w:val="959"/>
    <w:uiPriority w:val="0"/>
    <w:qFormat/>
    <w:pPr>
      <w:jc w:val="left"/>
      <w:spacing w:before="100" w:beforeAutospacing="1" w:after="100" w:afterAutospacing="1"/>
      <w:widowControl/>
    </w:pPr>
    <w:rPr>
      <w:rFonts w:eastAsia="Arial Unicode MS"/>
      <w:b/>
      <w:bCs/>
      <w:color w:val="000000"/>
      <w:sz w:val="20"/>
      <w:szCs w:val="20"/>
    </w:rPr>
  </w:style>
  <w:style w:type="paragraph" w:styleId="1254" w:customStyle="1">
    <w:name w:val="字元 字元"/>
    <w:basedOn w:val="959"/>
    <w:uiPriority w:val="0"/>
    <w:qFormat/>
    <w:rPr>
      <w:rFonts w:ascii="Tahoma" w:hAnsi="Tahoma"/>
      <w:sz w:val="24"/>
      <w:szCs w:val="20"/>
    </w:rPr>
  </w:style>
  <w:style w:type="paragraph" w:styleId="1255" w:customStyle="1">
    <w:name w:val="Char3 Char Char Char"/>
    <w:basedOn w:val="959"/>
    <w:uiPriority w:val="0"/>
    <w:qFormat/>
    <w:rPr>
      <w:rFonts w:ascii="Tahoma" w:hAnsi="Tahoma"/>
      <w:sz w:val="24"/>
      <w:szCs w:val="20"/>
    </w:rPr>
  </w:style>
  <w:style w:type="paragraph" w:styleId="1256" w:customStyle="1">
    <w:name w:val="font6"/>
    <w:basedOn w:val="959"/>
    <w:uiPriority w:val="0"/>
    <w:qFormat/>
    <w:pPr>
      <w:jc w:val="left"/>
      <w:spacing w:before="100" w:beforeAutospacing="1" w:after="100" w:afterAutospacing="1"/>
      <w:widowControl/>
    </w:pPr>
    <w:rPr>
      <w:rFonts w:ascii="宋体" w:hAnsi="宋体" w:cs="宋体"/>
      <w:sz w:val="20"/>
      <w:szCs w:val="20"/>
    </w:rPr>
  </w:style>
  <w:style w:type="paragraph" w:styleId="1257" w:customStyle="1">
    <w:name w:val="项目编号2"/>
    <w:basedOn w:val="1258"/>
    <w:uiPriority w:val="0"/>
    <w:qFormat/>
    <w:pPr>
      <w:numPr>
        <w:numId w:val="2"/>
      </w:numPr>
    </w:pPr>
  </w:style>
  <w:style w:type="paragraph" w:styleId="1258" w:customStyle="1">
    <w:name w:val="项目编号1"/>
    <w:basedOn w:val="959"/>
    <w:uiPriority w:val="0"/>
    <w:qFormat/>
    <w:pPr>
      <w:numPr>
        <w:ilvl w:val="0"/>
        <w:numId w:val="3"/>
      </w:numPr>
      <w:spacing w:before="100" w:beforeAutospacing="1" w:after="100" w:afterAutospacing="1" w:line="360" w:lineRule="auto"/>
    </w:pPr>
    <w:rPr>
      <w:sz w:val="24"/>
    </w:rPr>
  </w:style>
  <w:style w:type="paragraph" w:styleId="1259" w:customStyle="1">
    <w:name w:val="图中文字"/>
    <w:basedOn w:val="959"/>
    <w:uiPriority w:val="0"/>
    <w:qFormat/>
    <w:pPr>
      <w:jc w:val="center"/>
      <w:spacing w:line="0" w:lineRule="atLeast"/>
    </w:pPr>
    <w:rPr>
      <w:sz w:val="24"/>
      <w:szCs w:val="20"/>
    </w:rPr>
  </w:style>
  <w:style w:type="paragraph" w:styleId="1260" w:customStyle="1">
    <w:name w:val="xl46"/>
    <w:basedOn w:val="959"/>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61" w:customStyle="1">
    <w:name w:val="xl25"/>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2" w:customStyle="1">
    <w:name w:val="Char2"/>
    <w:basedOn w:val="959"/>
    <w:uiPriority w:val="0"/>
    <w:qFormat/>
    <w:rPr>
      <w:rFonts w:ascii="Tahoma" w:hAnsi="Tahoma"/>
      <w:sz w:val="24"/>
      <w:szCs w:val="20"/>
    </w:rPr>
  </w:style>
  <w:style w:type="paragraph" w:styleId="1263" w:customStyle="1">
    <w:name w:val="xl35"/>
    <w:basedOn w:val="95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64" w:customStyle="1">
    <w:name w:val="xl40"/>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65" w:customStyle="1">
    <w:name w:val="xl52"/>
    <w:basedOn w:val="95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66" w:customStyle="1">
    <w:name w:val="xl43"/>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67" w:customStyle="1">
    <w:name w:val="background1"/>
    <w:basedOn w:val="959"/>
    <w:uiPriority w:val="0"/>
    <w:qFormat/>
    <w:pPr>
      <w:jc w:val="left"/>
      <w:spacing w:before="100" w:beforeAutospacing="1" w:after="100" w:afterAutospacing="1"/>
      <w:widowControl/>
    </w:pPr>
    <w:rPr>
      <w:rFonts w:ascii="宋体" w:hAnsi="宋体" w:cs="宋体"/>
      <w:sz w:val="24"/>
    </w:rPr>
  </w:style>
  <w:style w:type="paragraph" w:styleId="1268" w:customStyle="1">
    <w:name w:val="Char Char Char Char Char Char Char"/>
    <w:basedOn w:val="959"/>
    <w:uiPriority w:val="0"/>
    <w:qFormat/>
    <w:pPr>
      <w:ind w:firstLine="200"/>
      <w:spacing w:line="360" w:lineRule="auto"/>
    </w:pPr>
    <w:rPr>
      <w:rFonts w:eastAsia="仿宋_GB2312"/>
      <w:sz w:val="24"/>
    </w:rPr>
  </w:style>
  <w:style w:type="paragraph" w:styleId="1269" w:customStyle="1">
    <w:name w:val="xl38"/>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0" w:customStyle="1">
    <w:name w:val="xl36"/>
    <w:basedOn w:val="959"/>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1" w:customStyle="1">
    <w:name w:val="正文 + 宋体"/>
    <w:basedOn w:val="959"/>
    <w:uiPriority w:val="0"/>
    <w:qFormat/>
    <w:pPr>
      <w:ind w:left="360" w:hanging="360"/>
      <w:jc w:val="left"/>
      <w:widowControl/>
    </w:pPr>
    <w:rPr>
      <w:rFonts w:ascii="宋体" w:hAnsi="宋体" w:cs="宋体"/>
      <w:b/>
      <w:bCs/>
      <w:color w:val="000000"/>
      <w:sz w:val="18"/>
      <w:szCs w:val="18"/>
    </w:rPr>
  </w:style>
  <w:style w:type="paragraph" w:styleId="1272" w:customStyle="1">
    <w:name w:val="正文列项_数字"/>
    <w:basedOn w:val="959"/>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73" w:customStyle="1">
    <w:name w:val="xl39"/>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4" w:customStyle="1">
    <w:name w:val="xl37"/>
    <w:basedOn w:val="959"/>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75" w:customStyle="1">
    <w:name w:val="xl32"/>
    <w:basedOn w:val="95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6" w:customStyle="1">
    <w:name w:val="font8"/>
    <w:basedOn w:val="959"/>
    <w:uiPriority w:val="0"/>
    <w:qFormat/>
    <w:pPr>
      <w:jc w:val="left"/>
      <w:spacing w:before="100" w:beforeAutospacing="1" w:after="100" w:afterAutospacing="1"/>
      <w:widowControl/>
    </w:pPr>
    <w:rPr>
      <w:sz w:val="36"/>
      <w:szCs w:val="36"/>
    </w:rPr>
  </w:style>
  <w:style w:type="paragraph" w:styleId="1277" w:customStyle="1">
    <w:name w:val="Char"/>
    <w:basedOn w:val="959"/>
    <w:uiPriority w:val="0"/>
    <w:qFormat/>
    <w:pPr>
      <w:tabs>
        <w:tab w:val="left" w:pos="360" w:leader="none"/>
      </w:tabs>
    </w:pPr>
    <w:rPr>
      <w:sz w:val="24"/>
    </w:rPr>
  </w:style>
  <w:style w:type="paragraph" w:styleId="1278" w:customStyle="1">
    <w:name w:val="Char Char Char Char Char Char Char Char Char Char Char Char Char Char Char Char"/>
    <w:basedOn w:val="959"/>
    <w:uiPriority w:val="0"/>
    <w:qFormat/>
    <w:pPr>
      <w:jc w:val="center"/>
      <w:spacing w:after="160" w:line="240" w:lineRule="exact"/>
      <w:widowControl/>
    </w:pPr>
    <w:rPr>
      <w:rFonts w:ascii="宋体" w:hAnsi="宋体"/>
      <w:b/>
      <w:sz w:val="30"/>
      <w:szCs w:val="30"/>
      <w:lang w:eastAsia="en-US"/>
    </w:rPr>
  </w:style>
  <w:style w:type="paragraph" w:styleId="1279" w:customStyle="1">
    <w:name w:val="xl45"/>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0" w:customStyle="1">
    <w:name w:val="Char Char1 Char Char Char Char Char Char"/>
    <w:basedOn w:val="959"/>
    <w:uiPriority w:val="0"/>
    <w:qFormat/>
    <w:pPr>
      <w:jc w:val="left"/>
      <w:spacing w:after="160" w:line="240" w:lineRule="exact"/>
      <w:widowControl/>
    </w:pPr>
    <w:rPr>
      <w:rFonts w:ascii="Verdana" w:hAnsi="Verdana" w:eastAsia="仿宋_GB2312"/>
      <w:sz w:val="24"/>
      <w:szCs w:val="20"/>
      <w:lang w:eastAsia="en-US"/>
    </w:rPr>
  </w:style>
  <w:style w:type="paragraph" w:styleId="1281" w:customStyle="1">
    <w:name w:val="Char Char1"/>
    <w:basedOn w:val="1177"/>
    <w:uiPriority w:val="0"/>
    <w:qFormat/>
    <w:rPr>
      <w:rFonts w:ascii="Tahoma" w:hAnsi="Tahoma"/>
      <w:sz w:val="24"/>
    </w:rPr>
  </w:style>
  <w:style w:type="paragraph" w:styleId="1282" w:customStyle="1">
    <w:name w:val="xl26"/>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83" w:customStyle="1">
    <w:name w:val="xl30"/>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4" w:customStyle="1">
    <w:name w:val="xl41"/>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85" w:customStyle="1">
    <w:name w:val="样式 宋体 五号 行距: 单倍行距"/>
    <w:basedOn w:val="959"/>
    <w:uiPriority w:val="0"/>
    <w:qFormat/>
    <w:pPr>
      <w:jc w:val="left"/>
    </w:pPr>
    <w:rPr>
      <w:rFonts w:ascii="宋体" w:hAnsi="宋体"/>
      <w:szCs w:val="20"/>
    </w:rPr>
  </w:style>
  <w:style w:type="paragraph" w:styleId="1286" w:customStyle="1">
    <w:name w:val="Char1 Char Char Char1"/>
    <w:basedOn w:val="959"/>
    <w:uiPriority w:val="0"/>
    <w:qFormat/>
    <w:rPr>
      <w:rFonts w:ascii="Tahoma" w:hAnsi="Tahoma" w:cs="仿宋_GB2312"/>
      <w:sz w:val="24"/>
      <w:szCs w:val="28"/>
    </w:rPr>
  </w:style>
  <w:style w:type="paragraph" w:styleId="1287" w:customStyle="1">
    <w:name w:val="四级条标题"/>
    <w:basedOn w:val="1288"/>
    <w:next w:val="959"/>
    <w:uiPriority w:val="0"/>
    <w:qFormat/>
    <w:pPr>
      <w:numPr>
        <w:ilvl w:val="4"/>
      </w:numPr>
      <w:ind w:left="0" w:hanging="840"/>
      <w:tabs>
        <w:tab w:val="left" w:pos="360" w:leader="none"/>
        <w:tab w:val="left" w:pos="840" w:leader="none"/>
      </w:tabs>
      <w:outlineLvl w:val="4"/>
    </w:pPr>
  </w:style>
  <w:style w:type="paragraph" w:styleId="1288" w:customStyle="1">
    <w:name w:val="三级条标题"/>
    <w:basedOn w:val="1250"/>
    <w:next w:val="959"/>
    <w:uiPriority w:val="0"/>
    <w:qFormat/>
    <w:pPr>
      <w:numPr>
        <w:ilvl w:val="3"/>
        <w:numId w:val="1"/>
      </w:numPr>
      <w:ind w:left="0" w:hanging="840"/>
      <w:outlineLvl w:val="3"/>
    </w:pPr>
  </w:style>
  <w:style w:type="paragraph" w:styleId="1289" w:customStyle="1">
    <w:name w:val="??"/>
    <w:uiPriority w:val="0"/>
    <w:qFormat/>
    <w:pPr>
      <w:jc w:val="both"/>
      <w:widowControl w:val="off"/>
    </w:pPr>
    <w:rPr>
      <w:rFonts w:ascii="Times New Roman" w:hAnsi="Times New Roman" w:eastAsia="宋体" w:cs="Times New Roman"/>
      <w:sz w:val="21"/>
      <w:lang w:val="en-US" w:eastAsia="en-US" w:bidi="ar-SA"/>
    </w:rPr>
  </w:style>
  <w:style w:type="paragraph" w:styleId="1290" w:customStyle="1">
    <w:name w:val="样式 标题 2 + 宋体 五号 行距: 单倍行距"/>
    <w:basedOn w:val="1152"/>
    <w:uiPriority w:val="0"/>
    <w:qFormat/>
    <w:pPr>
      <w:numPr>
        <w:ilvl w:val="1"/>
        <w:numId w:val="4"/>
      </w:numPr>
      <w:jc w:val="left"/>
      <w:spacing w:before="260" w:after="260" w:line="240" w:lineRule="auto"/>
    </w:pPr>
    <w:rPr>
      <w:rFonts w:ascii="宋体" w:hAnsi="宋体" w:eastAsia="宋体"/>
      <w:bCs/>
      <w:sz w:val="21"/>
    </w:rPr>
  </w:style>
  <w:style w:type="paragraph" w:styleId="1291" w:customStyle="1">
    <w:name w:val="List Paragraph1"/>
    <w:basedOn w:val="959"/>
    <w:uiPriority w:val="0"/>
    <w:qFormat/>
    <w:pPr>
      <w:ind w:firstLine="420"/>
    </w:pPr>
    <w:rPr>
      <w:rFonts w:ascii="Calibri" w:hAnsi="Calibri"/>
      <w:szCs w:val="22"/>
    </w:rPr>
  </w:style>
  <w:style w:type="paragraph" w:styleId="1292" w:customStyle="1">
    <w:name w:val="项目符号1"/>
    <w:basedOn w:val="1293"/>
    <w:uiPriority w:val="0"/>
    <w:qFormat/>
    <w:pPr>
      <w:ind w:left="-25" w:firstLine="0"/>
    </w:pPr>
  </w:style>
  <w:style w:type="paragraph" w:styleId="1293" w:customStyle="1">
    <w:name w:val="正文文本样式"/>
    <w:basedOn w:val="959"/>
    <w:uiPriority w:val="0"/>
    <w:qFormat/>
    <w:pPr>
      <w:ind w:firstLine="482"/>
      <w:spacing w:line="360" w:lineRule="auto"/>
    </w:pPr>
    <w:rPr>
      <w:rFonts w:cs="宋体"/>
      <w:sz w:val="24"/>
      <w:szCs w:val="20"/>
    </w:rPr>
  </w:style>
  <w:style w:type="paragraph" w:styleId="1294" w:customStyle="1">
    <w:name w:val="xl27"/>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95" w:customStyle="1">
    <w:name w:val="font5"/>
    <w:basedOn w:val="959"/>
    <w:uiPriority w:val="0"/>
    <w:qFormat/>
    <w:pPr>
      <w:jc w:val="left"/>
      <w:spacing w:before="100" w:beforeAutospacing="1" w:after="100" w:afterAutospacing="1"/>
      <w:widowControl/>
    </w:pPr>
    <w:rPr>
      <w:rFonts w:ascii="宋体" w:hAnsi="宋体" w:cs="宋体"/>
      <w:sz w:val="18"/>
      <w:szCs w:val="18"/>
    </w:rPr>
  </w:style>
  <w:style w:type="paragraph" w:styleId="1296" w:customStyle="1">
    <w:name w:val="五级条标题"/>
    <w:basedOn w:val="1287"/>
    <w:next w:val="959"/>
    <w:uiPriority w:val="0"/>
    <w:qFormat/>
    <w:pPr>
      <w:numPr>
        <w:ilvl w:val="5"/>
      </w:numPr>
      <w:ind w:left="0" w:hanging="840"/>
      <w:outlineLvl w:val="5"/>
    </w:pPr>
  </w:style>
  <w:style w:type="paragraph" w:styleId="1297" w:customStyle="1">
    <w:name w:val="xl49"/>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98" w:customStyle="1">
    <w:name w:val="文档正文"/>
    <w:basedOn w:val="959"/>
    <w:uiPriority w:val="0"/>
    <w:qFormat/>
    <w:pPr>
      <w:spacing w:before="120" w:after="120" w:line="180" w:lineRule="auto"/>
    </w:pPr>
    <w:rPr>
      <w:rFonts w:ascii="Arial" w:hAnsi="Arial"/>
      <w:szCs w:val="20"/>
    </w:rPr>
  </w:style>
  <w:style w:type="paragraph" w:styleId="1299" w:customStyle="1">
    <w:name w:val="xl33"/>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00" w:customStyle="1">
    <w:name w:val="xl42"/>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301" w:customStyle="1">
    <w:name w:val="Char Char Char1 Char"/>
    <w:basedOn w:val="959"/>
    <w:uiPriority w:val="0"/>
    <w:qFormat/>
    <w:rPr>
      <w:rFonts w:ascii="Tahoma" w:hAnsi="Tahoma"/>
      <w:sz w:val="24"/>
      <w:szCs w:val="20"/>
    </w:rPr>
  </w:style>
  <w:style w:type="paragraph" w:styleId="1302" w:customStyle="1">
    <w:name w:val="xl44"/>
    <w:basedOn w:val="9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303" w:customStyle="1">
    <w:name w:val="1名"/>
    <w:basedOn w:val="959"/>
    <w:uiPriority w:val="0"/>
    <w:qFormat/>
    <w:pPr>
      <w:numPr>
        <w:ilvl w:val="0"/>
        <w:numId w:val="5"/>
      </w:numPr>
      <w:spacing w:before="120"/>
    </w:pPr>
    <w:rPr>
      <w:rFonts w:ascii="宋体"/>
      <w:sz w:val="28"/>
      <w:szCs w:val="20"/>
    </w:rPr>
  </w:style>
  <w:style w:type="paragraph" w:styleId="1304" w:customStyle="1">
    <w:name w:val="font9"/>
    <w:basedOn w:val="959"/>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305" w:customStyle="1">
    <w:name w:val="Char Char Char1 Char1"/>
    <w:basedOn w:val="959"/>
    <w:uiPriority w:val="0"/>
    <w:qFormat/>
    <w:rPr>
      <w:rFonts w:ascii="Tahoma" w:hAnsi="Tahoma"/>
      <w:sz w:val="24"/>
      <w:szCs w:val="20"/>
    </w:rPr>
  </w:style>
  <w:style w:type="paragraph" w:styleId="1306" w:customStyle="1">
    <w:name w:val="Char Char Char Char Char Char Char Char Char Char"/>
    <w:basedOn w:val="959"/>
    <w:uiPriority w:val="0"/>
    <w:qFormat/>
  </w:style>
  <w:style w:type="paragraph" w:styleId="1307" w:customStyle="1">
    <w:name w:val="Char Char1 Char Char Char Char Char Char Char Char"/>
    <w:basedOn w:val="959"/>
    <w:uiPriority w:val="0"/>
    <w:qFormat/>
    <w:pPr>
      <w:jc w:val="left"/>
      <w:spacing w:after="160" w:line="240" w:lineRule="exact"/>
      <w:widowControl/>
    </w:pPr>
    <w:rPr>
      <w:rFonts w:ascii="Verdana" w:hAnsi="Verdana"/>
      <w:sz w:val="20"/>
      <w:szCs w:val="20"/>
      <w:lang w:eastAsia="en-US"/>
    </w:rPr>
  </w:style>
  <w:style w:type="paragraph" w:styleId="1308" w:customStyle="1">
    <w:name w:val="Char1"/>
    <w:basedOn w:val="959"/>
    <w:uiPriority w:val="0"/>
    <w:qFormat/>
    <w:pPr>
      <w:tabs>
        <w:tab w:val="left" w:pos="360" w:leader="none"/>
      </w:tabs>
    </w:pPr>
    <w:rPr>
      <w:sz w:val="24"/>
    </w:rPr>
  </w:style>
  <w:style w:type="paragraph" w:styleId="1309" w:customStyle="1">
    <w:name w:val="正文列项_字母"/>
    <w:basedOn w:val="959"/>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310" w:customStyle="1">
    <w:name w:val="xl28"/>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311" w:customStyle="1">
    <w:name w:val="xl47"/>
    <w:basedOn w:val="95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2" w:customStyle="1">
    <w:name w:val="默认段落字体 Para Char Char Char Char"/>
    <w:basedOn w:val="959"/>
    <w:uiPriority w:val="0"/>
    <w:qFormat/>
    <w:rPr>
      <w:rFonts w:ascii="Arial" w:hAnsi="Arial" w:cs="Arial"/>
      <w:szCs w:val="21"/>
    </w:rPr>
  </w:style>
  <w:style w:type="paragraph" w:styleId="1313" w:customStyle="1">
    <w:name w:val="xl48"/>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314" w:customStyle="1">
    <w:name w:val="xl31"/>
    <w:basedOn w:val="95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315" w:customStyle="1">
    <w:name w:val="xl53"/>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16" w:customStyle="1">
    <w:name w:val="Char Char Char"/>
    <w:basedOn w:val="959"/>
    <w:uiPriority w:val="0"/>
    <w:qFormat/>
    <w:rPr>
      <w:rFonts w:ascii="Tahoma" w:hAnsi="Tahoma"/>
      <w:sz w:val="24"/>
      <w:szCs w:val="20"/>
    </w:rPr>
  </w:style>
  <w:style w:type="paragraph" w:styleId="1317" w:customStyle="1">
    <w:name w:val="xl50"/>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318" w:customStyle="1">
    <w:name w:val="缺省文本"/>
    <w:basedOn w:val="959"/>
    <w:uiPriority w:val="0"/>
    <w:qFormat/>
    <w:pPr>
      <w:jc w:val="left"/>
    </w:pPr>
    <w:rPr>
      <w:sz w:val="24"/>
    </w:rPr>
  </w:style>
  <w:style w:type="paragraph" w:styleId="1319" w:customStyle="1">
    <w:name w:val="Char Char Char1"/>
    <w:basedOn w:val="959"/>
    <w:uiPriority w:val="0"/>
    <w:qFormat/>
    <w:rPr>
      <w:rFonts w:ascii="Tahoma" w:hAnsi="Tahoma"/>
      <w:sz w:val="24"/>
      <w:szCs w:val="20"/>
    </w:rPr>
  </w:style>
  <w:style w:type="paragraph" w:styleId="1320" w:customStyle="1">
    <w:name w:val="Char Char Char Char Char Char Char1"/>
    <w:basedOn w:val="959"/>
    <w:uiPriority w:val="0"/>
    <w:qFormat/>
    <w:pPr>
      <w:ind w:firstLine="200"/>
      <w:spacing w:line="360" w:lineRule="auto"/>
    </w:pPr>
    <w:rPr>
      <w:rFonts w:eastAsia="仿宋_GB2312"/>
      <w:sz w:val="24"/>
    </w:rPr>
  </w:style>
  <w:style w:type="paragraph" w:styleId="1321" w:customStyle="1">
    <w:name w:val="xl51"/>
    <w:basedOn w:val="959"/>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2" w:customStyle="1">
    <w:name w:val="样式2"/>
    <w:basedOn w:val="1212"/>
    <w:uiPriority w:val="0"/>
    <w:qFormat/>
    <w:pPr>
      <w:jc w:val="center"/>
      <w:spacing w:line="360" w:lineRule="auto"/>
    </w:pPr>
    <w:rPr>
      <w:sz w:val="24"/>
    </w:rPr>
  </w:style>
  <w:style w:type="paragraph" w:styleId="1323" w:customStyle="1">
    <w:name w:val="xl24"/>
    <w:basedOn w:val="95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324" w:customStyle="1">
    <w:name w:val="xl29"/>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25" w:customStyle="1">
    <w:name w:val="正文 + 楷体_GB2312"/>
    <w:basedOn w:val="959"/>
    <w:uiPriority w:val="0"/>
    <w:qFormat/>
    <w:pPr>
      <w:jc w:val="left"/>
      <w:widowControl/>
    </w:pPr>
    <w:rPr>
      <w:rFonts w:ascii="楷体_GB2312" w:eastAsia="楷体_GB2312" w:cs="Arial"/>
      <w:sz w:val="24"/>
    </w:rPr>
  </w:style>
  <w:style w:type="paragraph" w:styleId="1326" w:customStyle="1">
    <w:name w:val="xl34"/>
    <w:basedOn w:val="95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27" w:customStyle="1">
    <w:name w:val="1 Char Char Char Char"/>
    <w:basedOn w:val="959"/>
    <w:uiPriority w:val="0"/>
    <w:qFormat/>
    <w:rPr>
      <w:rFonts w:ascii="Tahoma" w:hAnsi="Tahoma"/>
      <w:sz w:val="24"/>
      <w:szCs w:val="20"/>
    </w:rPr>
  </w:style>
  <w:style w:type="paragraph" w:styleId="1328" w:customStyle="1">
    <w:name w:val="Default"/>
    <w:uiPriority w:val="0"/>
    <w:qFormat/>
    <w:pPr>
      <w:widowControl w:val="off"/>
    </w:pPr>
    <w:rPr>
      <w:rFonts w:ascii="Symbol" w:hAnsi="Symbol" w:eastAsia="宋体" w:cs="Symbol"/>
      <w:color w:val="000000"/>
      <w:sz w:val="24"/>
      <w:szCs w:val="24"/>
      <w:lang w:val="en-US" w:eastAsia="zh-CN" w:bidi="ar-SA"/>
    </w:rPr>
  </w:style>
  <w:style w:type="paragraph" w:styleId="1329" w:customStyle="1">
    <w:name w:val="列出段落11"/>
    <w:basedOn w:val="959"/>
    <w:uiPriority w:val="0"/>
    <w:qFormat/>
    <w:pPr>
      <w:ind w:firstLine="420"/>
    </w:pPr>
    <w:rPr>
      <w:rFonts w:ascii="Calibri" w:hAnsi="Calibri"/>
      <w:szCs w:val="22"/>
    </w:rPr>
  </w:style>
  <w:style w:type="paragraph" w:styleId="1330" w:customStyle="1">
    <w:name w:val="default"/>
    <w:basedOn w:val="959"/>
    <w:uiPriority w:val="0"/>
    <w:qFormat/>
    <w:pPr>
      <w:jc w:val="left"/>
      <w:spacing w:before="100" w:beforeAutospacing="1" w:after="100" w:afterAutospacing="1"/>
      <w:widowControl/>
    </w:pPr>
    <w:rPr>
      <w:rFonts w:ascii="宋体" w:hAnsi="宋体" w:cs="宋体"/>
      <w:sz w:val="24"/>
    </w:rPr>
  </w:style>
  <w:style w:type="paragraph" w:styleId="1331" w:customStyle="1">
    <w:name w:val="字元 字元1"/>
    <w:basedOn w:val="959"/>
    <w:uiPriority w:val="0"/>
    <w:qFormat/>
    <w:rPr>
      <w:rFonts w:ascii="Tahoma" w:hAnsi="Tahoma"/>
      <w:sz w:val="24"/>
      <w:szCs w:val="20"/>
    </w:rPr>
  </w:style>
  <w:style w:type="paragraph" w:styleId="1332" w:customStyle="1">
    <w:name w:val="_Style 160"/>
    <w:uiPriority w:val="0"/>
    <w:qFormat/>
    <w:rPr>
      <w:rFonts w:ascii="Times New Roman" w:hAnsi="Times New Roman" w:eastAsia="宋体" w:cs="Times New Roman"/>
      <w:sz w:val="21"/>
      <w:szCs w:val="24"/>
      <w:lang w:val="en-US" w:eastAsia="zh-CN" w:bidi="ar-SA"/>
    </w:rPr>
  </w:style>
  <w:style w:type="paragraph" w:styleId="1333" w:customStyle="1">
    <w:name w:val="项目编号3"/>
    <w:basedOn w:val="1293"/>
    <w:uiPriority w:val="0"/>
    <w:qFormat/>
    <w:pPr>
      <w:numPr>
        <w:ilvl w:val="0"/>
        <w:numId w:val="6"/>
      </w:numPr>
    </w:pPr>
  </w:style>
  <w:style w:type="paragraph" w:styleId="1334" w:customStyle="1">
    <w:name w:val="Char21"/>
    <w:basedOn w:val="959"/>
    <w:uiPriority w:val="0"/>
    <w:qFormat/>
    <w:rPr>
      <w:rFonts w:ascii="Tahoma" w:hAnsi="Tahoma"/>
      <w:sz w:val="24"/>
      <w:szCs w:val="20"/>
    </w:rPr>
  </w:style>
  <w:style w:type="paragraph" w:styleId="1335" w:customStyle="1">
    <w:name w:val="表格文字"/>
    <w:basedOn w:val="1183"/>
    <w:uiPriority w:val="0"/>
    <w:qFormat/>
    <w:pPr>
      <w:ind w:firstLine="0"/>
      <w:spacing w:before="20" w:after="20" w:line="240" w:lineRule="auto"/>
    </w:pPr>
    <w:rPr>
      <w:rFonts w:ascii="Century Gothic" w:hAnsi="Century Gothic"/>
      <w:sz w:val="20"/>
      <w:szCs w:val="20"/>
    </w:rPr>
  </w:style>
  <w:style w:type="paragraph" w:styleId="1336" w:customStyle="1">
    <w:name w:val="Char Char Char Char Char Char Char Char Char Char1"/>
    <w:basedOn w:val="959"/>
    <w:uiPriority w:val="0"/>
    <w:qFormat/>
    <w:rPr>
      <w:rFonts w:ascii="宋体" w:hAnsi="宋体" w:cs="Courier New"/>
      <w:sz w:val="32"/>
      <w:szCs w:val="32"/>
    </w:rPr>
  </w:style>
  <w:style w:type="paragraph" w:styleId="1337" w:customStyle="1">
    <w:name w:val="正文文本样式 加粗"/>
    <w:basedOn w:val="1293"/>
    <w:uiPriority w:val="0"/>
    <w:qFormat/>
    <w:rPr>
      <w:b/>
    </w:rPr>
  </w:style>
  <w:style w:type="paragraph" w:styleId="1338" w:customStyle="1">
    <w:name w:val="Char2 Char Char Char Char Char Char"/>
    <w:basedOn w:val="959"/>
    <w:uiPriority w:val="0"/>
    <w:qFormat/>
    <w:pPr>
      <w:jc w:val="center"/>
      <w:spacing w:line="400" w:lineRule="exact"/>
      <w:widowControl/>
    </w:pPr>
  </w:style>
  <w:style w:type="paragraph" w:styleId="1339" w:customStyle="1">
    <w:name w:val="Char Char4"/>
    <w:basedOn w:val="959"/>
    <w:uiPriority w:val="0"/>
    <w:qFormat/>
    <w:pPr>
      <w:jc w:val="center"/>
      <w:spacing w:line="400" w:lineRule="exact"/>
      <w:widowControl/>
    </w:pPr>
  </w:style>
  <w:style w:type="paragraph" w:styleId="1340" w:customStyle="1">
    <w:name w:val="Char3 Char Char Char1"/>
    <w:basedOn w:val="959"/>
    <w:uiPriority w:val="0"/>
    <w:qFormat/>
    <w:rPr>
      <w:rFonts w:ascii="Tahoma" w:hAnsi="Tahoma"/>
      <w:sz w:val="24"/>
      <w:szCs w:val="20"/>
    </w:rPr>
  </w:style>
  <w:style w:type="paragraph" w:styleId="1341"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342" w:customStyle="1">
    <w:name w:val="22222222222222"/>
    <w:basedOn w:val="959"/>
    <w:uiPriority w:val="0"/>
    <w:qFormat/>
    <w:pPr>
      <w:ind w:firstLine="480"/>
      <w:jc w:val="left"/>
      <w:spacing w:line="360" w:lineRule="auto"/>
      <w:widowControl/>
    </w:pPr>
    <w:rPr>
      <w:color w:val="ff0000"/>
      <w:sz w:val="24"/>
      <w:szCs w:val="20"/>
    </w:rPr>
  </w:style>
  <w:style w:type="character" w:styleId="1343" w:customStyle="1">
    <w:name w:val="中等深浅网格 1 - 强调文字颜色 2 Char"/>
    <w:link w:val="1344"/>
    <w:uiPriority w:val="0"/>
    <w:qFormat/>
    <w:rPr>
      <w:sz w:val="21"/>
      <w:szCs w:val="24"/>
      <w:lang w:val="zh-CN" w:eastAsia="zh-CN" w:bidi="ar-SA"/>
    </w:rPr>
  </w:style>
  <w:style w:type="paragraph" w:styleId="1344" w:customStyle="1">
    <w:name w:val="1"/>
    <w:link w:val="1343"/>
    <w:uiPriority w:val="0"/>
    <w:qFormat/>
    <w:rPr>
      <w:rFonts w:ascii="Times New Roman" w:hAnsi="Times New Roman" w:eastAsia="宋体" w:cs="Times New Roman"/>
      <w:sz w:val="21"/>
      <w:szCs w:val="24"/>
      <w:lang w:val="zh-CN" w:eastAsia="zh-CN" w:bidi="ar-SA"/>
    </w:rPr>
  </w:style>
  <w:style w:type="paragraph" w:styleId="1345" w:customStyle="1">
    <w:name w:val="图文"/>
    <w:basedOn w:val="959"/>
    <w:uiPriority w:val="0"/>
    <w:qFormat/>
    <w:pPr>
      <w:spacing w:after="50" w:line="360" w:lineRule="auto"/>
    </w:pPr>
    <w:rPr>
      <w:sz w:val="24"/>
    </w:rPr>
  </w:style>
  <w:style w:type="paragraph" w:styleId="1346" w:customStyle="1">
    <w:name w:val="xl23"/>
    <w:basedOn w:val="959"/>
    <w:uiPriority w:val="0"/>
    <w:qFormat/>
    <w:pPr>
      <w:spacing w:before="100" w:beforeAutospacing="1" w:after="100" w:afterAutospacing="1" w:line="360" w:lineRule="auto"/>
      <w:widowControl/>
    </w:pPr>
    <w:rPr>
      <w:sz w:val="24"/>
      <w:szCs w:val="20"/>
    </w:rPr>
  </w:style>
  <w:style w:type="paragraph" w:styleId="1347" w:customStyle="1">
    <w:name w:val="正文表格"/>
    <w:basedOn w:val="959"/>
    <w:link w:val="1348"/>
    <w:uiPriority w:val="0"/>
    <w:qFormat/>
    <w:pPr>
      <w:jc w:val="left"/>
    </w:pPr>
    <w:rPr>
      <w:rFonts w:ascii="宋体" w:hAnsi="宋体"/>
      <w:color w:val="000000"/>
      <w:szCs w:val="21"/>
    </w:rPr>
  </w:style>
  <w:style w:type="character" w:styleId="1348" w:customStyle="1">
    <w:name w:val="正文表格 Char"/>
    <w:link w:val="1347"/>
    <w:uiPriority w:val="0"/>
    <w:qFormat/>
    <w:rPr>
      <w:rFonts w:ascii="宋体" w:hAnsi="宋体"/>
      <w:color w:val="000000"/>
      <w:sz w:val="21"/>
      <w:szCs w:val="21"/>
    </w:rPr>
  </w:style>
  <w:style w:type="paragraph" w:styleId="1349" w:customStyle="1">
    <w:name w:val="正文重点"/>
    <w:basedOn w:val="959"/>
    <w:link w:val="1350"/>
    <w:uiPriority w:val="0"/>
    <w:qFormat/>
    <w:pPr>
      <w:ind w:firstLine="482"/>
      <w:jc w:val="left"/>
      <w:spacing w:line="360" w:lineRule="auto"/>
    </w:pPr>
    <w:rPr>
      <w:b/>
      <w:sz w:val="24"/>
      <w:szCs w:val="20"/>
    </w:rPr>
  </w:style>
  <w:style w:type="character" w:styleId="1350" w:customStyle="1">
    <w:name w:val="正文重点 Char"/>
    <w:link w:val="1349"/>
    <w:uiPriority w:val="0"/>
    <w:qFormat/>
    <w:rPr>
      <w:b/>
      <w:sz w:val="24"/>
    </w:rPr>
  </w:style>
  <w:style w:type="paragraph" w:styleId="1351" w:customStyle="1">
    <w:name w:val="标题1-附件"/>
    <w:basedOn w:val="1151"/>
    <w:uiPriority w:val="0"/>
    <w:qFormat/>
    <w:pPr>
      <w:jc w:val="left"/>
    </w:pPr>
    <w:rPr>
      <w:sz w:val="24"/>
      <w:szCs w:val="24"/>
    </w:rPr>
  </w:style>
  <w:style w:type="paragraph" w:styleId="1352" w:customStyle="1">
    <w:name w:val="正文小标题"/>
    <w:basedOn w:val="959"/>
    <w:next w:val="1153"/>
    <w:link w:val="1353"/>
    <w:uiPriority w:val="0"/>
    <w:qFormat/>
    <w:pPr>
      <w:ind w:firstLine="482"/>
      <w:jc w:val="left"/>
      <w:spacing w:before="312" w:after="312"/>
    </w:pPr>
    <w:rPr>
      <w:rFonts w:ascii="宋体" w:hAnsi="宋体"/>
      <w:b/>
      <w:i/>
      <w:color w:val="ff0000"/>
      <w:sz w:val="24"/>
      <w:szCs w:val="20"/>
    </w:rPr>
  </w:style>
  <w:style w:type="character" w:styleId="1353" w:customStyle="1">
    <w:name w:val="正文小标题 Char"/>
    <w:link w:val="1352"/>
    <w:uiPriority w:val="0"/>
    <w:qFormat/>
    <w:rPr>
      <w:rFonts w:ascii="宋体" w:hAnsi="宋体"/>
      <w:b/>
      <w:i/>
      <w:color w:val="ff0000"/>
      <w:sz w:val="24"/>
    </w:rPr>
  </w:style>
  <w:style w:type="paragraph" w:styleId="1354" w:customStyle="1">
    <w:name w:val="正文大标题"/>
    <w:basedOn w:val="1352"/>
    <w:next w:val="1153"/>
    <w:link w:val="1355"/>
    <w:uiPriority w:val="0"/>
    <w:qFormat/>
    <w:pPr>
      <w:jc w:val="center"/>
    </w:pPr>
    <w:rPr>
      <w:i w:val="0"/>
      <w:color w:val="000000"/>
      <w:sz w:val="28"/>
      <w:szCs w:val="21"/>
    </w:rPr>
  </w:style>
  <w:style w:type="character" w:styleId="1355" w:customStyle="1">
    <w:name w:val="正文大标题 Char"/>
    <w:link w:val="1354"/>
    <w:uiPriority w:val="0"/>
    <w:qFormat/>
    <w:rPr>
      <w:rFonts w:ascii="宋体" w:hAnsi="宋体"/>
      <w:b/>
      <w:color w:val="000000"/>
      <w:sz w:val="28"/>
      <w:szCs w:val="21"/>
    </w:rPr>
  </w:style>
  <w:style w:type="paragraph" w:styleId="1356" w:customStyle="1">
    <w:name w:val="注释"/>
    <w:basedOn w:val="959"/>
    <w:link w:val="1357"/>
    <w:uiPriority w:val="0"/>
    <w:qFormat/>
    <w:pPr>
      <w:ind w:left="420" w:hanging="420"/>
      <w:jc w:val="left"/>
    </w:pPr>
    <w:rPr>
      <w:rFonts w:ascii="宋体" w:hAnsi="宋体"/>
      <w:szCs w:val="21"/>
    </w:rPr>
  </w:style>
  <w:style w:type="character" w:styleId="1357" w:customStyle="1">
    <w:name w:val="注释 Char"/>
    <w:link w:val="1356"/>
    <w:uiPriority w:val="0"/>
    <w:qFormat/>
    <w:rPr>
      <w:rFonts w:ascii="宋体" w:hAnsi="宋体"/>
      <w:sz w:val="21"/>
      <w:szCs w:val="21"/>
    </w:rPr>
  </w:style>
  <w:style w:type="paragraph" w:styleId="1358" w:customStyle="1">
    <w:name w:val="正文须知-1级"/>
    <w:basedOn w:val="959"/>
    <w:next w:val="959"/>
    <w:uiPriority w:val="0"/>
    <w:qFormat/>
    <w:pPr>
      <w:numPr>
        <w:ilvl w:val="0"/>
        <w:numId w:val="7"/>
      </w:numPr>
      <w:spacing w:line="300" w:lineRule="auto"/>
    </w:pPr>
    <w:rPr>
      <w:rFonts w:ascii="宋体" w:hAnsi="Calibri"/>
      <w:sz w:val="24"/>
      <w:szCs w:val="21"/>
    </w:rPr>
  </w:style>
  <w:style w:type="paragraph" w:styleId="1359" w:customStyle="1">
    <w:name w:val="正文须知-2级"/>
    <w:basedOn w:val="959"/>
    <w:uiPriority w:val="0"/>
    <w:qFormat/>
    <w:pPr>
      <w:numPr>
        <w:ilvl w:val="1"/>
        <w:numId w:val="7"/>
      </w:numPr>
      <w:spacing w:line="300" w:lineRule="auto"/>
    </w:pPr>
    <w:rPr>
      <w:rFonts w:ascii="宋体" w:hAnsi="Calibri"/>
      <w:sz w:val="24"/>
      <w:szCs w:val="21"/>
    </w:rPr>
  </w:style>
  <w:style w:type="paragraph" w:styleId="1360" w:customStyle="1">
    <w:name w:val="正文须知-3级"/>
    <w:basedOn w:val="959"/>
    <w:uiPriority w:val="0"/>
    <w:qFormat/>
    <w:pPr>
      <w:numPr>
        <w:ilvl w:val="2"/>
        <w:numId w:val="7"/>
      </w:numPr>
      <w:ind w:hanging="355"/>
      <w:spacing w:line="300" w:lineRule="auto"/>
    </w:pPr>
    <w:rPr>
      <w:rFonts w:ascii="宋体" w:hAnsi="Calibri"/>
      <w:sz w:val="24"/>
      <w:szCs w:val="21"/>
    </w:rPr>
  </w:style>
  <w:style w:type="character" w:styleId="1361" w:customStyle="1">
    <w:name w:val="纯文本 字符"/>
    <w:uiPriority w:val="99"/>
    <w:qFormat/>
    <w:rPr>
      <w:rFonts w:ascii="宋体" w:hAnsi="Courier New" w:eastAsia="宋体" w:cs="Times New Roman"/>
      <w:sz w:val="21"/>
      <w:szCs w:val="21"/>
      <w:lang w:val="en-US" w:eastAsia="zh-CN" w:bidi="ar-SA"/>
    </w:rPr>
  </w:style>
  <w:style w:type="paragraph" w:styleId="1362" w:customStyle="1">
    <w:name w:val="表格1"/>
    <w:basedOn w:val="959"/>
    <w:uiPriority w:val="0"/>
    <w:qFormat/>
    <w:pPr>
      <w:ind w:firstLine="480"/>
      <w:jc w:val="center"/>
    </w:pPr>
    <w:rPr>
      <w:sz w:val="24"/>
      <w:szCs w:val="20"/>
    </w:rPr>
  </w:style>
  <w:style w:type="character" w:styleId="1363" w:customStyle="1">
    <w:name w:val="纯文本 字符1"/>
    <w:uiPriority w:val="0"/>
    <w:qFormat/>
    <w:rPr>
      <w:rFonts w:ascii="宋体" w:hAnsi="Courier New"/>
    </w:rPr>
  </w:style>
  <w:style w:type="character" w:styleId="1364" w:customStyle="1">
    <w:name w:val="bjh-p"/>
    <w:uiPriority w:val="0"/>
    <w:qFormat/>
  </w:style>
  <w:style w:type="paragraph" w:styleId="1365" w:customStyle="1">
    <w:name w:val="无标题条"/>
    <w:next w:val="959"/>
    <w:uiPriority w:val="0"/>
    <w:qFormat/>
    <w:pPr>
      <w:jc w:val="both"/>
    </w:pPr>
    <w:rPr>
      <w:rFonts w:ascii="Times New Roman" w:hAnsi="Times New Roman" w:eastAsia="宋体" w:cs="Times New Roman"/>
      <w:sz w:val="21"/>
      <w:lang w:val="en-US" w:eastAsia="zh-CN" w:bidi="ar-SA"/>
    </w:rPr>
  </w:style>
  <w:style w:type="character" w:styleId="1366" w:customStyle="1">
    <w:name w:val="正文格式 Char"/>
    <w:link w:val="1367"/>
    <w:uiPriority w:val="0"/>
    <w:qFormat/>
    <w:rPr>
      <w:rFonts w:ascii="宋体" w:hAnsi="宋体"/>
      <w:sz w:val="24"/>
      <w:szCs w:val="24"/>
      <w:lang w:val="en-GB"/>
    </w:rPr>
  </w:style>
  <w:style w:type="paragraph" w:styleId="1367" w:customStyle="1">
    <w:name w:val="正文格式"/>
    <w:basedOn w:val="959"/>
    <w:link w:val="1366"/>
    <w:uiPriority w:val="0"/>
    <w:qFormat/>
    <w:pPr>
      <w:ind w:firstLine="480"/>
      <w:spacing w:line="360" w:lineRule="auto"/>
    </w:pPr>
    <w:rPr>
      <w:rFonts w:ascii="宋体" w:hAnsi="宋体"/>
      <w:sz w:val="24"/>
      <w:lang w:val="en-GB"/>
    </w:rPr>
  </w:style>
  <w:style w:type="character" w:styleId="1368" w:customStyle="1">
    <w:name w:val="标题 3 Char"/>
    <w:uiPriority w:val="0"/>
    <w:qFormat/>
    <w:rPr>
      <w:rFonts w:ascii="宋体" w:eastAsia="宋体"/>
      <w:b/>
      <w:sz w:val="24"/>
      <w:u w:val="single"/>
      <w:lang w:val="en-US" w:eastAsia="zh-CN" w:bidi="ar-SA"/>
    </w:rPr>
  </w:style>
  <w:style w:type="character" w:styleId="1369" w:customStyle="1">
    <w:name w:val="正文缩进 Char"/>
    <w:uiPriority w:val="0"/>
    <w:qFormat/>
    <w:rPr>
      <w:rFonts w:ascii="宋体" w:eastAsia="宋体"/>
      <w:sz w:val="24"/>
      <w:szCs w:val="24"/>
      <w:lang w:val="en-US" w:eastAsia="zh-CN" w:bidi="ar-SA"/>
    </w:rPr>
  </w:style>
  <w:style w:type="character" w:styleId="1370" w:customStyle="1">
    <w:name w:val="Char Char111"/>
    <w:uiPriority w:val="0"/>
    <w:qFormat/>
    <w:rPr>
      <w:rFonts w:ascii="宋体" w:eastAsia="宋体"/>
      <w:b/>
      <w:sz w:val="24"/>
      <w:u w:val="single"/>
      <w:lang w:val="en-US" w:eastAsia="zh-CN" w:bidi="ar-SA"/>
    </w:rPr>
  </w:style>
  <w:style w:type="character" w:styleId="1371" w:customStyle="1">
    <w:name w:val="正文文本缩进 Char"/>
    <w:uiPriority w:val="0"/>
    <w:qFormat/>
    <w:rPr>
      <w:rFonts w:eastAsia="宋体"/>
      <w:sz w:val="24"/>
      <w:szCs w:val="24"/>
      <w:lang w:val="en-US" w:eastAsia="zh-CN" w:bidi="ar-SA"/>
    </w:rPr>
  </w:style>
  <w:style w:type="character" w:styleId="1372" w:customStyle="1">
    <w:name w:val="列出段落 Char"/>
    <w:uiPriority w:val="0"/>
    <w:qFormat/>
    <w:rPr>
      <w:rFonts w:ascii="Calibri" w:hAnsi="Calibri" w:eastAsia="宋体"/>
      <w:sz w:val="21"/>
      <w:szCs w:val="22"/>
      <w:lang w:val="en-US" w:eastAsia="zh-CN" w:bidi="ar-SA"/>
    </w:rPr>
  </w:style>
  <w:style w:type="character" w:styleId="1373" w:customStyle="1">
    <w:name w:val="页眉 Char"/>
    <w:uiPriority w:val="99"/>
    <w:qFormat/>
    <w:rPr>
      <w:rFonts w:eastAsia="宋体"/>
      <w:sz w:val="18"/>
      <w:szCs w:val="18"/>
      <w:lang w:val="en-US" w:eastAsia="zh-CN" w:bidi="ar-SA"/>
    </w:rPr>
  </w:style>
  <w:style w:type="character" w:styleId="1374" w:customStyle="1">
    <w:name w:val="标题 2 Char"/>
    <w:uiPriority w:val="0"/>
    <w:qFormat/>
    <w:rPr>
      <w:rFonts w:ascii="Arial" w:hAnsi="Arial" w:eastAsia="黑体"/>
      <w:b/>
      <w:sz w:val="30"/>
      <w:lang w:val="en-US" w:eastAsia="zh-CN" w:bidi="ar-SA"/>
    </w:rPr>
  </w:style>
  <w:style w:type="paragraph" w:styleId="1375" w:customStyle="1">
    <w:name w:val="字元 字元2"/>
    <w:basedOn w:val="959"/>
    <w:uiPriority w:val="0"/>
    <w:qFormat/>
    <w:rPr>
      <w:rFonts w:ascii="Tahoma" w:hAnsi="Tahoma"/>
      <w:sz w:val="24"/>
      <w:szCs w:val="20"/>
    </w:rPr>
  </w:style>
  <w:style w:type="paragraph" w:styleId="1376" w:customStyle="1">
    <w:name w:val="Char3 Char Char Char2"/>
    <w:basedOn w:val="959"/>
    <w:uiPriority w:val="0"/>
    <w:qFormat/>
    <w:rPr>
      <w:rFonts w:ascii="Tahoma" w:hAnsi="Tahoma"/>
      <w:sz w:val="24"/>
      <w:szCs w:val="20"/>
    </w:rPr>
  </w:style>
  <w:style w:type="paragraph" w:styleId="1377" w:customStyle="1">
    <w:name w:val="正文文本缩进2"/>
    <w:basedOn w:val="959"/>
    <w:uiPriority w:val="0"/>
    <w:qFormat/>
    <w:pPr>
      <w:ind w:firstLine="480"/>
      <w:spacing w:line="480" w:lineRule="exact"/>
    </w:pPr>
    <w:rPr>
      <w:rFonts w:ascii="宋体" w:hAnsi="宋体"/>
      <w:sz w:val="24"/>
      <w:lang w:val="zh-CN"/>
    </w:rPr>
  </w:style>
  <w:style w:type="paragraph" w:styleId="1378" w:customStyle="1">
    <w:name w:val="Char3"/>
    <w:basedOn w:val="959"/>
    <w:uiPriority w:val="0"/>
    <w:qFormat/>
    <w:pPr>
      <w:tabs>
        <w:tab w:val="left" w:pos="360" w:leader="none"/>
      </w:tabs>
    </w:pPr>
    <w:rPr>
      <w:sz w:val="24"/>
    </w:rPr>
  </w:style>
  <w:style w:type="paragraph" w:styleId="1379" w:customStyle="1">
    <w:name w:val="Char Char Char Char Char Char Char Char Char Char Char Char Char Char Char Char1"/>
    <w:basedOn w:val="959"/>
    <w:uiPriority w:val="0"/>
    <w:qFormat/>
    <w:pPr>
      <w:jc w:val="center"/>
      <w:spacing w:after="160" w:line="240" w:lineRule="exact"/>
      <w:widowControl/>
    </w:pPr>
    <w:rPr>
      <w:rFonts w:ascii="宋体" w:hAnsi="宋体"/>
      <w:b/>
      <w:sz w:val="30"/>
      <w:szCs w:val="30"/>
      <w:lang w:eastAsia="en-US"/>
    </w:rPr>
  </w:style>
  <w:style w:type="paragraph" w:styleId="1380" w:customStyle="1">
    <w:name w:val="Char Char1 Char Char Char Char Char Char1"/>
    <w:basedOn w:val="959"/>
    <w:uiPriority w:val="0"/>
    <w:qFormat/>
    <w:pPr>
      <w:jc w:val="left"/>
      <w:spacing w:after="160" w:line="240" w:lineRule="exact"/>
      <w:widowControl/>
    </w:pPr>
    <w:rPr>
      <w:rFonts w:ascii="Verdana" w:hAnsi="Verdana" w:eastAsia="仿宋_GB2312"/>
      <w:sz w:val="24"/>
      <w:szCs w:val="20"/>
      <w:lang w:eastAsia="en-US"/>
    </w:rPr>
  </w:style>
  <w:style w:type="paragraph" w:styleId="1381" w:customStyle="1">
    <w:name w:val="列出段落2"/>
    <w:basedOn w:val="959"/>
    <w:uiPriority w:val="34"/>
    <w:qFormat/>
    <w:pPr>
      <w:ind w:firstLine="420"/>
    </w:pPr>
    <w:rPr>
      <w:rFonts w:ascii="Calibri" w:hAnsi="Calibri"/>
      <w:szCs w:val="22"/>
    </w:rPr>
  </w:style>
  <w:style w:type="paragraph" w:styleId="1382" w:customStyle="1">
    <w:name w:val="Char Char Char1 Char2"/>
    <w:basedOn w:val="959"/>
    <w:uiPriority w:val="0"/>
    <w:qFormat/>
    <w:rPr>
      <w:rFonts w:ascii="Tahoma" w:hAnsi="Tahoma"/>
      <w:sz w:val="24"/>
      <w:szCs w:val="20"/>
    </w:rPr>
  </w:style>
  <w:style w:type="paragraph" w:styleId="1383" w:customStyle="1">
    <w:name w:val="Char Char Char2"/>
    <w:basedOn w:val="959"/>
    <w:uiPriority w:val="0"/>
    <w:qFormat/>
    <w:rPr>
      <w:rFonts w:ascii="Tahoma" w:hAnsi="Tahoma"/>
      <w:sz w:val="24"/>
      <w:szCs w:val="20"/>
    </w:rPr>
  </w:style>
  <w:style w:type="paragraph" w:styleId="1384" w:customStyle="1">
    <w:name w:val="Char Char Char Char Char Char Char2"/>
    <w:basedOn w:val="959"/>
    <w:uiPriority w:val="0"/>
    <w:qFormat/>
    <w:pPr>
      <w:ind w:firstLine="200"/>
      <w:spacing w:line="360" w:lineRule="auto"/>
    </w:pPr>
    <w:rPr>
      <w:rFonts w:eastAsia="仿宋_GB2312"/>
      <w:sz w:val="24"/>
    </w:rPr>
  </w:style>
  <w:style w:type="paragraph" w:styleId="1385" w:customStyle="1">
    <w:name w:val="正文缩进2"/>
    <w:basedOn w:val="959"/>
    <w:uiPriority w:val="0"/>
    <w:qFormat/>
    <w:pPr>
      <w:ind w:firstLine="567"/>
      <w:spacing w:line="480" w:lineRule="exact"/>
      <w:widowControl/>
    </w:pPr>
    <w:rPr>
      <w:rFonts w:ascii="宋体"/>
      <w:color w:val="000000"/>
      <w:sz w:val="28"/>
      <w:szCs w:val="20"/>
      <w:lang w:val="zh-CN"/>
    </w:rPr>
  </w:style>
  <w:style w:type="paragraph" w:styleId="1386" w:customStyle="1">
    <w:name w:val="修订1"/>
    <w:uiPriority w:val="0"/>
    <w:qFormat/>
    <w:rPr>
      <w:rFonts w:ascii="Times New Roman" w:hAnsi="Times New Roman" w:eastAsia="宋体" w:cs="Times New Roman"/>
      <w:sz w:val="21"/>
      <w:szCs w:val="24"/>
      <w:lang w:val="en-US" w:eastAsia="zh-CN" w:bidi="ar-SA"/>
    </w:rPr>
  </w:style>
  <w:style w:type="paragraph" w:styleId="1387" w:customStyle="1">
    <w:name w:val="Char22"/>
    <w:basedOn w:val="959"/>
    <w:uiPriority w:val="0"/>
    <w:qFormat/>
    <w:rPr>
      <w:rFonts w:ascii="Tahoma" w:hAnsi="Tahoma"/>
      <w:sz w:val="24"/>
      <w:szCs w:val="20"/>
    </w:rPr>
  </w:style>
  <w:style w:type="paragraph" w:styleId="1388" w:customStyle="1">
    <w:name w:val="Char Char Char Char Char Char Char Char Char Char2"/>
    <w:basedOn w:val="959"/>
    <w:uiPriority w:val="0"/>
    <w:qFormat/>
    <w:rPr>
      <w:rFonts w:ascii="宋体" w:hAnsi="宋体" w:cs="Courier New"/>
      <w:sz w:val="32"/>
      <w:szCs w:val="32"/>
    </w:rPr>
  </w:style>
  <w:style w:type="paragraph" w:styleId="1389" w:customStyle="1">
    <w:name w:val="Char2 Char Char Char Char Char Char1"/>
    <w:basedOn w:val="959"/>
    <w:uiPriority w:val="0"/>
    <w:qFormat/>
    <w:pPr>
      <w:jc w:val="center"/>
      <w:spacing w:line="400" w:lineRule="exact"/>
      <w:widowControl/>
    </w:pPr>
  </w:style>
  <w:style w:type="character" w:styleId="1390" w:customStyle="1">
    <w:name w:val="页脚 Char"/>
    <w:uiPriority w:val="99"/>
    <w:qFormat/>
    <w:rPr>
      <w:rFonts w:ascii="宋体" w:eastAsia="宋体"/>
      <w:sz w:val="18"/>
      <w:lang w:val="en-US" w:eastAsia="zh-CN" w:bidi="ar-SA"/>
    </w:rPr>
  </w:style>
  <w:style w:type="paragraph" w:styleId="1391" w:customStyle="1">
    <w:name w:val="Char Char41"/>
    <w:basedOn w:val="959"/>
    <w:uiPriority w:val="0"/>
    <w:qFormat/>
    <w:pPr>
      <w:jc w:val="center"/>
      <w:spacing w:line="400" w:lineRule="exact"/>
      <w:widowControl/>
    </w:pPr>
  </w:style>
  <w:style w:type="character" w:styleId="1392" w:customStyle="1">
    <w:name w:val="批注文字 Char"/>
    <w:uiPriority w:val="99"/>
    <w:qFormat/>
    <w:rPr>
      <w:sz w:val="21"/>
      <w:szCs w:val="24"/>
    </w:rPr>
  </w:style>
  <w:style w:type="character" w:styleId="1393" w:customStyle="1">
    <w:name w:val="标题 Char"/>
    <w:uiPriority w:val="0"/>
    <w:qFormat/>
    <w:rPr>
      <w:b/>
      <w:sz w:val="32"/>
    </w:rPr>
  </w:style>
  <w:style w:type="paragraph" w:styleId="1394" w:customStyle="1">
    <w:name w:val="图例"/>
    <w:basedOn w:val="959"/>
    <w:uiPriority w:val="0"/>
    <w:qFormat/>
    <w:pPr>
      <w:jc w:val="center"/>
      <w:spacing w:before="120" w:after="120" w:line="360" w:lineRule="auto"/>
    </w:pPr>
    <w:rPr>
      <w:rFonts w:eastAsia="仿宋_GB2312"/>
      <w:b/>
      <w:sz w:val="24"/>
      <w:szCs w:val="20"/>
    </w:rPr>
  </w:style>
  <w:style w:type="table" w:styleId="1395"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396" w:customStyle="1">
    <w:name w:val="Table Paragraph"/>
    <w:basedOn w:val="959"/>
    <w:uiPriority w:val="1"/>
    <w:qFormat/>
    <w:pPr>
      <w:jc w:val="left"/>
    </w:pPr>
    <w:rPr>
      <w:rFonts w:ascii="宋体" w:hAnsi="宋体" w:cs="宋体"/>
      <w:sz w:val="22"/>
      <w:szCs w:val="22"/>
      <w:lang w:eastAsia="en-US"/>
    </w:rPr>
  </w:style>
  <w:style w:type="paragraph" w:styleId="1397" w:customStyle="1">
    <w:name w:val="成文日期"/>
    <w:basedOn w:val="959"/>
    <w:link w:val="1398"/>
    <w:uiPriority w:val="0"/>
    <w:qFormat/>
    <w:pPr>
      <w:ind w:right="400" w:firstLine="200"/>
      <w:jc w:val="right"/>
      <w:spacing w:line="570" w:lineRule="exact"/>
    </w:pPr>
    <w:rPr>
      <w:rFonts w:ascii="仿宋_GB2312" w:eastAsia="仿宋_GB2312"/>
      <w:sz w:val="32"/>
      <w:szCs w:val="20"/>
    </w:rPr>
  </w:style>
  <w:style w:type="character" w:styleId="1398" w:customStyle="1">
    <w:name w:val="成文日期 Char"/>
    <w:link w:val="1397"/>
    <w:uiPriority w:val="0"/>
    <w:qFormat/>
    <w:rPr>
      <w:rFonts w:ascii="仿宋_GB2312" w:eastAsia="仿宋_GB2312"/>
      <w:sz w:val="32"/>
    </w:rPr>
  </w:style>
  <w:style w:type="paragraph" w:styleId="1399" w:customStyle="1">
    <w:name w:val="修订2"/>
    <w:uiPriority w:val="99"/>
    <w:unhideWhenUsed/>
    <w:qFormat/>
    <w:rPr>
      <w:rFonts w:ascii="Times New Roman" w:hAnsi="Times New Roman" w:eastAsia="宋体" w:cs="Times New Roman"/>
      <w:sz w:val="21"/>
      <w:szCs w:val="24"/>
      <w:lang w:val="en-US" w:eastAsia="zh-CN" w:bidi="ar-SA"/>
    </w:rPr>
  </w:style>
  <w:style w:type="paragraph" w:styleId="1400" w:customStyle="1">
    <w:name w:val="段"/>
    <w:next w:val="959"/>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401" w:customStyle="1">
    <w:name w:val="普通(网站) Char"/>
    <w:link w:val="1211"/>
    <w:uiPriority w:val="99"/>
    <w:qFormat/>
    <w:rPr>
      <w:rFonts w:ascii="宋体" w:hAnsi="宋体" w:cs="宋体"/>
      <w:sz w:val="24"/>
      <w:szCs w:val="24"/>
    </w:rPr>
  </w:style>
  <w:style w:type="paragraph" w:styleId="1402" w:customStyle="1">
    <w:name w:val="表号"/>
    <w:basedOn w:val="959"/>
    <w:link w:val="1404"/>
    <w:uiPriority w:val="0"/>
    <w:qFormat/>
    <w:pPr>
      <w:numPr>
        <w:ilvl w:val="0"/>
        <w:numId w:val="8"/>
      </w:numPr>
      <w:jc w:val="center"/>
      <w:spacing w:line="360" w:lineRule="auto"/>
      <w:widowControl/>
    </w:pPr>
    <w:rPr>
      <w:sz w:val="24"/>
      <w:szCs w:val="20"/>
    </w:rPr>
  </w:style>
  <w:style w:type="character" w:styleId="1403" w:customStyle="1">
    <w:name w:val="正文格式 Char1"/>
    <w:uiPriority w:val="0"/>
    <w:qFormat/>
    <w:rPr>
      <w:rFonts w:eastAsia="宋体"/>
      <w:sz w:val="24"/>
      <w:lang w:val="en-US" w:eastAsia="zh-CN" w:bidi="ar-SA"/>
    </w:rPr>
  </w:style>
  <w:style w:type="character" w:styleId="1404" w:customStyle="1">
    <w:name w:val="表号 Char Char"/>
    <w:link w:val="1402"/>
    <w:uiPriority w:val="0"/>
    <w:qFormat/>
    <w:rPr>
      <w:sz w:val="24"/>
    </w:rPr>
  </w:style>
  <w:style w:type="paragraph" w:styleId="1405" w:customStyle="1">
    <w:name w:val="并列项-点"/>
    <w:basedOn w:val="959"/>
    <w:link w:val="1406"/>
    <w:uiPriority w:val="0"/>
    <w:qFormat/>
    <w:pPr>
      <w:numPr>
        <w:ilvl w:val="0"/>
        <w:numId w:val="9"/>
      </w:numPr>
      <w:spacing w:line="360" w:lineRule="auto"/>
      <w:widowControl/>
      <w:tabs>
        <w:tab w:val="left" w:pos="851" w:leader="none"/>
      </w:tabs>
    </w:pPr>
    <w:rPr>
      <w:sz w:val="24"/>
      <w:szCs w:val="20"/>
    </w:rPr>
  </w:style>
  <w:style w:type="character" w:styleId="1406" w:customStyle="1">
    <w:name w:val="并列项-点 Char"/>
    <w:link w:val="1405"/>
    <w:uiPriority w:val="0"/>
    <w:qFormat/>
    <w:rPr>
      <w:sz w:val="24"/>
    </w:rPr>
  </w:style>
  <w:style w:type="paragraph" w:styleId="1407" w:customStyle="1">
    <w:name w:val="正文首行缩进1"/>
    <w:basedOn w:val="1163"/>
    <w:link w:val="1408"/>
    <w:uiPriority w:val="0"/>
    <w:qFormat/>
    <w:pPr>
      <w:ind w:firstLine="420"/>
      <w:spacing w:before="0" w:after="120" w:line="240" w:lineRule="auto"/>
      <w:tabs>
        <w:tab w:val="clear" w:pos="567" w:leader="none"/>
      </w:tabs>
    </w:pPr>
    <w:rPr>
      <w:rFonts w:ascii="Times New Roman" w:hAnsi="Times New Roman"/>
      <w:sz w:val="21"/>
    </w:rPr>
  </w:style>
  <w:style w:type="character" w:styleId="1408" w:customStyle="1">
    <w:name w:val="正文首行缩进 Char"/>
    <w:link w:val="1407"/>
    <w:uiPriority w:val="0"/>
    <w:qFormat/>
    <w:rPr>
      <w:rFonts w:ascii="宋体" w:hAnsi="宋体"/>
      <w:sz w:val="21"/>
      <w:szCs w:val="24"/>
    </w:rPr>
  </w:style>
  <w:style w:type="paragraph" w:styleId="1409" w:customStyle="1">
    <w:name w:val="普通(网站)1"/>
    <w:basedOn w:val="959"/>
    <w:uiPriority w:val="99"/>
    <w:qFormat/>
    <w:pPr>
      <w:jc w:val="left"/>
      <w:spacing w:before="100" w:beforeAutospacing="1" w:after="100" w:afterAutospacing="1"/>
      <w:widowControl/>
    </w:pPr>
    <w:rPr>
      <w:rFonts w:ascii="宋体" w:hAnsi="宋体" w:cs="宋体"/>
      <w:sz w:val="24"/>
    </w:rPr>
  </w:style>
  <w:style w:type="character" w:styleId="1410" w:customStyle="1">
    <w:name w:val="15"/>
    <w:uiPriority w:val="0"/>
    <w:qFormat/>
    <w:rPr>
      <w:rFonts w:ascii="Calibri" w:hAnsi="Calibri" w:eastAsia="宋体" w:cs="Times New Roman"/>
      <w:sz w:val="21"/>
      <w:szCs w:val="22"/>
      <w:lang w:val="en-US" w:eastAsia="zh-CN" w:bidi="ar-SA"/>
    </w:rPr>
  </w:style>
  <w:style w:type="paragraph" w:styleId="141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412" w:customStyle="1">
    <w:name w:val="null3"/>
    <w:uiPriority w:val="0"/>
    <w:qFormat/>
    <w:rPr>
      <w:rFonts w:ascii="Calibri" w:hAnsi="Calibri" w:eastAsia="宋体" w:cs="Times New Roman"/>
      <w:lang w:val="en-US" w:eastAsia="zh-CN" w:bidi="ar-SA"/>
    </w:rPr>
  </w:style>
  <w:style w:type="paragraph" w:styleId="1413" w:customStyle="1">
    <w:name w:val="标题3"/>
    <w:basedOn w:val="959"/>
    <w:next w:val="959"/>
    <w:uiPriority w:val="0"/>
    <w:qFormat/>
    <w:pPr>
      <w:ind w:firstLine="624"/>
      <w:spacing w:line="590" w:lineRule="atLeast"/>
    </w:pPr>
    <w:rPr>
      <w:rFonts w:ascii="方正黑体_GBK" w:eastAsia="方正黑体_GBK"/>
      <w:sz w:val="32"/>
      <w:szCs w:val="32"/>
    </w:rPr>
  </w:style>
  <w:style w:type="paragraph" w:styleId="1414" w:customStyle="1">
    <w:name w:val="p0"/>
    <w:basedOn w:val="959"/>
    <w:uiPriority w:val="0"/>
    <w:qFormat/>
    <w:pPr>
      <w:widowControl/>
    </w:pPr>
    <w:rPr>
      <w:szCs w:val="21"/>
    </w:rPr>
  </w:style>
  <w:style w:type="paragraph" w:styleId="1415" w:customStyle="1">
    <w:name w:val="p20"/>
    <w:basedOn w:val="959"/>
    <w:uiPriority w:val="0"/>
    <w:qFormat/>
    <w:pPr>
      <w:widowControl/>
    </w:pPr>
    <w:rPr>
      <w:rFonts w:ascii="Calibri" w:hAnsi="Calibri" w:cs="宋体"/>
      <w:szCs w:val="21"/>
    </w:rPr>
  </w:style>
  <w:style w:type="character" w:styleId="1416" w:customStyle="1">
    <w:name w:val="font61"/>
    <w:uiPriority w:val="0"/>
    <w:qFormat/>
    <w:rPr>
      <w:rFonts w:hint="eastAsia" w:ascii="微软雅黑" w:hAnsi="微软雅黑" w:eastAsia="微软雅黑" w:cs="微软雅黑"/>
      <w:color w:val="000000"/>
      <w:sz w:val="18"/>
      <w:szCs w:val="18"/>
      <w:u w:val="none"/>
    </w:rPr>
  </w:style>
  <w:style w:type="character" w:styleId="1417" w:customStyle="1">
    <w:name w:val="font71"/>
    <w:uiPriority w:val="0"/>
    <w:qFormat/>
    <w:rPr>
      <w:rFonts w:hint="eastAsia" w:ascii="微软雅黑" w:hAnsi="微软雅黑" w:eastAsia="微软雅黑" w:cs="微软雅黑"/>
      <w:b/>
      <w:bCs/>
      <w:color w:val="000000"/>
      <w:sz w:val="18"/>
      <w:szCs w:val="18"/>
      <w:u w:val="none"/>
    </w:rPr>
  </w:style>
  <w:style w:type="character" w:styleId="1418" w:customStyle="1">
    <w:name w:val="font31"/>
    <w:uiPriority w:val="0"/>
    <w:qFormat/>
    <w:rPr>
      <w:rFonts w:hint="eastAsia" w:ascii="微软雅黑" w:hAnsi="微软雅黑" w:eastAsia="微软雅黑" w:cs="微软雅黑"/>
      <w:color w:val="000000"/>
      <w:sz w:val="18"/>
      <w:szCs w:val="18"/>
      <w:u w:val="none"/>
    </w:rPr>
  </w:style>
  <w:style w:type="character" w:styleId="1419" w:customStyle="1">
    <w:name w:val="font81"/>
    <w:uiPriority w:val="0"/>
    <w:qFormat/>
    <w:rPr>
      <w:rFonts w:ascii="微软雅黑" w:hAnsi="微软雅黑" w:eastAsia="微软雅黑" w:cs="微软雅黑"/>
      <w:color w:val="000000"/>
      <w:sz w:val="18"/>
      <w:szCs w:val="18"/>
      <w:u w:val="none"/>
    </w:rPr>
  </w:style>
  <w:style w:type="character" w:styleId="1420" w:customStyle="1">
    <w:name w:val="font91"/>
    <w:uiPriority w:val="0"/>
    <w:qFormat/>
    <w:rPr>
      <w:rFonts w:hint="eastAsia" w:ascii="宋体" w:hAnsi="宋体" w:eastAsia="宋体" w:cs="宋体"/>
      <w:color w:val="000000"/>
      <w:sz w:val="18"/>
      <w:szCs w:val="18"/>
      <w:u w:val="none"/>
    </w:rPr>
  </w:style>
  <w:style w:type="paragraph" w:styleId="1421" w:customStyle="1">
    <w:name w:val="Plain Text1"/>
    <w:next w:val="986"/>
    <w:uiPriority w:val="0"/>
    <w:qFormat/>
    <w:pPr>
      <w:jc w:val="both"/>
      <w:widowControl w:val="off"/>
    </w:pPr>
    <w:rPr>
      <w:rFonts w:ascii="宋体" w:hAnsi="宋体" w:eastAsia="楷体_GB2312" w:cs="Times New Roman"/>
      <w:sz w:val="26"/>
      <w:szCs w:val="22"/>
      <w:lang w:val="en-US" w:eastAsia="zh-CN" w:bidi="ar-SA"/>
    </w:rPr>
  </w:style>
  <w:style w:type="character" w:styleId="1422" w:customStyle="1">
    <w:name w:val="批注文字 Char2"/>
    <w:link w:val="974"/>
    <w:uiPriority w:val="99"/>
    <w:semiHidden/>
    <w:qFormat/>
    <w:rPr>
      <w:sz w:val="21"/>
      <w:szCs w:val="24"/>
    </w:rPr>
  </w:style>
  <w:style w:type="character" w:styleId="1423" w:customStyle="1">
    <w:name w:val="批注主题 Char1"/>
    <w:link w:val="995"/>
    <w:uiPriority w:val="99"/>
    <w:semiHidden/>
    <w:qFormat/>
    <w:rPr>
      <w:b/>
      <w:bCs/>
      <w:sz w:val="21"/>
      <w:szCs w:val="24"/>
    </w:rPr>
  </w:style>
  <w:style w:type="character" w:styleId="1424" w:customStyle="1">
    <w:name w:val="批注框文本 Char1"/>
    <w:link w:val="982"/>
    <w:uiPriority w:val="99"/>
    <w:semiHidden/>
    <w:qFormat/>
    <w:rPr>
      <w:sz w:val="18"/>
      <w:szCs w:val="18"/>
    </w:rPr>
  </w:style>
  <w:style w:type="paragraph" w:styleId="1425" w:customStyle="1">
    <w:name w:val="列出段落"/>
    <w:basedOn w:val="959"/>
    <w:uiPriority w:val="0"/>
    <w:qFormat/>
    <w:pPr>
      <w:contextualSpacing/>
      <w:ind w:left="720"/>
      <w:jc w:val="left"/>
      <w:widowControl/>
    </w:pPr>
    <w:rPr>
      <w:rFonts w:ascii="Calibri" w:hAnsi="Calibri" w:cs="Calibri"/>
      <w:sz w:val="24"/>
      <w:szCs w:val="24"/>
      <w:lang w:eastAsia="en-US" w:bidi="en-US"/>
    </w:rPr>
  </w:style>
  <w:style w:type="numbering" w:styleId="175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footer" Target="footer10.xml" /><Relationship Id="rId24" Type="http://schemas.openxmlformats.org/officeDocument/2006/relationships/footer" Target="footer11.xml" /><Relationship Id="rId2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3076"/>
    <customShpInfo spid="_x0000_s3081" textRotate="1"/>
    <customShpInfo spid="_x0000_s3085"/>
    <customShpInfo spid="_x0000_s3082" textRotate="1"/>
    <customShpInfo spid="_x0000_s3083" textRotate="1"/>
    <customShpInfo spid="_x0000_s3084"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中采 高珺</dc:creator>
  <cp:lastModifiedBy>戴女士</cp:lastModifiedBy>
  <cp:revision>443</cp:revision>
  <dcterms:created xsi:type="dcterms:W3CDTF">2024-01-19T05:48:00Z</dcterms:created>
  <dcterms:modified xsi:type="dcterms:W3CDTF">2026-09-22T09:08:34Z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150B3B242532481084228381B58DFDE8_12</vt:lpwstr>
  </property>
  <property fmtid="{D5CDD505-2E9C-101B-9397-08002B2CF9AE}" pid="4" name="KSOTemplateDocerSaveRecord">
    <vt:lpwstr>eyJoZGlkIjoiMjQ5M2U2NWY3ZmFiY2VmMmQyZDgwMDFlNzJkNWNlYmIiLCJ1c2VySWQiOiIxMjI0MTUyMzMzIn0=</vt:lpwstr>
  </property>
</Properties>
</file>