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E9A6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color="auto" w:fill="FFFFFF"/>
        </w:rPr>
      </w:pPr>
    </w:p>
    <w:p w14:paraId="745D1C4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color="auto" w:fill="FFFFFF"/>
        </w:rPr>
        <w:t>一、项目基本情况</w:t>
      </w:r>
    </w:p>
    <w:p w14:paraId="01A2CA1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原公告的采购项目编号：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  <w:lang w:eastAsia="zh-CN"/>
        </w:rPr>
        <w:t>JSZC-320509-SZJX-G2026-0049</w:t>
      </w:r>
    </w:p>
    <w:p w14:paraId="096C6D5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原公告的采购项目名称：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  <w:lang w:eastAsia="zh-CN"/>
        </w:rPr>
        <w:t>大跨距举高喷射消防车</w:t>
      </w:r>
    </w:p>
    <w:p w14:paraId="55E054F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首次公告日期：202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12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日</w:t>
      </w:r>
    </w:p>
    <w:p w14:paraId="4986350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color="auto" w:fill="FFFFFF"/>
        </w:rPr>
        <w:t>二、更正信息</w:t>
      </w:r>
    </w:p>
    <w:p w14:paraId="0511359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更正事项：采购文件</w:t>
      </w:r>
    </w:p>
    <w:p w14:paraId="206BE4A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更正内容：具体详见附件</w:t>
      </w:r>
    </w:p>
    <w:p w14:paraId="2AAD372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（一）原招标文件/第四章招标需求/六、项目招标需求/3.具体技术要求/1.基本数据/▲1.外廓尺寸：车长≤12000mm；2.支腿横向跨距：≤10000mm；5.满载质量：≤45000kg</w:t>
      </w:r>
    </w:p>
    <w:p w14:paraId="3413310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更正为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：▲1.外廓尺寸：车长≤16000mm；2.支腿横向跨距：≤13000m；5.满载质量：≤52000kg</w:t>
      </w:r>
    </w:p>
    <w:p w14:paraId="21AE200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（二）原招标文件/第四章招标需求/六、项目招标需求/3.具体技术要求/4.云梯或臂架部分/▲2.最大工作幅度：＞47m</w:t>
      </w:r>
    </w:p>
    <w:p w14:paraId="2CE335D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2" w:firstLineChars="200"/>
        <w:jc w:val="both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更正为：▲2.最大工作幅度：≥46m</w:t>
      </w:r>
    </w:p>
    <w:p w14:paraId="409B4C5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（三）原招标文件/第四章招标需求/六、项目招标需求/3.具体技术要求/4.云梯或臂架部分/5.回转角度：带水、电、液一体式回转装置，360°连续回转</w:t>
      </w:r>
    </w:p>
    <w:p w14:paraId="5FAA7F5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2" w:firstLineChars="200"/>
        <w:jc w:val="both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更作为：5.回转角度：±360°回转</w:t>
      </w:r>
    </w:p>
    <w:p w14:paraId="3E5BB98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（四）原招标文件/第四章招标需求/六、项目招标需求/3.具体技术要求/4.云梯或臂架部分/▲8.臂架从行驶位置举升到最大工作高度并回转 90°的时间：≤110s</w:t>
      </w:r>
    </w:p>
    <w:p w14:paraId="1A69FE1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更正为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：▲8.臂架从行驶位置举升到最大工作高度并回转 90°的时间：≤180s</w:t>
      </w:r>
    </w:p>
    <w:p w14:paraId="19C8FC3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（五）原招标文件/第四章招标需求/六、项目招标需求/3.具体技术要求/5.支撑系统/1.最大展开跨距（前横×后横）：≤10m×10m；▲4.全展及调平时间：≤20s</w:t>
      </w:r>
    </w:p>
    <w:p w14:paraId="6E1B4A1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2" w:firstLineChars="200"/>
        <w:jc w:val="both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更正为：1.最大展开跨距（前横×后横）：≤13m×13m；▲4.全展及调平时间：≤40s</w:t>
      </w:r>
    </w:p>
    <w:p w14:paraId="365B464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（六）原招标文件/第四章招标需求/六、项目招标需求/3.具体技术要求/6.消防泵系统部分/▲1.消防泵连续运转额定工况试验流量：≥90L/s</w:t>
      </w:r>
    </w:p>
    <w:p w14:paraId="234DA4C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更正为：▲1.消防泵连续运转额定工况试验流量：≥80L/s</w:t>
      </w:r>
    </w:p>
    <w:p w14:paraId="3434870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（七）原招标文件/第四章招标需求/六、项目招标需求/3.具体技术要求/7.容罐部分/▲1.罐体额定载质量：＞5500kg</w:t>
      </w:r>
    </w:p>
    <w:p w14:paraId="4E661B4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2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更正为：▲1.罐体额定载质量：＞4000kg</w:t>
      </w:r>
    </w:p>
    <w:p w14:paraId="64A99E5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（八）原招标文件/第四章招标需求/六、项目招标需求/3.具体技术要求/8.车载消防炮/▲1.消防炮额定流量：＞90L/s</w:t>
      </w:r>
    </w:p>
    <w:p w14:paraId="53D2672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2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更正为：▲1.消防炮额定流量：＞80L/s</w:t>
      </w:r>
    </w:p>
    <w:p w14:paraId="6F971F9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（九）原招标文件/第五章评标方法与评标标准/二、评分标准/（二）投标设备的技术与质量：37分，“2.技术性能情况（最高为3分）</w:t>
      </w:r>
    </w:p>
    <w:p w14:paraId="6AE8E19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本项目所投消防车辆具有应急管理部消防产品合格评定中心颁发的《消防产品认证证书》的得3分。”</w:t>
      </w:r>
    </w:p>
    <w:p w14:paraId="33CE549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注：投标文件中提供证书扫描件，未按上述要求提供材料的，此项不得分。</w:t>
      </w:r>
    </w:p>
    <w:p w14:paraId="6368DDC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更正为：（二）投标设备的技术与质量：3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4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分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，删除：“2.技术性能情况（最高为3分）</w:t>
      </w:r>
    </w:p>
    <w:p w14:paraId="2E76387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2" w:firstLineChars="200"/>
        <w:jc w:val="both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本项目所投消防车辆具有应急管理部消防产品合格评定中心颁发的《消防产品认证证书》的得3分。”</w:t>
      </w:r>
    </w:p>
    <w:p w14:paraId="07A3536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（十）原招标文件/第五章评标方法与评标标准/二、评分标准/（三）技术服务及售后服务方案：27分</w:t>
      </w:r>
    </w:p>
    <w:p w14:paraId="5AEB7EE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1.针对本项目的质量保证方案（最高为4分）</w:t>
      </w:r>
    </w:p>
    <w:p w14:paraId="25CB288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由评标委员会根据投标人提供的质量保证方案，包括但不限于所投产品的生产、存储和运输等方面质量安全保证，产品及服务能保证在质保期限内满足采购人要求等进行综合评审：</w:t>
      </w:r>
    </w:p>
    <w:p w14:paraId="065C38C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方案详细完整，针对性和可行性完全满足或优于采购需求的，得4分；方案较为详细完整，针对性和可行性基本满足采购需求的，得2分；方案基本完整，基本可行的，得1分；未提供的不得分。</w:t>
      </w:r>
    </w:p>
    <w:p w14:paraId="7A575E7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2.供货及安装调试方案（最高为5分）</w:t>
      </w:r>
    </w:p>
    <w:p w14:paraId="7E30AF3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由评标委员会根据投标人提供的供货及安装调试方案进行综合评审：</w:t>
      </w:r>
    </w:p>
    <w:p w14:paraId="1A433FA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方案完整详细，可行性、实用性完全满足或优于采购需求的，得5分；方案较完整详细，可行性、实用性基本满足采购需求的，得3分；方案基本完整可行、实用性有待提高的，得1分；未提供的不得分。</w:t>
      </w:r>
    </w:p>
    <w:p w14:paraId="025B94E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3.培训方案（最高为4分）</w:t>
      </w:r>
    </w:p>
    <w:p w14:paraId="7E63AD1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由评标委员会根据投标人提供的培训方案的目标、课程、教材、时间、培训对象等进行综合评分：</w:t>
      </w:r>
    </w:p>
    <w:p w14:paraId="100CF7C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方案完整详细，可行性、实用性完全满足或优于采购需求的，得4分；方案基本完整详细，可行性、实用性基本满足采购需求的，得2分；方案可行性、实用性、针对性有待提高，得1分；未提供不得分</w:t>
      </w:r>
    </w:p>
    <w:p w14:paraId="124C7A2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4.风险和应急预案及保障能力（最高为5分）</w:t>
      </w:r>
    </w:p>
    <w:p w14:paraId="23272C7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由评标委员会根据投标人提供的风险和应急预案及保障能力，针对突发事件，以及不可抗力等因素提供应急预案进行综合评审：</w:t>
      </w:r>
    </w:p>
    <w:p w14:paraId="7624831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方案详细完整，针对性和可行性完全满足或优于采购需求的，得5分；方案较为详细完整，针对性和可行性基本满足采购需求的，得3分；方案基本完整，基本可行的，得1分；未提供不得分。</w:t>
      </w:r>
    </w:p>
    <w:p w14:paraId="790A1B8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5.售后服务方案（最高为5分）</w:t>
      </w:r>
    </w:p>
    <w:p w14:paraId="68F3D57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由评标委员会根据投标人提供的售后服务方案，包括但不限于内容、响应时间及人员配置等情况进行综合评分：</w:t>
      </w:r>
    </w:p>
    <w:p w14:paraId="2E7C1D4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方案完整详细，可行性、实用性完全满足采购需求的，得5分；方案基本完整详细，可行性、实用性基本满足采购需求的，得3分；方案可行性、实用性、针对性有待提高的，得1分；未提供不得分。</w:t>
      </w:r>
    </w:p>
    <w:p w14:paraId="0171032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6.免费质保期（最高为1分）</w:t>
      </w:r>
    </w:p>
    <w:p w14:paraId="64D2A95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所投产品在满足招标文件免费质保期（1年）的基础上，投标人承诺投标人所投项目所有产品的免费质保期每增加1年的，得1分，最高得1分（增加不足1年的不得分）。</w:t>
      </w:r>
    </w:p>
    <w:p w14:paraId="0A96881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注：投标文件中提供相关承诺，未提供的此项不得分。</w:t>
      </w:r>
    </w:p>
    <w:p w14:paraId="5F74528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2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更正为：（三）技术服务及售后服务方案：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30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分</w:t>
      </w:r>
    </w:p>
    <w:p w14:paraId="6ACF7E3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420"/>
        <w:jc w:val="both"/>
        <w:rPr>
          <w:rFonts w:hint="eastAsia" w:ascii="仿宋" w:hAnsi="仿宋" w:eastAsia="仿宋" w:cs="仿宋"/>
          <w:color w:val="0000FF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1.针对本项目的质量保证方案</w:t>
      </w:r>
      <w:r>
        <w:rPr>
          <w:rFonts w:hint="eastAsia" w:ascii="仿宋" w:hAnsi="仿宋" w:eastAsia="仿宋" w:cs="仿宋"/>
          <w:color w:val="0000FF"/>
          <w:kern w:val="0"/>
          <w:sz w:val="24"/>
          <w:szCs w:val="24"/>
        </w:rPr>
        <w:t>（最高为</w:t>
      </w:r>
      <w:r>
        <w:rPr>
          <w:rFonts w:hint="eastAsia" w:ascii="仿宋" w:hAnsi="仿宋" w:eastAsia="仿宋" w:cs="仿宋"/>
          <w:color w:val="0000FF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0000FF"/>
          <w:kern w:val="0"/>
          <w:sz w:val="24"/>
          <w:szCs w:val="24"/>
        </w:rPr>
        <w:t>分）</w:t>
      </w:r>
    </w:p>
    <w:p w14:paraId="4AA0D99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420"/>
        <w:jc w:val="both"/>
        <w:rPr>
          <w:rFonts w:hint="eastAsia" w:ascii="仿宋" w:hAnsi="仿宋" w:eastAsia="仿宋" w:cs="仿宋"/>
          <w:color w:val="auto"/>
          <w:kern w:val="0"/>
          <w:sz w:val="22"/>
          <w:szCs w:val="21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投标人质量保证方案内容详实、完整，针对性、可行性极强。全面覆盖消防车辆生产质控、仓储保管、运输防护全流程质量安全保障措施，各项保障措施清晰具体、落地性强，完全满足并优于采购需求，可充分保障车辆交付质量及质保期内稳定使用，得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分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投标人质量保证方案内容较为详细完整，具备较强针对性与可行性。覆盖车辆生产、存储、运输质量安全管控核心内容，措施规范合理，无明显缺漏，无短板问题，得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分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投标人质量保证方案整体完整，框架齐全、方案基本可行。包含生产、存储、运输基础内容，但内容较为笼统、无专项细化措施，针对性一般，得2分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投标人质量保证方案内容简略，核心保障内容存在部分缺失，仅简单罗列通用措施，未结合本项目消防车辆特性制定保障方案，可行性、针对性较弱，得1分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未提供方案的此项不得分。</w:t>
      </w:r>
    </w:p>
    <w:p w14:paraId="6D38EE4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420"/>
        <w:jc w:val="both"/>
        <w:rPr>
          <w:rFonts w:hint="default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default" w:ascii="仿宋" w:hAnsi="仿宋" w:eastAsia="仿宋" w:cs="仿宋"/>
          <w:color w:val="auto"/>
          <w:kern w:val="0"/>
          <w:sz w:val="24"/>
          <w:szCs w:val="24"/>
        </w:rPr>
        <w:t>2.供货及安装调试方案（</w:t>
      </w:r>
      <w:r>
        <w:rPr>
          <w:rFonts w:hint="default" w:ascii="仿宋" w:hAnsi="仿宋" w:eastAsia="仿宋" w:cs="仿宋"/>
          <w:color w:val="0000FF"/>
          <w:kern w:val="0"/>
          <w:sz w:val="24"/>
          <w:szCs w:val="24"/>
        </w:rPr>
        <w:t>最高为5分</w:t>
      </w:r>
      <w:r>
        <w:rPr>
          <w:rFonts w:hint="default" w:ascii="仿宋" w:hAnsi="仿宋" w:eastAsia="仿宋" w:cs="仿宋"/>
          <w:color w:val="auto"/>
          <w:kern w:val="0"/>
          <w:sz w:val="24"/>
          <w:szCs w:val="24"/>
        </w:rPr>
        <w:t>）</w:t>
      </w:r>
    </w:p>
    <w:p w14:paraId="48019BC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420"/>
        <w:jc w:val="both"/>
        <w:rPr>
          <w:rFonts w:hint="default" w:ascii="宋体" w:hAnsi="宋体" w:eastAsia="宋体" w:cs="宋体"/>
          <w:color w:val="auto"/>
          <w:kern w:val="0"/>
          <w:sz w:val="22"/>
          <w:szCs w:val="21"/>
        </w:rPr>
      </w:pP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供货及安装调试方案内容详实、体系完整、逻辑清晰。包含专项供货计划、排产保障、交付时效管控、现场安装、精准调试等全流程内容，措施具体、落地性极强、实用性高，可保障项目按期、高质量完成交付投用，得5分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；供货及安装调试方案内容较为详细、结构完整。覆盖供货、安装、调试等核心流程，各项保障措施规范可行，无关键内容缺漏，实用性、可行性较好，得3分；</w:t>
      </w: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供货及安装调试方案框架齐全、内容基本完整。涵盖项目供货、安装、调试基础流程，整体具备可行性，但部分措施表述笼统、无细化管控举措，细节完善度不足，得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分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；</w:t>
      </w: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供货及安装调试方案内容简略，核心流程存在缺失，仅简单罗列通用流程，实用性、可行性一般，得1分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；未提供方案的此项不得分。</w:t>
      </w:r>
    </w:p>
    <w:p w14:paraId="154BC0B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420"/>
        <w:jc w:val="both"/>
        <w:rPr>
          <w:rFonts w:hint="default" w:ascii="仿宋" w:hAnsi="仿宋" w:eastAsia="仿宋" w:cs="仿宋"/>
          <w:color w:val="auto"/>
          <w:kern w:val="0"/>
          <w:sz w:val="24"/>
          <w:szCs w:val="24"/>
          <w:lang w:eastAsia="zh-CN"/>
        </w:rPr>
      </w:pP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eastAsia="zh-CN"/>
        </w:rPr>
        <w:t>3.培训方案（</w:t>
      </w:r>
      <w:r>
        <w:rPr>
          <w:rFonts w:hint="default" w:ascii="仿宋" w:hAnsi="仿宋" w:eastAsia="仿宋" w:cs="仿宋"/>
          <w:color w:val="0000FF"/>
          <w:kern w:val="0"/>
          <w:sz w:val="24"/>
          <w:szCs w:val="24"/>
          <w:lang w:eastAsia="zh-CN"/>
        </w:rPr>
        <w:t>最高为</w:t>
      </w:r>
      <w:r>
        <w:rPr>
          <w:rFonts w:hint="eastAsia" w:ascii="仿宋" w:hAnsi="仿宋" w:eastAsia="仿宋" w:cs="仿宋"/>
          <w:color w:val="0000FF"/>
          <w:kern w:val="0"/>
          <w:sz w:val="24"/>
          <w:szCs w:val="24"/>
          <w:lang w:val="en-US" w:eastAsia="zh-CN"/>
        </w:rPr>
        <w:t>5</w:t>
      </w:r>
      <w:r>
        <w:rPr>
          <w:rFonts w:hint="default" w:ascii="仿宋" w:hAnsi="仿宋" w:eastAsia="仿宋" w:cs="仿宋"/>
          <w:color w:val="0000FF"/>
          <w:kern w:val="0"/>
          <w:sz w:val="24"/>
          <w:szCs w:val="24"/>
          <w:lang w:eastAsia="zh-CN"/>
        </w:rPr>
        <w:t>分</w:t>
      </w: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</w:p>
    <w:p w14:paraId="3913389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420"/>
        <w:jc w:val="both"/>
        <w:rPr>
          <w:rFonts w:hint="default" w:ascii="宋体" w:hAnsi="宋体" w:eastAsia="宋体" w:cs="宋体"/>
          <w:color w:val="auto"/>
          <w:kern w:val="0"/>
          <w:sz w:val="22"/>
          <w:szCs w:val="21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培训方案完整详实、体系规范、针对性极强。全面覆盖清晰的培训目标、合理的培训时长、全覆盖培训对象，同时配备实操教学、现场指导、答疑等完整配套措施，内容细化落地、实用性、可行性极佳，得5分；培训方案内容较完整、架构规范。完整包含培训目标、课程、教材、时间、培训对象等核心内容，教学措施合理可行，无关键内容缺失，针对性和实用性较好，得3分；培训方案整体基本完整，核心模块齐全。包含培训目标、课程、教材、时长、培训对象等基础内容，方案具备基本可行性，但内容较为笼统、缺乏项目专属细化举措，针对性、实用性一般，得2分；培训方案内容简略，核心模块不完善，仅罗列通用培训内容，未结合消防车辆设备特性编制，培训内容、课程安排、教学方式针对性不足，实用性、可行性有待提升，得1分。未提供方案的此项不得分。</w:t>
      </w:r>
    </w:p>
    <w:p w14:paraId="6FD029D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420"/>
        <w:jc w:val="both"/>
        <w:rPr>
          <w:rFonts w:hint="default" w:ascii="仿宋" w:hAnsi="仿宋" w:eastAsia="仿宋" w:cs="仿宋"/>
          <w:color w:val="auto"/>
          <w:kern w:val="0"/>
          <w:sz w:val="24"/>
          <w:szCs w:val="24"/>
          <w:lang w:eastAsia="zh-CN"/>
        </w:rPr>
      </w:pP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eastAsia="zh-CN"/>
        </w:rPr>
        <w:t>4.风险和应急预案及保障能力（</w:t>
      </w:r>
      <w:r>
        <w:rPr>
          <w:rFonts w:hint="default" w:ascii="仿宋" w:hAnsi="仿宋" w:eastAsia="仿宋" w:cs="仿宋"/>
          <w:color w:val="0000FF"/>
          <w:kern w:val="0"/>
          <w:sz w:val="24"/>
          <w:szCs w:val="24"/>
          <w:lang w:eastAsia="zh-CN"/>
        </w:rPr>
        <w:t>最高为5分</w:t>
      </w: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</w:p>
    <w:p w14:paraId="524B37F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420"/>
        <w:jc w:val="both"/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风险与应急预案及保障方案内容详实、体系完整、针对性和可行性极强。全面梳理本项目消防车辆生产、供货、运输、交付及使用全过程潜在风险，</w:t>
      </w:r>
      <w:r>
        <w:rPr>
          <w:rFonts w:hint="eastAsia" w:ascii="仿宋" w:hAnsi="仿宋" w:eastAsia="仿宋" w:cs="仿宋"/>
          <w:color w:val="0000FF"/>
          <w:kern w:val="0"/>
          <w:sz w:val="24"/>
          <w:szCs w:val="24"/>
          <w:lang w:val="en-US" w:eastAsia="zh-CN"/>
        </w:rPr>
        <w:t>救援协调车辆物资配套能力强，</w:t>
      </w: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针对各类突发故障、现场突发事件、自然灾害等不可抗力因素制定专项、细化、可落地的应急处置预案，人员、物资、技术、后勤保障体系完善，应急响应流程清晰、处置措施科学高效，得5分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；</w:t>
      </w: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风险与应急预案及保障方案内容较为详细完整，架构规范。可全面识别项目主要风险，针对突发事件、不可抗力因素均设有对应的应急处置方案和保障措施，流程清晰、无关键内容缺失，针对性、可行性良好，得3分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；</w:t>
      </w: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风险与应急预案及保障方案整体完整、基本可行。涵盖风险识别、基础应急处置、不可抗力应对等核心内容，整体框架齐全，但预案措施较为笼统、缺乏项目专属细化处置流程，保障举措不够具体，针对性和完善度一般，得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分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；</w:t>
      </w: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风险与应急预案及保障方案内容简略，核心内容不完善。仅简单罗列通用风险预案内容，得1分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；未提供方案的此项不得分。</w:t>
      </w:r>
    </w:p>
    <w:p w14:paraId="6EB523B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420"/>
        <w:jc w:val="both"/>
        <w:rPr>
          <w:rFonts w:hint="default" w:ascii="仿宋" w:hAnsi="仿宋" w:eastAsia="仿宋" w:cs="仿宋"/>
          <w:color w:val="auto"/>
          <w:kern w:val="0"/>
          <w:sz w:val="24"/>
          <w:szCs w:val="24"/>
          <w:lang w:eastAsia="zh-CN"/>
        </w:rPr>
      </w:pP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eastAsia="zh-CN"/>
        </w:rPr>
        <w:t>5.售后服务方案（</w:t>
      </w:r>
      <w:r>
        <w:rPr>
          <w:rFonts w:hint="default" w:ascii="仿宋" w:hAnsi="仿宋" w:eastAsia="仿宋" w:cs="仿宋"/>
          <w:color w:val="0000FF"/>
          <w:kern w:val="0"/>
          <w:sz w:val="24"/>
          <w:szCs w:val="24"/>
          <w:lang w:eastAsia="zh-CN"/>
        </w:rPr>
        <w:t>最高为5分</w:t>
      </w: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</w:p>
    <w:p w14:paraId="4BC80B4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420"/>
        <w:jc w:val="both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售后服务方案内容完整详实、体系完善、针对性极强。服务内容全面覆盖本项目消防车辆全周期售后保障，人员配置充足、专业资质齐全，故障响应时效、上门服务、备件保障、维保巡检、技术答疑、售后回访等各项措施具体细化、落地性极强，实用性、可行性优异，得5分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；</w:t>
      </w: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售后服务方案内容较为详细、架构规范完整。完整包含售后服务内容、响应时限、专职售后人员配置及配套保障机制，贴合消防车辆运维服务需求，无关键内容缺失，服务流程清晰、措施合理可行，得3分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；</w:t>
      </w: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售后服务方案整体完整、基本可行。涵盖售后内容、响应时间、人员配置等核心基础模块，可满足项目常规售后服务要求，但内容表述较为笼统，无细化专属服务举措，针对性、实用性一般，得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分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；</w:t>
      </w:r>
      <w:r>
        <w:rPr>
          <w:rFonts w:hint="default" w:ascii="仿宋" w:hAnsi="仿宋" w:eastAsia="仿宋" w:cs="仿宋"/>
          <w:color w:val="auto"/>
          <w:kern w:val="0"/>
          <w:sz w:val="24"/>
          <w:szCs w:val="24"/>
          <w:lang w:val="en-US" w:eastAsia="zh-CN"/>
        </w:rPr>
        <w:t>售后服务方案内容简略，核心模块不完善。仅罗列通用售后服务内容，未结合本项目消防车辆特性配置专属服务人员、专属响应机制，服务措施单薄、针对性不足，可行性、实用性有待明显提升，得1分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；未提供方案的此项不得分。</w:t>
      </w:r>
    </w:p>
    <w:p w14:paraId="35B1AB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（十二）投标时间更正为：</w:t>
      </w:r>
    </w:p>
    <w:p w14:paraId="2169141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</w:rPr>
        <w:t>投标截止时间：2026年</w:t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16日13</w:t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</w:rPr>
        <w:t>点30分（北京时间）</w:t>
      </w:r>
    </w:p>
    <w:p w14:paraId="691B800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</w:rPr>
        <w:t>开标时间：2026年</w:t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16</w:t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13</w:t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color="auto" w:fill="FFFFFF"/>
        </w:rPr>
        <w:t>点30分（北京时间）</w:t>
      </w:r>
      <w:bookmarkStart w:id="0" w:name="_GoBack"/>
      <w:bookmarkEnd w:id="0"/>
    </w:p>
    <w:p w14:paraId="5F1906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FF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FF"/>
          <w:sz w:val="24"/>
          <w:szCs w:val="24"/>
          <w:highlight w:val="none"/>
          <w:shd w:val="clear" w:color="auto" w:fill="FFFFFF"/>
          <w:lang w:val="en-US" w:eastAsia="zh-CN"/>
        </w:rPr>
        <w:t>更正日期：2026年9月1日</w:t>
      </w:r>
    </w:p>
    <w:p w14:paraId="6B2F222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color="auto" w:fill="FFFFFF"/>
        </w:rPr>
        <w:t>三、其他补充事宜</w:t>
      </w:r>
    </w:p>
    <w:p w14:paraId="622449C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本公告作为原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招标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文件及原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招标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公告的组成部分，对所有参与本次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招标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项目的供应商均起约束作用。</w:t>
      </w:r>
    </w:p>
    <w:p w14:paraId="08B1729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本公告内容如与原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招标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文件及原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招标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公告有冲突之处，以本公告为准，未作调整部分按原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招标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文件执行。</w:t>
      </w:r>
    </w:p>
    <w:p w14:paraId="3791327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color="auto" w:fill="FFFFFF"/>
        </w:rPr>
        <w:t>四、凡对本次公告内容提出询问，请按以下方式联系。</w:t>
      </w:r>
    </w:p>
    <w:p w14:paraId="0368F53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采购人信息</w:t>
      </w:r>
    </w:p>
    <w:p w14:paraId="5EA2B18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名称：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苏州市吴江区七都镇人民政府</w:t>
      </w:r>
    </w:p>
    <w:p w14:paraId="670C260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地址：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苏州市吴江区七都镇七都大道1688号</w:t>
      </w:r>
    </w:p>
    <w:p w14:paraId="389B133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联系人：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孟凡金</w:t>
      </w:r>
    </w:p>
    <w:p w14:paraId="5557EF3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联系方式：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0512-63813119</w:t>
      </w:r>
    </w:p>
    <w:p w14:paraId="2F0A6BB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采购代理机构信息</w:t>
      </w:r>
    </w:p>
    <w:p w14:paraId="3ECEC81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Chars="0" w:right="0" w:rightChars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名    称：苏州捷信招投标咨询有限公司</w:t>
      </w:r>
    </w:p>
    <w:p w14:paraId="4D49CC6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Chars="0" w:right="0" w:rightChars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地　　址：苏州市南园北路118号天和大厦6-206</w:t>
      </w:r>
    </w:p>
    <w:p w14:paraId="496F42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Chars="0" w:right="0" w:rightChars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联系电话：0512-65200361</w:t>
      </w:r>
    </w:p>
    <w:p w14:paraId="0D4F742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项目联系方式</w:t>
      </w:r>
    </w:p>
    <w:p w14:paraId="025DEEA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项目联系人：张瑾、丁亚萍、汪业超</w:t>
      </w:r>
    </w:p>
    <w:p w14:paraId="0695ED3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4"/>
          <w:szCs w:val="24"/>
          <w:highlight w:val="none"/>
          <w:shd w:val="clear" w:color="auto" w:fill="FFFFFF"/>
        </w:rPr>
        <w:t>联系电话：0512-65200361</w:t>
      </w:r>
    </w:p>
    <w:p w14:paraId="62C9C12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D33DC"/>
    <w:rsid w:val="089B52FB"/>
    <w:rsid w:val="0A1C49E3"/>
    <w:rsid w:val="110E442B"/>
    <w:rsid w:val="12863B5B"/>
    <w:rsid w:val="13286CF2"/>
    <w:rsid w:val="16D72F09"/>
    <w:rsid w:val="17C52D61"/>
    <w:rsid w:val="1F0E1492"/>
    <w:rsid w:val="1FBE7725"/>
    <w:rsid w:val="204670C0"/>
    <w:rsid w:val="25482684"/>
    <w:rsid w:val="2BC52ED8"/>
    <w:rsid w:val="31552F50"/>
    <w:rsid w:val="3A850B77"/>
    <w:rsid w:val="40C01584"/>
    <w:rsid w:val="413C4507"/>
    <w:rsid w:val="424753B6"/>
    <w:rsid w:val="4C080E93"/>
    <w:rsid w:val="4D4802EE"/>
    <w:rsid w:val="4EB040BC"/>
    <w:rsid w:val="50854860"/>
    <w:rsid w:val="5B6E1B83"/>
    <w:rsid w:val="5BC47B62"/>
    <w:rsid w:val="5DDE74C3"/>
    <w:rsid w:val="60B01461"/>
    <w:rsid w:val="65587EC8"/>
    <w:rsid w:val="67FD2842"/>
    <w:rsid w:val="6959523E"/>
    <w:rsid w:val="6E8925B0"/>
    <w:rsid w:val="714874B8"/>
    <w:rsid w:val="73584555"/>
    <w:rsid w:val="7464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4149</Words>
  <Characters>4406</Characters>
  <Lines>0</Lines>
  <Paragraphs>0</Paragraphs>
  <TotalTime>128</TotalTime>
  <ScaleCrop>false</ScaleCrop>
  <LinksUpToDate>false</LinksUpToDate>
  <CharactersWithSpaces>4414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2025-12-17T01:22:00Z</dcterms:created>
  <dc:creator>Administrator</dc:creator>
  <cp:lastModifiedBy>admin</cp:lastModifiedBy>
  <cp:lastPrinted>2026-08-28T06:47:00Z</cp:lastPrinted>
  <dcterms:modified xsi:type="dcterms:W3CDTF">2026-09-01T01:22:30Z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56695EAC71EA42449319963B4495EA0F_13</vt:lpwstr>
  </property>
  <property fmtid="{D5CDD505-2E9C-101B-9397-08002B2CF9AE}" pid="4" name="KSOTemplateDocerSaveRecord">
    <vt:lpwstr>eyJoZGlkIjoiNGVmZmRiNTQxMDAwZWQ0ZjYzYTIyNjM2YWI0M2QzZTkiLCJ1c2VySWQiOiIzNjcyMTEwMTcifQ==</vt:lpwstr>
  </property>
</Properties>
</file>