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48"/>
          <w:szCs w:val="48"/>
        </w:rPr>
      </w:pPr>
      <w:r>
        <w:rPr>
          <w:rFonts w:ascii="Arial" w:hAnsi="Arial" w:eastAsia="黑体"/>
          <w:b/>
          <w:bCs/>
          <w:color w:val="000000"/>
          <w:sz w:val="48"/>
          <w:szCs w:val="48"/>
        </w:rPr>
        <w:b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643"/>
        <w:spacing w:before="120" w:after="120" w:line="360" w:lineRule="auto"/>
        <w:rPr>
          <w:rFonts w:hint="default" w:ascii="Arial" w:hAnsi="Arial" w:eastAsia="宋体"/>
          <w:b/>
          <w:bCs/>
          <w:sz w:val="32"/>
          <w:szCs w:val="24"/>
          <w:lang w:val="en-US" w:eastAsia="zh-CN"/>
        </w:rPr>
      </w:pPr>
      <w:r>
        <w:rPr>
          <w:rFonts w:hint="eastAsia" w:ascii="Arial" w:hAnsi="Arial"/>
          <w:b/>
          <w:bCs/>
          <w:sz w:val="32"/>
          <w:szCs w:val="24"/>
        </w:rPr>
        <w:t xml:space="preserve">项目名称：南通市海门区人民医院采购献血车项目</w:t>
      </w:r>
      <w:r>
        <w:rPr>
          <w:rFonts w:hint="eastAsia" w:ascii="Arial" w:hAnsi="Arial"/>
          <w:b/>
          <w:bCs/>
          <w:sz w:val="32"/>
          <w:szCs w:val="24"/>
          <w:lang w:eastAsia="zh-CN"/>
        </w:rPr>
        <w:t xml:space="preserve">（第</w:t>
      </w:r>
      <w:r>
        <w:rPr>
          <w:rFonts w:hint="eastAsia" w:ascii="Arial" w:hAnsi="Arial"/>
          <w:b/>
          <w:bCs/>
          <w:sz w:val="32"/>
          <w:szCs w:val="24"/>
          <w:lang w:val="en-US" w:eastAsia="zh-CN"/>
        </w:rPr>
        <w:t xml:space="preserve">二次</w:t>
      </w:r>
      <w:r>
        <w:rPr>
          <w:rFonts w:hint="eastAsia" w:ascii="Arial" w:hAnsi="Arial"/>
          <w:b/>
          <w:bCs/>
          <w:sz w:val="32"/>
          <w:szCs w:val="24"/>
          <w:lang w:eastAsia="zh-CN"/>
        </w:rPr>
        <w:t xml:space="preserve">）</w:t>
      </w:r>
      <w:r/>
    </w:p>
    <w:p>
      <w:pPr>
        <w:ind w:firstLine="643"/>
        <w:spacing w:before="120" w:after="120" w:line="360" w:lineRule="auto"/>
        <w:rPr>
          <w:rFonts w:hint="eastAsia" w:ascii="Arial" w:hAnsi="Arial"/>
          <w:b/>
          <w:bCs/>
          <w:sz w:val="32"/>
          <w:szCs w:val="24"/>
        </w:rPr>
      </w:pPr>
      <w:r>
        <w:rPr>
          <w:rFonts w:hint="eastAsia" w:ascii="Arial" w:hAnsi="Arial"/>
          <w:b/>
          <w:bCs/>
          <w:sz w:val="32"/>
          <w:szCs w:val="24"/>
        </w:rPr>
        <w:t xml:space="preserve">项目编号：JSZC-320614-JZCG-G2026-0059</w:t>
      </w:r>
      <w:r/>
    </w:p>
    <w:p>
      <w:pPr>
        <w:ind w:firstLine="1285"/>
        <w:spacing w:before="120" w:after="120" w:line="360" w:lineRule="auto"/>
        <w:rPr>
          <w:rFonts w:ascii="Arial" w:hAnsi="Arial"/>
          <w:b/>
          <w:bCs/>
          <w:sz w:val="32"/>
          <w:szCs w:val="24"/>
        </w:rPr>
      </w:pPr>
      <w:r>
        <w:rPr>
          <w:rFonts w:ascii="Arial" w:hAnsi="Arial"/>
          <w:b/>
          <w:bCs/>
          <w:sz w:val="32"/>
          <w:szCs w:val="24"/>
        </w:rPr>
      </w:r>
      <w:r/>
    </w:p>
    <w:p>
      <w:pPr>
        <w:pStyle w:val="745"/>
      </w:pPr>
      <w:r/>
      <w:r/>
    </w:p>
    <w:p>
      <w:pPr>
        <w:spacing w:line="360" w:lineRule="exact"/>
        <w:rPr>
          <w:b/>
          <w:sz w:val="28"/>
          <w:szCs w:val="28"/>
        </w:rPr>
      </w:pPr>
      <w:r>
        <w:rPr>
          <w:b/>
          <w:sz w:val="28"/>
          <w:szCs w:val="28"/>
        </w:rPr>
      </w:r>
      <w:r/>
    </w:p>
    <w:p>
      <w:pPr>
        <w:rPr>
          <w:b/>
          <w:color w:val="ff0000"/>
          <w:sz w:val="24"/>
          <w:szCs w:val="24"/>
        </w:rPr>
      </w:pPr>
      <w:r>
        <w:rPr>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南通市海门区公共资源交易中心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ind w:left="1855" w:hanging="1018"/>
        <w:spacing w:line="480" w:lineRule="auto"/>
        <w:rPr>
          <w:rFonts w:ascii="黑体" w:hAnsi="Showcard Gothic" w:eastAsia="黑体"/>
          <w:color w:val="000000"/>
          <w:sz w:val="32"/>
          <w:szCs w:val="21"/>
        </w:rPr>
        <w:outlineLvl w:val="0"/>
      </w:pPr>
      <w:r>
        <w:rPr>
          <w:rFonts w:hint="eastAsia" w:ascii="黑体" w:hAnsi="Showcard Gothic" w:eastAsia="黑体"/>
          <w:color w:val="000000"/>
          <w:sz w:val="36"/>
          <w:szCs w:val="21"/>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第二章 </w:t>
      </w:r>
      <w:r>
        <w:rPr>
          <w:rFonts w:hint="eastAsia" w:ascii="黑体" w:hAnsi="宋体" w:eastAsia="黑体"/>
          <w:bCs/>
          <w:color w:val="000000"/>
          <w:sz w:val="36"/>
          <w:szCs w:val="36"/>
        </w:rPr>
        <w:t xml:space="preserve">投标人须知</w:t>
      </w:r>
      <w:r/>
    </w:p>
    <w:p>
      <w:p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第三章 </w:t>
      </w:r>
      <w:r>
        <w:rPr>
          <w:rFonts w:hint="eastAsia" w:ascii="黑体" w:hAnsi="宋体" w:eastAsia="黑体"/>
          <w:color w:val="000000"/>
          <w:sz w:val="36"/>
          <w:szCs w:val="21"/>
        </w:rPr>
        <w:t xml:space="preserve">合同文本</w:t>
      </w:r>
      <w:r/>
    </w:p>
    <w:p>
      <w:p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第四章 </w:t>
      </w:r>
      <w:r>
        <w:rPr>
          <w:rFonts w:hint="eastAsia" w:ascii="黑体" w:hAnsi="宋体" w:eastAsia="黑体"/>
          <w:color w:val="000000"/>
          <w:sz w:val="36"/>
          <w:szCs w:val="21"/>
        </w:rPr>
        <w:t xml:space="preserve">采购需求</w:t>
      </w:r>
      <w:r/>
    </w:p>
    <w:p>
      <w:p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第五章 </w:t>
      </w:r>
      <w:r>
        <w:rPr>
          <w:rFonts w:hint="eastAsia" w:ascii="黑体" w:hAnsi="宋体" w:eastAsia="黑体"/>
          <w:bCs/>
          <w:color w:val="000000"/>
          <w:sz w:val="36"/>
          <w:szCs w:val="36"/>
        </w:rPr>
        <w:t xml:space="preserve">评标方法与评标标准</w:t>
      </w:r>
      <w:r/>
    </w:p>
    <w:p>
      <w:pPr>
        <w:ind w:left="1855" w:hanging="1018"/>
        <w:spacing w:line="480" w:lineRule="auto"/>
        <w:rPr>
          <w:rFonts w:ascii="黑体" w:hAnsi="Showcard Gothic" w:eastAsia="黑体"/>
          <w:color w:val="000000"/>
          <w:sz w:val="36"/>
          <w:szCs w:val="21"/>
        </w:rPr>
        <w:outlineLvl w:val="0"/>
      </w:pPr>
      <w:r>
        <w:rPr>
          <w:rFonts w:hint="eastAsia" w:ascii="黑体" w:hAnsi="Showcard Gothic" w:eastAsia="黑体"/>
          <w:color w:val="000000"/>
          <w:sz w:val="36"/>
          <w:szCs w:val="21"/>
        </w:rPr>
        <w:t xml:space="preserve">第六章 </w:t>
      </w:r>
      <w:r>
        <w:rPr>
          <w:rFonts w:hint="eastAsia" w:ascii="黑体" w:hAnsi="宋体" w:eastAsia="黑体"/>
          <w:color w:val="000000"/>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671"/>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736"/>
      </w:tblGrid>
      <w:tr>
        <w:trPr>
          <w:trHeight w:val="846"/>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04"/>
              <w:spacing w:before="0" w:beforeAutospacing="0" w:after="0" w:afterAutospacing="0" w:line="360" w:lineRule="auto"/>
              <w:rPr>
                <w:rFonts w:hint="eastAsia"/>
                <w:sz w:val="28"/>
                <w:szCs w:val="28"/>
              </w:rPr>
            </w:pPr>
            <w:r>
              <w:rPr>
                <w:rFonts w:hint="eastAsia"/>
                <w:sz w:val="28"/>
                <w:szCs w:val="28"/>
              </w:rPr>
              <w:t xml:space="preserve">项目概况</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南通市海门区人民医院采购献血车</w:t>
            </w:r>
            <w:r>
              <w:rPr>
                <w:rFonts w:hint="eastAsia"/>
                <w:color w:val="auto"/>
                <w:sz w:val="28"/>
                <w:szCs w:val="28"/>
              </w:rPr>
              <w:t xml:space="preserve">项目 </w:t>
            </w:r>
            <w:r>
              <w:rPr>
                <w:rFonts w:hint="eastAsia"/>
                <w:sz w:val="28"/>
                <w:szCs w:val="28"/>
              </w:rPr>
              <w:t xml:space="preserve">JSZC-320614-JZCG-G2026-0059</w:t>
            </w:r>
            <w:bookmarkStart w:id="160" w:name="_GoBack"/>
            <w:r/>
            <w:bookmarkEnd w:id="160"/>
            <w:r>
              <w:rPr>
                <w:rFonts w:hint="eastAsia"/>
                <w:color w:val="auto"/>
                <w:sz w:val="28"/>
                <w:szCs w:val="28"/>
              </w:rPr>
              <w:t xml:space="preserve">招标项目的潜在投标人应在江苏政府采购网 获取招标文件，并于2026-09-</w:t>
            </w:r>
            <w:r>
              <w:rPr>
                <w:rFonts w:hint="eastAsia"/>
                <w:color w:val="auto"/>
                <w:sz w:val="28"/>
                <w:szCs w:val="28"/>
                <w:lang w:val="en-US" w:eastAsia="zh-CN"/>
              </w:rPr>
              <w:t xml:space="preserve">24</w:t>
            </w:r>
            <w:r>
              <w:rPr>
                <w:rFonts w:hint="eastAsia"/>
                <w:color w:val="auto"/>
                <w:sz w:val="28"/>
                <w:szCs w:val="28"/>
              </w:rPr>
              <w:t xml:space="preserve"> 09:0</w:t>
            </w:r>
            <w:r>
              <w:rPr>
                <w:rFonts w:hint="eastAsia"/>
                <w:sz w:val="28"/>
                <w:szCs w:val="28"/>
              </w:rPr>
              <w:t xml:space="preserve">0 （北京时间）前递交投标文件。</w:t>
            </w:r>
            <w:r/>
          </w:p>
        </w:tc>
      </w:tr>
    </w:tbl>
    <w:p>
      <w:pPr>
        <w:pStyle w:val="704"/>
        <w:ind w:firstLine="560"/>
        <w:spacing w:before="0" w:beforeAutospacing="0" w:after="0" w:afterAutospacing="0" w:line="360" w:lineRule="auto"/>
        <w:rPr>
          <w:rFonts w:hint="eastAsia"/>
          <w:b/>
          <w:bCs/>
          <w:sz w:val="28"/>
          <w:szCs w:val="28"/>
        </w:rPr>
      </w:pPr>
      <w:r>
        <w:rPr>
          <w:rFonts w:hint="eastAsia"/>
          <w:b/>
          <w:bCs/>
          <w:sz w:val="28"/>
          <w:szCs w:val="28"/>
        </w:rPr>
        <w:t xml:space="preserve">一、项目基本情况</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项目编号：JSZC-320614-JZCG-G2026-0059</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项目名称：南通市海门区人民医院采购献血车项目</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采购方式：公开招标</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预算金额：150万元 </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最高限价（如有）：148万元 </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采购需求：详见采购文件。</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合同履行期限：详见采购需求。</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本项目（是/否）接受联合体投标：否</w:t>
      </w:r>
      <w:r/>
    </w:p>
    <w:p>
      <w:pPr>
        <w:pStyle w:val="704"/>
        <w:ind w:firstLine="560"/>
        <w:spacing w:before="0" w:beforeAutospacing="0" w:after="0" w:afterAutospacing="0" w:line="360" w:lineRule="auto"/>
        <w:rPr>
          <w:rFonts w:hint="eastAsia"/>
          <w:b/>
          <w:bCs/>
          <w:sz w:val="28"/>
          <w:szCs w:val="28"/>
        </w:rPr>
      </w:pPr>
      <w:r>
        <w:rPr>
          <w:rFonts w:hint="eastAsia"/>
          <w:b/>
          <w:bCs/>
          <w:sz w:val="28"/>
          <w:szCs w:val="28"/>
        </w:rPr>
        <w:t xml:space="preserve">二、申请人的资格要求：</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（一）满足《中华人民共和国政府采购法》第二十二条规定：</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1.投标人符合《政府采购法》第二十二条规定条件的声明函（格式见附件4）；</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2.投标函（格式见附件5）。</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（二）落实政府采购政策需满足的资格要求：无。</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（三）本项目的特定资格要求： </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704"/>
        <w:ind w:firstLine="560"/>
        <w:spacing w:before="0" w:beforeAutospacing="0" w:after="0" w:afterAutospacing="0" w:line="360" w:lineRule="auto"/>
        <w:rPr>
          <w:rFonts w:hint="eastAsia"/>
          <w:b/>
          <w:bCs/>
          <w:sz w:val="28"/>
          <w:szCs w:val="28"/>
        </w:rPr>
      </w:pPr>
      <w:r>
        <w:rPr>
          <w:rFonts w:hint="eastAsia"/>
          <w:b/>
          <w:bCs/>
          <w:sz w:val="28"/>
          <w:szCs w:val="28"/>
        </w:rPr>
        <w:t xml:space="preserve">三、获取招标文件</w:t>
      </w:r>
      <w:r/>
    </w:p>
    <w:p>
      <w:pPr>
        <w:ind w:firstLine="560"/>
        <w:jc w:val="left"/>
        <w:spacing w:line="360" w:lineRule="auto"/>
        <w:widowControl/>
        <w:rPr>
          <w:rFonts w:hint="eastAsia" w:ascii="宋体" w:hAnsi="宋体" w:cs="宋体"/>
          <w:sz w:val="28"/>
          <w:szCs w:val="28"/>
        </w:rPr>
      </w:pPr>
      <w:r>
        <w:rPr>
          <w:rFonts w:hint="eastAsia" w:ascii="宋体" w:hAnsi="宋体" w:cs="宋体"/>
          <w:color w:val="auto"/>
          <w:sz w:val="28"/>
          <w:szCs w:val="28"/>
          <w:lang w:bidi="ar"/>
        </w:rPr>
        <w:t xml:space="preserve">时间：2026-0</w:t>
      </w:r>
      <w:r>
        <w:rPr>
          <w:rFonts w:hint="eastAsia" w:ascii="宋体" w:hAnsi="宋体" w:cs="宋体"/>
          <w:color w:val="auto"/>
          <w:sz w:val="28"/>
          <w:szCs w:val="28"/>
          <w:lang w:val="en-US" w:eastAsia="zh-CN" w:bidi="ar"/>
        </w:rPr>
        <w:t xml:space="preserve">9</w:t>
      </w:r>
      <w:r>
        <w:rPr>
          <w:rFonts w:hint="eastAsia" w:ascii="宋体" w:hAnsi="宋体" w:cs="宋体"/>
          <w:color w:val="auto"/>
          <w:sz w:val="28"/>
          <w:szCs w:val="28"/>
          <w:lang w:bidi="ar"/>
        </w:rPr>
        <w:t xml:space="preserve">-</w:t>
      </w:r>
      <w:r>
        <w:rPr>
          <w:rFonts w:hint="eastAsia" w:ascii="宋体" w:hAnsi="宋体" w:cs="宋体"/>
          <w:color w:val="auto"/>
          <w:sz w:val="28"/>
          <w:szCs w:val="28"/>
          <w:lang w:val="en-US" w:eastAsia="zh-CN" w:bidi="ar"/>
        </w:rPr>
        <w:t xml:space="preserve">04</w:t>
      </w:r>
      <w:r>
        <w:rPr>
          <w:rFonts w:hint="eastAsia" w:ascii="宋体" w:hAnsi="宋体" w:cs="宋体"/>
          <w:color w:val="auto"/>
          <w:sz w:val="28"/>
          <w:szCs w:val="28"/>
          <w:lang w:bidi="ar"/>
        </w:rPr>
        <w:t xml:space="preserve">至2026-09-</w:t>
      </w:r>
      <w:r>
        <w:rPr>
          <w:rFonts w:hint="eastAsia" w:ascii="宋体" w:hAnsi="宋体" w:cs="宋体"/>
          <w:color w:val="auto"/>
          <w:sz w:val="28"/>
          <w:szCs w:val="28"/>
          <w:lang w:val="en-US" w:eastAsia="zh-CN" w:bidi="ar"/>
        </w:rPr>
        <w:t xml:space="preserve">10</w:t>
      </w:r>
      <w:r>
        <w:rPr>
          <w:rFonts w:hint="eastAsia" w:ascii="宋体" w:hAnsi="宋体" w:cs="宋体"/>
          <w:color w:val="auto"/>
          <w:sz w:val="28"/>
          <w:szCs w:val="28"/>
          <w:lang w:bidi="ar"/>
        </w:rPr>
        <w:t xml:space="preserve">，每天上午00:00-12:00,下午12:00-23:59 </w:t>
      </w:r>
      <w:r>
        <w:rPr>
          <w:rFonts w:hint="eastAsia" w:ascii="宋体" w:hAnsi="宋体" w:cs="宋体"/>
          <w:sz w:val="28"/>
          <w:szCs w:val="28"/>
          <w:lang w:bidi="ar"/>
        </w:rPr>
        <w:t xml:space="preserve">（北京时间，法定节假日除外） </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地点：江苏政府采购网 </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方式：凡有意参与投标的供应商须登录江苏省政府采购网首页点击“苏采云”→通过CA锁进行响应确认，并自行在招标文件有效获取期内及时下载获取。 </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售价：0.00元 </w:t>
      </w:r>
      <w:r/>
    </w:p>
    <w:p>
      <w:pPr>
        <w:pStyle w:val="704"/>
        <w:ind w:firstLine="560"/>
        <w:spacing w:before="0" w:beforeAutospacing="0" w:after="0" w:afterAutospacing="0" w:line="360" w:lineRule="auto"/>
        <w:rPr>
          <w:rFonts w:hint="eastAsia"/>
          <w:b/>
          <w:bCs/>
          <w:color w:val="auto"/>
          <w:sz w:val="28"/>
          <w:szCs w:val="28"/>
        </w:rPr>
      </w:pPr>
      <w:r>
        <w:rPr>
          <w:rFonts w:hint="eastAsia"/>
          <w:b/>
          <w:bCs/>
          <w:color w:val="auto"/>
          <w:sz w:val="28"/>
          <w:szCs w:val="28"/>
        </w:rPr>
        <w:t xml:space="preserve">四、提交投标文件截止时间、开标时间和地点</w:t>
      </w:r>
      <w:r/>
    </w:p>
    <w:p>
      <w:pPr>
        <w:pStyle w:val="704"/>
        <w:ind w:firstLine="560"/>
        <w:spacing w:before="0" w:beforeAutospacing="0" w:after="0" w:afterAutospacing="0" w:line="360" w:lineRule="auto"/>
        <w:rPr>
          <w:rFonts w:hint="eastAsia"/>
          <w:color w:val="auto"/>
          <w:sz w:val="28"/>
          <w:szCs w:val="28"/>
        </w:rPr>
      </w:pPr>
      <w:r>
        <w:rPr>
          <w:rFonts w:hint="eastAsia"/>
          <w:color w:val="auto"/>
          <w:sz w:val="28"/>
          <w:szCs w:val="28"/>
        </w:rPr>
        <w:t xml:space="preserve">2026-09-</w:t>
      </w:r>
      <w:r>
        <w:rPr>
          <w:rFonts w:hint="eastAsia"/>
          <w:color w:val="auto"/>
          <w:sz w:val="28"/>
          <w:szCs w:val="28"/>
          <w:lang w:val="en-US" w:eastAsia="zh-CN"/>
        </w:rPr>
        <w:t xml:space="preserve">24</w:t>
      </w:r>
      <w:r>
        <w:rPr>
          <w:rFonts w:hint="eastAsia"/>
          <w:color w:val="auto"/>
          <w:sz w:val="28"/>
          <w:szCs w:val="28"/>
        </w:rPr>
        <w:t xml:space="preserve"> 09:00 （北京时间）</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地点：“苏采云”政府采购交易系统网上开标大厅</w:t>
      </w:r>
      <w:r/>
    </w:p>
    <w:p>
      <w:pPr>
        <w:pStyle w:val="704"/>
        <w:ind w:firstLine="560"/>
        <w:spacing w:before="0" w:beforeAutospacing="0" w:after="0" w:afterAutospacing="0" w:line="360" w:lineRule="auto"/>
        <w:rPr>
          <w:rFonts w:hint="eastAsia"/>
          <w:b/>
          <w:bCs/>
          <w:sz w:val="28"/>
          <w:szCs w:val="28"/>
        </w:rPr>
      </w:pPr>
      <w:r>
        <w:rPr>
          <w:rFonts w:hint="eastAsia"/>
          <w:b/>
          <w:bCs/>
          <w:sz w:val="28"/>
          <w:szCs w:val="28"/>
        </w:rPr>
        <w:t xml:space="preserve">五、公告期限</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自本公告发布之日起5个工作日。</w:t>
      </w:r>
      <w:r/>
    </w:p>
    <w:p>
      <w:pPr>
        <w:pStyle w:val="704"/>
        <w:ind w:firstLine="560"/>
        <w:spacing w:before="0" w:beforeAutospacing="0" w:after="0" w:afterAutospacing="0" w:line="360" w:lineRule="auto"/>
        <w:rPr>
          <w:rFonts w:hint="eastAsia"/>
          <w:b/>
          <w:bCs/>
          <w:sz w:val="28"/>
          <w:szCs w:val="28"/>
        </w:rPr>
      </w:pPr>
      <w:r>
        <w:rPr>
          <w:rFonts w:hint="eastAsia"/>
          <w:b/>
          <w:bCs/>
          <w:sz w:val="28"/>
          <w:szCs w:val="28"/>
        </w:rPr>
        <w:t xml:space="preserve">六、其他补充事宜</w:t>
      </w:r>
      <w:r/>
    </w:p>
    <w:p>
      <w:pPr>
        <w:pStyle w:val="704"/>
        <w:ind w:firstLine="561"/>
        <w:keepLines w:val="0"/>
        <w:keepNext w:val="0"/>
        <w:pageBreakBefore w:val="0"/>
        <w:spacing w:before="0" w:beforeAutospacing="0" w:after="0" w:afterAutospacing="0" w:line="360" w:lineRule="auto"/>
        <w:widowControl/>
        <w:rPr>
          <w:rFonts w:hint="eastAsia"/>
          <w:sz w:val="28"/>
          <w:szCs w:val="28"/>
        </w:rPr>
      </w:pPr>
      <w:r>
        <w:rPr>
          <w:rFonts w:hint="eastAsia"/>
          <w:sz w:val="28"/>
          <w:szCs w:val="28"/>
        </w:rPr>
        <w:t xml:space="preserve">1.根据省财政厅《关于</w:t>
      </w:r>
      <w:r>
        <w:rPr>
          <w:rFonts w:hint="eastAsia"/>
          <w:sz w:val="28"/>
          <w:szCs w:val="28"/>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3.本次招标不收取投标保证金。</w:t>
      </w:r>
      <w:r/>
    </w:p>
    <w:p>
      <w:pPr>
        <w:pStyle w:val="704"/>
        <w:ind w:firstLine="560"/>
        <w:spacing w:before="0" w:beforeAutospacing="0" w:after="0" w:afterAutospacing="0" w:line="360" w:lineRule="auto"/>
        <w:rPr>
          <w:rFonts w:hint="eastAsia"/>
          <w:b/>
          <w:bCs/>
          <w:sz w:val="28"/>
          <w:szCs w:val="28"/>
        </w:rPr>
      </w:pPr>
      <w:r>
        <w:rPr>
          <w:rFonts w:hint="eastAsia"/>
          <w:b/>
          <w:bCs/>
          <w:sz w:val="28"/>
          <w:szCs w:val="28"/>
        </w:rPr>
        <w:t xml:space="preserve">七、对本次招标提出询问，请按以下方式联系</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1.采购人信息 </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单位名称：南通市海门区人民医院</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单位地址：南通市海门区北京路1201号</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联系人：张先生</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联系电话：0513-82263275、13901461168　　</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2.采购代理机构信息（如有）</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单位名称：南通市海门区公共资源交易中心</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单位地址：南通市海门区长江南路777号</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联系人：王先生</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联系电话：0513-82100351</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3.项目联系方式</w:t>
      </w:r>
      <w:r/>
    </w:p>
    <w:p>
      <w:pPr>
        <w:pStyle w:val="704"/>
        <w:ind w:firstLine="560"/>
        <w:spacing w:before="0" w:beforeAutospacing="0" w:after="0" w:afterAutospacing="0" w:line="360" w:lineRule="auto"/>
        <w:rPr>
          <w:rFonts w:hint="eastAsia"/>
          <w:sz w:val="28"/>
          <w:szCs w:val="28"/>
        </w:rPr>
      </w:pPr>
      <w:r>
        <w:rPr>
          <w:rFonts w:hint="eastAsia"/>
          <w:sz w:val="28"/>
          <w:szCs w:val="28"/>
        </w:rPr>
        <w:t xml:space="preserve">项目联系人：王先生</w:t>
      </w:r>
      <w:r/>
    </w:p>
    <w:p>
      <w:pPr>
        <w:pStyle w:val="704"/>
        <w:ind w:firstLine="560"/>
        <w:spacing w:before="0" w:beforeAutospacing="0" w:after="0" w:afterAutospacing="0" w:line="360" w:lineRule="auto"/>
        <w:rPr>
          <w:rFonts w:hint="eastAsia"/>
        </w:rPr>
      </w:pPr>
      <w:r>
        <w:rPr>
          <w:rFonts w:hint="eastAsia"/>
          <w:sz w:val="28"/>
          <w:szCs w:val="28"/>
        </w:rPr>
        <w:t xml:space="preserve">电话：0513-82100351</w:t>
      </w:r>
      <w:r/>
    </w:p>
    <w:p>
      <w:pPr>
        <w:ind w:right="840"/>
        <w:rPr>
          <w:rFonts w:hint="eastAsia" w:ascii="宋体" w:hAnsi="宋体"/>
          <w:color w:val="000000"/>
          <w:sz w:val="24"/>
          <w:szCs w:val="24"/>
        </w:rPr>
      </w:pPr>
      <w:r>
        <w:rPr>
          <w:rFonts w:hint="eastAsia" w:ascii="宋体" w:hAnsi="宋体"/>
          <w:color w:val="000000"/>
          <w:sz w:val="24"/>
          <w:szCs w:val="24"/>
        </w:rPr>
      </w:r>
      <w:bookmarkEnd w:id="1"/>
      <w:bookmarkEnd w:id="2"/>
      <w:bookmarkEnd w:id="3"/>
      <w:bookmarkEnd w:id="4"/>
      <w:bookmarkEnd w:id="5"/>
      <w:r/>
    </w:p>
    <w:p>
      <w:pPr>
        <w:ind w:firstLine="0"/>
        <w:jc w:val="center"/>
        <w:keepLines/>
        <w:keepNext/>
        <w:spacing w:before="260" w:after="260" w:line="416" w:lineRule="auto"/>
        <w:rPr>
          <w:rFonts w:ascii="黑体" w:hAnsi="Arial" w:eastAsia="黑体" w:cs="Arial"/>
          <w:color w:val="000000"/>
          <w:sz w:val="44"/>
          <w:szCs w:val="44"/>
        </w:rPr>
        <w:outlineLvl w:val="1"/>
      </w:pPr>
      <w:r/>
      <w:bookmarkStart w:id="6" w:name="_Toc120614211"/>
      <w:r/>
      <w:bookmarkEnd w:id="6"/>
      <w:r/>
      <w:bookmarkStart w:id="7" w:name="_Toc479757207"/>
      <w:r/>
      <w:bookmarkStart w:id="8" w:name="_Toc20823314"/>
      <w:r/>
      <w:bookmarkStart w:id="9" w:name="_Toc120614221"/>
      <w:r/>
      <w:bookmarkStart w:id="10" w:name="_Toc16938558"/>
      <w:r/>
      <w:bookmarkStart w:id="11" w:name="_Toc513029242"/>
      <w:r>
        <w:rPr>
          <w:rFonts w:hint="eastAsia" w:ascii="黑体" w:hAnsi="Arial" w:eastAsia="黑体" w:cs="Arial"/>
          <w:b/>
          <w:bCs/>
          <w:color w:val="000000"/>
          <w:sz w:val="44"/>
          <w:szCs w:val="44"/>
        </w:rPr>
        <w:t xml:space="preserve">第二章  </w:t>
      </w:r>
      <w:bookmarkStart w:id="12" w:name="_Toc16938518"/>
      <w:r/>
      <w:bookmarkStart w:id="13" w:name="_Toc120614213"/>
      <w:r/>
      <w:bookmarkStart w:id="14" w:name="_Toc20823274"/>
      <w:r/>
      <w:bookmarkStart w:id="15" w:name="_Toc513029202"/>
      <w:r>
        <w:rPr>
          <w:rFonts w:hint="eastAsia" w:ascii="黑体" w:hAnsi="Arial" w:eastAsia="黑体" w:cs="Arial"/>
          <w:b/>
          <w:bCs/>
          <w:color w:val="000000"/>
          <w:sz w:val="44"/>
          <w:szCs w:val="44"/>
        </w:rPr>
        <w:t xml:space="preserve">投标人须知</w:t>
      </w:r>
      <w:bookmarkEnd w:id="12"/>
      <w:r/>
      <w:bookmarkEnd w:id="13"/>
      <w:r/>
      <w:bookmarkEnd w:id="14"/>
      <w:r/>
      <w:bookmarkEnd w:id="15"/>
      <w:r/>
      <w:r/>
    </w:p>
    <w:p>
      <w:pPr>
        <w:keepLines/>
        <w:keepNext/>
        <w:spacing w:line="360" w:lineRule="auto"/>
        <w:rPr>
          <w:rFonts w:hint="eastAsia" w:ascii="宋体" w:hAnsi="宋体" w:cs="宋体"/>
          <w:b/>
          <w:bCs/>
          <w:color w:val="000000"/>
          <w:sz w:val="24"/>
          <w:szCs w:val="24"/>
        </w:rPr>
        <w:outlineLvl w:val="2"/>
      </w:pPr>
      <w:r/>
      <w:bookmarkStart w:id="16" w:name="_Toc513029203"/>
      <w:r/>
      <w:bookmarkStart w:id="17" w:name="_Toc120614214"/>
      <w:r/>
      <w:bookmarkStart w:id="18" w:name="_Toc16938519"/>
      <w:r/>
      <w:bookmarkStart w:id="19" w:name="_Toc20823275"/>
      <w:r>
        <w:rPr>
          <w:rFonts w:hint="eastAsia" w:ascii="宋体" w:hAnsi="宋体" w:cs="宋体"/>
          <w:b/>
          <w:bCs/>
          <w:color w:val="000000"/>
          <w:sz w:val="24"/>
          <w:szCs w:val="24"/>
        </w:rPr>
        <w:t xml:space="preserve">一、总则</w:t>
      </w:r>
      <w:bookmarkEnd w:id="16"/>
      <w:r/>
      <w:bookmarkEnd w:id="17"/>
      <w:r/>
      <w:bookmarkEnd w:id="18"/>
      <w:r/>
      <w:bookmarkEnd w:id="19"/>
      <w:r/>
      <w:bookmarkStart w:id="20" w:name="_Hlt16619475"/>
      <w:r/>
      <w:bookmarkEnd w:id="20"/>
      <w:r/>
      <w:bookmarkStart w:id="21" w:name="_Toc458694821"/>
      <w:r/>
      <w:bookmarkStart w:id="22" w:name="_Toc20823276"/>
      <w:r/>
      <w:bookmarkStart w:id="23" w:name="_Toc513029204"/>
      <w:r/>
      <w:bookmarkStart w:id="24" w:name="_Toc16938520"/>
      <w:r/>
      <w:r/>
    </w:p>
    <w:p>
      <w:pPr>
        <w:ind w:firstLine="480"/>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1</w:t>
      </w:r>
      <w:bookmarkEnd w:id="21"/>
      <w:r>
        <w:rPr>
          <w:rFonts w:hint="eastAsia" w:ascii="宋体" w:hAnsi="宋体" w:cs="宋体"/>
          <w:color w:val="000000"/>
          <w:sz w:val="24"/>
          <w:szCs w:val="24"/>
        </w:rPr>
        <w:t xml:space="preserve">、招标方式</w:t>
      </w:r>
      <w:bookmarkEnd w:id="22"/>
      <w:r/>
      <w:bookmarkEnd w:id="23"/>
      <w:r/>
      <w:bookmarkEnd w:id="24"/>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p>
    <w:p>
      <w:pPr>
        <w:ind w:firstLine="480"/>
        <w:keepLines/>
        <w:keepNext/>
        <w:spacing w:line="360" w:lineRule="auto"/>
        <w:rPr>
          <w:rFonts w:hint="eastAsia" w:ascii="宋体" w:hAnsi="宋体" w:cs="宋体"/>
          <w:color w:val="000000"/>
          <w:sz w:val="24"/>
          <w:szCs w:val="24"/>
        </w:rPr>
        <w:outlineLvl w:val="3"/>
      </w:pPr>
      <w:r/>
      <w:bookmarkStart w:id="25" w:name="_Toc16938521"/>
      <w:r/>
      <w:bookmarkStart w:id="26" w:name="_Toc513029205"/>
      <w:r/>
      <w:bookmarkStart w:id="27" w:name="_Toc20823277"/>
      <w:r>
        <w:rPr>
          <w:rFonts w:hint="eastAsia" w:ascii="宋体" w:hAnsi="宋体" w:cs="宋体"/>
          <w:color w:val="000000"/>
          <w:sz w:val="24"/>
          <w:szCs w:val="24"/>
        </w:rPr>
        <w:t xml:space="preserve">2、合格的投标人</w:t>
      </w:r>
      <w:bookmarkEnd w:id="25"/>
      <w:r/>
      <w:bookmarkEnd w:id="26"/>
      <w:r/>
      <w:bookmarkEnd w:id="27"/>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 满足本文件实质性要求的规定。</w:t>
      </w:r>
      <w:r/>
    </w:p>
    <w:p>
      <w:pPr>
        <w:ind w:firstLine="480"/>
        <w:keepLines/>
        <w:keepNext/>
        <w:spacing w:line="360" w:lineRule="auto"/>
        <w:rPr>
          <w:rFonts w:hint="eastAsia" w:ascii="宋体" w:hAnsi="宋体" w:cs="宋体"/>
          <w:sz w:val="24"/>
          <w:szCs w:val="24"/>
        </w:rPr>
        <w:outlineLvl w:val="3"/>
      </w:pPr>
      <w:r/>
      <w:bookmarkStart w:id="28" w:name="_Toc20823278"/>
      <w:r/>
      <w:bookmarkStart w:id="29" w:name="_Toc513029206"/>
      <w:r/>
      <w:bookmarkStart w:id="30" w:name="_Toc16938522"/>
      <w:r>
        <w:rPr>
          <w:rFonts w:hint="eastAsia" w:ascii="宋体" w:hAnsi="宋体" w:cs="宋体"/>
          <w:sz w:val="24"/>
          <w:szCs w:val="24"/>
        </w:rPr>
        <w:t xml:space="preserve">3、适用法律</w:t>
      </w:r>
      <w:bookmarkEnd w:id="28"/>
      <w:r/>
      <w:bookmarkEnd w:id="29"/>
      <w:r/>
      <w:bookmarkEnd w:id="30"/>
      <w:r>
        <w:rPr>
          <w:rFonts w:hint="eastAsia" w:ascii="宋体" w:hAnsi="宋体" w:cs="宋体"/>
          <w:sz w:val="24"/>
          <w:szCs w:val="24"/>
        </w:rPr>
        <w:t xml:space="preserve">和标准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p>
    <w:p>
      <w:pPr>
        <w:ind w:firstLine="480"/>
        <w:keepLines/>
        <w:keepNext/>
        <w:spacing w:line="360" w:lineRule="auto"/>
        <w:rPr>
          <w:rFonts w:hint="eastAsia" w:ascii="宋体" w:hAnsi="宋体" w:cs="宋体"/>
          <w:sz w:val="24"/>
          <w:szCs w:val="24"/>
        </w:rPr>
        <w:outlineLvl w:val="3"/>
      </w:pPr>
      <w:r/>
      <w:bookmarkStart w:id="31" w:name="_Toc20823279"/>
      <w:r/>
      <w:bookmarkStart w:id="32" w:name="_Toc513029207"/>
      <w:r/>
      <w:bookmarkStart w:id="33" w:name="_Toc462564067"/>
      <w:r/>
      <w:bookmarkStart w:id="34" w:name="_Toc16938523"/>
      <w:r>
        <w:rPr>
          <w:rFonts w:hint="eastAsia" w:ascii="宋体" w:hAnsi="宋体" w:cs="宋体"/>
          <w:sz w:val="24"/>
          <w:szCs w:val="24"/>
        </w:rPr>
        <w:t xml:space="preserve">4、投标费用</w:t>
      </w:r>
      <w:bookmarkEnd w:id="31"/>
      <w:r/>
      <w:bookmarkEnd w:id="32"/>
      <w:r/>
      <w:bookmarkEnd w:id="33"/>
      <w:r/>
      <w:bookmarkEnd w:id="34"/>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投标人应自行承担所有与参加投标有关的费用，无论投标过程中的做法和结果如何，南通市海门区公共资源交易中心（以下简称交易中心）在任何情况下均无义务和责任承担这些费用。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4.2本次招标交易中心和采购人不收取标书工本费与中标服务费。</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5、招标文件的约束力</w:t>
      </w:r>
      <w:r/>
    </w:p>
    <w:p>
      <w:pPr>
        <w:ind w:firstLine="480"/>
        <w:spacing w:line="360" w:lineRule="auto"/>
        <w:rPr>
          <w:rFonts w:hint="eastAsia" w:ascii="宋体" w:hAnsi="宋体" w:cs="宋体"/>
          <w:color w:val="000000"/>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w:t>
      </w:r>
      <w:r>
        <w:rPr>
          <w:rFonts w:hint="eastAsia" w:ascii="宋体" w:hAnsi="宋体" w:cs="宋体"/>
          <w:color w:val="000000"/>
          <w:sz w:val="24"/>
          <w:szCs w:val="24"/>
        </w:rPr>
        <w:t xml:space="preserve">标文件的规定和约束。</w:t>
      </w:r>
      <w:r/>
    </w:p>
    <w:p>
      <w:pPr>
        <w:keepLines/>
        <w:keepNext/>
        <w:spacing w:line="360" w:lineRule="auto"/>
        <w:rPr>
          <w:rFonts w:hint="eastAsia" w:ascii="宋体" w:hAnsi="宋体" w:cs="宋体"/>
          <w:b/>
          <w:bCs/>
          <w:color w:val="000000"/>
          <w:sz w:val="24"/>
          <w:szCs w:val="24"/>
        </w:rPr>
        <w:outlineLvl w:val="2"/>
      </w:pPr>
      <w:r/>
      <w:bookmarkStart w:id="35" w:name="_Toc513029209"/>
      <w:r/>
      <w:bookmarkStart w:id="36" w:name="_Toc16938525"/>
      <w:r/>
      <w:bookmarkStart w:id="37" w:name="_Toc20823281"/>
      <w:r/>
      <w:bookmarkStart w:id="38" w:name="_Toc120614215"/>
      <w:r>
        <w:rPr>
          <w:rFonts w:hint="eastAsia" w:ascii="宋体" w:hAnsi="宋体" w:cs="宋体"/>
          <w:b/>
          <w:bCs/>
          <w:color w:val="000000"/>
          <w:sz w:val="24"/>
          <w:szCs w:val="24"/>
        </w:rPr>
        <w:t xml:space="preserve">二、招标文件</w:t>
      </w:r>
      <w:bookmarkEnd w:id="35"/>
      <w:r/>
      <w:bookmarkEnd w:id="36"/>
      <w:r/>
      <w:bookmarkEnd w:id="37"/>
      <w:r/>
      <w:bookmarkEnd w:id="38"/>
      <w:r/>
      <w:r/>
    </w:p>
    <w:p>
      <w:pPr>
        <w:ind w:firstLine="480"/>
        <w:keepLines/>
        <w:keepNext/>
        <w:spacing w:line="360" w:lineRule="auto"/>
        <w:rPr>
          <w:rFonts w:hint="eastAsia" w:ascii="宋体" w:hAnsi="宋体" w:cs="宋体"/>
          <w:color w:val="000000"/>
          <w:sz w:val="24"/>
          <w:szCs w:val="24"/>
        </w:rPr>
        <w:outlineLvl w:val="3"/>
      </w:pPr>
      <w:r/>
      <w:bookmarkStart w:id="39" w:name="_Toc20823282"/>
      <w:r/>
      <w:bookmarkStart w:id="40" w:name="_Toc16938526"/>
      <w:r/>
      <w:bookmarkStart w:id="41" w:name="_Toc513029210"/>
      <w:r>
        <w:rPr>
          <w:rFonts w:hint="eastAsia" w:ascii="宋体" w:hAnsi="宋体" w:cs="宋体"/>
          <w:color w:val="000000"/>
          <w:sz w:val="24"/>
          <w:szCs w:val="24"/>
        </w:rPr>
        <w:t xml:space="preserve">6、招标文件构成</w:t>
      </w:r>
      <w:bookmarkEnd w:id="39"/>
      <w:r/>
      <w:bookmarkEnd w:id="40"/>
      <w:r/>
      <w:bookmarkEnd w:id="41"/>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 招标文件由以下部分组成：</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（1）投标邀请</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请仔细检查招标文件是否齐全，如有缺漏请立即与交易中心联系解决。</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360" w:lineRule="auto"/>
        <w:rPr>
          <w:rFonts w:hint="eastAsia" w:ascii="宋体" w:hAnsi="宋体" w:cs="宋体"/>
          <w:color w:val="000000"/>
          <w:sz w:val="24"/>
          <w:szCs w:val="24"/>
        </w:rPr>
        <w:outlineLvl w:val="3"/>
      </w:pPr>
      <w:r/>
      <w:bookmarkStart w:id="42" w:name="_Toc462564071"/>
      <w:r/>
      <w:bookmarkStart w:id="43" w:name="_Toc20823284"/>
      <w:r/>
      <w:bookmarkStart w:id="44" w:name="_Toc16938528"/>
      <w:r/>
      <w:bookmarkStart w:id="45" w:name="_Toc513029212"/>
      <w:r>
        <w:rPr>
          <w:rFonts w:hint="eastAsia" w:ascii="宋体" w:hAnsi="宋体" w:cs="宋体"/>
          <w:color w:val="000000"/>
          <w:sz w:val="24"/>
          <w:szCs w:val="24"/>
        </w:rPr>
        <w:t xml:space="preserve">7、招标文件的修改</w:t>
      </w:r>
      <w:bookmarkEnd w:id="42"/>
      <w:r/>
      <w:bookmarkEnd w:id="43"/>
      <w:r/>
      <w:bookmarkEnd w:id="44"/>
      <w:r/>
      <w:bookmarkEnd w:id="45"/>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在投标截止时间前，交易中心可以对招标文件进行修改。</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7.2 </w:t>
      </w:r>
      <w:r>
        <w:rPr>
          <w:rFonts w:hint="eastAsia" w:ascii="宋体" w:hAnsi="宋体" w:cs="宋体"/>
          <w:color w:val="000000"/>
          <w:sz w:val="24"/>
          <w:szCs w:val="24"/>
        </w:rPr>
        <w:t xml:space="preserve">交易中心有权按照法定的要求推迟投标截止日期和开标日期。</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7.3 </w:t>
      </w:r>
      <w:r>
        <w:rPr>
          <w:rFonts w:hint="eastAsia" w:ascii="宋体" w:hAnsi="宋体" w:cs="宋体"/>
          <w:color w:val="000000"/>
          <w:sz w:val="24"/>
          <w:szCs w:val="24"/>
        </w:rPr>
        <w:t xml:space="preserve">招标文件的修改将在江苏政府采购网公布，补充文件将作为招标文件的组成部分，并对投标人具有约束力。</w:t>
      </w:r>
      <w:r/>
    </w:p>
    <w:p>
      <w:pPr>
        <w:keepLines/>
        <w:keepNext/>
        <w:spacing w:line="360" w:lineRule="auto"/>
        <w:rPr>
          <w:rFonts w:hint="eastAsia" w:ascii="宋体" w:hAnsi="宋体" w:cs="宋体"/>
          <w:b/>
          <w:bCs/>
          <w:color w:val="000000"/>
          <w:sz w:val="24"/>
          <w:szCs w:val="24"/>
        </w:rPr>
        <w:outlineLvl w:val="2"/>
      </w:pPr>
      <w:r/>
      <w:bookmarkStart w:id="46" w:name="_Toc120614216"/>
      <w:r/>
      <w:bookmarkStart w:id="47" w:name="_Toc462564072"/>
      <w:r/>
      <w:bookmarkStart w:id="48" w:name="_Toc513029213"/>
      <w:r/>
      <w:bookmarkStart w:id="49" w:name="_Toc20823285"/>
      <w:r/>
      <w:bookmarkStart w:id="50" w:name="_Toc16938529"/>
      <w:r>
        <w:rPr>
          <w:rFonts w:hint="eastAsia" w:ascii="宋体" w:hAnsi="宋体" w:cs="宋体"/>
          <w:b/>
          <w:bCs/>
          <w:color w:val="000000"/>
          <w:sz w:val="24"/>
          <w:szCs w:val="24"/>
        </w:rPr>
        <w:t xml:space="preserve">三、投标文件的编制</w:t>
      </w:r>
      <w:bookmarkEnd w:id="46"/>
      <w:r/>
      <w:bookmarkEnd w:id="47"/>
      <w:r/>
      <w:bookmarkEnd w:id="48"/>
      <w:r/>
      <w:bookmarkEnd w:id="49"/>
      <w:r/>
      <w:bookmarkEnd w:id="50"/>
      <w:r/>
      <w:r/>
    </w:p>
    <w:p>
      <w:pPr>
        <w:ind w:firstLine="480"/>
        <w:keepLines/>
        <w:keepNext/>
        <w:spacing w:line="360" w:lineRule="auto"/>
        <w:rPr>
          <w:rFonts w:hint="eastAsia" w:ascii="宋体" w:hAnsi="宋体" w:cs="宋体"/>
          <w:b/>
          <w:color w:val="000000"/>
          <w:sz w:val="24"/>
          <w:szCs w:val="24"/>
        </w:rPr>
        <w:outlineLvl w:val="3"/>
      </w:pPr>
      <w:r/>
      <w:bookmarkStart w:id="51" w:name="_Toc20823286"/>
      <w:r/>
      <w:bookmarkStart w:id="52" w:name="_Toc462564073"/>
      <w:r/>
      <w:bookmarkStart w:id="53" w:name="_Toc16938530"/>
      <w:r/>
      <w:bookmarkStart w:id="54" w:name="_Toc513029214"/>
      <w:r>
        <w:rPr>
          <w:rFonts w:hint="eastAsia" w:ascii="宋体" w:hAnsi="宋体" w:cs="宋体"/>
          <w:color w:val="000000"/>
          <w:sz w:val="24"/>
          <w:szCs w:val="24"/>
        </w:rPr>
        <w:t xml:space="preserve">8、投标文件的语言及度量衡单位</w:t>
      </w:r>
      <w:bookmarkEnd w:id="51"/>
      <w:r/>
      <w:bookmarkEnd w:id="52"/>
      <w:r/>
      <w:bookmarkEnd w:id="53"/>
      <w:r/>
      <w:bookmarkEnd w:id="54"/>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投标人提交的投标文件以及投标人与交易中心就有关投标的所有来往通知、函件和文件均应使用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p>
    <w:p>
      <w:pPr>
        <w:ind w:firstLine="480"/>
        <w:keepLines/>
        <w:keepNext/>
        <w:spacing w:line="360" w:lineRule="auto"/>
        <w:rPr>
          <w:rFonts w:hint="eastAsia" w:ascii="宋体" w:hAnsi="宋体" w:cs="宋体"/>
          <w:color w:val="000000"/>
          <w:sz w:val="24"/>
          <w:szCs w:val="24"/>
        </w:rPr>
        <w:outlineLvl w:val="3"/>
      </w:pPr>
      <w:r/>
      <w:bookmarkStart w:id="55" w:name="_Toc20823287"/>
      <w:r/>
      <w:bookmarkStart w:id="56" w:name="_Toc16938531"/>
      <w:r/>
      <w:bookmarkStart w:id="57" w:name="_Toc462564074"/>
      <w:r/>
      <w:bookmarkStart w:id="58" w:name="_Toc513029215"/>
      <w:r>
        <w:rPr>
          <w:rFonts w:hint="eastAsia" w:ascii="宋体" w:hAnsi="宋体" w:cs="宋体"/>
          <w:color w:val="000000"/>
          <w:sz w:val="24"/>
          <w:szCs w:val="24"/>
        </w:rPr>
        <w:t xml:space="preserve">9、投标文件构成</w:t>
      </w:r>
      <w:bookmarkEnd w:id="55"/>
      <w:r/>
      <w:bookmarkEnd w:id="56"/>
      <w:r/>
      <w:bookmarkEnd w:id="57"/>
      <w:r/>
      <w:bookmarkEnd w:id="58"/>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 如标书制作工具中格式和内容与“江苏政府采购网”发布的招标文件不一致，请以“江苏政府采购网”发布的招标文件为准。</w:t>
      </w:r>
      <w:r/>
    </w:p>
    <w:p>
      <w:pPr>
        <w:ind w:firstLine="480"/>
        <w:keepLines/>
        <w:keepNext/>
        <w:spacing w:line="360" w:lineRule="auto"/>
        <w:rPr>
          <w:rFonts w:hint="eastAsia" w:ascii="宋体" w:hAnsi="宋体" w:cs="宋体"/>
          <w:color w:val="000000"/>
          <w:sz w:val="24"/>
          <w:szCs w:val="24"/>
        </w:rPr>
        <w:outlineLvl w:val="3"/>
      </w:pPr>
      <w:r/>
      <w:bookmarkStart w:id="59" w:name="_Hlt26954838"/>
      <w:r/>
      <w:bookmarkEnd w:id="59"/>
      <w:r/>
      <w:bookmarkStart w:id="60" w:name="_Hlt26670360"/>
      <w:r/>
      <w:bookmarkEnd w:id="60"/>
      <w:r/>
      <w:bookmarkStart w:id="61" w:name="_Hlt26668975"/>
      <w:r/>
      <w:bookmarkEnd w:id="61"/>
      <w:r/>
      <w:bookmarkStart w:id="62" w:name="_Toc49090507"/>
      <w:r/>
      <w:bookmarkStart w:id="63" w:name="_Toc513029216"/>
      <w:r/>
      <w:bookmarkStart w:id="64" w:name="_Toc49090509"/>
      <w:r/>
      <w:bookmarkStart w:id="65" w:name="_Toc14577357"/>
      <w:r/>
      <w:bookmarkStart w:id="66" w:name="_Toc14577354"/>
      <w:r/>
      <w:bookmarkStart w:id="67" w:name="_Toc513029219"/>
      <w:r/>
      <w:bookmarkStart w:id="68" w:name="_Toc49090508"/>
      <w:r/>
      <w:bookmarkStart w:id="69" w:name="_Toc14577355"/>
      <w:r>
        <w:rPr>
          <w:rFonts w:hint="eastAsia" w:ascii="宋体" w:hAnsi="宋体" w:cs="宋体"/>
          <w:color w:val="000000"/>
          <w:sz w:val="24"/>
          <w:szCs w:val="24"/>
        </w:rPr>
        <w:t xml:space="preserve">10、证明投标人及投标标的符合招标文件规定的文件</w:t>
      </w:r>
      <w:bookmarkEnd w:id="62"/>
      <w:r/>
      <w:bookmarkEnd w:id="63"/>
      <w:r/>
      <w:bookmarkEnd w:id="64"/>
      <w:r/>
      <w:bookmarkEnd w:id="65"/>
      <w:r/>
      <w:bookmarkEnd w:id="66"/>
      <w:r/>
      <w:bookmarkEnd w:id="67"/>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10.1 投标人应按照招标文件要求提交证明文件，证明其及投标标的符合招标文件规定。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bookmarkEnd w:id="68"/>
      <w:r/>
      <w:bookmarkEnd w:id="69"/>
      <w:r/>
      <w:r/>
    </w:p>
    <w:p>
      <w:pPr>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11、投标分项报价表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11.1</w:t>
      </w:r>
      <w:r>
        <w:rPr>
          <w:rFonts w:hint="eastAsia" w:ascii="宋体" w:hAnsi="宋体" w:cs="宋体"/>
          <w:sz w:val="24"/>
          <w:szCs w:val="24"/>
        </w:rPr>
        <w:t xml:space="preserve"> 投</w:t>
      </w:r>
      <w:bookmarkStart w:id="70" w:name="_Hlt26954840"/>
      <w:r/>
      <w:bookmarkEnd w:id="70"/>
      <w:r>
        <w:rPr>
          <w:rFonts w:hint="eastAsia" w:ascii="宋体" w:hAnsi="宋体" w:cs="宋体"/>
          <w:sz w:val="24"/>
          <w:szCs w:val="24"/>
        </w:rPr>
        <w:t xml:space="preserve">标人按照招标文件规定格式填报投标分项报价表</w:t>
      </w:r>
      <w:bookmarkStart w:id="71" w:name="_Hlt26670399"/>
      <w:r/>
      <w:bookmarkEnd w:id="71"/>
      <w:r>
        <w:rPr>
          <w:rFonts w:hint="eastAsia" w:ascii="宋体" w:hAnsi="宋体" w:cs="宋体"/>
          <w:sz w:val="24"/>
          <w:szCs w:val="24"/>
        </w:rPr>
        <w:t xml:space="preserve">。</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11.2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p>
    <w:p>
      <w:pPr>
        <w:ind w:firstLine="480"/>
        <w:keepLines/>
        <w:keepNext/>
        <w:spacing w:line="360" w:lineRule="auto"/>
        <w:rPr>
          <w:rFonts w:hint="eastAsia" w:ascii="宋体" w:hAnsi="宋体" w:cs="宋体"/>
          <w:sz w:val="24"/>
          <w:szCs w:val="24"/>
        </w:rPr>
        <w:outlineLvl w:val="3"/>
      </w:pPr>
      <w:r/>
      <w:bookmarkStart w:id="72" w:name="_Hlt26670486"/>
      <w:r/>
      <w:bookmarkEnd w:id="72"/>
      <w:r/>
      <w:bookmarkStart w:id="73" w:name="_Hlt26954848"/>
      <w:r/>
      <w:bookmarkEnd w:id="73"/>
      <w:r/>
      <w:bookmarkStart w:id="74" w:name="_Hlt26954846"/>
      <w:r/>
      <w:bookmarkEnd w:id="74"/>
      <w:r/>
      <w:bookmarkStart w:id="75" w:name="_Hlt26670482"/>
      <w:r/>
      <w:bookmarkEnd w:id="75"/>
      <w:r/>
      <w:bookmarkStart w:id="76" w:name="_Hlt26954731"/>
      <w:r/>
      <w:bookmarkEnd w:id="76"/>
      <w:r>
        <w:rPr>
          <w:rFonts w:hint="eastAsia" w:ascii="宋体" w:hAnsi="宋体" w:cs="宋体"/>
          <w:sz w:val="24"/>
          <w:szCs w:val="24"/>
        </w:rPr>
        <w:t xml:space="preserve">12、技术要求响应及偏离表、商务要求响应及偏离表</w:t>
      </w:r>
      <w:r/>
    </w:p>
    <w:p>
      <w:pPr>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12.1 </w:t>
      </w:r>
      <w:r>
        <w:rPr>
          <w:rFonts w:hint="eastAsia" w:ascii="宋体" w:hAnsi="宋体" w:cs="宋体"/>
          <w:sz w:val="24"/>
          <w:szCs w:val="24"/>
          <w:lang w:val="zh-CN"/>
        </w:rPr>
        <w:t xml:space="preserve">投标人需对招标文件中的技术要求与商务要求逐项作出响应或偏离，并说明原因。</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12.2 投标人需按照招标文件要求，在投标文件中提供与技术要求和商务要求相关的证明材料。</w:t>
      </w:r>
      <w:r/>
    </w:p>
    <w:p>
      <w:pPr>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13、服务承诺、培训计划、人员安排及其他</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13.1 </w:t>
      </w:r>
      <w:r>
        <w:rPr>
          <w:rFonts w:hint="eastAsia" w:ascii="宋体" w:hAnsi="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投标人需根据招标文件要求提供培训计划。</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投标人需根据招标文件要求提供</w:t>
      </w:r>
      <w:r>
        <w:rPr>
          <w:rFonts w:hint="eastAsia" w:ascii="宋体" w:hAnsi="宋体" w:cs="宋体"/>
          <w:color w:val="000000"/>
          <w:sz w:val="24"/>
          <w:szCs w:val="24"/>
          <w:lang w:val="zh-CN"/>
        </w:rPr>
        <w:t xml:space="preserve">所投标的的主要组成部分、功能设计、实现思路及关键技术等。</w:t>
      </w:r>
      <w:r/>
    </w:p>
    <w:p>
      <w:pPr>
        <w:ind w:firstLine="480"/>
        <w:keepLines/>
        <w:keepNext/>
        <w:spacing w:line="360" w:lineRule="auto"/>
        <w:rPr>
          <w:rFonts w:hint="eastAsia" w:ascii="宋体" w:hAnsi="宋体" w:cs="宋体"/>
          <w:sz w:val="24"/>
          <w:szCs w:val="24"/>
        </w:rPr>
        <w:outlineLvl w:val="3"/>
      </w:pPr>
      <w:r/>
      <w:bookmarkStart w:id="77" w:name="_Toc14577359"/>
      <w:r/>
      <w:bookmarkStart w:id="78" w:name="_Toc49090510"/>
      <w:r>
        <w:rPr>
          <w:rFonts w:hint="eastAsia" w:ascii="宋体" w:hAnsi="宋体" w:cs="宋体"/>
          <w:sz w:val="24"/>
          <w:szCs w:val="24"/>
        </w:rPr>
        <w:t xml:space="preserve">14、投标函和开标一览表</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7"/>
      <w:r/>
      <w:bookmarkEnd w:id="78"/>
      <w:r/>
      <w:r/>
    </w:p>
    <w:p>
      <w:pPr>
        <w:ind w:firstLine="480"/>
        <w:keepLines/>
        <w:keepNext/>
        <w:spacing w:line="360" w:lineRule="auto"/>
        <w:rPr>
          <w:rFonts w:hint="eastAsia" w:ascii="宋体" w:hAnsi="宋体" w:cs="宋体"/>
          <w:sz w:val="24"/>
          <w:szCs w:val="24"/>
        </w:rPr>
        <w:outlineLvl w:val="3"/>
      </w:pPr>
      <w:r/>
      <w:bookmarkStart w:id="79" w:name="_Toc49090511"/>
      <w:r/>
      <w:bookmarkStart w:id="80" w:name="_Toc14577360"/>
      <w:r>
        <w:rPr>
          <w:rFonts w:hint="eastAsia" w:ascii="宋体" w:hAnsi="宋体" w:cs="宋体"/>
          <w:sz w:val="24"/>
          <w:szCs w:val="24"/>
        </w:rPr>
        <w:t xml:space="preserve">15、投标有效期</w:t>
      </w:r>
      <w:bookmarkEnd w:id="79"/>
      <w:r/>
      <w:bookmarkEnd w:id="80"/>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15.1投标有效期为交易中心规定的开标之日后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16、投标有效期的延长</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p>
    <w:p>
      <w:pPr>
        <w:keepLines/>
        <w:keepNext/>
        <w:spacing w:line="360" w:lineRule="auto"/>
        <w:rPr>
          <w:rFonts w:hint="eastAsia" w:ascii="宋体" w:hAnsi="宋体" w:cs="宋体"/>
          <w:b/>
          <w:bCs/>
          <w:sz w:val="24"/>
          <w:szCs w:val="24"/>
        </w:rPr>
        <w:outlineLvl w:val="2"/>
      </w:pPr>
      <w:r/>
      <w:bookmarkStart w:id="81" w:name="_Hlt26954739"/>
      <w:r/>
      <w:bookmarkEnd w:id="81"/>
      <w:r/>
      <w:bookmarkStart w:id="82" w:name="_Hlt26954852"/>
      <w:r/>
      <w:bookmarkEnd w:id="82"/>
      <w:r/>
      <w:bookmarkStart w:id="83" w:name="_Toc20823296"/>
      <w:r/>
      <w:bookmarkStart w:id="84" w:name="_Toc513029224"/>
      <w:r/>
      <w:bookmarkStart w:id="85" w:name="_Toc16938540"/>
      <w:r/>
      <w:bookmarkStart w:id="86" w:name="_Toc120614217"/>
      <w:r>
        <w:rPr>
          <w:rFonts w:hint="eastAsia" w:ascii="宋体" w:hAnsi="宋体" w:cs="宋体"/>
          <w:b/>
          <w:bCs/>
          <w:sz w:val="24"/>
          <w:szCs w:val="24"/>
        </w:rPr>
        <w:t xml:space="preserve">四、投标文件的递交</w:t>
      </w:r>
      <w:bookmarkEnd w:id="83"/>
      <w:r/>
      <w:bookmarkEnd w:id="84"/>
      <w:r/>
      <w:bookmarkEnd w:id="85"/>
      <w:r/>
      <w:bookmarkEnd w:id="86"/>
      <w:r/>
      <w:r/>
    </w:p>
    <w:p>
      <w:pPr>
        <w:ind w:firstLine="480"/>
        <w:keepLines/>
        <w:keepNext/>
        <w:spacing w:line="360" w:lineRule="auto"/>
        <w:rPr>
          <w:rFonts w:hint="eastAsia" w:ascii="宋体" w:hAnsi="宋体" w:cs="宋体"/>
          <w:sz w:val="24"/>
          <w:szCs w:val="24"/>
        </w:rPr>
        <w:outlineLvl w:val="3"/>
      </w:pPr>
      <w:r/>
      <w:bookmarkStart w:id="87" w:name="_Toc462564084"/>
      <w:r/>
      <w:bookmarkStart w:id="88" w:name="_Toc20823297"/>
      <w:r/>
      <w:bookmarkStart w:id="89" w:name="_Toc513029225"/>
      <w:r/>
      <w:bookmarkStart w:id="90" w:name="_Toc16938541"/>
      <w:r>
        <w:rPr>
          <w:rFonts w:hint="eastAsia" w:ascii="宋体" w:hAnsi="宋体" w:cs="宋体"/>
          <w:sz w:val="24"/>
          <w:szCs w:val="24"/>
        </w:rPr>
        <w:t xml:space="preserve">17、电子投标文件</w:t>
      </w:r>
      <w:bookmarkEnd w:id="87"/>
      <w:r/>
      <w:bookmarkEnd w:id="88"/>
      <w:r/>
      <w:bookmarkEnd w:id="89"/>
      <w:r/>
      <w:bookmarkEnd w:id="90"/>
      <w:r>
        <w:rPr>
          <w:rFonts w:hint="eastAsia" w:ascii="宋体" w:hAnsi="宋体" w:cs="宋体"/>
          <w:sz w:val="24"/>
          <w:szCs w:val="24"/>
        </w:rPr>
        <w:t xml:space="preserve">的递交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91" w:name="_Toc16938542"/>
      <w:r/>
      <w:bookmarkStart w:id="92" w:name="_Toc513029226"/>
      <w:r/>
      <w:bookmarkStart w:id="93" w:name="_Toc20823298"/>
      <w:r/>
      <w:r/>
    </w:p>
    <w:p>
      <w:pPr>
        <w:ind w:firstLine="480"/>
        <w:keepLines/>
        <w:keepNext/>
        <w:spacing w:line="360" w:lineRule="auto"/>
        <w:rPr>
          <w:rFonts w:hint="eastAsia" w:ascii="宋体" w:hAnsi="宋体" w:cs="宋体"/>
          <w:bCs/>
          <w:sz w:val="24"/>
          <w:szCs w:val="24"/>
        </w:rPr>
        <w:outlineLvl w:val="3"/>
      </w:pPr>
      <w:r>
        <w:rPr>
          <w:rFonts w:hint="eastAsia" w:ascii="宋体" w:hAnsi="宋体" w:cs="宋体"/>
          <w:bCs/>
          <w:sz w:val="24"/>
          <w:szCs w:val="24"/>
        </w:rPr>
        <w:t xml:space="preserve">18、投标截止日期</w:t>
      </w:r>
      <w:bookmarkEnd w:id="91"/>
      <w:r/>
      <w:bookmarkEnd w:id="92"/>
      <w:r/>
      <w:bookmarkEnd w:id="93"/>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18.1</w:t>
      </w:r>
      <w:r>
        <w:rPr>
          <w:rFonts w:hint="eastAsia" w:ascii="宋体" w:hAnsi="宋体" w:cs="宋体"/>
          <w:bCs/>
          <w:color w:val="000000"/>
          <w:sz w:val="24"/>
          <w:szCs w:val="24"/>
        </w:rPr>
        <w:t xml:space="preserve"> 投标人上传电子投标文件的时间不得迟于招标公告中规定的投标截止时间。</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18.2</w:t>
      </w:r>
      <w:r>
        <w:rPr>
          <w:rFonts w:hint="eastAsia" w:ascii="宋体" w:hAnsi="宋体" w:cs="宋体"/>
          <w:bCs/>
          <w:color w:val="000000"/>
          <w:sz w:val="24"/>
          <w:szCs w:val="24"/>
        </w:rPr>
        <w:t xml:space="preserve"> 交易中心可以按照规定，通过修改招标文件酌情延长投标截止日期，在此情况下，投标人的所有权利和义务以及投标人受制的截止日期均应以延长后新的截止日期为准。</w:t>
      </w:r>
      <w:r/>
    </w:p>
    <w:p>
      <w:pPr>
        <w:ind w:firstLine="480"/>
        <w:keepLines/>
        <w:keepNext/>
        <w:spacing w:line="360" w:lineRule="auto"/>
        <w:rPr>
          <w:rFonts w:hint="eastAsia" w:ascii="宋体" w:hAnsi="宋体" w:cs="宋体"/>
          <w:color w:val="000000"/>
          <w:sz w:val="24"/>
          <w:szCs w:val="24"/>
        </w:rPr>
        <w:outlineLvl w:val="3"/>
      </w:pPr>
      <w:r/>
      <w:bookmarkStart w:id="94" w:name="_Toc16938543"/>
      <w:r/>
      <w:bookmarkStart w:id="95" w:name="_Toc513029227"/>
      <w:r/>
      <w:bookmarkStart w:id="96" w:name="_Toc20823299"/>
      <w:r>
        <w:rPr>
          <w:rFonts w:hint="eastAsia" w:ascii="宋体" w:hAnsi="宋体" w:cs="宋体"/>
          <w:color w:val="000000"/>
          <w:sz w:val="24"/>
          <w:szCs w:val="24"/>
        </w:rPr>
        <w:t xml:space="preserve">19、投标文件</w:t>
      </w:r>
      <w:bookmarkEnd w:id="94"/>
      <w:r/>
      <w:bookmarkEnd w:id="95"/>
      <w:r/>
      <w:bookmarkEnd w:id="96"/>
      <w:r>
        <w:rPr>
          <w:rFonts w:hint="eastAsia" w:ascii="宋体" w:hAnsi="宋体" w:cs="宋体"/>
          <w:color w:val="000000"/>
          <w:sz w:val="24"/>
          <w:szCs w:val="24"/>
        </w:rPr>
        <w:t xml:space="preserve">的拒收</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19.1 交易中心拒绝接收在其规定的投标截止时间后上传的任何投标文件。</w:t>
      </w:r>
      <w:r/>
    </w:p>
    <w:p>
      <w:pPr>
        <w:ind w:firstLine="480"/>
        <w:keepLines/>
        <w:keepNext/>
        <w:spacing w:line="360" w:lineRule="auto"/>
        <w:rPr>
          <w:rFonts w:hint="eastAsia" w:ascii="宋体" w:hAnsi="宋体" w:cs="宋体"/>
          <w:color w:val="000000"/>
          <w:sz w:val="24"/>
          <w:szCs w:val="24"/>
        </w:rPr>
        <w:outlineLvl w:val="3"/>
      </w:pPr>
      <w:r/>
      <w:bookmarkStart w:id="97" w:name="_Toc20823300"/>
      <w:r/>
      <w:bookmarkStart w:id="98" w:name="_Toc16938544"/>
      <w:r/>
      <w:bookmarkStart w:id="99" w:name="_Toc513029228"/>
      <w:r>
        <w:rPr>
          <w:rFonts w:hint="eastAsia" w:ascii="宋体" w:hAnsi="宋体" w:cs="宋体"/>
          <w:color w:val="000000"/>
          <w:sz w:val="24"/>
          <w:szCs w:val="24"/>
        </w:rPr>
        <w:t xml:space="preserve">20、投标文件的撤回和修改</w:t>
      </w:r>
      <w:bookmarkEnd w:id="97"/>
      <w:r/>
      <w:bookmarkEnd w:id="98"/>
      <w:r/>
      <w:bookmarkEnd w:id="99"/>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 投标文件的撤回</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20.1.1 电子投标文件的撤回</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 投标文件的修改</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20.2.1投标人可在投标截止时间前，对其电子投标文件进行修改，具体操作方法见《操作手册》。</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20.2.2</w:t>
      </w:r>
      <w:r>
        <w:rPr>
          <w:rFonts w:hint="eastAsia" w:ascii="宋体" w:hAnsi="宋体" w:cs="宋体"/>
          <w:bCs/>
          <w:color w:val="000000"/>
          <w:sz w:val="24"/>
          <w:szCs w:val="24"/>
        </w:rPr>
        <w:t xml:space="preserve"> 在投标截止时间之后，投标人不得对其电子投标文件作任何修改。</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20.3</w:t>
      </w:r>
      <w:r>
        <w:rPr>
          <w:rFonts w:hint="eastAsia" w:ascii="宋体" w:hAnsi="宋体" w:cs="宋体"/>
          <w:bCs/>
          <w:color w:val="000000"/>
          <w:sz w:val="24"/>
          <w:szCs w:val="24"/>
        </w:rPr>
        <w:t xml:space="preserve"> 在投标截止时间至招标文件中规定的投标有效期满之间的这段时间内，投标人不得撤回其投标。</w:t>
      </w:r>
      <w:r/>
    </w:p>
    <w:p>
      <w:pPr>
        <w:keepLines/>
        <w:keepNext/>
        <w:spacing w:line="360" w:lineRule="auto"/>
        <w:rPr>
          <w:rFonts w:hint="eastAsia" w:ascii="宋体" w:hAnsi="宋体" w:cs="宋体"/>
          <w:b/>
          <w:bCs/>
          <w:color w:val="000000"/>
          <w:sz w:val="24"/>
          <w:szCs w:val="24"/>
        </w:rPr>
        <w:outlineLvl w:val="2"/>
      </w:pPr>
      <w:r/>
      <w:bookmarkStart w:id="100" w:name="_Toc16938545"/>
      <w:r/>
      <w:bookmarkStart w:id="101" w:name="_Toc513029229"/>
      <w:r/>
      <w:bookmarkStart w:id="102" w:name="_Toc20823301"/>
      <w:r/>
      <w:bookmarkStart w:id="103" w:name="_Toc120614218"/>
      <w:r>
        <w:rPr>
          <w:rFonts w:hint="eastAsia" w:ascii="宋体" w:hAnsi="宋体" w:cs="宋体"/>
          <w:b/>
          <w:bCs/>
          <w:color w:val="000000"/>
          <w:sz w:val="24"/>
          <w:szCs w:val="24"/>
        </w:rPr>
        <w:t xml:space="preserve">五、开标与评标</w:t>
      </w:r>
      <w:bookmarkEnd w:id="100"/>
      <w:r/>
      <w:bookmarkEnd w:id="101"/>
      <w:r/>
      <w:bookmarkEnd w:id="102"/>
      <w:r/>
      <w:bookmarkEnd w:id="103"/>
      <w:r/>
      <w:r/>
    </w:p>
    <w:p>
      <w:pPr>
        <w:ind w:firstLine="480"/>
        <w:keepLines/>
        <w:keepNext/>
        <w:spacing w:line="360" w:lineRule="auto"/>
        <w:rPr>
          <w:rFonts w:hint="eastAsia" w:ascii="宋体" w:hAnsi="宋体" w:cs="宋体"/>
          <w:color w:val="000000"/>
          <w:sz w:val="24"/>
          <w:szCs w:val="24"/>
        </w:rPr>
        <w:outlineLvl w:val="3"/>
      </w:pPr>
      <w:r/>
      <w:bookmarkStart w:id="104" w:name="_Toc513029230"/>
      <w:r/>
      <w:bookmarkStart w:id="105" w:name="_Toc16938546"/>
      <w:r/>
      <w:bookmarkStart w:id="106" w:name="_Toc20823302"/>
      <w:r>
        <w:rPr>
          <w:rFonts w:hint="eastAsia" w:ascii="宋体" w:hAnsi="宋体" w:cs="宋体"/>
          <w:color w:val="000000"/>
          <w:sz w:val="24"/>
          <w:szCs w:val="24"/>
        </w:rPr>
        <w:t xml:space="preserve">21、开标</w:t>
      </w:r>
      <w:bookmarkEnd w:id="104"/>
      <w:r/>
      <w:bookmarkEnd w:id="105"/>
      <w:r/>
      <w:bookmarkEnd w:id="10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交易中心将在招标公告中规定的时间和地点组织公开开标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开标仪式由交易中心组织。苏采云系统将自动对项目进行开标，并宣布各投标人名称和投标价格。</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360" w:lineRule="auto"/>
        <w:rPr>
          <w:rFonts w:hint="eastAsia" w:ascii="宋体" w:hAnsi="宋体" w:cs="宋体"/>
          <w:sz w:val="24"/>
          <w:szCs w:val="24"/>
        </w:rPr>
        <w:outlineLvl w:val="3"/>
      </w:pPr>
      <w:r/>
      <w:bookmarkStart w:id="107" w:name="_Toc20823303"/>
      <w:r/>
      <w:bookmarkStart w:id="108" w:name="_Toc16938547"/>
      <w:r/>
      <w:bookmarkStart w:id="109" w:name="_Toc513029231"/>
      <w:r>
        <w:rPr>
          <w:rFonts w:hint="eastAsia" w:ascii="宋体" w:hAnsi="宋体" w:cs="宋体"/>
          <w:sz w:val="24"/>
          <w:szCs w:val="24"/>
        </w:rPr>
        <w:t xml:space="preserve">22、评标委员会</w:t>
      </w:r>
      <w:r/>
    </w:p>
    <w:p>
      <w:pPr>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22.1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评委会由采购人代表和有关技术、经济等方面的专家组成，且人员构成符合政府采购有关规定。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22.3评委会独立工作，负责评审所有投标文件并确定中标候选人。</w:t>
      </w:r>
      <w:r/>
    </w:p>
    <w:p>
      <w:pPr>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23、评标过程的保密与公正</w:t>
      </w:r>
      <w:bookmarkEnd w:id="107"/>
      <w:r/>
      <w:bookmarkEnd w:id="108"/>
      <w:r/>
      <w:bookmarkEnd w:id="109"/>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23.1</w:t>
      </w:r>
      <w:r>
        <w:rPr>
          <w:rFonts w:hint="eastAsia" w:ascii="宋体" w:hAnsi="宋体" w:cs="宋体"/>
          <w:bCs/>
          <w:color w:val="000000"/>
          <w:sz w:val="24"/>
          <w:szCs w:val="24"/>
        </w:rPr>
        <w:t xml:space="preserve">凡是与审查、澄清、评价和比较投标的有关资料以及授标建议等，采购人、评委、交易中心均不得向投标人或与评标无关的其他人员透露。</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23.2在评标过程中，投标人不得以任何行为影响评标过程，否则其投标文件将被作为无效投标文件。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交易中心和评标委员会不向未中标的投标人解释未中标原因，也不公布评标过程中的相关细节。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ind w:firstLine="480"/>
        <w:keepLines/>
        <w:keepNext/>
        <w:spacing w:line="360" w:lineRule="auto"/>
        <w:rPr>
          <w:rFonts w:hint="eastAsia" w:ascii="宋体" w:hAnsi="宋体" w:cs="宋体"/>
          <w:color w:val="000000"/>
          <w:sz w:val="24"/>
          <w:szCs w:val="24"/>
        </w:rPr>
        <w:outlineLvl w:val="3"/>
      </w:pPr>
      <w:r/>
      <w:bookmarkStart w:id="110" w:name="_Toc513029232"/>
      <w:r/>
      <w:bookmarkStart w:id="111" w:name="_Toc16938548"/>
      <w:r/>
      <w:bookmarkStart w:id="112" w:name="_Toc20823304"/>
      <w:r>
        <w:rPr>
          <w:rFonts w:hint="eastAsia" w:ascii="宋体" w:hAnsi="宋体" w:cs="宋体"/>
          <w:color w:val="000000"/>
          <w:sz w:val="24"/>
          <w:szCs w:val="24"/>
        </w:rPr>
        <w:t xml:space="preserve">24、投标文件的澄清</w:t>
      </w:r>
      <w:bookmarkEnd w:id="110"/>
      <w:r/>
      <w:bookmarkEnd w:id="111"/>
      <w:r/>
      <w:bookmarkEnd w:id="112"/>
      <w:r/>
      <w:r/>
    </w:p>
    <w:p>
      <w:pPr>
        <w:ind w:firstLine="480"/>
        <w:spacing w:line="360" w:lineRule="auto"/>
        <w:rPr>
          <w:rFonts w:hint="eastAsia" w:ascii="宋体" w:hAnsi="宋体" w:cs="宋体"/>
          <w:color w:val="000000"/>
          <w:sz w:val="24"/>
          <w:szCs w:val="24"/>
        </w:rPr>
      </w:pPr>
      <w:r/>
      <w:bookmarkStart w:id="113" w:name="_Toc16938549"/>
      <w:r/>
      <w:bookmarkStart w:id="114" w:name="_Toc513029233"/>
      <w:r/>
      <w:bookmarkStart w:id="115" w:name="_Toc20823305"/>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24.2需要供应商进行澄清、说明和补正的，评委</w:t>
      </w:r>
      <w:r>
        <w:rPr>
          <w:rFonts w:hint="eastAsia" w:ascii="宋体" w:hAnsi="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 接到评委会澄清、说明和补正要求的投标人如未按规定做出澄清、说明和补正，其风险由投标人自行承担。</w:t>
      </w:r>
      <w:r/>
    </w:p>
    <w:p>
      <w:pPr>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25、对投标文件的初审</w:t>
      </w:r>
      <w:bookmarkEnd w:id="113"/>
      <w:r/>
      <w:bookmarkEnd w:id="114"/>
      <w:r/>
      <w:bookmarkEnd w:id="115"/>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25.1</w:t>
      </w:r>
      <w:r>
        <w:rPr>
          <w:rFonts w:hint="eastAsia" w:ascii="宋体" w:hAnsi="宋体" w:cs="宋体"/>
          <w:bCs/>
          <w:color w:val="000000"/>
          <w:sz w:val="24"/>
          <w:szCs w:val="24"/>
        </w:rPr>
        <w:t xml:space="preserve">投标文件初审分为资格审查和符合性审查。</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.1.3 未通过资格审查或符合性审查的投标人，交易中心将</w:t>
      </w:r>
      <w:r>
        <w:rPr>
          <w:rFonts w:hint="eastAsia" w:ascii="宋体" w:hAnsi="宋体" w:cs="宋体"/>
          <w:bCs/>
          <w:sz w:val="24"/>
          <w:szCs w:val="24"/>
        </w:rPr>
        <w:t xml:space="preserve">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中告知未通过资格审查或符合性审查的原因，评审结束后，交易中心将不再告知未通过资格审查或符合性审查的原因。</w:t>
      </w:r>
      <w:r/>
    </w:p>
    <w:p>
      <w:pPr>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5</w:t>
      </w:r>
      <w:r>
        <w:rPr>
          <w:rFonts w:hint="eastAsia" w:ascii="宋体" w:hAnsi="宋体" w:cs="宋体"/>
          <w:sz w:val="24"/>
          <w:szCs w:val="24"/>
        </w:rPr>
        <w:t xml:space="preserve">.2在详细评标之前，评委会</w:t>
      </w:r>
      <w:r>
        <w:rPr>
          <w:rFonts w:hint="eastAsia" w:ascii="宋体" w:hAnsi="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rPr>
        <w:t xml:space="preserve">评委决定投标文件的响应性只根据投标文件本身的内容，而不寻求外部的证据。</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25.3</w:t>
      </w:r>
      <w:r>
        <w:rPr>
          <w:rFonts w:hint="eastAsia" w:ascii="宋体" w:hAnsi="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25.4</w:t>
      </w:r>
      <w:r>
        <w:rPr>
          <w:rFonts w:hint="eastAsia" w:ascii="宋体" w:hAnsi="宋体" w:cs="宋体"/>
          <w:bCs/>
          <w:color w:val="000000"/>
          <w:sz w:val="24"/>
          <w:szCs w:val="24"/>
        </w:rPr>
        <w:t xml:space="preserve">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25.5</w:t>
      </w:r>
      <w:r>
        <w:rPr>
          <w:rFonts w:hint="eastAsia" w:ascii="宋体" w:hAnsi="宋体" w:cs="宋体"/>
          <w:bCs/>
          <w:color w:val="000000"/>
          <w:sz w:val="24"/>
          <w:szCs w:val="24"/>
        </w:rPr>
        <w:t xml:space="preserve">评委会将按上述修正错误的方法调整投标文件中的投标报价</w:t>
      </w:r>
      <w:r>
        <w:rPr>
          <w:rFonts w:hint="eastAsia" w:ascii="宋体" w:hAnsi="宋体" w:cs="宋体"/>
          <w:bCs/>
          <w:sz w:val="24"/>
          <w:szCs w:val="24"/>
        </w:rPr>
        <w:t xml:space="preserve">，并通过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p>
    <w:p>
      <w:pPr>
        <w:ind w:firstLine="480"/>
        <w:spacing w:line="360" w:lineRule="auto"/>
        <w:rPr>
          <w:rFonts w:hint="eastAsia" w:ascii="宋体" w:hAnsi="宋体" w:cs="宋体"/>
          <w:color w:val="000000"/>
          <w:sz w:val="24"/>
          <w:szCs w:val="24"/>
        </w:rPr>
      </w:pPr>
      <w:r/>
      <w:bookmarkStart w:id="116" w:name="_Toc16938550"/>
      <w:r/>
      <w:bookmarkStart w:id="117" w:name="_Toc513029234"/>
      <w:r/>
      <w:bookmarkStart w:id="118" w:name="_Toc20823306"/>
      <w:r>
        <w:rPr>
          <w:rFonts w:hint="eastAsia" w:ascii="宋体" w:hAnsi="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非单一产品采购项目，招标文件中将载明其中的核心产品。多家投标人提供的核心产品品牌相同的，按前两款规定处理。</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25.7投标人在开、评标全过程中应保持通</w:t>
      </w:r>
      <w:r>
        <w:rPr>
          <w:rFonts w:hint="eastAsia" w:ascii="宋体" w:hAnsi="宋体" w:cs="宋体"/>
          <w:sz w:val="24"/>
          <w:szCs w:val="24"/>
        </w:rPr>
        <w:t xml:space="preserve">讯畅通，及时登录苏采云系统查阅、答复相关信息，并安排专人与交易中心及评标委员会联系。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25.8 异常低价投标审查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25.8.1 评标过程中出现下列情形之一的，评标委员会应当启动异常低价投标审查程序：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投标（响应）报价低于采购项目最高限价45%的，即投标（响应）报价&lt;采购项目最高限价×45%；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（4）评标委员会</w:t>
      </w:r>
      <w:r>
        <w:rPr>
          <w:rFonts w:ascii="宋体" w:hAnsi="宋体" w:cs="宋体"/>
          <w:sz w:val="24"/>
          <w:szCs w:val="24"/>
        </w:rPr>
        <w:t xml:space="preserve">基于专业判断，认为供应商报价过低，有可能影响产品质量或者不能诚信履约的其他情形。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25.8.2 评标委员会</w:t>
      </w:r>
      <w:r>
        <w:rPr>
          <w:rFonts w:ascii="宋体" w:hAnsi="宋体" w:cs="宋体"/>
          <w:sz w:val="24"/>
          <w:szCs w:val="24"/>
        </w:rPr>
        <w:t xml:space="preserve">启动异常低价投标（响应）审查后，属于前述第1项至第4项情形的，应当要求相关供应商</w:t>
      </w:r>
      <w:r>
        <w:rPr>
          <w:rFonts w:hint="eastAsia" w:ascii="宋体" w:hAnsi="宋体" w:cs="宋体"/>
          <w:sz w:val="24"/>
          <w:szCs w:val="24"/>
        </w:rPr>
        <w:t xml:space="preserve">通过“苏采云”系统</w:t>
      </w:r>
      <w:r>
        <w:rPr>
          <w:rFonts w:ascii="宋体" w:hAnsi="宋体" w:cs="宋体"/>
          <w:sz w:val="24"/>
          <w:szCs w:val="24"/>
        </w:rPr>
        <w:t xml:space="preserve">在</w:t>
      </w:r>
      <w:r>
        <w:rPr>
          <w:rFonts w:hint="eastAsia" w:ascii="宋体" w:hAnsi="宋体" w:cs="宋体"/>
          <w:sz w:val="24"/>
          <w:szCs w:val="24"/>
        </w:rPr>
        <w:t xml:space="preserve">30分钟</w:t>
      </w:r>
      <w:r>
        <w:rPr>
          <w:rFonts w:ascii="宋体" w:hAnsi="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评标委员会</w:t>
      </w:r>
      <w:r>
        <w:rPr>
          <w:rFonts w:ascii="宋体" w:hAnsi="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zCs w:val="24"/>
        </w:rPr>
        <w:t xml:space="preserve">评标委员会</w:t>
      </w:r>
      <w:r>
        <w:rPr>
          <w:rFonts w:ascii="宋体" w:hAnsi="宋体" w:cs="宋体"/>
          <w:sz w:val="24"/>
          <w:szCs w:val="24"/>
        </w:rPr>
        <w:t xml:space="preserve">应当将其作为无效投标（响应）处理。</w:t>
      </w:r>
      <w:r/>
    </w:p>
    <w:p>
      <w:pPr>
        <w:ind w:firstLine="480"/>
        <w:spacing w:line="360" w:lineRule="auto"/>
        <w:rPr>
          <w:rFonts w:hint="eastAsia" w:ascii="宋体" w:hAnsi="宋体" w:cs="宋体"/>
          <w:sz w:val="24"/>
          <w:szCs w:val="24"/>
        </w:rPr>
      </w:pPr>
      <w:r>
        <w:rPr>
          <w:rFonts w:ascii="宋体" w:hAnsi="宋体" w:cs="宋体"/>
          <w:sz w:val="24"/>
          <w:szCs w:val="24"/>
        </w:rPr>
        <w:t xml:space="preserve">采购人、采购代理机构应当为</w:t>
      </w:r>
      <w:r>
        <w:rPr>
          <w:rFonts w:hint="eastAsia" w:ascii="宋体" w:hAnsi="宋体" w:cs="宋体"/>
          <w:sz w:val="24"/>
          <w:szCs w:val="24"/>
        </w:rPr>
        <w:t xml:space="preserve">评标委员会</w:t>
      </w:r>
      <w:r>
        <w:rPr>
          <w:rFonts w:ascii="宋体" w:hAnsi="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zCs w:val="24"/>
        </w:rPr>
        <w:t xml:space="preserve">评标委员会</w:t>
      </w:r>
      <w:r>
        <w:rPr>
          <w:rFonts w:ascii="宋体" w:hAnsi="宋体" w:cs="宋体"/>
          <w:sz w:val="24"/>
          <w:szCs w:val="24"/>
        </w:rPr>
        <w:t xml:space="preserve">借助互联网等渠道查询相关信息的，应当严格遵守评审工作纪律，不得实施影响评审公正的行为。</w:t>
      </w:r>
      <w:r/>
    </w:p>
    <w:p>
      <w:pPr>
        <w:ind w:firstLine="480"/>
        <w:spacing w:line="360" w:lineRule="auto"/>
        <w:rPr>
          <w:rFonts w:hint="eastAsia" w:ascii="宋体" w:hAnsi="宋体" w:cs="宋体"/>
          <w:sz w:val="24"/>
          <w:szCs w:val="24"/>
        </w:rPr>
      </w:pPr>
      <w:r>
        <w:rPr>
          <w:rFonts w:ascii="宋体" w:hAnsi="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sz w:val="24"/>
          <w:szCs w:val="24"/>
        </w:rPr>
        <w:t xml:space="preserve">评标委员会</w:t>
      </w:r>
      <w:r>
        <w:rPr>
          <w:rFonts w:ascii="宋体" w:hAnsi="宋体" w:cs="宋体"/>
          <w:sz w:val="24"/>
          <w:szCs w:val="24"/>
        </w:rPr>
        <w:t xml:space="preserve">有关互联网浏览、查询历史一并归档。 </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26、</w:t>
      </w:r>
      <w:bookmarkEnd w:id="116"/>
      <w:r/>
      <w:bookmarkEnd w:id="117"/>
      <w:r/>
      <w:bookmarkEnd w:id="118"/>
      <w:r>
        <w:rPr>
          <w:rFonts w:hint="eastAsia" w:ascii="宋体" w:hAnsi="宋体" w:cs="宋体"/>
          <w:sz w:val="24"/>
          <w:szCs w:val="24"/>
        </w:rPr>
        <w:t xml:space="preserve">无效投标条款和废标条款</w:t>
      </w:r>
      <w:r/>
    </w:p>
    <w:p>
      <w:pPr>
        <w:ind w:firstLine="480"/>
        <w:spacing w:line="360" w:lineRule="auto"/>
        <w:rPr>
          <w:rFonts w:hint="eastAsia" w:ascii="宋体" w:hAnsi="宋体" w:cs="宋体"/>
          <w:bCs/>
          <w:sz w:val="24"/>
          <w:szCs w:val="24"/>
        </w:rPr>
      </w:pPr>
      <w:r/>
      <w:bookmarkStart w:id="119" w:name="_Toc513029235"/>
      <w:r/>
      <w:bookmarkStart w:id="120" w:name="_Toc20823307"/>
      <w:r/>
      <w:bookmarkStart w:id="121" w:name="_Toc16938551"/>
      <w:r>
        <w:rPr>
          <w:rFonts w:hint="eastAsia" w:ascii="宋体" w:hAnsi="宋体" w:cs="宋体"/>
          <w:bCs/>
          <w:sz w:val="24"/>
          <w:szCs w:val="24"/>
        </w:rPr>
        <w:t xml:space="preserve">26.1无效投标条款</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p>
    <w:p>
      <w:pPr>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p>
    <w:p>
      <w:pPr>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w:t>
      </w:r>
      <w:r>
        <w:rPr>
          <w:rFonts w:hint="eastAsia" w:ascii="宋体" w:hAnsi="宋体" w:cs="宋体"/>
          <w:b/>
          <w:bCs/>
          <w:sz w:val="28"/>
          <w:szCs w:val="28"/>
        </w:rPr>
        <w:t xml:space="preserve">*</w:t>
      </w:r>
      <w:r>
        <w:rPr>
          <w:rFonts w:hint="eastAsia" w:ascii="宋体" w:hAnsi="宋体" w:cs="宋体"/>
          <w:b/>
          <w:bCs/>
          <w:sz w:val="24"/>
          <w:szCs w:val="24"/>
        </w:rPr>
        <w:t xml:space="preserve">号条款为实质性要求）</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26.1.12 投标文件未按照招标文件要求加盖CA电子公章的。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26.1.13 投标人所投标产品不符合招标文件中所列国家强制性标准的。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26.1.14 不同投标人MAC地址、标书制作工具客户端标识码一致的。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26.1.15 其他法律、法规及本招标文件规定的属无效投标的情形。</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26.2废标条款 </w:t>
      </w:r>
      <w:r/>
    </w:p>
    <w:p>
      <w:pPr>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26.2.1符合专业条件的供应商或者对招标文件作实质响应</w:t>
      </w:r>
      <w:r>
        <w:rPr>
          <w:rFonts w:hint="eastAsia" w:ascii="宋体" w:hAnsi="宋体" w:cs="宋体"/>
          <w:bCs/>
          <w:color w:val="000000"/>
          <w:sz w:val="24"/>
          <w:szCs w:val="24"/>
        </w:rPr>
        <w:t xml:space="preserve">的供应商不足三家的。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p>
    <w:p>
      <w:pPr>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p>
    <w:p>
      <w:pPr>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keepLines/>
        <w:keepNext/>
        <w:spacing w:line="360" w:lineRule="auto"/>
        <w:rPr>
          <w:rFonts w:hint="eastAsia" w:ascii="宋体" w:hAnsi="宋体" w:cs="宋体"/>
          <w:b/>
          <w:bCs/>
          <w:color w:val="000000"/>
          <w:sz w:val="24"/>
          <w:szCs w:val="24"/>
        </w:rPr>
        <w:outlineLvl w:val="2"/>
      </w:pPr>
      <w:r/>
      <w:bookmarkStart w:id="122" w:name="_Toc120614219"/>
      <w:r>
        <w:rPr>
          <w:rFonts w:hint="eastAsia" w:ascii="宋体" w:hAnsi="宋体" w:cs="宋体"/>
          <w:b/>
          <w:bCs/>
          <w:color w:val="000000"/>
          <w:sz w:val="24"/>
          <w:szCs w:val="24"/>
        </w:rPr>
        <w:t xml:space="preserve">六、</w:t>
      </w:r>
      <w:bookmarkEnd w:id="119"/>
      <w:r/>
      <w:bookmarkEnd w:id="120"/>
      <w:r/>
      <w:bookmarkEnd w:id="121"/>
      <w:r>
        <w:rPr>
          <w:rFonts w:hint="eastAsia" w:ascii="宋体" w:hAnsi="宋体" w:cs="宋体"/>
          <w:b/>
          <w:bCs/>
          <w:color w:val="000000"/>
          <w:sz w:val="24"/>
          <w:szCs w:val="24"/>
        </w:rPr>
        <w:t xml:space="preserve">定标</w:t>
      </w:r>
      <w:bookmarkEnd w:id="122"/>
      <w:r/>
      <w:r/>
    </w:p>
    <w:p>
      <w:pPr>
        <w:ind w:firstLine="480"/>
        <w:keepLines/>
        <w:keepNext/>
        <w:spacing w:line="360" w:lineRule="auto"/>
        <w:rPr>
          <w:rFonts w:hint="eastAsia" w:ascii="宋体" w:hAnsi="宋体" w:cs="宋体"/>
          <w:bCs/>
          <w:color w:val="000000"/>
          <w:sz w:val="24"/>
          <w:szCs w:val="24"/>
        </w:rPr>
        <w:outlineLvl w:val="3"/>
      </w:pPr>
      <w:r/>
      <w:bookmarkStart w:id="123" w:name="_Toc513029238"/>
      <w:r/>
      <w:bookmarkStart w:id="124" w:name="_Toc16938554"/>
      <w:r/>
      <w:bookmarkStart w:id="125" w:name="_Toc20823310"/>
      <w:r>
        <w:rPr>
          <w:rFonts w:hint="eastAsia" w:ascii="宋体" w:hAnsi="宋体" w:cs="宋体"/>
          <w:bCs/>
          <w:color w:val="000000"/>
          <w:sz w:val="24"/>
          <w:szCs w:val="24"/>
        </w:rPr>
        <w:t xml:space="preserve">27、</w:t>
      </w:r>
      <w:bookmarkEnd w:id="123"/>
      <w:r>
        <w:rPr>
          <w:rFonts w:hint="eastAsia" w:ascii="宋体" w:hAnsi="宋体" w:cs="宋体"/>
          <w:bCs/>
          <w:color w:val="000000"/>
          <w:sz w:val="24"/>
          <w:szCs w:val="24"/>
        </w:rPr>
        <w:t xml:space="preserve">确定</w:t>
      </w:r>
      <w:bookmarkEnd w:id="124"/>
      <w:r/>
      <w:bookmarkEnd w:id="125"/>
      <w:r>
        <w:rPr>
          <w:rFonts w:hint="eastAsia" w:ascii="宋体" w:hAnsi="宋体" w:cs="宋体"/>
          <w:bCs/>
          <w:color w:val="000000"/>
          <w:sz w:val="24"/>
          <w:szCs w:val="24"/>
        </w:rPr>
        <w:t xml:space="preserve">中标单位</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27.1中标候选人的选取原则和数量见招标文件第五章规定。 </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27.2 采购人应根据评委会推荐的中标候选人确定中标供应商。</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27.3 </w:t>
      </w:r>
      <w:r>
        <w:rPr>
          <w:rFonts w:hint="eastAsia" w:ascii="宋体" w:hAnsi="宋体" w:cs="宋体"/>
          <w:color w:val="000000"/>
          <w:sz w:val="24"/>
          <w:szCs w:val="24"/>
        </w:rPr>
        <w:t xml:space="preserve">交易中心将在“江苏政府采购网”发布中标公告，公告期限为1个工作日。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 若有充分证据证明，中标供应商出现下列情况之一的，一经查实，将被取消中标资格：</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27.4.1提供虚假材料谋取中标的。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27.4.2向采购人、交易中心行贿或者提供其他不正当利益的。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27.4.3属于本文件规定的无效条件，但在评标过程中又未被评委会发现的。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27.4.4与采购人或者其他供应商恶意串通的。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27.4.5采取不正当手段诋毁、排挤其他供应商的。</w:t>
      </w:r>
      <w:r/>
    </w:p>
    <w:p>
      <w:pPr>
        <w:ind w:firstLine="480"/>
        <w:spacing w:line="360" w:lineRule="auto"/>
        <w:rPr>
          <w:rFonts w:hint="eastAsia" w:ascii="宋体" w:hAnsi="宋体" w:cs="宋体"/>
          <w:color w:val="000000"/>
          <w:sz w:val="24"/>
          <w:szCs w:val="24"/>
        </w:rPr>
      </w:pPr>
      <w:r/>
      <w:bookmarkStart w:id="126" w:name="_Toc200451960"/>
      <w:r>
        <w:rPr>
          <w:rFonts w:hint="eastAsia" w:ascii="宋体" w:hAnsi="宋体" w:cs="宋体"/>
          <w:color w:val="000000"/>
          <w:sz w:val="24"/>
          <w:szCs w:val="24"/>
        </w:rPr>
        <w:t xml:space="preserve">27.5 有下列情形之一的，视为投标人串通投标，投标无效：</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27.5.1不同投标人的投标文件由同一单位或者个人编制。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27.5.2不同投标人委托同一单位或者个人办理投标事宜。</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27.5.3 不同投标人的投标文件载明的项目管理成员或者联系人员为同一人。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27.5.4不同投标人的投标文件异常一致或者投标报价呈规律性差异。</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28、质疑处理</w:t>
      </w:r>
      <w:bookmarkEnd w:id="126"/>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28.2.1对可以质疑的采购文件提出质疑的，为收到采购文件之日或者采购文件公告期限届满之日；</w:t>
      </w:r>
      <w:r>
        <w:rPr>
          <w:rFonts w:hint="eastAsia" w:ascii="宋体" w:hAnsi="宋体" w:cs="宋体"/>
          <w:color w:val="000000"/>
          <w:sz w:val="24"/>
          <w:szCs w:val="24"/>
        </w:rPr>
        <w:br/>
      </w:r>
      <w:r>
        <w:rPr>
          <w:rFonts w:hint="eastAsia" w:ascii="宋体" w:hAnsi="宋体" w:cs="宋体"/>
          <w:color w:val="000000"/>
          <w:sz w:val="24"/>
          <w:szCs w:val="24"/>
        </w:rPr>
        <w:t xml:space="preserve">　　28.2.2对采购过程提出质疑的，为各采购程序环节结束之日；</w:t>
      </w:r>
      <w:r>
        <w:rPr>
          <w:rFonts w:hint="eastAsia" w:ascii="宋体" w:hAnsi="宋体" w:cs="宋体"/>
          <w:color w:val="000000"/>
          <w:sz w:val="24"/>
          <w:szCs w:val="24"/>
        </w:rPr>
        <w:br/>
      </w:r>
      <w:r>
        <w:rPr>
          <w:rFonts w:hint="eastAsia" w:ascii="宋体" w:hAnsi="宋体" w:cs="宋体"/>
          <w:color w:val="000000"/>
          <w:sz w:val="24"/>
          <w:szCs w:val="24"/>
        </w:rPr>
        <w:t xml:space="preserve">　　28.2.3对中标或者成交结果提出质疑的，为中标或者成交结果公告期限届满之日。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
          <w:sz w:val="24"/>
          <w:szCs w:val="24"/>
        </w:rPr>
      </w:pPr>
      <w:r>
        <w:rPr>
          <w:rFonts w:hint="eastAsia" w:ascii="宋体" w:hAnsi="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采购人及交易中心只接收以纸质原件形式送达的质疑,建议供应商尽量通过邮寄方式提交质疑（采购人和交易中心不接受无快递运单号的快递）。</w:t>
      </w:r>
      <w:r>
        <w:rPr>
          <w:rFonts w:hint="eastAsia" w:ascii="宋体" w:hAnsi="宋体" w:cs="宋体"/>
          <w:color w:val="000000"/>
          <w:sz w:val="24"/>
          <w:szCs w:val="24"/>
        </w:rPr>
        <w:t xml:space="preserve">采购人质疑接收人及联系方式见招标文件第一章。</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 以下情形的质疑不予受理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28.5.2 超出政府采购法定期限的质疑。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28.5.5供应商组成联合体参加投标，联合体中任何一方或多方未按要求签字、盖章、加盖公章的质疑。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29、中标通知书</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29.l中标结果确定后，交易中心将向中标供应商发出中标通知书。请中标供应商在中标结果公告届满之日起30日内,使用CA</w:t>
      </w:r>
      <w:r>
        <w:rPr>
          <w:rFonts w:hint="eastAsia" w:ascii="宋体" w:hAnsi="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hint="eastAsia" w:ascii="宋体" w:hAnsi="宋体" w:cs="宋体"/>
          <w:sz w:val="24"/>
          <w:szCs w:val="24"/>
        </w:rPr>
      </w:pPr>
      <w:r/>
      <w:bookmarkStart w:id="127" w:name="_Toc513029236"/>
      <w:r/>
      <w:bookmarkStart w:id="128" w:name="_Toc16938552"/>
      <w:r/>
      <w:bookmarkStart w:id="129" w:name="_Toc20823308"/>
      <w:r/>
      <w:bookmarkStart w:id="130" w:name="_Toc120614220"/>
      <w:r>
        <w:rPr>
          <w:rFonts w:hint="eastAsia" w:ascii="宋体" w:hAnsi="宋体" w:cs="宋体"/>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七、授予合同</w:t>
      </w:r>
      <w:bookmarkEnd w:id="127"/>
      <w:r/>
      <w:bookmarkEnd w:id="128"/>
      <w:r/>
      <w:bookmarkEnd w:id="129"/>
      <w:r/>
      <w:bookmarkEnd w:id="130"/>
      <w:r/>
      <w:r/>
    </w:p>
    <w:p>
      <w:pPr>
        <w:ind w:firstLine="480"/>
        <w:keepLines/>
        <w:keepNext/>
        <w:spacing w:line="360" w:lineRule="auto"/>
        <w:rPr>
          <w:rFonts w:hint="eastAsia" w:ascii="宋体" w:hAnsi="宋体" w:cs="宋体"/>
          <w:bCs/>
          <w:color w:val="000000"/>
          <w:sz w:val="24"/>
          <w:szCs w:val="24"/>
        </w:rPr>
        <w:outlineLvl w:val="3"/>
      </w:pPr>
      <w:r/>
      <w:bookmarkStart w:id="131" w:name="_Toc20823309"/>
      <w:r/>
      <w:bookmarkStart w:id="132" w:name="_Toc513029237"/>
      <w:r/>
      <w:bookmarkStart w:id="133" w:name="_Toc16938553"/>
      <w:r>
        <w:rPr>
          <w:rFonts w:hint="eastAsia" w:ascii="宋体" w:hAnsi="宋体" w:cs="宋体"/>
          <w:bCs/>
          <w:color w:val="000000"/>
          <w:sz w:val="24"/>
          <w:szCs w:val="24"/>
        </w:rPr>
        <w:t xml:space="preserve">30、签订合同</w:t>
      </w:r>
      <w:r/>
    </w:p>
    <w:p>
      <w:pPr>
        <w:ind w:firstLine="480"/>
        <w:keepLines/>
        <w:keepNext/>
        <w:spacing w:line="360" w:lineRule="auto"/>
        <w:rPr>
          <w:rFonts w:hint="eastAsia" w:ascii="宋体" w:hAnsi="宋体" w:cs="宋体"/>
          <w:color w:val="000000"/>
          <w:sz w:val="24"/>
          <w:szCs w:val="24"/>
        </w:rPr>
        <w:outlineLvl w:val="3"/>
      </w:pPr>
      <w:r>
        <w:rPr>
          <w:rFonts w:hint="eastAsia" w:ascii="宋体" w:hAnsi="宋体" w:cs="宋体"/>
          <w:bCs/>
          <w:color w:val="000000"/>
          <w:sz w:val="24"/>
          <w:szCs w:val="24"/>
        </w:rPr>
        <w:t xml:space="preserve">30.</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31、货物（包含与货物相关的服务）的追加</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31"/>
      <w:r/>
      <w:bookmarkEnd w:id="132"/>
      <w:r/>
      <w:bookmarkEnd w:id="133"/>
      <w:r/>
      <w:r/>
    </w:p>
    <w:p>
      <w:pPr>
        <w:ind w:firstLine="480"/>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32、政府采购履约资金扶持政策</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中标供应商可凭政府采购合同办理融资贷款，详情请见江苏政府采购网“政采贷”专栏。</w:t>
      </w:r>
      <w:r/>
    </w:p>
    <w:p>
      <w:pPr>
        <w:rPr>
          <w:rFonts w:ascii="黑体" w:eastAsia="黑体"/>
          <w:bCs/>
          <w:color w:val="000000"/>
          <w:sz w:val="44"/>
          <w:szCs w:val="28"/>
        </w:rPr>
      </w:pPr>
      <w:r>
        <w:rPr>
          <w:rFonts w:hint="eastAsia" w:ascii="黑体" w:eastAsia="黑体"/>
          <w:bCs/>
          <w:color w:val="000000"/>
          <w:sz w:val="44"/>
          <w:szCs w:val="28"/>
        </w:rPr>
        <w:br w:type="page" w:clear="all"/>
      </w:r>
      <w:r/>
    </w:p>
    <w:p>
      <w:pPr>
        <w:numPr>
          <w:ilvl w:val="0"/>
          <w:numId w:val="4"/>
        </w:numPr>
        <w:jc w:val="center"/>
        <w:keepNext/>
        <w:rPr>
          <w:rFonts w:ascii="黑体" w:eastAsia="黑体"/>
          <w:bCs/>
          <w:color w:val="000000"/>
          <w:sz w:val="44"/>
          <w:szCs w:val="28"/>
        </w:rPr>
        <w:outlineLvl w:val="0"/>
      </w:pPr>
      <w:r>
        <w:rPr>
          <w:rFonts w:hint="eastAsia" w:ascii="黑体" w:eastAsia="黑体"/>
          <w:bCs/>
          <w:color w:val="000000"/>
          <w:sz w:val="44"/>
          <w:szCs w:val="28"/>
        </w:rPr>
        <w:t xml:space="preserve"> 合同</w:t>
      </w:r>
      <w:bookmarkEnd w:id="7"/>
      <w:r/>
      <w:bookmarkEnd w:id="8"/>
      <w:r/>
      <w:bookmarkEnd w:id="9"/>
      <w:r/>
      <w:bookmarkEnd w:id="10"/>
      <w:r/>
      <w:bookmarkEnd w:id="11"/>
      <w:r>
        <w:rPr>
          <w:rFonts w:hint="eastAsia" w:ascii="黑体" w:eastAsia="黑体"/>
          <w:bCs/>
          <w:color w:val="000000"/>
          <w:sz w:val="44"/>
          <w:szCs w:val="28"/>
        </w:rPr>
        <w:t xml:space="preserve">文本</w:t>
      </w:r>
      <w:r/>
    </w:p>
    <w:p>
      <w:pPr>
        <w:jc w:val="center"/>
        <w:keepNext/>
        <w:rPr>
          <w:rFonts w:ascii="黑体" w:eastAsia="黑体"/>
          <w:bCs/>
          <w:color w:val="000000"/>
          <w:sz w:val="44"/>
          <w:szCs w:val="28"/>
        </w:rPr>
        <w:outlineLvl w:val="0"/>
      </w:pPr>
      <w:r>
        <w:rPr>
          <w:rFonts w:hint="eastAsia" w:ascii="黑体" w:eastAsia="黑体"/>
          <w:bCs/>
          <w:color w:val="000000"/>
          <w:sz w:val="32"/>
          <w:szCs w:val="21"/>
        </w:rPr>
        <w:t xml:space="preserve">（采购人保留修改的权利）</w:t>
      </w:r>
      <w:r/>
    </w:p>
    <w:p>
      <w:pPr>
        <w:spacing w:line="500" w:lineRule="exact"/>
        <w:rPr>
          <w:rFonts w:hint="eastAsia" w:ascii="宋体" w:hAnsi="宋体" w:cs="宋体"/>
          <w:bCs/>
          <w:sz w:val="24"/>
          <w:szCs w:val="24"/>
        </w:rPr>
      </w:pPr>
      <w:r/>
      <w:bookmarkStart w:id="134" w:name="_Toc513029243"/>
      <w:r/>
      <w:bookmarkStart w:id="135" w:name="_Toc20823315"/>
      <w:r/>
      <w:bookmarkStart w:id="136" w:name="_Toc16938559"/>
      <w:r/>
      <w:bookmarkStart w:id="137" w:name="_Toc3995"/>
      <w:r/>
      <w:bookmarkStart w:id="138" w:name="_Hlt16619350"/>
      <w:r/>
      <w:bookmarkStart w:id="139" w:name="_Toc20823346"/>
      <w:r/>
      <w:bookmarkStart w:id="140" w:name="_Toc16938590"/>
      <w:r/>
      <w:bookmarkStart w:id="141" w:name="_Toc120614244"/>
      <w:r/>
      <w:bookmarkStart w:id="142" w:name="_Toc479757211"/>
      <w:r/>
      <w:bookmarkStart w:id="143" w:name="_Toc462564139"/>
      <w:r>
        <w:rPr>
          <w:rFonts w:hint="eastAsia" w:ascii="宋体" w:hAnsi="宋体" w:cs="宋体"/>
          <w:bCs/>
          <w:sz w:val="24"/>
          <w:szCs w:val="24"/>
        </w:rPr>
        <w:t xml:space="preserve">拟签订的合同文本：</w:t>
      </w:r>
      <w:bookmarkEnd w:id="134"/>
      <w:r/>
      <w:bookmarkEnd w:id="135"/>
      <w:r/>
      <w:bookmarkEnd w:id="136"/>
      <w:r/>
      <w:bookmarkEnd w:id="137"/>
      <w:r/>
      <w:r/>
    </w:p>
    <w:p>
      <w:pPr>
        <w:spacing w:line="500" w:lineRule="exact"/>
        <w:rPr>
          <w:rFonts w:hint="eastAsia" w:ascii="宋体" w:hAnsi="宋体" w:cs="宋体"/>
          <w:bCs/>
          <w:sz w:val="24"/>
          <w:szCs w:val="24"/>
        </w:rPr>
      </w:pPr>
      <w:r>
        <w:rPr>
          <w:rFonts w:hint="eastAsia" w:ascii="宋体" w:hAnsi="宋体" w:cs="宋体"/>
          <w:bCs/>
          <w:sz w:val="24"/>
          <w:szCs w:val="24"/>
        </w:rPr>
        <w:t xml:space="preserve">项目名称：南通市海门区人民医院采购献血车项目</w:t>
      </w:r>
      <w:r/>
    </w:p>
    <w:p>
      <w:pPr>
        <w:spacing w:line="500" w:lineRule="exact"/>
        <w:rPr>
          <w:rFonts w:hint="eastAsia" w:ascii="宋体" w:hAnsi="宋体" w:cs="宋体"/>
          <w:bCs/>
          <w:sz w:val="24"/>
          <w:szCs w:val="24"/>
        </w:rPr>
      </w:pPr>
      <w:r>
        <w:rPr>
          <w:rFonts w:hint="eastAsia" w:ascii="宋体" w:hAnsi="宋体" w:cs="宋体"/>
          <w:bCs/>
          <w:sz w:val="24"/>
          <w:szCs w:val="24"/>
        </w:rPr>
        <w:t xml:space="preserve">合同编号：JSZC-320614-XXXX-XXXX-XXXX</w:t>
      </w:r>
      <w:r/>
    </w:p>
    <w:p>
      <w:pPr>
        <w:spacing w:line="500" w:lineRule="exact"/>
        <w:rPr>
          <w:rFonts w:hint="eastAsia" w:ascii="宋体" w:hAnsi="宋体" w:cs="宋体"/>
          <w:bCs/>
          <w:sz w:val="24"/>
          <w:szCs w:val="24"/>
        </w:rPr>
      </w:pPr>
      <w:r>
        <w:rPr>
          <w:rFonts w:hint="eastAsia" w:ascii="宋体" w:hAnsi="宋体" w:cs="宋体"/>
          <w:bCs/>
          <w:sz w:val="24"/>
          <w:szCs w:val="24"/>
        </w:rPr>
        <w:t xml:space="preserve">甲方（采购人）：南通市海门区人民医院</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乙方（供应商）：</w:t>
      </w:r>
      <w:r/>
    </w:p>
    <w:p>
      <w:pPr>
        <w:spacing w:line="500" w:lineRule="exact"/>
        <w:rPr>
          <w:rFonts w:hint="eastAsia" w:ascii="宋体" w:hAnsi="宋体" w:cs="宋体"/>
          <w:bCs/>
          <w:sz w:val="24"/>
          <w:szCs w:val="24"/>
        </w:rPr>
      </w:pPr>
      <w:r>
        <w:rPr>
          <w:rFonts w:hint="eastAsia" w:ascii="宋体" w:hAnsi="宋体" w:cs="宋体"/>
          <w:bCs/>
          <w:sz w:val="24"/>
          <w:szCs w:val="24"/>
        </w:rPr>
        <w:t xml:space="preserve">签订日期：____年____月____日         签订地点：南通市海门区</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依据《中华人民共和国民法典》《中华人民共和国政府采购法》及其实施条例等法律法规，以及本项目的采购文件、乙方的投标文件及中标通知书，甲乙双方经平等协商，就献血车采购事宜订立本合同，共同遵照执行。</w:t>
      </w:r>
      <w:r/>
    </w:p>
    <w:p>
      <w:pPr>
        <w:spacing w:line="500" w:lineRule="exact"/>
        <w:rPr>
          <w:rFonts w:hint="eastAsia" w:ascii="宋体" w:hAnsi="宋体" w:cs="宋体"/>
          <w:b/>
          <w:sz w:val="24"/>
          <w:szCs w:val="24"/>
        </w:rPr>
      </w:pPr>
      <w:r>
        <w:rPr>
          <w:rFonts w:hint="eastAsia" w:ascii="宋体" w:hAnsi="宋体" w:cs="宋体"/>
          <w:b/>
          <w:sz w:val="24"/>
          <w:szCs w:val="24"/>
        </w:rPr>
        <w:t xml:space="preserve">一、项目信息</w:t>
      </w:r>
      <w:r/>
    </w:p>
    <w:p>
      <w:pPr>
        <w:spacing w:line="500" w:lineRule="exact"/>
        <w:rPr>
          <w:rFonts w:hint="eastAsia" w:ascii="宋体" w:hAnsi="宋体" w:cs="宋体"/>
          <w:bCs/>
          <w:sz w:val="24"/>
          <w:szCs w:val="24"/>
        </w:rPr>
      </w:pPr>
      <w:r>
        <w:rPr>
          <w:rFonts w:hint="eastAsia" w:ascii="宋体" w:hAnsi="宋体" w:cs="宋体"/>
          <w:bCs/>
          <w:sz w:val="24"/>
          <w:szCs w:val="24"/>
        </w:rPr>
        <w:t xml:space="preserve">（1）采购项目名称：南通市海门区人民医院采购献血车项目  </w:t>
      </w:r>
      <w:r/>
    </w:p>
    <w:p>
      <w:pPr>
        <w:spacing w:line="500" w:lineRule="exact"/>
        <w:rPr>
          <w:rFonts w:hint="eastAsia" w:ascii="宋体" w:hAnsi="宋体" w:cs="宋体"/>
          <w:bCs/>
          <w:sz w:val="24"/>
          <w:szCs w:val="24"/>
        </w:rPr>
      </w:pPr>
      <w:r>
        <w:rPr>
          <w:rFonts w:hint="eastAsia" w:ascii="宋体" w:hAnsi="宋体" w:cs="宋体"/>
          <w:bCs/>
          <w:sz w:val="24"/>
          <w:szCs w:val="24"/>
        </w:rPr>
        <w:t xml:space="preserve">采购项目编号：JSZC-320614-XXXX-XXXX-XXXX</w:t>
      </w:r>
      <w:r/>
    </w:p>
    <w:p>
      <w:pPr>
        <w:spacing w:line="500" w:lineRule="exact"/>
        <w:rPr>
          <w:rFonts w:hint="eastAsia" w:ascii="宋体" w:hAnsi="宋体" w:cs="宋体"/>
          <w:bCs/>
          <w:sz w:val="24"/>
          <w:szCs w:val="24"/>
        </w:rPr>
      </w:pPr>
      <w:r>
        <w:rPr>
          <w:rFonts w:hint="eastAsia" w:ascii="宋体" w:hAnsi="宋体" w:cs="宋体"/>
          <w:bCs/>
          <w:sz w:val="24"/>
          <w:szCs w:val="24"/>
        </w:rPr>
        <w:t xml:space="preserve">（2）采购标的及数量</w:t>
      </w:r>
      <w:r/>
    </w:p>
    <w:tbl>
      <w:tblPr>
        <w:tblStyle w:val="671"/>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7"/>
        <w:gridCol w:w="1070"/>
        <w:gridCol w:w="1777"/>
        <w:gridCol w:w="1070"/>
        <w:gridCol w:w="2131"/>
        <w:gridCol w:w="2131"/>
      </w:tblGrid>
      <w:tr>
        <w:trPr>
          <w:jc w:val="center"/>
          <w:tblHeader/>
        </w:trPr>
        <w:tc>
          <w:tcPr>
            <w:tcW w:w="0" w:type="auto"/>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采购标的</w:t>
            </w:r>
            <w:r/>
          </w:p>
        </w:tc>
        <w:tc>
          <w:tcPr>
            <w:tcW w:w="0" w:type="auto"/>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品牌</w:t>
            </w:r>
            <w:r/>
          </w:p>
        </w:tc>
        <w:tc>
          <w:tcPr>
            <w:tcW w:w="0" w:type="auto"/>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规格型号</w:t>
            </w:r>
            <w:r/>
          </w:p>
        </w:tc>
        <w:tc>
          <w:tcPr>
            <w:tcW w:w="0" w:type="auto"/>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数量</w:t>
            </w:r>
            <w:r/>
          </w:p>
        </w:tc>
        <w:tc>
          <w:tcPr>
            <w:tcW w:w="0" w:type="auto"/>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单价（元）</w:t>
            </w:r>
            <w:r/>
          </w:p>
        </w:tc>
        <w:tc>
          <w:tcPr>
            <w:tcW w:w="213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总价（元）</w:t>
            </w:r>
            <w:r/>
          </w:p>
        </w:tc>
      </w:tr>
      <w:tr>
        <w:trPr>
          <w:jc w:val="center"/>
        </w:trPr>
        <w:tc>
          <w:tcPr>
            <w:tcW w:w="1777"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献血车</w:t>
            </w:r>
            <w:r/>
          </w:p>
        </w:tc>
        <w:tc>
          <w:tcPr>
            <w:tcW w:w="1070"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c>
          <w:tcPr>
            <w:tcW w:w="1777"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c>
          <w:tcPr>
            <w:tcW w:w="1070"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1辆</w:t>
            </w:r>
            <w:r/>
          </w:p>
        </w:tc>
        <w:tc>
          <w:tcPr>
            <w:tcW w:w="213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c>
          <w:tcPr>
            <w:tcW w:w="213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r>
    </w:tbl>
    <w:p>
      <w:pPr>
        <w:spacing w:line="500" w:lineRule="exact"/>
        <w:rPr>
          <w:rFonts w:hint="eastAsia" w:ascii="宋体" w:hAnsi="宋体" w:cs="宋体"/>
          <w:bCs/>
          <w:sz w:val="24"/>
          <w:szCs w:val="24"/>
        </w:rPr>
      </w:pPr>
      <w:r>
        <w:rPr>
          <w:rFonts w:hint="eastAsia" w:ascii="宋体" w:hAnsi="宋体" w:cs="宋体"/>
          <w:bCs/>
          <w:sz w:val="24"/>
          <w:szCs w:val="24"/>
        </w:rPr>
        <w:t xml:space="preserve">（3）涉及信息类产品关键部件信息</w:t>
      </w:r>
      <w:r/>
    </w:p>
    <w:tbl>
      <w:tblPr>
        <w:tblStyle w:val="671"/>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96"/>
        <w:gridCol w:w="3951"/>
        <w:gridCol w:w="2309"/>
      </w:tblGrid>
      <w:tr>
        <w:trPr>
          <w:jc w:val="center"/>
          <w:tblHeader/>
        </w:trPr>
        <w:tc>
          <w:tcPr>
            <w:tcW w:w="3696"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关键部件</w:t>
            </w:r>
            <w:r/>
          </w:p>
        </w:tc>
        <w:tc>
          <w:tcPr>
            <w:tcW w:w="395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品牌</w:t>
            </w:r>
            <w:r/>
          </w:p>
        </w:tc>
        <w:tc>
          <w:tcPr>
            <w:tcW w:w="2309"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型号</w:t>
            </w:r>
            <w:r/>
          </w:p>
        </w:tc>
      </w:tr>
      <w:tr>
        <w:trPr>
          <w:jc w:val="center"/>
        </w:trPr>
        <w:tc>
          <w:tcPr>
            <w:tcW w:w="3696"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锂电池系统</w:t>
            </w:r>
            <w:r/>
          </w:p>
        </w:tc>
        <w:tc>
          <w:tcPr>
            <w:tcW w:w="395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c>
          <w:tcPr>
            <w:tcW w:w="2309"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r>
      <w:tr>
        <w:trPr>
          <w:jc w:val="center"/>
        </w:trPr>
        <w:tc>
          <w:tcPr>
            <w:tcW w:w="3696"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车载监控</w:t>
            </w:r>
            <w:r/>
          </w:p>
        </w:tc>
        <w:tc>
          <w:tcPr>
            <w:tcW w:w="395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c>
          <w:tcPr>
            <w:tcW w:w="2309"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r>
      <w:tr>
        <w:trPr>
          <w:jc w:val="center"/>
        </w:trPr>
        <w:tc>
          <w:tcPr>
            <w:tcW w:w="3696"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车载无线网络</w:t>
            </w:r>
            <w:r/>
          </w:p>
        </w:tc>
        <w:tc>
          <w:tcPr>
            <w:tcW w:w="395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c>
          <w:tcPr>
            <w:tcW w:w="2309"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r>
    </w:tbl>
    <w:p>
      <w:pPr>
        <w:spacing w:line="500" w:lineRule="exact"/>
        <w:rPr>
          <w:rFonts w:hint="eastAsia" w:ascii="宋体" w:hAnsi="宋体" w:cs="宋体"/>
          <w:b/>
          <w:sz w:val="24"/>
          <w:szCs w:val="24"/>
        </w:rPr>
      </w:pPr>
      <w:r>
        <w:rPr>
          <w:rFonts w:hint="eastAsia" w:ascii="宋体" w:hAnsi="宋体" w:cs="宋体"/>
          <w:b/>
          <w:sz w:val="24"/>
          <w:szCs w:val="24"/>
        </w:rPr>
        <w:t xml:space="preserve">二、合同金额</w:t>
      </w:r>
      <w:r/>
    </w:p>
    <w:p>
      <w:pPr>
        <w:spacing w:line="500" w:lineRule="exact"/>
        <w:rPr>
          <w:rFonts w:hint="eastAsia" w:ascii="宋体" w:hAnsi="宋体" w:cs="宋体"/>
          <w:bCs/>
          <w:sz w:val="24"/>
          <w:szCs w:val="24"/>
        </w:rPr>
      </w:pPr>
      <w:r>
        <w:rPr>
          <w:rFonts w:hint="eastAsia" w:ascii="宋体" w:hAnsi="宋体" w:cs="宋体"/>
          <w:bCs/>
          <w:sz w:val="24"/>
          <w:szCs w:val="24"/>
        </w:rPr>
        <w:t xml:space="preserve">本合同金额为人民币（大写）：______________________圆整（¥__________元）。</w:t>
      </w:r>
      <w:r/>
    </w:p>
    <w:p>
      <w:pPr>
        <w:spacing w:line="500" w:lineRule="exact"/>
        <w:rPr>
          <w:rFonts w:hint="eastAsia" w:ascii="宋体" w:hAnsi="宋体" w:cs="宋体"/>
          <w:bCs/>
          <w:sz w:val="24"/>
          <w:szCs w:val="24"/>
        </w:rPr>
      </w:pPr>
      <w:r>
        <w:rPr>
          <w:rFonts w:hint="eastAsia" w:ascii="宋体" w:hAnsi="宋体" w:cs="宋体"/>
          <w:bCs/>
          <w:sz w:val="24"/>
          <w:szCs w:val="24"/>
        </w:rPr>
        <w:t xml:space="preserve">本合同总价为固定包干价，包含货物设计、材料、制造、包装、运输、装卸、保险、安装调试、检测、验收、培训、质保期内全部服务、税金、车辆上牌协助服务等为完成本项目全部工作所发生的一切费用。合同履行期间，本合同总价不作任何调整。</w:t>
      </w:r>
      <w:r/>
    </w:p>
    <w:p>
      <w:pPr>
        <w:spacing w:line="500" w:lineRule="exact"/>
        <w:rPr>
          <w:rFonts w:hint="eastAsia" w:ascii="宋体" w:hAnsi="宋体" w:cs="宋体"/>
          <w:b/>
          <w:sz w:val="24"/>
          <w:szCs w:val="24"/>
        </w:rPr>
      </w:pPr>
      <w:r>
        <w:rPr>
          <w:rFonts w:hint="eastAsia" w:ascii="宋体" w:hAnsi="宋体" w:cs="宋体"/>
          <w:b/>
          <w:sz w:val="24"/>
          <w:szCs w:val="24"/>
        </w:rPr>
        <w:t xml:space="preserve">三、合同款项的支付方式</w:t>
      </w:r>
      <w:r/>
    </w:p>
    <w:p>
      <w:pPr>
        <w:spacing w:line="500" w:lineRule="exact"/>
        <w:rPr>
          <w:rFonts w:hint="eastAsia" w:ascii="宋体" w:hAnsi="宋体" w:cs="宋体"/>
          <w:bCs/>
          <w:sz w:val="24"/>
          <w:szCs w:val="24"/>
        </w:rPr>
      </w:pPr>
      <w:r>
        <w:rPr>
          <w:rFonts w:hint="eastAsia" w:ascii="宋体" w:hAnsi="宋体" w:cs="宋体"/>
          <w:bCs/>
          <w:sz w:val="24"/>
          <w:szCs w:val="24"/>
        </w:rPr>
        <w:t xml:space="preserve">付款方式：合同签订后，全部货物按时送达采购人指定地点，完成安装调试，乙方配合完成车辆上牌，经甲方组织最终验收合格，甲方收到乙方开具的合法有效全额正式发票后，支付合同总价的100%，人民币（大写）______________________圆整（¥__________元）。</w:t>
      </w:r>
      <w:r/>
    </w:p>
    <w:p>
      <w:pPr>
        <w:spacing w:line="500" w:lineRule="exact"/>
        <w:rPr>
          <w:rFonts w:hint="eastAsia" w:ascii="宋体" w:hAnsi="宋体" w:cs="宋体"/>
          <w:bCs/>
          <w:sz w:val="24"/>
          <w:szCs w:val="24"/>
        </w:rPr>
      </w:pPr>
      <w:r>
        <w:rPr>
          <w:rFonts w:hint="eastAsia" w:ascii="宋体" w:hAnsi="宋体" w:cs="宋体"/>
          <w:bCs/>
          <w:sz w:val="24"/>
          <w:szCs w:val="24"/>
        </w:rPr>
        <w:t xml:space="preserve">付款以公对公转账方式执行，乙方须保证开票信息、账户信息真实有效，因票据、账户问题造成付款延误，责任由乙方承担。</w:t>
      </w:r>
      <w:r/>
    </w:p>
    <w:p>
      <w:pPr>
        <w:spacing w:line="500" w:lineRule="exact"/>
        <w:rPr>
          <w:rFonts w:hint="eastAsia" w:ascii="宋体" w:hAnsi="宋体" w:cs="宋体"/>
          <w:b/>
          <w:sz w:val="24"/>
          <w:szCs w:val="24"/>
        </w:rPr>
      </w:pPr>
      <w:r>
        <w:rPr>
          <w:rFonts w:hint="eastAsia" w:ascii="宋体" w:hAnsi="宋体" w:cs="宋体"/>
          <w:b/>
          <w:sz w:val="24"/>
          <w:szCs w:val="24"/>
        </w:rPr>
        <w:t xml:space="preserve">四、合同履行</w:t>
      </w:r>
      <w:r/>
    </w:p>
    <w:p>
      <w:pPr>
        <w:spacing w:line="500" w:lineRule="exact"/>
        <w:rPr>
          <w:rFonts w:hint="eastAsia" w:ascii="宋体" w:hAnsi="宋体" w:cs="宋体"/>
          <w:bCs/>
          <w:sz w:val="24"/>
          <w:szCs w:val="24"/>
        </w:rPr>
      </w:pPr>
      <w:r>
        <w:rPr>
          <w:rFonts w:hint="eastAsia" w:ascii="宋体" w:hAnsi="宋体" w:cs="宋体"/>
          <w:bCs/>
          <w:sz w:val="24"/>
          <w:szCs w:val="24"/>
        </w:rPr>
        <w:t xml:space="preserve">交货期限：合同签订之日起80日历天内完成供货、安装调试，达到预期效果。</w:t>
      </w:r>
      <w:r/>
    </w:p>
    <w:p>
      <w:pPr>
        <w:spacing w:line="500" w:lineRule="exact"/>
        <w:rPr>
          <w:rFonts w:hint="eastAsia" w:ascii="宋体" w:hAnsi="宋体" w:cs="宋体"/>
          <w:bCs/>
          <w:sz w:val="24"/>
          <w:szCs w:val="24"/>
        </w:rPr>
      </w:pPr>
      <w:r>
        <w:rPr>
          <w:rFonts w:hint="eastAsia" w:ascii="宋体" w:hAnsi="宋体" w:cs="宋体"/>
          <w:bCs/>
          <w:sz w:val="24"/>
          <w:szCs w:val="24"/>
        </w:rPr>
        <w:t xml:space="preserve">交货地点：甲方指定地点。</w:t>
      </w:r>
      <w:r/>
    </w:p>
    <w:p>
      <w:pPr>
        <w:spacing w:line="500" w:lineRule="exact"/>
        <w:rPr>
          <w:rFonts w:hint="eastAsia" w:ascii="宋体" w:hAnsi="宋体" w:cs="宋体"/>
          <w:bCs/>
          <w:sz w:val="24"/>
          <w:szCs w:val="24"/>
        </w:rPr>
      </w:pPr>
      <w:r>
        <w:rPr>
          <w:rFonts w:hint="eastAsia" w:ascii="宋体" w:hAnsi="宋体" w:cs="宋体"/>
          <w:bCs/>
          <w:sz w:val="24"/>
          <w:szCs w:val="24"/>
        </w:rPr>
        <w:t xml:space="preserve">运输方式：乙方负责将货物安全无损运送至甲方指定现场，运输、装卸、保险全部费用及途中毁损灭失风险均由乙方承担。</w:t>
      </w:r>
      <w:r/>
    </w:p>
    <w:p>
      <w:pPr>
        <w:spacing w:line="500" w:lineRule="exact"/>
        <w:rPr>
          <w:rFonts w:hint="eastAsia" w:ascii="宋体" w:hAnsi="宋体" w:cs="宋体"/>
          <w:b/>
          <w:sz w:val="24"/>
          <w:szCs w:val="24"/>
        </w:rPr>
      </w:pPr>
      <w:r>
        <w:rPr>
          <w:rFonts w:hint="eastAsia" w:ascii="宋体" w:hAnsi="宋体" w:cs="宋体"/>
          <w:b/>
          <w:sz w:val="24"/>
          <w:szCs w:val="24"/>
        </w:rPr>
        <w:t xml:space="preserve">五、合同验收</w:t>
      </w:r>
      <w:r/>
    </w:p>
    <w:p>
      <w:pPr>
        <w:spacing w:line="500" w:lineRule="exact"/>
        <w:rPr>
          <w:rFonts w:hint="eastAsia" w:ascii="宋体" w:hAnsi="宋体" w:cs="宋体"/>
          <w:bCs/>
          <w:sz w:val="24"/>
          <w:szCs w:val="24"/>
        </w:rPr>
      </w:pPr>
      <w:r>
        <w:rPr>
          <w:rFonts w:hint="eastAsia" w:ascii="宋体" w:hAnsi="宋体" w:cs="宋体"/>
          <w:bCs/>
          <w:sz w:val="24"/>
          <w:szCs w:val="24"/>
        </w:rPr>
        <w:t xml:space="preserve">履约验收程序：</w:t>
      </w:r>
      <w:r/>
    </w:p>
    <w:p>
      <w:pPr>
        <w:spacing w:line="500" w:lineRule="exact"/>
        <w:rPr>
          <w:rFonts w:hint="eastAsia" w:ascii="宋体" w:hAnsi="宋体" w:cs="宋体"/>
          <w:bCs/>
          <w:sz w:val="24"/>
          <w:szCs w:val="24"/>
        </w:rPr>
      </w:pPr>
      <w:r>
        <w:rPr>
          <w:rFonts w:hint="eastAsia" w:ascii="宋体" w:hAnsi="宋体" w:cs="宋体"/>
          <w:bCs/>
          <w:sz w:val="24"/>
          <w:szCs w:val="24"/>
        </w:rPr>
        <w:t xml:space="preserve">初步验收：货物到场后，甲乙双方对照供货清单核对货物品牌、型号、数量、外观、随车资料；</w:t>
      </w:r>
      <w:r/>
    </w:p>
    <w:p>
      <w:pPr>
        <w:spacing w:line="500" w:lineRule="exact"/>
        <w:rPr>
          <w:rFonts w:hint="eastAsia" w:ascii="宋体" w:hAnsi="宋体" w:cs="宋体"/>
          <w:bCs/>
          <w:sz w:val="24"/>
          <w:szCs w:val="24"/>
        </w:rPr>
      </w:pPr>
      <w:r>
        <w:rPr>
          <w:rFonts w:hint="eastAsia" w:ascii="宋体" w:hAnsi="宋体" w:cs="宋体"/>
          <w:bCs/>
          <w:sz w:val="24"/>
          <w:szCs w:val="24"/>
        </w:rPr>
        <w:t xml:space="preserve">技术验收：依据招标文件、投标文件、本合同约定，对整车、车载专用设备各项性能参数开展技术核验；</w:t>
      </w:r>
      <w:r/>
    </w:p>
    <w:p>
      <w:pPr>
        <w:spacing w:line="500" w:lineRule="exact"/>
        <w:rPr>
          <w:rFonts w:hint="eastAsia" w:ascii="宋体" w:hAnsi="宋体" w:cs="宋体"/>
          <w:bCs/>
          <w:sz w:val="24"/>
          <w:szCs w:val="24"/>
        </w:rPr>
      </w:pPr>
      <w:r>
        <w:rPr>
          <w:rFonts w:hint="eastAsia" w:ascii="宋体" w:hAnsi="宋体" w:cs="宋体"/>
          <w:bCs/>
          <w:sz w:val="24"/>
          <w:szCs w:val="24"/>
        </w:rPr>
        <w:t xml:space="preserve">最终验收：车辆完成全部安装调试，乙方配合完成车辆上牌手续后，由甲方组织开展项目最终验收。</w:t>
      </w:r>
      <w:r/>
    </w:p>
    <w:p>
      <w:pPr>
        <w:spacing w:line="500" w:lineRule="exact"/>
        <w:rPr>
          <w:rFonts w:hint="eastAsia" w:ascii="宋体" w:hAnsi="宋体" w:cs="宋体"/>
          <w:bCs/>
          <w:sz w:val="24"/>
          <w:szCs w:val="24"/>
        </w:rPr>
      </w:pPr>
      <w:r>
        <w:rPr>
          <w:rFonts w:hint="eastAsia" w:ascii="宋体" w:hAnsi="宋体" w:cs="宋体"/>
          <w:bCs/>
          <w:sz w:val="24"/>
          <w:szCs w:val="24"/>
        </w:rPr>
        <w:t xml:space="preserve">履约验收标准：</w:t>
      </w:r>
      <w:r/>
    </w:p>
    <w:p>
      <w:pPr>
        <w:spacing w:line="500" w:lineRule="exact"/>
        <w:rPr>
          <w:rFonts w:hint="eastAsia" w:ascii="宋体" w:hAnsi="宋体" w:cs="宋体"/>
          <w:bCs/>
          <w:sz w:val="24"/>
          <w:szCs w:val="24"/>
        </w:rPr>
      </w:pPr>
      <w:r>
        <w:rPr>
          <w:rFonts w:hint="eastAsia" w:ascii="宋体" w:hAnsi="宋体" w:cs="宋体"/>
          <w:bCs/>
          <w:sz w:val="24"/>
          <w:szCs w:val="24"/>
        </w:rPr>
        <w:t xml:space="preserve">招标文件技术规格书载明的标准与全部技术要求；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对应货物现行有效国家、行业标准；</w:t>
      </w:r>
      <w:r/>
    </w:p>
    <w:p>
      <w:pPr>
        <w:spacing w:line="500" w:lineRule="exact"/>
        <w:rPr>
          <w:rFonts w:hint="eastAsia" w:ascii="宋体" w:hAnsi="宋体" w:cs="宋体"/>
          <w:bCs/>
          <w:sz w:val="24"/>
          <w:szCs w:val="24"/>
        </w:rPr>
      </w:pPr>
      <w:r>
        <w:rPr>
          <w:rFonts w:hint="eastAsia" w:ascii="宋体" w:hAnsi="宋体" w:cs="宋体"/>
          <w:bCs/>
          <w:sz w:val="24"/>
          <w:szCs w:val="24"/>
        </w:rPr>
        <w:t xml:space="preserve">产品合格证、技术资料载明的质量、精度指标；</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乙方投标文件、澄清答复中全部承诺事项；</w:t>
      </w:r>
      <w:r/>
    </w:p>
    <w:p>
      <w:pPr>
        <w:spacing w:line="500" w:lineRule="exact"/>
        <w:rPr>
          <w:rFonts w:hint="eastAsia" w:ascii="宋体" w:hAnsi="宋体" w:cs="宋体"/>
          <w:bCs/>
          <w:sz w:val="24"/>
          <w:szCs w:val="24"/>
        </w:rPr>
      </w:pPr>
      <w:r>
        <w:rPr>
          <w:rFonts w:hint="eastAsia" w:ascii="宋体" w:hAnsi="宋体" w:cs="宋体"/>
          <w:bCs/>
          <w:sz w:val="24"/>
          <w:szCs w:val="24"/>
        </w:rPr>
        <w:t xml:space="preserve">随车医疗器械类设备，乙方须提供有效的医疗器械注册证书/备案凭证。</w:t>
      </w:r>
      <w:r/>
    </w:p>
    <w:p>
      <w:pPr>
        <w:spacing w:line="500" w:lineRule="exact"/>
        <w:rPr>
          <w:rFonts w:hint="eastAsia" w:ascii="宋体" w:hAnsi="宋体" w:cs="宋体"/>
          <w:bCs/>
          <w:sz w:val="24"/>
          <w:szCs w:val="24"/>
        </w:rPr>
      </w:pPr>
      <w:r>
        <w:rPr>
          <w:rFonts w:hint="eastAsia" w:ascii="宋体" w:hAnsi="宋体" w:cs="宋体"/>
          <w:bCs/>
          <w:sz w:val="24"/>
          <w:szCs w:val="24"/>
        </w:rPr>
        <w:t xml:space="preserve">验收不合格的，乙方须限期完成整改、返工、更换，直至验收合格，由此产生全部费用及工期延误责任由乙方承担。</w:t>
      </w:r>
      <w:r/>
    </w:p>
    <w:p>
      <w:pPr>
        <w:spacing w:line="500" w:lineRule="exact"/>
        <w:rPr>
          <w:rFonts w:hint="eastAsia" w:ascii="宋体" w:hAnsi="宋体" w:cs="宋体"/>
          <w:b/>
          <w:sz w:val="24"/>
          <w:szCs w:val="24"/>
        </w:rPr>
      </w:pPr>
      <w:r>
        <w:rPr>
          <w:rFonts w:hint="eastAsia" w:ascii="宋体" w:hAnsi="宋体" w:cs="宋体"/>
          <w:b/>
          <w:sz w:val="24"/>
          <w:szCs w:val="24"/>
        </w:rPr>
        <w:t xml:space="preserve">六、质量保证</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乙方须明确所投设备的制造商、品牌、型号、规格和外形、尺寸等。</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应保证货物是全新、未使用过的原厂合格产品，并完全符合招标文件规定的质量、规格和参数的要求。验收过程中发现产品不符合上述要求的，将视作不合格产品，甲方有权终止合同，造成的一切损失由乙方承担。</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乙方应保证提供的产品不得侵犯第三方专利权、商标权、设计权、版权等。否则，乙方应负全部责任，并承担由此引起的一切后果。</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乙方应保证其货物在正确安装、正常使用下，在其使用寿命期内具有满意的性能。</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乙方应采取必要的安全措施保证货物的运输及安装的安全，并承担货物的运输及安装过程中产生的风险。</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乙方所供货物最终验收后，乙方应对由于设计、工艺或材料的缺陷而发生的任何不足或故障负责，并承担由此引起的一切后果。</w:t>
      </w:r>
      <w:r/>
    </w:p>
    <w:p>
      <w:pPr>
        <w:spacing w:line="500" w:lineRule="exact"/>
        <w:rPr>
          <w:rFonts w:hint="eastAsia" w:ascii="宋体" w:hAnsi="宋体" w:cs="宋体"/>
          <w:bCs/>
          <w:sz w:val="24"/>
          <w:szCs w:val="24"/>
        </w:rPr>
      </w:pPr>
      <w:r>
        <w:rPr>
          <w:rFonts w:hint="eastAsia" w:ascii="宋体" w:hAnsi="宋体" w:cs="宋体"/>
          <w:bCs/>
          <w:sz w:val="24"/>
          <w:szCs w:val="24"/>
        </w:rPr>
        <w:t xml:space="preserve">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w:t>
      </w:r>
      <w:r/>
    </w:p>
    <w:p>
      <w:pPr>
        <w:spacing w:line="500" w:lineRule="exact"/>
        <w:rPr>
          <w:rFonts w:hint="eastAsia" w:ascii="宋体" w:hAnsi="宋体" w:cs="宋体"/>
          <w:b/>
          <w:sz w:val="24"/>
          <w:szCs w:val="24"/>
        </w:rPr>
      </w:pPr>
      <w:r>
        <w:rPr>
          <w:rFonts w:hint="eastAsia" w:ascii="宋体" w:hAnsi="宋体" w:cs="宋体"/>
          <w:b/>
          <w:sz w:val="24"/>
          <w:szCs w:val="24"/>
        </w:rPr>
        <w:t xml:space="preserve">七、质量保证期限</w:t>
      </w:r>
      <w:r/>
    </w:p>
    <w:p>
      <w:pPr>
        <w:spacing w:line="500" w:lineRule="exact"/>
        <w:rPr>
          <w:rFonts w:hint="eastAsia" w:ascii="宋体" w:hAnsi="宋体" w:cs="宋体"/>
          <w:bCs/>
          <w:sz w:val="24"/>
          <w:szCs w:val="24"/>
        </w:rPr>
      </w:pPr>
      <w:r>
        <w:rPr>
          <w:rFonts w:hint="eastAsia" w:ascii="宋体" w:hAnsi="宋体" w:cs="宋体"/>
          <w:bCs/>
          <w:sz w:val="24"/>
          <w:szCs w:val="24"/>
        </w:rPr>
        <w:t xml:space="preserve">整车质保期不少于  年（其中底盘质保期  年或  万公里，两者有其中之一达到，即为质保期中止）；</w:t>
      </w:r>
      <w:r/>
    </w:p>
    <w:p>
      <w:pPr>
        <w:spacing w:line="500" w:lineRule="exact"/>
        <w:rPr>
          <w:rFonts w:hint="eastAsia" w:ascii="宋体" w:hAnsi="宋体" w:cs="宋体"/>
          <w:bCs/>
          <w:sz w:val="24"/>
          <w:szCs w:val="24"/>
        </w:rPr>
      </w:pPr>
      <w:r>
        <w:rPr>
          <w:rFonts w:hint="eastAsia" w:ascii="宋体" w:hAnsi="宋体" w:cs="宋体"/>
          <w:bCs/>
          <w:sz w:val="24"/>
          <w:szCs w:val="24"/>
        </w:rPr>
        <w:t xml:space="preserve">专用设备质保1年；</w:t>
      </w:r>
      <w:r/>
    </w:p>
    <w:p>
      <w:pPr>
        <w:spacing w:line="500" w:lineRule="exact"/>
        <w:rPr>
          <w:rFonts w:hint="eastAsia" w:ascii="宋体" w:hAnsi="宋体" w:cs="宋体"/>
          <w:bCs/>
          <w:sz w:val="24"/>
          <w:szCs w:val="24"/>
        </w:rPr>
      </w:pPr>
      <w:r>
        <w:rPr>
          <w:rFonts w:hint="eastAsia" w:ascii="宋体" w:hAnsi="宋体" w:cs="宋体"/>
          <w:bCs/>
          <w:sz w:val="24"/>
          <w:szCs w:val="24"/>
        </w:rPr>
        <w:t xml:space="preserve">锂电池系统免费质保8年（锂电池系统质保8年，逆变器、充电机、机械结构件等零部件质保1年）；</w:t>
      </w:r>
      <w:r/>
    </w:p>
    <w:p>
      <w:pPr>
        <w:spacing w:line="500" w:lineRule="exact"/>
        <w:rPr>
          <w:rFonts w:hint="eastAsia" w:ascii="宋体" w:hAnsi="宋体" w:cs="宋体"/>
          <w:bCs/>
          <w:sz w:val="24"/>
          <w:szCs w:val="24"/>
        </w:rPr>
      </w:pPr>
      <w:r>
        <w:rPr>
          <w:rFonts w:hint="eastAsia" w:ascii="宋体" w:hAnsi="宋体" w:cs="宋体"/>
          <w:bCs/>
          <w:sz w:val="24"/>
          <w:szCs w:val="24"/>
        </w:rPr>
        <w:t xml:space="preserve">质保期从最终验收合格之日起算，终身维护。</w:t>
      </w:r>
      <w:r/>
    </w:p>
    <w:p>
      <w:pPr>
        <w:spacing w:line="500" w:lineRule="exact"/>
        <w:rPr>
          <w:rFonts w:hint="eastAsia" w:ascii="宋体" w:hAnsi="宋体" w:cs="宋体"/>
          <w:b/>
          <w:sz w:val="24"/>
          <w:szCs w:val="24"/>
        </w:rPr>
      </w:pPr>
      <w:r>
        <w:rPr>
          <w:rFonts w:hint="eastAsia" w:ascii="宋体" w:hAnsi="宋体" w:cs="宋体"/>
          <w:b/>
          <w:sz w:val="24"/>
          <w:szCs w:val="24"/>
        </w:rPr>
        <w:t xml:space="preserve">八、售后服务</w:t>
      </w:r>
      <w:r/>
    </w:p>
    <w:p>
      <w:pPr>
        <w:spacing w:line="500" w:lineRule="exact"/>
        <w:rPr>
          <w:rFonts w:hint="eastAsia" w:ascii="宋体" w:hAnsi="宋体" w:cs="宋体"/>
          <w:bCs/>
          <w:sz w:val="24"/>
          <w:szCs w:val="24"/>
        </w:rPr>
      </w:pPr>
      <w:r>
        <w:rPr>
          <w:rFonts w:hint="eastAsia" w:ascii="宋体" w:hAnsi="宋体" w:cs="宋体"/>
          <w:bCs/>
          <w:sz w:val="24"/>
          <w:szCs w:val="24"/>
        </w:rPr>
        <w:t xml:space="preserve">在保修期内，如有损坏或质量不合格者，乙方应及时给予修复和更换，其修理和更换应免费。正常修理周期和修理期间需提供免费测试。</w:t>
      </w:r>
      <w:r/>
    </w:p>
    <w:p>
      <w:pPr>
        <w:spacing w:line="500" w:lineRule="exact"/>
        <w:rPr>
          <w:rFonts w:hint="eastAsia" w:ascii="宋体" w:hAnsi="宋体" w:cs="宋体"/>
          <w:bCs/>
          <w:sz w:val="24"/>
          <w:szCs w:val="24"/>
        </w:rPr>
      </w:pPr>
      <w:r>
        <w:rPr>
          <w:rFonts w:hint="eastAsia" w:ascii="宋体" w:hAnsi="宋体" w:cs="宋体"/>
          <w:bCs/>
          <w:sz w:val="24"/>
          <w:szCs w:val="24"/>
        </w:rPr>
        <w:t xml:space="preserve">接报修后4小时内到达现场，并保证相关配件同时到达，最迟24小时内解决问题。</w:t>
      </w:r>
      <w:r/>
    </w:p>
    <w:p>
      <w:pPr>
        <w:spacing w:line="500" w:lineRule="exact"/>
        <w:rPr>
          <w:rFonts w:hint="eastAsia" w:ascii="宋体" w:hAnsi="宋体" w:cs="宋体"/>
          <w:bCs/>
          <w:sz w:val="24"/>
          <w:szCs w:val="24"/>
        </w:rPr>
      </w:pPr>
      <w:r>
        <w:rPr>
          <w:rFonts w:hint="eastAsia" w:ascii="宋体" w:hAnsi="宋体" w:cs="宋体"/>
          <w:bCs/>
          <w:sz w:val="24"/>
          <w:szCs w:val="24"/>
        </w:rPr>
        <w:t xml:space="preserve">在保修期外，乙方为仪器提供终身维修服务。</w:t>
      </w:r>
      <w:r/>
    </w:p>
    <w:p>
      <w:pPr>
        <w:spacing w:line="500" w:lineRule="exact"/>
        <w:rPr>
          <w:rFonts w:hint="eastAsia" w:ascii="宋体" w:hAnsi="宋体" w:cs="宋体"/>
          <w:bCs/>
          <w:sz w:val="24"/>
          <w:szCs w:val="24"/>
        </w:rPr>
      </w:pPr>
      <w:r>
        <w:rPr>
          <w:rFonts w:hint="eastAsia" w:ascii="宋体" w:hAnsi="宋体" w:cs="宋体"/>
          <w:bCs/>
          <w:sz w:val="24"/>
          <w:szCs w:val="24"/>
        </w:rPr>
        <w:t xml:space="preserve">在保修期内，如果原厂方鉴定设备因为人为损坏，厂方须出具具有法定权威性第三方检测证明，否则一律视为保修范围内容处理。</w:t>
      </w:r>
      <w:r/>
    </w:p>
    <w:p>
      <w:pPr>
        <w:spacing w:line="500" w:lineRule="exact"/>
        <w:rPr>
          <w:rFonts w:hint="eastAsia" w:ascii="宋体" w:hAnsi="宋体" w:cs="宋体"/>
          <w:bCs/>
          <w:sz w:val="24"/>
          <w:szCs w:val="24"/>
        </w:rPr>
      </w:pPr>
      <w:r>
        <w:rPr>
          <w:rFonts w:hint="eastAsia" w:ascii="宋体" w:hAnsi="宋体" w:cs="宋体"/>
          <w:bCs/>
          <w:sz w:val="24"/>
          <w:szCs w:val="24"/>
        </w:rPr>
        <w:t xml:space="preserve">承诺在硬件条件允许的情况下，终身免费升级软件，并对新软件的功能免费培训。要求供货厂家在中国设立固定维修站，并配备专业维修工程师。</w:t>
      </w:r>
      <w:r/>
    </w:p>
    <w:p>
      <w:pPr>
        <w:spacing w:line="500" w:lineRule="exact"/>
        <w:rPr>
          <w:rFonts w:hint="eastAsia" w:ascii="宋体" w:hAnsi="宋体" w:cs="宋体"/>
          <w:bCs/>
          <w:sz w:val="24"/>
          <w:szCs w:val="24"/>
        </w:rPr>
      </w:pPr>
      <w:r>
        <w:rPr>
          <w:rFonts w:hint="eastAsia" w:ascii="宋体" w:hAnsi="宋体" w:cs="宋体"/>
          <w:bCs/>
          <w:sz w:val="24"/>
          <w:szCs w:val="24"/>
        </w:rPr>
        <w:t xml:space="preserve">终身提供免费的应用咨询及技术帮助。</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乙方负责对甲方操作、维修人员在项目所在地进行业务培训，达到能熟练操作并能排除常见故障的标准。</w:t>
      </w:r>
      <w:r/>
    </w:p>
    <w:p>
      <w:pPr>
        <w:spacing w:line="500" w:lineRule="exact"/>
        <w:rPr>
          <w:rFonts w:hint="eastAsia" w:ascii="宋体" w:hAnsi="宋体" w:cs="宋体"/>
          <w:b/>
          <w:sz w:val="24"/>
          <w:szCs w:val="24"/>
        </w:rPr>
      </w:pPr>
      <w:r>
        <w:rPr>
          <w:rFonts w:hint="eastAsia" w:ascii="宋体" w:hAnsi="宋体" w:cs="宋体"/>
          <w:b/>
          <w:sz w:val="24"/>
          <w:szCs w:val="24"/>
        </w:rPr>
        <w:t xml:space="preserve">九、其他要求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乙方应对招标文件内的全部内容进行响应，招标文件未列明而供应商认为其他必需的费用也需列入报价。在合同实施时，甲方将不予支付乙方任何其他增项费用。</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应派有经验、有资格的人员及时对货物及全系统进行调试。若在合同规定的日期前未完成调试，或甲方对调试情况不满意，则甲方有权要求货物原制造厂派员前来调试，乙方不得拒绝，所发生的费用由乙方承担。</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乙方提供协助上牌服务，须确保本次采购的车辆能在相关车辆管理部门上牌、过户、年审。上牌产生的所有费用，包含车辆购置税、车辆保险、车辆检测费等均由甲方承担。</w:t>
      </w:r>
      <w:r/>
    </w:p>
    <w:p>
      <w:pPr>
        <w:spacing w:line="500" w:lineRule="exact"/>
        <w:rPr>
          <w:rFonts w:hint="eastAsia" w:ascii="宋体" w:hAnsi="宋体" w:cs="宋体"/>
          <w:bCs/>
          <w:sz w:val="24"/>
          <w:szCs w:val="24"/>
        </w:rPr>
      </w:pPr>
      <w:r>
        <w:rPr>
          <w:rFonts w:hint="eastAsia" w:ascii="宋体" w:hAnsi="宋体" w:cs="宋体"/>
          <w:bCs/>
          <w:sz w:val="24"/>
          <w:szCs w:val="24"/>
        </w:rPr>
        <w:t xml:space="preserve">充电桩由甲方自行安装，乙方免费提供安装技术指导。</w:t>
      </w:r>
      <w:r/>
    </w:p>
    <w:p>
      <w:pPr>
        <w:spacing w:line="500" w:lineRule="exact"/>
        <w:rPr>
          <w:rFonts w:hint="eastAsia" w:ascii="宋体" w:hAnsi="宋体" w:cs="宋体"/>
          <w:b/>
          <w:sz w:val="24"/>
          <w:szCs w:val="24"/>
        </w:rPr>
      </w:pPr>
      <w:r>
        <w:rPr>
          <w:rFonts w:hint="eastAsia" w:ascii="宋体" w:hAnsi="宋体" w:cs="宋体"/>
          <w:b/>
          <w:sz w:val="24"/>
          <w:szCs w:val="24"/>
        </w:rPr>
        <w:t xml:space="preserve">十、违约责任</w:t>
      </w:r>
      <w:r/>
    </w:p>
    <w:p>
      <w:pPr>
        <w:spacing w:line="500" w:lineRule="exact"/>
        <w:rPr>
          <w:rFonts w:hint="eastAsia" w:ascii="宋体" w:hAnsi="宋体" w:cs="宋体"/>
          <w:bCs/>
          <w:sz w:val="24"/>
          <w:szCs w:val="24"/>
        </w:rPr>
      </w:pPr>
      <w:r>
        <w:rPr>
          <w:rFonts w:hint="eastAsia" w:ascii="宋体" w:hAnsi="宋体" w:cs="宋体"/>
          <w:bCs/>
          <w:sz w:val="24"/>
          <w:szCs w:val="24"/>
        </w:rPr>
        <w:t xml:space="preserve">（1）乙方违约责任</w:t>
      </w:r>
      <w:r/>
    </w:p>
    <w:p>
      <w:pPr>
        <w:spacing w:line="500" w:lineRule="exact"/>
        <w:rPr>
          <w:rFonts w:hint="eastAsia" w:ascii="宋体" w:hAnsi="宋体" w:cs="宋体"/>
          <w:bCs/>
          <w:sz w:val="24"/>
          <w:szCs w:val="24"/>
        </w:rPr>
      </w:pPr>
      <w:r>
        <w:rPr>
          <w:rFonts w:hint="eastAsia" w:ascii="宋体" w:hAnsi="宋体" w:cs="宋体"/>
          <w:bCs/>
          <w:sz w:val="24"/>
          <w:szCs w:val="24"/>
        </w:rPr>
        <w:t xml:space="preserve">逾期交货：乙方逾期交货的，每逾期一日，按合同总价的千分之五向甲方支付违约金；逾期超过30日的，甲方有权解除合同，乙方应赔偿由此给甲方造成的全部损失。</w:t>
      </w:r>
      <w:r/>
    </w:p>
    <w:p>
      <w:pPr>
        <w:spacing w:line="500" w:lineRule="exact"/>
        <w:rPr>
          <w:rFonts w:hint="eastAsia" w:ascii="宋体" w:hAnsi="宋体" w:cs="宋体"/>
          <w:bCs/>
          <w:sz w:val="24"/>
          <w:szCs w:val="24"/>
        </w:rPr>
      </w:pPr>
      <w:r>
        <w:rPr>
          <w:rFonts w:hint="eastAsia" w:ascii="宋体" w:hAnsi="宋体" w:cs="宋体"/>
          <w:bCs/>
          <w:sz w:val="24"/>
          <w:szCs w:val="24"/>
        </w:rPr>
        <w:t xml:space="preserve">产品质量违约：货物质量不合格的，乙方应无条件退换，并承担因此给甲方造成的全部损失。</w:t>
      </w:r>
      <w:r/>
    </w:p>
    <w:p>
      <w:pPr>
        <w:spacing w:line="500" w:lineRule="exact"/>
        <w:rPr>
          <w:rFonts w:hint="eastAsia" w:ascii="宋体" w:hAnsi="宋体" w:cs="宋体"/>
          <w:bCs/>
          <w:sz w:val="24"/>
          <w:szCs w:val="24"/>
        </w:rPr>
      </w:pPr>
      <w:r>
        <w:rPr>
          <w:rFonts w:hint="eastAsia" w:ascii="宋体" w:hAnsi="宋体" w:cs="宋体"/>
          <w:bCs/>
          <w:sz w:val="24"/>
          <w:szCs w:val="24"/>
        </w:rPr>
        <w:t xml:space="preserve">提供虚假材料：乙方提供虚假材料谋取中标的，一经查实，甲方有权解除合同，乙方应承担相应法律责任。</w:t>
      </w:r>
      <w:r/>
    </w:p>
    <w:p>
      <w:pPr>
        <w:spacing w:line="500" w:lineRule="exact"/>
        <w:rPr>
          <w:rFonts w:hint="eastAsia" w:ascii="宋体" w:hAnsi="宋体" w:cs="宋体"/>
          <w:bCs/>
          <w:sz w:val="24"/>
          <w:szCs w:val="24"/>
        </w:rPr>
      </w:pPr>
      <w:r>
        <w:rPr>
          <w:rFonts w:hint="eastAsia" w:ascii="宋体" w:hAnsi="宋体" w:cs="宋体"/>
          <w:bCs/>
          <w:sz w:val="24"/>
          <w:szCs w:val="24"/>
        </w:rPr>
        <w:t xml:space="preserve">转包或分包：签订合同后，乙方不得将合同标的进行转包。未经甲方同意，乙方也不得采用分包的形式履行合同，否则甲方有权终止合同。转包或分包造成甲方损失的，乙方应承担相应赔偿责任。</w:t>
      </w:r>
      <w:r/>
    </w:p>
    <w:p>
      <w:pPr>
        <w:spacing w:line="500" w:lineRule="exact"/>
        <w:rPr>
          <w:rFonts w:hint="eastAsia" w:ascii="宋体" w:hAnsi="宋体" w:cs="宋体"/>
          <w:bCs/>
          <w:sz w:val="24"/>
          <w:szCs w:val="24"/>
        </w:rPr>
      </w:pPr>
      <w:r>
        <w:rPr>
          <w:rFonts w:hint="eastAsia" w:ascii="宋体" w:hAnsi="宋体" w:cs="宋体"/>
          <w:bCs/>
          <w:sz w:val="24"/>
          <w:szCs w:val="24"/>
        </w:rPr>
        <w:t xml:space="preserve">（2）甲方违约责任</w:t>
      </w:r>
      <w:r/>
    </w:p>
    <w:p>
      <w:pPr>
        <w:spacing w:line="500" w:lineRule="exact"/>
        <w:rPr>
          <w:rFonts w:hint="eastAsia" w:ascii="宋体" w:hAnsi="宋体" w:cs="宋体"/>
          <w:b/>
          <w:sz w:val="24"/>
          <w:szCs w:val="24"/>
        </w:rPr>
      </w:pPr>
      <w:r>
        <w:rPr>
          <w:rFonts w:hint="eastAsia" w:ascii="宋体" w:hAnsi="宋体" w:cs="宋体"/>
          <w:bCs/>
          <w:sz w:val="24"/>
          <w:szCs w:val="24"/>
        </w:rPr>
        <w:t xml:space="preserve">逾期付款：甲方逾期付款的，每逾期一日，按应付未付款项的千分之五向乙方支付违约金。</w:t>
      </w:r>
      <w:r>
        <w:rPr>
          <w:rFonts w:hint="eastAsia" w:ascii="宋体" w:hAnsi="宋体" w:cs="宋体"/>
          <w:b/>
          <w:sz w:val="24"/>
          <w:szCs w:val="24"/>
        </w:rPr>
        <w:t xml:space="preserve">十一、组成合同的文件</w:t>
      </w:r>
      <w:r/>
    </w:p>
    <w:p>
      <w:pPr>
        <w:spacing w:line="500" w:lineRule="exact"/>
        <w:rPr>
          <w:rFonts w:hint="eastAsia" w:ascii="宋体" w:hAnsi="宋体" w:cs="宋体"/>
          <w:bCs/>
          <w:sz w:val="24"/>
          <w:szCs w:val="24"/>
        </w:rPr>
      </w:pPr>
      <w:r>
        <w:rPr>
          <w:rFonts w:hint="eastAsia" w:ascii="宋体" w:hAnsi="宋体" w:cs="宋体"/>
          <w:bCs/>
          <w:sz w:val="24"/>
          <w:szCs w:val="24"/>
        </w:rPr>
        <w:t xml:space="preserve">下列文件共同构成本合同完整合同文件组：</w:t>
      </w:r>
      <w:r/>
    </w:p>
    <w:p>
      <w:pPr>
        <w:spacing w:line="500" w:lineRule="exact"/>
        <w:rPr>
          <w:rFonts w:hint="eastAsia" w:ascii="宋体" w:hAnsi="宋体" w:cs="宋体"/>
          <w:bCs/>
          <w:sz w:val="24"/>
          <w:szCs w:val="24"/>
        </w:rPr>
      </w:pPr>
      <w:r>
        <w:rPr>
          <w:rFonts w:hint="eastAsia" w:ascii="宋体" w:hAnsi="宋体" w:cs="宋体"/>
          <w:bCs/>
          <w:sz w:val="24"/>
          <w:szCs w:val="24"/>
        </w:rPr>
        <w:t xml:space="preserve">本合同书及其变更、补充协议（如有）；</w:t>
      </w:r>
      <w:r/>
    </w:p>
    <w:p>
      <w:pPr>
        <w:spacing w:line="500" w:lineRule="exact"/>
        <w:rPr>
          <w:rFonts w:hint="eastAsia" w:ascii="宋体" w:hAnsi="宋体" w:cs="宋体"/>
          <w:bCs/>
          <w:sz w:val="24"/>
          <w:szCs w:val="24"/>
        </w:rPr>
      </w:pPr>
      <w:r>
        <w:rPr>
          <w:rFonts w:hint="eastAsia" w:ascii="宋体" w:hAnsi="宋体" w:cs="宋体"/>
          <w:bCs/>
          <w:sz w:val="24"/>
          <w:szCs w:val="24"/>
        </w:rPr>
        <w:t xml:space="preserve">中标（成交）通知书；</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乙方投标（响应）文件；</w:t>
      </w:r>
      <w:r/>
    </w:p>
    <w:p>
      <w:pPr>
        <w:spacing w:line="500" w:lineRule="exact"/>
        <w:rPr>
          <w:rFonts w:hint="eastAsia" w:ascii="宋体" w:hAnsi="宋体" w:cs="宋体"/>
          <w:bCs/>
          <w:sz w:val="24"/>
          <w:szCs w:val="24"/>
        </w:rPr>
      </w:pPr>
      <w:r>
        <w:rPr>
          <w:rFonts w:hint="eastAsia" w:ascii="宋体" w:hAnsi="宋体" w:cs="宋体"/>
          <w:bCs/>
          <w:sz w:val="24"/>
          <w:szCs w:val="24"/>
        </w:rPr>
        <w:t xml:space="preserve">招标（采购）文件；</w:t>
      </w:r>
      <w:r/>
    </w:p>
    <w:p>
      <w:pPr>
        <w:spacing w:line="500" w:lineRule="exact"/>
        <w:rPr>
          <w:rFonts w:hint="eastAsia" w:ascii="宋体" w:hAnsi="宋体" w:cs="宋体"/>
          <w:bCs/>
          <w:sz w:val="24"/>
          <w:szCs w:val="24"/>
        </w:rPr>
      </w:pPr>
      <w:r>
        <w:rPr>
          <w:rFonts w:hint="eastAsia" w:ascii="宋体" w:hAnsi="宋体" w:cs="宋体"/>
          <w:bCs/>
          <w:sz w:val="24"/>
          <w:szCs w:val="24"/>
        </w:rPr>
        <w:t xml:space="preserve">国家法律、行政法规、部门规章规定或合同约定属于合同组成部分的其他文件。</w:t>
      </w:r>
      <w:r/>
    </w:p>
    <w:p>
      <w:pPr>
        <w:spacing w:line="500" w:lineRule="exact"/>
        <w:rPr>
          <w:rFonts w:hint="eastAsia" w:ascii="宋体" w:hAnsi="宋体" w:cs="宋体"/>
          <w:b/>
          <w:sz w:val="24"/>
          <w:szCs w:val="24"/>
        </w:rPr>
      </w:pPr>
      <w:r>
        <w:rPr>
          <w:rFonts w:hint="eastAsia" w:ascii="宋体" w:hAnsi="宋体" w:cs="宋体"/>
          <w:b/>
          <w:sz w:val="24"/>
          <w:szCs w:val="24"/>
        </w:rPr>
        <w:t xml:space="preserve">十二、合同生效及其他</w:t>
      </w:r>
      <w:r/>
    </w:p>
    <w:p>
      <w:pPr>
        <w:spacing w:line="500" w:lineRule="exact"/>
        <w:rPr>
          <w:rFonts w:hint="eastAsia" w:ascii="宋体" w:hAnsi="宋体" w:cs="宋体"/>
          <w:bCs/>
          <w:sz w:val="24"/>
          <w:szCs w:val="24"/>
        </w:rPr>
      </w:pPr>
      <w:r>
        <w:rPr>
          <w:rFonts w:hint="eastAsia" w:ascii="宋体" w:hAnsi="宋体" w:cs="宋体"/>
          <w:bCs/>
          <w:sz w:val="24"/>
          <w:szCs w:val="24"/>
        </w:rPr>
        <w:t xml:space="preserve">本合同自甲乙双方法定代表人或授权代表签字并加盖单位公章之日起生效。</w:t>
      </w:r>
      <w:r/>
    </w:p>
    <w:p>
      <w:pPr>
        <w:spacing w:line="500" w:lineRule="exact"/>
        <w:rPr>
          <w:rFonts w:hint="eastAsia" w:ascii="宋体" w:hAnsi="宋体" w:cs="宋体"/>
          <w:bCs/>
          <w:sz w:val="24"/>
          <w:szCs w:val="24"/>
        </w:rPr>
      </w:pPr>
      <w:r>
        <w:rPr>
          <w:rFonts w:hint="eastAsia" w:ascii="宋体" w:hAnsi="宋体" w:cs="宋体"/>
          <w:bCs/>
          <w:sz w:val="24"/>
          <w:szCs w:val="24"/>
        </w:rPr>
        <w:t xml:space="preserve">本合同一式____份，甲方执____份，乙方执____份，各份文本具有同等法律效力。</w:t>
      </w:r>
      <w:r/>
    </w:p>
    <w:p>
      <w:pPr>
        <w:spacing w:line="500" w:lineRule="exact"/>
        <w:rPr>
          <w:rFonts w:hint="eastAsia" w:ascii="宋体" w:hAnsi="宋体" w:cs="宋体"/>
          <w:bCs/>
          <w:sz w:val="24"/>
          <w:szCs w:val="24"/>
        </w:rPr>
      </w:pPr>
      <w:r>
        <w:rPr>
          <w:rFonts w:hint="eastAsia" w:ascii="宋体" w:hAnsi="宋体" w:cs="宋体"/>
          <w:bCs/>
          <w:sz w:val="24"/>
          <w:szCs w:val="24"/>
        </w:rPr>
        <w:t xml:space="preserve">本合同未尽事宜，按照我国现行相关法律、法规执行。</w:t>
      </w:r>
      <w:r/>
    </w:p>
    <w:p>
      <w:pPr>
        <w:spacing w:line="500" w:lineRule="exact"/>
        <w:rPr>
          <w:rFonts w:hint="eastAsia" w:ascii="宋体" w:hAnsi="宋体" w:cs="宋体"/>
          <w:bCs/>
          <w:sz w:val="24"/>
          <w:szCs w:val="24"/>
        </w:rPr>
      </w:pPr>
      <w:r>
        <w:rPr>
          <w:rFonts w:hint="eastAsia" w:ascii="宋体" w:hAnsi="宋体" w:cs="宋体"/>
          <w:bCs/>
          <w:sz w:val="24"/>
          <w:szCs w:val="24"/>
        </w:rPr>
        <w:t xml:space="preserve">因本合同产生争议，双方优先协商解决；协商不成，任何一方均可向甲方所在地有管辖权的人民法院提起诉讼。</w:t>
      </w:r>
      <w:r/>
    </w:p>
    <w:p>
      <w:pPr>
        <w:spacing w:line="500" w:lineRule="exact"/>
        <w:rPr>
          <w:rFonts w:hint="eastAsia" w:ascii="宋体" w:hAnsi="宋体" w:cs="宋体"/>
          <w:b/>
          <w:sz w:val="24"/>
          <w:szCs w:val="24"/>
        </w:rPr>
      </w:pPr>
      <w:r>
        <w:rPr>
          <w:rFonts w:hint="eastAsia" w:ascii="宋体" w:hAnsi="宋体" w:cs="宋体"/>
          <w:b/>
          <w:sz w:val="24"/>
          <w:szCs w:val="24"/>
        </w:rPr>
        <w:t xml:space="preserve">签署页</w:t>
      </w:r>
      <w:r/>
    </w:p>
    <w:p>
      <w:pPr>
        <w:spacing w:line="500" w:lineRule="exact"/>
        <w:rPr>
          <w:rFonts w:hint="eastAsia" w:ascii="宋体" w:hAnsi="宋体" w:cs="宋体"/>
          <w:bCs/>
          <w:sz w:val="24"/>
          <w:szCs w:val="24"/>
        </w:rPr>
      </w:pPr>
      <w:r>
        <w:rPr>
          <w:rFonts w:hint="eastAsia" w:ascii="宋体" w:hAnsi="宋体" w:cs="宋体"/>
          <w:bCs/>
          <w:sz w:val="24"/>
          <w:szCs w:val="24"/>
        </w:rPr>
        <w:t xml:space="preserve">甲方（盖章）：南通市海门区人民医院</w:t>
      </w:r>
      <w:r/>
    </w:p>
    <w:p>
      <w:pPr>
        <w:spacing w:line="500" w:lineRule="exact"/>
        <w:rPr>
          <w:rFonts w:hint="eastAsia" w:ascii="宋体" w:hAnsi="宋体" w:cs="宋体"/>
          <w:bCs/>
          <w:sz w:val="24"/>
          <w:szCs w:val="24"/>
        </w:rPr>
      </w:pPr>
      <w:r>
        <w:rPr>
          <w:rFonts w:hint="eastAsia" w:ascii="宋体" w:hAnsi="宋体" w:cs="宋体"/>
          <w:bCs/>
          <w:sz w:val="24"/>
          <w:szCs w:val="24"/>
        </w:rPr>
        <w:t xml:space="preserve">法定代表人/授权代表（签字）：______________</w:t>
      </w:r>
      <w:r/>
    </w:p>
    <w:p>
      <w:pPr>
        <w:spacing w:line="500" w:lineRule="exact"/>
        <w:rPr>
          <w:rFonts w:hint="eastAsia" w:ascii="宋体" w:hAnsi="宋体" w:cs="宋体"/>
          <w:bCs/>
          <w:sz w:val="24"/>
          <w:szCs w:val="24"/>
        </w:rPr>
      </w:pPr>
      <w:r>
        <w:rPr>
          <w:rFonts w:hint="eastAsia" w:ascii="宋体" w:hAnsi="宋体" w:cs="宋体"/>
          <w:bCs/>
          <w:sz w:val="24"/>
          <w:szCs w:val="24"/>
        </w:rPr>
        <w:t xml:space="preserve">地址：南通市海门区北京路1201号</w:t>
      </w:r>
      <w:r/>
    </w:p>
    <w:p>
      <w:pPr>
        <w:spacing w:line="500" w:lineRule="exact"/>
        <w:rPr>
          <w:rFonts w:hint="eastAsia" w:ascii="宋体" w:hAnsi="宋体" w:cs="宋体"/>
          <w:bCs/>
          <w:sz w:val="24"/>
          <w:szCs w:val="24"/>
        </w:rPr>
      </w:pPr>
      <w:r>
        <w:rPr>
          <w:rFonts w:hint="eastAsia" w:ascii="宋体" w:hAnsi="宋体" w:cs="宋体"/>
          <w:bCs/>
          <w:sz w:val="24"/>
          <w:szCs w:val="24"/>
        </w:rPr>
        <w:t xml:space="preserve">联系电话：0513</w:t>
      </w:r>
      <w:r>
        <w:rPr>
          <w:rFonts w:hint="eastAsia" w:ascii="宋体" w:hAnsi="宋体" w:cs="宋体"/>
          <w:bCs/>
          <w:sz w:val="24"/>
          <w:szCs w:val="24"/>
        </w:rPr>
        <w:noBreakHyphen/>
      </w:r>
      <w:r>
        <w:rPr>
          <w:rFonts w:hint="eastAsia" w:ascii="宋体" w:hAnsi="宋体" w:cs="宋体"/>
          <w:bCs/>
          <w:sz w:val="24"/>
          <w:szCs w:val="24"/>
        </w:rPr>
        <w:t xml:space="preserve">82263275</w:t>
      </w:r>
      <w:r/>
    </w:p>
    <w:p>
      <w:pPr>
        <w:spacing w:line="500" w:lineRule="exact"/>
        <w:rPr>
          <w:rFonts w:hint="eastAsia" w:ascii="宋体" w:hAnsi="宋体" w:cs="宋体"/>
          <w:bCs/>
          <w:sz w:val="24"/>
          <w:szCs w:val="24"/>
        </w:rPr>
      </w:pPr>
      <w:r>
        <w:rPr>
          <w:rFonts w:hint="eastAsia" w:ascii="宋体" w:hAnsi="宋体" w:cs="宋体"/>
          <w:bCs/>
          <w:sz w:val="24"/>
          <w:szCs w:val="24"/>
        </w:rPr>
        <w:t xml:space="preserve">签订日期：____年____月____日</w:t>
      </w:r>
      <w:r/>
    </w:p>
    <w:p>
      <w:pPr>
        <w:spacing w:line="500" w:lineRule="exact"/>
        <w:rPr>
          <w:rFonts w:hint="eastAsia" w:ascii="宋体" w:hAnsi="宋体" w:cs="宋体"/>
          <w:bCs/>
          <w:sz w:val="24"/>
          <w:szCs w:val="24"/>
        </w:rPr>
      </w:pPr>
      <w:r>
        <w:rPr>
          <w:rFonts w:hint="eastAsia" w:ascii="宋体" w:hAnsi="宋体" w:cs="宋体"/>
          <w:bCs/>
          <w:sz w:val="24"/>
          <w:szCs w:val="24"/>
        </w:rPr>
      </w:r>
      <w:r/>
    </w:p>
    <w:p>
      <w:pPr>
        <w:spacing w:line="500" w:lineRule="exact"/>
        <w:rPr>
          <w:rFonts w:hint="eastAsia" w:ascii="宋体" w:hAnsi="宋体" w:cs="宋体"/>
          <w:bCs/>
          <w:sz w:val="24"/>
          <w:szCs w:val="24"/>
        </w:rPr>
      </w:pPr>
      <w:r>
        <w:rPr>
          <w:rFonts w:hint="eastAsia" w:ascii="宋体" w:hAnsi="宋体" w:cs="宋体"/>
          <w:bCs/>
          <w:sz w:val="24"/>
          <w:szCs w:val="24"/>
        </w:rPr>
        <w:t xml:space="preserve">乙方（盖章）：[供应商全称]</w:t>
      </w:r>
      <w:r/>
    </w:p>
    <w:p>
      <w:pPr>
        <w:spacing w:line="500" w:lineRule="exact"/>
        <w:rPr>
          <w:rFonts w:hint="eastAsia" w:ascii="宋体" w:hAnsi="宋体" w:cs="宋体"/>
          <w:bCs/>
          <w:sz w:val="24"/>
          <w:szCs w:val="24"/>
        </w:rPr>
      </w:pPr>
      <w:r>
        <w:rPr>
          <w:rFonts w:hint="eastAsia" w:ascii="宋体" w:hAnsi="宋体" w:cs="宋体"/>
          <w:bCs/>
          <w:sz w:val="24"/>
          <w:szCs w:val="24"/>
        </w:rPr>
        <w:t xml:space="preserve">法定代表人/授权代表（签字）：______________</w:t>
      </w:r>
      <w:r/>
    </w:p>
    <w:p>
      <w:pPr>
        <w:spacing w:line="500" w:lineRule="exact"/>
        <w:rPr>
          <w:rFonts w:hint="eastAsia" w:ascii="宋体" w:hAnsi="宋体" w:cs="宋体"/>
          <w:bCs/>
          <w:sz w:val="24"/>
          <w:szCs w:val="24"/>
        </w:rPr>
      </w:pPr>
      <w:r>
        <w:rPr>
          <w:rFonts w:hint="eastAsia" w:ascii="宋体" w:hAnsi="宋体" w:cs="宋体"/>
          <w:bCs/>
          <w:sz w:val="24"/>
          <w:szCs w:val="24"/>
        </w:rPr>
        <w:t xml:space="preserve">地址：__________________________</w:t>
      </w:r>
      <w:r/>
    </w:p>
    <w:p>
      <w:pPr>
        <w:spacing w:line="500" w:lineRule="exact"/>
        <w:rPr>
          <w:rFonts w:hint="eastAsia" w:ascii="宋体" w:hAnsi="宋体" w:cs="宋体"/>
          <w:bCs/>
          <w:sz w:val="24"/>
          <w:szCs w:val="24"/>
        </w:rPr>
      </w:pPr>
      <w:r>
        <w:rPr>
          <w:rFonts w:hint="eastAsia" w:ascii="宋体" w:hAnsi="宋体" w:cs="宋体"/>
          <w:bCs/>
          <w:sz w:val="24"/>
          <w:szCs w:val="24"/>
        </w:rPr>
        <w:t xml:space="preserve">联系电话：______________</w:t>
      </w:r>
      <w:r/>
    </w:p>
    <w:p>
      <w:pPr>
        <w:spacing w:line="500" w:lineRule="exact"/>
        <w:rPr>
          <w:rFonts w:hint="eastAsia" w:ascii="宋体" w:hAnsi="宋体" w:cs="宋体"/>
          <w:bCs/>
          <w:sz w:val="24"/>
          <w:szCs w:val="24"/>
        </w:rPr>
      </w:pPr>
      <w:r>
        <w:rPr>
          <w:rFonts w:hint="eastAsia" w:ascii="宋体" w:hAnsi="宋体" w:cs="宋体"/>
          <w:bCs/>
          <w:sz w:val="24"/>
          <w:szCs w:val="24"/>
        </w:rPr>
        <w:t xml:space="preserve">签订日期：____年____月____日</w:t>
      </w:r>
      <w:r/>
    </w:p>
    <w:p>
      <w:pPr>
        <w:spacing w:line="500" w:lineRule="exact"/>
        <w:rPr>
          <w:rFonts w:hint="eastAsia" w:ascii="宋体" w:hAnsi="宋体" w:cs="宋体"/>
          <w:bCs/>
          <w:sz w:val="24"/>
          <w:szCs w:val="24"/>
        </w:rPr>
      </w:pPr>
      <w:r>
        <w:rPr>
          <w:rFonts w:hint="eastAsia" w:ascii="宋体" w:hAnsi="宋体" w:cs="宋体"/>
          <w:bCs/>
          <w:sz w:val="24"/>
          <w:szCs w:val="24"/>
        </w:rPr>
        <w:t xml:space="preserve">合同附件</w:t>
      </w:r>
      <w:r/>
    </w:p>
    <w:p>
      <w:pPr>
        <w:spacing w:line="500" w:lineRule="exact"/>
        <w:rPr>
          <w:rFonts w:hint="eastAsia" w:ascii="宋体" w:hAnsi="宋体" w:cs="宋体"/>
          <w:bCs/>
          <w:sz w:val="24"/>
          <w:szCs w:val="24"/>
        </w:rPr>
      </w:pPr>
      <w:r>
        <w:rPr>
          <w:rFonts w:hint="eastAsia" w:ascii="宋体" w:hAnsi="宋体" w:cs="宋体"/>
          <w:bCs/>
          <w:sz w:val="24"/>
          <w:szCs w:val="24"/>
        </w:rPr>
        <w:t xml:space="preserve">一、整车技术参数要求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二、发动机技术要求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三、平台配置要求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四、专用配置要求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五、上装部分要求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六、防腐要求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七、焊接质量要求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八、线束及线束防护要求</w:t>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80"/>
      </w:p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rPr>
          <w:rFonts w:ascii="黑体" w:hAnsi="Courier New" w:eastAsia="黑体" w:cs="Courier New"/>
          <w:bCs/>
          <w:color w:val="000000"/>
          <w:sz w:val="44"/>
          <w:szCs w:val="21"/>
        </w:rPr>
      </w:pPr>
      <w:r>
        <w:rPr>
          <w:rFonts w:hint="eastAsia" w:ascii="黑体" w:hAnsi="Courier New" w:eastAsia="黑体" w:cs="Courier New"/>
          <w:bCs/>
          <w:color w:val="000000"/>
          <w:sz w:val="44"/>
          <w:szCs w:val="21"/>
        </w:rPr>
        <w:br w:type="page" w:clear="all"/>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
    </w:p>
    <w:p>
      <w:pPr>
        <w:spacing w:line="0" w:lineRule="atLeast"/>
        <w:rPr>
          <w:rFonts w:hint="eastAsia" w:ascii="宋体" w:hAnsi="宋体"/>
          <w:color w:val="000000"/>
          <w:sz w:val="24"/>
          <w:szCs w:val="24"/>
        </w:rPr>
      </w:pPr>
      <w:r/>
      <w:bookmarkStart w:id="144" w:name="_Toc49090575"/>
      <w:r/>
      <w:bookmarkStart w:id="145" w:name="_Toc26554093"/>
      <w:r/>
      <w:r/>
    </w:p>
    <w:p>
      <w:pPr>
        <w:numPr>
          <w:ilvl w:val="0"/>
          <w:numId w:val="5"/>
        </w:num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采购标的清单</w:t>
      </w:r>
      <w:r/>
    </w:p>
    <w:tbl>
      <w:tblPr>
        <w:tblStyle w:val="671"/>
        <w:tblW w:w="7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3"/>
        <w:gridCol w:w="1129"/>
        <w:gridCol w:w="4036"/>
      </w:tblGrid>
      <w:tr>
        <w:trPr>
          <w:cantSplit/>
          <w:jc w:val="center"/>
          <w:trHeight w:val="645"/>
        </w:trPr>
        <w:tc>
          <w:tcPr>
            <w:tcW w:w="275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采购标的</w:t>
            </w:r>
            <w:r/>
          </w:p>
        </w:tc>
        <w:tc>
          <w:tcPr>
            <w:tcW w:w="112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tcW w:w="403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sz w:val="24"/>
                <w:szCs w:val="24"/>
              </w:rPr>
              <w:t xml:space="preserve">对应中小企业划分标准所属行业</w:t>
            </w:r>
            <w:r/>
          </w:p>
        </w:tc>
      </w:tr>
      <w:tr>
        <w:trPr>
          <w:cantSplit/>
          <w:jc w:val="center"/>
          <w:trHeight w:val="666"/>
        </w:trPr>
        <w:tc>
          <w:tcPr>
            <w:tcW w:w="275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献血车</w:t>
            </w:r>
            <w:r/>
          </w:p>
        </w:tc>
        <w:tc>
          <w:tcPr>
            <w:tcW w:w="112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1辆</w:t>
            </w:r>
            <w:r/>
          </w:p>
        </w:tc>
        <w:tc>
          <w:tcPr>
            <w:tcW w:w="4036" w:type="dxa"/>
            <w:vAlign w:val="center"/>
            <w:textDirection w:val="lrTb"/>
            <w:noWrap w:val="false"/>
          </w:tcPr>
          <w:p>
            <w:pPr>
              <w:jc w:val="center"/>
            </w:pPr>
            <w:r>
              <w:rPr>
                <w:rFonts w:hint="eastAsia" w:ascii="宋体" w:hAnsi="宋体" w:cs="宋体"/>
                <w:sz w:val="24"/>
                <w:szCs w:val="24"/>
              </w:rPr>
              <w:t xml:space="preserve">工业</w:t>
            </w:r>
            <w:r/>
          </w:p>
        </w:tc>
      </w:tr>
    </w:tbl>
    <w:p>
      <w:pPr>
        <w:spacing w:line="360" w:lineRule="auto"/>
        <w:rPr>
          <w:rFonts w:hint="eastAsia" w:ascii="宋体" w:hAnsi="宋体" w:cs="宋体"/>
          <w:sz w:val="24"/>
          <w:szCs w:val="24"/>
          <w:highlight w:val="yellow"/>
        </w:rPr>
      </w:pPr>
      <w:r>
        <w:rPr>
          <w:rFonts w:hint="eastAsia" w:ascii="宋体" w:hAnsi="宋体" w:cs="宋体"/>
          <w:sz w:val="24"/>
          <w:szCs w:val="24"/>
          <w:highlight w:val="yellow"/>
        </w:rPr>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二、政府采购中实施本国产品标准及相关政策</w:t>
      </w:r>
      <w:r/>
    </w:p>
    <w:p>
      <w:pPr>
        <w:ind w:firstLine="555"/>
        <w:spacing w:line="360" w:lineRule="auto"/>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p>
    <w:p>
      <w:pPr>
        <w:ind w:firstLine="555"/>
        <w:spacing w:line="360" w:lineRule="auto"/>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360" w:lineRule="auto"/>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三、技术要求</w:t>
      </w:r>
      <w:r/>
    </w:p>
    <w:tbl>
      <w:tblPr>
        <w:tblStyle w:val="671"/>
        <w:tblW w:w="935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61"/>
        <w:gridCol w:w="6668"/>
      </w:tblGrid>
      <w:tr>
        <w:trPr>
          <w:jc w:val="center"/>
          <w:tblHeader/>
        </w:trPr>
        <w:tc>
          <w:tcPr>
            <w:tcW w:w="922"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序号</w:t>
            </w:r>
            <w:r/>
          </w:p>
        </w:tc>
        <w:tc>
          <w:tcPr>
            <w:gridSpan w:val="2"/>
            <w:tcW w:w="8429"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需求说明</w:t>
            </w:r>
            <w:r/>
          </w:p>
        </w:tc>
      </w:tr>
      <w:tr>
        <w:trPr>
          <w:jc w:val="center"/>
        </w:trPr>
        <w:tc>
          <w:tcPr>
            <w:tcW w:w="92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（一）</w:t>
            </w:r>
            <w:r/>
          </w:p>
        </w:tc>
        <w:tc>
          <w:tcPr>
            <w:gridSpan w:val="2"/>
            <w:tcW w:w="8429" w:type="dxa"/>
            <w:vAlign w:val="center"/>
            <w:textDirection w:val="lrTb"/>
            <w:noWrap w:val="false"/>
          </w:tcPr>
          <w:p>
            <w:pPr>
              <w:jc w:val="center"/>
              <w:rPr>
                <w:rFonts w:hint="eastAsia" w:ascii="宋体" w:hAnsi="宋体"/>
                <w:bCs/>
                <w:szCs w:val="21"/>
              </w:rPr>
            </w:pPr>
            <w:r>
              <w:rPr>
                <w:rFonts w:hint="eastAsia" w:ascii="宋体" w:hAnsi="宋体"/>
                <w:b/>
                <w:szCs w:val="21"/>
              </w:rPr>
              <w:t xml:space="preserve">车辆部分</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gridSpan w:val="2"/>
            <w:tcW w:w="8429" w:type="dxa"/>
            <w:vAlign w:val="center"/>
            <w:textDirection w:val="lrTb"/>
            <w:noWrap w:val="false"/>
          </w:tcPr>
          <w:p>
            <w:pPr>
              <w:jc w:val="center"/>
              <w:rPr>
                <w:rFonts w:hint="eastAsia" w:ascii="宋体" w:hAnsi="宋体"/>
                <w:szCs w:val="21"/>
              </w:rPr>
            </w:pPr>
            <w:r>
              <w:rPr>
                <w:rFonts w:hint="eastAsia" w:ascii="宋体" w:hAnsi="宋体"/>
                <w:bCs/>
                <w:szCs w:val="21"/>
              </w:rPr>
              <w:t xml:space="preserve">整车要求</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1.1</w:t>
            </w:r>
            <w:r/>
          </w:p>
        </w:tc>
        <w:tc>
          <w:tcPr>
            <w:tcW w:w="1761" w:type="dxa"/>
            <w:vAlign w:val="center"/>
            <w:textDirection w:val="lrTb"/>
            <w:noWrap w:val="false"/>
          </w:tcPr>
          <w:p>
            <w:pPr>
              <w:jc w:val="center"/>
              <w:rPr>
                <w:rFonts w:hint="eastAsia" w:ascii="宋体" w:hAnsi="宋体"/>
                <w:bCs/>
                <w:szCs w:val="21"/>
              </w:rPr>
            </w:pPr>
            <w:r>
              <w:rPr>
                <w:rFonts w:hint="eastAsia" w:ascii="宋体" w:cs="Arial" w:hAnsiTheme="minorEastAsia"/>
                <w:b/>
                <w:bCs/>
                <w:sz w:val="28"/>
                <w:szCs w:val="28"/>
              </w:rPr>
              <w:t xml:space="preserve">*</w:t>
            </w:r>
            <w:r>
              <w:rPr>
                <w:rFonts w:hint="eastAsia" w:ascii="宋体" w:hAnsi="宋体"/>
                <w:szCs w:val="21"/>
              </w:rPr>
              <w:t xml:space="preserve">总长</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≥12000mm</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1761" w:type="dxa"/>
            <w:vAlign w:val="center"/>
            <w:textDirection w:val="lrTb"/>
            <w:noWrap w:val="false"/>
          </w:tcPr>
          <w:p>
            <w:pPr>
              <w:jc w:val="center"/>
              <w:rPr>
                <w:rFonts w:hint="eastAsia" w:ascii="宋体" w:hAnsi="宋体"/>
                <w:szCs w:val="21"/>
              </w:rPr>
            </w:pPr>
            <w:r>
              <w:rPr>
                <w:rFonts w:hint="eastAsia" w:ascii="宋体" w:cs="Arial" w:hAnsiTheme="minorEastAsia"/>
                <w:b/>
                <w:bCs/>
                <w:sz w:val="28"/>
                <w:szCs w:val="28"/>
              </w:rPr>
              <w:t xml:space="preserve">*</w:t>
            </w:r>
            <w:r>
              <w:rPr>
                <w:rFonts w:hint="eastAsia" w:ascii="宋体" w:hAnsi="宋体"/>
                <w:szCs w:val="21"/>
              </w:rPr>
              <w:t xml:space="preserve">总宽</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≥2550mm</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1.3</w:t>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轴距</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≤6120mm</w:t>
            </w:r>
            <w:r/>
          </w:p>
        </w:tc>
      </w:tr>
      <w:tr>
        <w:trPr>
          <w:jc w:val="center"/>
          <w:trHeight w:val="292"/>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W w:w="1761" w:type="dxa"/>
            <w:vAlign w:val="center"/>
            <w:textDirection w:val="lrTb"/>
            <w:noWrap w:val="false"/>
          </w:tcPr>
          <w:p>
            <w:pPr>
              <w:jc w:val="center"/>
              <w:rPr>
                <w:rFonts w:hint="eastAsia" w:ascii="宋体" w:hAnsi="宋体" w:cs="Arial"/>
                <w:color w:val="auto"/>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cs="Arial"/>
                <w:color w:val="auto"/>
                <w:szCs w:val="21"/>
                <w:highlight w:val="none"/>
              </w:rPr>
              <w:t xml:space="preserve">前悬</w:t>
            </w:r>
            <w:r>
              <w:rPr>
                <w:rFonts w:ascii="宋体" w:hAnsi="宋体" w:cs="Arial"/>
                <w:color w:val="auto"/>
                <w:szCs w:val="21"/>
                <w:highlight w:val="none"/>
              </w:rPr>
              <w:t xml:space="preserve">/</w:t>
            </w:r>
            <w:r>
              <w:rPr>
                <w:rFonts w:hint="eastAsia" w:ascii="宋体" w:hAnsi="宋体" w:cs="Arial"/>
                <w:color w:val="auto"/>
                <w:szCs w:val="21"/>
                <w:highlight w:val="none"/>
              </w:rPr>
              <w:t xml:space="preserve">后悬</w:t>
            </w:r>
            <w:r/>
          </w:p>
        </w:tc>
        <w:tc>
          <w:tcPr>
            <w:tcW w:w="6668" w:type="dxa"/>
            <w:vAlign w:val="center"/>
            <w:textDirection w:val="lrTb"/>
            <w:noWrap w:val="false"/>
          </w:tcPr>
          <w:p>
            <w:pPr>
              <w:jc w:val="left"/>
              <w:rPr>
                <w:rFonts w:hint="eastAsia" w:ascii="宋体" w:hAnsi="宋体" w:cs="Arial"/>
                <w:bCs/>
                <w:color w:val="auto"/>
                <w:szCs w:val="21"/>
                <w:highlight w:val="none"/>
              </w:rPr>
            </w:pPr>
            <w:r>
              <w:rPr>
                <w:rFonts w:hint="eastAsia" w:ascii="宋体" w:hAnsi="宋体"/>
                <w:color w:val="auto"/>
                <w:szCs w:val="21"/>
                <w:highlight w:val="none"/>
              </w:rPr>
              <w:t xml:space="preserve">前悬≥</w:t>
            </w:r>
            <w:r>
              <w:rPr>
                <w:rFonts w:ascii="宋体" w:hAnsi="宋体"/>
                <w:color w:val="auto"/>
                <w:szCs w:val="21"/>
                <w:highlight w:val="none"/>
              </w:rPr>
              <w:t xml:space="preserve">26</w:t>
            </w:r>
            <w:r>
              <w:rPr>
                <w:rFonts w:hint="eastAsia" w:ascii="宋体" w:hAnsi="宋体"/>
                <w:color w:val="auto"/>
                <w:szCs w:val="21"/>
                <w:highlight w:val="none"/>
              </w:rPr>
              <w:t xml:space="preserve">1</w:t>
            </w:r>
            <w:r>
              <w:rPr>
                <w:rFonts w:ascii="宋体" w:hAnsi="宋体"/>
                <w:color w:val="auto"/>
                <w:szCs w:val="21"/>
                <w:highlight w:val="none"/>
              </w:rPr>
              <w:t xml:space="preserve">0</w:t>
            </w:r>
            <w:r>
              <w:rPr>
                <w:rFonts w:hint="eastAsia" w:ascii="宋体" w:hAnsi="宋体"/>
                <w:color w:val="auto"/>
                <w:szCs w:val="21"/>
                <w:highlight w:val="none"/>
              </w:rPr>
              <w:t xml:space="preserve">mm；后悬≤3340mm</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前轮距/后轮距</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w:t>
            </w:r>
            <w:r>
              <w:rPr>
                <w:rFonts w:ascii="宋体" w:hAnsi="宋体"/>
                <w:bCs/>
                <w:szCs w:val="21"/>
              </w:rPr>
              <w:t xml:space="preserve">2070</w:t>
            </w:r>
            <w:r>
              <w:rPr>
                <w:rFonts w:hint="eastAsia" w:ascii="宋体" w:hAnsi="宋体"/>
                <w:bCs/>
                <w:szCs w:val="21"/>
              </w:rPr>
              <w:t xml:space="preserve">mm</w:t>
            </w:r>
            <w:r>
              <w:rPr>
                <w:rFonts w:ascii="宋体" w:hAnsi="宋体"/>
                <w:bCs/>
                <w:szCs w:val="21"/>
              </w:rPr>
              <w:t xml:space="preserve">/18</w:t>
            </w:r>
            <w:r>
              <w:rPr>
                <w:rFonts w:hint="eastAsia" w:ascii="宋体" w:hAnsi="宋体"/>
                <w:bCs/>
                <w:szCs w:val="21"/>
              </w:rPr>
              <w:t xml:space="preserve">7</w:t>
            </w:r>
            <w:r>
              <w:rPr>
                <w:rFonts w:ascii="宋体" w:hAnsi="宋体"/>
                <w:bCs/>
                <w:szCs w:val="21"/>
              </w:rPr>
              <w:t xml:space="preserve">0</w:t>
            </w:r>
            <w:r>
              <w:rPr>
                <w:rFonts w:hint="eastAsia" w:ascii="宋体" w:hAnsi="宋体"/>
                <w:bCs/>
                <w:szCs w:val="21"/>
              </w:rPr>
              <w:t xml:space="preserve">mm</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w:t>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Arial"/>
                <w:bCs/>
                <w:szCs w:val="21"/>
              </w:rPr>
              <w:t xml:space="preserve">额定载客</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≥9</w:t>
            </w:r>
            <w:r>
              <w:rPr>
                <w:rFonts w:hint="eastAsia" w:ascii="宋体" w:hAnsi="宋体" w:cs="Arial"/>
                <w:szCs w:val="21"/>
              </w:rPr>
              <w:t xml:space="preserve">人</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w:t>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整车最大总质量</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≥18000kg</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1.8</w:t>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底盘</w:t>
            </w:r>
            <w:r/>
          </w:p>
        </w:tc>
        <w:tc>
          <w:tcPr>
            <w:tcW w:w="6668" w:type="dxa"/>
            <w:vAlign w:val="center"/>
            <w:textDirection w:val="lrTb"/>
            <w:noWrap w:val="false"/>
          </w:tcPr>
          <w:p>
            <w:pPr>
              <w:jc w:val="left"/>
              <w:rPr>
                <w:rFonts w:hint="eastAsia" w:ascii="宋体" w:hAnsi="宋体"/>
                <w:szCs w:val="21"/>
              </w:rPr>
            </w:pPr>
            <w:r>
              <w:rPr>
                <w:rFonts w:hint="eastAsia" w:ascii="宋体" w:hAnsi="宋体"/>
                <w:bCs/>
                <w:szCs w:val="21"/>
              </w:rPr>
              <w:t xml:space="preserve">全承载</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gridSpan w:val="2"/>
            <w:tcW w:w="8429" w:type="dxa"/>
            <w:vAlign w:val="center"/>
            <w:textDirection w:val="lrTb"/>
            <w:noWrap w:val="false"/>
          </w:tcPr>
          <w:p>
            <w:pPr>
              <w:jc w:val="center"/>
              <w:rPr>
                <w:rFonts w:hint="eastAsia" w:ascii="宋体" w:hAnsi="宋体"/>
                <w:szCs w:val="21"/>
              </w:rPr>
            </w:pPr>
            <w:r>
              <w:rPr>
                <w:rFonts w:hint="eastAsia" w:ascii="宋体" w:hAnsi="宋体"/>
                <w:bCs/>
                <w:szCs w:val="21"/>
              </w:rPr>
              <w:t xml:space="preserve">发动机</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2.1</w:t>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发动机型式</w:t>
            </w:r>
            <w:r/>
          </w:p>
        </w:tc>
        <w:tc>
          <w:tcPr>
            <w:tcW w:w="6668" w:type="dxa"/>
            <w:vAlign w:val="center"/>
            <w:textDirection w:val="lrTb"/>
            <w:noWrap w:val="false"/>
          </w:tcPr>
          <w:p>
            <w:pPr>
              <w:jc w:val="left"/>
              <w:rPr>
                <w:rFonts w:hint="eastAsia" w:ascii="宋体" w:hAnsi="宋体"/>
                <w:szCs w:val="21"/>
              </w:rPr>
            </w:pPr>
            <w:r>
              <w:rPr>
                <w:rFonts w:hint="eastAsia" w:ascii="宋体" w:hAnsi="宋体"/>
                <w:bCs/>
                <w:szCs w:val="21"/>
              </w:rPr>
              <w:t xml:space="preserve">六缸水冷直喷增压中冷</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2.2</w:t>
            </w:r>
            <w:r/>
          </w:p>
        </w:tc>
        <w:tc>
          <w:tcPr>
            <w:tcW w:w="1761" w:type="dxa"/>
            <w:vAlign w:val="center"/>
            <w:textDirection w:val="lrTb"/>
            <w:noWrap w:val="false"/>
          </w:tcPr>
          <w:p>
            <w:pPr>
              <w:jc w:val="center"/>
              <w:rPr>
                <w:rFonts w:hint="eastAsia" w:ascii="宋体" w:hAnsi="宋体"/>
                <w:szCs w:val="21"/>
              </w:rPr>
            </w:pPr>
            <w:r>
              <w:rPr>
                <w:rFonts w:hint="eastAsia" w:ascii="宋体" w:cs="Arial" w:hAnsiTheme="minorEastAsia"/>
              </w:rPr>
              <w:t xml:space="preserve">▲</w:t>
            </w:r>
            <w:r>
              <w:rPr>
                <w:rFonts w:hint="eastAsia" w:ascii="宋体" w:hAnsi="宋体"/>
                <w:szCs w:val="21"/>
              </w:rPr>
              <w:t xml:space="preserve">额定功率</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w:t>
            </w:r>
            <w:r>
              <w:rPr>
                <w:rFonts w:hint="eastAsia" w:ascii="宋体" w:hAnsi="宋体" w:cs="Arial"/>
                <w:bCs/>
                <w:szCs w:val="21"/>
              </w:rPr>
              <w:t xml:space="preserve">270</w:t>
            </w:r>
            <w:r>
              <w:rPr>
                <w:rFonts w:ascii="宋体" w:hAnsi="宋体" w:cs="Arial"/>
                <w:bCs/>
                <w:szCs w:val="21"/>
              </w:rPr>
              <w:t xml:space="preserve">k</w:t>
            </w:r>
            <w:r>
              <w:rPr>
                <w:rFonts w:hint="eastAsia" w:ascii="宋体" w:hAnsi="宋体"/>
                <w:szCs w:val="21"/>
              </w:rPr>
              <w:t xml:space="preserve">W</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2.3</w:t>
            </w:r>
            <w:r/>
          </w:p>
        </w:tc>
        <w:tc>
          <w:tcPr>
            <w:tcW w:w="1761" w:type="dxa"/>
            <w:vAlign w:val="center"/>
            <w:textDirection w:val="lrTb"/>
            <w:noWrap w:val="false"/>
          </w:tcPr>
          <w:p>
            <w:pPr>
              <w:jc w:val="center"/>
              <w:rPr>
                <w:rFonts w:hint="eastAsia" w:ascii="宋体" w:hAnsi="宋体"/>
                <w:szCs w:val="21"/>
              </w:rPr>
            </w:pPr>
            <w:r>
              <w:rPr>
                <w:rFonts w:hint="eastAsia" w:ascii="宋体" w:cs="Arial" w:hAnsiTheme="minorEastAsia"/>
                <w:b/>
                <w:bCs/>
                <w:sz w:val="28"/>
                <w:szCs w:val="28"/>
              </w:rPr>
              <w:t xml:space="preserve">*</w:t>
            </w:r>
            <w:r>
              <w:rPr>
                <w:rFonts w:hint="eastAsia" w:ascii="宋体" w:hAnsi="宋体"/>
                <w:szCs w:val="21"/>
              </w:rPr>
              <w:t xml:space="preserve">排放标准</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国六排放</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2.4</w:t>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排量</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≥9500ml</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gridSpan w:val="2"/>
            <w:tcW w:w="8429" w:type="dxa"/>
            <w:vAlign w:val="center"/>
            <w:textDirection w:val="lrTb"/>
            <w:noWrap w:val="false"/>
          </w:tcPr>
          <w:p>
            <w:pPr>
              <w:jc w:val="center"/>
              <w:rPr>
                <w:rFonts w:hint="eastAsia" w:ascii="宋体" w:hAnsi="宋体"/>
                <w:szCs w:val="21"/>
              </w:rPr>
            </w:pPr>
            <w:r>
              <w:rPr>
                <w:rFonts w:hint="eastAsia" w:ascii="宋体" w:hAnsi="宋体"/>
                <w:szCs w:val="21"/>
              </w:rPr>
              <w:t xml:space="preserve">平台配置</w:t>
            </w:r>
            <w:r/>
          </w:p>
        </w:tc>
      </w:tr>
      <w:tr>
        <w:trPr>
          <w:jc w:val="center"/>
          <w:trHeight w:val="249"/>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rPr>
            </w:pPr>
            <w:r>
              <w:rPr>
                <w:rFonts w:hint="eastAsia" w:ascii="宋体" w:hAnsi="宋体"/>
                <w:sz w:val="21"/>
                <w:szCs w:val="21"/>
              </w:rPr>
            </w:r>
            <w:r/>
          </w:p>
        </w:tc>
        <w:tc>
          <w:tcPr>
            <w:tcW w:w="1761" w:type="dxa"/>
            <w:vAlign w:val="center"/>
            <w:textDirection w:val="lrTb"/>
            <w:noWrap w:val="false"/>
          </w:tcPr>
          <w:p>
            <w:pPr>
              <w:jc w:val="center"/>
              <w:rPr>
                <w:rFonts w:hint="eastAsia" w:ascii="宋体" w:hAnsi="宋体"/>
                <w:szCs w:val="21"/>
              </w:rPr>
            </w:pPr>
            <w:r>
              <w:rPr>
                <w:rFonts w:hint="eastAsia" w:ascii="宋体" w:cs="Arial" w:hAnsiTheme="minorEastAsia"/>
              </w:rPr>
              <w:t xml:space="preserve">▲</w:t>
            </w:r>
            <w:r>
              <w:rPr>
                <w:rFonts w:hint="eastAsia" w:ascii="宋体" w:hAnsi="宋体"/>
                <w:szCs w:val="21"/>
              </w:rPr>
              <w:t xml:space="preserve">动力系统</w:t>
            </w:r>
            <w:r/>
          </w:p>
        </w:tc>
        <w:tc>
          <w:tcPr>
            <w:tcW w:w="6668" w:type="dxa"/>
            <w:vAlign w:val="center"/>
            <w:textDirection w:val="lrTb"/>
            <w:noWrap w:val="false"/>
          </w:tcPr>
          <w:p>
            <w:pPr>
              <w:shd w:val="clear" w:color="auto" w:fill="ffffff"/>
              <w:rPr>
                <w:rFonts w:hint="eastAsia" w:ascii="宋体" w:hAnsi="宋体"/>
                <w:szCs w:val="21"/>
              </w:rPr>
            </w:pPr>
            <w:r>
              <w:rPr>
                <w:rFonts w:hint="eastAsia" w:ascii="宋体" w:hAnsi="宋体"/>
                <w:szCs w:val="21"/>
              </w:rPr>
              <w:t xml:space="preserve">六档变速器(</w:t>
            </w:r>
            <w:r>
              <w:rPr>
                <w:rFonts w:hint="eastAsia" w:ascii="宋体" w:hAnsi="宋体" w:cs="宋体"/>
                <w:szCs w:val="21"/>
                <w:shd w:val="clear" w:color="auto" w:fill="ffffff"/>
                <w:lang w:bidi="ar"/>
              </w:rPr>
              <w:t xml:space="preserve">短排挡，采用乘用车化设计，短挡杆布置在仪表台上，留出驾驶仪表台下空间，司机上下车便利；变速箱带换挡气助力，换挡轻便；</w:t>
            </w:r>
            <w:r>
              <w:rPr>
                <w:rFonts w:hint="eastAsia" w:ascii="宋体" w:hAnsi="宋体" w:cs="宋体"/>
                <w:b/>
                <w:bCs/>
                <w:szCs w:val="21"/>
                <w:shd w:val="clear" w:color="auto" w:fill="ffffff"/>
                <w:lang w:bidi="ar"/>
              </w:rPr>
              <w:t xml:space="preserve">须提供实物图片等相关证明材料</w:t>
            </w:r>
            <w:r>
              <w:rPr>
                <w:rFonts w:hint="eastAsia" w:ascii="宋体" w:hAnsi="宋体"/>
                <w:szCs w:val="21"/>
              </w:rPr>
              <w:t xml:space="preserve">)、缓速器</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悬架系统</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气囊</w:t>
            </w:r>
            <w:r>
              <w:rPr>
                <w:rFonts w:ascii="宋体" w:hAnsi="宋体"/>
                <w:szCs w:val="21"/>
              </w:rPr>
              <w:t xml:space="preserve">悬架</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rPr>
            </w:pPr>
            <w:r>
              <w:rPr>
                <w:rFonts w:hint="eastAsia" w:ascii="宋体" w:hAnsi="宋体"/>
                <w:sz w:val="21"/>
                <w:szCs w:val="21"/>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车桥</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前盘后鼓（前后桥一体化轴承单元），</w:t>
            </w:r>
            <w:r>
              <w:rPr>
                <w:rFonts w:ascii="宋体" w:hAnsi="宋体"/>
                <w:szCs w:val="21"/>
              </w:rPr>
              <w:t xml:space="preserve">前</w:t>
            </w:r>
            <w:r>
              <w:rPr>
                <w:rFonts w:hint="eastAsia" w:ascii="宋体" w:hAnsi="宋体"/>
                <w:szCs w:val="21"/>
              </w:rPr>
              <w:t xml:space="preserve">7.5吨</w:t>
            </w:r>
            <w:r>
              <w:rPr>
                <w:rFonts w:ascii="宋体" w:hAnsi="宋体"/>
                <w:szCs w:val="21"/>
              </w:rPr>
              <w:t xml:space="preserve">，后</w:t>
            </w:r>
            <w:r>
              <w:rPr>
                <w:rFonts w:hint="eastAsia" w:ascii="宋体" w:hAnsi="宋体"/>
                <w:szCs w:val="21"/>
              </w:rPr>
              <w:t xml:space="preserve">13吨</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热管理</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第二代热管理（智能控制冷却系统）</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燃料箱</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≥260L油箱</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rPr>
            </w:pPr>
            <w:r>
              <w:rPr>
                <w:rFonts w:hint="eastAsia" w:ascii="宋体" w:hAnsi="宋体"/>
                <w:sz w:val="21"/>
                <w:szCs w:val="21"/>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轮胎、轮辋</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轮胎层级≥18，宽度295mm，扁平比80；轮毂直径22.5英寸，钢制轮辋，有备胎</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Cs w:val="21"/>
                <w:lang w:eastAsia="zh-CN"/>
              </w:rPr>
            </w:pPr>
            <w:r>
              <w:rPr>
                <w:rFonts w:hint="eastAsia" w:ascii="宋体" w:hAnsi="宋体"/>
                <w:szCs w:val="21"/>
                <w:lang w:eastAsia="zh-CN"/>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后视镜</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电动兔耳外后视镜</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rPr>
            </w:pPr>
            <w:r>
              <w:rPr>
                <w:rFonts w:hint="eastAsia" w:ascii="宋体" w:hAnsi="宋体"/>
                <w:sz w:val="21"/>
                <w:szCs w:val="21"/>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行车空调</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行车空调（≥30000KCal／h；国产压缩机）</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倒车监视系统</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单探头彩色倒车监视器</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安全锤</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4把防盗警报安全锤</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rPr>
            </w:pPr>
            <w:r>
              <w:rPr>
                <w:rFonts w:hint="eastAsia" w:ascii="宋体" w:hAnsi="宋体"/>
                <w:sz w:val="21"/>
                <w:szCs w:val="21"/>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灭火装置</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2个灯笼型自动灭火弹、1个筒状自动灭火弹(发动机舱)</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司机椅、导游椅</w:t>
            </w:r>
            <w:r/>
          </w:p>
        </w:tc>
        <w:tc>
          <w:tcPr>
            <w:tcW w:w="6668" w:type="dxa"/>
            <w:vAlign w:val="center"/>
            <w:textDirection w:val="lrTb"/>
            <w:noWrap w:val="false"/>
          </w:tcPr>
          <w:p>
            <w:pPr>
              <w:jc w:val="left"/>
              <w:rPr>
                <w:rFonts w:hint="eastAsia" w:ascii="宋体" w:hAnsi="宋体"/>
                <w:szCs w:val="21"/>
              </w:rPr>
            </w:pPr>
            <w:r>
              <w:rPr>
                <w:rFonts w:hint="eastAsia" w:ascii="宋体" w:hAnsi="宋体" w:cs="Arial"/>
                <w:szCs w:val="21"/>
              </w:rPr>
              <w:t xml:space="preserve">三点式安全带机械减震司机椅(有安全带未系报警</w:t>
            </w:r>
            <w:r>
              <w:rPr>
                <w:rFonts w:ascii="宋体" w:hAnsi="宋体" w:cs="Arial"/>
                <w:szCs w:val="21"/>
              </w:rPr>
              <w:t xml:space="preserve">功能</w:t>
            </w:r>
            <w:r>
              <w:rPr>
                <w:rFonts w:hint="eastAsia" w:ascii="宋体" w:hAnsi="宋体" w:cs="Arial"/>
                <w:szCs w:val="21"/>
              </w:rPr>
              <w:t xml:space="preserve">)，有导游椅</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服务设施</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电子钟，驾驶区1个USB手机充电器模块</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车门</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前门带活动踏步</w:t>
            </w:r>
            <w:r>
              <w:rPr>
                <w:rFonts w:ascii="宋体" w:hAnsi="宋体"/>
                <w:szCs w:val="21"/>
              </w:rPr>
              <w:t xml:space="preserve"> </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rPr>
            </w:pPr>
            <w:r>
              <w:rPr>
                <w:rFonts w:hint="eastAsia" w:ascii="宋体" w:hAnsi="宋体"/>
                <w:sz w:val="21"/>
                <w:szCs w:val="21"/>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车身保温系统</w:t>
            </w:r>
            <w:r/>
          </w:p>
        </w:tc>
        <w:tc>
          <w:tcPr>
            <w:tcW w:w="6668" w:type="dxa"/>
            <w:vAlign w:val="center"/>
            <w:textDirection w:val="lrTb"/>
            <w:noWrap w:val="false"/>
          </w:tcPr>
          <w:p>
            <w:pPr>
              <w:jc w:val="left"/>
              <w:rPr>
                <w:rFonts w:hint="eastAsia" w:ascii="宋体" w:hAnsi="宋体"/>
                <w:szCs w:val="21"/>
              </w:rPr>
              <w:outlineLvl w:val="0"/>
            </w:pPr>
            <w:r>
              <w:rPr>
                <w:rFonts w:hint="eastAsia" w:ascii="宋体" w:hAnsi="宋体"/>
                <w:szCs w:val="21"/>
              </w:rPr>
              <w:t xml:space="preserve">独立+大功率水暖除霜，水暖驻车可用（夏热</w:t>
            </w:r>
            <w:r>
              <w:rPr>
                <w:rFonts w:ascii="宋体" w:hAnsi="宋体"/>
                <w:szCs w:val="21"/>
              </w:rPr>
              <w:t xml:space="preserve">冬冷地区</w:t>
            </w:r>
            <w:r>
              <w:rPr>
                <w:rFonts w:hint="eastAsia" w:ascii="宋体" w:hAnsi="宋体"/>
                <w:szCs w:val="21"/>
              </w:rPr>
              <w:t xml:space="preserve">）</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整车玻璃</w:t>
            </w:r>
            <w:r/>
          </w:p>
        </w:tc>
        <w:tc>
          <w:tcPr>
            <w:tcW w:w="6668" w:type="dxa"/>
            <w:vAlign w:val="center"/>
            <w:textDirection w:val="lrTb"/>
            <w:noWrap w:val="false"/>
          </w:tcPr>
          <w:p>
            <w:pPr>
              <w:jc w:val="left"/>
              <w:widowControl/>
              <w:rPr>
                <w:rFonts w:hint="eastAsia" w:ascii="宋体" w:hAnsi="宋体"/>
                <w:szCs w:val="21"/>
              </w:rPr>
            </w:pPr>
            <w:r>
              <w:rPr>
                <w:rFonts w:hint="eastAsia" w:ascii="宋体" w:hAnsi="宋体" w:cs="Arial"/>
                <w:szCs w:val="18"/>
              </w:rPr>
              <w:t xml:space="preserve">白色玻璃推拉司机窗，深灰色</w:t>
            </w:r>
            <w:r>
              <w:rPr>
                <w:rFonts w:ascii="宋体" w:hAnsi="宋体" w:cs="Arial"/>
                <w:szCs w:val="18"/>
              </w:rPr>
              <w:t xml:space="preserve">侧窗</w:t>
            </w:r>
            <w:r>
              <w:rPr>
                <w:rFonts w:hint="eastAsia" w:ascii="宋体" w:hAnsi="宋体" w:cs="Arial"/>
                <w:szCs w:val="18"/>
              </w:rPr>
              <w:t xml:space="preserve">：左侧第二、右侧末推拉窗；左右侧拓展舱推拉窗；其余全封闭玻璃。</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行车记录仪及车内监控</w:t>
            </w:r>
            <w:r/>
          </w:p>
        </w:tc>
        <w:tc>
          <w:tcPr>
            <w:tcW w:w="666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监控、记录仪一体机（固态盘容量≥500G）：北斗／GPS双模行车记录仪功能（含SIM卡）+7路视频录像监控(照路况、后方、两侧拓展舱、车内三路),驻车可用,可后台实时监控。</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outlineLvl w:val="0"/>
            </w:pPr>
            <w:r>
              <w:rPr>
                <w:rFonts w:hint="eastAsia" w:ascii="宋体" w:hAnsi="宋体"/>
                <w:szCs w:val="21"/>
              </w:rPr>
              <w:t xml:space="preserve">侧舱门</w:t>
            </w:r>
            <w:r/>
          </w:p>
        </w:tc>
        <w:tc>
          <w:tcPr>
            <w:tcW w:w="6668" w:type="dxa"/>
            <w:vAlign w:val="center"/>
            <w:textDirection w:val="lrTb"/>
            <w:noWrap w:val="false"/>
          </w:tcPr>
          <w:p>
            <w:pPr>
              <w:pStyle w:val="690"/>
              <w:jc w:val="left"/>
              <w:rPr>
                <w:rFonts w:hint="eastAsia" w:ascii="宋体" w:hAnsi="宋体"/>
                <w:sz w:val="21"/>
                <w:szCs w:val="21"/>
              </w:rPr>
              <w:outlineLvl w:val="0"/>
            </w:pPr>
            <w:r>
              <w:rPr>
                <w:rFonts w:hint="eastAsia" w:ascii="宋体" w:hAnsi="宋体"/>
                <w:sz w:val="21"/>
                <w:szCs w:val="21"/>
              </w:rPr>
              <w:t xml:space="preserve">行李舱手动上翻门（中段左一室外机舱上移门）。</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车联网</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车辆配置有医疗车专用车联网系统。</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车载无线网络</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5G无线网络（</w:t>
            </w:r>
            <w:r>
              <w:rPr>
                <w:rFonts w:hint="eastAsia" w:ascii="宋体" w:hAnsi="宋体" w:cs="Arial"/>
                <w:szCs w:val="18"/>
              </w:rPr>
              <w:t xml:space="preserve">不带流量卡</w:t>
            </w:r>
            <w:r>
              <w:rPr>
                <w:rFonts w:hint="eastAsia" w:ascii="宋体" w:hAnsi="宋体"/>
                <w:szCs w:val="21"/>
              </w:rPr>
              <w:t xml:space="preserve">）</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bCs/>
                <w:szCs w:val="21"/>
              </w:rPr>
            </w:pPr>
            <w:r>
              <w:rPr>
                <w:rFonts w:ascii="宋体" w:hAnsi="宋体"/>
                <w:szCs w:val="21"/>
              </w:rPr>
              <w:t xml:space="preserve">车身条幅挂钩</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内嵌式车身两侧条幅挂钩，不突出车身蒙皮，整洁美观。（左右各</w:t>
            </w:r>
            <w:r/>
          </w:p>
          <w:p>
            <w:pPr>
              <w:jc w:val="left"/>
              <w:rPr>
                <w:rFonts w:hint="eastAsia" w:ascii="宋体" w:hAnsi="宋体"/>
                <w:szCs w:val="21"/>
              </w:rPr>
            </w:pPr>
            <w:r>
              <w:rPr>
                <w:rFonts w:hint="eastAsia" w:ascii="宋体" w:hAnsi="宋体"/>
                <w:szCs w:val="21"/>
              </w:rPr>
              <w:t xml:space="preserve">4 个），必须与公告外观照片一致，确保能正常上户，提供同类产品实车照片。</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消毒机</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壁挂消毒机1台，技术要求如下：</w:t>
            </w:r>
            <w:r/>
          </w:p>
          <w:p>
            <w:pPr>
              <w:jc w:val="left"/>
              <w:rPr>
                <w:rFonts w:hint="eastAsia" w:ascii="宋体" w:hAnsi="宋体"/>
                <w:szCs w:val="21"/>
              </w:rPr>
            </w:pPr>
            <w:r>
              <w:rPr>
                <w:rFonts w:hint="eastAsia" w:ascii="宋体" w:hAnsi="宋体"/>
                <w:szCs w:val="21"/>
              </w:rPr>
              <w:t xml:space="preserve">1、符合国家消毒技术规范要求，产品获得消毒号备案证（提供凭证）。</w:t>
            </w:r>
            <w:r/>
          </w:p>
          <w:p>
            <w:pPr>
              <w:jc w:val="left"/>
              <w:rPr>
                <w:rFonts w:hint="eastAsia" w:ascii="宋体" w:hAnsi="宋体"/>
                <w:szCs w:val="21"/>
              </w:rPr>
            </w:pPr>
            <w:r>
              <w:rPr>
                <w:rFonts w:hint="eastAsia" w:ascii="宋体" w:hAnsi="宋体"/>
                <w:szCs w:val="21"/>
              </w:rPr>
              <w:t xml:space="preserve">2、消毒原理为活性复合离子（等离子/雾离子），释放的活性复合离子对人体没有伤害，不使用消毒剂；离子可以快速主动覆盖整个空间进行消杀。</w:t>
            </w:r>
            <w:r/>
          </w:p>
          <w:p>
            <w:pPr>
              <w:jc w:val="left"/>
              <w:rPr>
                <w:rFonts w:hint="eastAsia" w:ascii="宋体" w:hAnsi="宋体"/>
                <w:szCs w:val="21"/>
              </w:rPr>
            </w:pPr>
            <w:r>
              <w:rPr>
                <w:rFonts w:hint="eastAsia" w:ascii="宋体" w:hAnsi="宋体"/>
                <w:szCs w:val="21"/>
              </w:rPr>
              <w:t xml:space="preserve">3、设备可动态持续杀菌，人机共存，对人及物品没有任何伤害。</w:t>
            </w:r>
            <w:r/>
          </w:p>
          <w:p>
            <w:pPr>
              <w:jc w:val="left"/>
              <w:rPr>
                <w:rFonts w:hint="eastAsia" w:ascii="宋体" w:hAnsi="宋体"/>
                <w:szCs w:val="21"/>
              </w:rPr>
            </w:pPr>
            <w:r>
              <w:rPr>
                <w:rFonts w:hint="eastAsia" w:ascii="宋体" w:hAnsi="宋体"/>
                <w:szCs w:val="21"/>
              </w:rPr>
              <w:t xml:space="preserve">4、除主要消杀组件外，设备内可辅以安装诸如高效滤网等辅助装置，能有效过滤灰尘、颗粒物、花粉等，对VOC有机挥发气体等有去除作用；设备同时具备空气消毒杀菌和空气净化的功能。</w:t>
            </w:r>
            <w:r/>
          </w:p>
          <w:p>
            <w:pPr>
              <w:jc w:val="left"/>
              <w:rPr>
                <w:rFonts w:hint="eastAsia" w:ascii="宋体" w:hAnsi="宋体"/>
                <w:szCs w:val="21"/>
              </w:rPr>
            </w:pPr>
            <w:r>
              <w:rPr>
                <w:rFonts w:hint="eastAsia" w:ascii="宋体" w:hAnsi="宋体"/>
                <w:szCs w:val="21"/>
              </w:rPr>
              <w:t xml:space="preserve">5、可向环境中主动释放活性复合离子，不仅对于空气进行消杀，而且也可以消杀物表上的细菌和病毒。</w:t>
            </w:r>
            <w:r/>
          </w:p>
          <w:p>
            <w:pPr>
              <w:jc w:val="left"/>
              <w:rPr>
                <w:rFonts w:hint="eastAsia" w:ascii="宋体" w:hAnsi="宋体"/>
                <w:szCs w:val="21"/>
              </w:rPr>
            </w:pPr>
            <w:r>
              <w:rPr>
                <w:rFonts w:hint="eastAsia" w:ascii="宋体" w:hAnsi="宋体"/>
                <w:szCs w:val="21"/>
              </w:rPr>
              <w:t xml:space="preserve">6、产生的消毒因子安全性通过急性吸入式毒性实验验证；</w:t>
            </w:r>
            <w:r/>
          </w:p>
          <w:p>
            <w:pPr>
              <w:jc w:val="left"/>
              <w:rPr>
                <w:rFonts w:hint="eastAsia" w:ascii="宋体" w:hAnsi="宋体"/>
                <w:szCs w:val="21"/>
              </w:rPr>
            </w:pPr>
            <w:r>
              <w:rPr>
                <w:rFonts w:hint="eastAsia" w:ascii="宋体" w:hAnsi="宋体"/>
                <w:szCs w:val="21"/>
              </w:rPr>
              <w:t xml:space="preserve">7、主要消毒模块无耗材、无损耗；</w:t>
            </w:r>
            <w:r/>
          </w:p>
          <w:p>
            <w:pPr>
              <w:jc w:val="left"/>
              <w:rPr>
                <w:rFonts w:hint="eastAsia" w:ascii="宋体" w:hAnsi="宋体"/>
                <w:szCs w:val="21"/>
              </w:rPr>
            </w:pPr>
            <w:r>
              <w:rPr>
                <w:rFonts w:hint="eastAsia" w:ascii="宋体" w:hAnsi="宋体"/>
                <w:szCs w:val="21"/>
              </w:rPr>
              <w:t xml:space="preserve">8、适用面积：能满足60—100m3的空间</w:t>
            </w:r>
            <w:r/>
          </w:p>
          <w:p>
            <w:pPr>
              <w:jc w:val="left"/>
              <w:rPr>
                <w:rFonts w:hint="eastAsia" w:ascii="宋体" w:hAnsi="宋体"/>
                <w:szCs w:val="21"/>
              </w:rPr>
            </w:pPr>
            <w:r>
              <w:rPr>
                <w:rFonts w:hint="eastAsia" w:ascii="宋体" w:hAnsi="宋体"/>
                <w:szCs w:val="21"/>
              </w:rPr>
              <w:t xml:space="preserve">9、产品的尺寸：328*155*588mm</w:t>
            </w:r>
            <w:r/>
          </w:p>
          <w:p>
            <w:pPr>
              <w:jc w:val="left"/>
              <w:rPr>
                <w:rFonts w:hint="eastAsia" w:ascii="宋体" w:hAnsi="宋体"/>
                <w:szCs w:val="21"/>
              </w:rPr>
            </w:pPr>
            <w:r>
              <w:rPr>
                <w:rFonts w:hint="eastAsia" w:ascii="宋体" w:hAnsi="宋体"/>
                <w:szCs w:val="21"/>
              </w:rPr>
              <w:t xml:space="preserve">10、整机重量：≤5公斤</w:t>
            </w:r>
            <w:r/>
          </w:p>
          <w:p>
            <w:pPr>
              <w:jc w:val="left"/>
              <w:rPr>
                <w:rFonts w:hint="eastAsia" w:ascii="宋体" w:hAnsi="宋体"/>
                <w:szCs w:val="21"/>
              </w:rPr>
            </w:pPr>
            <w:r>
              <w:rPr>
                <w:rFonts w:hint="eastAsia" w:ascii="宋体" w:hAnsi="宋体"/>
                <w:szCs w:val="21"/>
              </w:rPr>
              <w:t xml:space="preserve">11、额定功率：≤26W，额定电压：220v/50hz</w:t>
            </w:r>
            <w:r/>
          </w:p>
          <w:p>
            <w:pPr>
              <w:jc w:val="left"/>
              <w:rPr>
                <w:rFonts w:hint="eastAsia" w:ascii="宋体" w:hAnsi="宋体"/>
                <w:szCs w:val="21"/>
              </w:rPr>
            </w:pPr>
            <w:r>
              <w:rPr>
                <w:rFonts w:hint="eastAsia" w:ascii="宋体" w:hAnsi="宋体"/>
                <w:szCs w:val="21"/>
              </w:rPr>
              <w:t xml:space="preserve">12、设备实时监测并显示环境空气质量，实时显示PM2.5和挥发性有机化合物（VOC）的数值。</w:t>
            </w:r>
            <w:r/>
          </w:p>
          <w:p>
            <w:pPr>
              <w:jc w:val="left"/>
              <w:rPr>
                <w:rFonts w:hint="eastAsia" w:ascii="宋体" w:hAnsi="宋体"/>
                <w:szCs w:val="21"/>
              </w:rPr>
            </w:pPr>
            <w:r>
              <w:rPr>
                <w:rFonts w:hint="eastAsia" w:ascii="宋体" w:hAnsi="宋体"/>
                <w:szCs w:val="21"/>
              </w:rPr>
              <w:t xml:space="preserve">13、设备实时显示温度、湿度以及风量；设备风速≥5档，可调；</w:t>
            </w:r>
            <w:r/>
          </w:p>
          <w:p>
            <w:pPr>
              <w:jc w:val="left"/>
              <w:rPr>
                <w:rFonts w:hint="eastAsia" w:ascii="宋体" w:hAnsi="宋体"/>
                <w:szCs w:val="21"/>
              </w:rPr>
            </w:pPr>
            <w:r>
              <w:rPr>
                <w:rFonts w:hint="eastAsia" w:ascii="宋体" w:hAnsi="宋体"/>
                <w:szCs w:val="21"/>
              </w:rPr>
              <w:t xml:space="preserve">14、设备带有信息传输功能，医务人员能通过在线物联网平台或者微信小程序实时精准远程查看并控制设备的运行状态。</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Cs w:val="21"/>
                <w:lang w:eastAsia="zh-CN"/>
              </w:rPr>
            </w:pPr>
            <w:r>
              <w:rPr>
                <w:rFonts w:hint="eastAsia" w:ascii="宋体" w:hAnsi="宋体"/>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风幕机</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前门 1 台风幕机，有效阻挡蚊虫，稳定车厢内温度；</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Cs w:val="21"/>
                <w:lang w:eastAsia="zh-CN"/>
              </w:rPr>
            </w:pPr>
            <w:r>
              <w:rPr>
                <w:rFonts w:hint="eastAsia" w:ascii="宋体" w:hAnsi="宋体"/>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Theme="minorEastAsia"/>
                <w:szCs w:val="21"/>
              </w:rPr>
              <w:t xml:space="preserve">▲车辆管理系统配置</w:t>
            </w:r>
            <w:r/>
          </w:p>
        </w:tc>
        <w:tc>
          <w:tcPr>
            <w:tcW w:w="6668"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车辆配置有医疗车专用车联网系统，支持车辆企业运营管理、驾评管理、售后服务管理，车辆粘贴有车联网注册二维码。（提供证明截图）</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▲车辆管理系统登录</w:t>
            </w:r>
            <w:r/>
          </w:p>
        </w:tc>
        <w:tc>
          <w:tcPr>
            <w:tcW w:w="6668"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车联网系统可以支持电脑端登录、支持微信小程序登录；支持储能锂电池电压、电流监控、剩余电量、充电记录查询服务（提供证明截图）</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Cs w:val="21"/>
                <w:lang w:eastAsia="zh-CN"/>
              </w:rPr>
            </w:pPr>
            <w:r>
              <w:rPr>
                <w:rFonts w:hint="eastAsia" w:ascii="宋体" w:hAnsi="宋体"/>
                <w:szCs w:val="21"/>
                <w:lang w:eastAsia="zh-CN"/>
              </w:rPr>
            </w:r>
            <w:r/>
          </w:p>
        </w:tc>
        <w:tc>
          <w:tcPr>
            <w:tcW w:w="1761"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▲车辆管理系统支持运营管理</w:t>
            </w:r>
            <w:r/>
          </w:p>
        </w:tc>
        <w:tc>
          <w:tcPr>
            <w:tcW w:w="6668"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网系统支持运营管理，可以查看车辆数量、车辆位置、运营里程、运营天数、能耗等；支持微信小程序车辆巡检，具备一键智能巡检智能巡检和外观巡检功能，外观巡检可以手动维护提交结果，一键智能巡检智能巡检包含电子驻车、电池灭火系统、电机系统、电池系统等；包含仪表、发动机、电子风扇、胎压、集中润滑、ABS等。（提供证明截图）</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▲车辆管理系统支持驾评管理</w:t>
            </w:r>
            <w:r/>
          </w:p>
        </w:tc>
        <w:tc>
          <w:tcPr>
            <w:tcW w:w="6668"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车辆网系统支持驾评管理，便于改善司机的不良驾驶行为，为车队提供更加精准的车辆及人员管理服务。提供安全性评分、经济性评分、舒适性评分等，并提供评分说明。（提供证明截图）</w:t>
            </w:r>
            <w:r/>
          </w:p>
        </w:tc>
      </w:tr>
      <w:tr>
        <w:trPr>
          <w:jc w:val="center"/>
        </w:trPr>
        <w:tc>
          <w:tcPr>
            <w:tcW w:w="922" w:type="dxa"/>
            <w:vAlign w:val="center"/>
            <w:textDirection w:val="lrTb"/>
            <w:noWrap w:val="false"/>
          </w:tcPr>
          <w:p>
            <w:pPr>
              <w:pStyle w:val="937"/>
              <w:numPr>
                <w:ilvl w:val="0"/>
                <w:numId w:val="6"/>
              </w:numPr>
              <w:ind w:left="0" w:firstLine="0"/>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▲车辆管理系统支持售后服务管理</w:t>
            </w:r>
            <w:r/>
          </w:p>
        </w:tc>
        <w:tc>
          <w:tcPr>
            <w:tcW w:w="6668"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车辆网系统支持售后服务管理，微信小程序可以查看服务经理姓名电话、查看服务网点、进行预约维保。（提供证明截图）</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gridSpan w:val="2"/>
            <w:tcW w:w="8429" w:type="dxa"/>
            <w:vAlign w:val="center"/>
            <w:textDirection w:val="lrTb"/>
            <w:noWrap w:val="false"/>
          </w:tcPr>
          <w:p>
            <w:pPr>
              <w:jc w:val="center"/>
              <w:rPr>
                <w:rFonts w:hint="eastAsia" w:ascii="宋体" w:hAnsi="宋体"/>
                <w:szCs w:val="21"/>
              </w:rPr>
            </w:pPr>
            <w:r>
              <w:rPr>
                <w:rFonts w:hint="eastAsia" w:ascii="宋体" w:hAnsi="宋体"/>
                <w:bCs/>
                <w:szCs w:val="21"/>
              </w:rPr>
              <w:t xml:space="preserve">专用配置</w:t>
            </w:r>
            <w:r/>
          </w:p>
        </w:tc>
      </w:tr>
      <w:tr>
        <w:trPr>
          <w:jc w:val="center"/>
          <w:trHeight w:val="90"/>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4.1</w:t>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车身内饰</w:t>
            </w:r>
            <w:r/>
          </w:p>
        </w:tc>
        <w:tc>
          <w:tcPr>
            <w:tcW w:w="6668" w:type="dxa"/>
            <w:vAlign w:val="center"/>
            <w:textDirection w:val="lrTb"/>
            <w:noWrap w:val="false"/>
          </w:tcPr>
          <w:p>
            <w:pPr>
              <w:jc w:val="left"/>
              <w:rPr>
                <w:rFonts w:ascii="宋体"/>
              </w:rPr>
            </w:pPr>
            <w:r>
              <w:rPr>
                <w:rFonts w:hint="eastAsia" w:ascii="宋体" w:hAnsi="宋体"/>
                <w:szCs w:val="21"/>
              </w:rPr>
              <w:t xml:space="preserve">1、商务风道，窗立柱，办公家具米灰色，台面白色，动车窗帘（抽拉舱内软布窗帘），窗帘、圆凳、护栏隔板为米黄色；窗帘、围帘：阻燃。</w:t>
            </w:r>
            <w:r/>
          </w:p>
          <w:p>
            <w:pPr>
              <w:jc w:val="left"/>
              <w:rPr>
                <w:rFonts w:ascii="宋体"/>
              </w:rPr>
            </w:pPr>
            <w:r>
              <w:rPr>
                <w:rFonts w:hint="eastAsia" w:ascii="宋体" w:hAnsi="宋体" w:cs="Arial"/>
                <w:szCs w:val="21"/>
                <w:shd w:val="clear" w:color="auto" w:fill="ffffff"/>
              </w:rPr>
              <w:t xml:space="preserve">2、</w:t>
            </w:r>
            <w:r>
              <w:rPr>
                <w:rFonts w:ascii="宋体" w:hAnsi="宋体" w:cs="Arial"/>
                <w:szCs w:val="21"/>
                <w:shd w:val="clear" w:color="auto" w:fill="ffffff"/>
              </w:rPr>
              <w:t xml:space="preserve">座椅颜色</w:t>
            </w:r>
            <w:r>
              <w:rPr>
                <w:rFonts w:hint="eastAsia" w:ascii="宋体" w:hAnsi="宋体" w:cs="Arial"/>
                <w:szCs w:val="21"/>
                <w:shd w:val="clear" w:color="auto" w:fill="ffffff"/>
              </w:rPr>
              <w:t xml:space="preserve">：</w:t>
            </w:r>
            <w:r>
              <w:rPr>
                <w:rFonts w:ascii="宋体" w:hAnsi="宋体" w:cs="Arial"/>
                <w:szCs w:val="21"/>
                <w:shd w:val="clear" w:color="auto" w:fill="ffffff"/>
              </w:rPr>
              <w:t xml:space="preserve">乘客座椅、长条休息椅米橙拼色。</w:t>
            </w:r>
            <w:r/>
          </w:p>
          <w:p>
            <w:pPr>
              <w:jc w:val="left"/>
              <w:rPr>
                <w:rFonts w:ascii="宋体"/>
              </w:rPr>
            </w:pPr>
            <w:r>
              <w:rPr>
                <w:rFonts w:hint="eastAsia" w:ascii="宋体" w:hAnsi="宋体" w:cs="Arial"/>
                <w:szCs w:val="21"/>
                <w:shd w:val="clear" w:color="auto" w:fill="ffffff"/>
              </w:rPr>
              <w:t xml:space="preserve">3、</w:t>
            </w:r>
            <w:r>
              <w:rPr>
                <w:rFonts w:ascii="宋体" w:hAnsi="宋体" w:cs="Arial"/>
                <w:szCs w:val="21"/>
                <w:shd w:val="clear" w:color="auto" w:fill="ffffff"/>
              </w:rPr>
              <w:t xml:space="preserve">地板革</w:t>
            </w:r>
            <w:r>
              <w:rPr>
                <w:rFonts w:hint="eastAsia" w:ascii="宋体" w:hAnsi="宋体" w:cs="Arial"/>
                <w:szCs w:val="21"/>
                <w:shd w:val="clear" w:color="auto" w:fill="ffffff"/>
              </w:rPr>
              <w:t xml:space="preserve">：</w:t>
            </w:r>
            <w:r>
              <w:rPr>
                <w:rFonts w:ascii="宋体" w:hAnsi="宋体" w:cs="Arial"/>
                <w:szCs w:val="21"/>
                <w:shd w:val="clear" w:color="auto" w:fill="ffffff"/>
              </w:rPr>
              <w:t xml:space="preserve">灰色石英砂彩点地板革。 </w:t>
            </w:r>
            <w:r/>
          </w:p>
          <w:p>
            <w:pPr>
              <w:jc w:val="left"/>
              <w:rPr>
                <w:rFonts w:hint="eastAsia" w:ascii="宋体" w:hAnsi="宋体" w:cs="Arial"/>
                <w:szCs w:val="21"/>
                <w:shd w:val="clear" w:color="auto" w:fill="ffffff"/>
              </w:rPr>
            </w:pPr>
            <w:r>
              <w:rPr>
                <w:rFonts w:hint="eastAsia" w:ascii="宋体" w:hAnsi="宋体" w:cs="Arial"/>
                <w:szCs w:val="21"/>
                <w:shd w:val="clear" w:color="auto" w:fill="ffffff"/>
              </w:rPr>
              <w:t xml:space="preserve">3.1、</w:t>
            </w:r>
            <w:r>
              <w:rPr>
                <w:rFonts w:ascii="宋体" w:hAnsi="宋体" w:cs="Arial"/>
                <w:szCs w:val="21"/>
                <w:shd w:val="clear" w:color="auto" w:fill="ffffff"/>
              </w:rPr>
              <w:t xml:space="preserve">地板环保要求</w:t>
            </w:r>
            <w:r>
              <w:rPr>
                <w:rFonts w:hint="eastAsia" w:ascii="宋体" w:hAnsi="宋体" w:cs="Arial"/>
                <w:szCs w:val="21"/>
                <w:shd w:val="clear" w:color="auto" w:fill="ffffff"/>
              </w:rPr>
              <w:t xml:space="preserve">：</w:t>
            </w:r>
            <w:r>
              <w:rPr>
                <w:rFonts w:ascii="宋体" w:hAnsi="宋体" w:cs="Arial"/>
                <w:szCs w:val="21"/>
                <w:shd w:val="clear" w:color="auto" w:fill="ffffff"/>
              </w:rPr>
              <w:t xml:space="preserve">地板采用具有阻燃性质竹胶地板</w:t>
            </w:r>
            <w:r>
              <w:rPr>
                <w:rFonts w:hint="eastAsia" w:ascii="宋体" w:hAnsi="宋体" w:cs="Arial"/>
                <w:szCs w:val="21"/>
                <w:shd w:val="clear" w:color="auto" w:fill="ffffff"/>
              </w:rPr>
              <w:t xml:space="preserve">。</w:t>
            </w:r>
            <w:r/>
          </w:p>
          <w:p>
            <w:pPr>
              <w:jc w:val="left"/>
              <w:rPr>
                <w:rFonts w:ascii="宋体"/>
              </w:rPr>
            </w:pPr>
            <w:r>
              <w:rPr>
                <w:rFonts w:hint="eastAsia" w:ascii="宋体" w:hAnsi="宋体" w:cs="Arial"/>
                <w:szCs w:val="21"/>
                <w:shd w:val="clear" w:color="auto" w:fill="ffffff"/>
              </w:rPr>
              <w:t xml:space="preserve">3.2、</w:t>
            </w:r>
            <w:r>
              <w:rPr>
                <w:rFonts w:ascii="宋体" w:hAnsi="宋体" w:cs="Arial"/>
                <w:szCs w:val="21"/>
                <w:shd w:val="clear" w:color="auto" w:fill="ffffff"/>
              </w:rPr>
              <w:t xml:space="preserve">地板革环保</w:t>
            </w:r>
            <w:r>
              <w:rPr>
                <w:rFonts w:hint="eastAsia" w:ascii="宋体" w:hAnsi="宋体" w:cs="Arial"/>
                <w:szCs w:val="21"/>
                <w:shd w:val="clear" w:color="auto" w:fill="ffffff"/>
              </w:rPr>
              <w:t xml:space="preserve">要求</w:t>
            </w:r>
            <w:r>
              <w:rPr>
                <w:rFonts w:ascii="宋体" w:hAnsi="宋体" w:cs="Arial"/>
                <w:szCs w:val="21"/>
                <w:shd w:val="clear" w:color="auto" w:fill="ffffff"/>
              </w:rPr>
              <w:t xml:space="preserve">：</w:t>
            </w:r>
            <w:r/>
          </w:p>
          <w:p>
            <w:pPr>
              <w:rPr>
                <w:rFonts w:asciiTheme="minorEastAsia" w:hAnsiTheme="minorEastAsia" w:eastAsiaTheme="minorEastAsia"/>
                <w:szCs w:val="21"/>
              </w:rPr>
            </w:pPr>
            <w:r>
              <w:rPr>
                <w:rFonts w:asciiTheme="minorEastAsia" w:hAnsiTheme="minorEastAsia" w:eastAsiaTheme="minorEastAsia" w:cstheme="minorBidi"/>
                <w:szCs w:val="21"/>
              </w:rPr>
              <w:t xml:space="preserve">环保性能：气味等级（40°C气味等级3.0；80°C气味等级3.5）；甲醛≤10mg/kg；TVOC≤50μgC/g，苯和甲苯≤5μg/g。（提供第三方检测报告）</w:t>
            </w:r>
            <w:r/>
          </w:p>
          <w:p>
            <w:pPr>
              <w:pStyle w:val="960"/>
              <w:jc w:val="left"/>
              <w:rPr>
                <w:rFonts w:asciiTheme="minorEastAsia" w:hAnsiTheme="minorEastAsia"/>
                <w:szCs w:val="21"/>
              </w:rPr>
            </w:pPr>
            <w:r>
              <w:rPr>
                <w:rFonts w:asciiTheme="minorEastAsia" w:hAnsiTheme="minorEastAsia"/>
                <w:szCs w:val="21"/>
              </w:rPr>
              <w:t xml:space="preserve">防滑性能：纵向和横向防滑性能均可以达到R10。（提供第三方检测报告）</w:t>
            </w:r>
            <w:r/>
          </w:p>
          <w:p>
            <w:pPr>
              <w:pStyle w:val="964"/>
              <w:jc w:val="left"/>
              <w:rPr>
                <w:rFonts w:asciiTheme="minorEastAsia" w:hAnsiTheme="minorEastAsia"/>
                <w:szCs w:val="21"/>
              </w:rPr>
            </w:pPr>
            <w:r>
              <w:rPr>
                <w:rFonts w:asciiTheme="minorEastAsia" w:hAnsiTheme="minorEastAsia"/>
                <w:b/>
                <w:bCs/>
                <w:sz w:val="28"/>
                <w:szCs w:val="28"/>
              </w:rPr>
              <w:t xml:space="preserve">*</w:t>
            </w:r>
            <w:r>
              <w:rPr>
                <w:rFonts w:asciiTheme="minorEastAsia" w:hAnsiTheme="minorEastAsia"/>
                <w:szCs w:val="21"/>
              </w:rPr>
              <w:t xml:space="preserve">阻燃性能：阻燃性能可以达到GB8410《汽车内饰材料的燃烧特性》要求。（提供第三方检测报告）</w:t>
            </w:r>
            <w:r/>
          </w:p>
          <w:p>
            <w:pPr>
              <w:pStyle w:val="964"/>
              <w:jc w:val="left"/>
              <w:rPr>
                <w:rFonts w:asciiTheme="minorEastAsia" w:hAnsiTheme="minorEastAsia"/>
                <w:szCs w:val="21"/>
              </w:rPr>
            </w:pPr>
            <w:r>
              <w:rPr>
                <w:rFonts w:hint="eastAsia" w:ascii="宋体" w:hAnsi="宋体" w:cs="宋体"/>
                <w:szCs w:val="21"/>
                <w:lang w:bidi="ar"/>
              </w:rPr>
              <w:t xml:space="preserve">地板革耐磨性能：参照GB/T 18102,使用P180粒度砂布粘在砂轮上，负载4.9N，60r/min,可以达到循环20000次，不漏底。（提供第三方检测报告）</w:t>
            </w:r>
            <w:r/>
          </w:p>
          <w:p>
            <w:pPr>
              <w:pStyle w:val="964"/>
              <w:jc w:val="left"/>
              <w:rPr>
                <w:rFonts w:ascii="宋体"/>
              </w:rPr>
            </w:pPr>
            <w:r>
              <w:rPr>
                <w:rFonts w:hint="eastAsia" w:ascii="宋体" w:hAnsi="宋体"/>
                <w:szCs w:val="21"/>
              </w:rPr>
              <w:t xml:space="preserve">4、采用有机硅面料，</w:t>
            </w:r>
            <w:r>
              <w:rPr>
                <w:rFonts w:ascii="宋体" w:hAnsi="宋体"/>
                <w:szCs w:val="21"/>
              </w:rPr>
              <w:t xml:space="preserve">技术要求</w:t>
            </w:r>
            <w:r>
              <w:rPr>
                <w:rFonts w:hint="eastAsia" w:ascii="宋体" w:hAnsi="宋体"/>
                <w:szCs w:val="21"/>
              </w:rPr>
              <w:t xml:space="preserve">如下</w:t>
            </w:r>
            <w:r>
              <w:rPr>
                <w:rFonts w:ascii="宋体" w:hAnsi="宋体"/>
                <w:szCs w:val="21"/>
              </w:rPr>
              <w:t xml:space="preserve">：</w:t>
            </w:r>
            <w:r/>
          </w:p>
          <w:p>
            <w:pPr>
              <w:pStyle w:val="964"/>
              <w:jc w:val="left"/>
              <w:rPr>
                <w:rFonts w:asciiTheme="minorEastAsia" w:hAnsiTheme="minorEastAsia"/>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1、</w:t>
            </w:r>
            <w:r>
              <w:rPr>
                <w:rFonts w:hint="eastAsia" w:asciiTheme="minorEastAsia" w:hAnsiTheme="minorEastAsia"/>
                <w:szCs w:val="21"/>
              </w:rPr>
              <w:t xml:space="preserve">环保性能-甲醛及挥发性有害物质要求；零甲醛，TVOC≤20ugC/g，苯和甲苯≤5ug/g,二甲苯≤15ug/g</w:t>
            </w:r>
            <w:r>
              <w:rPr>
                <w:rFonts w:hint="eastAsia" w:asciiTheme="minorEastAsia" w:hAnsiTheme="minorEastAsia" w:eastAsiaTheme="minorEastAsia" w:cstheme="minorBidi"/>
                <w:szCs w:val="21"/>
              </w:rPr>
              <w:t xml:space="preserve">（提供第三方检测报告）</w:t>
            </w:r>
            <w:r/>
          </w:p>
          <w:p>
            <w:pPr>
              <w:pStyle w:val="964"/>
              <w:jc w:val="left"/>
              <w:rPr>
                <w:rFonts w:asciiTheme="minorEastAsia" w:hAnsiTheme="minorEastAsia"/>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2、</w:t>
            </w:r>
            <w:r>
              <w:rPr>
                <w:rFonts w:hint="eastAsia" w:asciiTheme="minorEastAsia" w:hAnsiTheme="minorEastAsia"/>
                <w:szCs w:val="21"/>
              </w:rPr>
              <w:t xml:space="preserve">耐酒精腐蚀性能要求：将试样分别浸泡在75%和95%的医用酒精中，放置在室温48h,测试后，样品无变色，无腐蚀。</w:t>
            </w:r>
            <w:r>
              <w:rPr>
                <w:rFonts w:hint="eastAsia" w:asciiTheme="minorEastAsia" w:hAnsiTheme="minorEastAsia" w:eastAsiaTheme="minorEastAsia" w:cstheme="minorBidi"/>
                <w:szCs w:val="21"/>
              </w:rPr>
              <w:t xml:space="preserve">（提供第三方测试报告）</w:t>
            </w:r>
            <w:r/>
          </w:p>
          <w:p>
            <w:pPr>
              <w:pStyle w:val="964"/>
              <w:rPr>
                <w:rFonts w:asciiTheme="minorEastAsia" w:hAnsiTheme="minorEastAsia"/>
                <w:szCs w:val="21"/>
              </w:rPr>
            </w:pPr>
            <w:r>
              <w:rPr>
                <w:rFonts w:asciiTheme="minorEastAsia" w:hAnsiTheme="minorEastAsia"/>
                <w:szCs w:val="21"/>
              </w:rPr>
              <w:t xml:space="preserve">4.</w:t>
            </w:r>
            <w:r>
              <w:rPr>
                <w:rFonts w:hint="eastAsia" w:asciiTheme="minorEastAsia" w:hAnsiTheme="minorEastAsia"/>
                <w:szCs w:val="21"/>
              </w:rPr>
              <w:t xml:space="preserve">4、耐双氧水腐蚀性能要求：将试样浸泡在3%医用双氧水中，放置在室温48h,测试后，样品无变色，无腐蚀。</w:t>
            </w:r>
            <w:r>
              <w:rPr>
                <w:rFonts w:hint="eastAsia" w:asciiTheme="minorEastAsia" w:hAnsiTheme="minorEastAsia" w:eastAsiaTheme="minorEastAsia" w:cstheme="minorBidi"/>
                <w:szCs w:val="21"/>
              </w:rPr>
              <w:t xml:space="preserve">（提供第三方测试报告）</w:t>
            </w:r>
            <w:r/>
          </w:p>
          <w:p>
            <w:pPr>
              <w:jc w:val="left"/>
              <w:rPr>
                <w:rFonts w:ascii="宋体"/>
              </w:rPr>
            </w:pPr>
            <w:r>
              <w:rPr>
                <w:rFonts w:hint="eastAsia" w:ascii="宋体" w:hAnsi="宋体"/>
                <w:szCs w:val="21"/>
              </w:rPr>
              <w:t xml:space="preserve">5、</w:t>
            </w:r>
            <w:r>
              <w:rPr>
                <w:rFonts w:ascii="宋体" w:hAnsi="宋体"/>
              </w:rPr>
              <w:t xml:space="preserve">工作台台面使用仿石材花纹贴面板</w:t>
            </w:r>
            <w:r>
              <w:rPr>
                <w:rFonts w:hint="eastAsia" w:ascii="宋体" w:hAnsi="宋体"/>
              </w:rPr>
              <w:t xml:space="preserve">。</w:t>
            </w:r>
            <w:r/>
          </w:p>
        </w:tc>
      </w:tr>
      <w:tr>
        <w:trPr>
          <w:jc w:val="center"/>
          <w:trHeight w:val="90"/>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4.3</w:t>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液压支撑系统</w:t>
            </w:r>
            <w:r/>
          </w:p>
        </w:tc>
        <w:tc>
          <w:tcPr>
            <w:tcW w:w="6668"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液压支撑系统1套，技术要求如下：</w:t>
            </w:r>
            <w:r/>
          </w:p>
          <w:p>
            <w:pPr>
              <w:rPr>
                <w:rFonts w:asciiTheme="minorEastAsia" w:hAnsiTheme="minorEastAsia" w:eastAsiaTheme="minorEastAsia"/>
                <w:szCs w:val="21"/>
              </w:rPr>
            </w:pPr>
            <w:r>
              <w:rPr>
                <w:rFonts w:hint="eastAsia" w:asciiTheme="minorEastAsia" w:hAnsiTheme="minorEastAsia" w:eastAsiaTheme="minorEastAsia"/>
                <w:szCs w:val="21"/>
              </w:rPr>
              <w:t xml:space="preserve">1、电源电压：DC24V；</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2、支撑油缸：单缸支撑力≥8吨，行程≥400mm；</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3、工作环境温度：-30~55℃，湿度：20%~90%；</w:t>
            </w:r>
            <w:r/>
          </w:p>
          <w:p>
            <w:pPr>
              <w:rPr>
                <w:rFonts w:asciiTheme="minorEastAsia" w:hAnsiTheme="minorEastAsia" w:eastAsiaTheme="minorEastAsia"/>
                <w:szCs w:val="21"/>
              </w:rPr>
            </w:pPr>
            <w:r>
              <w:rPr>
                <w:rFonts w:hint="eastAsia" w:asciiTheme="minorEastAsia" w:hAnsiTheme="minorEastAsia" w:eastAsiaTheme="minorEastAsia"/>
                <w:szCs w:val="21"/>
              </w:rPr>
              <w:t xml:space="preserve">4、电机功率：≥2.2kW；</w:t>
            </w:r>
            <w:r/>
          </w:p>
          <w:p>
            <w:pPr>
              <w:rPr>
                <w:rFonts w:asciiTheme="minorEastAsia" w:hAnsiTheme="minorEastAsia" w:eastAsiaTheme="minorEastAsia"/>
                <w:szCs w:val="21"/>
              </w:rPr>
            </w:pPr>
            <w:r>
              <w:rPr>
                <w:rFonts w:hint="eastAsia" w:asciiTheme="minorEastAsia" w:hAnsiTheme="minorEastAsia" w:eastAsiaTheme="minorEastAsia"/>
                <w:szCs w:val="21"/>
              </w:rPr>
              <w:t xml:space="preserve">5、油泵排量：≥2.5ml/r；</w:t>
            </w:r>
            <w:r/>
          </w:p>
          <w:p>
            <w:pPr>
              <w:rPr>
                <w:rFonts w:asciiTheme="minorEastAsia" w:hAnsiTheme="minorEastAsia" w:eastAsiaTheme="minorEastAsia"/>
                <w:szCs w:val="21"/>
              </w:rPr>
            </w:pPr>
            <w:r>
              <w:rPr>
                <w:rFonts w:hint="eastAsia" w:asciiTheme="minorEastAsia" w:hAnsiTheme="minorEastAsia" w:eastAsiaTheme="minorEastAsia"/>
                <w:szCs w:val="21"/>
              </w:rPr>
              <w:t xml:space="preserve">6、工作压力：≥16MPa；</w:t>
            </w:r>
            <w:r/>
          </w:p>
          <w:p>
            <w:pPr>
              <w:rPr>
                <w:rFonts w:asciiTheme="minorEastAsia" w:hAnsiTheme="minorEastAsia" w:eastAsiaTheme="minorEastAsia"/>
                <w:szCs w:val="21"/>
              </w:rPr>
            </w:pPr>
            <w:r>
              <w:rPr>
                <w:rFonts w:hint="eastAsia" w:asciiTheme="minorEastAsia" w:hAnsiTheme="minorEastAsia" w:eastAsiaTheme="minorEastAsia"/>
                <w:szCs w:val="21"/>
              </w:rPr>
              <w:t xml:space="preserve">7、最高耐压：≥21MPa；</w:t>
            </w:r>
            <w:r/>
          </w:p>
          <w:p>
            <w:pPr>
              <w:rPr>
                <w:rFonts w:asciiTheme="minorEastAsia" w:hAnsiTheme="minorEastAsia" w:eastAsiaTheme="minorEastAsia"/>
                <w:szCs w:val="21"/>
              </w:rPr>
            </w:pPr>
            <w:r>
              <w:rPr>
                <w:rFonts w:hint="eastAsia" w:asciiTheme="minorEastAsia" w:hAnsiTheme="minorEastAsia" w:eastAsiaTheme="minorEastAsia"/>
                <w:szCs w:val="21"/>
              </w:rPr>
              <w:t xml:space="preserve">8、油箱容积：≥10L；</w:t>
            </w:r>
            <w:r/>
          </w:p>
          <w:p>
            <w:pPr>
              <w:rPr>
                <w:rFonts w:asciiTheme="minorEastAsia" w:hAnsiTheme="minorEastAsia" w:eastAsiaTheme="minorEastAsia"/>
                <w:szCs w:val="21"/>
              </w:rPr>
            </w:pPr>
            <w:r>
              <w:rPr>
                <w:rFonts w:hint="eastAsia" w:asciiTheme="minorEastAsia" w:hAnsiTheme="minorEastAsia" w:eastAsiaTheme="minorEastAsia"/>
                <w:szCs w:val="21"/>
              </w:rPr>
              <w:t xml:space="preserve">9、安全阀：5-21MPa可调；</w:t>
            </w:r>
            <w:r/>
          </w:p>
          <w:p>
            <w:pPr>
              <w:rPr>
                <w:rFonts w:asciiTheme="minorEastAsia" w:hAnsiTheme="minorEastAsia" w:eastAsiaTheme="minorEastAsia"/>
                <w:szCs w:val="21"/>
              </w:rPr>
            </w:pPr>
            <w:r>
              <w:rPr>
                <w:rFonts w:hint="eastAsia" w:asciiTheme="minorEastAsia" w:hAnsiTheme="minorEastAsia" w:eastAsiaTheme="minorEastAsia"/>
                <w:szCs w:val="21"/>
              </w:rPr>
              <w:t xml:space="preserve">10、具备支腿未收回报警功能；</w:t>
            </w:r>
            <w:r/>
          </w:p>
          <w:p>
            <w:pPr>
              <w:rPr>
                <w:rFonts w:asciiTheme="minorEastAsia" w:hAnsiTheme="minorEastAsia" w:eastAsiaTheme="minorEastAsia"/>
                <w:szCs w:val="21"/>
              </w:rPr>
            </w:pPr>
            <w:r>
              <w:rPr>
                <w:rFonts w:hint="eastAsia" w:asciiTheme="minorEastAsia" w:hAnsiTheme="minorEastAsia" w:eastAsiaTheme="minorEastAsia"/>
                <w:szCs w:val="21"/>
              </w:rPr>
              <w:t xml:space="preserve">11、低温曲挠性能要求：在-40℃进行试验时，内衬层或外覆盖层应无龟裂，当恢复至室温时，按照GB/T5563或ISO6605进行验证压力试验时，无泄漏或龟裂问题，提供第三方检测报告。</w:t>
            </w:r>
            <w:r/>
          </w:p>
          <w:p>
            <w:pPr>
              <w:rPr>
                <w:rFonts w:asciiTheme="minorEastAsia" w:hAnsiTheme="minorEastAsia" w:eastAsiaTheme="minorEastAsia"/>
                <w:szCs w:val="21"/>
              </w:rPr>
            </w:pPr>
            <w:r>
              <w:rPr>
                <w:rFonts w:hint="eastAsia" w:asciiTheme="minorEastAsia" w:hAnsiTheme="minorEastAsia" w:eastAsiaTheme="minorEastAsia"/>
                <w:szCs w:val="21"/>
              </w:rPr>
              <w:t xml:space="preserve">12、层间粘合性能要求：按照GB/T14905测定时，内衬层与增强层、外覆层与增强层之间粘合强度，IST、2ST、1SN和2SN型软管应不小于2.5kN/m，RIATS和R2ATS型软管应不小于1.8kN/m，提供第三方检测报告。</w:t>
            </w:r>
            <w:r/>
          </w:p>
          <w:p>
            <w:pPr>
              <w:rPr>
                <w:rFonts w:asciiTheme="minorEastAsia" w:hAnsiTheme="minorEastAsia" w:eastAsiaTheme="minorEastAsia"/>
                <w:szCs w:val="21"/>
              </w:rPr>
            </w:pPr>
            <w:r>
              <w:rPr>
                <w:rFonts w:hint="eastAsia" w:asciiTheme="minorEastAsia" w:hAnsiTheme="minorEastAsia" w:eastAsiaTheme="minorEastAsia"/>
                <w:szCs w:val="21"/>
              </w:rPr>
              <w:t xml:space="preserve">13、防护等级性能要求：外壳防护等级不低于IP66，支腿线缆4p插头外壳防护等级不低于IP67，提供第三方检测报告。</w:t>
            </w:r>
            <w:r/>
          </w:p>
          <w:p>
            <w:pPr>
              <w:rPr>
                <w:rFonts w:asciiTheme="minorEastAsia" w:hAnsiTheme="minorEastAsia" w:eastAsiaTheme="minorEastAsia"/>
                <w:szCs w:val="21"/>
              </w:rPr>
            </w:pPr>
            <w:r>
              <w:rPr>
                <w:rFonts w:hint="eastAsia" w:asciiTheme="minorEastAsia" w:hAnsiTheme="minorEastAsia" w:eastAsiaTheme="minorEastAsia"/>
                <w:szCs w:val="21"/>
              </w:rPr>
              <w:t xml:space="preserve">14、耐油性能要求：满足70℃下浸泡于IRM903油中168h，外覆层的体积变化率应在0%~+100%之间，即不允许收缩，提供第三方检测报告。</w:t>
            </w:r>
            <w:r/>
          </w:p>
          <w:p>
            <w:pPr>
              <w:jc w:val="left"/>
              <w:rPr>
                <w:rFonts w:hint="eastAsia" w:ascii="新宋体" w:hAnsi="新宋体" w:eastAsia="新宋体" w:cs="新宋体"/>
                <w:szCs w:val="21"/>
              </w:rPr>
            </w:pPr>
            <w:r>
              <w:rPr>
                <w:rFonts w:hint="eastAsia" w:asciiTheme="minorEastAsia" w:hAnsiTheme="minorEastAsia" w:eastAsiaTheme="minorEastAsia"/>
                <w:szCs w:val="21"/>
              </w:rPr>
              <w:t xml:space="preserve">15、阻燃性能要求：应满足GB/T2408要求符合阻燃标准，提供第三方检测报告。</w:t>
            </w:r>
            <w:r/>
          </w:p>
        </w:tc>
      </w:tr>
      <w:tr>
        <w:trPr>
          <w:jc w:val="center"/>
          <w:trHeight w:val="367"/>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gridSpan w:val="2"/>
            <w:tcW w:w="8429" w:type="dxa"/>
            <w:vAlign w:val="center"/>
            <w:textDirection w:val="lrTb"/>
            <w:noWrap w:val="false"/>
          </w:tcPr>
          <w:p>
            <w:pPr>
              <w:jc w:val="center"/>
              <w:rPr>
                <w:rFonts w:hint="eastAsia" w:ascii="宋体" w:hAnsi="宋体"/>
                <w:bCs/>
                <w:szCs w:val="21"/>
              </w:rPr>
            </w:pPr>
            <w:r>
              <w:rPr>
                <w:rFonts w:hint="eastAsia" w:ascii="宋体" w:hAnsi="宋体"/>
                <w:bCs/>
                <w:szCs w:val="21"/>
              </w:rPr>
              <w:t xml:space="preserve">上装部分</w:t>
            </w:r>
            <w:r/>
          </w:p>
        </w:tc>
      </w:tr>
      <w:tr>
        <w:trPr>
          <w:jc w:val="center"/>
        </w:trPr>
        <w:tc>
          <w:tcPr>
            <w:tcW w:w="922"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5.1</w:t>
            </w:r>
            <w:r/>
          </w:p>
          <w:p>
            <w:pPr>
              <w:rPr>
                <w:rFonts w:hint="eastAsia" w:ascii="宋体" w:hAnsi="宋体"/>
                <w:bCs/>
                <w:szCs w:val="21"/>
              </w:rPr>
              <w:outlineLvl w:val="0"/>
            </w:pPr>
            <w:r>
              <w:rPr>
                <w:rFonts w:hint="eastAsia" w:ascii="宋体" w:hAnsi="宋体"/>
                <w:bCs/>
                <w:szCs w:val="21"/>
              </w:rPr>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医用冰箱1台</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1、有效内容积（L）：≥340L</w:t>
            </w:r>
            <w:r/>
          </w:p>
          <w:p>
            <w:pPr>
              <w:jc w:val="left"/>
              <w:rPr>
                <w:rFonts w:hint="eastAsia" w:ascii="宋体" w:hAnsi="宋体"/>
                <w:szCs w:val="21"/>
              </w:rPr>
            </w:pPr>
            <w:r>
              <w:rPr>
                <w:rFonts w:hint="eastAsia" w:ascii="宋体" w:hAnsi="宋体"/>
                <w:szCs w:val="21"/>
              </w:rPr>
              <w:t xml:space="preserve">2、温度控制：风冷，电加热补偿系统，精确微电脑控制，箱内温度恒定控制在4±1℃范围内；数字温度显示，平均温度显示，分辨率0.1℃；设定点可以调整校对，校对范围2～8℃，校对0.1℃增量。</w:t>
            </w:r>
            <w:r/>
          </w:p>
          <w:p>
            <w:pPr>
              <w:jc w:val="left"/>
              <w:rPr>
                <w:rFonts w:hint="eastAsia" w:ascii="宋体" w:hAnsi="宋体"/>
                <w:szCs w:val="21"/>
              </w:rPr>
            </w:pPr>
            <w:r>
              <w:rPr>
                <w:rFonts w:hint="eastAsia" w:ascii="宋体" w:hAnsi="宋体"/>
                <w:szCs w:val="21"/>
              </w:rPr>
              <w:t xml:space="preserve">3、.通过温度传感器、电子温控器和微电脑控制器来确保保存箱内温度的精确。即使频繁开门，温控系统也能迅速作出调整，使柜内温度保持稳定。</w:t>
            </w:r>
            <w:r/>
          </w:p>
          <w:p>
            <w:pPr>
              <w:jc w:val="left"/>
              <w:rPr>
                <w:rFonts w:hint="eastAsia" w:ascii="宋体" w:hAnsi="宋体"/>
                <w:szCs w:val="21"/>
              </w:rPr>
            </w:pPr>
            <w:r>
              <w:rPr>
                <w:rFonts w:hint="eastAsia" w:ascii="宋体" w:hAnsi="宋体"/>
                <w:szCs w:val="21"/>
              </w:rPr>
              <w:t xml:space="preserve">4、柜内风冷循环系统保证柜内温度均匀。柜内负荷较大时能够迅速制冷。5、带热反射膜的双层玻璃门。</w:t>
            </w:r>
            <w:r/>
          </w:p>
          <w:p>
            <w:pPr>
              <w:jc w:val="left"/>
              <w:rPr>
                <w:rFonts w:hint="eastAsia" w:ascii="宋体" w:hAnsi="宋体"/>
                <w:szCs w:val="21"/>
              </w:rPr>
            </w:pPr>
            <w:r>
              <w:rPr>
                <w:rFonts w:hint="eastAsia" w:ascii="宋体" w:hAnsi="宋体"/>
                <w:szCs w:val="21"/>
              </w:rPr>
              <w:t xml:space="preserve">6、外形尺寸（长*宽*高）：≤800mm * 499mm * 1800mm</w:t>
            </w:r>
            <w:r/>
          </w:p>
          <w:p>
            <w:pPr>
              <w:jc w:val="left"/>
              <w:rPr>
                <w:rFonts w:hint="eastAsia" w:ascii="宋体" w:hAnsi="宋体"/>
                <w:szCs w:val="21"/>
              </w:rPr>
            </w:pPr>
            <w:r>
              <w:rPr>
                <w:rFonts w:hint="eastAsia" w:ascii="宋体" w:hAnsi="宋体"/>
                <w:szCs w:val="21"/>
              </w:rPr>
              <w:t xml:space="preserve">7、外部材料：彩色涂层钢板</w:t>
            </w:r>
            <w:r/>
          </w:p>
          <w:p>
            <w:pPr>
              <w:jc w:val="left"/>
              <w:rPr>
                <w:rFonts w:hint="eastAsia" w:ascii="宋体" w:hAnsi="宋体"/>
                <w:szCs w:val="21"/>
              </w:rPr>
            </w:pPr>
            <w:r>
              <w:rPr>
                <w:rFonts w:hint="eastAsia" w:ascii="宋体" w:hAnsi="宋体"/>
                <w:szCs w:val="21"/>
              </w:rPr>
              <w:t xml:space="preserve">8、内部材料：不锈钢板；外门：带热反射膜玻璃门；搁板：硬钢线制PE涂层网架，承重≥20Kg、多段调节式、5层</w:t>
            </w:r>
            <w:r/>
          </w:p>
          <w:p>
            <w:pPr>
              <w:jc w:val="left"/>
              <w:rPr>
                <w:rFonts w:hint="eastAsia" w:ascii="宋体" w:hAnsi="宋体"/>
                <w:szCs w:val="21"/>
              </w:rPr>
            </w:pPr>
            <w:r>
              <w:rPr>
                <w:rFonts w:hint="eastAsia" w:ascii="宋体" w:hAnsi="宋体"/>
                <w:szCs w:val="21"/>
              </w:rPr>
              <w:t xml:space="preserve">9、保温材：硬质聚胺亚脂原位整体发泡</w:t>
            </w:r>
            <w:r/>
          </w:p>
          <w:p>
            <w:pPr>
              <w:jc w:val="left"/>
              <w:rPr>
                <w:rFonts w:hint="eastAsia" w:ascii="宋体" w:hAnsi="宋体"/>
                <w:szCs w:val="21"/>
              </w:rPr>
            </w:pPr>
            <w:r>
              <w:rPr>
                <w:rFonts w:hint="eastAsia" w:ascii="宋体" w:hAnsi="宋体"/>
                <w:szCs w:val="21"/>
              </w:rPr>
              <w:t xml:space="preserve">10、重量（kg）：≤103 kg</w:t>
            </w:r>
            <w:r/>
          </w:p>
          <w:p>
            <w:pPr>
              <w:jc w:val="left"/>
              <w:rPr>
                <w:rFonts w:hint="eastAsia" w:ascii="宋体" w:hAnsi="宋体"/>
                <w:szCs w:val="21"/>
              </w:rPr>
            </w:pPr>
            <w:r>
              <w:rPr>
                <w:rFonts w:hint="eastAsia" w:ascii="宋体" w:hAnsi="宋体"/>
                <w:szCs w:val="21"/>
              </w:rPr>
              <w:t xml:space="preserve">11、电源：单相/220V/50Hz</w:t>
            </w:r>
            <w:r/>
          </w:p>
          <w:p>
            <w:pPr>
              <w:jc w:val="left"/>
              <w:rPr>
                <w:rFonts w:hint="eastAsia" w:ascii="宋体" w:hAnsi="宋体"/>
                <w:szCs w:val="21"/>
              </w:rPr>
            </w:pPr>
            <w:r>
              <w:rPr>
                <w:rFonts w:hint="eastAsia" w:ascii="宋体" w:hAnsi="宋体"/>
                <w:szCs w:val="21"/>
              </w:rPr>
              <w:t xml:space="preserve">12、额定功率（W）：≥235W</w:t>
            </w:r>
            <w:r/>
          </w:p>
          <w:p>
            <w:pPr>
              <w:jc w:val="left"/>
              <w:rPr>
                <w:rFonts w:hint="eastAsia" w:ascii="宋体" w:hAnsi="宋体"/>
                <w:szCs w:val="21"/>
              </w:rPr>
            </w:pPr>
            <w:r>
              <w:rPr>
                <w:rFonts w:hint="eastAsia" w:ascii="宋体" w:hAnsi="宋体"/>
                <w:szCs w:val="21"/>
              </w:rPr>
              <w:t xml:space="preserve">13、压缩机功率（W）：≥160W</w:t>
            </w:r>
            <w:r/>
          </w:p>
          <w:p>
            <w:pPr>
              <w:jc w:val="left"/>
              <w:rPr>
                <w:rFonts w:hint="eastAsia" w:ascii="宋体" w:hAnsi="宋体"/>
                <w:szCs w:val="21"/>
              </w:rPr>
            </w:pPr>
            <w:r>
              <w:rPr>
                <w:rFonts w:hint="eastAsia" w:ascii="宋体" w:hAnsi="宋体"/>
                <w:szCs w:val="21"/>
              </w:rPr>
              <w:t xml:space="preserve">14、制冷剂：环保型制冷剂R134a</w:t>
            </w:r>
            <w:r/>
          </w:p>
          <w:p>
            <w:pPr>
              <w:jc w:val="left"/>
              <w:rPr>
                <w:rFonts w:hint="eastAsia" w:ascii="宋体" w:hAnsi="宋体"/>
                <w:szCs w:val="21"/>
              </w:rPr>
            </w:pPr>
            <w:r>
              <w:rPr>
                <w:rFonts w:hint="eastAsia" w:ascii="宋体" w:hAnsi="宋体"/>
                <w:szCs w:val="21"/>
              </w:rPr>
              <w:t xml:space="preserve">15、冷却方式：强制冷空气循环</w:t>
            </w:r>
            <w:r/>
          </w:p>
          <w:p>
            <w:pPr>
              <w:jc w:val="left"/>
              <w:rPr>
                <w:rFonts w:hint="eastAsia" w:ascii="宋体" w:hAnsi="宋体"/>
                <w:szCs w:val="21"/>
              </w:rPr>
            </w:pPr>
            <w:r>
              <w:rPr>
                <w:rFonts w:hint="eastAsia" w:ascii="宋体" w:hAnsi="宋体"/>
                <w:szCs w:val="21"/>
              </w:rPr>
              <w:t xml:space="preserve">16、除霜方式：强制除霜，全自动</w:t>
            </w:r>
            <w:r/>
          </w:p>
          <w:p>
            <w:pPr>
              <w:jc w:val="left"/>
              <w:rPr>
                <w:rFonts w:hint="eastAsia" w:ascii="宋体" w:hAnsi="宋体"/>
                <w:szCs w:val="21"/>
              </w:rPr>
            </w:pPr>
            <w:r>
              <w:rPr>
                <w:rFonts w:hint="eastAsia" w:ascii="宋体" w:hAnsi="宋体"/>
                <w:szCs w:val="21"/>
              </w:rPr>
              <w:t xml:space="preserve">17、报警系统：高温报警、低温报警、温度过升防止装置、门未关报警</w:t>
            </w:r>
            <w:r/>
          </w:p>
        </w:tc>
      </w:tr>
      <w:tr>
        <w:trPr>
          <w:jc w:val="center"/>
        </w:trPr>
        <w:tc>
          <w:tcPr>
            <w:tcW w:w="922" w:type="dxa"/>
            <w:vAlign w:val="center"/>
            <w:vMerge w:val="continue"/>
            <w:textDirection w:val="lrTb"/>
            <w:noWrap w:val="false"/>
          </w:tcPr>
          <w:p>
            <w:pPr>
              <w:rPr>
                <w:rFonts w:hint="eastAsia" w:ascii="宋体" w:hAnsi="宋体"/>
                <w:bCs/>
                <w:szCs w:val="21"/>
              </w:rPr>
              <w:outlineLvl w:val="0"/>
            </w:pPr>
            <w:r>
              <w:rPr>
                <w:rFonts w:hint="eastAsia" w:ascii="宋体" w:hAnsi="宋体"/>
                <w:bCs/>
                <w:szCs w:val="21"/>
              </w:rPr>
            </w:r>
            <w:r/>
          </w:p>
        </w:tc>
        <w:tc>
          <w:tcPr>
            <w:tcW w:w="1761" w:type="dxa"/>
            <w:vAlign w:val="center"/>
            <w:textDirection w:val="lrTb"/>
            <w:noWrap w:val="false"/>
          </w:tcPr>
          <w:p>
            <w:pPr>
              <w:rPr>
                <w:rFonts w:hint="eastAsia" w:ascii="宋体" w:hAnsi="宋体" w:cs="宋体"/>
                <w:bCs/>
                <w:szCs w:val="21"/>
              </w:rPr>
              <w:outlineLvl w:val="0"/>
            </w:pPr>
            <w:r>
              <w:rPr>
                <w:rFonts w:hint="eastAsia" w:ascii="宋体" w:hAnsi="宋体" w:cs="宋体"/>
                <w:bCs/>
                <w:szCs w:val="21"/>
                <w:lang w:bidi="ar"/>
              </w:rPr>
              <w:t xml:space="preserve">离心机1台</w:t>
            </w:r>
            <w:r/>
          </w:p>
        </w:tc>
        <w:tc>
          <w:tcPr>
            <w:tcW w:w="6668" w:type="dxa"/>
            <w:vAlign w:val="center"/>
            <w:textDirection w:val="lrTb"/>
            <w:noWrap w:val="false"/>
          </w:tcPr>
          <w:p>
            <w:pPr>
              <w:rPr>
                <w:rFonts w:hint="eastAsia" w:ascii="宋体" w:hAnsi="宋体" w:cs="宋体"/>
                <w:szCs w:val="21"/>
              </w:rPr>
            </w:pPr>
            <w:r>
              <w:rPr>
                <w:rFonts w:hint="eastAsia" w:ascii="宋体" w:hAnsi="宋体" w:cs="宋体"/>
                <w:szCs w:val="21"/>
                <w:lang w:bidi="ar"/>
              </w:rPr>
              <w:t xml:space="preserve">≥5ml，功率≥130W，最高转速≥4000rpm，离心力≥2320xg。</w:t>
            </w:r>
            <w:r/>
          </w:p>
        </w:tc>
      </w:tr>
      <w:tr>
        <w:trPr>
          <w:jc w:val="center"/>
          <w:trHeight w:val="90"/>
        </w:trPr>
        <w:tc>
          <w:tcPr>
            <w:tcW w:w="922" w:type="dxa"/>
            <w:vAlign w:val="center"/>
            <w:vMerge w:val="continue"/>
            <w:textDirection w:val="lrTb"/>
            <w:noWrap w:val="false"/>
          </w:tcPr>
          <w:p>
            <w:pPr>
              <w:rPr>
                <w:rFonts w:hint="eastAsia" w:ascii="宋体" w:hAnsi="宋体"/>
                <w:bCs/>
                <w:szCs w:val="21"/>
              </w:rPr>
              <w:outlineLvl w:val="0"/>
            </w:pPr>
            <w:r>
              <w:rPr>
                <w:rFonts w:hint="eastAsia" w:ascii="宋体" w:hAnsi="宋体"/>
                <w:bCs/>
                <w:szCs w:val="21"/>
              </w:rPr>
            </w:r>
            <w:r/>
          </w:p>
        </w:tc>
        <w:tc>
          <w:tcPr>
            <w:tcW w:w="1761" w:type="dxa"/>
            <w:vAlign w:val="center"/>
            <w:textDirection w:val="lrTb"/>
            <w:noWrap w:val="false"/>
          </w:tcPr>
          <w:p>
            <w:pPr>
              <w:rPr>
                <w:rFonts w:hint="eastAsia" w:ascii="宋体" w:hAnsi="宋体"/>
                <w:bCs/>
                <w:szCs w:val="21"/>
              </w:rPr>
              <w:outlineLvl w:val="0"/>
            </w:pPr>
            <w:r>
              <w:rPr>
                <w:rFonts w:hint="eastAsia"/>
              </w:rPr>
              <w:t xml:space="preserve">小型干式生化分析仪1台</w:t>
            </w:r>
            <w:r/>
          </w:p>
        </w:tc>
        <w:tc>
          <w:tcPr>
            <w:tcW w:w="6668" w:type="dxa"/>
            <w:vAlign w:val="center"/>
            <w:textDirection w:val="lrTb"/>
            <w:noWrap w:val="false"/>
          </w:tcPr>
          <w:p>
            <w:pPr>
              <w:jc w:val="left"/>
              <w:tabs>
                <w:tab w:val="left" w:pos="4151" w:leader="none"/>
              </w:tabs>
              <w:rPr>
                <w:rFonts w:hint="eastAsia" w:ascii="宋体" w:hAnsi="宋体"/>
                <w:bCs/>
                <w:szCs w:val="21"/>
              </w:rPr>
              <w:outlineLvl w:val="0"/>
            </w:pPr>
            <w:r>
              <w:rPr>
                <w:rFonts w:hint="eastAsia" w:ascii="宋体" w:hAnsi="宋体"/>
                <w:bCs/>
                <w:szCs w:val="21"/>
              </w:rPr>
              <w:t xml:space="preserve">标本：全血、血浆、血清</w:t>
            </w:r>
            <w:r/>
          </w:p>
          <w:p>
            <w:pPr>
              <w:jc w:val="left"/>
              <w:tabs>
                <w:tab w:val="left" w:pos="4151" w:leader="none"/>
              </w:tabs>
              <w:rPr>
                <w:rFonts w:hint="eastAsia" w:ascii="宋体" w:hAnsi="宋体"/>
                <w:bCs/>
                <w:szCs w:val="21"/>
              </w:rPr>
              <w:outlineLvl w:val="0"/>
            </w:pPr>
            <w:r>
              <w:rPr>
                <w:rFonts w:hint="eastAsia" w:ascii="宋体" w:hAnsi="宋体"/>
                <w:bCs/>
                <w:szCs w:val="21"/>
              </w:rPr>
              <w:t xml:space="preserve">测定原理：比色法、干式化学法</w:t>
            </w:r>
            <w:r/>
          </w:p>
          <w:p>
            <w:pPr>
              <w:jc w:val="left"/>
              <w:tabs>
                <w:tab w:val="left" w:pos="4151" w:leader="none"/>
              </w:tabs>
              <w:rPr>
                <w:rFonts w:hint="eastAsia" w:ascii="宋体" w:hAnsi="宋体"/>
                <w:bCs/>
                <w:szCs w:val="21"/>
              </w:rPr>
              <w:outlineLvl w:val="0"/>
            </w:pPr>
            <w:r>
              <w:rPr>
                <w:rFonts w:hint="eastAsia" w:ascii="宋体" w:hAnsi="宋体"/>
                <w:bCs/>
                <w:szCs w:val="21"/>
              </w:rPr>
              <w:t xml:space="preserve">打印：外接打印机（针式/热敏）</w:t>
            </w:r>
            <w:r/>
          </w:p>
          <w:p>
            <w:pPr>
              <w:jc w:val="left"/>
              <w:tabs>
                <w:tab w:val="left" w:pos="4151" w:leader="none"/>
              </w:tabs>
              <w:rPr>
                <w:rFonts w:hint="eastAsia" w:ascii="宋体" w:hAnsi="宋体"/>
                <w:bCs/>
                <w:szCs w:val="21"/>
              </w:rPr>
              <w:outlineLvl w:val="0"/>
            </w:pPr>
            <w:r>
              <w:rPr>
                <w:rFonts w:hint="eastAsia" w:ascii="宋体" w:hAnsi="宋体"/>
                <w:bCs/>
                <w:szCs w:val="21"/>
              </w:rPr>
              <w:t xml:space="preserve">联机操作：标准RS232C/USB输出端口，可与电脑联机，进行数据管理</w:t>
            </w:r>
            <w:r/>
          </w:p>
          <w:p>
            <w:pPr>
              <w:jc w:val="left"/>
              <w:tabs>
                <w:tab w:val="left" w:pos="4151" w:leader="none"/>
              </w:tabs>
              <w:rPr>
                <w:rFonts w:hint="eastAsia" w:ascii="宋体" w:hAnsi="宋体"/>
                <w:bCs/>
                <w:szCs w:val="21"/>
              </w:rPr>
              <w:outlineLvl w:val="0"/>
            </w:pPr>
            <w:r>
              <w:rPr>
                <w:rFonts w:hint="eastAsia" w:ascii="宋体" w:hAnsi="宋体"/>
                <w:bCs/>
                <w:szCs w:val="21"/>
              </w:rPr>
              <w:t xml:space="preserve">电源频率：电压（交流）：220V；</w:t>
            </w:r>
            <w:r/>
          </w:p>
          <w:p>
            <w:pPr>
              <w:jc w:val="left"/>
              <w:tabs>
                <w:tab w:val="left" w:pos="4151" w:leader="none"/>
              </w:tabs>
              <w:rPr>
                <w:rFonts w:hint="eastAsia" w:ascii="宋体" w:hAnsi="宋体"/>
                <w:bCs/>
                <w:szCs w:val="21"/>
              </w:rPr>
              <w:outlineLvl w:val="0"/>
            </w:pPr>
            <w:r>
              <w:rPr>
                <w:rFonts w:hint="eastAsia" w:ascii="宋体" w:hAnsi="宋体"/>
                <w:bCs/>
                <w:szCs w:val="21"/>
              </w:rPr>
              <w:t xml:space="preserve">频率：50Hz</w:t>
            </w:r>
            <w:r/>
          </w:p>
          <w:p>
            <w:pPr>
              <w:jc w:val="left"/>
              <w:tabs>
                <w:tab w:val="left" w:pos="4151" w:leader="none"/>
              </w:tabs>
              <w:rPr>
                <w:rFonts w:hint="eastAsia" w:ascii="宋体" w:hAnsi="宋体"/>
                <w:bCs/>
                <w:szCs w:val="21"/>
              </w:rPr>
              <w:outlineLvl w:val="0"/>
            </w:pPr>
            <w:r>
              <w:rPr>
                <w:rFonts w:hint="eastAsia" w:ascii="宋体" w:hAnsi="宋体"/>
                <w:bCs/>
                <w:szCs w:val="21"/>
              </w:rPr>
              <w:t xml:space="preserve">重量：≦8.35Kg</w:t>
            </w:r>
            <w:r/>
          </w:p>
          <w:p>
            <w:pPr>
              <w:jc w:val="left"/>
              <w:tabs>
                <w:tab w:val="left" w:pos="4151" w:leader="none"/>
              </w:tabs>
              <w:rPr>
                <w:rFonts w:hint="eastAsia" w:ascii="宋体" w:hAnsi="宋体"/>
                <w:bCs/>
                <w:szCs w:val="21"/>
              </w:rPr>
              <w:outlineLvl w:val="0"/>
            </w:pPr>
            <w:r>
              <w:rPr>
                <w:rFonts w:hint="eastAsia" w:ascii="宋体" w:hAnsi="宋体"/>
                <w:bCs/>
                <w:szCs w:val="21"/>
              </w:rPr>
              <w:t xml:space="preserve">体积：≦360mm×230mm×210mm</w:t>
            </w:r>
            <w:r/>
          </w:p>
          <w:p>
            <w:pPr>
              <w:jc w:val="left"/>
              <w:tabs>
                <w:tab w:val="left" w:pos="4151" w:leader="none"/>
              </w:tabs>
              <w:rPr>
                <w:rFonts w:hint="eastAsia" w:ascii="宋体" w:hAnsi="宋体"/>
                <w:bCs/>
                <w:szCs w:val="21"/>
              </w:rPr>
              <w:outlineLvl w:val="0"/>
            </w:pPr>
            <w:r>
              <w:rPr>
                <w:rFonts w:hint="eastAsia" w:ascii="宋体" w:hAnsi="宋体"/>
                <w:bCs/>
                <w:szCs w:val="21"/>
              </w:rPr>
              <w:t xml:space="preserve">使用期限：≧10年</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rPr>
                <w:rFonts w:hint="eastAsia" w:ascii="宋体" w:hAnsi="宋体"/>
                <w:bCs/>
                <w:szCs w:val="21"/>
              </w:rPr>
              <w:outlineLvl w:val="0"/>
            </w:pPr>
            <w:r>
              <w:rPr>
                <w:rFonts w:hint="eastAsia"/>
              </w:rPr>
              <w:t xml:space="preserve">热合机1台</w:t>
            </w:r>
            <w:r/>
          </w:p>
        </w:tc>
        <w:tc>
          <w:tcPr>
            <w:tcW w:w="6668" w:type="dxa"/>
            <w:vAlign w:val="center"/>
            <w:textDirection w:val="lrTb"/>
            <w:noWrap w:val="false"/>
          </w:tcPr>
          <w:p>
            <w:pPr>
              <w:jc w:val="left"/>
              <w:tabs>
                <w:tab w:val="left" w:pos="4151" w:leader="none"/>
              </w:tabs>
              <w:rPr>
                <w:rFonts w:hint="eastAsia" w:ascii="宋体" w:hAnsi="宋体"/>
                <w:bCs/>
                <w:szCs w:val="21"/>
              </w:rPr>
              <w:outlineLvl w:val="0"/>
            </w:pPr>
            <w:r>
              <w:rPr>
                <w:rFonts w:hint="eastAsia" w:ascii="宋体" w:hAnsi="宋体"/>
                <w:bCs/>
                <w:szCs w:val="21"/>
              </w:rPr>
              <w:t xml:space="preserve">1.仪器类型：高频晶体管；</w:t>
            </w:r>
            <w:r/>
          </w:p>
          <w:p>
            <w:pPr>
              <w:jc w:val="left"/>
              <w:tabs>
                <w:tab w:val="left" w:pos="4151" w:leader="none"/>
              </w:tabs>
              <w:rPr>
                <w:rFonts w:hint="eastAsia" w:ascii="宋体" w:hAnsi="宋体"/>
                <w:bCs/>
                <w:szCs w:val="21"/>
              </w:rPr>
              <w:outlineLvl w:val="0"/>
            </w:pPr>
            <w:r>
              <w:rPr>
                <w:rFonts w:hint="eastAsia" w:ascii="宋体" w:hAnsi="宋体"/>
                <w:bCs/>
                <w:szCs w:val="21"/>
              </w:rPr>
              <w:t xml:space="preserve">2.封管时间：0.8-1.2秒；</w:t>
            </w:r>
            <w:r/>
          </w:p>
          <w:p>
            <w:pPr>
              <w:jc w:val="left"/>
              <w:tabs>
                <w:tab w:val="left" w:pos="4151" w:leader="none"/>
              </w:tabs>
              <w:rPr>
                <w:rFonts w:hint="eastAsia" w:ascii="宋体" w:hAnsi="宋体"/>
                <w:bCs/>
                <w:szCs w:val="21"/>
              </w:rPr>
              <w:outlineLvl w:val="0"/>
            </w:pPr>
            <w:r>
              <w:rPr>
                <w:rFonts w:hint="eastAsia" w:ascii="宋体" w:hAnsi="宋体"/>
                <w:bCs/>
                <w:szCs w:val="21"/>
              </w:rPr>
              <w:t xml:space="preserve">3.最大封管直径：8mm；</w:t>
            </w:r>
            <w:r/>
          </w:p>
          <w:p>
            <w:pPr>
              <w:jc w:val="left"/>
              <w:tabs>
                <w:tab w:val="left" w:pos="4151" w:leader="none"/>
              </w:tabs>
              <w:rPr>
                <w:rFonts w:hint="eastAsia" w:ascii="宋体" w:hAnsi="宋体"/>
                <w:bCs/>
                <w:szCs w:val="21"/>
              </w:rPr>
              <w:outlineLvl w:val="0"/>
            </w:pPr>
            <w:r>
              <w:rPr>
                <w:rFonts w:hint="eastAsia" w:ascii="宋体" w:hAnsi="宋体"/>
                <w:bCs/>
                <w:szCs w:val="21"/>
              </w:rPr>
              <w:t xml:space="preserve">4.工作频率：≤40.68MHz；</w:t>
            </w:r>
            <w:r/>
          </w:p>
          <w:p>
            <w:pPr>
              <w:jc w:val="left"/>
              <w:tabs>
                <w:tab w:val="left" w:pos="4151" w:leader="none"/>
              </w:tabs>
              <w:rPr>
                <w:rFonts w:hint="eastAsia" w:ascii="宋体" w:hAnsi="宋体"/>
                <w:bCs/>
                <w:szCs w:val="21"/>
              </w:rPr>
              <w:outlineLvl w:val="0"/>
            </w:pPr>
            <w:r>
              <w:rPr>
                <w:rFonts w:hint="eastAsia" w:ascii="宋体" w:hAnsi="宋体"/>
                <w:bCs/>
                <w:szCs w:val="21"/>
              </w:rPr>
              <w:t xml:space="preserve">5.封口射频（RF）功率：≥30W；</w:t>
            </w:r>
            <w:r/>
          </w:p>
          <w:p>
            <w:pPr>
              <w:jc w:val="left"/>
              <w:tabs>
                <w:tab w:val="left" w:pos="4151" w:leader="none"/>
              </w:tabs>
              <w:rPr>
                <w:rFonts w:hint="eastAsia" w:ascii="宋体" w:hAnsi="宋体"/>
                <w:bCs/>
                <w:szCs w:val="21"/>
              </w:rPr>
              <w:outlineLvl w:val="0"/>
            </w:pPr>
            <w:r>
              <w:rPr>
                <w:rFonts w:hint="eastAsia" w:ascii="宋体" w:hAnsi="宋体"/>
                <w:bCs/>
                <w:szCs w:val="21"/>
              </w:rPr>
              <w:t xml:space="preserve">6.热合宽度调节：用户可根据需要自行调节热合面；</w:t>
            </w:r>
            <w:r/>
          </w:p>
          <w:p>
            <w:pPr>
              <w:jc w:val="left"/>
              <w:tabs>
                <w:tab w:val="left" w:pos="4151" w:leader="none"/>
              </w:tabs>
              <w:rPr>
                <w:rFonts w:hint="eastAsia" w:ascii="宋体" w:hAnsi="宋体"/>
                <w:bCs/>
                <w:szCs w:val="21"/>
              </w:rPr>
              <w:outlineLvl w:val="0"/>
            </w:pPr>
            <w:r>
              <w:rPr>
                <w:rFonts w:hint="eastAsia" w:ascii="宋体" w:hAnsi="宋体"/>
                <w:bCs/>
                <w:szCs w:val="21"/>
              </w:rPr>
              <w:t xml:space="preserve">7.消耗功率：工作：≤250W；待机：≤5W；</w:t>
            </w:r>
            <w:r/>
          </w:p>
          <w:p>
            <w:pPr>
              <w:jc w:val="left"/>
              <w:tabs>
                <w:tab w:val="left" w:pos="4151" w:leader="none"/>
              </w:tabs>
              <w:rPr>
                <w:rFonts w:hint="eastAsia" w:ascii="宋体" w:hAnsi="宋体"/>
                <w:bCs/>
                <w:szCs w:val="21"/>
              </w:rPr>
              <w:outlineLvl w:val="0"/>
            </w:pPr>
            <w:r>
              <w:rPr>
                <w:rFonts w:hint="eastAsia" w:ascii="宋体" w:hAnsi="宋体"/>
                <w:bCs/>
                <w:szCs w:val="21"/>
              </w:rPr>
              <w:t xml:space="preserve">8.尺寸：≤175mm长×150mm宽×300mm高；</w:t>
            </w:r>
            <w:r/>
          </w:p>
          <w:p>
            <w:pPr>
              <w:jc w:val="left"/>
              <w:tabs>
                <w:tab w:val="left" w:pos="4151" w:leader="none"/>
              </w:tabs>
              <w:rPr>
                <w:rFonts w:hint="eastAsia" w:ascii="宋体" w:hAnsi="宋体"/>
                <w:bCs/>
                <w:szCs w:val="21"/>
              </w:rPr>
              <w:outlineLvl w:val="0"/>
            </w:pPr>
            <w:r>
              <w:rPr>
                <w:rFonts w:hint="eastAsia" w:ascii="宋体" w:hAnsi="宋体"/>
                <w:bCs/>
                <w:szCs w:val="21"/>
              </w:rPr>
              <w:t xml:space="preserve">9.重量：≤6公斤；</w:t>
            </w:r>
            <w:r/>
          </w:p>
          <w:p>
            <w:pPr>
              <w:jc w:val="left"/>
              <w:tabs>
                <w:tab w:val="left" w:pos="4151" w:leader="none"/>
              </w:tabs>
              <w:rPr>
                <w:rFonts w:hint="eastAsia" w:ascii="宋体" w:hAnsi="宋体"/>
                <w:bCs/>
                <w:szCs w:val="21"/>
              </w:rPr>
              <w:outlineLvl w:val="0"/>
            </w:pPr>
            <w:r>
              <w:rPr>
                <w:rFonts w:hint="eastAsia" w:ascii="宋体" w:hAnsi="宋体"/>
                <w:bCs/>
                <w:szCs w:val="21"/>
              </w:rPr>
              <w:t xml:space="preserve">10.工作温度范围：0℃到40℃；</w:t>
            </w:r>
            <w:r/>
          </w:p>
          <w:p>
            <w:pPr>
              <w:jc w:val="left"/>
              <w:tabs>
                <w:tab w:val="left" w:pos="4151" w:leader="none"/>
              </w:tabs>
              <w:rPr>
                <w:rFonts w:hint="eastAsia" w:ascii="宋体" w:hAnsi="宋体"/>
                <w:bCs/>
                <w:szCs w:val="21"/>
              </w:rPr>
              <w:outlineLvl w:val="0"/>
            </w:pPr>
            <w:r>
              <w:rPr>
                <w:rFonts w:hint="eastAsia" w:ascii="宋体" w:hAnsi="宋体"/>
                <w:bCs/>
                <w:szCs w:val="21"/>
              </w:rPr>
              <w:t xml:space="preserve">11.防溅保护：可伸缩防溅保护板，避免热合时血液溅到操作者的眼睛里，保证操作人员安全；方便清洁：白色安全防护盖，方便拆卸清洗；</w:t>
            </w:r>
            <w:r/>
          </w:p>
          <w:p>
            <w:pPr>
              <w:jc w:val="left"/>
              <w:tabs>
                <w:tab w:val="left" w:pos="4151" w:leader="none"/>
              </w:tabs>
              <w:rPr>
                <w:rFonts w:hint="eastAsia" w:ascii="宋体" w:hAnsi="宋体"/>
                <w:bCs/>
                <w:szCs w:val="21"/>
              </w:rPr>
              <w:outlineLvl w:val="0"/>
            </w:pPr>
            <w:r>
              <w:rPr>
                <w:rFonts w:hint="eastAsia" w:ascii="宋体" w:hAnsi="宋体"/>
                <w:bCs/>
                <w:szCs w:val="21"/>
              </w:rPr>
              <w:t xml:space="preserve">12.仪器外壳：全铝合金外壳，美观大方；</w:t>
            </w:r>
            <w:r/>
          </w:p>
          <w:p>
            <w:pPr>
              <w:jc w:val="left"/>
              <w:tabs>
                <w:tab w:val="left" w:pos="4151" w:leader="none"/>
              </w:tabs>
              <w:rPr>
                <w:rFonts w:hint="eastAsia" w:ascii="宋体" w:hAnsi="宋体"/>
                <w:bCs/>
                <w:szCs w:val="21"/>
              </w:rPr>
              <w:outlineLvl w:val="0"/>
            </w:pPr>
            <w:r>
              <w:rPr>
                <w:rFonts w:hint="eastAsia" w:ascii="宋体" w:hAnsi="宋体"/>
                <w:bCs/>
                <w:szCs w:val="21"/>
              </w:rPr>
              <w:t xml:space="preserve">13.三种颜色指示机器状态：绿色（待机状态）红色 （热合状态）琥珀色 （调整状态）</w:t>
            </w:r>
            <w:r/>
          </w:p>
          <w:p>
            <w:pPr>
              <w:jc w:val="left"/>
              <w:tabs>
                <w:tab w:val="left" w:pos="4151" w:leader="none"/>
              </w:tabs>
              <w:rPr>
                <w:rFonts w:hint="eastAsia" w:ascii="宋体" w:hAnsi="宋体"/>
                <w:bCs/>
                <w:szCs w:val="21"/>
              </w:rPr>
              <w:outlineLvl w:val="0"/>
            </w:pPr>
            <w:r>
              <w:rPr>
                <w:rFonts w:hint="eastAsia" w:ascii="宋体" w:hAnsi="宋体"/>
                <w:bCs/>
                <w:szCs w:val="21"/>
              </w:rPr>
              <w:t xml:space="preserve">14.电压范围：160-240V；</w:t>
            </w:r>
            <w:r/>
          </w:p>
          <w:p>
            <w:pPr>
              <w:jc w:val="left"/>
              <w:tabs>
                <w:tab w:val="left" w:pos="4151" w:leader="none"/>
              </w:tabs>
              <w:rPr>
                <w:rFonts w:hint="eastAsia" w:ascii="宋体" w:hAnsi="宋体"/>
                <w:bCs/>
                <w:szCs w:val="21"/>
              </w:rPr>
              <w:outlineLvl w:val="0"/>
            </w:pPr>
            <w:r>
              <w:rPr>
                <w:rFonts w:hint="eastAsia" w:ascii="宋体" w:hAnsi="宋体"/>
                <w:bCs/>
                <w:szCs w:val="21"/>
              </w:rPr>
              <w:t xml:space="preserve">15.携带方便：顶部设有伸缩式防滑提手，人性化设计方便移动；</w:t>
            </w:r>
            <w:r/>
          </w:p>
          <w:p>
            <w:pPr>
              <w:jc w:val="left"/>
              <w:tabs>
                <w:tab w:val="left" w:pos="4151" w:leader="none"/>
              </w:tabs>
              <w:rPr>
                <w:rFonts w:hint="eastAsia" w:ascii="宋体" w:hAnsi="宋体"/>
                <w:bCs/>
                <w:szCs w:val="21"/>
              </w:rPr>
              <w:outlineLvl w:val="0"/>
            </w:pPr>
            <w:r>
              <w:rPr>
                <w:rFonts w:hint="eastAsia" w:ascii="宋体" w:hAnsi="宋体"/>
                <w:bCs/>
                <w:szCs w:val="21"/>
              </w:rPr>
              <w:t xml:space="preserve">16.保险管：机器自带备用保；</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rPr>
                <w:rFonts w:hint="eastAsia" w:ascii="宋体" w:hAnsi="宋体"/>
                <w:bCs/>
                <w:szCs w:val="21"/>
              </w:rPr>
              <w:outlineLvl w:val="0"/>
            </w:pPr>
            <w:r>
              <w:rPr>
                <w:rFonts w:hint="eastAsia"/>
              </w:rPr>
              <w:t xml:space="preserve">采血秤8台</w:t>
            </w:r>
            <w:r/>
          </w:p>
        </w:tc>
        <w:tc>
          <w:tcPr>
            <w:tcW w:w="6668" w:type="dxa"/>
            <w:vAlign w:val="center"/>
            <w:textDirection w:val="lrTb"/>
            <w:noWrap w:val="false"/>
          </w:tcPr>
          <w:p>
            <w:pPr>
              <w:jc w:val="left"/>
              <w:tabs>
                <w:tab w:val="left" w:pos="4151" w:leader="none"/>
              </w:tabs>
              <w:rPr>
                <w:rFonts w:hint="eastAsia" w:ascii="宋体" w:hAnsi="宋体"/>
                <w:bCs/>
                <w:szCs w:val="21"/>
              </w:rPr>
              <w:outlineLvl w:val="0"/>
            </w:pPr>
            <w:r>
              <w:rPr>
                <w:rFonts w:hint="eastAsia" w:ascii="宋体" w:hAnsi="宋体"/>
                <w:bCs/>
                <w:szCs w:val="21"/>
              </w:rPr>
              <w:t xml:space="preserve">1.采 液 量：50～1000ml</w:t>
            </w:r>
            <w:r/>
          </w:p>
          <w:p>
            <w:pPr>
              <w:jc w:val="left"/>
              <w:tabs>
                <w:tab w:val="left" w:pos="4151" w:leader="none"/>
              </w:tabs>
              <w:rPr>
                <w:rFonts w:hint="eastAsia" w:ascii="宋体" w:hAnsi="宋体"/>
                <w:bCs/>
                <w:szCs w:val="21"/>
              </w:rPr>
              <w:outlineLvl w:val="0"/>
            </w:pPr>
            <w:r>
              <w:rPr>
                <w:rFonts w:hint="eastAsia" w:ascii="宋体" w:hAnsi="宋体"/>
                <w:bCs/>
                <w:szCs w:val="21"/>
              </w:rPr>
              <w:t xml:space="preserve">2.液体比重：1.05g/ml</w:t>
            </w:r>
            <w:r/>
          </w:p>
          <w:p>
            <w:pPr>
              <w:jc w:val="left"/>
              <w:tabs>
                <w:tab w:val="left" w:pos="4151" w:leader="none"/>
              </w:tabs>
              <w:rPr>
                <w:rFonts w:hint="eastAsia" w:ascii="宋体" w:hAnsi="宋体"/>
                <w:bCs/>
                <w:szCs w:val="21"/>
              </w:rPr>
              <w:outlineLvl w:val="0"/>
            </w:pPr>
            <w:r>
              <w:rPr>
                <w:rFonts w:hint="eastAsia" w:ascii="宋体" w:hAnsi="宋体"/>
                <w:bCs/>
                <w:szCs w:val="21"/>
              </w:rPr>
              <w:t xml:space="preserve">3.分 度 值：2ml 或2g</w:t>
            </w:r>
            <w:r/>
          </w:p>
          <w:p>
            <w:pPr>
              <w:jc w:val="left"/>
              <w:tabs>
                <w:tab w:val="left" w:pos="4151" w:leader="none"/>
              </w:tabs>
              <w:rPr>
                <w:rFonts w:hint="eastAsia" w:ascii="宋体" w:hAnsi="宋体"/>
                <w:bCs/>
                <w:szCs w:val="21"/>
              </w:rPr>
              <w:outlineLvl w:val="0"/>
            </w:pPr>
            <w:r>
              <w:rPr>
                <w:rFonts w:hint="eastAsia" w:ascii="宋体" w:hAnsi="宋体"/>
                <w:bCs/>
                <w:szCs w:val="21"/>
              </w:rPr>
              <w:t xml:space="preserve">4.摇摆角度：13°±2°</w:t>
            </w:r>
            <w:r/>
          </w:p>
          <w:p>
            <w:pPr>
              <w:jc w:val="left"/>
              <w:tabs>
                <w:tab w:val="left" w:pos="4151" w:leader="none"/>
              </w:tabs>
              <w:rPr>
                <w:rFonts w:hint="eastAsia" w:ascii="宋体" w:hAnsi="宋体"/>
                <w:bCs/>
                <w:szCs w:val="21"/>
              </w:rPr>
              <w:outlineLvl w:val="0"/>
            </w:pPr>
            <w:r>
              <w:rPr>
                <w:rFonts w:hint="eastAsia" w:ascii="宋体" w:hAnsi="宋体"/>
                <w:bCs/>
                <w:szCs w:val="21"/>
              </w:rPr>
              <w:t xml:space="preserve">5.摇摆频率：30±2次／分</w:t>
            </w:r>
            <w:r/>
          </w:p>
          <w:p>
            <w:pPr>
              <w:jc w:val="left"/>
              <w:tabs>
                <w:tab w:val="left" w:pos="4151" w:leader="none"/>
              </w:tabs>
              <w:rPr>
                <w:rFonts w:hint="eastAsia" w:ascii="宋体" w:hAnsi="宋体"/>
                <w:bCs/>
                <w:szCs w:val="21"/>
              </w:rPr>
              <w:outlineLvl w:val="0"/>
            </w:pPr>
            <w:r>
              <w:rPr>
                <w:rFonts w:hint="eastAsia" w:ascii="宋体" w:hAnsi="宋体"/>
                <w:bCs/>
                <w:szCs w:val="21"/>
              </w:rPr>
              <w:t xml:space="preserve">6.电    源：AC220V   50Hz</w:t>
            </w:r>
            <w:r/>
          </w:p>
          <w:p>
            <w:pPr>
              <w:jc w:val="left"/>
              <w:tabs>
                <w:tab w:val="left" w:pos="4151" w:leader="none"/>
              </w:tabs>
              <w:rPr>
                <w:rFonts w:hint="eastAsia" w:ascii="宋体" w:hAnsi="宋体"/>
                <w:bCs/>
                <w:szCs w:val="21"/>
              </w:rPr>
              <w:outlineLvl w:val="0"/>
            </w:pPr>
            <w:r>
              <w:rPr>
                <w:rFonts w:hint="eastAsia" w:ascii="宋体" w:hAnsi="宋体"/>
                <w:bCs/>
                <w:szCs w:val="21"/>
              </w:rPr>
              <w:t xml:space="preserve">7.输入功率：≤40W</w:t>
            </w:r>
            <w:r/>
          </w:p>
          <w:p>
            <w:pPr>
              <w:jc w:val="left"/>
              <w:tabs>
                <w:tab w:val="left" w:pos="4151" w:leader="none"/>
              </w:tabs>
              <w:rPr>
                <w:rFonts w:hint="eastAsia" w:ascii="宋体" w:hAnsi="宋体"/>
                <w:bCs/>
                <w:szCs w:val="21"/>
              </w:rPr>
              <w:outlineLvl w:val="0"/>
            </w:pPr>
            <w:r>
              <w:rPr>
                <w:rFonts w:hint="eastAsia" w:ascii="宋体" w:hAnsi="宋体"/>
                <w:bCs/>
                <w:szCs w:val="21"/>
              </w:rPr>
              <w:t xml:space="preserve">8.工作环境：0℃～40℃室内</w:t>
            </w:r>
            <w:r/>
          </w:p>
          <w:p>
            <w:pPr>
              <w:jc w:val="left"/>
              <w:tabs>
                <w:tab w:val="left" w:pos="4151" w:leader="none"/>
              </w:tabs>
              <w:rPr>
                <w:rFonts w:hint="eastAsia" w:ascii="宋体" w:hAnsi="宋体"/>
                <w:bCs/>
                <w:szCs w:val="21"/>
              </w:rPr>
              <w:outlineLvl w:val="0"/>
            </w:pPr>
            <w:r>
              <w:rPr>
                <w:rFonts w:hint="eastAsia" w:ascii="宋体" w:hAnsi="宋体"/>
                <w:bCs/>
                <w:szCs w:val="21"/>
              </w:rPr>
              <w:t xml:space="preserve">9.报    警：当采液量达到预定值时，有声光双重报警提示</w:t>
            </w:r>
            <w:r/>
          </w:p>
          <w:p>
            <w:pPr>
              <w:jc w:val="left"/>
              <w:tabs>
                <w:tab w:val="left" w:pos="4151" w:leader="none"/>
              </w:tabs>
              <w:rPr>
                <w:rFonts w:hint="eastAsia" w:ascii="宋体" w:hAnsi="宋体"/>
                <w:bCs/>
                <w:szCs w:val="21"/>
              </w:rPr>
              <w:outlineLvl w:val="0"/>
            </w:pPr>
            <w:r>
              <w:rPr>
                <w:rFonts w:hint="eastAsia" w:ascii="宋体" w:hAnsi="宋体"/>
                <w:bCs/>
                <w:szCs w:val="21"/>
              </w:rPr>
              <w:t xml:space="preserve">10.采液控制量(ml)：100、200、300、400</w:t>
            </w:r>
            <w:r/>
          </w:p>
          <w:p>
            <w:pPr>
              <w:jc w:val="left"/>
              <w:tabs>
                <w:tab w:val="left" w:pos="4151" w:leader="none"/>
              </w:tabs>
              <w:rPr>
                <w:rFonts w:hint="eastAsia" w:ascii="宋体" w:hAnsi="宋体"/>
                <w:bCs/>
                <w:szCs w:val="21"/>
              </w:rPr>
              <w:outlineLvl w:val="0"/>
            </w:pPr>
            <w:r>
              <w:rPr>
                <w:rFonts w:hint="eastAsia" w:ascii="宋体" w:hAnsi="宋体"/>
                <w:bCs/>
                <w:szCs w:val="21"/>
              </w:rPr>
              <w:t xml:space="preserve">11.外形尺寸(mm)：170×275×150   (宽×深×高)</w:t>
            </w:r>
            <w:r/>
          </w:p>
          <w:p>
            <w:pPr>
              <w:jc w:val="left"/>
              <w:tabs>
                <w:tab w:val="left" w:pos="4151" w:leader="none"/>
              </w:tabs>
              <w:rPr>
                <w:rFonts w:hint="eastAsia" w:ascii="宋体" w:hAnsi="宋体"/>
                <w:bCs/>
                <w:szCs w:val="21"/>
              </w:rPr>
              <w:outlineLvl w:val="0"/>
            </w:pPr>
            <w:r>
              <w:rPr>
                <w:rFonts w:hint="eastAsia" w:ascii="宋体" w:hAnsi="宋体"/>
                <w:bCs/>
                <w:szCs w:val="21"/>
              </w:rPr>
              <w:t xml:space="preserve">12.采用模块电源，外观小巧，携带轻便，适用于流动采血</w:t>
            </w:r>
            <w:r/>
          </w:p>
          <w:p>
            <w:pPr>
              <w:jc w:val="left"/>
              <w:tabs>
                <w:tab w:val="left" w:pos="4151" w:leader="none"/>
              </w:tabs>
              <w:rPr>
                <w:rFonts w:hint="eastAsia" w:ascii="宋体" w:hAnsi="宋体"/>
                <w:bCs/>
                <w:szCs w:val="21"/>
              </w:rPr>
              <w:outlineLvl w:val="0"/>
            </w:pPr>
            <w:r>
              <w:rPr>
                <w:rFonts w:hint="eastAsia" w:ascii="宋体" w:hAnsi="宋体"/>
                <w:bCs/>
                <w:szCs w:val="21"/>
              </w:rPr>
              <w:t xml:space="preserve">13.通过面板操作，即可进行称量校正，方便又快捷</w:t>
            </w:r>
            <w:r/>
          </w:p>
          <w:p>
            <w:pPr>
              <w:jc w:val="left"/>
              <w:tabs>
                <w:tab w:val="left" w:pos="4151" w:leader="none"/>
              </w:tabs>
              <w:rPr>
                <w:rFonts w:hint="eastAsia" w:ascii="宋体" w:hAnsi="宋体"/>
                <w:bCs/>
                <w:szCs w:val="21"/>
              </w:rPr>
              <w:outlineLvl w:val="0"/>
            </w:pPr>
            <w:r>
              <w:rPr>
                <w:rFonts w:hint="eastAsia" w:ascii="宋体" w:hAnsi="宋体"/>
                <w:bCs/>
                <w:szCs w:val="21"/>
              </w:rPr>
              <w:t xml:space="preserve">14.计量单位ml、g可一键转换</w:t>
            </w:r>
            <w:r/>
          </w:p>
          <w:p>
            <w:pPr>
              <w:jc w:val="left"/>
              <w:tabs>
                <w:tab w:val="left" w:pos="4151" w:leader="none"/>
              </w:tabs>
              <w:rPr>
                <w:rFonts w:hint="eastAsia" w:ascii="宋体" w:hAnsi="宋体"/>
                <w:bCs/>
                <w:szCs w:val="21"/>
              </w:rPr>
              <w:outlineLvl w:val="0"/>
            </w:pPr>
            <w:r>
              <w:rPr>
                <w:rFonts w:hint="eastAsia" w:ascii="宋体" w:hAnsi="宋体"/>
                <w:bCs/>
                <w:szCs w:val="21"/>
              </w:rPr>
              <w:t xml:space="preserve">15.大容量托盘，更适合用户进行多连袋、大量程的采液</w:t>
            </w:r>
            <w:r/>
          </w:p>
          <w:p>
            <w:pPr>
              <w:jc w:val="left"/>
              <w:tabs>
                <w:tab w:val="left" w:pos="4151" w:leader="none"/>
              </w:tabs>
              <w:rPr>
                <w:rFonts w:hint="eastAsia" w:ascii="宋体" w:hAnsi="宋体"/>
                <w:bCs/>
                <w:szCs w:val="21"/>
              </w:rPr>
              <w:outlineLvl w:val="0"/>
            </w:pPr>
            <w:r>
              <w:rPr>
                <w:rFonts w:hint="eastAsia" w:ascii="宋体" w:hAnsi="宋体"/>
                <w:bCs/>
                <w:szCs w:val="21"/>
              </w:rPr>
              <w:t xml:space="preserve">16.托盘采用磁性连接，装卸方便，易于清洁</w:t>
            </w:r>
            <w:r/>
          </w:p>
          <w:p>
            <w:pPr>
              <w:jc w:val="left"/>
              <w:tabs>
                <w:tab w:val="left" w:pos="4151" w:leader="none"/>
              </w:tabs>
              <w:rPr>
                <w:rFonts w:hint="eastAsia" w:ascii="宋体" w:hAnsi="宋体"/>
                <w:bCs/>
                <w:szCs w:val="21"/>
              </w:rPr>
              <w:outlineLvl w:val="0"/>
            </w:pPr>
            <w:r>
              <w:rPr>
                <w:rFonts w:hint="eastAsia" w:ascii="宋体" w:hAnsi="宋体"/>
                <w:bCs/>
                <w:szCs w:val="21"/>
              </w:rPr>
              <w:t xml:space="preserve">17.具有扣皮瞬间摇摆停顿、接近采液量时摇摆自动停止、下一袋开始采血自动恢复摇摆，减少了摇晃对采液量的影响，提高了采液的准确性</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5.2</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工作</w:t>
            </w:r>
            <w:r>
              <w:rPr>
                <w:rFonts w:ascii="宋体" w:hAnsi="宋体"/>
                <w:bCs/>
                <w:szCs w:val="21"/>
              </w:rPr>
              <w:t xml:space="preserve">设施</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登记台1个，初筛化验台1个，采血台4个，热合台1个，休息沙发1组，可升降护士圆凳5个</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5.3</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采血椅及其他座椅</w:t>
            </w:r>
            <w:r/>
          </w:p>
        </w:tc>
        <w:tc>
          <w:tcPr>
            <w:tcW w:w="6668" w:type="dxa"/>
            <w:vAlign w:val="center"/>
            <w:textDirection w:val="lrTb"/>
            <w:noWrap w:val="false"/>
          </w:tcPr>
          <w:p>
            <w:pPr>
              <w:pStyle w:val="965"/>
              <w:spacing w:before="9"/>
              <w:rPr>
                <w:rFonts w:hint="eastAsia"/>
                <w:sz w:val="21"/>
                <w:szCs w:val="21"/>
                <w:lang w:eastAsia="zh-CN"/>
              </w:rPr>
            </w:pPr>
            <w:r>
              <w:rPr>
                <w:rFonts w:hint="eastAsia"/>
                <w:sz w:val="21"/>
                <w:szCs w:val="21"/>
                <w:lang w:eastAsia="zh-CN"/>
              </w:rPr>
              <w:t xml:space="preserve">（1）高端采血椅8把，技术要求如下：</w:t>
            </w:r>
            <w:r/>
          </w:p>
          <w:p>
            <w:pPr>
              <w:pStyle w:val="965"/>
              <w:spacing w:before="9"/>
              <w:rPr>
                <w:rFonts w:hint="eastAsia"/>
                <w:sz w:val="21"/>
                <w:szCs w:val="21"/>
                <w:lang w:eastAsia="zh-CN"/>
              </w:rPr>
            </w:pPr>
            <w:r>
              <w:rPr>
                <w:rFonts w:hint="eastAsia"/>
                <w:sz w:val="21"/>
                <w:szCs w:val="21"/>
                <w:lang w:eastAsia="zh-CN"/>
              </w:rPr>
              <w:t xml:space="preserve">1、 机构件性能：内部承重框架稳固耐用，使用寿命长；</w:t>
            </w:r>
            <w:r/>
          </w:p>
          <w:p>
            <w:pPr>
              <w:pStyle w:val="965"/>
              <w:spacing w:before="9"/>
              <w:rPr>
                <w:rFonts w:hint="eastAsia"/>
                <w:sz w:val="21"/>
                <w:szCs w:val="21"/>
                <w:lang w:eastAsia="zh-CN"/>
              </w:rPr>
            </w:pPr>
            <w:r>
              <w:rPr>
                <w:rFonts w:hint="eastAsia"/>
                <w:sz w:val="21"/>
                <w:szCs w:val="21"/>
                <w:lang w:eastAsia="zh-CN"/>
              </w:rPr>
              <w:t xml:space="preserve">2、 环保性能：座椅采用生态牛皮，按GB/T 17593.1-2006标准检测，镉、钴、镍、铅、铜、锑、锌均未检出；</w:t>
            </w:r>
            <w:r/>
          </w:p>
          <w:p>
            <w:pPr>
              <w:pStyle w:val="965"/>
              <w:spacing w:before="9"/>
              <w:rPr>
                <w:rFonts w:hint="eastAsia"/>
                <w:sz w:val="21"/>
                <w:szCs w:val="21"/>
                <w:lang w:eastAsia="zh-CN"/>
              </w:rPr>
            </w:pPr>
            <w:r>
              <w:rPr>
                <w:rFonts w:hint="eastAsia"/>
                <w:sz w:val="21"/>
                <w:szCs w:val="21"/>
                <w:lang w:eastAsia="zh-CN"/>
              </w:rPr>
              <w:t xml:space="preserve">3、尺寸参数：总宽≤790mm、总高≤1040mm、深度≤920mm，展开平躺≥1700mm，最大切斜角度可达到170度；</w:t>
            </w:r>
            <w:r/>
          </w:p>
          <w:p>
            <w:pPr>
              <w:pStyle w:val="965"/>
              <w:spacing w:before="9"/>
              <w:rPr>
                <w:rFonts w:hint="eastAsia"/>
                <w:sz w:val="21"/>
                <w:szCs w:val="21"/>
                <w:lang w:eastAsia="zh-CN"/>
              </w:rPr>
            </w:pPr>
            <w:r>
              <w:rPr>
                <w:rFonts w:hint="eastAsia"/>
                <w:sz w:val="21"/>
                <w:szCs w:val="21"/>
                <w:lang w:eastAsia="zh-CN"/>
              </w:rPr>
              <w:t xml:space="preserve">4、座包、靠背软硬度适中，久坐不塌陷，臀部、腰部、肩颈分区承托合理，久坐不累，坐感包裹性优秀。</w:t>
            </w:r>
            <w:r/>
          </w:p>
          <w:p>
            <w:pPr>
              <w:pStyle w:val="965"/>
              <w:spacing w:before="9"/>
              <w:rPr>
                <w:rFonts w:hint="eastAsia"/>
                <w:sz w:val="21"/>
                <w:szCs w:val="21"/>
                <w:lang w:eastAsia="zh-CN"/>
              </w:rPr>
            </w:pPr>
            <w:r>
              <w:rPr>
                <w:rFonts w:hint="eastAsia"/>
                <w:sz w:val="21"/>
                <w:szCs w:val="21"/>
                <w:lang w:eastAsia="zh-CN"/>
              </w:rPr>
              <w:t xml:space="preserve">5、支持一键电动调节靠背、腿托，可多角度坐躺切换，可满足日常采血需求及晕血反应时的平躺需求；</w:t>
            </w:r>
            <w:r/>
          </w:p>
          <w:p>
            <w:pPr>
              <w:pStyle w:val="965"/>
              <w:spacing w:before="9"/>
              <w:rPr>
                <w:rFonts w:hint="eastAsia"/>
                <w:sz w:val="21"/>
                <w:szCs w:val="21"/>
                <w:lang w:eastAsia="zh-CN"/>
              </w:rPr>
            </w:pPr>
            <w:r>
              <w:rPr>
                <w:rFonts w:hint="eastAsia"/>
                <w:sz w:val="21"/>
                <w:szCs w:val="21"/>
                <w:lang w:eastAsia="zh-CN"/>
              </w:rPr>
              <w:t xml:space="preserve">6、配有USB充电口，可实现手机充电功能；</w:t>
            </w:r>
            <w:r/>
          </w:p>
          <w:p>
            <w:pPr>
              <w:rPr>
                <w:rFonts w:hint="eastAsia" w:ascii="宋体" w:hAnsi="宋体"/>
                <w:szCs w:val="21"/>
              </w:rPr>
            </w:pPr>
            <w:r>
              <w:rPr>
                <w:rFonts w:hint="eastAsia" w:ascii="宋体" w:cs="Arial" w:hAnsiTheme="minorEastAsia"/>
                <w:b/>
                <w:bCs/>
                <w:sz w:val="28"/>
                <w:szCs w:val="28"/>
              </w:rPr>
              <w:t xml:space="preserve">*</w:t>
            </w:r>
            <w:r>
              <w:rPr>
                <w:rFonts w:hint="eastAsia" w:ascii="宋体" w:hAnsi="宋体" w:cs="宋体"/>
                <w:szCs w:val="21"/>
                <w:lang w:bidi="ar"/>
              </w:rPr>
              <w:t xml:space="preserve">7、后部卡座座椅可核载人数，座椅强度满足《GB15083汽车座椅、座椅固定装置及头枕强度要求和试验方法》国标要求，安全带约束系统满足国家标准要求。提供质量监督检验中心出具的强制性检验报告。</w:t>
            </w:r>
            <w:r/>
          </w:p>
        </w:tc>
      </w:tr>
      <w:tr>
        <w:trPr>
          <w:jc w:val="center"/>
          <w:trHeight w:val="704"/>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5.4</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服务设施</w:t>
            </w:r>
            <w:r/>
          </w:p>
        </w:tc>
        <w:tc>
          <w:tcPr>
            <w:tcW w:w="6668" w:type="dxa"/>
            <w:vAlign w:val="center"/>
            <w:textDirection w:val="lrTb"/>
            <w:noWrap w:val="false"/>
          </w:tcPr>
          <w:p>
            <w:pPr>
              <w:jc w:val="left"/>
              <w:rPr>
                <w:rFonts w:hint="eastAsia" w:ascii="宋体" w:hAnsi="宋体"/>
                <w:szCs w:val="21"/>
              </w:rPr>
              <w:outlineLvl w:val="0"/>
            </w:pPr>
            <w:r>
              <w:rPr>
                <w:rFonts w:hint="eastAsia" w:ascii="宋体" w:hAnsi="宋体"/>
                <w:szCs w:val="21"/>
              </w:rPr>
              <w:t xml:space="preserve">微波炉、车载</w:t>
            </w:r>
            <w:r>
              <w:rPr>
                <w:rFonts w:ascii="宋体" w:hAnsi="宋体"/>
                <w:szCs w:val="21"/>
              </w:rPr>
              <w:t xml:space="preserve">饮水机</w:t>
            </w:r>
            <w:r>
              <w:rPr>
                <w:rFonts w:hint="eastAsia" w:ascii="宋体" w:hAnsi="宋体"/>
                <w:szCs w:val="21"/>
              </w:rPr>
              <w:t xml:space="preserve">各</w:t>
            </w:r>
            <w:r>
              <w:rPr>
                <w:rFonts w:ascii="宋体" w:hAnsi="宋体"/>
                <w:szCs w:val="21"/>
              </w:rPr>
              <w:t xml:space="preserve">一件</w:t>
            </w:r>
            <w:r>
              <w:rPr>
                <w:rFonts w:hint="eastAsia" w:ascii="宋体" w:hAnsi="宋体"/>
                <w:szCs w:val="21"/>
              </w:rPr>
              <w:t xml:space="preserve">；</w:t>
            </w:r>
            <w:r/>
          </w:p>
          <w:p>
            <w:pPr>
              <w:jc w:val="left"/>
              <w:rPr>
                <w:rFonts w:hint="eastAsia" w:ascii="宋体" w:hAnsi="宋体" w:cs="Arial"/>
                <w:szCs w:val="21"/>
              </w:rPr>
              <w:outlineLvl w:val="0"/>
            </w:pPr>
            <w:r>
              <w:rPr>
                <w:rFonts w:hint="eastAsia" w:ascii="宋体" w:hAnsi="宋体" w:cs="Arial"/>
                <w:szCs w:val="21"/>
              </w:rPr>
              <w:t xml:space="preserve">展示柜1套；</w:t>
            </w:r>
            <w:r/>
          </w:p>
          <w:p>
            <w:pPr>
              <w:jc w:val="left"/>
              <w:rPr>
                <w:rFonts w:hint="eastAsia" w:ascii="宋体" w:hAnsi="宋体"/>
                <w:szCs w:val="21"/>
              </w:rPr>
              <w:outlineLvl w:val="0"/>
            </w:pPr>
            <w:r>
              <w:rPr>
                <w:rFonts w:hint="eastAsia" w:ascii="宋体" w:hAnsi="宋体"/>
                <w:szCs w:val="21"/>
              </w:rPr>
              <w:t xml:space="preserve">后高地板储物柜</w:t>
            </w:r>
            <w:r>
              <w:rPr>
                <w:rFonts w:hint="eastAsia" w:ascii="宋体" w:hAnsi="宋体" w:cs="Arial"/>
                <w:szCs w:val="21"/>
              </w:rPr>
              <w:t xml:space="preserve">1套</w:t>
            </w:r>
            <w:r>
              <w:rPr>
                <w:rFonts w:hint="eastAsia" w:ascii="宋体" w:hAnsi="宋体"/>
                <w:szCs w:val="21"/>
              </w:rPr>
              <w:t xml:space="preserve">；</w:t>
            </w:r>
            <w:r/>
          </w:p>
          <w:p>
            <w:pPr>
              <w:jc w:val="left"/>
              <w:rPr>
                <w:rFonts w:hint="eastAsia" w:ascii="宋体" w:hAnsi="宋体"/>
                <w:szCs w:val="21"/>
              </w:rPr>
              <w:outlineLvl w:val="0"/>
            </w:pPr>
            <w:r>
              <w:rPr>
                <w:rFonts w:hint="eastAsia" w:ascii="宋体" w:hAnsi="宋体"/>
                <w:szCs w:val="21"/>
              </w:rPr>
              <w:t xml:space="preserve">衣帽钩3个；</w:t>
            </w:r>
            <w:r/>
          </w:p>
          <w:p>
            <w:pPr>
              <w:jc w:val="left"/>
              <w:rPr>
                <w:rFonts w:hint="eastAsia" w:ascii="宋体" w:hAnsi="宋体"/>
                <w:szCs w:val="21"/>
              </w:rPr>
              <w:outlineLvl w:val="0"/>
            </w:pPr>
            <w:r>
              <w:rPr>
                <w:rFonts w:hint="eastAsia" w:ascii="宋体" w:hAnsi="宋体"/>
                <w:szCs w:val="21"/>
              </w:rPr>
              <w:t xml:space="preserve">后高台休息床垫1个；</w:t>
            </w:r>
            <w:r/>
          </w:p>
          <w:p>
            <w:pPr>
              <w:jc w:val="left"/>
              <w:rPr>
                <w:rFonts w:hint="eastAsia" w:ascii="宋体" w:hAnsi="宋体"/>
                <w:szCs w:val="21"/>
              </w:rPr>
              <w:outlineLvl w:val="0"/>
            </w:pPr>
            <w:r>
              <w:rPr>
                <w:rFonts w:hint="eastAsia" w:ascii="宋体" w:hAnsi="宋体"/>
                <w:szCs w:val="21"/>
              </w:rPr>
              <w:t xml:space="preserve">围帘1套；</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5.5</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灯光设施</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一</w:t>
            </w:r>
            <w:r>
              <w:rPr>
                <w:rFonts w:ascii="宋体" w:hAnsi="宋体"/>
                <w:szCs w:val="21"/>
              </w:rPr>
              <w:t xml:space="preserve">、紫外线消毒灯4盏,</w:t>
            </w:r>
            <w:r>
              <w:rPr>
                <w:rFonts w:hint="eastAsia" w:ascii="宋体" w:hAnsi="宋体"/>
                <w:szCs w:val="21"/>
              </w:rPr>
              <w:t xml:space="preserve">技术要求如下</w:t>
            </w:r>
            <w:r>
              <w:rPr>
                <w:rFonts w:ascii="宋体" w:hAnsi="宋体"/>
                <w:szCs w:val="21"/>
              </w:rPr>
              <w:t xml:space="preserve">：</w:t>
            </w:r>
            <w:r/>
          </w:p>
          <w:p>
            <w:pPr>
              <w:jc w:val="left"/>
              <w:rPr>
                <w:rFonts w:hint="eastAsia" w:ascii="宋体" w:hAnsi="宋体"/>
                <w:szCs w:val="21"/>
              </w:rPr>
            </w:pPr>
            <w:r>
              <w:rPr>
                <w:rFonts w:hint="eastAsia" w:ascii="宋体" w:hAnsi="宋体"/>
                <w:szCs w:val="21"/>
              </w:rPr>
              <w:t xml:space="preserve">①灯具外壳环保、阻燃；</w:t>
            </w:r>
            <w:r/>
          </w:p>
          <w:p>
            <w:pPr>
              <w:jc w:val="left"/>
              <w:rPr>
                <w:rFonts w:hint="eastAsia" w:ascii="宋体" w:hAnsi="宋体"/>
                <w:szCs w:val="21"/>
              </w:rPr>
            </w:pPr>
            <w:r>
              <w:rPr>
                <w:rFonts w:hint="eastAsia" w:ascii="宋体" w:hAnsi="宋体"/>
                <w:szCs w:val="21"/>
              </w:rPr>
              <w:t xml:space="preserve">②耐高低温；</w:t>
            </w:r>
            <w:r/>
          </w:p>
          <w:p>
            <w:pPr>
              <w:jc w:val="left"/>
              <w:rPr>
                <w:rFonts w:hint="eastAsia" w:ascii="宋体" w:hAnsi="宋体"/>
                <w:szCs w:val="21"/>
              </w:rPr>
            </w:pPr>
            <w:r>
              <w:rPr>
                <w:rFonts w:hint="eastAsia" w:ascii="宋体" w:hAnsi="宋体"/>
                <w:szCs w:val="21"/>
              </w:rPr>
              <w:t xml:space="preserve">③具有甲流消杀效果；</w:t>
            </w:r>
            <w:r/>
          </w:p>
          <w:p>
            <w:pPr>
              <w:jc w:val="left"/>
              <w:rPr>
                <w:rFonts w:hint="eastAsia" w:ascii="宋体" w:hAnsi="宋体"/>
                <w:szCs w:val="21"/>
              </w:rPr>
            </w:pPr>
            <w:r>
              <w:rPr>
                <w:rFonts w:hint="eastAsia" w:ascii="宋体" w:hAnsi="宋体"/>
                <w:szCs w:val="21"/>
              </w:rPr>
              <w:t xml:space="preserve">④臭氧浓度、白色葡萄球菌、自然菌：不产生臭氧；能对物体表面进行自然菌消毒；能够对白色葡萄球菌进行灭杀；</w:t>
            </w:r>
            <w:r/>
          </w:p>
          <w:p>
            <w:pPr>
              <w:jc w:val="left"/>
              <w:rPr>
                <w:rFonts w:hint="eastAsia" w:ascii="宋体" w:hAnsi="宋体"/>
                <w:szCs w:val="21"/>
              </w:rPr>
            </w:pPr>
            <w:r>
              <w:rPr>
                <w:rFonts w:hint="eastAsia" w:ascii="宋体" w:hAnsi="宋体"/>
                <w:szCs w:val="21"/>
              </w:rPr>
              <w:t xml:space="preserve">⑤通过电磁兼容测试；</w:t>
            </w:r>
            <w:r/>
          </w:p>
          <w:p>
            <w:pPr>
              <w:jc w:val="left"/>
              <w:rPr>
                <w:rFonts w:hint="eastAsia" w:ascii="宋体" w:hAnsi="宋体"/>
                <w:szCs w:val="21"/>
              </w:rPr>
            </w:pPr>
            <w:r>
              <w:rPr>
                <w:rFonts w:hint="eastAsia" w:ascii="宋体" w:hAnsi="宋体"/>
                <w:szCs w:val="21"/>
              </w:rPr>
              <w:t xml:space="preserve">⑥具备对新型冠状病毒的体外灭杀效果；</w:t>
            </w:r>
            <w:r/>
          </w:p>
          <w:p>
            <w:pPr>
              <w:jc w:val="left"/>
              <w:rPr>
                <w:rFonts w:hint="eastAsia" w:ascii="宋体" w:hAnsi="宋体"/>
                <w:szCs w:val="21"/>
              </w:rPr>
            </w:pPr>
            <w:r>
              <w:rPr>
                <w:rFonts w:hint="eastAsia" w:ascii="宋体" w:hAnsi="宋体"/>
                <w:szCs w:val="21"/>
              </w:rPr>
              <w:t xml:space="preserve">⑦打开灯具开关后，灯具消毒30min自动关闭；</w:t>
            </w:r>
            <w:r/>
          </w:p>
          <w:p>
            <w:pPr>
              <w:jc w:val="left"/>
              <w:rPr>
                <w:rFonts w:hint="eastAsia" w:ascii="宋体" w:hAnsi="宋体"/>
                <w:szCs w:val="21"/>
              </w:rPr>
            </w:pPr>
            <w:r>
              <w:rPr>
                <w:rFonts w:hint="eastAsia" w:ascii="宋体" w:hAnsi="宋体"/>
                <w:szCs w:val="21"/>
              </w:rPr>
              <w:t xml:space="preserve">⑧紫外线杀菌灯寿命大于8000h，反复启停5000次无伤害，无需更换灯管；</w:t>
            </w:r>
            <w:r/>
          </w:p>
          <w:p>
            <w:pPr>
              <w:jc w:val="left"/>
              <w:rPr>
                <w:rFonts w:hint="eastAsia" w:ascii="宋体" w:hAnsi="宋体"/>
                <w:szCs w:val="21"/>
              </w:rPr>
            </w:pPr>
            <w:r>
              <w:rPr>
                <w:rFonts w:hint="eastAsia" w:ascii="宋体" w:hAnsi="宋体"/>
                <w:szCs w:val="21"/>
              </w:rPr>
              <w:t xml:space="preserve">⑨通过破坏DNA等遗传物质，可高效杀灭几乎所有的细菌、病毒、芽孢和真菌等，具有广谱性。1m处紫外线杀菌因子强度&gt;90uW/cm2，杀菌效率达到的99.99%。</w:t>
            </w:r>
            <w:r/>
          </w:p>
          <w:p>
            <w:pPr>
              <w:jc w:val="left"/>
              <w:rPr>
                <w:rFonts w:hint="eastAsia" w:ascii="宋体" w:hAnsi="宋体"/>
                <w:szCs w:val="21"/>
              </w:rPr>
            </w:pPr>
            <w:r>
              <w:rPr>
                <w:rFonts w:hint="eastAsia" w:ascii="宋体" w:hAnsi="宋体"/>
                <w:szCs w:val="21"/>
              </w:rPr>
              <w:t xml:space="preserve">二</w:t>
            </w:r>
            <w:r>
              <w:rPr>
                <w:rFonts w:ascii="宋体" w:hAnsi="宋体"/>
                <w:szCs w:val="21"/>
              </w:rPr>
              <w:t xml:space="preserve">、两侧长条灯一套，采血台上方各一盏LED射灯，射灯技术要求如下：</w:t>
            </w:r>
            <w:r/>
          </w:p>
          <w:p>
            <w:pPr>
              <w:jc w:val="left"/>
              <w:rPr>
                <w:rFonts w:hint="eastAsia" w:ascii="宋体" w:hAnsi="宋体"/>
                <w:szCs w:val="21"/>
              </w:rPr>
            </w:pPr>
            <w:r>
              <w:rPr>
                <w:rFonts w:ascii="宋体" w:hAnsi="宋体"/>
                <w:szCs w:val="21"/>
              </w:rPr>
              <w:t xml:space="preserve">功率≥8.5W；</w:t>
            </w:r>
            <w:r/>
          </w:p>
          <w:p>
            <w:pPr>
              <w:jc w:val="left"/>
              <w:rPr>
                <w:rFonts w:hint="eastAsia" w:ascii="宋体" w:hAnsi="宋体"/>
                <w:szCs w:val="21"/>
              </w:rPr>
            </w:pPr>
            <w:r>
              <w:rPr>
                <w:rFonts w:ascii="宋体" w:hAnsi="宋体"/>
                <w:szCs w:val="21"/>
              </w:rPr>
              <w:t xml:space="preserve">工作环境温度：-40~55℃；</w:t>
            </w:r>
            <w:r/>
          </w:p>
          <w:p>
            <w:pPr>
              <w:jc w:val="left"/>
              <w:rPr>
                <w:rFonts w:hint="eastAsia" w:ascii="宋体" w:hAnsi="宋体"/>
                <w:szCs w:val="21"/>
              </w:rPr>
            </w:pPr>
            <w:r>
              <w:rPr>
                <w:rFonts w:ascii="宋体" w:hAnsi="宋体"/>
                <w:szCs w:val="21"/>
              </w:rPr>
              <w:t xml:space="preserve">灯圈颜色：镀铬，外透镜：雾化透镜；</w:t>
            </w:r>
            <w:r/>
          </w:p>
          <w:p>
            <w:pPr>
              <w:jc w:val="left"/>
              <w:rPr>
                <w:rFonts w:hint="eastAsia" w:ascii="宋体" w:hAnsi="宋体"/>
                <w:szCs w:val="21"/>
              </w:rPr>
            </w:pPr>
            <w:r>
              <w:rPr>
                <w:rFonts w:ascii="宋体" w:hAnsi="宋体"/>
                <w:szCs w:val="21"/>
              </w:rPr>
              <w:t xml:space="preserve">光色：6000-6500K纯白，LED光通量：850lm</w:t>
            </w:r>
            <w:r>
              <w:rPr>
                <w:rFonts w:hint="eastAsia" w:ascii="宋体" w:hAnsi="宋体"/>
                <w:szCs w:val="21"/>
              </w:rPr>
              <w:t xml:space="preserve">；</w:t>
            </w:r>
            <w:r/>
          </w:p>
          <w:p>
            <w:pPr>
              <w:jc w:val="left"/>
              <w:rPr>
                <w:rFonts w:hint="eastAsia" w:ascii="宋体" w:hAnsi="宋体"/>
                <w:szCs w:val="21"/>
              </w:rPr>
            </w:pPr>
            <w:r>
              <w:rPr>
                <w:rFonts w:ascii="宋体" w:hAnsi="宋体"/>
                <w:szCs w:val="21"/>
              </w:rPr>
              <w:t xml:space="preserve">出光角度：160度，泛光型；</w:t>
            </w:r>
            <w:r/>
          </w:p>
          <w:p>
            <w:pPr>
              <w:jc w:val="left"/>
              <w:rPr>
                <w:rFonts w:hint="eastAsia" w:ascii="宋体" w:hAnsi="宋体"/>
                <w:szCs w:val="21"/>
              </w:rPr>
            </w:pPr>
            <w:r>
              <w:rPr>
                <w:rFonts w:ascii="宋体" w:hAnsi="宋体"/>
                <w:szCs w:val="21"/>
              </w:rPr>
              <w:t xml:space="preserve">LED射灯灯具经过电磁兼容测试，驱动电源不能干扰车内收放机频段。</w:t>
            </w:r>
            <w:r/>
          </w:p>
        </w:tc>
      </w:tr>
      <w:tr>
        <w:trPr>
          <w:jc w:val="center"/>
        </w:trPr>
        <w:tc>
          <w:tcPr>
            <w:tcW w:w="922" w:type="dxa"/>
            <w:vAlign w:val="center"/>
            <w:vMerge w:val="restart"/>
            <w:textDirection w:val="lrTb"/>
            <w:noWrap w:val="false"/>
          </w:tcPr>
          <w:p>
            <w:pPr>
              <w:jc w:val="center"/>
              <w:rPr>
                <w:rFonts w:hint="eastAsia" w:ascii="宋体" w:hAnsi="宋体"/>
                <w:szCs w:val="21"/>
              </w:rPr>
            </w:pPr>
            <w:r>
              <w:rPr>
                <w:rFonts w:ascii="宋体" w:hAnsi="宋体"/>
                <w:szCs w:val="21"/>
              </w:rPr>
              <w:t xml:space="preserve">5.6</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5.6.1、锂电池</w:t>
            </w:r>
            <w:r>
              <w:rPr>
                <w:rFonts w:ascii="宋体" w:hAnsi="宋体"/>
                <w:bCs/>
                <w:szCs w:val="21"/>
              </w:rPr>
              <w:t xml:space="preserve">系统</w:t>
            </w:r>
            <w:r/>
          </w:p>
        </w:tc>
        <w:tc>
          <w:tcPr>
            <w:tcW w:w="6668" w:type="dxa"/>
            <w:vAlign w:val="center"/>
            <w:textDirection w:val="lrTb"/>
            <w:noWrap w:val="false"/>
          </w:tcPr>
          <w:p>
            <w:pPr>
              <w:jc w:val="left"/>
              <w:rPr>
                <w:rFonts w:hint="eastAsia" w:ascii="宋体" w:hAnsi="宋体" w:cs="Arial"/>
              </w:rPr>
            </w:pPr>
            <w:r>
              <w:rPr>
                <w:rFonts w:hint="eastAsia" w:ascii="宋体" w:cs="Arial" w:hAnsiTheme="minorEastAsia"/>
              </w:rPr>
              <w:t xml:space="preserve">▲1、</w:t>
            </w:r>
            <w:r>
              <w:rPr>
                <w:rFonts w:hint="eastAsia" w:ascii="宋体" w:hAnsi="宋体" w:cs="Arial"/>
              </w:rPr>
              <w:t xml:space="preserve">包含电池箱、</w:t>
            </w:r>
            <w:r>
              <w:rPr>
                <w:rFonts w:ascii="宋体" w:hAnsi="宋体" w:cs="Arial"/>
              </w:rPr>
              <w:t xml:space="preserve">充电</w:t>
            </w:r>
            <w:r>
              <w:rPr>
                <w:rFonts w:hint="eastAsia" w:ascii="宋体" w:hAnsi="宋体" w:cs="Arial"/>
              </w:rPr>
              <w:t xml:space="preserve">机、高压控制盒、逆变器、隔离变压器、可抽拉钢结构托架</w:t>
            </w:r>
            <w:r>
              <w:rPr>
                <w:rFonts w:hint="eastAsia" w:ascii="宋体" w:hAnsi="宋体" w:cs="Arial"/>
                <w:b/>
              </w:rPr>
              <w:t xml:space="preserve">。</w:t>
            </w:r>
            <w:r/>
          </w:p>
        </w:tc>
      </w:tr>
      <w:tr>
        <w:trPr>
          <w:jc w:val="center"/>
        </w:trPr>
        <w:tc>
          <w:tcPr>
            <w:tcW w:w="922" w:type="dxa"/>
            <w:vAlign w:val="center"/>
            <w:vMerge w:val="continue"/>
            <w:textDirection w:val="lrTb"/>
            <w:noWrap w:val="false"/>
          </w:tcPr>
          <w:p>
            <w:pPr>
              <w:jc w:val="center"/>
              <w:rPr>
                <w:rFonts w:ascii="宋体"/>
              </w:rPr>
            </w:pPr>
            <w:r>
              <w:rPr>
                <w:rFonts w:ascii="宋体"/>
              </w:rPr>
            </w:r>
            <w:r/>
          </w:p>
        </w:tc>
        <w:tc>
          <w:tcPr>
            <w:tcW w:w="176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5.6.</w:t>
            </w:r>
            <w:r>
              <w:rPr>
                <w:rFonts w:ascii="宋体" w:hAnsi="宋体" w:cs="Arial"/>
                <w:bCs/>
              </w:rPr>
              <w:t xml:space="preserve">2</w:t>
            </w:r>
            <w:r>
              <w:rPr>
                <w:rFonts w:hint="eastAsia" w:ascii="宋体" w:hAnsi="宋体" w:cs="Arial"/>
                <w:bCs/>
              </w:rPr>
              <w:t xml:space="preserve">、</w:t>
            </w:r>
            <w:r>
              <w:rPr>
                <w:rFonts w:ascii="宋体" w:hAnsi="宋体" w:cs="Arial"/>
                <w:bCs/>
              </w:rPr>
              <w:t xml:space="preserve">锂电池参数</w:t>
            </w:r>
            <w:r/>
          </w:p>
        </w:tc>
        <w:tc>
          <w:tcPr>
            <w:tcW w:w="6668" w:type="dxa"/>
            <w:vAlign w:val="center"/>
            <w:textDirection w:val="lrTb"/>
            <w:noWrap w:val="false"/>
          </w:tcPr>
          <w:p>
            <w:r>
              <w:rPr>
                <w:rFonts w:hint="eastAsia" w:ascii="宋体" w:cs="Arial" w:hAnsiTheme="minorEastAsia"/>
              </w:rPr>
              <w:t xml:space="preserve">▲</w:t>
            </w:r>
            <w:r>
              <w:rPr>
                <w:rFonts w:hint="eastAsia" w:cs="Arial" w:asciiTheme="minorEastAsia" w:hAnsiTheme="minorEastAsia" w:eastAsiaTheme="minorEastAsia"/>
              </w:rPr>
              <w:t xml:space="preserve">2</w:t>
            </w:r>
            <w:r>
              <w:rPr>
                <w:rFonts w:cs="Arial" w:asciiTheme="minorEastAsia" w:hAnsiTheme="minorEastAsia" w:eastAsiaTheme="minorEastAsia"/>
              </w:rPr>
              <w:t xml:space="preserve">.1</w:t>
            </w:r>
            <w:r>
              <w:rPr>
                <w:rFonts w:hint="eastAsia" w:cs="Arial" w:asciiTheme="minorEastAsia" w:hAnsiTheme="minorEastAsia" w:eastAsiaTheme="minorEastAsia"/>
              </w:rPr>
              <w:t xml:space="preserve">、锂电池</w:t>
            </w:r>
            <w:r>
              <w:rPr>
                <w:rFonts w:cs="Arial" w:asciiTheme="minorEastAsia" w:hAnsiTheme="minorEastAsia" w:eastAsiaTheme="minorEastAsia"/>
              </w:rPr>
              <w:t xml:space="preserve">参数电量≥444.36V</w:t>
            </w:r>
            <w:r>
              <w:rPr>
                <w:rFonts w:hint="eastAsia" w:cs="Arial" w:asciiTheme="minorEastAsia" w:hAnsiTheme="minorEastAsia" w:eastAsiaTheme="minorEastAsia"/>
              </w:rPr>
              <w:t xml:space="preserve">*200Ah（</w:t>
            </w:r>
            <w:r>
              <w:rPr>
                <w:rFonts w:cs="Arial" w:asciiTheme="minorEastAsia" w:hAnsiTheme="minorEastAsia" w:eastAsiaTheme="minorEastAsia"/>
              </w:rPr>
              <w:t xml:space="preserve">88.87kWh</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电压范围</w:t>
            </w:r>
            <w:r>
              <w:t xml:space="preserve">345-503.7</w:t>
            </w:r>
            <w:r>
              <w:rPr>
                <w:rFonts w:hint="eastAsia"/>
              </w:rPr>
              <w:t xml:space="preserve">V；（能量密度≥170Wh/kg；</w:t>
            </w:r>
            <w:r>
              <w:rPr>
                <w:rFonts w:cs="Arial" w:asciiTheme="minorEastAsia" w:hAnsiTheme="minorEastAsia" w:eastAsiaTheme="minorEastAsia"/>
              </w:rPr>
              <w:t xml:space="preserve">提供</w:t>
            </w:r>
            <w:r>
              <w:rPr>
                <w:rFonts w:hint="eastAsia" w:cs="Arial" w:asciiTheme="minorEastAsia" w:hAnsiTheme="minorEastAsia" w:eastAsiaTheme="minorEastAsia"/>
              </w:rPr>
              <w:t xml:space="preserve">能量</w:t>
            </w:r>
            <w:r>
              <w:rPr>
                <w:rFonts w:cs="Arial" w:asciiTheme="minorEastAsia" w:hAnsiTheme="minorEastAsia" w:eastAsiaTheme="minorEastAsia"/>
              </w:rPr>
              <w:t xml:space="preserve">密度第三方检测报告</w:t>
            </w:r>
            <w:r>
              <w:rPr>
                <w:rFonts w:hint="eastAsia" w:cs="Arial" w:asciiTheme="minorEastAsia" w:hAnsiTheme="minorEastAsia" w:eastAsiaTheme="minorEastAsia"/>
              </w:rPr>
              <w:t xml:space="preserve">）</w:t>
            </w:r>
            <w:r/>
          </w:p>
          <w:p>
            <w:pPr>
              <w:rPr>
                <w:rFonts w:hint="eastAsia" w:ascii="宋体" w:hAnsi="宋体"/>
                <w:bCs/>
                <w:szCs w:val="21"/>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2、</w:t>
            </w:r>
            <w:r>
              <w:rPr>
                <w:rFonts w:cs="Arial" w:asciiTheme="minorEastAsia" w:hAnsiTheme="minorEastAsia" w:eastAsiaTheme="minorEastAsia"/>
              </w:rPr>
              <w:t xml:space="preserve">电池放电率≥93%</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能满足整车保证8年电池电量衰减率</w:t>
            </w:r>
            <w:r>
              <w:rPr>
                <w:rFonts w:hint="eastAsia"/>
              </w:rPr>
              <w:t xml:space="preserve">≤</w:t>
            </w:r>
            <w:r>
              <w:rPr>
                <w:rFonts w:cs="Arial" w:asciiTheme="minorEastAsia" w:hAnsiTheme="minorEastAsia" w:eastAsiaTheme="minorEastAsia"/>
              </w:rPr>
              <w:t xml:space="preserve">30%</w:t>
            </w:r>
            <w:r>
              <w:rPr>
                <w:rFonts w:hint="eastAsia" w:cs="Arial" w:asciiTheme="minorEastAsia" w:hAnsiTheme="minorEastAsia" w:eastAsiaTheme="minorEastAsia"/>
              </w:rPr>
              <w:t xml:space="preserve">。</w:t>
            </w:r>
            <w:r/>
          </w:p>
        </w:tc>
      </w:tr>
      <w:tr>
        <w:trPr>
          <w:jc w:val="center"/>
        </w:trPr>
        <w:tc>
          <w:tcPr>
            <w:tcW w:w="922" w:type="dxa"/>
            <w:vAlign w:val="center"/>
            <w:vMerge w:val="continue"/>
            <w:textDirection w:val="lrTb"/>
            <w:noWrap w:val="false"/>
          </w:tcPr>
          <w:p>
            <w:pPr>
              <w:jc w:val="center"/>
              <w:rPr>
                <w:rFonts w:hint="eastAsia" w:ascii="宋体" w:hAnsi="宋体"/>
                <w:bCs/>
                <w:szCs w:val="21"/>
              </w:rPr>
            </w:pPr>
            <w:r>
              <w:rPr>
                <w:rFonts w:hint="eastAsia" w:ascii="宋体" w:hAnsi="宋体"/>
                <w:bCs/>
                <w:szCs w:val="21"/>
              </w:rPr>
            </w:r>
            <w:r/>
          </w:p>
        </w:tc>
        <w:tc>
          <w:tcPr>
            <w:tcW w:w="176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5.6.</w:t>
            </w:r>
            <w:r>
              <w:rPr>
                <w:rFonts w:hint="eastAsia" w:ascii="宋体" w:hAnsi="宋体" w:cs="Arial"/>
                <w:bCs/>
              </w:rPr>
              <w:t xml:space="preserve">3、锂电池系统防护等级：</w:t>
            </w:r>
            <w:r/>
          </w:p>
        </w:tc>
        <w:tc>
          <w:tcPr>
            <w:tcW w:w="6668" w:type="dxa"/>
            <w:vAlign w:val="center"/>
            <w:textDirection w:val="lrTb"/>
            <w:noWrap w:val="false"/>
          </w:tcPr>
          <w:p>
            <w:pPr>
              <w:rPr>
                <w:rFonts w:cs="Arial" w:asciiTheme="minorEastAsia" w:hAnsiTheme="minorEastAsia" w:eastAsiaTheme="minorEastAsia"/>
              </w:rPr>
            </w:pPr>
            <w:r>
              <w:rPr>
                <w:rFonts w:hint="eastAsia" w:ascii="宋体" w:cs="Arial" w:hAnsiTheme="minorEastAsia"/>
                <w:b/>
                <w:bCs/>
                <w:sz w:val="28"/>
                <w:szCs w:val="28"/>
              </w:rPr>
              <w:t xml:space="preserve">*</w:t>
            </w:r>
            <w:r>
              <w:rPr>
                <w:rFonts w:hint="eastAsia" w:cs="Arial" w:asciiTheme="minorEastAsia" w:hAnsiTheme="minorEastAsia" w:eastAsiaTheme="minorEastAsia"/>
              </w:rPr>
              <w:t xml:space="preserve">3.1、</w:t>
            </w:r>
            <w:r>
              <w:rPr>
                <w:rFonts w:cs="Arial" w:asciiTheme="minorEastAsia" w:hAnsiTheme="minorEastAsia" w:eastAsiaTheme="minorEastAsia"/>
              </w:rPr>
              <w:t xml:space="preserve">电源系统应设有泄压和透气装置，泄压压力不大于50kPa</w:t>
            </w:r>
            <w:r>
              <w:rPr>
                <w:rFonts w:hint="eastAsia" w:cs="Arial" w:asciiTheme="minorEastAsia" w:hAnsiTheme="minorEastAsia" w:eastAsiaTheme="minorEastAsia"/>
              </w:rPr>
              <w:t xml:space="preserve">，符合</w:t>
            </w:r>
            <w:r>
              <w:rPr>
                <w:rFonts w:cs="Arial" w:asciiTheme="minorEastAsia" w:hAnsiTheme="minorEastAsia" w:eastAsiaTheme="minorEastAsia"/>
              </w:rPr>
              <w:t xml:space="preserve">GB38032要求</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提供第三方检测报告</w:t>
            </w:r>
            <w:r/>
          </w:p>
          <w:p>
            <w:pPr>
              <w:rPr>
                <w:rFonts w:cs="Arial" w:asciiTheme="minorEastAsia" w:hAnsiTheme="minorEastAsia" w:eastAsiaTheme="minorEastAsia"/>
              </w:rPr>
            </w:pPr>
            <w:r>
              <w:rPr>
                <w:rFonts w:hint="eastAsia" w:ascii="宋体" w:cs="Arial" w:hAnsiTheme="minorEastAsia"/>
                <w:b/>
                <w:bCs/>
                <w:sz w:val="28"/>
                <w:szCs w:val="28"/>
              </w:rPr>
              <w:t xml:space="preserve">*</w:t>
            </w:r>
            <w:r>
              <w:rPr>
                <w:rFonts w:hint="eastAsia" w:cs="Arial" w:asciiTheme="minorEastAsia" w:hAnsiTheme="minorEastAsia" w:eastAsiaTheme="minorEastAsia"/>
              </w:rPr>
              <w:t xml:space="preserve">3.2、电池</w:t>
            </w:r>
            <w:r>
              <w:rPr>
                <w:rFonts w:cs="Arial" w:asciiTheme="minorEastAsia" w:hAnsiTheme="minorEastAsia" w:eastAsiaTheme="minorEastAsia"/>
              </w:rPr>
              <w:t xml:space="preserve">防护等级：满足</w:t>
            </w:r>
            <w:r>
              <w:rPr>
                <w:rFonts w:hint="eastAsia" w:cs="Arial" w:asciiTheme="minorEastAsia" w:hAnsiTheme="minorEastAsia" w:eastAsiaTheme="minorEastAsia"/>
              </w:rPr>
              <w:t xml:space="preserve">IP6X,IPX8；</w:t>
            </w:r>
            <w:r>
              <w:rPr>
                <w:rFonts w:cs="Arial" w:asciiTheme="minorEastAsia" w:hAnsiTheme="minorEastAsia" w:eastAsiaTheme="minorEastAsia"/>
              </w:rPr>
              <w:t xml:space="preserve">符合GB38032标准</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提供第三方检测报告</w:t>
            </w:r>
            <w:r/>
          </w:p>
          <w:p>
            <w:pPr>
              <w:rPr>
                <w:rFonts w:cs="Arial" w:asciiTheme="minorEastAsia" w:hAnsiTheme="minorEastAsia" w:eastAsiaTheme="minorEastAsia"/>
              </w:rPr>
            </w:pPr>
            <w:r>
              <w:rPr>
                <w:rFonts w:hint="eastAsia" w:cs="Arial" w:asciiTheme="minorEastAsia" w:hAnsiTheme="minorEastAsia" w:eastAsiaTheme="minorEastAsia"/>
              </w:rPr>
              <w:t xml:space="preserve">3.3、</w:t>
            </w:r>
            <w:r>
              <w:rPr>
                <w:rFonts w:cs="Arial" w:asciiTheme="minorEastAsia" w:hAnsiTheme="minorEastAsia" w:eastAsiaTheme="minorEastAsia"/>
              </w:rPr>
              <w:t xml:space="preserve">安全性能</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预处理</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振动</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机械冲击</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模拟碰撞</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挤压</w:t>
            </w:r>
            <w:r>
              <w:rPr>
                <w:rFonts w:hint="eastAsia" w:cs="Arial" w:asciiTheme="minorEastAsia" w:hAnsiTheme="minorEastAsia" w:eastAsiaTheme="minorEastAsia"/>
              </w:rPr>
              <w:t xml:space="preserve">、湿热循环、浸水安全、热稳定性（外部火烧、热扩散）、温度冲击、盐雾、高海拔、过温保护、过流保护、外部短路保护、过充电保护、</w:t>
            </w:r>
            <w:r>
              <w:rPr>
                <w:rFonts w:asciiTheme="minorEastAsia" w:hAnsiTheme="minorEastAsia"/>
                <w:b/>
                <w:bCs/>
                <w:szCs w:val="21"/>
              </w:rPr>
              <w:t xml:space="preserve">*</w:t>
            </w:r>
            <w:r>
              <w:rPr>
                <w:rFonts w:hint="eastAsia" w:cs="Arial" w:asciiTheme="minorEastAsia" w:hAnsiTheme="minorEastAsia" w:eastAsiaTheme="minorEastAsia"/>
              </w:rPr>
              <w:t xml:space="preserve">过放电保护</w:t>
            </w:r>
            <w:r>
              <w:rPr>
                <w:rFonts w:cs="Arial" w:asciiTheme="minorEastAsia" w:hAnsiTheme="minorEastAsia" w:eastAsiaTheme="minorEastAsia"/>
              </w:rPr>
              <w:t xml:space="preserve">符合GB38031标准</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提供第三方检测报告</w:t>
            </w:r>
            <w:r/>
          </w:p>
          <w:p>
            <w:pPr>
              <w:rPr>
                <w:rFonts w:cs="Arial" w:asciiTheme="minorEastAsia" w:hAnsiTheme="minorEastAsia" w:eastAsiaTheme="minorEastAsia"/>
              </w:rPr>
            </w:pPr>
            <w:r>
              <w:rPr>
                <w:rFonts w:hint="eastAsia" w:ascii="宋体" w:cs="Arial" w:hAnsiTheme="minorEastAsia"/>
              </w:rPr>
              <w:t xml:space="preserve">▲</w:t>
            </w:r>
            <w:r>
              <w:rPr>
                <w:rFonts w:hint="eastAsia" w:cs="Arial" w:asciiTheme="minorEastAsia" w:hAnsiTheme="minorEastAsia" w:eastAsiaTheme="minorEastAsia"/>
              </w:rPr>
              <w:t xml:space="preserve">3.4、</w:t>
            </w:r>
            <w:r>
              <w:rPr>
                <w:rFonts w:cs="Arial" w:asciiTheme="minorEastAsia" w:hAnsiTheme="minorEastAsia" w:eastAsiaTheme="minorEastAsia"/>
              </w:rPr>
              <w:t xml:space="preserve">防火要求：</w:t>
            </w:r>
            <w:r>
              <w:rPr>
                <w:rFonts w:hint="eastAsia" w:cs="Arial" w:asciiTheme="minorEastAsia" w:hAnsiTheme="minorEastAsia" w:eastAsiaTheme="minorEastAsia"/>
              </w:rPr>
              <w:t xml:space="preserve">相关</w:t>
            </w:r>
            <w:r>
              <w:rPr>
                <w:rFonts w:cs="Arial" w:asciiTheme="minorEastAsia" w:hAnsiTheme="minorEastAsia" w:eastAsiaTheme="minorEastAsia"/>
              </w:rPr>
              <w:t xml:space="preserve">部件绝缘材料的阻燃性能应符合GB/T2408规定的水平燃烧HB级，垂直燃烧V—0级</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提供第三方检测报告</w:t>
            </w:r>
            <w:r/>
          </w:p>
          <w:p>
            <w:pPr>
              <w:rPr>
                <w:rFonts w:cs="Arial" w:asciiTheme="minorEastAsia" w:hAnsiTheme="minorEastAsia" w:eastAsiaTheme="minorEastAsia"/>
              </w:rPr>
            </w:pPr>
            <w:r>
              <w:rPr>
                <w:rFonts w:hint="eastAsia" w:ascii="宋体" w:cs="Arial" w:hAnsiTheme="minorEastAsia"/>
              </w:rPr>
              <w:t xml:space="preserve">▲</w:t>
            </w:r>
            <w:r>
              <w:rPr>
                <w:rFonts w:hint="eastAsia" w:cs="Arial" w:asciiTheme="minorEastAsia" w:hAnsiTheme="minorEastAsia" w:eastAsiaTheme="minorEastAsia"/>
              </w:rPr>
              <w:t xml:space="preserve">3.5、</w:t>
            </w:r>
            <w:r>
              <w:rPr>
                <w:rFonts w:cs="Arial" w:asciiTheme="minorEastAsia" w:hAnsiTheme="minorEastAsia" w:eastAsiaTheme="minorEastAsia"/>
              </w:rPr>
              <w:t xml:space="preserve">高标准严格验证：热</w:t>
            </w:r>
            <w:r>
              <w:rPr>
                <w:rFonts w:hint="eastAsia" w:cs="Arial" w:asciiTheme="minorEastAsia" w:hAnsiTheme="minorEastAsia" w:eastAsiaTheme="minorEastAsia"/>
              </w:rPr>
              <w:t xml:space="preserve">扩散</w:t>
            </w:r>
            <w:r>
              <w:rPr>
                <w:rFonts w:cs="Arial" w:asciiTheme="minorEastAsia" w:hAnsiTheme="minorEastAsia" w:eastAsiaTheme="minorEastAsia"/>
              </w:rPr>
              <w:t xml:space="preserve">、BMS功能及SOC精度、单体针刺、</w:t>
            </w:r>
            <w:r>
              <w:rPr>
                <w:rFonts w:hint="eastAsia" w:cs="Arial" w:asciiTheme="minorEastAsia" w:hAnsiTheme="minorEastAsia" w:eastAsiaTheme="minorEastAsia"/>
              </w:rPr>
              <w:t xml:space="preserve">绝缘电阻、电位均衡、屏蔽线接触电阻、电气间隙和爬电距离测试、电容耦合测试、交流耐压测试；提供检测报告</w:t>
            </w:r>
            <w:r/>
          </w:p>
          <w:p>
            <w:pPr>
              <w:rPr>
                <w:rFonts w:cs="Arial" w:asciiTheme="minorEastAsia" w:hAnsiTheme="minorEastAsia" w:eastAsiaTheme="minorEastAsia"/>
              </w:rPr>
            </w:pPr>
            <w:r>
              <w:rPr>
                <w:rFonts w:hint="eastAsia" w:ascii="宋体" w:cs="Arial" w:hAnsiTheme="minorEastAsia"/>
              </w:rPr>
              <w:t xml:space="preserve">▲</w:t>
            </w:r>
            <w:r>
              <w:rPr>
                <w:rFonts w:hint="eastAsia" w:cs="Arial" w:asciiTheme="minorEastAsia" w:hAnsiTheme="minorEastAsia" w:eastAsiaTheme="minorEastAsia"/>
              </w:rPr>
              <w:t xml:space="preserve">3.6、</w:t>
            </w:r>
            <w:r>
              <w:rPr>
                <w:rFonts w:cs="Arial" w:asciiTheme="minorEastAsia" w:hAnsiTheme="minorEastAsia" w:eastAsiaTheme="minorEastAsia"/>
              </w:rPr>
              <w:t xml:space="preserve">电池箱体达到IP6</w:t>
            </w:r>
            <w:r>
              <w:rPr>
                <w:rFonts w:hint="eastAsia" w:cs="Arial" w:asciiTheme="minorEastAsia" w:hAnsiTheme="minorEastAsia" w:eastAsiaTheme="minorEastAsia"/>
              </w:rPr>
              <w:t xml:space="preserve">9</w:t>
            </w:r>
            <w:r>
              <w:rPr>
                <w:rFonts w:cs="Arial" w:asciiTheme="minorEastAsia" w:hAnsiTheme="minorEastAsia" w:eastAsiaTheme="minorEastAsia"/>
              </w:rPr>
              <w:t xml:space="preserve">防护要</w:t>
            </w:r>
            <w:r>
              <w:rPr>
                <w:rFonts w:hint="eastAsia" w:cs="Arial" w:asciiTheme="minorEastAsia" w:hAnsiTheme="minorEastAsia" w:eastAsiaTheme="minorEastAsia"/>
              </w:rPr>
              <w:t xml:space="preserve">求</w:t>
            </w:r>
            <w:r>
              <w:rPr>
                <w:rFonts w:cs="Arial" w:asciiTheme="minorEastAsia" w:hAnsiTheme="minorEastAsia" w:eastAsiaTheme="minorEastAsia"/>
              </w:rPr>
              <w:t xml:space="preserve">，提高电池系统防尘、防水要求</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高压高温喷水，电池箱内不进水，双重防护</w:t>
            </w:r>
            <w:r>
              <w:rPr>
                <w:rFonts w:hint="eastAsia" w:cs="Arial" w:asciiTheme="minorEastAsia" w:hAnsiTheme="minorEastAsia" w:eastAsiaTheme="minorEastAsia"/>
              </w:rPr>
              <w:t xml:space="preserve">，符合GB/T4208标准；</w:t>
            </w:r>
            <w:r>
              <w:rPr>
                <w:rFonts w:cs="Arial" w:asciiTheme="minorEastAsia" w:hAnsiTheme="minorEastAsia" w:eastAsiaTheme="minorEastAsia"/>
              </w:rPr>
              <w:t xml:space="preserve">提供第三方检测报告</w:t>
            </w:r>
            <w:r/>
          </w:p>
          <w:p>
            <w:pPr>
              <w:rPr>
                <w:rFonts w:cs="Arial" w:asciiTheme="minorEastAsia" w:hAnsiTheme="minorEastAsia" w:eastAsiaTheme="minorEastAsia"/>
              </w:rPr>
            </w:pPr>
            <w:r>
              <w:rPr>
                <w:rFonts w:hint="eastAsia" w:ascii="宋体" w:cs="Arial" w:hAnsiTheme="minorEastAsia"/>
              </w:rPr>
              <w:t xml:space="preserve">▲</w:t>
            </w:r>
            <w:r>
              <w:rPr>
                <w:rFonts w:cs="Arial" w:asciiTheme="minorEastAsia" w:hAnsiTheme="minorEastAsia" w:eastAsiaTheme="minorEastAsia"/>
              </w:rPr>
              <w:t xml:space="preserve">3.</w:t>
            </w:r>
            <w:r>
              <w:rPr>
                <w:rFonts w:hint="eastAsia" w:cs="Arial" w:asciiTheme="minorEastAsia" w:hAnsiTheme="minorEastAsia" w:eastAsiaTheme="minorEastAsia"/>
              </w:rPr>
              <w:t xml:space="preserve">7、锂电池耐泡水能力</w:t>
            </w:r>
            <w:r>
              <w:rPr>
                <w:rFonts w:cs="Arial" w:asciiTheme="minorEastAsia" w:hAnsiTheme="minorEastAsia" w:eastAsiaTheme="minorEastAsia"/>
              </w:rPr>
              <w:t xml:space="preserve">实现</w:t>
            </w:r>
            <w:r>
              <w:rPr>
                <w:rFonts w:hint="eastAsia" w:cs="Arial" w:asciiTheme="minorEastAsia" w:hAnsiTheme="minorEastAsia" w:eastAsiaTheme="minorEastAsia"/>
              </w:rPr>
              <w:t xml:space="preserve">2米</w:t>
            </w:r>
            <w:r>
              <w:rPr>
                <w:rFonts w:cs="Arial" w:asciiTheme="minorEastAsia" w:hAnsiTheme="minorEastAsia" w:eastAsiaTheme="minorEastAsia"/>
              </w:rPr>
              <w:t xml:space="preserve">深水中浸泡72h</w:t>
            </w:r>
            <w:r>
              <w:rPr>
                <w:rFonts w:hint="eastAsia" w:cs="Arial" w:asciiTheme="minorEastAsia" w:hAnsiTheme="minorEastAsia" w:eastAsiaTheme="minorEastAsia"/>
              </w:rPr>
              <w:t xml:space="preserve">；提供检测报告</w:t>
            </w:r>
            <w:r/>
          </w:p>
          <w:p>
            <w:pPr>
              <w:rPr>
                <w:rFonts w:cs="Arial" w:asciiTheme="minorEastAsia" w:hAnsiTheme="minorEastAsia" w:eastAsiaTheme="minorEastAsia"/>
              </w:rPr>
            </w:pPr>
            <w:r>
              <w:rPr>
                <w:rFonts w:hint="eastAsia" w:cs="Arial" w:asciiTheme="minorEastAsia" w:hAnsiTheme="minorEastAsia" w:eastAsiaTheme="minorEastAsia"/>
              </w:rPr>
              <w:t xml:space="preserve"> 3.8、</w:t>
            </w:r>
            <w:r>
              <w:rPr>
                <w:rFonts w:cs="Arial" w:asciiTheme="minorEastAsia" w:hAnsiTheme="minorEastAsia" w:eastAsiaTheme="minorEastAsia"/>
              </w:rPr>
              <w:t xml:space="preserve">电池组主串联回路须内置快速熔断器，以保证电源系统发生短路时可断开主电路</w:t>
            </w:r>
            <w:r>
              <w:rPr>
                <w:rFonts w:hint="eastAsia" w:cs="Arial" w:asciiTheme="minorEastAsia" w:hAnsiTheme="minorEastAsia" w:eastAsiaTheme="minorEastAsia"/>
              </w:rPr>
              <w:t xml:space="preserve">；</w:t>
            </w:r>
            <w:r/>
          </w:p>
          <w:p>
            <w:pPr>
              <w:rPr>
                <w:rFonts w:hint="eastAsia" w:ascii="宋体" w:hAnsi="宋体"/>
                <w:bCs/>
                <w:szCs w:val="21"/>
              </w:rPr>
            </w:pPr>
            <w:r>
              <w:rPr>
                <w:rFonts w:hint="eastAsia" w:ascii="宋体" w:cs="Arial" w:hAnsiTheme="minorEastAsia"/>
              </w:rPr>
              <w:t xml:space="preserve">▲</w:t>
            </w:r>
            <w:r>
              <w:rPr>
                <w:rFonts w:hint="eastAsia" w:cs="Arial" w:asciiTheme="minorEastAsia" w:hAnsiTheme="minorEastAsia" w:eastAsiaTheme="minorEastAsia"/>
              </w:rPr>
              <w:t xml:space="preserve">3.9、</w:t>
            </w:r>
            <w:r>
              <w:rPr>
                <w:rFonts w:cs="Arial" w:asciiTheme="minorEastAsia" w:hAnsiTheme="minorEastAsia" w:eastAsiaTheme="minorEastAsia"/>
              </w:rPr>
              <w:t xml:space="preserve">电池箱具备加热功能，配置加热管理控制模块和加热器，能够控制电池箱体内的温度</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具备加热模式</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加热速率大于0.5</w:t>
            </w:r>
            <w:r>
              <w:rPr>
                <w:rFonts w:hint="eastAsia" w:cs="微软雅黑" w:asciiTheme="minorEastAsia" w:hAnsiTheme="minorEastAsia" w:eastAsiaTheme="minorEastAsia"/>
              </w:rPr>
              <w:t xml:space="preserve">℃</w:t>
            </w:r>
            <w:r>
              <w:rPr>
                <w:rFonts w:cs="Arial" w:asciiTheme="minorEastAsia" w:hAnsiTheme="minorEastAsia" w:eastAsiaTheme="minorEastAsia"/>
              </w:rPr>
              <w:t xml:space="preserve">/min。</w:t>
            </w:r>
            <w:r>
              <w:rPr>
                <w:rFonts w:hint="eastAsia" w:cs="Arial" w:asciiTheme="minorEastAsia" w:hAnsiTheme="minorEastAsia" w:eastAsiaTheme="minorEastAsia"/>
              </w:rPr>
              <w:t xml:space="preserve">提供检测报告</w:t>
            </w:r>
            <w:r/>
          </w:p>
        </w:tc>
      </w:tr>
      <w:tr>
        <w:trPr>
          <w:jc w:val="center"/>
        </w:trPr>
        <w:tc>
          <w:tcPr>
            <w:tcW w:w="922" w:type="dxa"/>
            <w:vAlign w:val="center"/>
            <w:vMerge w:val="continue"/>
            <w:textDirection w:val="lrTb"/>
            <w:noWrap w:val="false"/>
          </w:tcPr>
          <w:p>
            <w:pPr>
              <w:jc w:val="center"/>
              <w:rPr>
                <w:rFonts w:hint="eastAsia" w:ascii="宋体" w:hAnsi="宋体"/>
                <w:bCs/>
                <w:szCs w:val="21"/>
              </w:rPr>
            </w:pPr>
            <w:r>
              <w:rPr>
                <w:rFonts w:hint="eastAsia" w:ascii="宋体" w:hAnsi="宋体"/>
                <w:bCs/>
                <w:szCs w:val="21"/>
              </w:rPr>
            </w:r>
            <w:r/>
          </w:p>
        </w:tc>
        <w:tc>
          <w:tcPr>
            <w:tcW w:w="176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5.6.</w:t>
            </w:r>
            <w:r>
              <w:rPr>
                <w:rFonts w:hint="eastAsia" w:ascii="宋体" w:hAnsi="宋体" w:cs="Arial"/>
                <w:bCs/>
              </w:rPr>
              <w:t xml:space="preserve">4、</w:t>
            </w:r>
            <w:r>
              <w:rPr>
                <w:rFonts w:ascii="宋体" w:hAnsi="宋体" w:cs="Arial"/>
                <w:bCs/>
              </w:rPr>
              <w:t xml:space="preserve">电池管理系统（BMS）1套</w:t>
            </w:r>
            <w:r>
              <w:rPr>
                <w:rFonts w:hint="eastAsia" w:ascii="宋体" w:hAnsi="宋体" w:cs="Arial"/>
                <w:bCs/>
              </w:rPr>
              <w:t xml:space="preserve">：</w:t>
            </w:r>
            <w:r/>
          </w:p>
        </w:tc>
        <w:tc>
          <w:tcPr>
            <w:tcW w:w="6668" w:type="dxa"/>
            <w:vAlign w:val="center"/>
            <w:textDirection w:val="lrTb"/>
            <w:noWrap w:val="false"/>
          </w:tcPr>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.1</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具有电压、电流、温度、高压、均衡、CAN通讯故障诊断功能</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.2</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具有过压、欠压、过流、过温、绝缘、充电超出限制、放电超出限制等保护及报警功能</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.3</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具有绝缘电阻监测功能</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.4</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具有CAN通讯功能</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.5</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具有SOC过低报警</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.6</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具备SOH估算功能，监控电池健康状态功能</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.7</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具有低功耗和休眠功能，全部电池巡检时间：＜50ms，巡检周期:0.5S</w:t>
            </w:r>
            <w:r>
              <w:rPr>
                <w:rFonts w:hint="eastAsia" w:cs="Arial" w:asciiTheme="minorEastAsia" w:hAnsiTheme="minorEastAsia" w:eastAsiaTheme="minorEastAsia"/>
              </w:rPr>
              <w:t xml:space="preserve">；</w:t>
            </w:r>
            <w:r/>
          </w:p>
          <w:p>
            <w:pPr>
              <w:rPr>
                <w:rFonts w:hint="eastAsia" w:ascii="宋体" w:hAnsi="宋体"/>
                <w:bCs/>
                <w:szCs w:val="21"/>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.8</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具有继电器以及高压环路互锁诊断功能。</w:t>
            </w:r>
            <w:r/>
          </w:p>
        </w:tc>
      </w:tr>
      <w:tr>
        <w:trPr>
          <w:jc w:val="center"/>
        </w:trPr>
        <w:tc>
          <w:tcPr>
            <w:tcW w:w="922" w:type="dxa"/>
            <w:vAlign w:val="center"/>
            <w:vMerge w:val="continue"/>
            <w:textDirection w:val="lrTb"/>
            <w:noWrap w:val="false"/>
          </w:tcPr>
          <w:p>
            <w:pPr>
              <w:jc w:val="center"/>
              <w:rPr>
                <w:rFonts w:hint="eastAsia" w:ascii="宋体" w:hAnsi="宋体"/>
                <w:bCs/>
                <w:szCs w:val="21"/>
              </w:rPr>
            </w:pPr>
            <w:r>
              <w:rPr>
                <w:rFonts w:hint="eastAsia" w:ascii="宋体" w:hAnsi="宋体"/>
                <w:bCs/>
                <w:szCs w:val="21"/>
              </w:rPr>
            </w:r>
            <w:r/>
          </w:p>
        </w:tc>
        <w:tc>
          <w:tcPr>
            <w:tcW w:w="176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5.6.</w:t>
            </w:r>
            <w:r>
              <w:rPr>
                <w:rFonts w:hint="eastAsia" w:ascii="宋体" w:hAnsi="宋体" w:cs="Arial"/>
                <w:bCs/>
              </w:rPr>
              <w:t xml:space="preserve">5、锂电池配套系统：</w:t>
            </w:r>
            <w:r/>
          </w:p>
        </w:tc>
        <w:tc>
          <w:tcPr>
            <w:tcW w:w="6668" w:type="dxa"/>
            <w:vAlign w:val="center"/>
            <w:textDirection w:val="lrTb"/>
            <w:noWrap w:val="false"/>
          </w:tcPr>
          <w:p>
            <w:pPr>
              <w:rPr>
                <w:rFonts w:cs="Arial" w:asciiTheme="minorEastAsia" w:hAnsiTheme="minorEastAsia" w:eastAsiaTheme="minorEastAsia"/>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.1</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锂电池7英寸显示屏:可以实时显示电池组电压、电流、剩余电量、电池组温度、电池单体最低电压数值及电池系统单体电压过低报警提示信息</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2、</w:t>
            </w:r>
            <w:r>
              <w:rPr>
                <w:rFonts w:cs="Arial" w:asciiTheme="minorEastAsia" w:hAnsiTheme="minorEastAsia" w:eastAsiaTheme="minorEastAsia"/>
              </w:rPr>
              <w:t xml:space="preserve">逆变器</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额定输出功率12kW,输出电压AC220V,额定输出电流</w:t>
            </w:r>
            <w:r>
              <w:rPr>
                <w:rFonts w:hint="eastAsia" w:cs="Arial" w:asciiTheme="minorEastAsia" w:hAnsiTheme="minorEastAsia" w:eastAsiaTheme="minorEastAsia"/>
              </w:rPr>
              <w:t xml:space="preserve">5</w:t>
            </w:r>
            <w:r>
              <w:rPr>
                <w:rFonts w:cs="Arial" w:asciiTheme="minorEastAsia" w:hAnsiTheme="minorEastAsia" w:eastAsiaTheme="minorEastAsia"/>
              </w:rPr>
              <w:t xml:space="preserve">4.5A，针对锂电池：逆变器输入电压：DC300V~DC750V，具有过温、过载、输出短路、过电流、过电压、欠电压、工作时负载突变等即时停机保护功能</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3、</w:t>
            </w:r>
            <w:r>
              <w:rPr>
                <w:rFonts w:cs="Arial" w:asciiTheme="minorEastAsia" w:hAnsiTheme="minorEastAsia" w:eastAsiaTheme="minorEastAsia"/>
              </w:rPr>
              <w:t xml:space="preserve">隔离变压器</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输入电压AC220V</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50Hz</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输出电压AC220V</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50Hz</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额定容量</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15KVA</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4、</w:t>
            </w:r>
            <w:r>
              <w:rPr>
                <w:rFonts w:cs="Arial" w:asciiTheme="minorEastAsia" w:hAnsiTheme="minorEastAsia" w:eastAsiaTheme="minorEastAsia"/>
              </w:rPr>
              <w:t xml:space="preserve">直流充电桩</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额定输出功率20kW,最大充电电流50A,输出宽电压范围DC50V-DC750V</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5</w:t>
            </w:r>
            <w:r>
              <w:rPr>
                <w:rFonts w:cs="Arial" w:asciiTheme="minorEastAsia" w:hAnsiTheme="minorEastAsia" w:eastAsiaTheme="minorEastAsia"/>
              </w:rPr>
              <w:t xml:space="preserve"> 可抽拉托架</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抽拉</w:t>
            </w:r>
            <w:r>
              <w:rPr>
                <w:rFonts w:cs="Arial" w:asciiTheme="minorEastAsia" w:hAnsiTheme="minorEastAsia" w:eastAsiaTheme="minorEastAsia"/>
              </w:rPr>
              <w:t xml:space="preserve">系统</w:t>
            </w:r>
            <w:r>
              <w:rPr>
                <w:rFonts w:hint="eastAsia" w:cs="Arial" w:asciiTheme="minorEastAsia" w:hAnsiTheme="minorEastAsia" w:eastAsiaTheme="minorEastAsia"/>
              </w:rPr>
              <w:t xml:space="preserve">托架满足</w:t>
            </w:r>
            <w:r>
              <w:rPr>
                <w:rFonts w:cs="Arial" w:asciiTheme="minorEastAsia" w:hAnsiTheme="minorEastAsia" w:eastAsiaTheme="minorEastAsia"/>
              </w:rPr>
              <w:t xml:space="preserve">锂电池及相关部件</w:t>
            </w:r>
            <w:r>
              <w:rPr>
                <w:rFonts w:hint="eastAsia" w:cs="Arial" w:asciiTheme="minorEastAsia" w:hAnsiTheme="minorEastAsia" w:eastAsiaTheme="minorEastAsia"/>
              </w:rPr>
              <w:t xml:space="preserve">安装</w:t>
            </w:r>
            <w:r>
              <w:rPr>
                <w:rFonts w:cs="Arial" w:asciiTheme="minorEastAsia" w:hAnsiTheme="minorEastAsia" w:eastAsiaTheme="minorEastAsia"/>
              </w:rPr>
              <w:t xml:space="preserve">，集成化设计，</w:t>
            </w:r>
            <w:r>
              <w:rPr>
                <w:rFonts w:hint="eastAsia" w:cs="Arial" w:asciiTheme="minorEastAsia" w:hAnsiTheme="minorEastAsia" w:eastAsiaTheme="minorEastAsia"/>
              </w:rPr>
              <w:t xml:space="preserve">锂电池</w:t>
            </w:r>
            <w:r>
              <w:rPr>
                <w:rFonts w:cs="Arial" w:asciiTheme="minorEastAsia" w:hAnsiTheme="minorEastAsia" w:eastAsiaTheme="minorEastAsia"/>
              </w:rPr>
              <w:t xml:space="preserve">系统</w:t>
            </w:r>
            <w:r>
              <w:rPr>
                <w:rFonts w:hint="eastAsia" w:cs="Arial" w:asciiTheme="minorEastAsia" w:hAnsiTheme="minorEastAsia" w:eastAsiaTheme="minorEastAsia"/>
              </w:rPr>
              <w:t xml:space="preserve">不占用</w:t>
            </w:r>
            <w:r>
              <w:rPr>
                <w:rFonts w:cs="Arial" w:asciiTheme="minorEastAsia" w:hAnsiTheme="minorEastAsia" w:eastAsiaTheme="minorEastAsia"/>
              </w:rPr>
              <w:t xml:space="preserve">其他舱体</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滑道</w:t>
            </w:r>
            <w:r>
              <w:rPr>
                <w:rFonts w:cs="Arial" w:asciiTheme="minorEastAsia" w:hAnsiTheme="minorEastAsia" w:eastAsiaTheme="minorEastAsia"/>
              </w:rPr>
              <w:t xml:space="preserve">采用</w:t>
            </w:r>
            <w:r>
              <w:rPr>
                <w:rFonts w:hint="eastAsia" w:cs="Arial" w:asciiTheme="minorEastAsia" w:hAnsiTheme="minorEastAsia" w:eastAsiaTheme="minorEastAsia"/>
              </w:rPr>
              <w:t xml:space="preserve">内外</w:t>
            </w:r>
            <w:r>
              <w:rPr>
                <w:rFonts w:cs="Arial" w:asciiTheme="minorEastAsia" w:hAnsiTheme="minorEastAsia" w:eastAsiaTheme="minorEastAsia"/>
              </w:rPr>
              <w:t xml:space="preserve">双</w:t>
            </w:r>
            <w:r>
              <w:rPr>
                <w:rFonts w:hint="eastAsia" w:cs="Arial" w:asciiTheme="minorEastAsia" w:hAnsiTheme="minorEastAsia" w:eastAsiaTheme="minorEastAsia"/>
              </w:rPr>
              <w:t xml:space="preserve">C型钢</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最外侧</w:t>
            </w:r>
            <w:r>
              <w:rPr>
                <w:rFonts w:cs="Arial" w:asciiTheme="minorEastAsia" w:hAnsiTheme="minorEastAsia" w:eastAsiaTheme="minorEastAsia"/>
              </w:rPr>
              <w:t xml:space="preserve">槽钢厚度不低于</w:t>
            </w:r>
            <w:r>
              <w:rPr>
                <w:rFonts w:hint="eastAsia" w:cs="Arial" w:asciiTheme="minorEastAsia" w:hAnsiTheme="minorEastAsia" w:eastAsiaTheme="minorEastAsia"/>
              </w:rPr>
              <w:t xml:space="preserve">8</w:t>
            </w:r>
            <w:r>
              <w:rPr>
                <w:rFonts w:cs="Arial" w:asciiTheme="minorEastAsia" w:hAnsiTheme="minorEastAsia" w:eastAsiaTheme="minorEastAsia"/>
              </w:rPr>
              <w:t xml:space="preserve">mm</w:t>
            </w:r>
            <w:r>
              <w:rPr>
                <w:rFonts w:hint="eastAsia" w:cs="Arial" w:asciiTheme="minorEastAsia" w:hAnsiTheme="minorEastAsia" w:eastAsiaTheme="minorEastAsia"/>
              </w:rPr>
              <w:t xml:space="preserve">，长度</w:t>
            </w:r>
            <w:r>
              <w:rPr>
                <w:rFonts w:cs="Arial" w:asciiTheme="minorEastAsia" w:hAnsiTheme="minorEastAsia" w:eastAsiaTheme="minorEastAsia"/>
              </w:rPr>
              <w:t xml:space="preserve">不低于</w:t>
            </w:r>
            <w:r>
              <w:rPr>
                <w:rFonts w:hint="eastAsia" w:cs="Arial" w:asciiTheme="minorEastAsia" w:hAnsiTheme="minorEastAsia" w:eastAsiaTheme="minorEastAsia"/>
              </w:rPr>
              <w:t xml:space="preserve">1700</w:t>
            </w:r>
            <w:r>
              <w:rPr>
                <w:rFonts w:cs="Arial" w:asciiTheme="minorEastAsia" w:hAnsiTheme="minorEastAsia" w:eastAsiaTheme="minorEastAsia"/>
              </w:rPr>
              <w:t xml:space="preserve">mm；</w:t>
            </w:r>
            <w:r/>
          </w:p>
          <w:p>
            <w:pPr>
              <w:rPr>
                <w:rFonts w:cs="Arial" w:asciiTheme="minorEastAsia" w:hAnsiTheme="minorEastAsia" w:eastAsiaTheme="minorEastAsia"/>
              </w:rPr>
            </w:pPr>
            <w:r>
              <w:rPr>
                <w:rFonts w:cs="Arial" w:asciiTheme="minorEastAsia" w:hAnsiTheme="minorEastAsia" w:eastAsiaTheme="minorEastAsia"/>
              </w:rPr>
              <w:t xml:space="preserve">托盘配有</w:t>
            </w:r>
            <w:r>
              <w:rPr>
                <w:rFonts w:hint="eastAsia" w:cs="Arial" w:asciiTheme="minorEastAsia" w:hAnsiTheme="minorEastAsia" w:eastAsiaTheme="minorEastAsia"/>
              </w:rPr>
              <w:t xml:space="preserve">不少于20个深沟球轴承，轴承</w:t>
            </w:r>
            <w:r>
              <w:rPr>
                <w:rFonts w:cs="Arial" w:asciiTheme="minorEastAsia" w:hAnsiTheme="minorEastAsia" w:eastAsiaTheme="minorEastAsia"/>
              </w:rPr>
              <w:t xml:space="preserve">与托盘使用不低于φ35</w:t>
            </w:r>
            <w:r>
              <w:rPr>
                <w:rFonts w:hint="eastAsia" w:cs="Arial" w:asciiTheme="minorEastAsia" w:hAnsiTheme="minorEastAsia" w:eastAsiaTheme="minorEastAsia"/>
              </w:rPr>
              <w:t xml:space="preserve">圆钢</w:t>
            </w:r>
            <w:r>
              <w:rPr>
                <w:rFonts w:cs="Arial" w:asciiTheme="minorEastAsia" w:hAnsiTheme="minorEastAsia" w:eastAsiaTheme="minorEastAsia"/>
              </w:rPr>
              <w:t xml:space="preserve">连接</w:t>
            </w:r>
            <w:r>
              <w:rPr>
                <w:rFonts w:hint="eastAsia" w:cs="Arial" w:asciiTheme="minorEastAsia" w:hAnsiTheme="minorEastAsia" w:eastAsiaTheme="minorEastAsia"/>
              </w:rPr>
              <w:t xml:space="preserve">；整体</w:t>
            </w:r>
            <w:r>
              <w:rPr>
                <w:rFonts w:cs="Arial" w:asciiTheme="minorEastAsia" w:hAnsiTheme="minorEastAsia" w:eastAsiaTheme="minorEastAsia"/>
              </w:rPr>
              <w:t xml:space="preserve">安装在舱体里可以抽拉</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顺畅无卡顿,方便锂电系统维护</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整体托盘</w:t>
            </w:r>
            <w:r>
              <w:rPr>
                <w:rFonts w:cs="Arial" w:asciiTheme="minorEastAsia" w:hAnsiTheme="minorEastAsia" w:eastAsiaTheme="minorEastAsia"/>
              </w:rPr>
              <w:t xml:space="preserve">经电泳工艺处理，防腐</w:t>
            </w:r>
            <w:r>
              <w:rPr>
                <w:rFonts w:hint="eastAsia" w:cs="Arial" w:asciiTheme="minorEastAsia" w:hAnsiTheme="minorEastAsia" w:eastAsiaTheme="minorEastAsia"/>
              </w:rPr>
              <w:t xml:space="preserve">与车体</w:t>
            </w:r>
            <w:r>
              <w:rPr>
                <w:rFonts w:cs="Arial" w:asciiTheme="minorEastAsia" w:hAnsiTheme="minorEastAsia" w:eastAsiaTheme="minorEastAsia"/>
              </w:rPr>
              <w:t xml:space="preserve">同等级</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提供实车应用照片</w:t>
            </w:r>
            <w:r>
              <w:rPr>
                <w:rFonts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6、</w:t>
            </w:r>
            <w:r>
              <w:rPr>
                <w:rFonts w:cs="Arial" w:asciiTheme="minorEastAsia" w:hAnsiTheme="minorEastAsia" w:eastAsiaTheme="minorEastAsia"/>
              </w:rPr>
              <w:t xml:space="preserve">锂电</w:t>
            </w:r>
            <w:r>
              <w:rPr>
                <w:rFonts w:hint="eastAsia" w:cs="Arial" w:asciiTheme="minorEastAsia" w:hAnsiTheme="minorEastAsia" w:eastAsiaTheme="minorEastAsia"/>
              </w:rPr>
              <w:t xml:space="preserve">舱</w:t>
            </w:r>
            <w:r>
              <w:rPr>
                <w:rFonts w:cs="Arial" w:asciiTheme="minorEastAsia" w:hAnsiTheme="minorEastAsia" w:eastAsiaTheme="minorEastAsia"/>
              </w:rPr>
              <w:t xml:space="preserve">门设计有充电</w:t>
            </w:r>
            <w:r>
              <w:rPr>
                <w:rFonts w:hint="eastAsia" w:cs="Arial" w:asciiTheme="minorEastAsia" w:hAnsiTheme="minorEastAsia" w:eastAsiaTheme="minorEastAsia"/>
              </w:rPr>
              <w:t xml:space="preserve">底座</w:t>
            </w:r>
            <w:r>
              <w:rPr>
                <w:rFonts w:cs="Arial" w:asciiTheme="minorEastAsia" w:hAnsiTheme="minorEastAsia" w:eastAsiaTheme="minorEastAsia"/>
              </w:rPr>
              <w:t xml:space="preserve">开口，锂电充电时无需打开</w:t>
            </w:r>
            <w:r>
              <w:rPr>
                <w:rFonts w:hint="eastAsia" w:cs="Arial" w:asciiTheme="minorEastAsia" w:hAnsiTheme="minorEastAsia" w:eastAsiaTheme="minorEastAsia"/>
              </w:rPr>
              <w:t xml:space="preserve">舱</w:t>
            </w:r>
            <w:r>
              <w:rPr>
                <w:rFonts w:cs="Arial" w:asciiTheme="minorEastAsia" w:hAnsiTheme="minorEastAsia" w:eastAsiaTheme="minorEastAsia"/>
              </w:rPr>
              <w:t xml:space="preserve">门</w:t>
            </w:r>
            <w:r>
              <w:rPr>
                <w:rFonts w:hint="eastAsia" w:cs="Arial" w:asciiTheme="minorEastAsia" w:hAnsiTheme="minorEastAsia" w:eastAsiaTheme="minorEastAsia"/>
              </w:rPr>
              <w:t xml:space="preserve">；</w:t>
            </w:r>
            <w:r/>
          </w:p>
          <w:p>
            <w:pPr>
              <w:jc w:val="left"/>
              <w:rPr>
                <w:rFonts w:hint="eastAsia" w:ascii="宋体" w:hAnsi="宋体"/>
                <w:bCs/>
                <w:szCs w:val="21"/>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7、锂电系统</w:t>
            </w:r>
            <w:r>
              <w:rPr>
                <w:rFonts w:cs="Arial" w:asciiTheme="minorEastAsia" w:hAnsiTheme="minorEastAsia" w:eastAsiaTheme="minorEastAsia"/>
              </w:rPr>
              <w:t xml:space="preserve">操作方便</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按下总开关和逆变开关电池即可工作</w:t>
            </w:r>
            <w:r>
              <w:rPr>
                <w:rFonts w:hint="eastAsia" w:cs="Arial" w:asciiTheme="minorEastAsia" w:hAnsiTheme="minorEastAsia" w:eastAsiaTheme="minorEastAsia"/>
              </w:rPr>
              <w:t xml:space="preserve">。</w:t>
            </w:r>
            <w:r/>
          </w:p>
        </w:tc>
      </w:tr>
      <w:tr>
        <w:trPr>
          <w:jc w:val="center"/>
        </w:trPr>
        <w:tc>
          <w:tcPr>
            <w:tcW w:w="922" w:type="dxa"/>
            <w:vAlign w:val="center"/>
            <w:textDirection w:val="lrTb"/>
            <w:noWrap w:val="false"/>
          </w:tcPr>
          <w:p>
            <w:pPr>
              <w:jc w:val="center"/>
              <w:rPr>
                <w:rFonts w:hint="eastAsia" w:ascii="宋体" w:hAnsi="宋体"/>
                <w:szCs w:val="21"/>
              </w:rPr>
            </w:pPr>
            <w:r>
              <w:rPr>
                <w:rFonts w:ascii="宋体" w:hAnsi="宋体"/>
                <w:szCs w:val="21"/>
              </w:rPr>
              <w:t xml:space="preserve">5.7</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市电空调设施</w:t>
            </w:r>
            <w:r/>
          </w:p>
        </w:tc>
        <w:tc>
          <w:tcPr>
            <w:tcW w:w="6668" w:type="dxa"/>
            <w:vAlign w:val="center"/>
            <w:textDirection w:val="lrTb"/>
            <w:noWrap w:val="false"/>
          </w:tcPr>
          <w:p>
            <w:pPr>
              <w:jc w:val="left"/>
              <w:rPr>
                <w:rFonts w:hint="eastAsia" w:ascii="宋体" w:hAnsi="宋体"/>
                <w:b/>
                <w:bCs/>
                <w:szCs w:val="21"/>
              </w:rPr>
            </w:pPr>
            <w:r>
              <w:rPr>
                <w:rFonts w:hint="eastAsia" w:ascii="宋体" w:hAnsi="宋体"/>
                <w:b/>
                <w:bCs/>
                <w:szCs w:val="21"/>
              </w:rPr>
              <w:t xml:space="preserve">风管式中央空调1套，</w:t>
            </w:r>
            <w:r>
              <w:rPr>
                <w:rFonts w:ascii="宋体" w:hAnsi="宋体"/>
                <w:b/>
                <w:bCs/>
                <w:szCs w:val="21"/>
              </w:rPr>
              <w:t xml:space="preserve">1</w:t>
            </w:r>
            <w:r>
              <w:rPr>
                <w:rFonts w:hint="eastAsia" w:ascii="宋体" w:hAnsi="宋体"/>
                <w:b/>
                <w:bCs/>
                <w:szCs w:val="21"/>
              </w:rPr>
              <w:t xml:space="preserve">个室</w:t>
            </w:r>
            <w:r>
              <w:rPr>
                <w:rFonts w:ascii="宋体" w:hAnsi="宋体"/>
                <w:b/>
                <w:bCs/>
                <w:szCs w:val="21"/>
              </w:rPr>
              <w:t xml:space="preserve">外机</w:t>
            </w:r>
            <w:r>
              <w:rPr>
                <w:rFonts w:hint="eastAsia" w:ascii="宋体" w:hAnsi="宋体"/>
                <w:b/>
                <w:bCs/>
                <w:szCs w:val="21"/>
              </w:rPr>
              <w:t xml:space="preserve">，技术参数如下：</w:t>
            </w:r>
            <w:r/>
          </w:p>
          <w:p>
            <w:pPr>
              <w:jc w:val="left"/>
              <w:rPr>
                <w:rFonts w:hint="eastAsia" w:ascii="宋体" w:hAnsi="宋体"/>
                <w:bCs/>
                <w:szCs w:val="21"/>
              </w:rPr>
            </w:pPr>
            <w:r>
              <w:rPr>
                <w:rFonts w:hint="eastAsia" w:ascii="宋体" w:hAnsi="宋体"/>
                <w:bCs/>
                <w:szCs w:val="21"/>
              </w:rPr>
              <w:t xml:space="preserve">1.</w:t>
            </w:r>
            <w:r>
              <w:rPr>
                <w:rFonts w:hint="eastAsia" w:ascii="宋体" w:hAnsi="宋体"/>
                <w:bCs/>
                <w:szCs w:val="21"/>
              </w:rPr>
              <w:tab/>
            </w:r>
            <w:r>
              <w:rPr>
                <w:rFonts w:hint="eastAsia" w:ascii="宋体" w:hAnsi="宋体"/>
                <w:bCs/>
                <w:szCs w:val="21"/>
              </w:rPr>
              <w:t xml:space="preserve">空调形式：中央空调，一拖四结构</w:t>
            </w:r>
            <w:r/>
          </w:p>
          <w:p>
            <w:pPr>
              <w:jc w:val="left"/>
              <w:rPr>
                <w:rFonts w:hint="eastAsia" w:ascii="宋体" w:hAnsi="宋体"/>
                <w:bCs/>
                <w:szCs w:val="21"/>
              </w:rPr>
            </w:pPr>
            <w:r>
              <w:rPr>
                <w:rFonts w:hint="eastAsia" w:ascii="宋体" w:hAnsi="宋体"/>
                <w:bCs/>
                <w:szCs w:val="21"/>
              </w:rPr>
              <w:t xml:space="preserve">2.</w:t>
            </w:r>
            <w:r>
              <w:rPr>
                <w:rFonts w:hint="eastAsia" w:ascii="宋体" w:hAnsi="宋体"/>
                <w:bCs/>
                <w:szCs w:val="21"/>
              </w:rPr>
              <w:tab/>
            </w:r>
            <w:r>
              <w:rPr>
                <w:rFonts w:hint="eastAsia" w:ascii="宋体" w:hAnsi="宋体"/>
                <w:bCs/>
                <w:szCs w:val="21"/>
              </w:rPr>
              <w:t xml:space="preserve">制冷类型：冷暖</w:t>
            </w:r>
            <w:r/>
          </w:p>
          <w:p>
            <w:pPr>
              <w:jc w:val="left"/>
              <w:rPr>
                <w:rFonts w:hint="eastAsia" w:ascii="宋体" w:hAnsi="宋体"/>
                <w:bCs/>
                <w:szCs w:val="21"/>
              </w:rPr>
            </w:pPr>
            <w:r>
              <w:rPr>
                <w:rFonts w:hint="eastAsia" w:ascii="宋体" w:hAnsi="宋体"/>
                <w:bCs/>
                <w:szCs w:val="21"/>
              </w:rPr>
              <w:t xml:space="preserve">3.</w:t>
            </w:r>
            <w:r>
              <w:rPr>
                <w:rFonts w:hint="eastAsia" w:ascii="宋体" w:hAnsi="宋体"/>
                <w:bCs/>
                <w:szCs w:val="21"/>
              </w:rPr>
              <w:tab/>
            </w:r>
            <w:r>
              <w:rPr>
                <w:rFonts w:hint="eastAsia" w:ascii="宋体" w:hAnsi="宋体"/>
                <w:bCs/>
                <w:szCs w:val="21"/>
              </w:rPr>
              <w:t xml:space="preserve">定频/定频：变频</w:t>
            </w:r>
            <w:r/>
          </w:p>
          <w:p>
            <w:pPr>
              <w:jc w:val="left"/>
              <w:rPr>
                <w:rFonts w:hint="eastAsia" w:ascii="宋体" w:hAnsi="宋体"/>
                <w:bCs/>
                <w:szCs w:val="21"/>
              </w:rPr>
            </w:pPr>
            <w:r>
              <w:rPr>
                <w:rFonts w:hint="eastAsia" w:ascii="宋体" w:hAnsi="宋体"/>
                <w:bCs/>
                <w:szCs w:val="21"/>
              </w:rPr>
              <w:t xml:space="preserve">4.</w:t>
            </w:r>
            <w:r>
              <w:rPr>
                <w:rFonts w:hint="eastAsia" w:ascii="宋体" w:hAnsi="宋体"/>
                <w:bCs/>
                <w:szCs w:val="21"/>
              </w:rPr>
              <w:tab/>
            </w:r>
            <w:r>
              <w:rPr>
                <w:rFonts w:hint="eastAsia" w:ascii="宋体" w:hAnsi="宋体"/>
                <w:bCs/>
                <w:szCs w:val="21"/>
              </w:rPr>
              <w:t xml:space="preserve">能效等级：一级能效</w:t>
            </w:r>
            <w:r/>
          </w:p>
          <w:p>
            <w:pPr>
              <w:jc w:val="left"/>
              <w:rPr>
                <w:rFonts w:hint="eastAsia" w:ascii="宋体" w:hAnsi="宋体"/>
                <w:bCs/>
                <w:szCs w:val="21"/>
              </w:rPr>
            </w:pPr>
            <w:r>
              <w:rPr>
                <w:rFonts w:hint="eastAsia" w:ascii="宋体" w:hAnsi="宋体"/>
                <w:bCs/>
                <w:szCs w:val="21"/>
              </w:rPr>
              <w:t xml:space="preserve">5.</w:t>
            </w:r>
            <w:r>
              <w:rPr>
                <w:rFonts w:hint="eastAsia" w:ascii="宋体" w:hAnsi="宋体"/>
                <w:bCs/>
                <w:szCs w:val="21"/>
              </w:rPr>
              <w:tab/>
            </w:r>
            <w:r>
              <w:rPr>
                <w:rFonts w:hint="eastAsia" w:ascii="宋体" w:hAnsi="宋体"/>
                <w:bCs/>
                <w:szCs w:val="21"/>
              </w:rPr>
              <w:t xml:space="preserve">APF：≥5.1</w:t>
            </w:r>
            <w:r/>
          </w:p>
          <w:p>
            <w:pPr>
              <w:jc w:val="left"/>
              <w:rPr>
                <w:rFonts w:hint="eastAsia" w:ascii="宋体" w:hAnsi="宋体"/>
                <w:bCs/>
                <w:szCs w:val="21"/>
              </w:rPr>
            </w:pPr>
            <w:r>
              <w:rPr>
                <w:rFonts w:hint="eastAsia" w:ascii="宋体" w:hAnsi="宋体"/>
                <w:bCs/>
                <w:szCs w:val="21"/>
              </w:rPr>
              <w:t xml:space="preserve">6.</w:t>
            </w:r>
            <w:r>
              <w:rPr>
                <w:rFonts w:hint="eastAsia" w:ascii="宋体" w:hAnsi="宋体"/>
                <w:bCs/>
                <w:szCs w:val="21"/>
              </w:rPr>
              <w:tab/>
            </w:r>
            <w:r>
              <w:rPr>
                <w:rFonts w:hint="eastAsia" w:ascii="宋体" w:hAnsi="宋体"/>
                <w:bCs/>
                <w:szCs w:val="21"/>
              </w:rPr>
              <w:t xml:space="preserve">IPLV：≥7.1</w:t>
            </w:r>
            <w:r/>
          </w:p>
          <w:p>
            <w:pPr>
              <w:jc w:val="left"/>
              <w:rPr>
                <w:rFonts w:hint="eastAsia" w:ascii="宋体" w:hAnsi="宋体"/>
                <w:bCs/>
                <w:szCs w:val="21"/>
              </w:rPr>
            </w:pPr>
            <w:r>
              <w:rPr>
                <w:rFonts w:hint="eastAsia" w:ascii="宋体" w:hAnsi="宋体"/>
                <w:bCs/>
                <w:szCs w:val="21"/>
              </w:rPr>
              <w:t xml:space="preserve">7.</w:t>
            </w:r>
            <w:r>
              <w:rPr>
                <w:rFonts w:hint="eastAsia" w:ascii="宋体" w:hAnsi="宋体"/>
                <w:bCs/>
                <w:szCs w:val="21"/>
              </w:rPr>
              <w:tab/>
            </w:r>
            <w:r>
              <w:rPr>
                <w:rFonts w:hint="eastAsia" w:ascii="宋体" w:hAnsi="宋体"/>
                <w:bCs/>
                <w:szCs w:val="21"/>
              </w:rPr>
              <w:t xml:space="preserve">制冷量(W)：≥15500</w:t>
            </w:r>
            <w:r/>
          </w:p>
          <w:p>
            <w:pPr>
              <w:jc w:val="left"/>
              <w:rPr>
                <w:rFonts w:hint="eastAsia" w:ascii="宋体" w:hAnsi="宋体"/>
                <w:bCs/>
                <w:szCs w:val="21"/>
              </w:rPr>
            </w:pPr>
            <w:r>
              <w:rPr>
                <w:rFonts w:hint="eastAsia" w:ascii="宋体" w:hAnsi="宋体"/>
                <w:bCs/>
                <w:szCs w:val="21"/>
              </w:rPr>
              <w:t xml:space="preserve">8.</w:t>
            </w:r>
            <w:r>
              <w:rPr>
                <w:rFonts w:hint="eastAsia" w:ascii="宋体" w:hAnsi="宋体"/>
                <w:bCs/>
                <w:szCs w:val="21"/>
              </w:rPr>
              <w:tab/>
            </w:r>
            <w:r>
              <w:rPr>
                <w:rFonts w:hint="eastAsia" w:ascii="宋体" w:hAnsi="宋体"/>
                <w:bCs/>
                <w:szCs w:val="21"/>
              </w:rPr>
              <w:t xml:space="preserve">制冷功率(W)：≤4800</w:t>
            </w:r>
            <w:r/>
          </w:p>
          <w:p>
            <w:pPr>
              <w:jc w:val="left"/>
              <w:rPr>
                <w:rFonts w:hint="eastAsia" w:ascii="宋体" w:hAnsi="宋体"/>
                <w:bCs/>
                <w:szCs w:val="21"/>
              </w:rPr>
            </w:pPr>
            <w:r>
              <w:rPr>
                <w:rFonts w:hint="eastAsia" w:ascii="宋体" w:hAnsi="宋体"/>
                <w:bCs/>
                <w:szCs w:val="21"/>
              </w:rPr>
              <w:t xml:space="preserve">9.</w:t>
            </w:r>
            <w:r>
              <w:rPr>
                <w:rFonts w:hint="eastAsia" w:ascii="宋体" w:hAnsi="宋体"/>
                <w:bCs/>
                <w:szCs w:val="21"/>
              </w:rPr>
              <w:tab/>
            </w:r>
            <w:r>
              <w:rPr>
                <w:rFonts w:hint="eastAsia" w:ascii="宋体" w:hAnsi="宋体"/>
                <w:bCs/>
                <w:szCs w:val="21"/>
              </w:rPr>
              <w:t xml:space="preserve">制热量(W)：≥18000</w:t>
            </w:r>
            <w:r/>
          </w:p>
          <w:p>
            <w:pPr>
              <w:jc w:val="left"/>
              <w:rPr>
                <w:rFonts w:hint="eastAsia" w:ascii="宋体" w:hAnsi="宋体"/>
                <w:bCs/>
                <w:szCs w:val="21"/>
              </w:rPr>
            </w:pPr>
            <w:r>
              <w:rPr>
                <w:rFonts w:hint="eastAsia" w:ascii="宋体" w:hAnsi="宋体"/>
                <w:bCs/>
                <w:szCs w:val="21"/>
              </w:rPr>
              <w:t xml:space="preserve">10.</w:t>
            </w:r>
            <w:r>
              <w:rPr>
                <w:rFonts w:hint="eastAsia" w:ascii="宋体" w:hAnsi="宋体"/>
                <w:bCs/>
                <w:szCs w:val="21"/>
              </w:rPr>
              <w:tab/>
            </w:r>
            <w:r>
              <w:rPr>
                <w:rFonts w:hint="eastAsia" w:ascii="宋体" w:hAnsi="宋体"/>
                <w:bCs/>
                <w:szCs w:val="21"/>
              </w:rPr>
              <w:t xml:space="preserve">制热功率(W)：≤4650</w:t>
            </w:r>
            <w:r/>
          </w:p>
          <w:p>
            <w:pPr>
              <w:jc w:val="left"/>
              <w:rPr>
                <w:rFonts w:hint="eastAsia" w:ascii="宋体" w:hAnsi="宋体"/>
                <w:bCs/>
                <w:szCs w:val="21"/>
              </w:rPr>
            </w:pPr>
            <w:r>
              <w:rPr>
                <w:rFonts w:hint="eastAsia" w:ascii="宋体" w:hAnsi="宋体"/>
                <w:bCs/>
                <w:szCs w:val="21"/>
              </w:rPr>
              <w:t xml:space="preserve">11.</w:t>
            </w:r>
            <w:r>
              <w:rPr>
                <w:rFonts w:hint="eastAsia" w:ascii="宋体" w:hAnsi="宋体"/>
                <w:bCs/>
                <w:szCs w:val="21"/>
              </w:rPr>
              <w:tab/>
            </w:r>
            <w:r>
              <w:rPr>
                <w:rFonts w:hint="eastAsia" w:ascii="宋体" w:hAnsi="宋体"/>
                <w:bCs/>
                <w:szCs w:val="21"/>
              </w:rPr>
              <w:t xml:space="preserve">外机噪音(dB(A)：≤56</w:t>
            </w:r>
            <w:r/>
          </w:p>
          <w:p>
            <w:pPr>
              <w:jc w:val="left"/>
              <w:rPr>
                <w:rFonts w:hint="eastAsia" w:ascii="宋体" w:hAnsi="宋体"/>
                <w:bCs/>
                <w:szCs w:val="21"/>
              </w:rPr>
            </w:pPr>
            <w:r>
              <w:rPr>
                <w:rFonts w:hint="eastAsia" w:ascii="宋体" w:hAnsi="宋体"/>
                <w:bCs/>
                <w:szCs w:val="21"/>
              </w:rPr>
              <w:t xml:space="preserve">12.</w:t>
            </w:r>
            <w:r>
              <w:rPr>
                <w:rFonts w:hint="eastAsia" w:ascii="宋体" w:hAnsi="宋体"/>
                <w:bCs/>
                <w:szCs w:val="21"/>
              </w:rPr>
              <w:tab/>
            </w:r>
            <w:r>
              <w:rPr>
                <w:rFonts w:hint="eastAsia" w:ascii="宋体" w:hAnsi="宋体"/>
                <w:bCs/>
                <w:szCs w:val="21"/>
              </w:rPr>
              <w:t xml:space="preserve">电压/频率（V/Hz）：220/50</w:t>
            </w:r>
            <w:r/>
          </w:p>
          <w:p>
            <w:pPr>
              <w:jc w:val="left"/>
              <w:rPr>
                <w:rFonts w:hint="eastAsia" w:ascii="宋体" w:hAnsi="宋体"/>
                <w:bCs/>
                <w:szCs w:val="21"/>
              </w:rPr>
            </w:pPr>
            <w:r>
              <w:rPr>
                <w:rFonts w:hint="eastAsia" w:ascii="宋体" w:hAnsi="宋体"/>
                <w:bCs/>
                <w:szCs w:val="21"/>
              </w:rPr>
              <w:t xml:space="preserve">13.</w:t>
            </w:r>
            <w:r>
              <w:rPr>
                <w:rFonts w:hint="eastAsia" w:ascii="宋体" w:hAnsi="宋体"/>
                <w:bCs/>
                <w:szCs w:val="21"/>
              </w:rPr>
              <w:tab/>
            </w:r>
            <w:r>
              <w:rPr>
                <w:rFonts w:hint="eastAsia" w:ascii="宋体" w:hAnsi="宋体"/>
                <w:bCs/>
                <w:szCs w:val="21"/>
              </w:rPr>
              <w:t xml:space="preserve">制冷剂新冷媒：R410a</w:t>
            </w:r>
            <w:r/>
          </w:p>
          <w:p>
            <w:pPr>
              <w:jc w:val="left"/>
              <w:rPr>
                <w:rFonts w:hint="eastAsia" w:ascii="宋体" w:hAnsi="宋体"/>
                <w:bCs/>
                <w:szCs w:val="21"/>
              </w:rPr>
            </w:pPr>
            <w:r>
              <w:rPr>
                <w:rFonts w:hint="eastAsia" w:ascii="宋体" w:hAnsi="宋体"/>
                <w:bCs/>
                <w:szCs w:val="21"/>
              </w:rPr>
              <w:t xml:space="preserve">14.</w:t>
            </w:r>
            <w:r>
              <w:rPr>
                <w:rFonts w:hint="eastAsia" w:ascii="宋体" w:hAnsi="宋体"/>
                <w:bCs/>
                <w:szCs w:val="21"/>
              </w:rPr>
              <w:tab/>
            </w:r>
            <w:r>
              <w:rPr>
                <w:rFonts w:hint="eastAsia" w:ascii="宋体" w:hAnsi="宋体"/>
                <w:bCs/>
                <w:szCs w:val="21"/>
              </w:rPr>
              <w:t xml:space="preserve">出风方式：行车、驻车共用一套风道和出风口，出风均匀，出风口风量大小及朝向可自由调节，避免空调吹人的缺点</w:t>
            </w:r>
            <w:r/>
          </w:p>
          <w:p>
            <w:pPr>
              <w:jc w:val="left"/>
              <w:rPr>
                <w:rFonts w:hint="eastAsia" w:ascii="宋体" w:hAnsi="宋体"/>
                <w:bCs/>
                <w:szCs w:val="21"/>
              </w:rPr>
            </w:pPr>
            <w:r>
              <w:rPr>
                <w:rFonts w:hint="eastAsia" w:ascii="宋体" w:hAnsi="宋体"/>
                <w:bCs/>
                <w:szCs w:val="21"/>
              </w:rPr>
              <w:t xml:space="preserve">15.</w:t>
            </w:r>
            <w:r>
              <w:rPr>
                <w:rFonts w:hint="eastAsia" w:ascii="宋体" w:hAnsi="宋体"/>
                <w:bCs/>
                <w:szCs w:val="21"/>
              </w:rPr>
              <w:tab/>
            </w:r>
            <w:r>
              <w:rPr>
                <w:rFonts w:hint="eastAsia" w:ascii="宋体" w:hAnsi="宋体"/>
                <w:bCs/>
                <w:szCs w:val="21"/>
              </w:rPr>
              <w:t xml:space="preserve">检修方便性：大顶上部装饰罩分体设计，上部可直接取下，确保不漏水；风管机回风口安装在车内，回风口上安装过滤网，防止灰尘进入冷凝器影响空调效果，定期可拆除车顶回风栅清洗滤网.</w:t>
            </w:r>
            <w:r/>
          </w:p>
        </w:tc>
      </w:tr>
      <w:tr>
        <w:trPr>
          <w:jc w:val="center"/>
          <w:trHeight w:val="654"/>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5.8</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市电配电及局域网设施</w:t>
            </w:r>
            <w:r/>
          </w:p>
        </w:tc>
        <w:tc>
          <w:tcPr>
            <w:tcW w:w="6668" w:type="dxa"/>
            <w:vAlign w:val="center"/>
            <w:textDirection w:val="lrTb"/>
            <w:noWrap w:val="false"/>
          </w:tcPr>
          <w:p>
            <w:pPr>
              <w:jc w:val="left"/>
              <w:tabs>
                <w:tab w:val="left" w:pos="4151" w:leader="none"/>
              </w:tabs>
              <w:rPr>
                <w:rFonts w:hint="eastAsia" w:ascii="宋体" w:hAnsi="宋体"/>
                <w:bCs/>
                <w:szCs w:val="21"/>
              </w:rPr>
              <w:outlineLvl w:val="0"/>
            </w:pPr>
            <w:r>
              <w:rPr>
                <w:rFonts w:hint="eastAsia" w:ascii="宋体" w:hAnsi="宋体"/>
                <w:bCs/>
                <w:szCs w:val="21"/>
              </w:rPr>
              <w:t xml:space="preserve">2kW充逆变一体机，50m电缆盘一套, 配电箱（含漏电保护器、空气开关等），插座等</w:t>
            </w:r>
            <w:r/>
          </w:p>
        </w:tc>
      </w:tr>
      <w:tr>
        <w:trPr>
          <w:jc w:val="center"/>
          <w:trHeight w:val="352"/>
        </w:trPr>
        <w:tc>
          <w:tcPr>
            <w:tcW w:w="922" w:type="dxa"/>
            <w:vAlign w:val="center"/>
            <w:vMerge w:val="restart"/>
            <w:textDirection w:val="lrTb"/>
            <w:noWrap w:val="false"/>
          </w:tcPr>
          <w:p>
            <w:pPr>
              <w:jc w:val="center"/>
              <w:rPr>
                <w:rFonts w:hint="eastAsia" w:ascii="宋体" w:hAnsi="宋体"/>
                <w:szCs w:val="21"/>
              </w:rPr>
            </w:pPr>
            <w:r>
              <w:rPr>
                <w:rFonts w:ascii="宋体" w:hAnsi="宋体"/>
                <w:szCs w:val="21"/>
              </w:rPr>
              <w:t xml:space="preserve">5.9</w:t>
            </w:r>
            <w:r/>
          </w:p>
        </w:tc>
        <w:tc>
          <w:tcPr>
            <w:tcW w:w="1761" w:type="dxa"/>
            <w:vAlign w:val="center"/>
            <w:textDirection w:val="lrTb"/>
            <w:noWrap w:val="false"/>
          </w:tcPr>
          <w:p>
            <w:pPr>
              <w:jc w:val="center"/>
              <w:rPr>
                <w:rFonts w:hint="eastAsia" w:ascii="宋体" w:hAnsi="宋体" w:cs="Arial"/>
                <w:b/>
                <w:bCs/>
                <w:szCs w:val="21"/>
              </w:rPr>
            </w:pPr>
            <w:r>
              <w:rPr>
                <w:rFonts w:hint="eastAsia" w:ascii="宋体" w:cs="Arial" w:hAnsiTheme="minorEastAsia"/>
                <w:b/>
                <w:bCs/>
                <w:sz w:val="28"/>
                <w:szCs w:val="28"/>
              </w:rPr>
              <w:t xml:space="preserve">*</w:t>
            </w:r>
            <w:r>
              <w:rPr>
                <w:rFonts w:hint="eastAsia" w:ascii="宋体" w:cs="Arial" w:hAnsiTheme="minorEastAsia"/>
                <w:b/>
                <w:bCs/>
                <w:szCs w:val="21"/>
              </w:rPr>
              <w:t xml:space="preserve">两侧抽拉厢体</w:t>
            </w:r>
            <w:r/>
          </w:p>
        </w:tc>
        <w:tc>
          <w:tcPr>
            <w:tcW w:w="6668" w:type="dxa"/>
            <w:vAlign w:val="center"/>
            <w:textDirection w:val="lrTb"/>
            <w:noWrap w:val="false"/>
          </w:tcPr>
          <w:p>
            <w:pPr>
              <w:jc w:val="left"/>
              <w:rPr>
                <w:rFonts w:hint="eastAsia" w:ascii="宋体" w:hAnsi="宋体"/>
                <w:b/>
                <w:bCs/>
                <w:szCs w:val="21"/>
              </w:rPr>
            </w:pPr>
            <w:r>
              <w:rPr>
                <w:rFonts w:hint="eastAsia" w:ascii="宋体" w:hAnsiTheme="minorEastAsia"/>
                <w:b/>
                <w:bCs/>
                <w:szCs w:val="21"/>
              </w:rPr>
              <w:t xml:space="preserve">车辆两侧抽拉厢体结构。</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center"/>
              <w:rPr>
                <w:rFonts w:hint="eastAsia" w:ascii="宋体" w:hAnsi="宋体" w:cs="Arial"/>
                <w:szCs w:val="21"/>
              </w:rPr>
            </w:pPr>
            <w:r>
              <w:rPr>
                <w:rFonts w:hint="eastAsia" w:ascii="宋体" w:hAnsi="宋体"/>
                <w:szCs w:val="21"/>
              </w:rPr>
              <w:t xml:space="preserve">抽拉厢体控制方式</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配电柜按钮操作和遥控器操作两种方式；抽拉舱手动电动两套操作系统，在电动失效情况下，通过手动方式能够保证抽拉舱的打开和收回。</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center"/>
              <w:rPr>
                <w:rFonts w:hint="eastAsia" w:ascii="宋体" w:hAnsi="宋体" w:cs="Arial"/>
                <w:szCs w:val="21"/>
              </w:rPr>
            </w:pPr>
            <w:r>
              <w:rPr>
                <w:rFonts w:hint="eastAsia" w:ascii="宋体" w:hAnsi="宋体"/>
                <w:szCs w:val="21"/>
              </w:rPr>
              <w:t xml:space="preserve">单侧抽拉舱滑道承重</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≥560kg，不需要外部支撑装置。能保证抽拉舱滑道在抽拉舱打开闭合过程中平稳运行，不得有变形、下沉现象。</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center"/>
              <w:rPr>
                <w:rFonts w:hint="eastAsia" w:ascii="宋体" w:hAnsi="宋体" w:cs="Arial"/>
                <w:szCs w:val="21"/>
              </w:rPr>
            </w:pPr>
            <w:r>
              <w:rPr>
                <w:rFonts w:hint="eastAsia" w:ascii="宋体" w:hAnsi="宋体"/>
                <w:szCs w:val="21"/>
              </w:rPr>
              <w:t xml:space="preserve">限位开关</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在抽拉舱打开和闭合时，通过行程开关控制抽拉舱的打开和闭合行程。</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center"/>
              <w:rPr>
                <w:rFonts w:hint="eastAsia" w:ascii="宋体" w:hAnsi="宋体" w:cs="Arial"/>
                <w:szCs w:val="21"/>
              </w:rPr>
            </w:pPr>
            <w:r>
              <w:rPr>
                <w:rFonts w:hint="eastAsia" w:ascii="宋体" w:hAnsi="宋体"/>
                <w:szCs w:val="21"/>
              </w:rPr>
              <w:t xml:space="preserve">抽拉舱自锁功能</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1、在抽拉舱打开、闭合及行程过程中停止时，抽拉舱都具有锁止功能，不会因受外力发生移动；</w:t>
            </w:r>
            <w:r/>
          </w:p>
          <w:p>
            <w:pPr>
              <w:jc w:val="left"/>
              <w:rPr>
                <w:rFonts w:hint="eastAsia" w:ascii="宋体" w:hAnsi="宋体"/>
                <w:szCs w:val="21"/>
              </w:rPr>
            </w:pPr>
            <w:r>
              <w:rPr>
                <w:rFonts w:hint="eastAsia" w:ascii="宋体" w:hAnsi="宋体"/>
                <w:szCs w:val="21"/>
              </w:rPr>
              <w:t xml:space="preserve">2、抽拉厢体内侧可配备不少于4个采血台，8把采血椅，每个采血台配备不少于2个市电插座，插座位于两侧（不影响采血秤放置），便于插拔抽拉厢体配备独立照明装置，每个抽拉舱配备至少两个侧窗。</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center"/>
              <w:rPr>
                <w:rFonts w:hint="eastAsia" w:ascii="宋体" w:hAnsi="宋体" w:cs="Arial"/>
                <w:szCs w:val="21"/>
              </w:rPr>
            </w:pPr>
            <w:r>
              <w:rPr>
                <w:rFonts w:hint="eastAsia" w:ascii="宋体" w:hAnsi="宋体" w:cs="Arial"/>
                <w:szCs w:val="21"/>
              </w:rPr>
              <w:t xml:space="preserve">抽拉舱工作性能</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1、抽拉厢体方管采用不小于16Mn冷拉无缝钢管；</w:t>
            </w:r>
            <w:r/>
          </w:p>
          <w:p>
            <w:pPr>
              <w:jc w:val="left"/>
              <w:rPr>
                <w:rFonts w:hint="eastAsia" w:ascii="宋体" w:hAnsi="宋体"/>
                <w:szCs w:val="21"/>
              </w:rPr>
            </w:pPr>
            <w:r>
              <w:rPr>
                <w:rFonts w:hint="eastAsia" w:ascii="宋体" w:hAnsi="宋体"/>
                <w:szCs w:val="21"/>
              </w:rPr>
              <w:t xml:space="preserve">2、抽拉厢体尺寸：内部尺寸长度≥4300mm，内高：≥1570mm；</w:t>
            </w:r>
            <w:r/>
          </w:p>
          <w:p>
            <w:pPr>
              <w:jc w:val="left"/>
              <w:rPr>
                <w:rFonts w:hint="eastAsia" w:ascii="宋体" w:hAnsi="宋体"/>
                <w:szCs w:val="21"/>
              </w:rPr>
            </w:pPr>
            <w:r>
              <w:rPr>
                <w:rFonts w:hint="eastAsia" w:ascii="宋体" w:hAnsi="宋体"/>
                <w:szCs w:val="21"/>
              </w:rPr>
              <w:t xml:space="preserve">3、为方便工作，采血护士工作位置不允许有台阶，抽拉厢体地板与车内地板高度差小于100mm；</w:t>
            </w:r>
            <w:r/>
          </w:p>
          <w:p>
            <w:pPr>
              <w:jc w:val="left"/>
              <w:rPr>
                <w:rFonts w:hint="eastAsia" w:ascii="宋体" w:hAnsi="宋体"/>
                <w:szCs w:val="21"/>
              </w:rPr>
            </w:pPr>
            <w:r>
              <w:rPr>
                <w:rFonts w:hint="eastAsia" w:ascii="宋体" w:hAnsi="宋体"/>
                <w:szCs w:val="21"/>
              </w:rPr>
              <w:t xml:space="preserve">4、拓展行程：≥600mm；</w:t>
            </w:r>
            <w:r/>
          </w:p>
          <w:p>
            <w:pPr>
              <w:jc w:val="left"/>
              <w:rPr>
                <w:rFonts w:hint="eastAsia" w:ascii="宋体" w:hAnsi="宋体"/>
                <w:szCs w:val="21"/>
              </w:rPr>
            </w:pPr>
            <w:r>
              <w:rPr>
                <w:rFonts w:hint="eastAsia" w:ascii="宋体" w:hAnsi="宋体"/>
                <w:szCs w:val="21"/>
              </w:rPr>
              <w:t xml:space="preserve">5、拓展完成时间：≤60s；</w:t>
            </w:r>
            <w:r/>
          </w:p>
          <w:p>
            <w:pPr>
              <w:jc w:val="left"/>
              <w:rPr>
                <w:rFonts w:hint="eastAsia" w:ascii="宋体" w:hAnsi="宋体"/>
                <w:szCs w:val="21"/>
              </w:rPr>
            </w:pPr>
            <w:r>
              <w:rPr>
                <w:rFonts w:hint="eastAsia" w:ascii="宋体" w:hAnsi="宋体"/>
                <w:szCs w:val="21"/>
              </w:rPr>
              <w:t xml:space="preserve">6、减速电机功率：≥550w；</w:t>
            </w:r>
            <w:r/>
          </w:p>
          <w:p>
            <w:pPr>
              <w:jc w:val="left"/>
              <w:rPr>
                <w:rFonts w:hint="eastAsia" w:ascii="宋体" w:hAnsi="宋体"/>
                <w:szCs w:val="21"/>
              </w:rPr>
            </w:pPr>
            <w:r>
              <w:rPr>
                <w:rFonts w:hint="eastAsia" w:ascii="宋体" w:hAnsi="宋体"/>
                <w:szCs w:val="21"/>
              </w:rPr>
              <w:t xml:space="preserve">7、抽拉厢体带随舱联动遮雨帘。</w:t>
            </w:r>
            <w:r/>
          </w:p>
        </w:tc>
      </w:tr>
      <w:tr>
        <w:trPr>
          <w:jc w:val="center"/>
        </w:trPr>
        <w:tc>
          <w:tcPr>
            <w:tcW w:w="922"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6</w:t>
            </w:r>
            <w:r/>
          </w:p>
        </w:tc>
        <w:tc>
          <w:tcPr>
            <w:tcW w:w="1761" w:type="dxa"/>
            <w:vAlign w:val="center"/>
            <w:textDirection w:val="lrTb"/>
            <w:noWrap w:val="false"/>
          </w:tcPr>
          <w:p>
            <w:pPr>
              <w:rPr>
                <w:rFonts w:hint="eastAsia" w:ascii="宋体" w:hAnsi="宋体"/>
                <w:szCs w:val="21"/>
              </w:rPr>
            </w:pPr>
            <w:r>
              <w:rPr>
                <w:rFonts w:hint="eastAsia" w:ascii="宋体" w:hAnsi="宋体"/>
                <w:bCs/>
                <w:szCs w:val="21"/>
              </w:rPr>
              <w:t xml:space="preserve">防腐要求</w:t>
            </w:r>
            <w:r/>
          </w:p>
        </w:tc>
        <w:tc>
          <w:tcPr>
            <w:tcW w:w="6668" w:type="dxa"/>
            <w:vAlign w:val="center"/>
            <w:textDirection w:val="lrTb"/>
            <w:noWrap w:val="false"/>
          </w:tcPr>
          <w:p>
            <w:pPr>
              <w:rPr>
                <w:rFonts w:hint="eastAsia" w:ascii="宋体" w:hAnsi="宋体"/>
                <w:bCs/>
                <w:szCs w:val="21"/>
              </w:rPr>
            </w:pPr>
            <w:r>
              <w:rPr>
                <w:rFonts w:hint="eastAsia" w:ascii="宋体" w:hAnsi="宋体" w:cs="宋体"/>
                <w:szCs w:val="21"/>
                <w:lang w:bidi="ar"/>
              </w:rPr>
              <w:t xml:space="preserve">▲投标车型整车（车身+底盘）采用阴极电泳处理，防腐涂层的覆盖率100％</w:t>
            </w:r>
            <w:r>
              <w:rPr>
                <w:rFonts w:hint="eastAsia" w:ascii="宋体" w:hAnsi="宋体" w:cs="宋体"/>
                <w:szCs w:val="21"/>
                <w:shd w:val="clear" w:color="auto" w:fill="ffffff"/>
                <w:lang w:bidi="ar"/>
              </w:rPr>
              <w:t xml:space="preserve">，</w:t>
            </w:r>
            <w:r>
              <w:rPr>
                <w:rFonts w:hint="eastAsia" w:ascii="宋体" w:hAnsi="宋体" w:cs="宋体"/>
                <w:szCs w:val="21"/>
                <w:lang w:bidi="ar"/>
              </w:rPr>
              <w:t xml:space="preserve">保证10年整车骨架可靠耐用性。电泳漆膜厚度达到25µm，电泳涂层耐盐雾性大于1000小时，10年不发生穿孔、锈烂等结构性腐蚀，依旧保持耐用性</w:t>
            </w:r>
            <w:r>
              <w:rPr>
                <w:rFonts w:hint="eastAsia" w:ascii="宋体" w:hAnsi="宋体" w:cs="宋体"/>
                <w:szCs w:val="21"/>
                <w:shd w:val="clear" w:color="auto" w:fill="ffffff"/>
                <w:lang w:bidi="ar"/>
              </w:rPr>
              <w:t xml:space="preserve">；须提供国家质量监督检验部门出具的依据GB/T 10125-2021标准检测的检测报告，</w:t>
            </w:r>
            <w:r/>
          </w:p>
        </w:tc>
      </w:tr>
      <w:tr>
        <w:trPr>
          <w:jc w:val="center"/>
        </w:trPr>
        <w:tc>
          <w:tcPr>
            <w:tcW w:w="922"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7</w:t>
            </w:r>
            <w:r/>
          </w:p>
        </w:tc>
        <w:tc>
          <w:tcPr>
            <w:tcW w:w="1761" w:type="dxa"/>
            <w:vAlign w:val="center"/>
            <w:textDirection w:val="lrTb"/>
            <w:noWrap w:val="false"/>
          </w:tcPr>
          <w:p>
            <w:pPr>
              <w:rPr>
                <w:rFonts w:hint="eastAsia" w:ascii="宋体" w:hAnsi="宋体"/>
                <w:bCs/>
                <w:szCs w:val="21"/>
              </w:rPr>
            </w:pPr>
            <w:r>
              <w:rPr>
                <w:rFonts w:hint="eastAsia" w:asciiTheme="minorEastAsia" w:hAnsiTheme="minorEastAsia" w:eastAsiaTheme="minorEastAsia"/>
                <w:bCs/>
                <w:szCs w:val="21"/>
              </w:rPr>
              <w:t xml:space="preserve">焊接质量要求</w:t>
            </w:r>
            <w:r/>
          </w:p>
        </w:tc>
        <w:tc>
          <w:tcPr>
            <w:tcW w:w="6668" w:type="dxa"/>
            <w:vAlign w:val="center"/>
            <w:textDirection w:val="lrTb"/>
            <w:noWrap w:val="false"/>
          </w:tcPr>
          <w:p>
            <w:pPr>
              <w:pStyle w:val="685"/>
              <w:rPr>
                <w:rFonts w:hint="eastAsia" w:hAnsi="宋体"/>
                <w:bCs/>
              </w:rPr>
            </w:pPr>
            <w:r>
              <w:rPr>
                <w:rFonts w:hint="eastAsia" w:hAnsi="宋体" w:cs="宋体"/>
                <w:bCs/>
              </w:rPr>
              <w:t xml:space="preserve">▲</w:t>
            </w:r>
            <w:r>
              <w:rPr>
                <w:rFonts w:hint="eastAsia" w:asciiTheme="minorEastAsia" w:hAnsiTheme="minorEastAsia" w:eastAsiaTheme="minorEastAsia"/>
                <w:bCs/>
              </w:rPr>
              <w:t xml:space="preserve">所有焊缝应符合技术图纸要求，焊缝牢固、焊缝平滑，不得有咬边、根部收缩、弧坑裂纹、表面夹渣、气孔、虚焊、漏焊等影响使用的缺陷存在。通过ISO 3834-2焊接质量体系认证，投标文件中需提供焊接相关的质量体系认证证书扫描件。</w:t>
            </w:r>
            <w:r/>
          </w:p>
        </w:tc>
      </w:tr>
      <w:tr>
        <w:trPr>
          <w:jc w:val="center"/>
          <w:trHeight w:val="521"/>
        </w:trPr>
        <w:tc>
          <w:tcPr>
            <w:tcW w:w="922"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8</w:t>
            </w:r>
            <w:r/>
          </w:p>
        </w:tc>
        <w:tc>
          <w:tcPr>
            <w:tcW w:w="1761" w:type="dxa"/>
            <w:vAlign w:val="center"/>
            <w:textDirection w:val="lrTb"/>
            <w:noWrap w:val="false"/>
          </w:tcPr>
          <w:p>
            <w:pPr>
              <w:jc w:val="center"/>
              <w:rPr>
                <w:rFonts w:hint="eastAsia" w:ascii="宋体" w:hAnsi="宋体"/>
                <w:szCs w:val="21"/>
              </w:rPr>
            </w:pPr>
            <w:r>
              <w:rPr>
                <w:rFonts w:hint="eastAsia" w:ascii="宋体" w:hAnsi="宋体"/>
                <w:bCs/>
                <w:szCs w:val="21"/>
              </w:rPr>
              <w:t xml:space="preserve">线束及线束防护要求</w:t>
            </w:r>
            <w:r/>
          </w:p>
        </w:tc>
        <w:tc>
          <w:tcPr>
            <w:tcW w:w="6668" w:type="dxa"/>
            <w:vAlign w:val="center"/>
            <w:textDirection w:val="lrTb"/>
            <w:noWrap w:val="false"/>
          </w:tcPr>
          <w:p>
            <w:pPr>
              <w:pStyle w:val="974"/>
              <w:numPr>
                <w:ilvl w:val="0"/>
                <w:numId w:val="7"/>
              </w:numPr>
              <w:rPr>
                <w:rFonts w:asciiTheme="minorEastAsia" w:hAnsiTheme="minorEastAsia"/>
                <w:bCs/>
                <w:szCs w:val="21"/>
              </w:rPr>
            </w:pPr>
            <w:r>
              <w:rPr>
                <w:rFonts w:asciiTheme="minorEastAsia" w:hAnsiTheme="minorEastAsia"/>
                <w:bCs/>
                <w:szCs w:val="21"/>
              </w:rPr>
              <w:t xml:space="preserve">整车低压线束采用汽车用薄壁绝缘低压电线，电线为镀锡铜线。（提供第三方机构出具的检测报告扫描件）</w:t>
            </w:r>
            <w:r/>
          </w:p>
          <w:p>
            <w:pPr>
              <w:pStyle w:val="974"/>
              <w:numPr>
                <w:ilvl w:val="0"/>
                <w:numId w:val="7"/>
              </w:numPr>
              <w:rPr>
                <w:rFonts w:asciiTheme="minorEastAsia" w:hAnsiTheme="minorEastAsia"/>
                <w:bCs/>
                <w:szCs w:val="21"/>
              </w:rPr>
            </w:pPr>
            <w:r>
              <w:rPr>
                <w:rFonts w:hint="eastAsia" w:ascii="宋体" w:hAnsi="宋体" w:eastAsia="宋体" w:cs="宋体"/>
                <w:bCs/>
                <w:szCs w:val="21"/>
              </w:rPr>
              <w:t xml:space="preserve">▲</w:t>
            </w:r>
            <w:r>
              <w:rPr>
                <w:rFonts w:asciiTheme="minorEastAsia" w:hAnsiTheme="minorEastAsia"/>
                <w:bCs/>
                <w:szCs w:val="21"/>
              </w:rPr>
              <w:t xml:space="preserve">线束耐温性能：</w:t>
            </w:r>
            <w:r>
              <w:rPr>
                <w:rFonts w:asciiTheme="minorEastAsia" w:hAnsiTheme="minorEastAsia"/>
                <w:szCs w:val="21"/>
              </w:rPr>
              <w:t xml:space="preserve">高温压力（105℃，4h）--耐压（3%NaCl盐水中浸渍10min后，1kV，1min）、低温冲击（-15℃，4h）--（100g，100mm）--冲击后耐压（3%NaCl盐水中浸渍10min后，1kV，1min）、低温卷绕（-40℃，4h）--卷烧（10mm，0.5kg，3圈）--卷烧后耐压（3%NaCl盐水中浸渍10min后，1kV，1min），</w:t>
            </w:r>
            <w:r>
              <w:rPr>
                <w:rFonts w:asciiTheme="minorEastAsia" w:hAnsiTheme="minorEastAsia"/>
                <w:bCs/>
                <w:szCs w:val="21"/>
              </w:rPr>
              <w:t xml:space="preserve">按照GB/T 25085.3标准进行测试，无裂纹，无击穿。（提供第三方机构出具的检测报告扫描件）</w:t>
            </w:r>
            <w:r/>
          </w:p>
          <w:p>
            <w:pPr>
              <w:pStyle w:val="974"/>
              <w:numPr>
                <w:ilvl w:val="0"/>
                <w:numId w:val="7"/>
              </w:numPr>
              <w:rPr>
                <w:rFonts w:asciiTheme="minorEastAsia" w:hAnsiTheme="minorEastAsia"/>
                <w:bCs/>
                <w:szCs w:val="21"/>
              </w:rPr>
            </w:pPr>
            <w:r>
              <w:rPr>
                <w:rFonts w:hint="eastAsia" w:ascii="宋体" w:hAnsi="宋体" w:eastAsia="宋体" w:cs="宋体"/>
                <w:bCs/>
                <w:szCs w:val="21"/>
              </w:rPr>
              <w:t xml:space="preserve">▲</w:t>
            </w:r>
            <w:r>
              <w:rPr>
                <w:rFonts w:asciiTheme="minorEastAsia" w:hAnsiTheme="minorEastAsia"/>
                <w:bCs/>
                <w:szCs w:val="21"/>
              </w:rPr>
              <w:t xml:space="preserve">线束耐压性能：</w:t>
            </w:r>
            <w:r>
              <w:rPr>
                <w:rFonts w:asciiTheme="minorEastAsia" w:hAnsiTheme="minorEastAsia"/>
                <w:szCs w:val="21"/>
              </w:rPr>
              <w:t xml:space="preserve">耐电压试验（3%NaCl盐水中浸渍4h后，1kV，30min），</w:t>
            </w:r>
            <w:r>
              <w:rPr>
                <w:rFonts w:asciiTheme="minorEastAsia" w:hAnsiTheme="minorEastAsia"/>
                <w:bCs/>
                <w:szCs w:val="21"/>
              </w:rPr>
              <w:t xml:space="preserve">按照GB/T 25085</w:t>
            </w:r>
            <w:r>
              <w:rPr>
                <w:rFonts w:hint="eastAsia" w:asciiTheme="minorEastAsia" w:hAnsiTheme="minorEastAsia"/>
                <w:bCs/>
                <w:szCs w:val="21"/>
              </w:rPr>
              <w:t xml:space="preserve">.</w:t>
            </w:r>
            <w:r>
              <w:rPr>
                <w:rFonts w:asciiTheme="minorEastAsia" w:hAnsiTheme="minorEastAsia"/>
                <w:bCs/>
                <w:szCs w:val="21"/>
              </w:rPr>
              <w:t xml:space="preserve">3标准进行测试，无击穿。（提供第三方机构出具的检测报告扫描件）</w:t>
            </w:r>
            <w:r/>
          </w:p>
          <w:p>
            <w:pPr>
              <w:pStyle w:val="974"/>
              <w:numPr>
                <w:ilvl w:val="0"/>
                <w:numId w:val="7"/>
              </w:numPr>
              <w:rPr>
                <w:rFonts w:hint="eastAsia" w:ascii="宋体" w:hAnsi="宋体" w:eastAsia="宋体"/>
                <w:bCs/>
                <w:szCs w:val="21"/>
              </w:rPr>
            </w:pPr>
            <w:r>
              <w:rPr>
                <w:rFonts w:hint="eastAsia" w:ascii="宋体" w:hAnsi="宋体" w:eastAsia="宋体" w:cs="宋体"/>
                <w:bCs/>
                <w:szCs w:val="21"/>
              </w:rPr>
              <w:t xml:space="preserve">▲</w:t>
            </w:r>
            <w:r>
              <w:rPr>
                <w:rFonts w:asciiTheme="minorEastAsia" w:hAnsiTheme="minorEastAsia"/>
                <w:bCs/>
                <w:szCs w:val="21"/>
              </w:rPr>
              <w:t xml:space="preserve">防护波纹管燃烧性能：水平燃烧特性和垂直燃烧特性分别满足GB/T 2408中的HB级和V-0级。（提供第三方机构出具的检测报告扫描件）</w:t>
            </w:r>
            <w:r/>
          </w:p>
        </w:tc>
      </w:tr>
      <w:tr>
        <w:trPr>
          <w:jc w:val="center"/>
        </w:trPr>
        <w:tc>
          <w:tcPr>
            <w:tcW w:w="922"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9</w:t>
            </w:r>
            <w:r/>
          </w:p>
        </w:tc>
        <w:tc>
          <w:tcPr>
            <w:tcW w:w="1761" w:type="dxa"/>
            <w:vAlign w:val="center"/>
            <w:textDirection w:val="lrTb"/>
            <w:noWrap w:val="false"/>
          </w:tcPr>
          <w:p>
            <w:pPr>
              <w:jc w:val="center"/>
              <w:rPr>
                <w:rFonts w:hint="eastAsia" w:ascii="宋体" w:hAnsi="宋体"/>
                <w:szCs w:val="21"/>
              </w:rPr>
            </w:pPr>
            <w:r>
              <w:rPr>
                <w:rFonts w:hint="eastAsia" w:ascii="宋体" w:hAnsi="宋体"/>
                <w:bCs/>
                <w:szCs w:val="21"/>
              </w:rPr>
              <w:t xml:space="preserve">整车图案要求</w:t>
            </w:r>
            <w:r/>
          </w:p>
        </w:tc>
        <w:tc>
          <w:tcPr>
            <w:tcW w:w="6668" w:type="dxa"/>
            <w:vAlign w:val="center"/>
            <w:textDirection w:val="lrTb"/>
            <w:noWrap w:val="false"/>
          </w:tcPr>
          <w:p>
            <w:pPr>
              <w:pStyle w:val="970"/>
              <w:numPr>
                <w:ilvl w:val="0"/>
                <w:numId w:val="8"/>
              </w:numPr>
              <w:jc w:val="left"/>
              <w:rPr>
                <w:rFonts w:hint="eastAsia" w:ascii="宋体" w:hAnsi="宋体"/>
                <w:szCs w:val="21"/>
              </w:rPr>
            </w:pPr>
            <w:r>
              <w:rPr>
                <w:rFonts w:ascii="宋体" w:hAnsi="宋体"/>
                <w:szCs w:val="21"/>
              </w:rPr>
              <w:t xml:space="preserve">外观贴膜要求不含汞、铅、镉，甲醛含量＜10mg/kg，甲苯含量＜5ug/g。</w:t>
            </w:r>
            <w:r/>
          </w:p>
          <w:p>
            <w:pPr>
              <w:pStyle w:val="970"/>
              <w:jc w:val="left"/>
              <w:rPr>
                <w:rFonts w:hint="eastAsia" w:ascii="宋体" w:hAnsi="宋体"/>
                <w:szCs w:val="21"/>
              </w:rPr>
            </w:pPr>
            <w:r>
              <w:rPr>
                <w:rFonts w:ascii="宋体" w:hAnsi="宋体"/>
                <w:szCs w:val="21"/>
              </w:rPr>
              <w:t xml:space="preserve">2、依据GB/T 5209检测标准检测耐水性，耐潮湿性，耐酸耐碱性，检测无起翘、收缩、断裂和剥离现象，无光泽和颜色的明显变化；耐冲洗性能，无褪色、变色、起层、卷边的现象；。</w:t>
            </w:r>
            <w:r/>
          </w:p>
          <w:p>
            <w:pPr>
              <w:pStyle w:val="970"/>
              <w:jc w:val="left"/>
              <w:rPr>
                <w:rFonts w:hint="eastAsia" w:ascii="宋体" w:hAnsi="宋体"/>
                <w:bCs/>
                <w:szCs w:val="21"/>
              </w:rPr>
              <w:outlineLvl w:val="0"/>
            </w:pPr>
            <w:r>
              <w:rPr>
                <w:rFonts w:ascii="宋体" w:hAnsi="宋体"/>
                <w:szCs w:val="21"/>
              </w:rPr>
              <w:t xml:space="preserve">3、检测延伸率、180°剥离粘接强度（初始粘接强度）、180°剥离粘接强度（最终粘接强度），均检测合格。</w:t>
            </w:r>
            <w:r/>
          </w:p>
        </w:tc>
      </w:tr>
    </w:tbl>
    <w:p>
      <w:pPr>
        <w:spacing w:line="360" w:lineRule="auto"/>
        <w:rPr>
          <w:rFonts w:hint="eastAsia" w:ascii="宋体" w:hAnsi="宋体" w:cs="宋体"/>
          <w:b/>
          <w:color w:val="auto"/>
          <w:sz w:val="24"/>
          <w:szCs w:val="24"/>
        </w:rPr>
      </w:pPr>
      <w:r>
        <w:rPr>
          <w:rFonts w:hint="eastAsia" w:ascii="宋体" w:hAnsi="宋体" w:cs="宋体"/>
          <w:bCs/>
          <w:color w:val="auto"/>
          <w:sz w:val="24"/>
          <w:szCs w:val="24"/>
        </w:rPr>
        <w:t xml:space="preserve">技术要求是指对采购标的功能和质量要求，包括性能、材料、结构、外观、安全，或者服务内容和标准等。其中斜体且有下划线部分或加</w:t>
      </w:r>
      <w:r>
        <w:rPr>
          <w:rFonts w:hint="eastAsia" w:ascii="宋体" w:hAnsi="宋体" w:cs="宋体"/>
          <w:b/>
          <w:color w:val="auto"/>
          <w:sz w:val="28"/>
          <w:szCs w:val="28"/>
        </w:rPr>
        <w:t xml:space="preserve">*</w:t>
      </w:r>
      <w:r>
        <w:rPr>
          <w:rFonts w:hint="eastAsia" w:ascii="宋体" w:hAnsi="宋体" w:cs="宋体"/>
          <w:bCs/>
          <w:color w:val="auto"/>
          <w:sz w:val="24"/>
          <w:szCs w:val="24"/>
        </w:rPr>
        <w:t xml:space="preserve">号条款为实质性要求。</w:t>
      </w:r>
      <w:r/>
    </w:p>
    <w:p>
      <w:pPr>
        <w:spacing w:line="360" w:lineRule="auto"/>
        <w:rPr>
          <w:rFonts w:hint="eastAsia" w:ascii="宋体" w:hAnsi="宋体" w:cs="宋体"/>
          <w:b/>
          <w:color w:val="000000"/>
          <w:sz w:val="24"/>
          <w:szCs w:val="24"/>
        </w:rPr>
      </w:pPr>
      <w:r/>
      <w:bookmarkStart w:id="146" w:name="_Toc10298"/>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四、质量标准</w:t>
      </w:r>
      <w:bookmarkEnd w:id="146"/>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1.中标人须明确所投设备的制造商、品牌、型号、规格和外形、尺寸等。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中标人应保证货物是全新、未使用过的原厂合格产品，并完全符合招标文件规定的质量、规格和参数的要求。验收过程中发现产品不符合上述要求的，将视作不合格产品，采购人有权终止合同，造成的一切损失由中标人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3.中标人应保证提供的产品不得侵犯第三方专利权、商标权和设计权、版权等。否则，中标人应负全部责任，并承担由此引起的一切后果。</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4.中标人应保证其货物在正确安装、正常使用下，在其使用寿命期内应具有满意的性能。</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5.中标人应采取必要的安全措施保证货物的运输及安装的安全，并承担货物的运输及安装过程中产生的风险。</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6.中标人必须保证所提供的产品符合国家相应质量要求，供货时必须随产品提供出厂材料，包括但不限于检验报告（复印件）、产品合格证（原件）等。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7.中标人所供货物最终验收后，中标人应对由于设计、工艺或材料的缺陷而发生的任何不足或故障负责，并承担由此引起的一切后果。</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投标人自行考虑并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9.随车装配设备，如属于医疗器械的，中标后供货时须根据医疗器械类别提供所投设备医疗器械注册证书或备案证书。</w:t>
      </w:r>
      <w:r/>
    </w:p>
    <w:p>
      <w:pPr>
        <w:ind w:firstLine="480"/>
        <w:spacing w:line="360" w:lineRule="auto"/>
        <w:rPr>
          <w:rFonts w:hint="eastAsia" w:ascii="宋体" w:hAnsi="宋体" w:cs="宋体"/>
          <w:bCs/>
          <w:sz w:val="24"/>
          <w:szCs w:val="24"/>
          <w:highlight w:val="none"/>
        </w:rPr>
      </w:pPr>
      <w:r>
        <w:rPr>
          <w:rFonts w:hint="eastAsia" w:ascii="宋体" w:hAnsi="宋体" w:cs="宋体"/>
          <w:b/>
          <w:sz w:val="28"/>
          <w:szCs w:val="28"/>
          <w:highlight w:val="none"/>
        </w:rPr>
        <w:t xml:space="preserve">*</w:t>
      </w:r>
      <w:r>
        <w:rPr>
          <w:rFonts w:hint="eastAsia" w:ascii="宋体" w:hAnsi="宋体" w:cs="宋体"/>
          <w:sz w:val="24"/>
          <w:szCs w:val="24"/>
          <w:highlight w:val="none"/>
        </w:rPr>
        <w:t xml:space="preserve">10.</w:t>
      </w:r>
      <w:r>
        <w:rPr>
          <w:rFonts w:hint="eastAsia" w:ascii="宋体" w:hAnsi="宋体" w:cs="宋体"/>
          <w:bCs/>
          <w:sz w:val="24"/>
          <w:szCs w:val="24"/>
          <w:highlight w:val="none"/>
        </w:rPr>
        <w:t xml:space="preserve">投标人所投</w:t>
      </w:r>
      <w:r>
        <w:rPr>
          <w:rFonts w:hint="eastAsia" w:ascii="宋体" w:hAnsi="宋体" w:cs="宋体"/>
          <w:bCs/>
          <w:sz w:val="24"/>
          <w:szCs w:val="24"/>
          <w:highlight w:val="none"/>
          <w:lang w:val="en-US" w:eastAsia="zh-CN"/>
        </w:rPr>
        <w:t xml:space="preserve">的</w:t>
      </w:r>
      <w:r>
        <w:rPr>
          <w:rFonts w:hint="eastAsia" w:ascii="宋体" w:hAnsi="宋体" w:cs="宋体"/>
          <w:bCs/>
          <w:sz w:val="24"/>
          <w:szCs w:val="24"/>
          <w:highlight w:val="none"/>
        </w:rPr>
        <w:t xml:space="preserve">整车产品交付前须</w:t>
      </w:r>
      <w:r>
        <w:rPr>
          <w:rFonts w:hint="eastAsia" w:ascii="宋体" w:hAnsi="宋体" w:cs="宋体"/>
          <w:bCs/>
          <w:sz w:val="24"/>
          <w:szCs w:val="24"/>
          <w:highlight w:val="none"/>
          <w:lang w:eastAsia="zh-CN"/>
        </w:rPr>
        <w:t xml:space="preserve">是</w:t>
      </w:r>
      <w:r>
        <w:rPr>
          <w:rFonts w:hint="eastAsia" w:ascii="宋体" w:hAnsi="宋体" w:cs="宋体"/>
          <w:bCs/>
          <w:sz w:val="24"/>
          <w:szCs w:val="24"/>
          <w:highlight w:val="none"/>
        </w:rPr>
        <w:t xml:space="preserve">已列入工信部发布的《道路机动车辆生产企业及产品公告》医疗车公告</w:t>
      </w:r>
      <w:r>
        <w:rPr>
          <w:rFonts w:hint="eastAsia" w:ascii="宋体" w:hAnsi="宋体" w:cs="宋体"/>
          <w:bCs/>
          <w:sz w:val="24"/>
          <w:szCs w:val="24"/>
          <w:highlight w:val="none"/>
          <w:lang w:val="en-US" w:eastAsia="zh-CN"/>
        </w:rPr>
        <w:t xml:space="preserve">中，投标时</w:t>
      </w:r>
      <w:r>
        <w:rPr>
          <w:rFonts w:hint="eastAsia" w:ascii="宋体" w:hAnsi="宋体" w:cs="宋体"/>
          <w:bCs/>
          <w:sz w:val="24"/>
          <w:szCs w:val="24"/>
          <w:highlight w:val="none"/>
        </w:rPr>
        <w:t xml:space="preserve">提供证明材料或承诺函</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并加盖</w:t>
      </w:r>
      <w:r>
        <w:rPr>
          <w:rFonts w:hint="eastAsia" w:ascii="宋体" w:hAnsi="宋体" w:cs="宋体"/>
          <w:bCs/>
          <w:sz w:val="24"/>
          <w:szCs w:val="24"/>
          <w:highlight w:val="none"/>
        </w:rPr>
        <w:t xml:space="preserve">投标人公章。</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五、商务要求</w:t>
      </w:r>
      <w:r/>
    </w:p>
    <w:p>
      <w:pPr>
        <w:ind w:firstLine="480"/>
        <w:spacing w:line="360" w:lineRule="auto"/>
        <w:rPr>
          <w:rFonts w:hint="eastAsia" w:ascii="宋体" w:hAnsi="宋体" w:cs="宋体"/>
          <w:bCs/>
          <w:sz w:val="24"/>
          <w:szCs w:val="24"/>
        </w:rPr>
      </w:pPr>
      <w:r/>
      <w:bookmarkStart w:id="147" w:name="_Toc2034"/>
      <w:r>
        <w:rPr>
          <w:rFonts w:hint="eastAsia" w:ascii="宋体" w:hAnsi="宋体" w:cs="宋体"/>
          <w:bCs/>
          <w:sz w:val="24"/>
          <w:szCs w:val="24"/>
        </w:rPr>
        <w:t xml:space="preserve">（一）交货期限和地点</w:t>
      </w:r>
      <w:bookmarkEnd w:id="147"/>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交货期限：合同签订之日起80日历天内完成供货、安装调试，达到预期效果。</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地点：采购人指定地点</w:t>
      </w:r>
      <w:r/>
    </w:p>
    <w:p>
      <w:pPr>
        <w:ind w:firstLine="480"/>
        <w:spacing w:line="360" w:lineRule="auto"/>
        <w:rPr>
          <w:rFonts w:hint="eastAsia" w:ascii="宋体" w:hAnsi="宋体" w:cs="宋体"/>
          <w:bCs/>
          <w:sz w:val="24"/>
          <w:szCs w:val="24"/>
        </w:rPr>
      </w:pPr>
      <w:r/>
      <w:bookmarkStart w:id="148" w:name="_Toc31335"/>
      <w:r>
        <w:rPr>
          <w:rFonts w:hint="eastAsia" w:ascii="宋体" w:hAnsi="宋体" w:cs="宋体"/>
          <w:bCs/>
          <w:sz w:val="24"/>
          <w:szCs w:val="24"/>
        </w:rPr>
        <w:t xml:space="preserve">（二）验收方案</w:t>
      </w:r>
      <w:bookmarkEnd w:id="148"/>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1.招标文件技术规格书中明确的标准和技术要求；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2.与合同货物有关的最新版本的中华人民共和国国家/国际标准和部颁标准；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3.货物合格证书技术资料中的精度、质量要求；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4.投标人在澄清投标文件时作出的承诺，经采购人确认后，将作为对货物的验收依据之一；</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5.双方签订的合同技术附件所规定的条款；</w:t>
      </w:r>
      <w:r/>
    </w:p>
    <w:p>
      <w:pPr>
        <w:ind w:firstLine="480"/>
        <w:spacing w:line="360" w:lineRule="auto"/>
        <w:rPr>
          <w:rFonts w:hint="eastAsia" w:ascii="宋体" w:hAnsi="宋体" w:cs="宋体"/>
          <w:bCs/>
          <w:sz w:val="24"/>
          <w:szCs w:val="24"/>
        </w:rPr>
      </w:pPr>
      <w:r/>
      <w:bookmarkStart w:id="149" w:name="OLE_LINK1"/>
      <w:r>
        <w:rPr>
          <w:rFonts w:hint="eastAsia" w:ascii="宋体" w:hAnsi="宋体" w:cs="宋体"/>
          <w:bCs/>
          <w:sz w:val="24"/>
          <w:szCs w:val="24"/>
        </w:rPr>
        <w:t xml:space="preserve">6.中标人须配合采购人完成车辆上牌后验收。</w:t>
      </w:r>
      <w:bookmarkEnd w:id="149"/>
      <w:r/>
      <w:r/>
    </w:p>
    <w:p>
      <w:pPr>
        <w:ind w:firstLine="480"/>
        <w:spacing w:line="360" w:lineRule="auto"/>
        <w:rPr>
          <w:rFonts w:hint="eastAsia" w:ascii="宋体" w:hAnsi="宋体" w:cs="宋体"/>
          <w:bCs/>
          <w:sz w:val="24"/>
          <w:szCs w:val="24"/>
        </w:rPr>
      </w:pPr>
      <w:r/>
      <w:bookmarkStart w:id="150" w:name="_Toc17441"/>
      <w:r>
        <w:rPr>
          <w:rFonts w:hint="eastAsia" w:ascii="宋体" w:hAnsi="宋体" w:cs="宋体"/>
          <w:bCs/>
          <w:sz w:val="24"/>
          <w:szCs w:val="24"/>
        </w:rPr>
        <w:t xml:space="preserve">（三）质量保证期限</w:t>
      </w:r>
      <w:bookmarkEnd w:id="150"/>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1.整车质保期不少于</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年（其中底盘质保期</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年或15万公里，两者有其中之一达到，即为质保期中止）；专用设备质保1年；锂电池系统免费质保8年（锂电池系统质保8年，逆变器、充电机、机械结构件等零部件质保一年）。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2.质保期从验收合格之日起算，终身维护。</w:t>
      </w:r>
      <w:r/>
    </w:p>
    <w:p>
      <w:pPr>
        <w:ind w:firstLine="480"/>
        <w:spacing w:line="360" w:lineRule="auto"/>
        <w:rPr>
          <w:rFonts w:hint="eastAsia" w:ascii="宋体" w:hAnsi="宋体" w:cs="宋体"/>
          <w:bCs/>
          <w:sz w:val="24"/>
          <w:szCs w:val="24"/>
        </w:rPr>
      </w:pPr>
      <w:r/>
      <w:bookmarkStart w:id="151" w:name="_Toc16852"/>
      <w:r>
        <w:rPr>
          <w:rFonts w:hint="eastAsia" w:ascii="宋体" w:hAnsi="宋体" w:cs="宋体"/>
          <w:bCs/>
          <w:sz w:val="24"/>
          <w:szCs w:val="24"/>
        </w:rPr>
        <w:t xml:space="preserve">（四）售后服务</w:t>
      </w:r>
      <w:bookmarkEnd w:id="151"/>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1.在保修期内，如有损坏或质量不合格者，投标人应及时给予修复和更换，其修理和更换应免费。正常修理周期和修理期间需提供免费测试。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2.接报修后4小时内到达现场，并保证相关配件同时到达，最迟24小时内解决问题。</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3.在保修期外，投标人为仪器提供终身维修服务，维修问题出现时，按技术参数服务要求相应条款处理。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4.在保修期内，如果原厂方鉴定设备因为人为损坏，厂方须出具具有法定权威性第三方检测证明，否则一律视为保修范围内容处理。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6.终身提供免费的应用咨询及技术帮助。</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7.负责对采购人、最终用户的操作、维修人员在项目所在地进行业务培训，请投标人自报可以提供业务培训的人数及天数，并应达到能熟练操作并能排除常见故障的标准。</w:t>
      </w:r>
      <w:r/>
    </w:p>
    <w:p>
      <w:pPr>
        <w:ind w:firstLine="480"/>
        <w:spacing w:line="360" w:lineRule="auto"/>
        <w:rPr>
          <w:rFonts w:hint="eastAsia" w:ascii="宋体" w:hAnsi="宋体" w:cs="宋体"/>
          <w:bCs/>
          <w:sz w:val="24"/>
          <w:szCs w:val="24"/>
        </w:rPr>
      </w:pPr>
      <w:r/>
      <w:bookmarkStart w:id="152" w:name="_Toc15749"/>
      <w:r>
        <w:rPr>
          <w:rFonts w:hint="eastAsia" w:ascii="宋体" w:hAnsi="宋体" w:cs="宋体"/>
          <w:bCs/>
          <w:sz w:val="24"/>
          <w:szCs w:val="24"/>
        </w:rPr>
        <w:t xml:space="preserve">（五）付款方式</w:t>
      </w:r>
      <w:bookmarkEnd w:id="152"/>
      <w:r/>
      <w:r/>
    </w:p>
    <w:p>
      <w:pPr>
        <w:ind w:firstLine="480"/>
        <w:spacing w:line="360" w:lineRule="auto"/>
        <w:rPr>
          <w:rFonts w:hint="eastAsia" w:ascii="宋体" w:hAnsi="宋体"/>
          <w:b w:val="0"/>
          <w:bCs/>
          <w:sz w:val="24"/>
        </w:rPr>
      </w:pPr>
      <w:r>
        <w:rPr>
          <w:rFonts w:hint="eastAsia" w:ascii="宋体" w:hAnsi="宋体"/>
          <w:b w:val="0"/>
          <w:bCs/>
          <w:sz w:val="24"/>
        </w:rPr>
        <w:t xml:space="preserve">合同签订后</w:t>
      </w:r>
      <w:r>
        <w:rPr>
          <w:rFonts w:ascii="宋体" w:hAnsi="宋体"/>
          <w:b w:val="0"/>
          <w:bCs/>
          <w:sz w:val="24"/>
        </w:rPr>
        <w:t xml:space="preserve">待全部货物</w:t>
      </w:r>
      <w:r>
        <w:rPr>
          <w:rFonts w:hint="eastAsia" w:ascii="宋体" w:hAnsi="宋体"/>
          <w:b w:val="0"/>
          <w:bCs/>
          <w:sz w:val="24"/>
        </w:rPr>
        <w:t xml:space="preserve">按时</w:t>
      </w:r>
      <w:r>
        <w:rPr>
          <w:rFonts w:ascii="宋体" w:hAnsi="宋体"/>
          <w:b w:val="0"/>
          <w:bCs/>
          <w:sz w:val="24"/>
        </w:rPr>
        <w:t xml:space="preserve">到达采购人指定地点，</w:t>
      </w:r>
      <w:r>
        <w:rPr>
          <w:rFonts w:hint="eastAsia" w:ascii="宋体" w:hAnsi="宋体"/>
          <w:b w:val="0"/>
          <w:bCs/>
          <w:sz w:val="24"/>
        </w:rPr>
        <w:t xml:space="preserve">安装调试结束，中标单位配合完成车辆上牌工作，经采购人验收合格后，采购人在收到中标人正式发票后支付合同总价的100%。</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（六）其他要求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1.本项目报价方式：本项目采用总价报价。投标人报价应包含设备的制造、包装、运输、装卸、保险、安装调试、验收、人员培训、检验、税金等与本项目相关的一切费用。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2.投标人应对采购文件内的全部内容进行报价，招标文件未列明，而供应商认为其他必需的费用也需列入报价。在合同实施时，采购方将不予支付中标人任何其他增项费用。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4.产品质量、功能、技术先进性：本次投标产品应有完善的质量保证措施，参数满足</w:t>
      </w:r>
      <w:r>
        <w:rPr>
          <w:rFonts w:hint="eastAsia" w:ascii="宋体" w:hAnsi="宋体" w:cs="宋体"/>
          <w:bCs/>
          <w:sz w:val="24"/>
          <w:szCs w:val="24"/>
          <w:lang w:eastAsia="zh-CN"/>
        </w:rPr>
        <w:t xml:space="preserve">采购</w:t>
      </w:r>
      <w:r>
        <w:rPr>
          <w:rFonts w:hint="eastAsia" w:ascii="宋体" w:hAnsi="宋体" w:cs="宋体"/>
          <w:bCs/>
          <w:sz w:val="24"/>
          <w:szCs w:val="24"/>
        </w:rPr>
        <w:t xml:space="preserve">文件要求，制造工艺成熟，技术先进，功能齐备。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投标人应依照规定提交各类声明函、承诺函等，不要求提供原件备查或有关部门出具的相关证明文件，承诺函之内容应全面符合采购人要求，如若中标后在核查过程中出现负偏离，相应后果及损失由中标人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8.中标人提供协助上牌服务，须确保本次采购的车辆能在相关车辆管理部门上牌、过户、年审。上牌产生的所有费用，包含车辆购置税、车辆保险、车辆检测费等均由采购人承担。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9.充电桩由采购人自行安装，中标人免费提供安装技术指导。</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六、其他要求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 项目属性:货物类项目。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2．核心产品</w:t>
      </w:r>
      <w:r/>
    </w:p>
    <w:tbl>
      <w:tblPr>
        <w:tblStyle w:val="671"/>
        <w:tblW w:w="3843" w:type="dxa"/>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2947"/>
      </w:tblGrid>
      <w:tr>
        <w:trPr/>
        <w:tc>
          <w:tcPr>
            <w:tcW w:w="89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采购</w:t>
            </w:r>
            <w:r/>
          </w:p>
          <w:p>
            <w:pPr>
              <w:jc w:val="center"/>
              <w:rPr>
                <w:rFonts w:hint="eastAsia" w:ascii="宋体" w:hAnsi="宋体" w:cs="宋体"/>
                <w:sz w:val="24"/>
                <w:szCs w:val="24"/>
              </w:rPr>
            </w:pPr>
            <w:r>
              <w:rPr>
                <w:rFonts w:hint="eastAsia" w:ascii="宋体" w:hAnsi="宋体" w:cs="宋体"/>
                <w:sz w:val="24"/>
                <w:szCs w:val="24"/>
              </w:rPr>
              <w:t xml:space="preserve">包号</w:t>
            </w:r>
            <w:r/>
          </w:p>
        </w:tc>
        <w:tc>
          <w:tcPr>
            <w:tcW w:w="29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核心产品</w:t>
            </w:r>
            <w:r/>
          </w:p>
        </w:tc>
      </w:tr>
      <w:tr>
        <w:trPr/>
        <w:tc>
          <w:tcPr>
            <w:tcW w:w="89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29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献血车</w:t>
            </w:r>
            <w:r/>
          </w:p>
        </w:tc>
      </w:tr>
    </w:tbl>
    <w:p>
      <w:pPr>
        <w:ind w:firstLine="480"/>
        <w:spacing w:line="360" w:lineRule="auto"/>
        <w:rPr>
          <w:rFonts w:hint="eastAsia" w:ascii="宋体" w:hAnsi="宋体" w:cs="宋体"/>
          <w:sz w:val="24"/>
          <w:szCs w:val="24"/>
        </w:rPr>
      </w:pPr>
      <w:r>
        <w:rPr>
          <w:rFonts w:hint="eastAsia" w:ascii="宋体" w:hAnsi="宋体" w:cs="宋体"/>
          <w:sz w:val="24"/>
          <w:szCs w:val="24"/>
        </w:rPr>
        <w:t xml:space="preserve">3.进口产品投标</w:t>
      </w:r>
      <w:r/>
    </w:p>
    <w:tbl>
      <w:tblPr>
        <w:tblStyle w:val="671"/>
        <w:tblW w:w="3843" w:type="dxa"/>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2947"/>
      </w:tblGrid>
      <w:tr>
        <w:trPr/>
        <w:tc>
          <w:tcPr>
            <w:tcW w:w="896"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采购</w:t>
            </w:r>
            <w:r/>
          </w:p>
          <w:p>
            <w:pPr>
              <w:jc w:val="center"/>
              <w:rPr>
                <w:rFonts w:hint="eastAsia" w:ascii="宋体" w:hAnsi="宋体" w:cs="宋体"/>
                <w:sz w:val="24"/>
                <w:szCs w:val="24"/>
              </w:rPr>
            </w:pPr>
            <w:r>
              <w:rPr>
                <w:rFonts w:hint="eastAsia" w:ascii="宋体" w:hAnsi="宋体" w:cs="宋体"/>
                <w:sz w:val="24"/>
                <w:szCs w:val="24"/>
              </w:rPr>
              <w:t xml:space="preserve">包号</w:t>
            </w:r>
            <w:r/>
          </w:p>
        </w:tc>
        <w:tc>
          <w:tcPr>
            <w:tcW w:w="2947"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是否接受进口产品投标</w:t>
            </w:r>
            <w:r/>
          </w:p>
          <w:p>
            <w:pPr>
              <w:jc w:val="center"/>
              <w:rPr>
                <w:rFonts w:hint="eastAsia" w:ascii="宋体" w:hAnsi="宋体" w:cs="宋体"/>
                <w:sz w:val="24"/>
                <w:szCs w:val="24"/>
              </w:rPr>
            </w:pPr>
            <w:r>
              <w:rPr>
                <w:rFonts w:hint="eastAsia" w:ascii="宋体" w:hAnsi="宋体" w:cs="宋体"/>
                <w:sz w:val="24"/>
                <w:szCs w:val="24"/>
              </w:rPr>
              <w:t xml:space="preserve">（是/否）</w:t>
            </w:r>
            <w:r/>
          </w:p>
        </w:tc>
      </w:tr>
      <w:tr>
        <w:trPr/>
        <w:tc>
          <w:tcPr>
            <w:tcW w:w="896"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2947"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否</w:t>
            </w:r>
            <w:r/>
          </w:p>
        </w:tc>
      </w:tr>
    </w:tbl>
    <w:p>
      <w:pPr>
        <w:ind w:firstLine="480"/>
        <w:spacing w:line="360" w:lineRule="auto"/>
        <w:rPr>
          <w:rFonts w:hint="eastAsia" w:ascii="宋体" w:hAnsi="宋体" w:cs="宋体"/>
          <w:sz w:val="24"/>
          <w:szCs w:val="24"/>
        </w:rPr>
      </w:pPr>
      <w:r/>
      <w:bookmarkStart w:id="153" w:name="_Toc120614281"/>
      <w:r>
        <w:rPr>
          <w:rFonts w:hint="eastAsia" w:ascii="宋体" w:hAnsi="宋体" w:cs="宋体"/>
          <w:sz w:val="24"/>
          <w:szCs w:val="24"/>
        </w:rPr>
        <w:t xml:space="preserve">4.</w:t>
      </w:r>
      <w:r>
        <w:rPr>
          <w:rFonts w:ascii="宋体" w:hAnsi="宋体" w:cs="宋体"/>
          <w:sz w:val="24"/>
          <w:szCs w:val="24"/>
        </w:rPr>
        <w:t xml:space="preserve">履约保证金：</w:t>
      </w:r>
      <w:r>
        <w:rPr>
          <w:rFonts w:hint="eastAsia" w:ascii="宋体" w:hAnsi="宋体" w:cs="宋体"/>
          <w:sz w:val="24"/>
          <w:szCs w:val="24"/>
        </w:rPr>
        <w:t xml:space="preserve">无。</w:t>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spacing w:line="360" w:lineRule="auto"/>
        <w:rPr>
          <w:rFonts w:hint="eastAsia" w:ascii="宋体" w:hAnsi="宋体" w:cs="宋体"/>
          <w:color w:val="ff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w:t>
      </w:r>
      <w:r>
        <w:rPr>
          <w:rFonts w:hint="eastAsia" w:ascii="宋体" w:hAnsi="宋体" w:cs="宋体"/>
          <w:sz w:val="24"/>
          <w:szCs w:val="24"/>
        </w:rPr>
        <w:t xml:space="preserve">序排列。得分且投标报价相同的并列。</w:t>
      </w:r>
      <w:r/>
    </w:p>
    <w:tbl>
      <w:tblPr>
        <w:tblStyle w:val="671"/>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2011"/>
        <w:gridCol w:w="6087"/>
      </w:tblGrid>
      <w:tr>
        <w:trPr/>
        <w:tc>
          <w:tcPr>
            <w:tcW w:w="11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采购包号</w:t>
            </w:r>
            <w:r/>
          </w:p>
        </w:tc>
        <w:tc>
          <w:tcPr>
            <w:tcW w:w="20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选取中标候选人数量</w:t>
            </w:r>
            <w:r/>
          </w:p>
        </w:tc>
        <w:tc>
          <w:tcPr>
            <w:tcW w:w="613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选取中标候选人的原则</w:t>
            </w:r>
            <w:r/>
          </w:p>
        </w:tc>
      </w:tr>
      <w:tr>
        <w:trPr/>
        <w:tc>
          <w:tcPr>
            <w:tcW w:w="11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20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613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p>
        </w:tc>
      </w:tr>
    </w:tbl>
    <w:p>
      <w:pPr>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政府采购政策功能落实</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1、小微型企业价格扣除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（1）本项目对小型和微型企业产品给予10%的扣除价格，用扣除后的价格参与评审。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（2）供应商需按照采购文件的要求提供相应的《中小企业声明函》。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2、残疾人福利单位价格扣除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（1）本项目对残疾人福利性单位视同小型、微型企业，给予10%的价格扣除，用扣除后的价格参与评审。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3、监狱和戒毒企业价格扣除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（1）本项目对监狱和戒毒企业（简称监狱企业）视同小型、微型企业，给予10%的价格扣除，用扣除后的价格参与评审。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6、联合体各方均为小型、微型企业（残疾人福利单位、监狱企业）的，联合体享受10%价格扣除，用扣除后的价格参与评审。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7、采购本国产品的支持政策</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8、专门面向中小企业采购的项目或者采购包，不再执行价格评审优惠的扶持政策。</w:t>
      </w:r>
      <w:r/>
    </w:p>
    <w:p>
      <w:pPr>
        <w:ind w:firstLine="480"/>
        <w:jc w:val="left"/>
        <w:spacing w:line="360" w:lineRule="auto"/>
        <w:rPr>
          <w:rFonts w:hint="eastAsia" w:ascii="宋体" w:hAnsi="宋体" w:cs="宋体"/>
          <w:b/>
          <w:color w:val="000000"/>
          <w:sz w:val="24"/>
          <w:szCs w:val="24"/>
          <w:highlight w:val="yellow"/>
        </w:rPr>
      </w:pPr>
      <w:r>
        <w:rPr>
          <w:rFonts w:hint="eastAsia" w:ascii="宋体" w:hAnsi="宋体" w:cs="宋体"/>
          <w:b/>
          <w:color w:val="000000"/>
          <w:sz w:val="24"/>
          <w:szCs w:val="24"/>
        </w:rPr>
        <w:t xml:space="preserve">评标方法与评审标准</w:t>
      </w:r>
      <w:r/>
    </w:p>
    <w:p>
      <w:pPr>
        <w:ind w:firstLine="440"/>
        <w:spacing w:line="360" w:lineRule="auto"/>
        <w:rPr>
          <w:rFonts w:hint="eastAsia" w:ascii="宋体" w:hAnsi="宋体" w:cs="宋体"/>
          <w:b/>
          <w:bCs/>
          <w:sz w:val="22"/>
          <w:szCs w:val="24"/>
        </w:rPr>
      </w:pPr>
      <w:r>
        <w:rPr>
          <w:rFonts w:hint="eastAsia" w:ascii="宋体" w:hAnsi="宋体" w:cs="宋体"/>
          <w:b/>
          <w:bCs/>
          <w:sz w:val="22"/>
          <w:szCs w:val="24"/>
        </w:rPr>
        <w:t xml:space="preserve">下列序号（</w:t>
      </w:r>
      <w:r>
        <w:rPr>
          <w:rFonts w:hint="eastAsia" w:ascii="宋体" w:hAnsi="宋体" w:cs="宋体"/>
          <w:b/>
          <w:bCs/>
          <w:sz w:val="22"/>
          <w:szCs w:val="24"/>
          <w:lang w:val="en-US" w:eastAsia="zh-CN"/>
        </w:rPr>
        <w:t xml:space="preserve">6</w:t>
      </w:r>
      <w:r>
        <w:rPr>
          <w:rFonts w:hint="eastAsia" w:ascii="宋体" w:hAnsi="宋体" w:cs="宋体"/>
          <w:b/>
          <w:bCs/>
          <w:sz w:val="22"/>
          <w:szCs w:val="24"/>
        </w:rPr>
        <w:t xml:space="preserve">-</w:t>
      </w:r>
      <w:r>
        <w:rPr>
          <w:rFonts w:hint="eastAsia" w:ascii="宋体" w:hAnsi="宋体" w:cs="宋体"/>
          <w:b/>
          <w:bCs/>
          <w:sz w:val="22"/>
          <w:szCs w:val="24"/>
          <w:lang w:val="en-US" w:eastAsia="zh-CN"/>
        </w:rPr>
        <w:t xml:space="preserve">7</w:t>
      </w:r>
      <w:r>
        <w:rPr>
          <w:rFonts w:hint="eastAsia" w:ascii="宋体" w:hAnsi="宋体" w:cs="宋体"/>
          <w:b/>
          <w:bCs/>
          <w:sz w:val="22"/>
          <w:szCs w:val="24"/>
        </w:rPr>
        <w:t xml:space="preserve">）评分项属于暗标评审项，各投标人（供应商）提供评审材料（含样品）中不能出现投标人（供应商）的名称、标志、标记以及其它能够体现投标人（供应商）的信息，否则所有暗标评审项目均不得分。</w:t>
      </w:r>
      <w:r/>
    </w:p>
    <w:tbl>
      <w:tblPr>
        <w:tblStyle w:val="671"/>
        <w:tblW w:w="482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308"/>
        <w:gridCol w:w="660"/>
        <w:gridCol w:w="6885"/>
      </w:tblGrid>
      <w:tr>
        <w:trPr>
          <w:jc w:val="center"/>
        </w:trPr>
        <w:tc>
          <w:tcPr>
            <w:tcW w:w="274" w:type="pct"/>
            <w:vAlign w:val="center"/>
            <w:textDirection w:val="lrTb"/>
            <w:noWrap w:val="false"/>
          </w:tcPr>
          <w:p>
            <w:pPr>
              <w:jc w:val="center"/>
              <w:spacing w:line="312" w:lineRule="auto"/>
              <w:rPr>
                <w:rFonts w:hint="eastAsia" w:ascii="宋体" w:hAnsi="宋体" w:cs="宋体"/>
                <w:b/>
                <w:szCs w:val="21"/>
              </w:rPr>
            </w:pPr>
            <w:r>
              <w:rPr>
                <w:rFonts w:hint="eastAsia" w:ascii="宋体" w:hAnsi="宋体" w:cs="宋体"/>
                <w:b/>
                <w:szCs w:val="21"/>
              </w:rPr>
              <w:t xml:space="preserve">序号</w:t>
            </w:r>
            <w:r/>
          </w:p>
        </w:tc>
        <w:tc>
          <w:tcPr>
            <w:tcW w:w="698" w:type="pct"/>
            <w:vAlign w:val="center"/>
            <w:textDirection w:val="lrTb"/>
            <w:noWrap w:val="false"/>
          </w:tcPr>
          <w:p>
            <w:pPr>
              <w:jc w:val="center"/>
              <w:spacing w:line="312" w:lineRule="auto"/>
              <w:rPr>
                <w:rFonts w:hint="eastAsia" w:ascii="宋体" w:hAnsi="宋体" w:cs="宋体"/>
                <w:b/>
                <w:szCs w:val="21"/>
              </w:rPr>
            </w:pPr>
            <w:r>
              <w:rPr>
                <w:rFonts w:hint="eastAsia" w:ascii="宋体" w:hAnsi="宋体" w:cs="宋体"/>
                <w:b/>
                <w:bCs/>
                <w:szCs w:val="21"/>
                <w:lang w:val="zh-CN"/>
              </w:rPr>
              <w:t xml:space="preserve">评分项名称</w:t>
            </w:r>
            <w:r/>
          </w:p>
        </w:tc>
        <w:tc>
          <w:tcPr>
            <w:tcW w:w="352" w:type="pct"/>
            <w:vAlign w:val="center"/>
            <w:textDirection w:val="lrTb"/>
            <w:noWrap w:val="false"/>
          </w:tcPr>
          <w:p>
            <w:pPr>
              <w:jc w:val="center"/>
              <w:spacing w:line="312" w:lineRule="auto"/>
              <w:rPr>
                <w:rFonts w:hint="eastAsia" w:ascii="宋体" w:hAnsi="宋体" w:cs="宋体"/>
                <w:b/>
                <w:szCs w:val="21"/>
              </w:rPr>
            </w:pPr>
            <w:r>
              <w:rPr>
                <w:rFonts w:hint="eastAsia" w:ascii="宋体" w:hAnsi="宋体" w:cs="宋体"/>
                <w:b/>
                <w:szCs w:val="21"/>
              </w:rPr>
              <w:t xml:space="preserve">分值</w:t>
            </w:r>
            <w:r/>
          </w:p>
        </w:tc>
        <w:tc>
          <w:tcPr>
            <w:tcW w:w="3674" w:type="pct"/>
            <w:vAlign w:val="center"/>
            <w:textDirection w:val="lrTb"/>
            <w:noWrap w:val="false"/>
          </w:tcPr>
          <w:p>
            <w:pPr>
              <w:jc w:val="center"/>
              <w:spacing w:line="312" w:lineRule="auto"/>
              <w:rPr>
                <w:rFonts w:hint="eastAsia" w:ascii="宋体" w:hAnsi="宋体" w:cs="宋体"/>
                <w:b/>
                <w:szCs w:val="21"/>
              </w:rPr>
            </w:pPr>
            <w:r>
              <w:rPr>
                <w:rFonts w:hint="eastAsia" w:ascii="宋体" w:hAnsi="宋体" w:cs="宋体"/>
                <w:b/>
                <w:szCs w:val="21"/>
              </w:rPr>
              <w:t xml:space="preserve">评分标准</w:t>
            </w:r>
            <w:r/>
          </w:p>
        </w:tc>
      </w:tr>
      <w:tr>
        <w:trPr>
          <w:jc w:val="center"/>
          <w:trHeight w:val="866"/>
        </w:trPr>
        <w:tc>
          <w:tcPr>
            <w:tcW w:w="274"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1</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投标报价</w:t>
            </w:r>
            <w:r/>
          </w:p>
        </w:tc>
        <w:tc>
          <w:tcPr>
            <w:tcW w:w="352" w:type="pct"/>
            <w:vAlign w:val="center"/>
            <w:textDirection w:val="lrTb"/>
            <w:noWrap w:val="false"/>
          </w:tcPr>
          <w:p>
            <w:pPr>
              <w:jc w:val="center"/>
              <w:spacing w:line="312" w:lineRule="auto"/>
              <w:rPr>
                <w:rFonts w:hint="default" w:ascii="宋体" w:hAnsi="宋体" w:eastAsia="宋体" w:cs="宋体"/>
                <w:bCs/>
                <w:szCs w:val="21"/>
                <w:lang w:val="en-US" w:eastAsia="zh-CN"/>
              </w:rPr>
            </w:pPr>
            <w:r>
              <w:rPr>
                <w:rFonts w:hint="eastAsia" w:ascii="宋体" w:hAnsi="宋体" w:cs="宋体"/>
                <w:bCs/>
                <w:szCs w:val="21"/>
                <w:lang w:val="en-US" w:eastAsia="zh-CN"/>
              </w:rPr>
              <w:t xml:space="preserve">50</w:t>
            </w:r>
            <w:r/>
          </w:p>
        </w:tc>
        <w:tc>
          <w:tcPr>
            <w:tcW w:w="3674" w:type="pct"/>
            <w:vAlign w:val="center"/>
            <w:textDirection w:val="lrTb"/>
            <w:noWrap w:val="false"/>
          </w:tcPr>
          <w:p>
            <w:pPr>
              <w:spacing w:line="312" w:lineRule="auto"/>
              <w:rPr>
                <w:rFonts w:hint="eastAsia" w:ascii="宋体" w:hAnsi="宋体" w:cs="宋体"/>
                <w:szCs w:val="21"/>
              </w:rPr>
            </w:pPr>
            <w:r>
              <w:rPr>
                <w:rFonts w:hint="eastAsia" w:ascii="宋体" w:hAnsi="宋体" w:cs="宋体"/>
                <w:szCs w:val="21"/>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Height w:val="2497"/>
        </w:trPr>
        <w:tc>
          <w:tcPr>
            <w:tcW w:w="274"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2</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制造商综合</w:t>
            </w:r>
            <w:r/>
          </w:p>
          <w:p>
            <w:pPr>
              <w:jc w:val="center"/>
              <w:spacing w:line="312" w:lineRule="auto"/>
              <w:rPr>
                <w:rFonts w:hint="eastAsia" w:ascii="宋体" w:hAnsi="宋体" w:cs="宋体"/>
                <w:bCs/>
                <w:szCs w:val="21"/>
              </w:rPr>
            </w:pPr>
            <w:r>
              <w:rPr>
                <w:rFonts w:hint="eastAsia" w:ascii="宋体" w:hAnsi="宋体" w:cs="宋体"/>
                <w:bCs/>
                <w:szCs w:val="21"/>
              </w:rPr>
              <w:t xml:space="preserve">实力</w:t>
            </w:r>
            <w:r/>
          </w:p>
        </w:tc>
        <w:tc>
          <w:tcPr>
            <w:tcW w:w="352"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5</w:t>
            </w:r>
            <w:r/>
          </w:p>
        </w:tc>
        <w:tc>
          <w:tcPr>
            <w:tcW w:w="3674" w:type="pct"/>
            <w:textDirection w:val="lrTb"/>
            <w:noWrap w:val="false"/>
          </w:tcPr>
          <w:p>
            <w:pPr>
              <w:spacing w:line="312" w:lineRule="auto"/>
              <w:rPr>
                <w:rFonts w:hint="eastAsia" w:ascii="宋体" w:hAnsi="宋体" w:cs="宋体"/>
                <w:szCs w:val="21"/>
              </w:rPr>
            </w:pPr>
            <w:r>
              <w:rPr>
                <w:rFonts w:hint="eastAsia" w:ascii="宋体" w:hAnsi="宋体" w:cs="宋体"/>
                <w:szCs w:val="21"/>
              </w:rPr>
              <w:t xml:space="preserve">1.供应商所供货物制造商具有质量管理体系认证证书、职业健康安全管理体系认证证书、 环境管理体系认证证书每提供一个得 1 分；本项满分 3 分。</w:t>
            </w:r>
            <w:r/>
          </w:p>
          <w:p>
            <w:pPr>
              <w:spacing w:line="312" w:lineRule="auto"/>
              <w:rPr>
                <w:rFonts w:hint="eastAsia" w:ascii="宋体" w:hAnsi="宋体" w:cs="宋体"/>
                <w:szCs w:val="21"/>
              </w:rPr>
            </w:pPr>
            <w:r>
              <w:rPr>
                <w:rFonts w:hint="eastAsia" w:ascii="宋体" w:hAnsi="宋体" w:cs="宋体"/>
                <w:szCs w:val="21"/>
              </w:rPr>
              <w:t xml:space="preserve">2.供应商所供货物制造商</w:t>
            </w:r>
            <w:r>
              <w:rPr>
                <w:rFonts w:hint="eastAsia" w:ascii="宋体" w:hAnsi="宋体" w:cs="宋体"/>
                <w:szCs w:val="21"/>
                <w:lang w:eastAsia="zh-CN"/>
              </w:rPr>
              <w:t xml:space="preserve">有</w:t>
            </w:r>
            <w:r>
              <w:rPr>
                <w:rFonts w:hint="eastAsia" w:ascii="宋体" w:hAnsi="宋体" w:cs="宋体"/>
                <w:szCs w:val="21"/>
              </w:rPr>
              <w:t xml:space="preserve">客车实验能力，获得中国合格评定国家认可委员会 CNAS 颁发的实验室认可证书得 2 分，本项满分 2 分。</w:t>
            </w:r>
            <w:r/>
          </w:p>
          <w:p>
            <w:pPr>
              <w:spacing w:line="312" w:lineRule="auto"/>
              <w:rPr>
                <w:rFonts w:hint="eastAsia" w:ascii="宋体" w:hAnsi="宋体" w:cs="宋体"/>
                <w:szCs w:val="21"/>
              </w:rPr>
            </w:pPr>
            <w:r>
              <w:rPr>
                <w:rFonts w:hint="eastAsia" w:ascii="宋体" w:hAnsi="宋体" w:cs="宋体"/>
                <w:bCs/>
                <w:szCs w:val="21"/>
              </w:rPr>
              <w:t xml:space="preserve">（投标文件中须提供以上相关证明</w:t>
            </w:r>
            <w:r>
              <w:rPr>
                <w:rFonts w:hint="eastAsia" w:ascii="宋体" w:hAnsi="宋体" w:cs="宋体"/>
                <w:bCs/>
                <w:szCs w:val="21"/>
                <w:lang w:eastAsia="zh-CN"/>
              </w:rPr>
              <w:t xml:space="preserve">扫描件</w:t>
            </w:r>
            <w:r>
              <w:rPr>
                <w:rFonts w:hint="eastAsia" w:ascii="宋体" w:hAnsi="宋体" w:cs="宋体"/>
                <w:bCs/>
                <w:szCs w:val="21"/>
              </w:rPr>
              <w:t xml:space="preserve">并加盖投标供应商公章，不提供不得分）</w:t>
            </w:r>
            <w:r/>
          </w:p>
        </w:tc>
      </w:tr>
      <w:tr>
        <w:trPr>
          <w:jc w:val="center"/>
          <w:trHeight w:val="90"/>
        </w:trPr>
        <w:tc>
          <w:tcPr>
            <w:tcW w:w="274"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3</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技术参数及要求的响应性</w:t>
            </w:r>
            <w:r/>
          </w:p>
        </w:tc>
        <w:tc>
          <w:tcPr>
            <w:tcW w:w="352"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35</w:t>
            </w:r>
            <w:r/>
          </w:p>
        </w:tc>
        <w:tc>
          <w:tcPr>
            <w:tcW w:w="3674" w:type="pct"/>
            <w:vAlign w:val="center"/>
            <w:textDirection w:val="lrTb"/>
            <w:noWrap w:val="false"/>
          </w:tcPr>
          <w:p>
            <w:pPr>
              <w:spacing w:line="312" w:lineRule="auto"/>
              <w:rPr>
                <w:rFonts w:hint="eastAsia" w:ascii="宋体" w:hAnsi="宋体" w:cs="宋体"/>
                <w:bCs/>
                <w:szCs w:val="21"/>
              </w:rPr>
            </w:pPr>
            <w:r>
              <w:rPr>
                <w:rFonts w:hint="eastAsia" w:ascii="宋体" w:hAnsi="宋体" w:cs="宋体"/>
                <w:bCs/>
                <w:szCs w:val="21"/>
              </w:rPr>
              <w:t xml:space="preserve">由评委依据投标人对投标产品技术参数响应综合评分：主要设备选型及技术指标达到国家相关技术标准的要求，并满足招标文件要求得35分，所投产品</w:t>
            </w:r>
            <w:r>
              <w:rPr>
                <w:rFonts w:hint="eastAsia" w:ascii="宋体" w:hAnsi="宋体" w:cs="宋体"/>
                <w:b/>
                <w:sz w:val="28"/>
                <w:szCs w:val="28"/>
              </w:rPr>
              <w:t xml:space="preserve">*</w:t>
            </w:r>
            <w:r>
              <w:rPr>
                <w:rFonts w:hint="eastAsia" w:ascii="宋体" w:hAnsi="宋体" w:cs="宋体"/>
                <w:bCs/>
                <w:szCs w:val="21"/>
              </w:rPr>
              <w:t xml:space="preserve">项为实质性要求，有负偏离按无效投标处理；▲项为重要条款，每有1项负偏离扣0.5分；其余项有负偏离每项扣0.2分，扣完为止。</w:t>
            </w:r>
            <w:r/>
          </w:p>
          <w:p>
            <w:pPr>
              <w:spacing w:line="312" w:lineRule="auto"/>
              <w:rPr>
                <w:rFonts w:hint="eastAsia" w:ascii="宋体" w:hAnsi="宋体" w:cs="宋体"/>
                <w:bCs/>
                <w:szCs w:val="21"/>
              </w:rPr>
            </w:pPr>
            <w:r>
              <w:rPr>
                <w:rFonts w:hint="eastAsia" w:ascii="宋体" w:hAnsi="宋体" w:cs="宋体"/>
                <w:bCs/>
                <w:szCs w:val="21"/>
              </w:rPr>
              <w:t xml:space="preserve">（各投标人均应在“技术参数响应偏离表”表后附有相应的技术支持文件作佐证，否则评审有权不予认同该技术参数；技术支持文件包括但不限于：产品说明书、产品宣传彩页原件等。</w:t>
            </w:r>
            <w:r/>
          </w:p>
          <w:p>
            <w:pPr>
              <w:spacing w:line="312" w:lineRule="auto"/>
              <w:rPr>
                <w:rFonts w:hint="eastAsia" w:ascii="宋体" w:hAnsi="宋体" w:cs="宋体"/>
                <w:bCs/>
                <w:szCs w:val="21"/>
              </w:rPr>
            </w:pPr>
            <w:r>
              <w:rPr>
                <w:rFonts w:hint="eastAsia" w:ascii="宋体" w:hAnsi="宋体" w:cs="宋体"/>
                <w:bCs/>
                <w:szCs w:val="21"/>
              </w:rPr>
              <w:t xml:space="preserve">投标人须对照招标技术要求逐条列出并对比，并详细说明投标产品的具体量化要求，如照抄采购文件要求或只写“完全响应“等字样的评标小组有权评定不得分。</w:t>
            </w:r>
            <w:r/>
          </w:p>
          <w:p>
            <w:pPr>
              <w:spacing w:line="312" w:lineRule="auto"/>
              <w:rPr>
                <w:rFonts w:hint="eastAsia" w:ascii="宋体" w:hAnsi="宋体" w:cs="宋体"/>
                <w:bCs/>
                <w:szCs w:val="21"/>
              </w:rPr>
            </w:pPr>
            <w:r>
              <w:rPr>
                <w:rFonts w:hint="eastAsia" w:ascii="宋体" w:hAnsi="宋体" w:cs="宋体"/>
                <w:bCs/>
                <w:szCs w:val="21"/>
              </w:rPr>
              <w:t xml:space="preserve">所有产品的产品性能、质量和配置必须如实填写，一经发现为故意虚假响应招标要求,将作无效标处理。如评标小组一致认为属实质性负偏离的亦为无效投标。）</w:t>
            </w:r>
            <w:r/>
          </w:p>
        </w:tc>
      </w:tr>
      <w:tr>
        <w:trPr>
          <w:jc w:val="center"/>
          <w:trHeight w:val="90"/>
        </w:trPr>
        <w:tc>
          <w:tcPr>
            <w:tcW w:w="274"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4</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质保期</w:t>
            </w:r>
            <w:r/>
          </w:p>
        </w:tc>
        <w:tc>
          <w:tcPr>
            <w:tcW w:w="352" w:type="pct"/>
            <w:vAlign w:val="center"/>
            <w:textDirection w:val="lrTb"/>
            <w:noWrap w:val="false"/>
          </w:tcPr>
          <w:p>
            <w:pPr>
              <w:jc w:val="center"/>
              <w:spacing w:line="312" w:lineRule="auto"/>
              <w:rPr>
                <w:rFonts w:hint="eastAsia" w:ascii="宋体" w:hAnsi="宋体" w:eastAsia="宋体" w:cs="宋体"/>
                <w:bCs/>
                <w:szCs w:val="21"/>
                <w:lang w:eastAsia="zh-CN"/>
              </w:rPr>
            </w:pPr>
            <w:r>
              <w:rPr>
                <w:rFonts w:hint="eastAsia" w:ascii="宋体" w:hAnsi="宋体" w:cs="宋体"/>
                <w:bCs/>
                <w:szCs w:val="21"/>
                <w:lang w:val="en-US" w:eastAsia="zh-CN"/>
              </w:rPr>
              <w:t xml:space="preserve">2</w:t>
            </w:r>
            <w:r/>
          </w:p>
        </w:tc>
        <w:tc>
          <w:tcPr>
            <w:tcW w:w="3674" w:type="pct"/>
            <w:vAlign w:val="center"/>
            <w:textDirection w:val="lrTb"/>
            <w:noWrap w:val="false"/>
          </w:tcPr>
          <w:p>
            <w:pPr>
              <w:spacing w:line="312" w:lineRule="auto"/>
              <w:rPr>
                <w:rFonts w:hint="eastAsia" w:ascii="宋体" w:hAnsi="宋体" w:cs="宋体"/>
                <w:bCs/>
                <w:szCs w:val="21"/>
              </w:rPr>
            </w:pPr>
            <w:r>
              <w:rPr>
                <w:rFonts w:hint="eastAsia" w:ascii="宋体" w:hAnsi="宋体" w:cs="宋体"/>
                <w:bCs/>
                <w:szCs w:val="21"/>
              </w:rPr>
              <w:t xml:space="preserve">所投车辆在保证整车质保期不少于</w:t>
            </w:r>
            <w:r>
              <w:rPr>
                <w:rFonts w:hint="eastAsia" w:ascii="宋体" w:hAnsi="宋体" w:cs="宋体"/>
                <w:bCs/>
                <w:szCs w:val="21"/>
                <w:lang w:val="en-US" w:eastAsia="zh-CN"/>
              </w:rPr>
              <w:t xml:space="preserve">3</w:t>
            </w:r>
            <w:r>
              <w:rPr>
                <w:rFonts w:hint="eastAsia" w:ascii="宋体" w:hAnsi="宋体" w:cs="宋体"/>
                <w:bCs/>
                <w:szCs w:val="21"/>
              </w:rPr>
              <w:t xml:space="preserve">年（其中底盘质保期</w:t>
            </w:r>
            <w:r>
              <w:rPr>
                <w:rFonts w:hint="eastAsia" w:ascii="宋体" w:hAnsi="宋体" w:cs="宋体"/>
                <w:bCs/>
                <w:szCs w:val="21"/>
                <w:lang w:val="en-US" w:eastAsia="zh-CN"/>
              </w:rPr>
              <w:t xml:space="preserve">3</w:t>
            </w:r>
            <w:r>
              <w:rPr>
                <w:rFonts w:hint="eastAsia" w:ascii="宋体" w:hAnsi="宋体" w:cs="宋体"/>
                <w:bCs/>
                <w:szCs w:val="21"/>
              </w:rPr>
              <w:t xml:space="preserve">年或15万公里，两者有其中之一达到，即为质保期中止）的基础上，整车质保期每增加1年（或其中底盘质保期增加1年或5万公里）的得</w:t>
            </w:r>
            <w:r>
              <w:rPr>
                <w:rFonts w:hint="eastAsia" w:ascii="宋体" w:hAnsi="宋体" w:cs="宋体"/>
                <w:bCs/>
                <w:szCs w:val="21"/>
                <w:lang w:val="en-US" w:eastAsia="zh-CN"/>
              </w:rPr>
              <w:t xml:space="preserve">2</w:t>
            </w:r>
            <w:r>
              <w:rPr>
                <w:rFonts w:hint="eastAsia" w:ascii="宋体" w:hAnsi="宋体" w:cs="宋体"/>
                <w:bCs/>
                <w:szCs w:val="21"/>
              </w:rPr>
              <w:t xml:space="preserve">分，最多得</w:t>
            </w:r>
            <w:r>
              <w:rPr>
                <w:rFonts w:hint="eastAsia" w:ascii="宋体" w:hAnsi="宋体" w:cs="宋体"/>
                <w:bCs/>
                <w:szCs w:val="21"/>
                <w:lang w:val="en-US" w:eastAsia="zh-CN"/>
              </w:rPr>
              <w:t xml:space="preserve">2</w:t>
            </w:r>
            <w:r>
              <w:rPr>
                <w:rFonts w:hint="eastAsia" w:ascii="宋体" w:hAnsi="宋体" w:cs="宋体"/>
                <w:bCs/>
                <w:szCs w:val="21"/>
              </w:rPr>
              <w:t xml:space="preserve">分。</w:t>
            </w:r>
            <w:r/>
          </w:p>
          <w:p>
            <w:pPr>
              <w:spacing w:line="312" w:lineRule="auto"/>
              <w:rPr>
                <w:rFonts w:hint="eastAsia" w:ascii="宋体" w:hAnsi="宋体" w:cs="宋体"/>
                <w:bCs/>
                <w:szCs w:val="21"/>
              </w:rPr>
            </w:pPr>
            <w:r>
              <w:rPr>
                <w:rFonts w:hint="eastAsia" w:ascii="宋体" w:hAnsi="宋体" w:cs="宋体"/>
                <w:bCs/>
                <w:szCs w:val="21"/>
              </w:rPr>
              <w:t xml:space="preserve">须提供承诺函，不提供不得分。</w:t>
            </w:r>
            <w:r/>
          </w:p>
        </w:tc>
      </w:tr>
      <w:tr>
        <w:trPr>
          <w:jc w:val="center"/>
          <w:trHeight w:val="90"/>
        </w:trPr>
        <w:tc>
          <w:tcPr>
            <w:tcW w:w="274" w:type="pct"/>
            <w:vAlign w:val="center"/>
            <w:textDirection w:val="lrTb"/>
            <w:noWrap w:val="false"/>
          </w:tcPr>
          <w:p>
            <w:pPr>
              <w:jc w:val="center"/>
              <w:spacing w:line="312" w:lineRule="auto"/>
              <w:rPr>
                <w:rFonts w:hint="eastAsia" w:ascii="宋体" w:hAnsi="宋体" w:eastAsia="宋体" w:cs="宋体"/>
                <w:bCs/>
                <w:szCs w:val="21"/>
                <w:lang w:eastAsia="zh-CN"/>
              </w:rPr>
            </w:pPr>
            <w:r>
              <w:rPr>
                <w:rFonts w:hint="eastAsia" w:ascii="宋体" w:hAnsi="宋体" w:cs="宋体"/>
                <w:bCs/>
                <w:szCs w:val="21"/>
                <w:lang w:val="en-US" w:eastAsia="zh-CN"/>
              </w:rPr>
              <w:t xml:space="preserve">5</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节能环保</w:t>
            </w:r>
            <w:r/>
          </w:p>
        </w:tc>
        <w:tc>
          <w:tcPr>
            <w:tcW w:w="352"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2</w:t>
            </w:r>
            <w:r/>
          </w:p>
        </w:tc>
        <w:tc>
          <w:tcPr>
            <w:tcW w:w="3674" w:type="pct"/>
            <w:vAlign w:val="center"/>
            <w:textDirection w:val="lrTb"/>
            <w:noWrap w:val="false"/>
          </w:tcPr>
          <w:p>
            <w:pPr>
              <w:spacing w:line="312" w:lineRule="auto"/>
              <w:rPr>
                <w:rFonts w:hint="eastAsia" w:ascii="宋体" w:hAnsi="宋体" w:cs="宋体"/>
                <w:bCs/>
                <w:szCs w:val="21"/>
              </w:rPr>
            </w:pPr>
            <w:r>
              <w:rPr>
                <w:rFonts w:hint="eastAsia" w:ascii="宋体" w:hAnsi="宋体" w:cs="宋体"/>
                <w:bCs/>
                <w:szCs w:val="21"/>
              </w:rPr>
              <w:t xml:space="preserve">1.投标产品属于财政部、国家发改委公布的“节能产品品目清单”范围内的，投标人提供国家确定的认证机构出具的、处于有效期之内的该节能产品认证证书复印件的，有1个得0.5分，最多得1分。</w:t>
            </w:r>
            <w:r/>
          </w:p>
          <w:p>
            <w:pPr>
              <w:spacing w:line="312" w:lineRule="auto"/>
              <w:rPr>
                <w:rFonts w:hint="eastAsia" w:ascii="宋体" w:hAnsi="宋体" w:cs="宋体"/>
                <w:bCs/>
                <w:szCs w:val="21"/>
              </w:rPr>
            </w:pPr>
            <w:r>
              <w:rPr>
                <w:rFonts w:hint="eastAsia" w:ascii="宋体" w:hAnsi="宋体" w:cs="宋体"/>
                <w:bCs/>
                <w:szCs w:val="21"/>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p>
        </w:tc>
      </w:tr>
      <w:tr>
        <w:trPr>
          <w:jc w:val="center"/>
        </w:trPr>
        <w:tc>
          <w:tcPr>
            <w:tcW w:w="274" w:type="pct"/>
            <w:vAlign w:val="center"/>
            <w:textDirection w:val="lrTb"/>
            <w:noWrap w:val="false"/>
          </w:tcPr>
          <w:p>
            <w:pPr>
              <w:jc w:val="center"/>
              <w:spacing w:line="312" w:lineRule="auto"/>
              <w:rPr>
                <w:rFonts w:hint="eastAsia" w:ascii="宋体" w:hAnsi="宋体" w:eastAsia="宋体" w:cs="宋体"/>
                <w:bCs/>
                <w:szCs w:val="21"/>
                <w:lang w:eastAsia="zh-CN"/>
              </w:rPr>
            </w:pPr>
            <w:r>
              <w:rPr>
                <w:rFonts w:hint="eastAsia" w:ascii="宋体" w:hAnsi="宋体" w:cs="宋体"/>
                <w:bCs/>
                <w:szCs w:val="21"/>
                <w:lang w:val="en-US" w:eastAsia="zh-CN"/>
              </w:rPr>
              <w:t xml:space="preserve">6</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质量保障方案</w:t>
            </w:r>
            <w:r/>
          </w:p>
        </w:tc>
        <w:tc>
          <w:tcPr>
            <w:tcW w:w="352"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3</w:t>
            </w:r>
            <w:r/>
          </w:p>
        </w:tc>
        <w:tc>
          <w:tcPr>
            <w:tcW w:w="3674" w:type="pct"/>
            <w:vAlign w:val="center"/>
            <w:textDirection w:val="lrTb"/>
            <w:noWrap w:val="false"/>
          </w:tcPr>
          <w:p>
            <w:pPr>
              <w:spacing w:line="312" w:lineRule="auto"/>
              <w:rPr>
                <w:rFonts w:hint="eastAsia" w:ascii="宋体" w:hAnsi="宋体" w:cs="宋体"/>
                <w:bCs/>
                <w:szCs w:val="21"/>
              </w:rPr>
            </w:pPr>
            <w:r>
              <w:rPr>
                <w:rFonts w:hint="eastAsia" w:ascii="宋体" w:hAnsi="宋体" w:cs="宋体"/>
                <w:bCs/>
                <w:szCs w:val="21"/>
              </w:rPr>
              <w:t xml:space="preserve">投标人针对本项目提供质量保障方案，方案包括但不限于：产品质量保障措施、应用技术支持、不合格产品处理方式：</w:t>
            </w:r>
            <w:r/>
          </w:p>
          <w:p>
            <w:pPr>
              <w:spacing w:line="312" w:lineRule="auto"/>
              <w:rPr>
                <w:rFonts w:hint="eastAsia" w:ascii="宋体" w:hAnsi="宋体" w:cs="宋体"/>
                <w:bCs/>
                <w:szCs w:val="21"/>
              </w:rPr>
            </w:pPr>
            <w:r>
              <w:rPr>
                <w:rFonts w:hint="eastAsia" w:ascii="宋体" w:hAnsi="宋体" w:cs="宋体"/>
                <w:bCs/>
                <w:szCs w:val="21"/>
              </w:rPr>
              <w:t xml:space="preserve">上述3方面内容中每缺少一项内容扣1分，每有一处需求分析内容存在缺陷或不足的扣0.5分，扣完为止。(本项最多得3分)</w:t>
            </w:r>
            <w:r/>
          </w:p>
          <w:p>
            <w:pPr>
              <w:spacing w:line="312" w:lineRule="auto"/>
              <w:rPr>
                <w:rFonts w:hint="eastAsia" w:ascii="宋体" w:hAnsi="宋体" w:cs="宋体"/>
                <w:bCs/>
                <w:szCs w:val="21"/>
              </w:rPr>
            </w:pPr>
            <w:r>
              <w:rPr>
                <w:rFonts w:hint="eastAsia" w:ascii="宋体" w:hAnsi="宋体" w:cs="宋体"/>
                <w:bCs/>
                <w:szCs w:val="21"/>
              </w:rPr>
              <w:t xml:space="preserve">注：实施方案内容存在缺陷或不足是指以下任意一种情形：</w:t>
            </w:r>
            <w:r/>
          </w:p>
          <w:p>
            <w:pPr>
              <w:spacing w:line="312" w:lineRule="auto"/>
              <w:rPr>
                <w:rFonts w:hint="eastAsia" w:ascii="宋体" w:hAnsi="宋体" w:cs="宋体"/>
                <w:bCs/>
                <w:szCs w:val="21"/>
              </w:rPr>
            </w:pPr>
            <w:r>
              <w:rPr>
                <w:rFonts w:hint="eastAsia" w:ascii="宋体" w:hAnsi="宋体" w:cs="宋体"/>
                <w:bCs/>
                <w:szCs w:val="21"/>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Pr>
        <w:tc>
          <w:tcPr>
            <w:tcW w:w="274" w:type="pct"/>
            <w:vAlign w:val="center"/>
            <w:textDirection w:val="lrTb"/>
            <w:noWrap w:val="false"/>
          </w:tcPr>
          <w:p>
            <w:pPr>
              <w:jc w:val="center"/>
              <w:spacing w:line="312" w:lineRule="auto"/>
              <w:rPr>
                <w:rFonts w:hint="eastAsia" w:ascii="宋体" w:hAnsi="宋体" w:eastAsia="宋体" w:cs="宋体"/>
                <w:bCs/>
                <w:szCs w:val="21"/>
                <w:lang w:eastAsia="zh-CN"/>
              </w:rPr>
            </w:pPr>
            <w:r>
              <w:rPr>
                <w:rFonts w:hint="eastAsia" w:ascii="宋体" w:hAnsi="宋体" w:cs="宋体"/>
                <w:bCs/>
                <w:szCs w:val="21"/>
                <w:lang w:val="en-US" w:eastAsia="zh-CN"/>
              </w:rPr>
              <w:t xml:space="preserve">7</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售后服务方案</w:t>
            </w:r>
            <w:r/>
          </w:p>
        </w:tc>
        <w:tc>
          <w:tcPr>
            <w:tcW w:w="352" w:type="pct"/>
            <w:vAlign w:val="center"/>
            <w:textDirection w:val="lrTb"/>
            <w:noWrap w:val="false"/>
          </w:tcPr>
          <w:p>
            <w:pPr>
              <w:jc w:val="center"/>
              <w:spacing w:line="312" w:lineRule="auto"/>
              <w:rPr>
                <w:rFonts w:hint="eastAsia" w:ascii="宋体" w:hAnsi="宋体" w:eastAsia="宋体" w:cs="宋体"/>
                <w:bCs/>
                <w:szCs w:val="21"/>
                <w:lang w:eastAsia="zh-CN"/>
              </w:rPr>
            </w:pPr>
            <w:r>
              <w:rPr>
                <w:rFonts w:hint="eastAsia" w:ascii="宋体" w:hAnsi="宋体" w:cs="宋体"/>
                <w:bCs/>
                <w:szCs w:val="21"/>
                <w:lang w:val="en-US" w:eastAsia="zh-CN"/>
              </w:rPr>
              <w:t xml:space="preserve">3</w:t>
            </w:r>
            <w:r/>
          </w:p>
        </w:tc>
        <w:tc>
          <w:tcPr>
            <w:tcW w:w="3674" w:type="pct"/>
            <w:vAlign w:val="center"/>
            <w:textDirection w:val="lrTb"/>
            <w:noWrap w:val="false"/>
          </w:tcPr>
          <w:p>
            <w:pPr>
              <w:jc w:val="left"/>
              <w:keepLines w:val="0"/>
              <w:pageBreakBefore w:val="0"/>
              <w:spacing w:line="360" w:lineRule="auto"/>
              <w:widowControl w:val="off"/>
              <w:rPr>
                <w:rFonts w:hint="eastAsia" w:ascii="宋体" w:hAnsi="宋体" w:cs="宋体"/>
                <w:bCs/>
                <w:szCs w:val="21"/>
              </w:rPr>
              <w:outlineLvl w:val="0"/>
            </w:pPr>
            <w:r>
              <w:rPr>
                <w:rFonts w:hint="eastAsia" w:ascii="宋体" w:hAnsi="宋体" w:cs="宋体"/>
                <w:bCs/>
                <w:szCs w:val="21"/>
              </w:rPr>
              <w:t xml:space="preserve">投标人根据项目需求提供售后服务方案，方案包括但不限于</w:t>
            </w:r>
            <w:r>
              <w:rPr>
                <w:rFonts w:hint="eastAsia" w:ascii="宋体" w:hAnsi="宋体" w:cs="宋体"/>
                <w:bCs/>
                <w:szCs w:val="21"/>
                <w:lang w:val="en-US" w:eastAsia="zh-CN"/>
              </w:rPr>
              <w:t xml:space="preserve">维修保养服务</w:t>
            </w:r>
            <w:r>
              <w:rPr>
                <w:rFonts w:hint="eastAsia" w:ascii="宋体" w:hAnsi="宋体" w:cs="宋体"/>
                <w:bCs/>
                <w:szCs w:val="21"/>
              </w:rPr>
              <w:t xml:space="preserve">方案、</w:t>
            </w:r>
            <w:r>
              <w:rPr>
                <w:rFonts w:hint="eastAsia" w:ascii="宋体" w:hAnsi="宋体" w:cs="宋体"/>
                <w:bCs/>
                <w:szCs w:val="21"/>
                <w:lang w:val="en-US" w:eastAsia="zh-CN"/>
              </w:rPr>
              <w:t xml:space="preserve">备品备件供货</w:t>
            </w:r>
            <w:r>
              <w:rPr>
                <w:rFonts w:hint="eastAsia" w:ascii="宋体" w:hAnsi="宋体" w:cs="宋体"/>
                <w:bCs/>
                <w:szCs w:val="21"/>
              </w:rPr>
              <w:t xml:space="preserve">、专业技术人员保障方案等：</w:t>
            </w:r>
            <w:r/>
          </w:p>
          <w:p>
            <w:pPr>
              <w:spacing w:line="312" w:lineRule="auto"/>
              <w:rPr>
                <w:rFonts w:hint="eastAsia" w:ascii="宋体" w:hAnsi="宋体" w:cs="宋体"/>
                <w:bCs/>
                <w:szCs w:val="21"/>
              </w:rPr>
            </w:pPr>
            <w:r>
              <w:rPr>
                <w:rFonts w:hint="eastAsia" w:ascii="宋体" w:hAnsi="宋体" w:cs="宋体"/>
                <w:bCs/>
                <w:szCs w:val="21"/>
              </w:rPr>
              <w:t xml:space="preserve">上述</w:t>
            </w:r>
            <w:r>
              <w:rPr>
                <w:rFonts w:hint="eastAsia" w:ascii="宋体" w:hAnsi="宋体" w:cs="宋体"/>
                <w:bCs/>
                <w:szCs w:val="21"/>
                <w:lang w:val="en-US" w:eastAsia="zh-CN"/>
              </w:rPr>
              <w:t xml:space="preserve">3</w:t>
            </w:r>
            <w:r>
              <w:rPr>
                <w:rFonts w:hint="eastAsia" w:ascii="宋体" w:hAnsi="宋体" w:cs="宋体"/>
                <w:bCs/>
                <w:szCs w:val="21"/>
              </w:rPr>
              <w:t xml:space="preserve">方面内容中每缺少一项内容扣1分，每有一处需求分析内容存在缺陷或不足的扣0.5分，扣完为止。(本项最多得</w:t>
            </w:r>
            <w:r>
              <w:rPr>
                <w:rFonts w:hint="eastAsia" w:ascii="宋体" w:hAnsi="宋体" w:cs="宋体"/>
                <w:bCs/>
                <w:szCs w:val="21"/>
                <w:lang w:val="en-US" w:eastAsia="zh-CN"/>
              </w:rPr>
              <w:t xml:space="preserve">3</w:t>
            </w:r>
            <w:r>
              <w:rPr>
                <w:rFonts w:hint="eastAsia" w:ascii="宋体" w:hAnsi="宋体" w:cs="宋体"/>
                <w:bCs/>
                <w:szCs w:val="21"/>
              </w:rPr>
              <w:t xml:space="preserve">分)</w:t>
            </w:r>
            <w:r/>
          </w:p>
          <w:p>
            <w:pPr>
              <w:spacing w:line="312" w:lineRule="auto"/>
              <w:rPr>
                <w:rFonts w:hint="eastAsia" w:ascii="宋体" w:hAnsi="宋体" w:cs="宋体"/>
                <w:bCs/>
                <w:szCs w:val="21"/>
              </w:rPr>
            </w:pPr>
            <w:r>
              <w:rPr>
                <w:rFonts w:hint="eastAsia" w:ascii="宋体" w:hAnsi="宋体" w:cs="宋体"/>
                <w:bCs/>
                <w:szCs w:val="21"/>
              </w:rPr>
              <w:t xml:space="preserve">注：实施方案内容存在缺陷或不足是指以下任意一种情形：</w:t>
            </w:r>
            <w:r/>
          </w:p>
          <w:p>
            <w:pPr>
              <w:spacing w:line="312" w:lineRule="auto"/>
              <w:rPr>
                <w:rFonts w:hint="eastAsia" w:ascii="宋体" w:hAnsi="宋体" w:cs="宋体"/>
                <w:bCs/>
                <w:szCs w:val="21"/>
              </w:rPr>
            </w:pPr>
            <w:r>
              <w:rPr>
                <w:rFonts w:hint="eastAsia" w:ascii="宋体" w:hAnsi="宋体" w:cs="宋体"/>
                <w:bCs/>
                <w:szCs w:val="21"/>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bl>
    <w:p>
      <w:pPr>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注：①请供应商制作投标文件的时保证图片、文字材料的完整、清晰可辨，任何原因导致评委看不清楚或无法查看，后果由供应商自负。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②供应商制作投标文件时所用的所有原件材料均须准备好中标公告结束后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p>
    <w:p>
      <w:pPr>
        <w:rPr>
          <w:rFonts w:hint="eastAsia" w:ascii="宋体" w:hAnsi="宋体" w:cs="宋体"/>
          <w:b/>
          <w:bCs/>
          <w:sz w:val="22"/>
          <w:szCs w:val="28"/>
          <w:lang w:val="zh-CN"/>
        </w:rPr>
      </w:pPr>
      <w:r>
        <w:rPr>
          <w:rFonts w:hint="eastAsia" w:ascii="宋体" w:hAnsi="宋体" w:cs="宋体"/>
          <w:b/>
          <w:bCs/>
          <w:sz w:val="22"/>
          <w:szCs w:val="28"/>
          <w:lang w:val="zh-CN"/>
        </w:rPr>
        <w:br w:type="page" w:clear="all"/>
      </w:r>
      <w:r/>
    </w:p>
    <w:p>
      <w:pPr>
        <w:jc w:val="center"/>
        <w:spacing w:line="360" w:lineRule="auto"/>
        <w:rPr>
          <w:rFonts w:ascii="黑体" w:eastAsia="黑体"/>
          <w:bCs/>
          <w:color w:val="000000"/>
          <w:sz w:val="44"/>
          <w:szCs w:val="28"/>
        </w:rPr>
      </w:pPr>
      <w:r>
        <w:rPr>
          <w:rFonts w:hint="eastAsia" w:ascii="黑体" w:eastAsia="黑体"/>
          <w:bCs/>
          <w:color w:val="000000"/>
          <w:sz w:val="44"/>
          <w:szCs w:val="28"/>
        </w:rPr>
        <w:t xml:space="preserve">第六章  投标</w:t>
      </w:r>
      <w:bookmarkEnd w:id="144"/>
      <w:r/>
      <w:bookmarkEnd w:id="145"/>
      <w:r/>
      <w:bookmarkEnd w:id="153"/>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54" w:name="_Hlt26955039"/>
      <w:r/>
      <w:bookmarkEnd w:id="154"/>
      <w:r/>
      <w:bookmarkStart w:id="155" w:name="_Hlt26671244"/>
      <w:r/>
      <w:bookmarkEnd w:id="155"/>
      <w:r/>
      <w:bookmarkStart w:id="156" w:name="_Toc26554094"/>
      <w:r/>
      <w:bookmarkStart w:id="157" w:name="_Toc49090576"/>
      <w:r/>
      <w:bookmarkStart w:id="158"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360" w:lineRule="auto"/>
        <w:rPr>
          <w:rFonts w:hint="eastAsia" w:ascii="宋体" w:hAnsi="宋体"/>
          <w:b/>
          <w:sz w:val="24"/>
          <w:szCs w:val="21"/>
        </w:rPr>
      </w:pPr>
      <w:r>
        <w:rPr>
          <w:rFonts w:hint="eastAsia" w:ascii="宋体" w:hAnsi="宋体"/>
          <w:b/>
          <w:sz w:val="24"/>
          <w:szCs w:val="21"/>
        </w:rPr>
        <w:t xml:space="preserve">一、基本目录</w:t>
      </w:r>
      <w:r/>
    </w:p>
    <w:p>
      <w:pPr>
        <w:ind w:left="480"/>
        <w:spacing w:line="360" w:lineRule="auto"/>
        <w:rPr>
          <w:rFonts w:hint="eastAsia" w:ascii="宋体" w:hAnsi="宋体"/>
          <w:sz w:val="24"/>
          <w:szCs w:val="21"/>
        </w:rPr>
      </w:pPr>
      <w:r>
        <w:rPr>
          <w:rFonts w:hint="eastAsia" w:ascii="宋体" w:hAnsi="宋体"/>
          <w:sz w:val="24"/>
          <w:szCs w:val="21"/>
        </w:rPr>
        <w:t xml:space="preserve">1.开标一览表（格式见附件1）</w:t>
      </w:r>
      <w:r/>
    </w:p>
    <w:p>
      <w:pPr>
        <w:ind w:left="480"/>
        <w:spacing w:line="360" w:lineRule="auto"/>
        <w:rPr>
          <w:rFonts w:hint="eastAsia" w:ascii="宋体" w:hAnsi="宋体"/>
          <w:sz w:val="24"/>
          <w:szCs w:val="21"/>
        </w:rPr>
      </w:pPr>
      <w:r>
        <w:rPr>
          <w:rFonts w:hint="eastAsia" w:ascii="宋体" w:hAnsi="宋体"/>
          <w:sz w:val="24"/>
          <w:szCs w:val="21"/>
        </w:rPr>
        <w:t xml:space="preserve">2.投标分项报价表（格式见附件2）</w:t>
      </w:r>
      <w:r/>
    </w:p>
    <w:p>
      <w:pPr>
        <w:ind w:left="480"/>
        <w:spacing w:line="360" w:lineRule="auto"/>
        <w:rPr>
          <w:rFonts w:hint="eastAsia" w:ascii="宋体" w:hAnsi="宋体"/>
          <w:sz w:val="24"/>
          <w:szCs w:val="21"/>
        </w:rPr>
      </w:pPr>
      <w:r>
        <w:rPr>
          <w:rFonts w:hint="eastAsia" w:ascii="宋体" w:hAnsi="宋体"/>
          <w:sz w:val="24"/>
          <w:szCs w:val="21"/>
        </w:rPr>
        <w:t xml:space="preserve">3.法人授权委托书（格式见附件3）</w:t>
      </w:r>
      <w:r/>
    </w:p>
    <w:p>
      <w:pPr>
        <w:ind w:left="480"/>
        <w:spacing w:line="360" w:lineRule="auto"/>
        <w:rPr>
          <w:rFonts w:hint="eastAsia"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p>
    <w:p>
      <w:pPr>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spacing w:line="360" w:lineRule="auto"/>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cs="宋体"/>
          <w:sz w:val="24"/>
          <w:szCs w:val="24"/>
        </w:rPr>
        <w:t xml:space="preserve">投标人符合《政府采购法》第二十二条规定条件的承诺函</w:t>
      </w:r>
      <w:r>
        <w:rPr>
          <w:rFonts w:hint="eastAsia" w:ascii="宋体" w:hAnsi="宋体"/>
          <w:sz w:val="24"/>
          <w:szCs w:val="24"/>
        </w:rPr>
        <w:t xml:space="preserve">（格式见附件4）</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360" w:lineRule="auto"/>
        <w:rPr>
          <w:rFonts w:hint="eastAsia" w:ascii="宋体" w:hAnsi="宋体"/>
          <w:sz w:val="24"/>
          <w:szCs w:val="24"/>
        </w:rPr>
      </w:pPr>
      <w:r>
        <w:rPr>
          <w:rFonts w:hint="eastAsia" w:ascii="宋体" w:hAnsi="宋体"/>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1"/>
        </w:rPr>
        <w:t xml:space="preserve">投标函</w:t>
      </w:r>
      <w:r>
        <w:rPr>
          <w:rFonts w:hint="eastAsia" w:ascii="宋体" w:hAnsi="宋体"/>
          <w:sz w:val="24"/>
          <w:szCs w:val="24"/>
        </w:rPr>
        <w:t xml:space="preserve">（格式见附件5）</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中小企业声明函（如本项目</w:t>
      </w:r>
      <w:r>
        <w:rPr>
          <w:rFonts w:ascii="宋体" w:hAnsi="宋体"/>
          <w:sz w:val="24"/>
          <w:szCs w:val="24"/>
        </w:rPr>
        <w:t xml:space="preserve">专门面向中小企业采购，则必须提供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6）</w:t>
      </w:r>
      <w:r/>
    </w:p>
    <w:p>
      <w:pPr>
        <w:ind w:firstLine="480"/>
        <w:spacing w:line="360" w:lineRule="auto"/>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残疾人福利性单位声明函（如本项目</w:t>
      </w:r>
      <w:r>
        <w:rPr>
          <w:rFonts w:ascii="宋体" w:hAnsi="宋体"/>
          <w:sz w:val="24"/>
          <w:szCs w:val="24"/>
        </w:rPr>
        <w:t xml:space="preserve">专门面向中小企业采购，</w:t>
      </w:r>
      <w:r>
        <w:rPr>
          <w:rFonts w:hint="eastAsia" w:ascii="宋体" w:hAnsi="宋体"/>
          <w:sz w:val="24"/>
          <w:szCs w:val="24"/>
        </w:rPr>
        <w:t xml:space="preserve">供应商为</w:t>
      </w:r>
      <w:r>
        <w:rPr>
          <w:rFonts w:ascii="宋体" w:hAnsi="宋体"/>
          <w:sz w:val="24"/>
          <w:szCs w:val="24"/>
        </w:rPr>
        <w:t xml:space="preserve">残疾人福利性单位并</w:t>
      </w:r>
      <w:r>
        <w:rPr>
          <w:rFonts w:hint="eastAsia" w:ascii="宋体" w:hAnsi="宋体"/>
          <w:sz w:val="24"/>
          <w:szCs w:val="24"/>
        </w:rPr>
        <w:t xml:space="preserve">提供</w:t>
      </w:r>
      <w:r>
        <w:rPr>
          <w:rFonts w:ascii="宋体" w:hAnsi="宋体"/>
          <w:sz w:val="24"/>
          <w:szCs w:val="24"/>
        </w:rPr>
        <w:t xml:space="preserve">服务的，</w:t>
      </w:r>
      <w:r>
        <w:rPr>
          <w:rFonts w:hint="eastAsia" w:ascii="宋体" w:hAnsi="宋体"/>
          <w:sz w:val="24"/>
          <w:szCs w:val="24"/>
        </w:rPr>
        <w:t xml:space="preserve">则必须</w:t>
      </w:r>
      <w:r>
        <w:rPr>
          <w:rFonts w:ascii="宋体" w:hAnsi="宋体"/>
          <w:sz w:val="24"/>
          <w:szCs w:val="24"/>
        </w:rPr>
        <w:t xml:space="preserve">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7）</w:t>
      </w:r>
      <w:r/>
    </w:p>
    <w:p>
      <w:pPr>
        <w:ind w:left="480"/>
        <w:spacing w:line="360" w:lineRule="auto"/>
        <w:rPr>
          <w:rFonts w:hint="eastAsia" w:ascii="宋体" w:hAnsi="宋体"/>
          <w:b/>
          <w:sz w:val="24"/>
          <w:szCs w:val="21"/>
        </w:rPr>
      </w:pPr>
      <w:r>
        <w:rPr>
          <w:rFonts w:hint="eastAsia" w:ascii="宋体" w:hAnsi="宋体"/>
          <w:b/>
          <w:sz w:val="24"/>
          <w:szCs w:val="21"/>
        </w:rPr>
        <w:t xml:space="preserve">注：</w:t>
      </w:r>
      <w:r>
        <w:rPr>
          <w:rFonts w:hint="eastAsia" w:ascii="宋体" w:hAnsi="宋体"/>
          <w:b/>
          <w:bCs/>
          <w:sz w:val="24"/>
          <w:szCs w:val="24"/>
        </w:rPr>
        <w:t xml:space="preserve">如招标文件要求必须提供相关材料而未提供的，作无效响应处理。</w:t>
      </w:r>
      <w:r/>
    </w:p>
    <w:p>
      <w:pPr>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360" w:lineRule="auto"/>
        <w:rPr>
          <w:rFonts w:hint="eastAsia" w:ascii="宋体" w:hAnsi="宋体"/>
          <w:sz w:val="24"/>
          <w:szCs w:val="24"/>
        </w:rPr>
      </w:pP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t xml:space="preserve">的实质性要求逐条做出响应，并按照招标文件要求提供证明材料，否则作无效响应处理。（格式见附件8）</w:t>
      </w:r>
      <w:r/>
    </w:p>
    <w:p>
      <w:pPr>
        <w:ind w:firstLine="480"/>
        <w:jc w:val="left"/>
        <w:spacing w:line="360" w:lineRule="auto"/>
        <w:rPr>
          <w:rFonts w:hint="eastAsia" w:ascii="宋体" w:hAnsi="宋体"/>
          <w:b/>
          <w:sz w:val="24"/>
          <w:szCs w:val="24"/>
        </w:rPr>
      </w:pPr>
      <w:r>
        <w:rPr>
          <w:rFonts w:hint="eastAsia" w:ascii="宋体" w:hAnsi="宋体"/>
          <w:b/>
          <w:sz w:val="24"/>
          <w:szCs w:val="24"/>
        </w:rPr>
        <w:t xml:space="preserve">四、根据评审标准须提供的方案、措施、承诺等支撑文件资料</w:t>
      </w:r>
      <w:r/>
    </w:p>
    <w:p>
      <w:pPr>
        <w:ind w:firstLine="480"/>
        <w:spacing w:line="360" w:lineRule="auto"/>
        <w:rPr>
          <w:rFonts w:hint="eastAsia" w:ascii="宋体" w:hAnsi="宋体"/>
          <w:sz w:val="24"/>
          <w:szCs w:val="24"/>
        </w:rPr>
      </w:pPr>
      <w:r>
        <w:rPr>
          <w:rFonts w:hint="eastAsia" w:ascii="宋体" w:hAnsi="宋体"/>
          <w:sz w:val="24"/>
          <w:szCs w:val="24"/>
        </w:rPr>
        <w:t xml:space="preserve">投标人按照评标方法与评审标准提供材料，如评审内容含技术要求和商务要求的，请提供技术要求响应及偏离表和商务要求响应及偏离表（格式见附件9）。</w:t>
      </w:r>
      <w:r/>
    </w:p>
    <w:p>
      <w:pPr>
        <w:ind w:firstLine="480"/>
        <w:spacing w:line="360" w:lineRule="auto"/>
        <w:rPr>
          <w:rFonts w:hint="eastAsia"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p>
    <w:p>
      <w:pPr>
        <w:ind w:firstLine="480"/>
        <w:spacing w:line="360" w:lineRule="auto"/>
        <w:rPr>
          <w:rFonts w:hint="eastAsia" w:ascii="宋体" w:hAnsi="宋体"/>
          <w:sz w:val="24"/>
          <w:szCs w:val="21"/>
        </w:rPr>
      </w:pPr>
      <w:r>
        <w:rPr>
          <w:rFonts w:hint="eastAsia" w:ascii="宋体" w:hAnsi="宋体"/>
          <w:sz w:val="24"/>
          <w:szCs w:val="21"/>
        </w:rPr>
        <w:t xml:space="preserve">1.中小企业声明函（格式见附件6）</w:t>
      </w:r>
      <w:r/>
    </w:p>
    <w:p>
      <w:pPr>
        <w:ind w:firstLine="480"/>
        <w:spacing w:line="360" w:lineRule="auto"/>
        <w:rPr>
          <w:rFonts w:hint="eastAsia" w:ascii="宋体" w:hAnsi="宋体"/>
          <w:sz w:val="24"/>
          <w:szCs w:val="21"/>
        </w:rPr>
      </w:pPr>
      <w:r>
        <w:rPr>
          <w:rFonts w:hint="eastAsia" w:ascii="宋体" w:hAnsi="宋体"/>
          <w:sz w:val="24"/>
          <w:szCs w:val="21"/>
        </w:rPr>
        <w:t xml:space="preserve">2.残疾人福利性单位声明函（格式见附件7）</w:t>
      </w:r>
      <w:r/>
    </w:p>
    <w:p>
      <w:pPr>
        <w:ind w:firstLine="480"/>
        <w:spacing w:line="360" w:lineRule="auto"/>
        <w:rPr>
          <w:rFonts w:hint="eastAsia" w:ascii="宋体" w:hAnsi="宋体"/>
          <w:sz w:val="24"/>
          <w:szCs w:val="21"/>
        </w:rPr>
      </w:pPr>
      <w:r>
        <w:rPr>
          <w:rFonts w:hint="eastAsia" w:ascii="宋体" w:hAnsi="宋体"/>
          <w:sz w:val="24"/>
          <w:szCs w:val="21"/>
        </w:rPr>
        <w:t xml:space="preserve">3.关于符合本国产品标准的声明函（格式见附件10）</w:t>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 </w:t>
      </w:r>
      <w:r/>
    </w:p>
    <w:p>
      <w:pPr>
        <w:pStyle w:val="661"/>
        <w:keepNext w:val="0"/>
        <w:widowControl/>
        <w:rPr>
          <w:rFonts w:hint="eastAsia" w:ascii="宋体" w:hAnsi="宋体" w:eastAsia="宋体" w:cs="宋体"/>
          <w:sz w:val="32"/>
          <w:szCs w:val="32"/>
        </w:rPr>
      </w:pPr>
      <w:r>
        <w:rPr>
          <w:rStyle w:val="711"/>
          <w:rFonts w:hint="eastAsia" w:ascii="宋体" w:hAnsi="宋体" w:eastAsia="宋体" w:cs="宋体"/>
          <w:sz w:val="32"/>
          <w:szCs w:val="32"/>
        </w:rPr>
        <w:t xml:space="preserve">开标一览表</w:t>
      </w:r>
      <w:r/>
    </w:p>
    <w:p>
      <w:pPr>
        <w:pStyle w:val="704"/>
        <w:rPr>
          <w:rFonts w:hint="eastAsia"/>
        </w:rPr>
      </w:pPr>
      <w:r>
        <w:t xml:space="preserve">项目编号：</w:t>
      </w:r>
      <w:r/>
    </w:p>
    <w:p>
      <w:pPr>
        <w:pStyle w:val="704"/>
        <w:rPr>
          <w:rFonts w:hint="eastAsia"/>
        </w:rPr>
      </w:pPr>
      <w:r>
        <w:t xml:space="preserve">货币单位：人民币元</w:t>
      </w:r>
      <w:r/>
    </w:p>
    <w:p>
      <w:pPr>
        <w:pStyle w:val="704"/>
        <w:rPr>
          <w:rFonts w:hint="eastAsia"/>
        </w:rPr>
      </w:pPr>
      <w:r>
        <w:t xml:space="preserve">投标人名称（公章）：</w:t>
      </w:r>
      <w:r/>
    </w:p>
    <w:tbl>
      <w:tblPr>
        <w:tblStyle w:val="671"/>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704"/>
              <w:jc w:val="center"/>
              <w:rPr>
                <w:rFonts w:hint="eastAsia"/>
              </w:rPr>
            </w:pPr>
            <w:r>
              <w:t xml:space="preserve">项目名称</w:t>
            </w:r>
            <w:r/>
          </w:p>
        </w:tc>
        <w:tc>
          <w:tcPr>
            <w:tcW w:w="2992" w:type="dxa"/>
            <w:vAlign w:val="center"/>
            <w:textDirection w:val="lrTb"/>
            <w:noWrap w:val="false"/>
          </w:tcPr>
          <w:p>
            <w:pPr>
              <w:pStyle w:val="704"/>
              <w:jc w:val="center"/>
              <w:rPr>
                <w:rFonts w:hint="eastAsia"/>
              </w:rPr>
            </w:pPr>
            <w:r>
              <w:t xml:space="preserve">项目内容</w:t>
            </w:r>
            <w:r/>
          </w:p>
        </w:tc>
        <w:tc>
          <w:tcPr>
            <w:tcW w:w="3175" w:type="dxa"/>
            <w:vAlign w:val="center"/>
            <w:textDirection w:val="lrTb"/>
            <w:noWrap w:val="false"/>
          </w:tcPr>
          <w:p>
            <w:pPr>
              <w:pStyle w:val="704"/>
              <w:jc w:val="center"/>
              <w:rPr>
                <w:rFonts w:hint="eastAsia"/>
              </w:rPr>
            </w:pPr>
            <w:r>
              <w:t xml:space="preserve">总价（小写）</w:t>
            </w:r>
            <w:r/>
          </w:p>
        </w:tc>
      </w:tr>
      <w:tr>
        <w:trPr>
          <w:tblCellSpacing w:w="15" w:type="dxa"/>
          <w:trHeight w:val="648"/>
        </w:trPr>
        <w:tc>
          <w:tcPr>
            <w:tcW w:w="3292" w:type="dxa"/>
            <w:vAlign w:val="center"/>
            <w:textDirection w:val="lrTb"/>
            <w:noWrap w:val="false"/>
          </w:tcPr>
          <w:p>
            <w:pPr>
              <w:pStyle w:val="704"/>
              <w:jc w:val="center"/>
              <w:rPr>
                <w:rFonts w:hint="eastAsia"/>
              </w:rPr>
            </w:pPr>
            <w:r>
              <w:rPr>
                <w:rFonts w:hint="eastAsia"/>
              </w:rPr>
            </w:r>
            <w:r/>
          </w:p>
        </w:tc>
        <w:tc>
          <w:tcPr>
            <w:tcW w:w="2992" w:type="dxa"/>
            <w:vAlign w:val="center"/>
            <w:textDirection w:val="lrTb"/>
            <w:noWrap w:val="false"/>
          </w:tcPr>
          <w:p>
            <w:pPr>
              <w:pStyle w:val="704"/>
              <w:jc w:val="center"/>
              <w:rPr>
                <w:rFonts w:hint="eastAsia"/>
              </w:rPr>
            </w:pPr>
            <w:r>
              <w:t xml:space="preserve">详见投标文件</w:t>
            </w:r>
            <w:r/>
          </w:p>
        </w:tc>
        <w:tc>
          <w:tcPr>
            <w:tcW w:w="3175" w:type="dxa"/>
            <w:vAlign w:val="center"/>
            <w:textDirection w:val="lrTb"/>
            <w:noWrap w:val="false"/>
          </w:tcPr>
          <w:p>
            <w:pPr>
              <w:pStyle w:val="704"/>
              <w:jc w:val="center"/>
              <w:rPr>
                <w:rFonts w:hint="eastAsia"/>
              </w:rPr>
            </w:pPr>
            <w:r>
              <w:rPr>
                <w:rFonts w:hint="eastAsia"/>
              </w:rPr>
              <w:t xml:space="preserve">             </w:t>
            </w:r>
            <w:r>
              <w:t xml:space="preserve">元</w:t>
            </w:r>
            <w:r/>
          </w:p>
        </w:tc>
      </w:tr>
      <w:tr>
        <w:trPr>
          <w:tblCellSpacing w:w="15" w:type="dxa"/>
          <w:trHeight w:val="696"/>
        </w:trPr>
        <w:tc>
          <w:tcPr>
            <w:tcW w:w="3292" w:type="dxa"/>
            <w:vAlign w:val="center"/>
            <w:textDirection w:val="lrTb"/>
            <w:noWrap w:val="false"/>
          </w:tcPr>
          <w:p>
            <w:pPr>
              <w:pStyle w:val="704"/>
              <w:jc w:val="center"/>
              <w:rPr>
                <w:rFonts w:hint="eastAsia"/>
              </w:rPr>
            </w:pPr>
            <w:r>
              <w:t xml:space="preserve">总价（大写）：</w:t>
            </w:r>
            <w:r/>
          </w:p>
        </w:tc>
        <w:tc>
          <w:tcPr>
            <w:gridSpan w:val="2"/>
            <w:tcW w:w="6197" w:type="dxa"/>
            <w:vAlign w:val="center"/>
            <w:textDirection w:val="lrTb"/>
            <w:noWrap w:val="false"/>
          </w:tcPr>
          <w:p>
            <w:pPr>
              <w:pStyle w:val="704"/>
              <w:rPr>
                <w:rFonts w:hint="eastAsia"/>
              </w:rPr>
            </w:pPr>
            <w:r>
              <w:t xml:space="preserve">金额大写 </w:t>
            </w:r>
            <w:r/>
          </w:p>
        </w:tc>
      </w:tr>
    </w:tbl>
    <w:p>
      <w:pPr>
        <w:pStyle w:val="704"/>
        <w:rPr>
          <w:rFonts w:hint="eastAsia"/>
        </w:rPr>
      </w:pPr>
      <w: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cs="宋体"/>
          <w:b/>
          <w:color w:val="000000"/>
          <w:sz w:val="32"/>
          <w:szCs w:val="32"/>
        </w:rPr>
      </w:pPr>
      <w:r>
        <w:rPr>
          <w:rFonts w:hint="eastAsia" w:ascii="宋体" w:hAnsi="宋体" w:cs="宋体"/>
          <w:b/>
          <w:color w:val="000000"/>
          <w:sz w:val="32"/>
          <w:szCs w:val="32"/>
        </w:rPr>
        <w:t xml:space="preserve">投标分项报价表</w:t>
      </w:r>
      <w:r/>
    </w:p>
    <w:tbl>
      <w:tblPr>
        <w:tblStyle w:val="671"/>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jc w:val="center"/>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434"/>
        </w:trPr>
        <w:tc>
          <w:tcPr>
            <w:gridSpan w:val="10"/>
            <w:tcW w:w="9263"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jc w:val="center"/>
          <w:trHeight w:val="767"/>
        </w:trPr>
        <w:tc>
          <w:tcPr>
            <w:gridSpan w:val="10"/>
            <w:tcW w:w="9263" w:type="dxa"/>
            <w:textDirection w:val="lrTb"/>
            <w:noWrap w:val="false"/>
          </w:tcPr>
          <w:p>
            <w:pPr>
              <w:pStyle w:val="704"/>
              <w:spacing w:before="0" w:beforeAutospacing="0" w:after="0" w:afterAutospacing="0" w:line="0" w:lineRule="atLeast"/>
              <w:rPr>
                <w:rFonts w:hint="eastAsia"/>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hint="eastAsia" w:ascii="宋体" w:hAnsi="宋体" w:cs="宋体"/>
          <w:sz w:val="24"/>
          <w:szCs w:val="24"/>
        </w:rPr>
      </w:pPr>
      <w:r>
        <w:rPr>
          <w:rFonts w:hint="eastAsia" w:ascii="宋体" w:hAnsi="宋体" w:cs="宋体"/>
          <w:sz w:val="24"/>
          <w:szCs w:val="24"/>
        </w:rPr>
      </w:r>
      <w:r/>
    </w:p>
    <w:p>
      <w:pPr>
        <w:spacing w:line="400" w:lineRule="exact"/>
        <w:rPr>
          <w:rFonts w:hint="eastAsia" w:ascii="宋体" w:hAnsi="宋体" w:cs="宋体"/>
          <w:sz w:val="24"/>
          <w:szCs w:val="24"/>
        </w:rPr>
      </w:pPr>
      <w:r>
        <w:rPr>
          <w:rFonts w:hint="eastAsia" w:ascii="宋体" w:hAnsi="宋体" w:cs="宋体"/>
          <w:sz w:val="24"/>
          <w:szCs w:val="24"/>
        </w:rPr>
        <w:t xml:space="preserve">备注：</w:t>
      </w:r>
      <w:r/>
    </w:p>
    <w:p>
      <w:pPr>
        <w:spacing w:line="40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p>
    <w:p>
      <w:pPr>
        <w:spacing w:line="400" w:lineRule="exact"/>
        <w:rPr>
          <w:rFonts w:hint="eastAsia" w:ascii="宋体" w:hAnsi="宋体" w:cs="宋体"/>
          <w:sz w:val="24"/>
          <w:szCs w:val="24"/>
        </w:rPr>
      </w:pPr>
      <w:r>
        <w:rPr>
          <w:rFonts w:hint="eastAsia" w:ascii="宋体" w:hAnsi="宋体" w:cs="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cs="宋体"/>
          <w:b/>
          <w:sz w:val="24"/>
          <w:szCs w:val="24"/>
        </w:rPr>
      </w:pPr>
      <w:r>
        <w:rPr>
          <w:rFonts w:hint="eastAsia" w:ascii="宋体" w:hAnsi="宋体" w:cs="宋体"/>
          <w:b/>
          <w:sz w:val="24"/>
          <w:szCs w:val="24"/>
        </w:rPr>
        <w:t xml:space="preserve">4.投标人需认真填写本报价表，尤其注意规格型号的准确填写。</w:t>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附件3</w:t>
      </w:r>
      <w:r>
        <w:rPr>
          <w:rFonts w:ascii="宋体" w:hAnsi="宋体"/>
          <w:b/>
          <w:color w:val="000000"/>
          <w:sz w:val="24"/>
          <w:szCs w:val="21"/>
        </w:rPr>
        <w:t xml:space="preserve">                       </w:t>
      </w:r>
      <w:r/>
    </w:p>
    <w:p>
      <w:pPr>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法人授权委托书</w:t>
      </w:r>
      <w:r/>
    </w:p>
    <w:p>
      <w:pPr>
        <w:spacing w:line="360" w:lineRule="auto"/>
        <w:widowControl/>
        <w:rPr>
          <w:rFonts w:hint="eastAsia" w:ascii="宋体" w:hAnsi="宋体" w:cs="宋体"/>
          <w:sz w:val="32"/>
          <w:szCs w:val="32"/>
        </w:rPr>
      </w:pPr>
      <w:r>
        <w:rPr>
          <w:rFonts w:hint="eastAsia" w:ascii="宋体" w:hAnsi="宋体" w:cs="宋体"/>
          <w:sz w:val="32"/>
          <w:szCs w:val="32"/>
        </w:rPr>
      </w:r>
      <w:r/>
    </w:p>
    <w:p>
      <w:pPr>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本人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（授权单位名称）的法定代表人，现委托</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）为我方代理人，以我方名义全权处理与本次采购项目（项目名称：</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）有关的一切事务，其法律后果由我方承担。</w:t>
      </w:r>
      <w:r/>
    </w:p>
    <w:p>
      <w:pPr>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日起生效。代理人无转委托权。</w:t>
      </w:r>
      <w:r/>
    </w:p>
    <w:p>
      <w:pPr>
        <w:ind w:firstLine="560"/>
        <w:spacing w:line="360" w:lineRule="auto"/>
        <w:widowControl/>
        <w:rPr>
          <w:rFonts w:hint="eastAsia" w:ascii="宋体" w:hAnsi="宋体" w:cs="宋体"/>
          <w:sz w:val="24"/>
          <w:szCs w:val="24"/>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r>
        <w:rPr>
          <w:rFonts w:hint="eastAsia" w:ascii="宋体" w:hAnsi="宋体" w:cs="宋体"/>
          <w:sz w:val="24"/>
          <w:szCs w:val="24"/>
        </w:rPr>
        <w:t xml:space="preserve">。联系方式（手机号码）：</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679"/>
        <w:ind w:right="-46" w:firstLine="560"/>
        <w:spacing w:line="583" w:lineRule="auto"/>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p>
    <w:tbl>
      <w:tblPr>
        <w:tblStyle w:val="671"/>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textDirection w:val="lrTb"/>
            <w:noWrap/>
          </w:tcPr>
          <w:p>
            <w:pPr>
              <w:spacing w:line="360" w:lineRule="auto"/>
              <w:tabs>
                <w:tab w:val="left" w:pos="5580" w:leader="none"/>
              </w:tabs>
              <w:rPr>
                <w:rFonts w:hint="eastAsia" w:ascii="宋体" w:hAnsi="宋体"/>
                <w:sz w:val="24"/>
              </w:rPr>
            </w:pPr>
            <w:r>
              <w:rPr>
                <w:rFonts w:hint="eastAsia" w:ascii="宋体" w:hAnsi="宋体"/>
                <w:sz w:val="24"/>
              </w:rPr>
            </w:r>
            <w:r/>
          </w:p>
          <w:p>
            <w:pPr>
              <w:spacing w:line="360" w:lineRule="auto"/>
              <w:tabs>
                <w:tab w:val="left" w:pos="5580" w:leader="none"/>
              </w:tabs>
              <w:rPr>
                <w:rFonts w:hint="eastAsia" w:ascii="宋体" w:hAnsi="宋体"/>
                <w:sz w:val="24"/>
              </w:rPr>
            </w:pPr>
            <w:r>
              <w:rPr>
                <w:rFonts w:hint="eastAsia" w:ascii="宋体" w:hAnsi="宋体"/>
                <w:sz w:val="24"/>
              </w:rPr>
            </w:r>
            <w:r/>
          </w:p>
          <w:p>
            <w:pPr>
              <w:spacing w:line="360" w:lineRule="auto"/>
              <w:tabs>
                <w:tab w:val="left" w:pos="5580" w:leader="none"/>
              </w:tabs>
              <w:rPr>
                <w:rFonts w:hint="eastAsia" w:ascii="宋体" w:hAnsi="宋体"/>
                <w:sz w:val="24"/>
              </w:rPr>
            </w:pPr>
            <w:r>
              <w:rPr>
                <w:rFonts w:hint="eastAsia" w:ascii="宋体" w:hAnsi="宋体"/>
                <w:sz w:val="24"/>
              </w:rPr>
            </w:r>
            <w:r/>
          </w:p>
        </w:tc>
        <w:tc>
          <w:tcPr>
            <w:tcW w:w="3429" w:type="dxa"/>
            <w:textDirection w:val="lrTb"/>
            <w:noWrap/>
          </w:tcPr>
          <w:p>
            <w:pPr>
              <w:spacing w:line="360" w:lineRule="auto"/>
              <w:tabs>
                <w:tab w:val="left" w:pos="5580" w:leader="none"/>
              </w:tabs>
              <w:rPr>
                <w:rFonts w:hint="eastAsia" w:ascii="宋体" w:hAnsi="宋体"/>
                <w:sz w:val="24"/>
              </w:rPr>
            </w:pPr>
            <w:r>
              <w:rPr>
                <w:rFonts w:hint="eastAsia" w:ascii="宋体" w:hAnsi="宋体"/>
                <w:sz w:val="24"/>
              </w:rPr>
            </w:r>
            <w:r/>
          </w:p>
          <w:p>
            <w:pPr>
              <w:spacing w:line="360" w:lineRule="auto"/>
              <w:tabs>
                <w:tab w:val="left" w:pos="5580" w:leader="none"/>
              </w:tabs>
              <w:rPr>
                <w:rFonts w:hint="eastAsia" w:ascii="宋体" w:hAnsi="宋体"/>
                <w:sz w:val="24"/>
              </w:rPr>
            </w:pPr>
            <w:r>
              <w:rPr>
                <w:rFonts w:hint="eastAsia" w:ascii="宋体" w:hAnsi="宋体"/>
                <w:sz w:val="24"/>
              </w:rPr>
            </w:r>
            <w:r/>
          </w:p>
          <w:p>
            <w:pPr>
              <w:spacing w:line="360" w:lineRule="auto"/>
              <w:tabs>
                <w:tab w:val="left" w:pos="5580" w:leader="none"/>
              </w:tabs>
              <w:rPr>
                <w:rFonts w:hint="eastAsia" w:ascii="宋体" w:hAnsi="宋体"/>
                <w:sz w:val="24"/>
              </w:rPr>
            </w:pPr>
            <w:r>
              <w:rPr>
                <w:rFonts w:hint="eastAsia" w:ascii="宋体" w:hAnsi="宋体"/>
                <w:sz w:val="24"/>
              </w:rPr>
            </w:r>
            <w:r/>
          </w:p>
        </w:tc>
      </w:tr>
      <w:tr>
        <w:trPr>
          <w:jc w:val="center"/>
          <w:trHeight w:val="2319"/>
        </w:trPr>
        <w:tc>
          <w:tcPr>
            <w:tcW w:w="3410" w:type="dxa"/>
            <w:textDirection w:val="lrTb"/>
            <w:noWrap/>
          </w:tcPr>
          <w:p>
            <w:pPr>
              <w:spacing w:line="360" w:lineRule="auto"/>
              <w:tabs>
                <w:tab w:val="left" w:pos="5580" w:leader="none"/>
              </w:tabs>
              <w:rPr>
                <w:rFonts w:hint="eastAsia" w:ascii="宋体" w:hAnsi="宋体"/>
                <w:sz w:val="24"/>
              </w:rPr>
            </w:pPr>
            <w:r>
              <w:rPr>
                <w:rFonts w:hint="eastAsia" w:ascii="宋体" w:hAnsi="宋体"/>
                <w:sz w:val="24"/>
              </w:rPr>
            </w:r>
            <w:r/>
          </w:p>
        </w:tc>
        <w:tc>
          <w:tcPr>
            <w:tcW w:w="3429" w:type="dxa"/>
            <w:textDirection w:val="lrTb"/>
            <w:noWrap/>
          </w:tcPr>
          <w:p>
            <w:pPr>
              <w:spacing w:line="360" w:lineRule="auto"/>
              <w:tabs>
                <w:tab w:val="left" w:pos="5580" w:leader="none"/>
              </w:tabs>
              <w:rPr>
                <w:rFonts w:hint="eastAsia" w:ascii="宋体" w:hAnsi="宋体"/>
                <w:sz w:val="24"/>
              </w:rPr>
            </w:pPr>
            <w:r>
              <w:rPr>
                <w:rFonts w:hint="eastAsia" w:ascii="宋体" w:hAnsi="宋体"/>
                <w:sz w:val="24"/>
              </w:rPr>
            </w:r>
            <w:r/>
          </w:p>
        </w:tc>
      </w:tr>
    </w:tbl>
    <w:p>
      <w:pPr>
        <w:contextualSpacing/>
        <w:ind w:firstLine="540"/>
        <w:spacing w:line="360" w:lineRule="auto"/>
        <w:widowControl/>
        <w:rPr>
          <w:rFonts w:hint="eastAsia" w:ascii="宋体" w:hAnsi="宋体" w:cs="宋体"/>
          <w:b/>
          <w:sz w:val="28"/>
          <w:szCs w:val="28"/>
        </w:rPr>
      </w:pPr>
      <w:r>
        <w:rPr>
          <w:rFonts w:hint="eastAsia" w:ascii="宋体" w:hAnsi="宋体" w:cs="宋体"/>
          <w:b/>
          <w:sz w:val="28"/>
          <w:szCs w:val="28"/>
        </w:rPr>
      </w:r>
      <w:r/>
    </w:p>
    <w:p>
      <w:pPr>
        <w:pStyle w:val="679"/>
        <w:ind w:right="-46" w:firstLine="4110"/>
        <w:spacing w:line="583" w:lineRule="auto"/>
        <w:rPr>
          <w:rFonts w:hint="eastAsia" w:ascii="宋体" w:hAnsi="宋体" w:eastAsia="宋体"/>
          <w:spacing w:val="-3"/>
          <w:sz w:val="24"/>
          <w:szCs w:val="24"/>
        </w:rPr>
      </w:pPr>
      <w:r>
        <w:rPr>
          <w:rFonts w:hint="eastAsia" w:ascii="宋体" w:hAnsi="宋体" w:eastAsia="宋体"/>
          <w:spacing w:val="-3"/>
          <w:sz w:val="24"/>
          <w:szCs w:val="24"/>
        </w:rPr>
        <w:t xml:space="preserve">供应商全称（加盖电子公章）：</w:t>
      </w:r>
      <w:r/>
    </w:p>
    <w:p>
      <w:pPr>
        <w:pStyle w:val="679"/>
        <w:ind w:right="-46" w:firstLine="4110"/>
        <w:spacing w:line="583" w:lineRule="auto"/>
        <w:rPr>
          <w:rFonts w:hint="eastAsia" w:ascii="宋体" w:hAnsi="宋体" w:eastAsia="宋体"/>
          <w:spacing w:val="-3"/>
          <w:sz w:val="24"/>
          <w:szCs w:val="24"/>
        </w:rPr>
      </w:pPr>
      <w:r>
        <w:rPr>
          <w:rFonts w:hint="eastAsia" w:ascii="宋体" w:hAnsi="宋体" w:eastAsia="宋体"/>
          <w:spacing w:val="-3"/>
          <w:sz w:val="24"/>
          <w:szCs w:val="24"/>
        </w:rPr>
        <w:t xml:space="preserve">法定代表人签字或盖电子章：</w:t>
      </w:r>
      <w:r/>
    </w:p>
    <w:p>
      <w:pPr>
        <w:pStyle w:val="679"/>
        <w:ind w:right="-46" w:firstLine="4110"/>
        <w:spacing w:line="583"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p>
    <w:p>
      <w:pPr>
        <w:rPr>
          <w:rFonts w:hint="eastAsia" w:ascii="宋体" w:hAnsi="宋体"/>
          <w:b/>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附件4</w:t>
      </w:r>
      <w:r/>
    </w:p>
    <w:p>
      <w:pPr>
        <w:jc w:val="center"/>
        <w:rPr>
          <w:rFonts w:hint="eastAsia"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p>
    <w:p>
      <w:pPr>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p>
    <w:p>
      <w:pPr>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r>
      <w:r/>
    </w:p>
    <w:p>
      <w:pPr>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供应商全称（加盖电子公章）：</w:t>
      </w:r>
      <w:r/>
    </w:p>
    <w:p>
      <w:pPr>
        <w:jc w:val="right"/>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bCs/>
          <w:color w:val="000000"/>
          <w:sz w:val="24"/>
          <w:szCs w:val="21"/>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keepLines/>
        <w:keepNext/>
        <w:spacing w:line="360" w:lineRule="auto"/>
        <w:rPr>
          <w:rFonts w:hint="eastAsia"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p>
    <w:p>
      <w:pPr>
        <w:jc w:val="center"/>
        <w:keepLines/>
        <w:keepNext/>
        <w:spacing w:before="260" w:after="260" w:line="416" w:lineRule="auto"/>
        <w:rPr>
          <w:rFonts w:hint="eastAsia"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hint="eastAsia" w:ascii="宋体" w:hAnsi="宋体"/>
          <w:color w:val="000000"/>
          <w:sz w:val="24"/>
          <w:szCs w:val="21"/>
        </w:rPr>
      </w:pPr>
      <w:r>
        <w:rPr>
          <w:rFonts w:hint="eastAsia" w:ascii="宋体" w:hAnsi="宋体"/>
          <w:color w:val="000000"/>
          <w:sz w:val="24"/>
          <w:szCs w:val="21"/>
        </w:rPr>
        <w:t xml:space="preserve">致：南通市海门区公共资源交易中心</w:t>
      </w:r>
      <w:r/>
    </w:p>
    <w:p>
      <w:pPr>
        <w:pStyle w:val="932"/>
        <w:spacing w:before="0" w:after="0"/>
        <w:rPr>
          <w:rFonts w:hint="eastAsia"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p>
    <w:p>
      <w:pPr>
        <w:pStyle w:val="932"/>
        <w:spacing w:before="0" w:after="0"/>
        <w:rPr>
          <w:rFonts w:hint="eastAsia" w:ascii="宋体" w:hAnsi="宋体" w:cs="宋体"/>
        </w:rPr>
      </w:pPr>
      <w:r>
        <w:rPr>
          <w:rFonts w:hint="eastAsia" w:ascii="宋体" w:hAnsi="宋体" w:cs="宋体"/>
        </w:rPr>
        <w:t xml:space="preserve">据此函，_________(被授权人姓名）兹宣布同意如下：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供应商全称：（加盖电子公章）</w:t>
      </w:r>
      <w:r/>
    </w:p>
    <w:p>
      <w:pPr>
        <w:ind w:left="420" w:firstLine="336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附件6 </w:t>
      </w:r>
      <w:r/>
    </w:p>
    <w:p>
      <w:pPr>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中小企业声明函（货物）</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南通市海门区人民医院</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南通市海门区人民医院采购献血车项目</w:t>
      </w:r>
      <w:r>
        <w:rPr>
          <w:rFonts w:hint="eastAsia" w:ascii="宋体" w:hAnsi="宋体" w:cs="宋体"/>
          <w:sz w:val="28"/>
          <w:szCs w:val="28"/>
          <w:lang w:bidi="zh-CN"/>
        </w:rPr>
        <w:t xml:space="preserve">采购活动，提供的货物全部由符合政策要求的中小企业制造。相关企业的具体情况如下：</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 （标的名称）</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2.</w:t>
      </w:r>
      <w:r>
        <w:rPr>
          <w:rFonts w:hint="eastAsia" w:ascii="宋体" w:hAnsi="宋体" w:cs="宋体"/>
          <w:i/>
          <w:sz w:val="28"/>
          <w:szCs w:val="28"/>
          <w:u w:val="single"/>
          <w:lang w:bidi="zh-CN"/>
        </w:rPr>
        <w:t xml:space="preserve"> </w:t>
      </w:r>
      <w:r>
        <w:rPr>
          <w:rFonts w:hint="eastAsia" w:ascii="宋体" w:hAnsi="宋体" w:cs="宋体"/>
          <w:sz w:val="28"/>
          <w:szCs w:val="28"/>
          <w:u w:val="single"/>
          <w:lang w:bidi="zh-CN"/>
        </w:rPr>
        <w:t xml:space="preserve">（标的名称）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注：1.如项目属性为“货物”，请按本表填写。 </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jc w:val="cente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                      企业名称（盖章）：</w:t>
      </w:r>
      <w:r/>
    </w:p>
    <w:p>
      <w:pPr>
        <w:spacing w:line="300" w:lineRule="auto"/>
        <w:rPr>
          <w:rFonts w:hint="eastAsia" w:ascii="宋体" w:hAnsi="宋体"/>
          <w:b/>
          <w:sz w:val="24"/>
          <w:szCs w:val="24"/>
        </w:rPr>
        <w:outlineLvl w:val="0"/>
      </w:pPr>
      <w:r>
        <w:rPr>
          <w:rFonts w:hint="eastAsia" w:ascii="宋体" w:hAnsi="宋体" w:cs="宋体"/>
          <w:sz w:val="28"/>
          <w:szCs w:val="28"/>
          <w:lang w:bidi="zh-CN"/>
        </w:rPr>
        <w:t xml:space="preserve">                                          日期：</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附件7</w:t>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p>
    <w:p>
      <w:pPr>
        <w:jc w:val="center"/>
        <w:rPr>
          <w:rFonts w:hint="eastAsia" w:ascii="宋体" w:hAnsi="宋体"/>
          <w:b/>
          <w:sz w:val="24"/>
          <w:szCs w:val="24"/>
        </w:rPr>
      </w:pPr>
      <w:r>
        <w:rPr>
          <w:rFonts w:hint="eastAsia" w:ascii="宋体" w:hAnsi="宋体" w:cs="宋体"/>
          <w:b/>
          <w:color w:val="000000"/>
          <w:sz w:val="32"/>
          <w:szCs w:val="32"/>
        </w:rPr>
        <w:t xml:space="preserve">实质性要求响应及偏离表</w:t>
      </w:r>
      <w:r/>
    </w:p>
    <w:tbl>
      <w:tblPr>
        <w:tblStyle w:val="6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附件9</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cs="宋体"/>
          <w:b/>
          <w:color w:val="000000"/>
          <w:sz w:val="32"/>
          <w:szCs w:val="32"/>
        </w:rPr>
        <w:t xml:space="preserve">技术要求响应及偏离表</w:t>
      </w:r>
      <w:r/>
    </w:p>
    <w:tbl>
      <w:tblPr>
        <w:tblStyle w:val="6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cs="宋体"/>
          <w:b/>
          <w:color w:val="000000"/>
          <w:sz w:val="32"/>
          <w:szCs w:val="32"/>
        </w:rPr>
        <w:t xml:space="preserve">商务要求响应及偏离表</w:t>
      </w:r>
      <w:r/>
    </w:p>
    <w:tbl>
      <w:tblPr>
        <w:tblStyle w:val="6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679"/>
        <w:ind w:right="-46"/>
        <w:spacing w:line="360" w:lineRule="auto"/>
        <w:rPr>
          <w:rFonts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56"/>
      <w:r/>
      <w:bookmarkEnd w:id="157"/>
      <w:r/>
      <w:bookmarkEnd w:id="158"/>
      <w:r/>
      <w:bookmarkStart w:id="159" w:name="_Toc120614284"/>
      <w:r>
        <w:rPr>
          <w:rFonts w:hint="eastAsia" w:ascii="方正魏碑_GBK" w:hAnsi="方正魏碑_GBK" w:eastAsia="方正魏碑_GBK" w:cs="方正魏碑_GBK"/>
          <w:b/>
          <w:sz w:val="24"/>
          <w:szCs w:val="24"/>
        </w:rPr>
        <w:t xml:space="preserve">附件10  </w:t>
      </w:r>
      <w:r/>
    </w:p>
    <w:p>
      <w:pPr>
        <w:pStyle w:val="679"/>
        <w:ind w:right="-46"/>
        <w:jc w:val="center"/>
        <w:spacing w:line="583" w:lineRule="auto"/>
        <w:rPr>
          <w:rFonts w:ascii="方正魏碑_GBK" w:hAnsi="方正魏碑_GBK" w:eastAsia="方正魏碑_GBK" w:cs="方正魏碑_GBK"/>
          <w:color w:val="ff0000"/>
          <w:sz w:val="24"/>
          <w:szCs w:val="24"/>
        </w:rPr>
      </w:pPr>
      <w:r>
        <w:rPr>
          <w:rFonts w:hint="eastAsia" w:ascii="宋体" w:hAnsi="宋体" w:eastAsia="宋体" w:cs="宋体"/>
          <w:b/>
          <w:color w:val="000000"/>
          <w:sz w:val="32"/>
          <w:szCs w:val="32"/>
        </w:rPr>
        <w:t xml:space="preserve">关于符合本国产品标准的声明函</w:t>
      </w:r>
      <w:r/>
    </w:p>
    <w:p>
      <w:pPr>
        <w:pStyle w:val="704"/>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04"/>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4"/>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w:t>
      </w:r>
      <w:r>
        <w:rPr>
          <w:rStyle w:val="715"/>
          <w:rFonts w:hint="eastAsia" w:ascii="方正魏碑_GBK" w:hAnsi="方正魏碑_GBK" w:eastAsia="方正魏碑_GBK" w:cs="方正魏碑_GBK"/>
          <w:i w:val="0"/>
          <w:u w:val="single"/>
          <w:shd w:val="clear" w:color="auto" w:fill="ffffff"/>
        </w:rPr>
        <w:t xml:space="preserve">（产品名称1）</w:t>
      </w:r>
      <w:r>
        <w:rPr>
          <w:rStyle w:val="715"/>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15"/>
          <w:rFonts w:hint="eastAsia" w:ascii="方正魏碑_GBK" w:hAnsi="方正魏碑_GBK" w:eastAsia="方正魏碑_GBK" w:cs="方正魏碑_GBK"/>
          <w:i w:val="0"/>
          <w:u w:val="single"/>
          <w:shd w:val="clear" w:color="auto" w:fill="ffffff"/>
        </w:rPr>
        <w:t xml:space="preserve">（厂名）</w:t>
      </w:r>
      <w:r>
        <w:rPr>
          <w:rStyle w:val="715"/>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15"/>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15"/>
          <w:rFonts w:hint="eastAsia" w:ascii="方正魏碑_GBK" w:hAnsi="方正魏碑_GBK" w:eastAsia="方正魏碑_GBK" w:cs="方正魏碑_GBK"/>
          <w:i w:val="0"/>
          <w:strike/>
          <w:u w:val="single"/>
          <w:shd w:val="clear" w:color="auto" w:fill="ffffff"/>
        </w:rPr>
        <w:t xml:space="preserve">（产品名称1）</w:t>
      </w:r>
      <w:r>
        <w:rPr>
          <w:rStyle w:val="715"/>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Style w:val="715"/>
          <w:rFonts w:hint="eastAsia" w:ascii="方正魏碑_GBK" w:hAnsi="方正魏碑_GBK" w:eastAsia="方正魏碑_GBK" w:cs="方正魏碑_GBK"/>
          <w:i w:val="0"/>
          <w:strike/>
          <w:u w:val="single"/>
          <w:shd w:val="clear" w:color="auto" w:fill="ffffff"/>
        </w:rPr>
        <w:t xml:space="preserve">（规定</w:t>
      </w:r>
      <w:r>
        <w:rPr>
          <w:rStyle w:val="715"/>
          <w:rFonts w:ascii="方正魏碑_GBK" w:hAnsi="方正魏碑_GBK" w:eastAsia="方正魏碑_GBK" w:cs="方正魏碑_GBK"/>
          <w:i w:val="0"/>
          <w:strike/>
          <w:u w:val="single"/>
          <w:shd w:val="clear" w:color="auto" w:fill="ffffff"/>
        </w:rPr>
        <w:t xml:space="preserve">比例</w:t>
      </w:r>
      <w:r>
        <w:rPr>
          <w:rStyle w:val="715"/>
          <w:rFonts w:hint="eastAsia" w:ascii="方正魏碑_GBK" w:hAnsi="方正魏碑_GBK" w:eastAsia="方正魏碑_GBK" w:cs="方正魏碑_GBK"/>
          <w:i w:val="0"/>
          <w:strike/>
          <w:u w:val="single"/>
          <w:shd w:val="clear" w:color="auto" w:fill="ffffff"/>
        </w:rPr>
        <w:t xml:space="preserve">）</w:t>
      </w:r>
      <w:r>
        <w:rPr>
          <w:rStyle w:val="715"/>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15"/>
          <w:rFonts w:hint="eastAsia" w:ascii="方正魏碑_GBK" w:hAnsi="方正魏碑_GBK" w:eastAsia="方正魏碑_GBK" w:cs="方正魏碑_GBK"/>
          <w:i w:val="0"/>
          <w:strike/>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15"/>
          <w:rFonts w:hint="eastAsia" w:ascii="方正魏碑_GBK" w:hAnsi="方正魏碑_GBK" w:eastAsia="方正魏碑_GBK" w:cs="方正魏碑_GBK"/>
          <w:i w:val="0"/>
          <w:strike/>
          <w:u w:val="single"/>
          <w:shd w:val="clear" w:color="auto" w:fill="ffffff"/>
        </w:rPr>
        <w:t xml:space="preserve">（关键</w:t>
      </w:r>
      <w:r>
        <w:rPr>
          <w:rStyle w:val="715"/>
          <w:rFonts w:ascii="方正魏碑_GBK" w:hAnsi="方正魏碑_GBK" w:eastAsia="方正魏碑_GBK" w:cs="方正魏碑_GBK"/>
          <w:i w:val="0"/>
          <w:strike/>
          <w:u w:val="single"/>
          <w:shd w:val="clear" w:color="auto" w:fill="ffffff"/>
        </w:rPr>
        <w:t xml:space="preserve">组件</w:t>
      </w:r>
      <w:r>
        <w:rPr>
          <w:rStyle w:val="715"/>
          <w:rFonts w:hint="eastAsia" w:ascii="方正魏碑_GBK" w:hAnsi="方正魏碑_GBK" w:eastAsia="方正魏碑_GBK" w:cs="方正魏碑_GBK"/>
          <w:i w:val="0"/>
          <w:strike/>
          <w:u w:val="single"/>
          <w:shd w:val="clear" w:color="auto" w:fill="ffffff"/>
        </w:rPr>
        <w:t xml:space="preserve">）</w:t>
      </w:r>
      <w:r>
        <w:rPr>
          <w:rStyle w:val="715"/>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15"/>
          <w:rFonts w:hint="eastAsia" w:ascii="方正魏碑_GBK" w:hAnsi="方正魏碑_GBK" w:eastAsia="方正魏碑_GBK" w:cs="方正魏碑_GBK"/>
          <w:i w:val="0"/>
          <w:strike/>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15"/>
          <w:rFonts w:hint="eastAsia" w:ascii="方正魏碑_GBK" w:hAnsi="方正魏碑_GBK" w:eastAsia="方正魏碑_GBK" w:cs="方正魏碑_GBK"/>
          <w:i w:val="0"/>
          <w:strike/>
          <w:u w:val="single"/>
          <w:shd w:val="clear" w:color="auto" w:fill="ffffff"/>
        </w:rPr>
        <w:t xml:space="preserve">（关键工序）</w:t>
      </w:r>
      <w:r>
        <w:rPr>
          <w:rStyle w:val="715"/>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04"/>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715"/>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15"/>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15"/>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15"/>
          <w:rFonts w:hint="eastAsia" w:ascii="方正魏碑_GBK" w:hAnsi="方正魏碑_GBK" w:eastAsia="方正魏碑_GBK" w:cs="方正魏碑_GBK"/>
          <w:i w:val="0"/>
          <w:strike/>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15"/>
          <w:rFonts w:hint="eastAsia" w:ascii="方正魏碑_GBK" w:hAnsi="方正魏碑_GBK" w:eastAsia="方正魏碑_GBK" w:cs="方正魏碑_GBK"/>
          <w:i w:val="0"/>
          <w:strike/>
          <w:u w:val="single"/>
          <w:shd w:val="clear" w:color="auto" w:fill="ffffff"/>
        </w:rPr>
        <w:t xml:space="preserve">（规定</w:t>
      </w:r>
      <w:r>
        <w:rPr>
          <w:rStyle w:val="715"/>
          <w:rFonts w:ascii="方正魏碑_GBK" w:hAnsi="方正魏碑_GBK" w:eastAsia="方正魏碑_GBK" w:cs="方正魏碑_GBK"/>
          <w:i w:val="0"/>
          <w:strike/>
          <w:u w:val="single"/>
          <w:shd w:val="clear" w:color="auto" w:fill="ffffff"/>
        </w:rPr>
        <w:t xml:space="preserve">比例</w:t>
      </w:r>
      <w:r>
        <w:rPr>
          <w:rStyle w:val="715"/>
          <w:rFonts w:hint="eastAsia" w:ascii="方正魏碑_GBK" w:hAnsi="方正魏碑_GBK" w:eastAsia="方正魏碑_GBK" w:cs="方正魏碑_GBK"/>
          <w:i w:val="0"/>
          <w:strike/>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15"/>
          <w:rFonts w:hint="eastAsia" w:ascii="方正魏碑_GBK" w:hAnsi="方正魏碑_GBK" w:eastAsia="方正魏碑_GBK" w:cs="方正魏碑_GBK"/>
          <w:i w:val="0"/>
          <w:strike/>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15"/>
          <w:rFonts w:hint="eastAsia" w:ascii="方正魏碑_GBK" w:hAnsi="方正魏碑_GBK" w:eastAsia="方正魏碑_GBK" w:cs="方正魏碑_GBK"/>
          <w:i w:val="0"/>
          <w:strike/>
          <w:u w:val="single"/>
          <w:shd w:val="clear" w:color="auto" w:fill="ffffff"/>
        </w:rPr>
        <w:t xml:space="preserve">（关键</w:t>
      </w:r>
      <w:r>
        <w:rPr>
          <w:rStyle w:val="715"/>
          <w:rFonts w:ascii="方正魏碑_GBK" w:hAnsi="方正魏碑_GBK" w:eastAsia="方正魏碑_GBK" w:cs="方正魏碑_GBK"/>
          <w:i w:val="0"/>
          <w:strike/>
          <w:u w:val="single"/>
          <w:shd w:val="clear" w:color="auto" w:fill="ffffff"/>
        </w:rPr>
        <w:t xml:space="preserve">组件</w:t>
      </w:r>
      <w:r>
        <w:rPr>
          <w:rStyle w:val="715"/>
          <w:rFonts w:hint="eastAsia" w:ascii="方正魏碑_GBK" w:hAnsi="方正魏碑_GBK" w:eastAsia="方正魏碑_GBK" w:cs="方正魏碑_GBK"/>
          <w:i w:val="0"/>
          <w:strike/>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15"/>
          <w:rFonts w:hint="eastAsia" w:ascii="方正魏碑_GBK" w:hAnsi="方正魏碑_GBK" w:eastAsia="方正魏碑_GBK" w:cs="方正魏碑_GBK"/>
          <w:i w:val="0"/>
          <w:strike/>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15"/>
          <w:rFonts w:hint="eastAsia" w:ascii="方正魏碑_GBK" w:hAnsi="方正魏碑_GBK" w:eastAsia="方正魏碑_GBK" w:cs="方正魏碑_GBK"/>
          <w:i w:val="0"/>
          <w:strike/>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04"/>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04"/>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04"/>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04"/>
        <w:ind w:right="480" w:firstLine="3720"/>
        <w:spacing w:before="30" w:beforeAutospacing="0" w:after="30" w:afterAutospacing="0" w:line="0" w:lineRule="atLeas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704"/>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04"/>
        <w:jc w:val="center"/>
        <w:spacing w:before="30" w:beforeAutospacing="0" w:after="30" w:afterAutospacing="0" w:line="0" w:lineRule="atLeast"/>
        <w:rPr>
          <w:rFonts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 </w:t>
      </w:r>
      <w:r/>
    </w:p>
    <w:p>
      <w:pPr>
        <w:pStyle w:val="704"/>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日期：　   年　  月　  日         </w:t>
      </w:r>
      <w:r/>
    </w:p>
    <w:p>
      <w:pPr>
        <w:pStyle w:val="704"/>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0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0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0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0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04"/>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04"/>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6.用删除线划除的地方无需填写。</w:t>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42"/>
      <w:bookmarkEnd w:id="143"/>
      <w:bookmarkEnd w:id="159"/>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方正魏碑_GBK" w:hAnsi="方正魏碑_GBK" w:eastAsia="方正魏碑_GBK" w:cs="方正魏碑_GBK"/>
          <w:b/>
          <w:sz w:val="24"/>
          <w:szCs w:val="24"/>
        </w:rPr>
        <w:t xml:space="preserve">附件11  </w:t>
      </w:r>
      <w:r/>
    </w:p>
    <w:p>
      <w:pPr>
        <w:jc w:val="center"/>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t xml:space="preserve">签字(签章)：                   公章：                      </w:t>
      </w:r>
      <w:r/>
    </w:p>
    <w:p>
      <w:pPr>
        <w:rPr>
          <w:rFonts w:hint="eastAsia" w:ascii="宋体" w:hAnsi="宋体"/>
          <w:color w:val="000000"/>
          <w:sz w:val="24"/>
          <w:szCs w:val="24"/>
        </w:rPr>
      </w:pPr>
      <w:r>
        <w:rPr>
          <w:rFonts w:hint="eastAsia" w:ascii="宋体" w:hAnsi="宋体"/>
          <w:color w:val="000000"/>
          <w:sz w:val="24"/>
          <w:szCs w:val="24"/>
        </w:rPr>
        <w:t xml:space="preserve">日期：    </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sz w:val="24"/>
          <w:szCs w:val="24"/>
        </w:rPr>
        <w:t xml:space="preserve">附件12  </w:t>
      </w:r>
      <w:r/>
    </w:p>
    <w:p>
      <w:pPr>
        <w:jc w:val="center"/>
        <w:spacing w:line="360" w:lineRule="auto"/>
        <w:rPr>
          <w:rFonts w:ascii="方正小标宋简体" w:eastAsia="方正小标宋简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rPr>
      </w:pPr>
      <w:r>
        <w:rPr>
          <w:rFonts w:eastAsia="仿宋_GB2312"/>
          <w:sz w:val="32"/>
        </w:rPr>
      </w:r>
      <w:r/>
    </w:p>
    <w:p>
      <w:pPr>
        <w:spacing w:line="360" w:lineRule="auto"/>
        <w:rPr>
          <w:rFonts w:eastAsia="仿宋_GB2312"/>
          <w:sz w:val="32"/>
        </w:rPr>
      </w:pPr>
      <w:r>
        <w:rPr>
          <w:rFonts w:hint="eastAsia" w:eastAsia="仿宋_GB2312"/>
          <w:sz w:val="32"/>
        </w:rPr>
        <w:t xml:space="preserve">各政府采购供应商：</w:t>
      </w:r>
      <w:r/>
    </w:p>
    <w:p>
      <w:pPr>
        <w:ind w:firstLine="640"/>
        <w:spacing w:line="360" w:lineRule="auto"/>
        <w:rPr>
          <w:rFonts w:eastAsia="仿宋_GB2312"/>
          <w:sz w:val="32"/>
        </w:rPr>
      </w:pPr>
      <w:r>
        <w:rPr>
          <w:rFonts w:hint="eastAsia" w:eastAsia="仿宋_GB2312"/>
          <w:sz w:val="32"/>
        </w:rPr>
        <w:t xml:space="preserve">欢迎贵公司参与南通市政府采购活动！</w:t>
      </w:r>
      <w:r/>
    </w:p>
    <w:p>
      <w:pPr>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p>
    <w:p>
      <w:pPr>
        <w:ind w:firstLine="640"/>
        <w:spacing w:line="360" w:lineRule="auto"/>
        <w:rPr>
          <w:rFonts w:eastAsia="仿宋_GB2312"/>
          <w:sz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745"/>
        <w:rPr>
          <w:sz w:val="32"/>
        </w:rPr>
      </w:pPr>
      <w:r>
        <w:rPr>
          <w:sz w:val="32"/>
        </w:rPr>
      </w:r>
      <w:r/>
    </w:p>
    <w:p>
      <w:pPr>
        <w:pStyle w:val="745"/>
        <w:rPr>
          <w:sz w:val="32"/>
        </w:rPr>
      </w:pPr>
      <w:r>
        <w:rPr>
          <w:sz w:val="32"/>
        </w:rPr>
      </w:r>
      <w:r/>
    </w:p>
    <w:p>
      <w:pPr>
        <w:pStyle w:val="745"/>
        <w:rPr>
          <w:sz w:val="32"/>
        </w:rPr>
      </w:pPr>
      <w:r>
        <w:rPr>
          <w:sz w:val="32"/>
        </w:rPr>
      </w:r>
      <w:r/>
    </w:p>
    <w:p>
      <w:pPr>
        <w:pStyle w:val="745"/>
        <w:rPr>
          <w:sz w:val="32"/>
        </w:rPr>
      </w:pPr>
      <w:r>
        <w:rPr>
          <w:sz w:val="32"/>
        </w:rPr>
      </w:r>
      <w:r/>
    </w:p>
    <w:p>
      <w:pPr>
        <w:pStyle w:val="745"/>
        <w:rPr>
          <w:sz w:val="32"/>
        </w:rPr>
      </w:pPr>
      <w:r>
        <w:rPr>
          <w:sz w:val="32"/>
        </w:rPr>
      </w:r>
      <w:r/>
    </w:p>
    <w:p>
      <w:pPr>
        <w:pStyle w:val="745"/>
        <w:ind w:firstLine="0"/>
        <w:rPr>
          <w:sz w:val="32"/>
        </w:rPr>
      </w:pPr>
      <w:r>
        <w:rPr>
          <w:sz w:val="32"/>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howcard Gothic">
    <w:panose1 w:val="04020904020102020604"/>
  </w:font>
  <w:font w:name="仿宋">
    <w:panose1 w:val="02010609060101010101"/>
  </w:font>
  <w:font w:name="等线">
    <w:panose1 w:val="02010600030101010101"/>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rPr>
        <w:rStyle w:val="713"/>
        <w:rFonts w:hint="eastAsia" w:ascii="宋体" w:hAnsi="宋体"/>
      </w:rPr>
      <w:framePr w:wrap="around" w:vAnchor="text" w:hAnchor="margin" w:xAlign="center" w:y="1"/>
    </w:pPr>
    <w:r>
      <w:rPr>
        <w:rFonts w:ascii="宋体" w:hAnsi="宋体"/>
      </w:rPr>
      <w:fldChar w:fldCharType="begin"/>
    </w:r>
    <w:r>
      <w:rPr>
        <w:rStyle w:val="713"/>
        <w:rFonts w:ascii="宋体" w:hAnsi="宋体"/>
      </w:rPr>
      <w:instrText xml:space="preserve">PAGE  </w:instrText>
    </w:r>
    <w:r>
      <w:rPr>
        <w:rFonts w:ascii="宋体" w:hAnsi="宋体"/>
      </w:rPr>
      <w:fldChar w:fldCharType="separate"/>
    </w:r>
    <w:r>
      <w:rPr>
        <w:rStyle w:val="713"/>
        <w:rFonts w:ascii="宋体" w:hAnsi="宋体"/>
      </w:rPr>
      <w:t xml:space="preserve">53</w:t>
    </w:r>
    <w:r>
      <w:rPr>
        <w:rFonts w:ascii="宋体" w:hAnsi="宋体"/>
      </w:rPr>
      <w:fldChar w:fldCharType="end"/>
    </w:r>
    <w:r/>
  </w:p>
  <w:p>
    <w:pPr>
      <w:pStyle w:val="69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rPr>
        <w:rStyle w:val="713"/>
      </w:rPr>
      <w:framePr w:wrap="around" w:vAnchor="text" w:hAnchor="margin" w:xAlign="center" w:y="1"/>
    </w:pPr>
    <w:r>
      <w:fldChar w:fldCharType="begin"/>
    </w:r>
    <w:r>
      <w:rPr>
        <w:rStyle w:val="713"/>
      </w:rPr>
      <w:instrText xml:space="preserve">PAGE  </w:instrText>
    </w:r>
    <w:r>
      <w:fldChar w:fldCharType="separate"/>
    </w:r>
    <w:r>
      <w:rPr>
        <w:rStyle w:val="713"/>
      </w:rPr>
      <w:t xml:space="preserve">1</w:t>
    </w:r>
    <w:r>
      <w:fldChar w:fldCharType="end"/>
    </w:r>
    <w:r/>
  </w:p>
  <w:p>
    <w:pPr>
      <w:pStyle w:val="6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66"/>
      <w:isLgl w:val="false"/>
      <w:suff w:val="nothing"/>
      <w:lvlText w:val=""/>
      <w:lvlJc w:val="left"/>
      <w:pPr>
        <w:ind w:left="0" w:firstLine="0"/>
      </w:pPr>
      <w:rPr>
        <w:rFonts w:hint="eastAsia"/>
      </w:rPr>
    </w:lvl>
    <w:lvl w:ilvl="6">
      <w:start w:val="1"/>
      <w:numFmt w:val="none"/>
      <w:pStyle w:val="667"/>
      <w:isLgl w:val="false"/>
      <w:suff w:val="nothing"/>
      <w:lvlText w:val=""/>
      <w:lvlJc w:val="left"/>
      <w:pPr>
        <w:ind w:left="0" w:firstLine="0"/>
      </w:pPr>
      <w:rPr>
        <w:rFonts w:hint="eastAsia"/>
      </w:rPr>
    </w:lvl>
    <w:lvl w:ilvl="7">
      <w:start w:val="1"/>
      <w:numFmt w:val="none"/>
      <w:pStyle w:val="668"/>
      <w:isLgl w:val="false"/>
      <w:suff w:val="nothing"/>
      <w:lvlText w:val=""/>
      <w:lvlJc w:val="left"/>
      <w:pPr>
        <w:ind w:left="0" w:firstLine="0"/>
      </w:pPr>
      <w:rPr>
        <w:rFonts w:hint="eastAsia"/>
      </w:rPr>
    </w:lvl>
    <w:lvl w:ilvl="8">
      <w:start w:val="1"/>
      <w:numFmt w:val="none"/>
      <w:pStyle w:val="66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3.%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rPr>
        <w:rFonts w:hint="default" w:ascii="等线" w:hAnsi="等线" w:eastAsia="等线" w:cstheme="minorBidi"/>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94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1">
    <w:name w:val="Heading 1"/>
    <w:basedOn w:val="660"/>
    <w:next w:val="660"/>
    <w:link w:val="896"/>
    <w:uiPriority w:val="0"/>
    <w:qFormat/>
    <w:pPr>
      <w:jc w:val="center"/>
      <w:keepNext/>
      <w:outlineLvl w:val="0"/>
    </w:pPr>
    <w:rPr>
      <w:rFonts w:ascii="楷体_GB2312" w:eastAsia="楷体_GB2312"/>
      <w:sz w:val="28"/>
      <w:szCs w:val="28"/>
    </w:rPr>
  </w:style>
  <w:style w:type="paragraph" w:styleId="662">
    <w:name w:val="Heading 2"/>
    <w:basedOn w:val="660"/>
    <w:next w:val="672"/>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3">
    <w:name w:val="Heading 3"/>
    <w:basedOn w:val="660"/>
    <w:next w:val="672"/>
    <w:link w:val="899"/>
    <w:uiPriority w:val="0"/>
    <w:qFormat/>
    <w:pPr>
      <w:keepLines/>
      <w:keepNext/>
      <w:spacing w:before="260" w:after="260" w:line="416" w:lineRule="auto"/>
      <w:outlineLvl w:val="2"/>
    </w:pPr>
    <w:rPr>
      <w:b/>
      <w:bCs/>
      <w:sz w:val="32"/>
      <w:szCs w:val="32"/>
    </w:rPr>
  </w:style>
  <w:style w:type="paragraph" w:styleId="664">
    <w:name w:val="Heading 4"/>
    <w:basedOn w:val="660"/>
    <w:next w:val="672"/>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665">
    <w:name w:val="Heading 5"/>
    <w:basedOn w:val="660"/>
    <w:next w:val="672"/>
    <w:link w:val="901"/>
    <w:uiPriority w:val="0"/>
    <w:qFormat/>
    <w:pPr>
      <w:keepNext/>
      <w:outlineLvl w:val="4"/>
    </w:pPr>
    <w:rPr>
      <w:rFonts w:ascii="宋体"/>
      <w:color w:val="000000"/>
      <w:sz w:val="28"/>
      <w:szCs w:val="28"/>
    </w:rPr>
  </w:style>
  <w:style w:type="paragraph" w:styleId="666">
    <w:name w:val="Heading 6"/>
    <w:basedOn w:val="660"/>
    <w:next w:val="660"/>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7">
    <w:name w:val="Heading 7"/>
    <w:basedOn w:val="660"/>
    <w:next w:val="660"/>
    <w:link w:val="903"/>
    <w:uiPriority w:val="0"/>
    <w:qFormat/>
    <w:pPr>
      <w:numPr>
        <w:ilvl w:val="6"/>
        <w:numId w:val="1"/>
      </w:numPr>
      <w:keepLines/>
      <w:keepNext/>
      <w:spacing w:before="240" w:after="64" w:line="320" w:lineRule="auto"/>
      <w:outlineLvl w:val="6"/>
    </w:pPr>
    <w:rPr>
      <w:b/>
      <w:bCs/>
      <w:sz w:val="24"/>
      <w:szCs w:val="24"/>
    </w:rPr>
  </w:style>
  <w:style w:type="paragraph" w:styleId="668">
    <w:name w:val="Heading 8"/>
    <w:basedOn w:val="660"/>
    <w:next w:val="660"/>
    <w:link w:val="9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9">
    <w:name w:val="Heading 9"/>
    <w:basedOn w:val="660"/>
    <w:next w:val="660"/>
    <w:link w:val="905"/>
    <w:uiPriority w:val="0"/>
    <w:qFormat/>
    <w:pPr>
      <w:numPr>
        <w:ilvl w:val="8"/>
        <w:numId w:val="1"/>
      </w:numPr>
      <w:keepLines/>
      <w:keepNext/>
      <w:spacing w:before="240" w:after="64" w:line="320" w:lineRule="auto"/>
      <w:outlineLvl w:val="8"/>
    </w:pPr>
    <w:rPr>
      <w:rFonts w:ascii="Arial" w:hAnsi="Arial" w:eastAsia="黑体"/>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Normal Indent"/>
    <w:basedOn w:val="660"/>
    <w:link w:val="898"/>
    <w:uiPriority w:val="0"/>
    <w:qFormat/>
    <w:pPr>
      <w:ind w:firstLine="420"/>
    </w:pPr>
    <w:rPr>
      <w:szCs w:val="21"/>
    </w:rPr>
  </w:style>
  <w:style w:type="paragraph" w:styleId="673">
    <w:name w:val="List 3"/>
    <w:basedOn w:val="660"/>
    <w:uiPriority w:val="0"/>
    <w:qFormat/>
    <w:pPr>
      <w:ind w:left="100" w:hanging="200"/>
    </w:pPr>
    <w:rPr>
      <w:szCs w:val="21"/>
    </w:rPr>
  </w:style>
  <w:style w:type="paragraph" w:styleId="674">
    <w:name w:val="toc 7"/>
    <w:basedOn w:val="660"/>
    <w:next w:val="660"/>
    <w:uiPriority w:val="0"/>
    <w:semiHidden/>
    <w:qFormat/>
    <w:pPr>
      <w:ind w:left="1260"/>
      <w:jc w:val="left"/>
    </w:pPr>
    <w:rPr>
      <w:szCs w:val="21"/>
    </w:rPr>
  </w:style>
  <w:style w:type="paragraph" w:styleId="675">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Document Map"/>
    <w:basedOn w:val="660"/>
    <w:link w:val="906"/>
    <w:uiPriority w:val="0"/>
    <w:semiHidden/>
    <w:qFormat/>
    <w:pPr>
      <w:shd w:val="clear" w:color="auto" w:fill="000080"/>
    </w:pPr>
    <w:rPr>
      <w:szCs w:val="21"/>
    </w:rPr>
  </w:style>
  <w:style w:type="paragraph" w:styleId="677">
    <w:name w:val="annotation text"/>
    <w:basedOn w:val="660"/>
    <w:link w:val="907"/>
    <w:uiPriority w:val="0"/>
    <w:unhideWhenUsed/>
    <w:qFormat/>
    <w:pPr>
      <w:jc w:val="left"/>
    </w:pPr>
  </w:style>
  <w:style w:type="paragraph" w:styleId="678">
    <w:name w:val="Body Text 3"/>
    <w:basedOn w:val="660"/>
    <w:link w:val="908"/>
    <w:uiPriority w:val="0"/>
    <w:qFormat/>
    <w:rPr>
      <w:rFonts w:ascii="仿宋_GB2312" w:hAnsi="Arial" w:eastAsia="仿宋_GB2312"/>
      <w:sz w:val="32"/>
      <w:szCs w:val="32"/>
    </w:rPr>
  </w:style>
  <w:style w:type="paragraph" w:styleId="679">
    <w:name w:val="Body Text"/>
    <w:basedOn w:val="660"/>
    <w:link w:val="909"/>
    <w:uiPriority w:val="0"/>
    <w:qFormat/>
    <w:rPr>
      <w:rFonts w:ascii="楷体_GB2312" w:hAnsi="Arial" w:eastAsia="楷体_GB2312"/>
      <w:sz w:val="28"/>
      <w:szCs w:val="28"/>
    </w:rPr>
  </w:style>
  <w:style w:type="paragraph" w:styleId="680">
    <w:name w:val="Body Text Indent"/>
    <w:basedOn w:val="660"/>
    <w:next w:val="681"/>
    <w:link w:val="895"/>
    <w:uiPriority w:val="0"/>
    <w:unhideWhenUsed/>
    <w:qFormat/>
    <w:pPr>
      <w:ind w:left="420"/>
      <w:spacing w:after="120"/>
    </w:pPr>
  </w:style>
  <w:style w:type="paragraph" w:styleId="681">
    <w:name w:val="envelope return"/>
    <w:basedOn w:val="660"/>
    <w:uiPriority w:val="99"/>
    <w:unhideWhenUsed/>
    <w:qFormat/>
    <w:rPr>
      <w:rFonts w:ascii="Arial" w:hAnsi="Arial"/>
    </w:rPr>
  </w:style>
  <w:style w:type="paragraph" w:styleId="682">
    <w:name w:val="List 2"/>
    <w:basedOn w:val="660"/>
    <w:uiPriority w:val="0"/>
    <w:qFormat/>
    <w:pPr>
      <w:ind w:left="100" w:hanging="200"/>
    </w:pPr>
    <w:rPr>
      <w:szCs w:val="21"/>
    </w:rPr>
  </w:style>
  <w:style w:type="paragraph" w:styleId="683">
    <w:name w:val="toc 5"/>
    <w:basedOn w:val="660"/>
    <w:next w:val="660"/>
    <w:uiPriority w:val="0"/>
    <w:semiHidden/>
    <w:qFormat/>
    <w:pPr>
      <w:ind w:left="840"/>
      <w:jc w:val="left"/>
    </w:pPr>
    <w:rPr>
      <w:szCs w:val="21"/>
    </w:rPr>
  </w:style>
  <w:style w:type="paragraph" w:styleId="684">
    <w:name w:val="toc 3"/>
    <w:basedOn w:val="660"/>
    <w:next w:val="660"/>
    <w:uiPriority w:val="0"/>
    <w:semiHidden/>
    <w:qFormat/>
    <w:pPr>
      <w:ind w:left="420"/>
      <w:jc w:val="left"/>
    </w:pPr>
    <w:rPr>
      <w:i/>
      <w:iCs/>
      <w:szCs w:val="24"/>
    </w:rPr>
  </w:style>
  <w:style w:type="paragraph" w:styleId="685">
    <w:name w:val="Plain Text"/>
    <w:basedOn w:val="660"/>
    <w:link w:val="910"/>
    <w:uiPriority w:val="0"/>
    <w:qFormat/>
    <w:rPr>
      <w:rFonts w:ascii="宋体" w:hAnsi="Courier New" w:cs="Courier New"/>
      <w:szCs w:val="21"/>
    </w:rPr>
  </w:style>
  <w:style w:type="paragraph" w:styleId="686">
    <w:name w:val="toc 8"/>
    <w:basedOn w:val="660"/>
    <w:next w:val="660"/>
    <w:uiPriority w:val="0"/>
    <w:semiHidden/>
    <w:qFormat/>
    <w:pPr>
      <w:ind w:left="1470"/>
      <w:jc w:val="left"/>
    </w:pPr>
    <w:rPr>
      <w:szCs w:val="21"/>
    </w:rPr>
  </w:style>
  <w:style w:type="paragraph" w:styleId="687">
    <w:name w:val="Date"/>
    <w:basedOn w:val="660"/>
    <w:next w:val="660"/>
    <w:link w:val="911"/>
    <w:uiPriority w:val="0"/>
    <w:qFormat/>
    <w:rPr>
      <w:sz w:val="24"/>
      <w:szCs w:val="24"/>
    </w:rPr>
  </w:style>
  <w:style w:type="paragraph" w:styleId="688">
    <w:name w:val="Body Text Indent 2"/>
    <w:basedOn w:val="660"/>
    <w:link w:val="912"/>
    <w:uiPriority w:val="0"/>
    <w:qFormat/>
    <w:pPr>
      <w:ind w:left="630" w:firstLine="645"/>
    </w:pPr>
    <w:rPr>
      <w:rFonts w:ascii="Arial" w:hAnsi="Arial" w:eastAsia="仿宋_GB2312" w:cs="Arial"/>
      <w:sz w:val="32"/>
      <w:szCs w:val="32"/>
    </w:rPr>
  </w:style>
  <w:style w:type="paragraph" w:styleId="689">
    <w:name w:val="endnote text"/>
    <w:basedOn w:val="660"/>
    <w:link w:val="892"/>
    <w:uiPriority w:val="99"/>
    <w:semiHidden/>
    <w:unhideWhenUsed/>
    <w:qFormat/>
    <w:rPr>
      <w:sz w:val="20"/>
    </w:rPr>
  </w:style>
  <w:style w:type="paragraph" w:styleId="690">
    <w:name w:val="Balloon Text"/>
    <w:basedOn w:val="660"/>
    <w:link w:val="913"/>
    <w:uiPriority w:val="0"/>
    <w:semiHidden/>
    <w:qFormat/>
    <w:rPr>
      <w:sz w:val="18"/>
      <w:szCs w:val="18"/>
    </w:rPr>
  </w:style>
  <w:style w:type="paragraph" w:styleId="691">
    <w:name w:val="Footer"/>
    <w:basedOn w:val="660"/>
    <w:link w:val="914"/>
    <w:uiPriority w:val="99"/>
    <w:qFormat/>
    <w:pPr>
      <w:jc w:val="left"/>
      <w:tabs>
        <w:tab w:val="center" w:pos="4153" w:leader="none"/>
        <w:tab w:val="right" w:pos="8306" w:leader="none"/>
      </w:tabs>
    </w:pPr>
    <w:rPr>
      <w:sz w:val="18"/>
      <w:szCs w:val="18"/>
    </w:rPr>
  </w:style>
  <w:style w:type="paragraph" w:styleId="692">
    <w:name w:val="Header"/>
    <w:basedOn w:val="660"/>
    <w:link w:val="915"/>
    <w:uiPriority w:val="0"/>
    <w:qFormat/>
    <w:pPr>
      <w:jc w:val="center"/>
      <w:tabs>
        <w:tab w:val="center" w:pos="4153" w:leader="none"/>
        <w:tab w:val="right" w:pos="8306" w:leader="none"/>
      </w:tabs>
      <w:pBdr>
        <w:bottom w:val="single" w:color="auto" w:sz="6" w:space="1"/>
      </w:pBdr>
    </w:pPr>
    <w:rPr>
      <w:sz w:val="18"/>
      <w:szCs w:val="18"/>
    </w:rPr>
  </w:style>
  <w:style w:type="paragraph" w:styleId="693">
    <w:name w:val="toc 1"/>
    <w:basedOn w:val="660"/>
    <w:next w:val="660"/>
    <w:uiPriority w:val="0"/>
    <w:semiHidden/>
    <w:qFormat/>
    <w:pPr>
      <w:jc w:val="left"/>
      <w:spacing w:before="120" w:after="120" w:line="400" w:lineRule="exact"/>
      <w:tabs>
        <w:tab w:val="right" w:pos="8720" w:leader="dot"/>
      </w:tabs>
    </w:pPr>
    <w:rPr>
      <w:rFonts w:ascii="宋体" w:hAnsi="宋体"/>
      <w:caps/>
      <w:sz w:val="24"/>
      <w:szCs w:val="24"/>
    </w:rPr>
  </w:style>
  <w:style w:type="paragraph" w:styleId="694">
    <w:name w:val="toc 4"/>
    <w:basedOn w:val="660"/>
    <w:next w:val="660"/>
    <w:uiPriority w:val="0"/>
    <w:semiHidden/>
    <w:qFormat/>
    <w:pPr>
      <w:ind w:left="630"/>
      <w:jc w:val="left"/>
    </w:pPr>
    <w:rPr>
      <w:szCs w:val="21"/>
    </w:rPr>
  </w:style>
  <w:style w:type="paragraph" w:styleId="695">
    <w:name w:val="Subtitle"/>
    <w:basedOn w:val="660"/>
    <w:next w:val="660"/>
    <w:link w:val="758"/>
    <w:uiPriority w:val="11"/>
    <w:qFormat/>
    <w:pPr>
      <w:spacing w:before="200" w:after="200"/>
    </w:pPr>
    <w:rPr>
      <w:sz w:val="24"/>
      <w:szCs w:val="24"/>
    </w:rPr>
  </w:style>
  <w:style w:type="paragraph" w:styleId="696">
    <w:name w:val="List"/>
    <w:basedOn w:val="660"/>
    <w:uiPriority w:val="0"/>
    <w:qFormat/>
    <w:pPr>
      <w:ind w:left="200" w:hanging="200"/>
    </w:pPr>
    <w:rPr>
      <w:szCs w:val="21"/>
    </w:rPr>
  </w:style>
  <w:style w:type="paragraph" w:styleId="697">
    <w:name w:val="footnote text"/>
    <w:basedOn w:val="660"/>
    <w:link w:val="891"/>
    <w:uiPriority w:val="99"/>
    <w:semiHidden/>
    <w:unhideWhenUsed/>
    <w:qFormat/>
    <w:pPr>
      <w:spacing w:after="40"/>
    </w:pPr>
    <w:rPr>
      <w:sz w:val="18"/>
    </w:rPr>
  </w:style>
  <w:style w:type="paragraph" w:styleId="698">
    <w:name w:val="toc 6"/>
    <w:basedOn w:val="660"/>
    <w:next w:val="660"/>
    <w:uiPriority w:val="0"/>
    <w:semiHidden/>
    <w:qFormat/>
    <w:pPr>
      <w:ind w:left="1050"/>
      <w:jc w:val="left"/>
    </w:pPr>
    <w:rPr>
      <w:szCs w:val="21"/>
    </w:rPr>
  </w:style>
  <w:style w:type="paragraph" w:styleId="699">
    <w:name w:val="Body Text Indent 3"/>
    <w:basedOn w:val="660"/>
    <w:link w:val="916"/>
    <w:uiPriority w:val="0"/>
    <w:qFormat/>
    <w:pPr>
      <w:ind w:left="645" w:firstLine="645"/>
    </w:pPr>
    <w:rPr>
      <w:rFonts w:ascii="Arial" w:hAnsi="Arial" w:eastAsia="仿宋_GB2312" w:cs="Arial"/>
      <w:color w:val="ffff00"/>
      <w:sz w:val="32"/>
      <w:szCs w:val="32"/>
    </w:rPr>
  </w:style>
  <w:style w:type="paragraph" w:styleId="700">
    <w:name w:val="table of figures"/>
    <w:basedOn w:val="660"/>
    <w:next w:val="660"/>
    <w:uiPriority w:val="0"/>
    <w:semiHidden/>
    <w:qFormat/>
    <w:pPr>
      <w:ind w:left="840" w:hanging="420"/>
    </w:pPr>
    <w:rPr>
      <w:szCs w:val="21"/>
    </w:rPr>
  </w:style>
  <w:style w:type="paragraph" w:styleId="701">
    <w:name w:val="toc 2"/>
    <w:basedOn w:val="660"/>
    <w:next w:val="660"/>
    <w:uiPriority w:val="0"/>
    <w:semiHidden/>
    <w:qFormat/>
    <w:pPr>
      <w:ind w:left="210"/>
      <w:jc w:val="left"/>
    </w:pPr>
    <w:rPr>
      <w:smallCaps/>
      <w:szCs w:val="24"/>
    </w:rPr>
  </w:style>
  <w:style w:type="paragraph" w:styleId="702">
    <w:name w:val="toc 9"/>
    <w:basedOn w:val="660"/>
    <w:next w:val="660"/>
    <w:uiPriority w:val="0"/>
    <w:semiHidden/>
    <w:qFormat/>
    <w:pPr>
      <w:ind w:left="1680"/>
      <w:jc w:val="left"/>
    </w:pPr>
    <w:rPr>
      <w:szCs w:val="21"/>
    </w:rPr>
  </w:style>
  <w:style w:type="paragraph" w:styleId="703">
    <w:name w:val="Body Text 2"/>
    <w:basedOn w:val="660"/>
    <w:link w:val="917"/>
    <w:uiPriority w:val="0"/>
    <w:qFormat/>
    <w:pPr>
      <w:jc w:val="center"/>
      <w:widowControl/>
    </w:pPr>
    <w:rPr>
      <w:rFonts w:ascii="楷体_GB2312" w:eastAsia="楷体_GB2312"/>
      <w:sz w:val="28"/>
      <w:szCs w:val="28"/>
    </w:rPr>
  </w:style>
  <w:style w:type="paragraph" w:styleId="704">
    <w:name w:val="Normal (Web)"/>
    <w:basedOn w:val="660"/>
    <w:uiPriority w:val="99"/>
    <w:qFormat/>
    <w:pPr>
      <w:jc w:val="left"/>
      <w:spacing w:before="100" w:beforeAutospacing="1" w:after="100" w:afterAutospacing="1"/>
      <w:widowControl/>
    </w:pPr>
    <w:rPr>
      <w:rFonts w:ascii="宋体" w:hAnsi="宋体" w:cs="宋体"/>
      <w:sz w:val="24"/>
      <w:szCs w:val="24"/>
    </w:rPr>
  </w:style>
  <w:style w:type="paragraph" w:styleId="705">
    <w:name w:val="index 1"/>
    <w:basedOn w:val="660"/>
    <w:next w:val="660"/>
    <w:uiPriority w:val="0"/>
    <w:semiHidden/>
    <w:qFormat/>
    <w:pPr>
      <w:spacing w:line="240" w:lineRule="atLeast"/>
    </w:pPr>
    <w:rPr>
      <w:b/>
      <w:bCs/>
      <w:szCs w:val="21"/>
    </w:rPr>
  </w:style>
  <w:style w:type="paragraph" w:styleId="706">
    <w:name w:val="Title"/>
    <w:basedOn w:val="660"/>
    <w:next w:val="660"/>
    <w:link w:val="757"/>
    <w:uiPriority w:val="10"/>
    <w:qFormat/>
    <w:pPr>
      <w:contextualSpacing/>
      <w:spacing w:before="300" w:after="200"/>
    </w:pPr>
    <w:rPr>
      <w:sz w:val="48"/>
      <w:szCs w:val="48"/>
    </w:rPr>
  </w:style>
  <w:style w:type="paragraph" w:styleId="707">
    <w:name w:val="annotation subject"/>
    <w:basedOn w:val="677"/>
    <w:next w:val="677"/>
    <w:link w:val="918"/>
    <w:uiPriority w:val="0"/>
    <w:semiHidden/>
    <w:qFormat/>
    <w:rPr>
      <w:b/>
      <w:bCs/>
      <w:szCs w:val="21"/>
    </w:rPr>
  </w:style>
  <w:style w:type="paragraph" w:styleId="708">
    <w:name w:val="Body Text First Indent"/>
    <w:basedOn w:val="660"/>
    <w:link w:val="919"/>
    <w:uiPriority w:val="0"/>
    <w:qFormat/>
    <w:pPr>
      <w:ind w:firstLine="200"/>
      <w:spacing w:line="360" w:lineRule="auto"/>
    </w:pPr>
    <w:rPr>
      <w:rFonts w:ascii="仿宋_GB2312" w:eastAsia="仿宋_GB2312"/>
      <w:sz w:val="30"/>
      <w:szCs w:val="30"/>
    </w:rPr>
  </w:style>
  <w:style w:type="paragraph" w:styleId="709">
    <w:name w:val="Body Text First Indent 2"/>
    <w:basedOn w:val="680"/>
    <w:link w:val="920"/>
    <w:uiPriority w:val="0"/>
    <w:qFormat/>
    <w:pPr>
      <w:ind w:left="0" w:firstLine="420"/>
      <w:spacing w:after="0" w:line="360" w:lineRule="auto"/>
    </w:pPr>
    <w:rPr>
      <w:rFonts w:ascii="宋体" w:hAnsi="宋体"/>
      <w:szCs w:val="20"/>
    </w:rPr>
  </w:style>
  <w:style w:type="table" w:styleId="710">
    <w:name w:val="Table Grid"/>
    <w:basedOn w:val="6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Strong"/>
    <w:uiPriority w:val="0"/>
    <w:qFormat/>
    <w:rPr>
      <w:b/>
      <w:bCs/>
    </w:rPr>
  </w:style>
  <w:style w:type="character" w:styleId="712">
    <w:name w:val="endnote reference"/>
    <w:basedOn w:val="670"/>
    <w:uiPriority w:val="99"/>
    <w:semiHidden/>
    <w:unhideWhenUsed/>
    <w:qFormat/>
    <w:rPr>
      <w:vertAlign w:val="superscript"/>
    </w:rPr>
  </w:style>
  <w:style w:type="character" w:styleId="713">
    <w:name w:val="page number"/>
    <w:uiPriority w:val="0"/>
    <w:qFormat/>
  </w:style>
  <w:style w:type="character" w:styleId="714">
    <w:name w:val="FollowedHyperlink"/>
    <w:uiPriority w:val="0"/>
    <w:qFormat/>
    <w:rPr>
      <w:color w:val="800080"/>
      <w:u w:val="single"/>
    </w:rPr>
  </w:style>
  <w:style w:type="character" w:styleId="715">
    <w:name w:val="Emphasis"/>
    <w:uiPriority w:val="0"/>
    <w:qFormat/>
    <w:rPr>
      <w:i/>
    </w:rPr>
  </w:style>
  <w:style w:type="character" w:styleId="716">
    <w:name w:val="Hyperlink"/>
    <w:uiPriority w:val="0"/>
    <w:qFormat/>
    <w:rPr>
      <w:color w:val="0000ff"/>
      <w:u w:val="single"/>
    </w:rPr>
  </w:style>
  <w:style w:type="character" w:styleId="717">
    <w:name w:val="annotation reference"/>
    <w:uiPriority w:val="0"/>
    <w:semiHidden/>
    <w:qFormat/>
    <w:rPr>
      <w:sz w:val="21"/>
      <w:szCs w:val="21"/>
    </w:rPr>
  </w:style>
  <w:style w:type="character" w:styleId="718">
    <w:name w:val="footnote reference"/>
    <w:basedOn w:val="670"/>
    <w:uiPriority w:val="99"/>
    <w:unhideWhenUsed/>
    <w:qFormat/>
    <w:rPr>
      <w:vertAlign w:val="superscript"/>
    </w:rPr>
  </w:style>
  <w:style w:type="character" w:styleId="719" w:customStyle="1">
    <w:name w:val="Title Char"/>
    <w:basedOn w:val="670"/>
    <w:uiPriority w:val="10"/>
    <w:qFormat/>
    <w:rPr>
      <w:sz w:val="48"/>
      <w:szCs w:val="48"/>
    </w:rPr>
  </w:style>
  <w:style w:type="character" w:styleId="720" w:customStyle="1">
    <w:name w:val="Subtitle Char"/>
    <w:basedOn w:val="670"/>
    <w:uiPriority w:val="11"/>
    <w:qFormat/>
    <w:rPr>
      <w:sz w:val="24"/>
      <w:szCs w:val="24"/>
    </w:rPr>
  </w:style>
  <w:style w:type="character" w:styleId="721" w:customStyle="1">
    <w:name w:val="Quote Char"/>
    <w:uiPriority w:val="29"/>
    <w:qFormat/>
    <w:rPr>
      <w:i/>
    </w:rPr>
  </w:style>
  <w:style w:type="character" w:styleId="722" w:customStyle="1">
    <w:name w:val="Intense Quote Char"/>
    <w:uiPriority w:val="30"/>
    <w:qFormat/>
    <w:rPr>
      <w:i/>
    </w:rPr>
  </w:style>
  <w:style w:type="table" w:styleId="723" w:customStyle="1">
    <w:name w:val="Plain Table 1"/>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3"/>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basedOn w:val="6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5 Dark"/>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6 Colorful"/>
    <w:basedOn w:val="6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4" w:customStyle="1">
    <w:name w:val="Grid Table 7 Colorful"/>
    <w:basedOn w:val="6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List Table 1 Light"/>
    <w:basedOn w:val="6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7" w:customStyle="1">
    <w:name w:val="List Table 3"/>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8" w:customStyle="1">
    <w:name w:val="List Table 4"/>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5 Dark"/>
    <w:basedOn w:val="6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0" w:customStyle="1">
    <w:name w:val="List Table 6 Colorful"/>
    <w:basedOn w:val="6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1" w:customStyle="1">
    <w:name w:val="List Table 7 Colorful"/>
    <w:basedOn w:val="6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2" w:customStyle="1">
    <w:name w:val="Footnote Text Char"/>
    <w:uiPriority w:val="99"/>
    <w:qFormat/>
    <w:rPr>
      <w:sz w:val="18"/>
    </w:rPr>
  </w:style>
  <w:style w:type="character" w:styleId="743" w:customStyle="1">
    <w:name w:val="Endnote Text Char"/>
    <w:uiPriority w:val="99"/>
    <w:qFormat/>
    <w:rPr>
      <w:sz w:val="20"/>
    </w:rPr>
  </w:style>
  <w:style w:type="paragraph" w:styleId="744" w:customStyle="1">
    <w:name w:val="TOC Heading"/>
    <w:uiPriority w:val="39"/>
    <w:unhideWhenUsed/>
    <w:qFormat/>
    <w:rPr>
      <w:rFonts w:hint="default" w:ascii="Times New Roman" w:hAnsi="Times New Roman" w:eastAsia="宋体" w:cs="Times New Roman"/>
    </w:rPr>
  </w:style>
  <w:style w:type="paragraph" w:styleId="745" w:customStyle="1">
    <w:name w:val="正文首行缩进1"/>
    <w:basedOn w:val="746"/>
    <w:uiPriority w:val="0"/>
    <w:qFormat/>
    <w:pPr>
      <w:ind w:firstLine="200"/>
      <w:spacing w:line="360" w:lineRule="auto"/>
    </w:pPr>
    <w:rPr>
      <w:rFonts w:ascii="仿宋_GB2312" w:hAnsi="Times New Roman" w:eastAsia="仿宋_GB2312"/>
      <w:sz w:val="30"/>
      <w:szCs w:val="30"/>
    </w:rPr>
  </w:style>
  <w:style w:type="paragraph" w:styleId="746" w:customStyle="1">
    <w:name w:val="正文文本1"/>
    <w:basedOn w:val="747"/>
    <w:next w:val="660"/>
    <w:uiPriority w:val="99"/>
    <w:unhideWhenUsed/>
    <w:qFormat/>
    <w:rPr>
      <w:rFonts w:ascii="??_GB2312" w:hAnsi="??_GB2312"/>
      <w:sz w:val="28"/>
      <w:szCs w:val="28"/>
    </w:rPr>
  </w:style>
  <w:style w:type="paragraph" w:styleId="747" w:customStyle="1">
    <w:name w:val="正文11"/>
    <w:next w:val="746"/>
    <w:uiPriority w:val="0"/>
    <w:qFormat/>
    <w:pPr>
      <w:jc w:val="both"/>
      <w:widowControl w:val="off"/>
    </w:pPr>
    <w:rPr>
      <w:rFonts w:hint="default" w:ascii="Calibri" w:hAnsi="Calibri" w:eastAsia="宋体" w:cs="Times New Roman"/>
      <w:sz w:val="21"/>
      <w:szCs w:val="21"/>
      <w:lang w:val="en-US" w:eastAsia="zh-CN" w:bidi="ar-SA"/>
    </w:rPr>
  </w:style>
  <w:style w:type="character" w:styleId="748" w:customStyle="1">
    <w:name w:val="Heading 1 Char"/>
    <w:basedOn w:val="670"/>
    <w:uiPriority w:val="9"/>
    <w:qFormat/>
    <w:rPr>
      <w:rFonts w:ascii="Arial" w:hAnsi="Arial" w:eastAsia="Arial" w:cs="Arial"/>
      <w:sz w:val="40"/>
      <w:szCs w:val="40"/>
    </w:rPr>
  </w:style>
  <w:style w:type="character" w:styleId="749" w:customStyle="1">
    <w:name w:val="Heading 2 Char"/>
    <w:basedOn w:val="670"/>
    <w:uiPriority w:val="9"/>
    <w:qFormat/>
    <w:rPr>
      <w:rFonts w:ascii="Arial" w:hAnsi="Arial" w:eastAsia="Arial" w:cs="Arial"/>
      <w:sz w:val="34"/>
    </w:rPr>
  </w:style>
  <w:style w:type="character" w:styleId="750" w:customStyle="1">
    <w:name w:val="Heading 3 Char"/>
    <w:basedOn w:val="670"/>
    <w:uiPriority w:val="9"/>
    <w:qFormat/>
    <w:rPr>
      <w:rFonts w:ascii="Arial" w:hAnsi="Arial" w:eastAsia="Arial" w:cs="Arial"/>
      <w:sz w:val="30"/>
      <w:szCs w:val="30"/>
    </w:rPr>
  </w:style>
  <w:style w:type="character" w:styleId="751" w:customStyle="1">
    <w:name w:val="Heading 4 Char"/>
    <w:basedOn w:val="670"/>
    <w:uiPriority w:val="9"/>
    <w:qFormat/>
    <w:rPr>
      <w:rFonts w:ascii="Arial" w:hAnsi="Arial" w:eastAsia="Arial" w:cs="Arial"/>
      <w:b/>
      <w:bCs/>
      <w:sz w:val="26"/>
      <w:szCs w:val="26"/>
    </w:rPr>
  </w:style>
  <w:style w:type="character" w:styleId="752" w:customStyle="1">
    <w:name w:val="Heading 5 Char"/>
    <w:basedOn w:val="670"/>
    <w:uiPriority w:val="9"/>
    <w:qFormat/>
    <w:rPr>
      <w:rFonts w:ascii="Arial" w:hAnsi="Arial" w:eastAsia="Arial" w:cs="Arial"/>
      <w:b/>
      <w:bCs/>
      <w:sz w:val="24"/>
      <w:szCs w:val="24"/>
    </w:rPr>
  </w:style>
  <w:style w:type="character" w:styleId="753" w:customStyle="1">
    <w:name w:val="Heading 6 Char"/>
    <w:basedOn w:val="670"/>
    <w:uiPriority w:val="9"/>
    <w:qFormat/>
    <w:rPr>
      <w:rFonts w:ascii="Arial" w:hAnsi="Arial" w:eastAsia="Arial" w:cs="Arial"/>
      <w:b/>
      <w:bCs/>
      <w:sz w:val="22"/>
      <w:szCs w:val="22"/>
    </w:rPr>
  </w:style>
  <w:style w:type="character" w:styleId="754" w:customStyle="1">
    <w:name w:val="Heading 7 Char"/>
    <w:basedOn w:val="670"/>
    <w:uiPriority w:val="9"/>
    <w:qFormat/>
    <w:rPr>
      <w:rFonts w:ascii="Arial" w:hAnsi="Arial" w:eastAsia="Arial" w:cs="Arial"/>
      <w:b/>
      <w:bCs/>
      <w:i/>
      <w:iCs/>
      <w:sz w:val="22"/>
      <w:szCs w:val="22"/>
    </w:rPr>
  </w:style>
  <w:style w:type="character" w:styleId="755" w:customStyle="1">
    <w:name w:val="Heading 8 Char"/>
    <w:basedOn w:val="670"/>
    <w:uiPriority w:val="9"/>
    <w:qFormat/>
    <w:rPr>
      <w:rFonts w:ascii="Arial" w:hAnsi="Arial" w:eastAsia="Arial" w:cs="Arial"/>
      <w:i/>
      <w:iCs/>
      <w:sz w:val="22"/>
      <w:szCs w:val="22"/>
    </w:rPr>
  </w:style>
  <w:style w:type="character" w:styleId="756" w:customStyle="1">
    <w:name w:val="Heading 9 Char"/>
    <w:basedOn w:val="670"/>
    <w:uiPriority w:val="9"/>
    <w:qFormat/>
    <w:rPr>
      <w:rFonts w:ascii="Arial" w:hAnsi="Arial" w:eastAsia="Arial" w:cs="Arial"/>
      <w:i/>
      <w:iCs/>
      <w:sz w:val="21"/>
      <w:szCs w:val="21"/>
    </w:rPr>
  </w:style>
  <w:style w:type="character" w:styleId="757" w:customStyle="1">
    <w:name w:val="标题 字符"/>
    <w:basedOn w:val="670"/>
    <w:link w:val="706"/>
    <w:uiPriority w:val="10"/>
    <w:qFormat/>
    <w:rPr>
      <w:sz w:val="48"/>
      <w:szCs w:val="48"/>
    </w:rPr>
  </w:style>
  <w:style w:type="character" w:styleId="758" w:customStyle="1">
    <w:name w:val="副标题 字符"/>
    <w:basedOn w:val="670"/>
    <w:link w:val="695"/>
    <w:uiPriority w:val="11"/>
    <w:qFormat/>
    <w:rPr>
      <w:sz w:val="24"/>
      <w:szCs w:val="24"/>
    </w:rPr>
  </w:style>
  <w:style w:type="paragraph" w:styleId="759">
    <w:name w:val="Quote"/>
    <w:basedOn w:val="660"/>
    <w:next w:val="660"/>
    <w:link w:val="760"/>
    <w:uiPriority w:val="29"/>
    <w:qFormat/>
    <w:pPr>
      <w:ind w:left="720" w:right="720"/>
    </w:pPr>
    <w:rPr>
      <w:i/>
    </w:rPr>
  </w:style>
  <w:style w:type="character" w:styleId="760" w:customStyle="1">
    <w:name w:val="引用 字符"/>
    <w:link w:val="759"/>
    <w:uiPriority w:val="29"/>
    <w:qFormat/>
    <w:rPr>
      <w:i/>
    </w:rPr>
  </w:style>
  <w:style w:type="paragraph" w:styleId="761">
    <w:name w:val="Intense Quote"/>
    <w:basedOn w:val="660"/>
    <w:next w:val="660"/>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字符"/>
    <w:link w:val="761"/>
    <w:uiPriority w:val="30"/>
    <w:qFormat/>
    <w:rPr>
      <w:i/>
    </w:rPr>
  </w:style>
  <w:style w:type="character" w:styleId="763" w:customStyle="1">
    <w:name w:val="Header Char"/>
    <w:basedOn w:val="670"/>
    <w:uiPriority w:val="99"/>
    <w:qFormat/>
  </w:style>
  <w:style w:type="character" w:styleId="764" w:customStyle="1">
    <w:name w:val="Footer Char"/>
    <w:basedOn w:val="670"/>
    <w:uiPriority w:val="99"/>
    <w:qFormat/>
  </w:style>
  <w:style w:type="character" w:styleId="765" w:customStyle="1">
    <w:name w:val="Caption Char"/>
    <w:uiPriority w:val="99"/>
    <w:qFormat/>
  </w:style>
  <w:style w:type="table" w:styleId="766" w:customStyle="1">
    <w:name w:val="Table Grid Light"/>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7" w:customStyle="1">
    <w:name w:val="无格式表格 1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6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6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6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6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6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6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网格表 2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6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6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6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6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67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67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网格表 3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6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6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6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6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67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67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67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basedOn w:val="67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basedOn w:val="67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basedOn w:val="67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basedOn w:val="67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basedOn w:val="67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网格表 5 深色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网格表 6 彩色1"/>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basedOn w:val="67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basedOn w:val="6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basedOn w:val="67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1" w:customStyle="1">
    <w:name w:val="Grid Table 6 Colorful - Accent 4"/>
    <w:basedOn w:val="6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basedOn w:val="67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basedOn w:val="67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网格表 7 彩色1"/>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67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67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67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67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67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67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清单表 1 浅色1"/>
    <w:basedOn w:val="6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67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67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67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67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67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67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清单表 21"/>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basedOn w:val="67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basedOn w:val="67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basedOn w:val="67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basedOn w:val="67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basedOn w:val="67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basedOn w:val="67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清单表 3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67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basedOn w:val="6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67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6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67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67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清单表 4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67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basedOn w:val="67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basedOn w:val="67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basedOn w:val="67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basedOn w:val="67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basedOn w:val="67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清单表 5 深色1"/>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basedOn w:val="67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basedOn w:val="67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basedOn w:val="67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basedOn w:val="67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basedOn w:val="67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basedOn w:val="67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清单表 6 彩色1"/>
    <w:basedOn w:val="6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basedOn w:val="67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basedOn w:val="67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basedOn w:val="67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basedOn w:val="67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basedOn w:val="67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basedOn w:val="67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清单表 7 彩色1"/>
    <w:basedOn w:val="6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67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67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67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67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67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67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basedOn w:val="6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67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basedOn w:val="67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basedOn w:val="67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basedOn w:val="67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basedOn w:val="67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basedOn w:val="67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basedOn w:val="6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6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basedOn w:val="6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basedOn w:val="6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basedOn w:val="6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basedOn w:val="6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basedOn w:val="6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字符"/>
    <w:link w:val="697"/>
    <w:uiPriority w:val="99"/>
    <w:qFormat/>
    <w:rPr>
      <w:sz w:val="18"/>
    </w:rPr>
  </w:style>
  <w:style w:type="character" w:styleId="892" w:customStyle="1">
    <w:name w:val="尾注文本 字符"/>
    <w:link w:val="689"/>
    <w:uiPriority w:val="99"/>
    <w:qFormat/>
    <w:rPr>
      <w:sz w:val="20"/>
    </w:rPr>
  </w:style>
  <w:style w:type="paragraph" w:styleId="893" w:customStyle="1">
    <w:name w:val="TOC 标题1"/>
    <w:uiPriority w:val="39"/>
    <w:unhideWhenUsed/>
    <w:qFormat/>
    <w:rPr>
      <w:rFonts w:hint="default" w:ascii="Times New Roman" w:hAnsi="Times New Roman" w:eastAsia="宋体" w:cs="Times New Roman"/>
      <w:lang w:val="en-US" w:eastAsia="zh-CN" w:bidi="ar-SA"/>
    </w:rPr>
  </w:style>
  <w:style w:type="paragraph" w:styleId="894"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895" w:customStyle="1">
    <w:name w:val="正文文本缩进 字符"/>
    <w:link w:val="680"/>
    <w:uiPriority w:val="99"/>
    <w:semiHidden/>
    <w:qFormat/>
  </w:style>
  <w:style w:type="character" w:styleId="896" w:customStyle="1">
    <w:name w:val="标题 1 字符"/>
    <w:link w:val="661"/>
    <w:uiPriority w:val="0"/>
    <w:qFormat/>
    <w:rPr>
      <w:rFonts w:ascii="楷体_GB2312" w:hAnsi="Times New Roman" w:eastAsia="楷体_GB2312" w:cs="Times New Roman"/>
      <w:sz w:val="28"/>
      <w:szCs w:val="28"/>
    </w:rPr>
  </w:style>
  <w:style w:type="character" w:styleId="897" w:customStyle="1">
    <w:name w:val="标题 2 字符"/>
    <w:link w:val="662"/>
    <w:uiPriority w:val="0"/>
    <w:qFormat/>
    <w:rPr>
      <w:rFonts w:ascii="Arial" w:hAnsi="Arial" w:eastAsia="幼圆" w:cs="Arial"/>
      <w:b/>
      <w:bCs/>
      <w:sz w:val="44"/>
      <w:szCs w:val="44"/>
    </w:rPr>
  </w:style>
  <w:style w:type="character" w:styleId="898" w:customStyle="1">
    <w:name w:val="正文缩进 字符"/>
    <w:link w:val="672"/>
    <w:uiPriority w:val="0"/>
    <w:qFormat/>
    <w:rPr>
      <w:szCs w:val="21"/>
    </w:rPr>
  </w:style>
  <w:style w:type="character" w:styleId="899" w:customStyle="1">
    <w:name w:val="标题 3 字符"/>
    <w:link w:val="663"/>
    <w:uiPriority w:val="0"/>
    <w:qFormat/>
    <w:rPr>
      <w:rFonts w:ascii="Times New Roman" w:hAnsi="Times New Roman" w:eastAsia="宋体" w:cs="Times New Roman"/>
      <w:b/>
      <w:bCs/>
      <w:sz w:val="32"/>
      <w:szCs w:val="32"/>
    </w:rPr>
  </w:style>
  <w:style w:type="character" w:styleId="900" w:customStyle="1">
    <w:name w:val="标题 4 字符"/>
    <w:link w:val="664"/>
    <w:uiPriority w:val="0"/>
    <w:qFormat/>
    <w:rPr>
      <w:rFonts w:ascii="Arial" w:hAnsi="Arial" w:eastAsia="黑体" w:cs="Arial"/>
      <w:b/>
      <w:bCs/>
      <w:sz w:val="28"/>
      <w:szCs w:val="28"/>
    </w:rPr>
  </w:style>
  <w:style w:type="character" w:styleId="901" w:customStyle="1">
    <w:name w:val="标题 5 字符"/>
    <w:link w:val="665"/>
    <w:uiPriority w:val="0"/>
    <w:qFormat/>
    <w:rPr>
      <w:rFonts w:ascii="宋体" w:hAnsi="Times New Roman" w:eastAsia="宋体" w:cs="Times New Roman"/>
      <w:color w:val="000000"/>
      <w:sz w:val="28"/>
      <w:szCs w:val="28"/>
    </w:rPr>
  </w:style>
  <w:style w:type="character" w:styleId="902" w:customStyle="1">
    <w:name w:val="标题 6 字符"/>
    <w:link w:val="666"/>
    <w:uiPriority w:val="0"/>
    <w:qFormat/>
    <w:rPr>
      <w:rFonts w:ascii="Arial" w:hAnsi="Arial" w:eastAsia="黑体" w:cs="Times New Roman"/>
      <w:b/>
      <w:bCs/>
      <w:sz w:val="24"/>
      <w:szCs w:val="24"/>
    </w:rPr>
  </w:style>
  <w:style w:type="character" w:styleId="903" w:customStyle="1">
    <w:name w:val="标题 7 字符"/>
    <w:link w:val="667"/>
    <w:uiPriority w:val="0"/>
    <w:qFormat/>
    <w:rPr>
      <w:rFonts w:ascii="Times New Roman" w:hAnsi="Times New Roman" w:eastAsia="宋体" w:cs="Times New Roman"/>
      <w:b/>
      <w:bCs/>
      <w:sz w:val="24"/>
      <w:szCs w:val="24"/>
    </w:rPr>
  </w:style>
  <w:style w:type="character" w:styleId="904" w:customStyle="1">
    <w:name w:val="标题 8 字符"/>
    <w:link w:val="668"/>
    <w:uiPriority w:val="0"/>
    <w:qFormat/>
    <w:rPr>
      <w:rFonts w:ascii="Arial" w:hAnsi="Arial" w:eastAsia="黑体" w:cs="Times New Roman"/>
      <w:sz w:val="24"/>
      <w:szCs w:val="24"/>
    </w:rPr>
  </w:style>
  <w:style w:type="character" w:styleId="905" w:customStyle="1">
    <w:name w:val="标题 9 字符"/>
    <w:link w:val="669"/>
    <w:uiPriority w:val="0"/>
    <w:qFormat/>
    <w:rPr>
      <w:rFonts w:ascii="Arial" w:hAnsi="Arial" w:eastAsia="黑体" w:cs="Times New Roman"/>
      <w:szCs w:val="21"/>
    </w:rPr>
  </w:style>
  <w:style w:type="character" w:styleId="906" w:customStyle="1">
    <w:name w:val="文档结构图 字符"/>
    <w:link w:val="676"/>
    <w:uiPriority w:val="0"/>
    <w:semiHidden/>
    <w:qFormat/>
    <w:rPr>
      <w:rFonts w:ascii="Times New Roman" w:hAnsi="Times New Roman" w:eastAsia="宋体" w:cs="Times New Roman"/>
      <w:szCs w:val="21"/>
      <w:shd w:val="clear" w:color="auto" w:fill="000080"/>
    </w:rPr>
  </w:style>
  <w:style w:type="character" w:styleId="907" w:customStyle="1">
    <w:name w:val="批注文字 字符"/>
    <w:link w:val="677"/>
    <w:uiPriority w:val="99"/>
    <w:semiHidden/>
    <w:qFormat/>
  </w:style>
  <w:style w:type="character" w:styleId="908" w:customStyle="1">
    <w:name w:val="正文文本 3 字符"/>
    <w:link w:val="678"/>
    <w:uiPriority w:val="0"/>
    <w:qFormat/>
    <w:rPr>
      <w:rFonts w:ascii="仿宋_GB2312" w:hAnsi="Arial" w:eastAsia="仿宋_GB2312" w:cs="Times New Roman"/>
      <w:sz w:val="32"/>
      <w:szCs w:val="32"/>
    </w:rPr>
  </w:style>
  <w:style w:type="character" w:styleId="909" w:customStyle="1">
    <w:name w:val="正文文本 字符"/>
    <w:link w:val="679"/>
    <w:uiPriority w:val="0"/>
    <w:qFormat/>
    <w:rPr>
      <w:rFonts w:ascii="楷体_GB2312" w:hAnsi="Arial" w:eastAsia="楷体_GB2312" w:cs="Times New Roman"/>
      <w:sz w:val="28"/>
      <w:szCs w:val="28"/>
    </w:rPr>
  </w:style>
  <w:style w:type="character" w:styleId="910" w:customStyle="1">
    <w:name w:val="纯文本 字符"/>
    <w:link w:val="685"/>
    <w:uiPriority w:val="0"/>
    <w:qFormat/>
    <w:rPr>
      <w:rFonts w:ascii="宋体" w:hAnsi="Courier New" w:eastAsia="宋体" w:cs="Courier New"/>
      <w:szCs w:val="21"/>
    </w:rPr>
  </w:style>
  <w:style w:type="character" w:styleId="911" w:customStyle="1">
    <w:name w:val="日期 字符"/>
    <w:link w:val="687"/>
    <w:uiPriority w:val="0"/>
    <w:qFormat/>
    <w:rPr>
      <w:rFonts w:ascii="Times New Roman" w:hAnsi="Times New Roman" w:eastAsia="宋体" w:cs="Times New Roman"/>
      <w:sz w:val="24"/>
      <w:szCs w:val="24"/>
    </w:rPr>
  </w:style>
  <w:style w:type="character" w:styleId="912" w:customStyle="1">
    <w:name w:val="正文文本缩进 2 字符"/>
    <w:link w:val="688"/>
    <w:uiPriority w:val="0"/>
    <w:qFormat/>
    <w:rPr>
      <w:rFonts w:ascii="Arial" w:hAnsi="Arial" w:eastAsia="仿宋_GB2312" w:cs="Arial"/>
      <w:sz w:val="32"/>
      <w:szCs w:val="32"/>
    </w:rPr>
  </w:style>
  <w:style w:type="character" w:styleId="913" w:customStyle="1">
    <w:name w:val="批注框文本 字符"/>
    <w:link w:val="690"/>
    <w:uiPriority w:val="0"/>
    <w:semiHidden/>
    <w:qFormat/>
    <w:rPr>
      <w:rFonts w:ascii="Times New Roman" w:hAnsi="Times New Roman" w:eastAsia="宋体" w:cs="Times New Roman"/>
      <w:sz w:val="18"/>
      <w:szCs w:val="18"/>
    </w:rPr>
  </w:style>
  <w:style w:type="character" w:styleId="914" w:customStyle="1">
    <w:name w:val="页脚 字符"/>
    <w:link w:val="691"/>
    <w:uiPriority w:val="99"/>
    <w:qFormat/>
    <w:rPr>
      <w:rFonts w:ascii="Times New Roman" w:hAnsi="Times New Roman" w:eastAsia="宋体" w:cs="Times New Roman"/>
      <w:sz w:val="18"/>
      <w:szCs w:val="18"/>
    </w:rPr>
  </w:style>
  <w:style w:type="character" w:styleId="915" w:customStyle="1">
    <w:name w:val="页眉 字符"/>
    <w:link w:val="692"/>
    <w:uiPriority w:val="0"/>
    <w:qFormat/>
    <w:rPr>
      <w:rFonts w:ascii="Times New Roman" w:hAnsi="Times New Roman" w:eastAsia="宋体" w:cs="Times New Roman"/>
      <w:sz w:val="18"/>
      <w:szCs w:val="18"/>
    </w:rPr>
  </w:style>
  <w:style w:type="character" w:styleId="916" w:customStyle="1">
    <w:name w:val="正文文本缩进 3 字符"/>
    <w:link w:val="699"/>
    <w:uiPriority w:val="0"/>
    <w:qFormat/>
    <w:rPr>
      <w:rFonts w:ascii="Arial" w:hAnsi="Arial" w:eastAsia="仿宋_GB2312" w:cs="Arial"/>
      <w:color w:val="ffff00"/>
      <w:sz w:val="32"/>
      <w:szCs w:val="32"/>
    </w:rPr>
  </w:style>
  <w:style w:type="character" w:styleId="917" w:customStyle="1">
    <w:name w:val="正文文本 2 字符"/>
    <w:link w:val="703"/>
    <w:uiPriority w:val="0"/>
    <w:qFormat/>
    <w:rPr>
      <w:rFonts w:ascii="楷体_GB2312" w:hAnsi="Times New Roman" w:eastAsia="楷体_GB2312" w:cs="Times New Roman"/>
      <w:sz w:val="28"/>
      <w:szCs w:val="28"/>
    </w:rPr>
  </w:style>
  <w:style w:type="character" w:styleId="918" w:customStyle="1">
    <w:name w:val="批注主题 字符"/>
    <w:link w:val="707"/>
    <w:uiPriority w:val="0"/>
    <w:semiHidden/>
    <w:qFormat/>
    <w:rPr>
      <w:rFonts w:ascii="Times New Roman" w:hAnsi="Times New Roman" w:eastAsia="宋体" w:cs="Times New Roman"/>
      <w:b/>
      <w:bCs/>
      <w:szCs w:val="21"/>
    </w:rPr>
  </w:style>
  <w:style w:type="character" w:styleId="919" w:customStyle="1">
    <w:name w:val="正文文本首行缩进 字符"/>
    <w:link w:val="708"/>
    <w:uiPriority w:val="0"/>
    <w:qFormat/>
    <w:rPr>
      <w:rFonts w:ascii="仿宋_GB2312" w:hAnsi="Times New Roman" w:eastAsia="仿宋_GB2312" w:cs="Times New Roman"/>
      <w:sz w:val="30"/>
      <w:szCs w:val="30"/>
    </w:rPr>
  </w:style>
  <w:style w:type="character" w:styleId="920" w:customStyle="1">
    <w:name w:val="正文文本首行缩进 2 字符"/>
    <w:link w:val="709"/>
    <w:uiPriority w:val="0"/>
    <w:qFormat/>
    <w:rPr>
      <w:rFonts w:ascii="宋体" w:hAnsi="宋体" w:eastAsia="宋体" w:cs="Times New Roman"/>
      <w:szCs w:val="20"/>
    </w:rPr>
  </w:style>
  <w:style w:type="paragraph" w:styleId="921" w:customStyle="1">
    <w:name w:val="标准正文"/>
    <w:basedOn w:val="680"/>
    <w:uiPriority w:val="0"/>
    <w:qFormat/>
    <w:pPr>
      <w:ind w:firstLine="560"/>
      <w:spacing w:line="360" w:lineRule="auto"/>
    </w:pPr>
    <w:rPr>
      <w:sz w:val="24"/>
    </w:rPr>
  </w:style>
  <w:style w:type="character" w:styleId="922" w:customStyle="1">
    <w:name w:val="font5 Char"/>
    <w:uiPriority w:val="0"/>
    <w:qFormat/>
    <w:rPr>
      <w:rFonts w:ascii="宋体" w:hAnsi="宋体" w:eastAsia="宋体"/>
      <w:sz w:val="28"/>
      <w:szCs w:val="28"/>
      <w:lang w:val="en-US" w:eastAsia="zh-CN" w:bidi="ar-SA"/>
    </w:rPr>
  </w:style>
  <w:style w:type="character" w:styleId="923" w:customStyle="1">
    <w:name w:val="二级目录 Char"/>
    <w:link w:val="924"/>
    <w:uiPriority w:val="0"/>
    <w:qFormat/>
    <w:rPr>
      <w:b/>
      <w:sz w:val="30"/>
      <w:szCs w:val="28"/>
    </w:rPr>
  </w:style>
  <w:style w:type="paragraph" w:styleId="924" w:customStyle="1">
    <w:name w:val="二级目录"/>
    <w:next w:val="660"/>
    <w:link w:val="923"/>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5" w:customStyle="1">
    <w:name w:val="列出段落 Char"/>
    <w:link w:val="926"/>
    <w:uiPriority w:val="0"/>
    <w:qFormat/>
    <w:rPr>
      <w:rFonts w:ascii="Calibri" w:hAnsi="Calibri"/>
      <w:sz w:val="24"/>
      <w:szCs w:val="24"/>
      <w:lang w:eastAsia="en-US" w:bidi="en-US"/>
    </w:rPr>
  </w:style>
  <w:style w:type="paragraph" w:styleId="926" w:customStyle="1">
    <w:name w:val="列出段落1"/>
    <w:basedOn w:val="660"/>
    <w:link w:val="925"/>
    <w:uiPriority w:val="0"/>
    <w:qFormat/>
    <w:pPr>
      <w:contextualSpacing/>
      <w:ind w:left="720"/>
      <w:jc w:val="left"/>
      <w:widowControl/>
    </w:pPr>
    <w:rPr>
      <w:rFonts w:ascii="Calibri" w:hAnsi="Calibri"/>
      <w:sz w:val="24"/>
      <w:szCs w:val="24"/>
      <w:lang w:eastAsia="en-US" w:bidi="en-US"/>
    </w:rPr>
  </w:style>
  <w:style w:type="paragraph" w:styleId="927" w:customStyle="1">
    <w:name w:val="Body Text(ch)"/>
    <w:basedOn w:val="660"/>
    <w:next w:val="679"/>
    <w:uiPriority w:val="0"/>
    <w:qFormat/>
    <w:pPr>
      <w:spacing w:after="120"/>
    </w:pPr>
    <w:rPr>
      <w:rFonts w:ascii="宋体" w:hAnsi="Arial"/>
      <w:bCs/>
      <w:iCs/>
      <w:szCs w:val="24"/>
    </w:rPr>
  </w:style>
  <w:style w:type="paragraph" w:styleId="928" w:customStyle="1">
    <w:name w:val="xl27"/>
    <w:basedOn w:val="6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9" w:customStyle="1">
    <w:name w:val="xl2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0" w:customStyle="1">
    <w:name w:val="Char"/>
    <w:basedOn w:val="660"/>
    <w:uiPriority w:val="0"/>
    <w:qFormat/>
    <w:pPr>
      <w:ind w:firstLine="200"/>
      <w:tabs>
        <w:tab w:val="left" w:pos="360" w:leader="none"/>
      </w:tabs>
    </w:pPr>
    <w:rPr>
      <w:sz w:val="28"/>
      <w:szCs w:val="30"/>
    </w:rPr>
  </w:style>
  <w:style w:type="paragraph" w:styleId="931" w:customStyle="1">
    <w:name w:val="Char1"/>
    <w:basedOn w:val="676"/>
    <w:uiPriority w:val="0"/>
    <w:qFormat/>
    <w:rPr>
      <w:rFonts w:ascii="Tahoma" w:hAnsi="Tahoma"/>
      <w:sz w:val="24"/>
      <w:szCs w:val="24"/>
    </w:rPr>
  </w:style>
  <w:style w:type="paragraph" w:styleId="932" w:customStyle="1">
    <w:name w:val="普通正文"/>
    <w:basedOn w:val="894"/>
    <w:uiPriority w:val="0"/>
    <w:qFormat/>
    <w:pPr>
      <w:ind w:firstLine="480"/>
      <w:jc w:val="left"/>
      <w:spacing w:before="120" w:after="120" w:line="360" w:lineRule="auto"/>
    </w:pPr>
    <w:rPr>
      <w:rFonts w:ascii="Arial" w:hAnsi="Arial"/>
      <w:sz w:val="24"/>
      <w:szCs w:val="24"/>
    </w:rPr>
  </w:style>
  <w:style w:type="paragraph" w:styleId="933" w:customStyle="1">
    <w:name w:val="table_lines"/>
    <w:basedOn w:val="660"/>
    <w:uiPriority w:val="0"/>
    <w:qFormat/>
    <w:pPr>
      <w:jc w:val="left"/>
      <w:widowControl/>
    </w:pPr>
    <w:rPr>
      <w:sz w:val="20"/>
      <w:szCs w:val="20"/>
      <w:lang w:val="de-DE" w:eastAsia="de-DE"/>
    </w:rPr>
  </w:style>
  <w:style w:type="paragraph" w:styleId="93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5" w:customStyle="1">
    <w:name w:val="font7"/>
    <w:basedOn w:val="660"/>
    <w:uiPriority w:val="0"/>
    <w:qFormat/>
    <w:pPr>
      <w:jc w:val="left"/>
      <w:spacing w:before="100" w:beforeAutospacing="1" w:after="100" w:afterAutospacing="1"/>
      <w:widowControl/>
    </w:pPr>
    <w:rPr>
      <w:rFonts w:hint="eastAsia" w:ascii="宋体" w:hAnsi="宋体"/>
      <w:sz w:val="18"/>
      <w:szCs w:val="18"/>
    </w:rPr>
  </w:style>
  <w:style w:type="paragraph" w:styleId="936" w:customStyle="1">
    <w:name w:val="Char Char Char Char"/>
    <w:basedOn w:val="676"/>
    <w:uiPriority w:val="0"/>
    <w:qFormat/>
    <w:pPr>
      <w:spacing w:line="360" w:lineRule="auto"/>
    </w:pPr>
    <w:rPr>
      <w:rFonts w:ascii="Tahoma" w:hAnsi="Tahoma"/>
      <w:sz w:val="24"/>
      <w:szCs w:val="24"/>
    </w:rPr>
  </w:style>
  <w:style w:type="paragraph" w:styleId="937">
    <w:name w:val="List Paragraph"/>
    <w:basedOn w:val="660"/>
    <w:uiPriority w:val="0"/>
    <w:qFormat/>
    <w:pPr>
      <w:contextualSpacing/>
      <w:ind w:left="720"/>
      <w:jc w:val="left"/>
      <w:widowControl/>
    </w:pPr>
    <w:rPr>
      <w:rFonts w:ascii="Calibri" w:hAnsi="Calibri"/>
      <w:sz w:val="24"/>
      <w:szCs w:val="24"/>
      <w:lang w:eastAsia="en-US" w:bidi="en-US"/>
    </w:rPr>
  </w:style>
  <w:style w:type="paragraph" w:styleId="938" w:customStyle="1">
    <w:name w:val="4"/>
    <w:basedOn w:val="660"/>
    <w:next w:val="699"/>
    <w:uiPriority w:val="0"/>
    <w:qFormat/>
    <w:pPr>
      <w:ind w:firstLine="420"/>
      <w:spacing w:line="360" w:lineRule="auto"/>
    </w:pPr>
    <w:rPr>
      <w:color w:val="ff0000"/>
      <w:sz w:val="24"/>
      <w:szCs w:val="24"/>
    </w:rPr>
  </w:style>
  <w:style w:type="paragraph" w:styleId="939" w:customStyle="1">
    <w:name w:val="普通 (Web)"/>
    <w:basedOn w:val="660"/>
    <w:uiPriority w:val="0"/>
    <w:qFormat/>
    <w:pPr>
      <w:jc w:val="left"/>
      <w:spacing w:before="100" w:beforeAutospacing="1" w:after="100" w:afterAutospacing="1"/>
      <w:widowControl/>
    </w:pPr>
    <w:rPr>
      <w:rFonts w:ascii="宋体" w:hAnsi="宋体"/>
      <w:sz w:val="24"/>
      <w:szCs w:val="24"/>
    </w:rPr>
  </w:style>
  <w:style w:type="paragraph" w:styleId="940" w:customStyle="1">
    <w:name w:val="Char Char Char Char Char Char Char Char Char Char"/>
    <w:basedOn w:val="660"/>
    <w:uiPriority w:val="0"/>
    <w:qFormat/>
    <w:pPr>
      <w:spacing w:line="360" w:lineRule="auto"/>
    </w:pPr>
    <w:rPr>
      <w:sz w:val="24"/>
      <w:szCs w:val="20"/>
    </w:rPr>
  </w:style>
  <w:style w:type="paragraph" w:styleId="941" w:customStyle="1">
    <w:name w:val="样式1"/>
    <w:basedOn w:val="660"/>
    <w:uiPriority w:val="0"/>
    <w:qFormat/>
    <w:pPr>
      <w:numPr>
        <w:ilvl w:val="0"/>
        <w:numId w:val="3"/>
      </w:numPr>
    </w:pPr>
    <w:rPr>
      <w:rFonts w:ascii="宋体" w:hAnsi="宋体"/>
      <w:szCs w:val="21"/>
    </w:rPr>
  </w:style>
  <w:style w:type="paragraph" w:styleId="942" w:customStyle="1">
    <w:name w:val="font6"/>
    <w:basedOn w:val="660"/>
    <w:uiPriority w:val="0"/>
    <w:qFormat/>
    <w:pPr>
      <w:jc w:val="left"/>
      <w:spacing w:before="100" w:beforeAutospacing="1" w:after="100" w:afterAutospacing="1"/>
      <w:widowControl/>
    </w:pPr>
    <w:rPr>
      <w:rFonts w:hint="eastAsia" w:ascii="宋体" w:hAnsi="宋体"/>
      <w:sz w:val="28"/>
      <w:szCs w:val="28"/>
      <w:u w:val="single"/>
    </w:rPr>
  </w:style>
  <w:style w:type="paragraph" w:styleId="943" w:customStyle="1">
    <w:name w:val="xl25"/>
    <w:basedOn w:val="6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4" w:customStyle="1">
    <w:name w:val="图标"/>
    <w:basedOn w:val="660"/>
    <w:next w:val="6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5" w:customStyle="1">
    <w:name w:val="标题3"/>
    <w:basedOn w:val="660"/>
    <w:next w:val="660"/>
    <w:uiPriority w:val="0"/>
    <w:qFormat/>
    <w:pPr>
      <w:ind w:firstLine="624"/>
      <w:spacing w:line="590" w:lineRule="atLeast"/>
    </w:pPr>
    <w:rPr>
      <w:rFonts w:ascii="方正黑体_GBK" w:eastAsia="方正黑体_GBK"/>
      <w:sz w:val="32"/>
      <w:szCs w:val="32"/>
    </w:rPr>
  </w:style>
  <w:style w:type="paragraph" w:styleId="946" w:customStyle="1">
    <w:name w:val="xl24"/>
    <w:basedOn w:val="6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7" w:customStyle="1">
    <w:name w:val="xl29"/>
    <w:basedOn w:val="66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8" w:customStyle="1">
    <w:name w:val="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949" w:customStyle="1">
    <w:name w:val="xl28"/>
    <w:basedOn w:val="66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0" w:customStyle="1">
    <w:name w:val="Char Char Char Char Char Char Char Char1"/>
    <w:basedOn w:val="660"/>
    <w:uiPriority w:val="0"/>
    <w:qFormat/>
    <w:pPr>
      <w:jc w:val="left"/>
      <w:spacing w:after="160" w:line="240" w:lineRule="exact"/>
      <w:widowControl/>
    </w:pPr>
    <w:rPr>
      <w:rFonts w:ascii="Verdana" w:hAnsi="Verdana"/>
      <w:sz w:val="20"/>
      <w:szCs w:val="20"/>
      <w:lang w:eastAsia="en-US"/>
    </w:rPr>
  </w:style>
  <w:style w:type="paragraph" w:styleId="951" w:customStyle="1">
    <w:name w:val="xl30"/>
    <w:basedOn w:val="660"/>
    <w:uiPriority w:val="0"/>
    <w:qFormat/>
    <w:pPr>
      <w:jc w:val="center"/>
      <w:spacing w:before="100" w:beforeAutospacing="1" w:after="100" w:afterAutospacing="1"/>
      <w:widowControl/>
    </w:pPr>
    <w:rPr>
      <w:rFonts w:ascii="宋体" w:hAnsi="宋体"/>
      <w:b/>
      <w:bCs/>
      <w:sz w:val="36"/>
      <w:szCs w:val="36"/>
    </w:rPr>
  </w:style>
  <w:style w:type="paragraph" w:styleId="952" w:customStyle="1">
    <w:name w:val="Char Char Char Char1"/>
    <w:basedOn w:val="676"/>
    <w:uiPriority w:val="0"/>
    <w:qFormat/>
    <w:pPr>
      <w:spacing w:line="360" w:lineRule="auto"/>
    </w:pPr>
    <w:rPr>
      <w:rFonts w:ascii="Tahoma" w:hAnsi="Tahoma"/>
      <w:sz w:val="24"/>
      <w:szCs w:val="24"/>
    </w:rPr>
  </w:style>
  <w:style w:type="paragraph" w:styleId="953" w:customStyle="1">
    <w:name w:val="table_1stline"/>
    <w:basedOn w:val="660"/>
    <w:uiPriority w:val="0"/>
    <w:qFormat/>
    <w:pPr>
      <w:jc w:val="left"/>
      <w:spacing w:before="120"/>
      <w:widowControl/>
    </w:pPr>
    <w:rPr>
      <w:bCs/>
      <w:sz w:val="20"/>
      <w:szCs w:val="20"/>
      <w:lang w:val="de-DE" w:eastAsia="de-DE"/>
    </w:rPr>
  </w:style>
  <w:style w:type="paragraph" w:styleId="954" w:customStyle="1">
    <w:name w:val="font5"/>
    <w:basedOn w:val="660"/>
    <w:uiPriority w:val="0"/>
    <w:qFormat/>
    <w:pPr>
      <w:jc w:val="left"/>
      <w:spacing w:before="100" w:beforeAutospacing="1" w:after="100" w:afterAutospacing="1"/>
      <w:widowControl/>
    </w:pPr>
    <w:rPr>
      <w:rFonts w:hint="eastAsia" w:ascii="宋体" w:hAnsi="宋体"/>
      <w:sz w:val="28"/>
      <w:szCs w:val="28"/>
    </w:rPr>
  </w:style>
  <w:style w:type="paragraph" w:styleId="955" w:customStyle="1">
    <w:name w:val="标题1"/>
    <w:basedOn w:val="660"/>
    <w:next w:val="6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6" w:customStyle="1">
    <w:name w:val="_Style 117"/>
    <w:uiPriority w:val="99"/>
    <w:semiHidden/>
    <w:qFormat/>
    <w:rPr>
      <w:rFonts w:hint="default" w:ascii="Times New Roman" w:hAnsi="Times New Roman" w:eastAsia="宋体" w:cs="Times New Roman"/>
      <w:sz w:val="21"/>
      <w:szCs w:val="21"/>
      <w:lang w:val="en-US" w:eastAsia="zh-CN" w:bidi="ar-SA"/>
    </w:rPr>
  </w:style>
  <w:style w:type="paragraph" w:styleId="95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9" w:customStyle="1">
    <w:name w:val="普通(网站)1"/>
    <w:basedOn w:val="660"/>
    <w:uiPriority w:val="99"/>
    <w:qFormat/>
    <w:pPr>
      <w:jc w:val="left"/>
      <w:spacing w:before="100" w:beforeAutospacing="1" w:after="100" w:afterAutospacing="1"/>
      <w:widowControl/>
    </w:pPr>
    <w:rPr>
      <w:rFonts w:ascii="宋体" w:hAnsi="宋体" w:cs="宋体"/>
      <w:sz w:val="24"/>
      <w:szCs w:val="24"/>
    </w:rPr>
  </w:style>
  <w:style w:type="paragraph" w:styleId="960" w:customStyle="1">
    <w:name w:val="id_cd4f1ea78c22"/>
    <w:basedOn w:val="961"/>
    <w:uiPriority w:val="0"/>
    <w:qFormat/>
  </w:style>
  <w:style w:type="paragraph" w:styleId="961" w:customStyle="1">
    <w:name w:val="id_50d502b70904"/>
    <w:basedOn w:val="962"/>
    <w:uiPriority w:val="0"/>
    <w:qFormat/>
    <w:rPr>
      <w:rFonts w:ascii="Calibri" w:hAnsi="Calibri"/>
      <w:szCs w:val="22"/>
    </w:rPr>
  </w:style>
  <w:style w:type="paragraph" w:styleId="962" w:customStyle="1">
    <w:name w:val="id_a35878f94e57"/>
    <w:basedOn w:val="963"/>
    <w:uiPriority w:val="0"/>
    <w:qFormat/>
    <w:pPr>
      <w:jc w:val="both"/>
      <w:widowControl w:val="off"/>
    </w:pPr>
    <w:rPr>
      <w:sz w:val="21"/>
      <w:szCs w:val="24"/>
    </w:rPr>
  </w:style>
  <w:style w:type="paragraph" w:styleId="963" w:customStyle="1">
    <w:name w:val="id_faf749246cd6"/>
    <w:uiPriority w:val="0"/>
    <w:qFormat/>
    <w:rPr>
      <w:rFonts w:hint="default" w:ascii="Times New Roman" w:hAnsi="Times New Roman" w:eastAsia="宋体" w:cs="Times New Roman"/>
      <w:lang w:val="en-US" w:eastAsia="zh-CN" w:bidi="ar-SA"/>
    </w:rPr>
  </w:style>
  <w:style w:type="paragraph" w:styleId="964" w:customStyle="1">
    <w:name w:val="id_6d9ef5e75279"/>
    <w:basedOn w:val="660"/>
    <w:uiPriority w:val="0"/>
    <w:qFormat/>
    <w:rPr>
      <w:rFonts w:ascii="Calibri" w:hAnsi="Calibri"/>
    </w:rPr>
  </w:style>
  <w:style w:type="paragraph" w:styleId="965" w:customStyle="1">
    <w:name w:val="Table Paragraph"/>
    <w:basedOn w:val="660"/>
    <w:uiPriority w:val="1"/>
    <w:qFormat/>
    <w:pPr>
      <w:jc w:val="left"/>
    </w:pPr>
    <w:rPr>
      <w:rFonts w:ascii="宋体" w:hAnsi="宋体" w:cs="宋体"/>
      <w:sz w:val="22"/>
      <w:lang w:eastAsia="en-US"/>
    </w:rPr>
  </w:style>
  <w:style w:type="paragraph" w:styleId="966" w:customStyle="1">
    <w:name w:val="id_81ed31aff874"/>
    <w:basedOn w:val="967"/>
    <w:uiPriority w:val="0"/>
    <w:qFormat/>
  </w:style>
  <w:style w:type="paragraph" w:styleId="967" w:customStyle="1">
    <w:name w:val="id_6a2051f6a55f"/>
    <w:basedOn w:val="968"/>
    <w:uiPriority w:val="0"/>
    <w:qFormat/>
    <w:rPr>
      <w:rFonts w:ascii="Calibri" w:hAnsi="Calibri"/>
      <w:szCs w:val="22"/>
    </w:rPr>
  </w:style>
  <w:style w:type="paragraph" w:styleId="968" w:customStyle="1">
    <w:name w:val="id_82d0f67672a2"/>
    <w:basedOn w:val="969"/>
    <w:uiPriority w:val="0"/>
    <w:qFormat/>
    <w:pPr>
      <w:jc w:val="both"/>
      <w:widowControl w:val="off"/>
    </w:pPr>
    <w:rPr>
      <w:sz w:val="21"/>
      <w:szCs w:val="24"/>
    </w:rPr>
  </w:style>
  <w:style w:type="paragraph" w:styleId="969" w:customStyle="1">
    <w:name w:val="id_413333167d3e"/>
    <w:uiPriority w:val="0"/>
    <w:qFormat/>
    <w:rPr>
      <w:rFonts w:hint="default" w:ascii="Times New Roman" w:hAnsi="Times New Roman" w:eastAsia="宋体" w:cs="Times New Roman"/>
      <w:lang w:val="en-US" w:eastAsia="zh-CN" w:bidi="ar-SA"/>
    </w:rPr>
  </w:style>
  <w:style w:type="paragraph" w:styleId="970" w:customStyle="1">
    <w:name w:val="id_c6fdaf76ab93"/>
    <w:basedOn w:val="971"/>
    <w:uiPriority w:val="0"/>
    <w:qFormat/>
  </w:style>
  <w:style w:type="paragraph" w:styleId="971" w:customStyle="1">
    <w:name w:val="id_c6902216f3d5"/>
    <w:basedOn w:val="972"/>
    <w:uiPriority w:val="0"/>
    <w:qFormat/>
    <w:rPr>
      <w:rFonts w:ascii="Calibri" w:hAnsi="Calibri"/>
      <w:szCs w:val="22"/>
    </w:rPr>
  </w:style>
  <w:style w:type="paragraph" w:styleId="972" w:customStyle="1">
    <w:name w:val="id_e2ca3005186a"/>
    <w:basedOn w:val="973"/>
    <w:uiPriority w:val="0"/>
    <w:qFormat/>
    <w:pPr>
      <w:jc w:val="both"/>
      <w:widowControl w:val="off"/>
    </w:pPr>
    <w:rPr>
      <w:sz w:val="21"/>
      <w:szCs w:val="24"/>
    </w:rPr>
  </w:style>
  <w:style w:type="paragraph" w:styleId="973" w:customStyle="1">
    <w:name w:val="id_7b07283bca86"/>
    <w:uiPriority w:val="0"/>
    <w:qFormat/>
    <w:rPr>
      <w:rFonts w:hint="default" w:ascii="Times New Roman" w:hAnsi="Times New Roman" w:eastAsia="宋体" w:cs="Times New Roman"/>
      <w:lang w:val="en-US" w:eastAsia="zh-CN" w:bidi="ar-SA"/>
    </w:rPr>
  </w:style>
  <w:style w:type="paragraph" w:styleId="974" w:customStyle="1">
    <w:name w:val="id_d476a2936cab"/>
    <w:basedOn w:val="975"/>
    <w:uiPriority w:val="0"/>
    <w:qFormat/>
    <w:pPr>
      <w:ind w:firstLine="420"/>
    </w:pPr>
  </w:style>
  <w:style w:type="paragraph" w:styleId="975" w:customStyle="1">
    <w:name w:val="id_310513a60276"/>
    <w:basedOn w:val="976"/>
    <w:uiPriority w:val="0"/>
    <w:qFormat/>
    <w:pPr>
      <w:jc w:val="both"/>
      <w:widowControl w:val="off"/>
    </w:pPr>
  </w:style>
  <w:style w:type="paragraph" w:styleId="976" w:customStyle="1">
    <w:name w:val="id_562c21b185cf"/>
    <w:basedOn w:val="977"/>
    <w:uiPriority w:val="0"/>
    <w:qFormat/>
    <w:rPr>
      <w:rFonts w:asciiTheme="minorHAnsi" w:hAnsiTheme="minorHAnsi" w:eastAsiaTheme="minorEastAsia" w:cstheme="minorBidi"/>
      <w:sz w:val="21"/>
      <w:szCs w:val="22"/>
    </w:rPr>
  </w:style>
  <w:style w:type="paragraph" w:styleId="977" w:customStyle="1">
    <w:name w:val="id_aa43eca18d7f"/>
    <w:uiPriority w:val="0"/>
    <w:qFormat/>
    <w:rPr>
      <w:rFonts w:hint="default" w:ascii="Times New Roman" w:hAnsi="Times New Roman" w:eastAsia="宋体" w:cs="Times New Roman"/>
      <w:lang w:val="en-US" w:eastAsia="zh-CN" w:bidi="ar-SA"/>
    </w:rPr>
  </w:style>
  <w:style w:type="table" w:styleId="978" w:customStyle="1">
    <w:name w:val="Table Normal"/>
    <w:uiPriority w:val="0"/>
    <w:unhideWhenUsed/>
    <w:qFormat/>
    <w:tblPr>
      <w:tblCellMar>
        <w:left w:w="0" w:type="dxa"/>
        <w:top w:w="0" w:type="dxa"/>
        <w:right w:w="0" w:type="dxa"/>
        <w:bottom w:w="0" w:type="dxa"/>
      </w:tblCellMar>
    </w:tblPr>
  </w:style>
  <w:style w:type="numbering" w:styleId="104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施梁</cp:lastModifiedBy>
  <cp:revision>11</cp:revision>
  <dcterms:created xsi:type="dcterms:W3CDTF">2026-08-07T01:36:00Z</dcterms:created>
  <dcterms:modified xsi:type="dcterms:W3CDTF">2026-09-03T06:57:11Z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eyJoZGlkIjoiNzhhMWYwZTIzY2MyNzc2ZTZlMDlkYzM2N2M5OGQyZWQiLCJ1c2VySWQiOiI1OTE4MzYzNzYifQ==</vt:lpwstr>
  </property>
  <property fmtid="{D5CDD505-2E9C-101B-9397-08002B2CF9AE}" pid="3" name="KSOProductBuildVer">
    <vt:lpwstr>2052-12.1.0.26895</vt:lpwstr>
  </property>
  <property fmtid="{D5CDD505-2E9C-101B-9397-08002B2CF9AE}" pid="4" name="ICV">
    <vt:lpwstr>0808ADB95587451993FC0921A7092E3A_13</vt:lpwstr>
  </property>
</Properties>
</file>