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Arial" w:hAnsi="Arial" w:eastAsia="黑体"/>
          <w:b/>
          <w:bCs/>
          <w:sz w:val="84"/>
          <w:szCs w:val="24"/>
        </w:rPr>
      </w:pPr>
      <w:r>
        <w:rPr>
          <w:rFonts w:ascii="Arial" w:hAnsi="Arial" w:eastAsia="黑体"/>
          <w:b/>
          <w:bCs/>
          <w:sz w:val="84"/>
          <w:szCs w:val="24"/>
        </w:rPr>
      </w:r>
      <w:r/>
    </w:p>
    <w:p>
      <w:pPr>
        <w:jc w:val="center"/>
        <w:spacing w:before="120" w:after="120" w:line="660" w:lineRule="exact"/>
        <w:rPr>
          <w:rFonts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 xml:space="preserve">竞争性磋商文件</w:t>
      </w:r>
      <w:r/>
    </w:p>
    <w:p>
      <w:pPr>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项目名称：基于人工智能的质量和标准化服务能力提升项目</w:t>
      </w:r>
      <w:r/>
    </w:p>
    <w:p>
      <w:pPr>
        <w:jc w:val="center"/>
        <w:spacing w:before="120" w:after="120" w:line="400" w:lineRule="exact"/>
        <w:rPr>
          <w:rFonts w:ascii="Arial" w:hAnsi="Arial"/>
          <w:b/>
          <w:bCs/>
          <w:sz w:val="28"/>
          <w:szCs w:val="28"/>
        </w:rPr>
      </w:pPr>
      <w:r>
        <w:rPr>
          <w:rFonts w:hint="eastAsia" w:ascii="方正黑体_GBK" w:hAnsi="方正黑体_GBK" w:eastAsia="方正黑体_GBK" w:cs="方正黑体_GBK"/>
          <w:sz w:val="28"/>
          <w:szCs w:val="28"/>
        </w:rPr>
        <w:t xml:space="preserve">采购编号：</w:t>
      </w:r>
      <w:r>
        <w:rPr>
          <w:rFonts w:ascii="Times New Roman" w:hAnsi="Times New Roman" w:eastAsia="方正黑体_GBK"/>
          <w:sz w:val="28"/>
          <w:szCs w:val="28"/>
        </w:rPr>
        <w:t xml:space="preserve">JSZC-320000-SCZX-C2026-0371</w:t>
      </w:r>
      <w:r/>
    </w:p>
    <w:p>
      <w:pPr>
        <w:ind w:firstLine="1470"/>
        <w:jc w:val="left"/>
        <w:spacing w:before="120" w:after="120" w:line="360" w:lineRule="auto"/>
        <w:rPr>
          <w:rFonts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660" w:lineRule="exact"/>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2026年8月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400" w:lineRule="exact"/>
        <w:rPr>
          <w:rFonts w:ascii="方正黑体_GBK" w:hAnsi="方正黑体_GBK" w:eastAsia="方正黑体_GBK" w:cs="方正黑体_GBK"/>
          <w:bCs/>
          <w:sz w:val="28"/>
          <w:szCs w:val="28"/>
        </w:rPr>
        <w:outlineLvl w:val="0"/>
      </w:pPr>
      <w:r>
        <w:rPr>
          <w:rFonts w:ascii="Times New Roman" w:hAnsi="Times New Roman"/>
          <w:szCs w:val="21"/>
        </w:rPr>
        <w:br w:type="page" w:clear="all"/>
      </w:r>
      <w:bookmarkStart w:id="0" w:name="_Toc236925622"/>
      <w:r/>
      <w:bookmarkStart w:id="1" w:name="_Toc120614210"/>
      <w:r/>
      <w:bookmarkStart w:id="2" w:name="_Toc523127445"/>
      <w:r/>
      <w:bookmarkStart w:id="3" w:name="_Toc20823272"/>
      <w:r/>
      <w:bookmarkStart w:id="4" w:name="_Toc16938516"/>
      <w:r/>
      <w:bookmarkStart w:id="5" w:name="_Toc479757206"/>
      <w:r/>
      <w:bookmarkStart w:id="6" w:name="_Toc513029200"/>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bookmarkEnd w:id="1"/>
      <w:r/>
      <w:r/>
    </w:p>
    <w:p>
      <w:pPr>
        <w:spacing w:line="480" w:lineRule="auto"/>
        <w:rPr>
          <w:rFonts w:ascii="仿宋_GB2312" w:hAnsi="Arial" w:eastAsia="仿宋_GB2312"/>
          <w:b/>
          <w:sz w:val="28"/>
        </w:rPr>
      </w:pPr>
      <w:r>
        <w:rPr>
          <w:rFonts w:ascii="仿宋_GB2312" w:hAnsi="Arial" w:eastAsia="仿宋_GB2312"/>
          <w:b/>
          <w:sz w:val="28"/>
        </w:rPr>
      </w:r>
      <w:r/>
    </w:p>
    <w:p>
      <w:pPr>
        <w:pStyle w:val="778"/>
        <w:tabs>
          <w:tab w:val="right" w:pos="8296" w:leader="dot"/>
        </w:tabs>
        <w:rPr>
          <w:rFonts w:ascii="Arial" w:hAnsi="Arial"/>
          <w:sz w:val="22"/>
          <w:szCs w:val="24"/>
        </w:rPr>
      </w:pPr>
      <w:r>
        <w:rPr>
          <w:rFonts w:ascii="宋体" w:hAnsi="宋体"/>
          <w:caps/>
          <w:sz w:val="24"/>
          <w:szCs w:val="24"/>
        </w:rPr>
        <w:fldChar w:fldCharType="begin"/>
      </w:r>
      <w:r>
        <w:rPr>
          <w:rFonts w:ascii="宋体" w:hAnsi="宋体"/>
        </w:rPr>
        <w:instrText xml:space="preserve"> TOC \o "1-3" \h \z \u </w:instrText>
      </w:r>
      <w:r>
        <w:rPr>
          <w:rFonts w:ascii="宋体" w:hAnsi="宋体"/>
          <w:caps/>
          <w:sz w:val="24"/>
          <w:szCs w:val="24"/>
        </w:rPr>
        <w:fldChar w:fldCharType="separate"/>
      </w:r>
      <w:hyperlink w:tooltip="#_Toc236925622" w:anchor="_Toc236925622" w:history="1">
        <w:r>
          <w:rPr>
            <w:rStyle w:val="798"/>
            <w:rFonts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_Toc236925622 \h</w:instrText>
        </w:r>
        <w:r>
          <w:rPr>
            <w:rFonts w:hint="eastAsia"/>
          </w:rPr>
          <w:instrText xml:space="preserve"> </w:instrText>
        </w:r>
        <w:r>
          <w:rPr>
            <w:rFonts w:hint="eastAsia"/>
          </w:rPr>
        </w:r>
        <w:r>
          <w:rPr>
            <w:rFonts w:hint="eastAsia"/>
          </w:rPr>
          <w:fldChar w:fldCharType="separate"/>
        </w:r>
        <w:r>
          <w:t xml:space="preserve">2</w:t>
        </w:r>
        <w:r>
          <w:rPr>
            <w:rFonts w:hint="eastAsia"/>
          </w:rPr>
          <w:fldChar w:fldCharType="end"/>
        </w:r>
      </w:hyperlink>
      <w:r/>
      <w:r/>
    </w:p>
    <w:p>
      <w:pPr>
        <w:pStyle w:val="778"/>
        <w:tabs>
          <w:tab w:val="right" w:pos="8296" w:leader="dot"/>
        </w:tabs>
        <w:rPr>
          <w:rFonts w:ascii="Arial" w:hAnsi="Arial"/>
          <w:sz w:val="22"/>
          <w:szCs w:val="24"/>
        </w:rPr>
      </w:pPr>
      <w:r/>
      <w:hyperlink w:tooltip="#_Toc236925623" w:anchor="_Toc236925623" w:history="1">
        <w:r>
          <w:rPr>
            <w:rStyle w:val="798"/>
            <w:rFonts w:ascii="方正黑体_GBK" w:hAnsi="方正黑体_GBK" w:eastAsia="方正黑体_GBK" w:cs="方正黑体_GBK"/>
          </w:rPr>
          <w:t xml:space="preserve">第一章  磋商邀请</w:t>
        </w:r>
        <w:r>
          <w:rPr>
            <w:rFonts w:hint="eastAsia"/>
          </w:rPr>
          <w:tab/>
        </w:r>
        <w:r>
          <w:rPr>
            <w:rFonts w:hint="eastAsia"/>
          </w:rPr>
          <w:fldChar w:fldCharType="begin"/>
        </w:r>
        <w:r>
          <w:rPr>
            <w:rFonts w:hint="eastAsia"/>
          </w:rPr>
          <w:instrText xml:space="preserve"> </w:instrText>
        </w:r>
        <w:r>
          <w:instrText xml:space="preserve">PAGEREF _Toc236925623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9"/>
        <w:tabs>
          <w:tab w:val="right" w:pos="8296" w:leader="dot"/>
        </w:tabs>
        <w:rPr>
          <w:rFonts w:ascii="Arial" w:hAnsi="Arial"/>
          <w:sz w:val="22"/>
          <w:szCs w:val="24"/>
        </w:rPr>
      </w:pPr>
      <w:r/>
      <w:hyperlink w:tooltip="#_Toc236925624" w:anchor="_Toc236925624" w:history="1">
        <w:r>
          <w:rPr>
            <w:rStyle w:val="798"/>
            <w:rFonts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_Toc236925624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9"/>
        <w:tabs>
          <w:tab w:val="right" w:pos="8296" w:leader="dot"/>
        </w:tabs>
        <w:rPr>
          <w:rFonts w:ascii="Arial" w:hAnsi="Arial"/>
          <w:sz w:val="22"/>
          <w:szCs w:val="24"/>
        </w:rPr>
      </w:pPr>
      <w:r/>
      <w:hyperlink w:tooltip="#_Toc236925625" w:anchor="_Toc236925625" w:history="1">
        <w:r>
          <w:rPr>
            <w:rStyle w:val="798"/>
            <w:rFonts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_Toc236925625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69"/>
        <w:tabs>
          <w:tab w:val="right" w:pos="8296" w:leader="dot"/>
        </w:tabs>
        <w:rPr>
          <w:rFonts w:ascii="Arial" w:hAnsi="Arial"/>
          <w:sz w:val="22"/>
          <w:szCs w:val="24"/>
        </w:rPr>
      </w:pPr>
      <w:r/>
      <w:hyperlink w:tooltip="#_Toc236925626" w:anchor="_Toc236925626" w:history="1">
        <w:r>
          <w:rPr>
            <w:rStyle w:val="798"/>
            <w:rFonts w:ascii="方正黑体_GBK" w:hAnsi="方正黑体_GBK" w:eastAsia="方正黑体_GBK" w:cs="方正黑体_GBK"/>
          </w:rPr>
          <w:t xml:space="preserve">三、获取磋商文件</w:t>
        </w:r>
        <w:r>
          <w:rPr>
            <w:rFonts w:hint="eastAsia"/>
          </w:rPr>
          <w:tab/>
        </w:r>
        <w:r>
          <w:rPr>
            <w:rFonts w:hint="eastAsia"/>
          </w:rPr>
          <w:fldChar w:fldCharType="begin"/>
        </w:r>
        <w:r>
          <w:rPr>
            <w:rFonts w:hint="eastAsia"/>
          </w:rPr>
          <w:instrText xml:space="preserve"> </w:instrText>
        </w:r>
        <w:r>
          <w:instrText xml:space="preserve">PAGEREF _Toc236925626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9"/>
        <w:tabs>
          <w:tab w:val="right" w:pos="8296" w:leader="dot"/>
        </w:tabs>
        <w:rPr>
          <w:rFonts w:ascii="Arial" w:hAnsi="Arial"/>
          <w:sz w:val="22"/>
          <w:szCs w:val="24"/>
        </w:rPr>
      </w:pPr>
      <w:r/>
      <w:hyperlink w:tooltip="#_Toc236925627" w:anchor="_Toc236925627" w:history="1">
        <w:r>
          <w:rPr>
            <w:rStyle w:val="798"/>
            <w:rFonts w:ascii="方正黑体_GBK" w:hAnsi="方正黑体_GBK" w:eastAsia="方正黑体_GBK" w:cs="方正黑体_GBK"/>
          </w:rPr>
          <w:t xml:space="preserve">四、提交响应文件截止时间、开启时间及地点</w:t>
        </w:r>
        <w:r>
          <w:rPr>
            <w:rFonts w:hint="eastAsia"/>
          </w:rPr>
          <w:tab/>
        </w:r>
        <w:r>
          <w:rPr>
            <w:rFonts w:hint="eastAsia"/>
          </w:rPr>
          <w:fldChar w:fldCharType="begin"/>
        </w:r>
        <w:r>
          <w:rPr>
            <w:rFonts w:hint="eastAsia"/>
          </w:rPr>
          <w:instrText xml:space="preserve"> </w:instrText>
        </w:r>
        <w:r>
          <w:instrText xml:space="preserve">PAGEREF _Toc236925627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9"/>
        <w:tabs>
          <w:tab w:val="right" w:pos="8296" w:leader="dot"/>
        </w:tabs>
        <w:rPr>
          <w:rFonts w:ascii="Arial" w:hAnsi="Arial"/>
          <w:sz w:val="22"/>
          <w:szCs w:val="24"/>
        </w:rPr>
      </w:pPr>
      <w:r/>
      <w:hyperlink w:tooltip="#_Toc236925628" w:anchor="_Toc236925628" w:history="1">
        <w:r>
          <w:rPr>
            <w:rStyle w:val="798"/>
            <w:rFonts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_Toc236925628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9"/>
        <w:tabs>
          <w:tab w:val="right" w:pos="8296" w:leader="dot"/>
        </w:tabs>
        <w:rPr>
          <w:rFonts w:ascii="Arial" w:hAnsi="Arial"/>
          <w:sz w:val="22"/>
          <w:szCs w:val="24"/>
        </w:rPr>
      </w:pPr>
      <w:r/>
      <w:hyperlink w:tooltip="#_Toc236925629" w:anchor="_Toc236925629" w:history="1">
        <w:r>
          <w:rPr>
            <w:rStyle w:val="798"/>
            <w:rFonts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_Toc236925629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69"/>
        <w:tabs>
          <w:tab w:val="right" w:pos="8296" w:leader="dot"/>
        </w:tabs>
        <w:rPr>
          <w:rFonts w:ascii="Arial" w:hAnsi="Arial"/>
          <w:sz w:val="22"/>
          <w:szCs w:val="24"/>
        </w:rPr>
      </w:pPr>
      <w:r/>
      <w:hyperlink w:tooltip="#_Toc236925630" w:anchor="_Toc236925630" w:history="1">
        <w:r>
          <w:rPr>
            <w:rStyle w:val="798"/>
            <w:rFonts w:ascii="方正黑体_GBK" w:hAnsi="方正黑体_GBK" w:eastAsia="方正黑体_GBK" w:cs="方正黑体_GBK"/>
          </w:rPr>
          <w:t xml:space="preserve">七、本次磋商联系方式</w:t>
        </w:r>
        <w:r>
          <w:rPr>
            <w:rFonts w:hint="eastAsia"/>
          </w:rPr>
          <w:tab/>
        </w:r>
        <w:r>
          <w:rPr>
            <w:rFonts w:hint="eastAsia"/>
          </w:rPr>
          <w:fldChar w:fldCharType="begin"/>
        </w:r>
        <w:r>
          <w:rPr>
            <w:rFonts w:hint="eastAsia"/>
          </w:rPr>
          <w:instrText xml:space="preserve"> </w:instrText>
        </w:r>
        <w:r>
          <w:instrText xml:space="preserve">PAGEREF _Toc236925630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69"/>
        <w:tabs>
          <w:tab w:val="right" w:pos="8296" w:leader="dot"/>
        </w:tabs>
        <w:rPr>
          <w:rFonts w:ascii="Arial" w:hAnsi="Arial"/>
          <w:sz w:val="22"/>
          <w:szCs w:val="24"/>
        </w:rPr>
      </w:pPr>
      <w:r/>
      <w:hyperlink w:tooltip="#_Toc236925631" w:anchor="_Toc236925631" w:history="1">
        <w:r>
          <w:rPr>
            <w:rStyle w:val="798"/>
            <w:rFonts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_Toc236925631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78"/>
        <w:tabs>
          <w:tab w:val="right" w:pos="8296" w:leader="dot"/>
        </w:tabs>
        <w:rPr>
          <w:rFonts w:ascii="Arial" w:hAnsi="Arial"/>
          <w:sz w:val="22"/>
          <w:szCs w:val="24"/>
        </w:rPr>
      </w:pPr>
      <w:r/>
      <w:hyperlink w:tooltip="#_Toc236925632" w:anchor="_Toc236925632" w:history="1">
        <w:r>
          <w:rPr>
            <w:rStyle w:val="798"/>
            <w:rFonts w:ascii="方正黑体_GBK" w:hAnsi="方正黑体_GBK" w:eastAsia="方正黑体_GBK" w:cs="方正黑体_GBK"/>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_Toc236925632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ascii="Arial" w:hAnsi="Arial"/>
          <w:sz w:val="22"/>
          <w:szCs w:val="24"/>
        </w:rPr>
      </w:pPr>
      <w:r/>
      <w:hyperlink w:tooltip="#_Toc236925633" w:anchor="_Toc236925633" w:history="1">
        <w:r>
          <w:rPr>
            <w:rStyle w:val="798"/>
            <w:rFonts w:ascii="方正黑体_GBK" w:hAnsi="方正黑体_GBK" w:eastAsia="方正黑体_GBK" w:cs="方正黑体_GBK"/>
          </w:rPr>
          <w:t xml:space="preserve">一、总则</w:t>
        </w:r>
        <w:r>
          <w:rPr>
            <w:rFonts w:hint="eastAsia"/>
          </w:rPr>
          <w:tab/>
        </w:r>
        <w:r>
          <w:rPr>
            <w:rFonts w:hint="eastAsia"/>
          </w:rPr>
          <w:fldChar w:fldCharType="begin"/>
        </w:r>
        <w:r>
          <w:rPr>
            <w:rFonts w:hint="eastAsia"/>
          </w:rPr>
          <w:instrText xml:space="preserve"> </w:instrText>
        </w:r>
        <w:r>
          <w:instrText xml:space="preserve">PAGEREF _Toc236925633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ascii="Arial" w:hAnsi="Arial"/>
          <w:sz w:val="22"/>
          <w:szCs w:val="24"/>
        </w:rPr>
      </w:pPr>
      <w:r/>
      <w:hyperlink w:tooltip="#_Toc236925634" w:anchor="_Toc236925634" w:history="1">
        <w:r>
          <w:rPr>
            <w:rStyle w:val="798"/>
            <w:rFonts w:ascii="方正黑体_GBK" w:hAnsi="方正黑体_GBK" w:eastAsia="方正黑体_GBK" w:cs="方正黑体_GBK"/>
          </w:rPr>
          <w:t xml:space="preserve">二、磋商文件</w:t>
        </w:r>
        <w:r>
          <w:rPr>
            <w:rFonts w:hint="eastAsia"/>
          </w:rPr>
          <w:tab/>
        </w:r>
        <w:r>
          <w:rPr>
            <w:rFonts w:hint="eastAsia"/>
          </w:rPr>
          <w:fldChar w:fldCharType="begin"/>
        </w:r>
        <w:r>
          <w:rPr>
            <w:rFonts w:hint="eastAsia"/>
          </w:rPr>
          <w:instrText xml:space="preserve"> </w:instrText>
        </w:r>
        <w:r>
          <w:instrText xml:space="preserve">PAGEREF _Toc236925634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ascii="Arial" w:hAnsi="Arial"/>
          <w:sz w:val="22"/>
          <w:szCs w:val="24"/>
        </w:rPr>
      </w:pPr>
      <w:r/>
      <w:hyperlink w:tooltip="#_Toc236925635" w:anchor="_Toc236925635" w:history="1">
        <w:r>
          <w:rPr>
            <w:rStyle w:val="798"/>
            <w:rFonts w:ascii="方正黑体_GBK" w:hAnsi="方正黑体_GBK" w:eastAsia="方正黑体_GBK" w:cs="方正黑体_GBK"/>
          </w:rPr>
          <w:t xml:space="preserve">三、响应文件的编制</w:t>
        </w:r>
        <w:r>
          <w:rPr>
            <w:rFonts w:hint="eastAsia"/>
          </w:rPr>
          <w:tab/>
        </w:r>
        <w:r>
          <w:rPr>
            <w:rFonts w:hint="eastAsia"/>
          </w:rPr>
          <w:fldChar w:fldCharType="begin"/>
        </w:r>
        <w:r>
          <w:rPr>
            <w:rFonts w:hint="eastAsia"/>
          </w:rPr>
          <w:instrText xml:space="preserve"> </w:instrText>
        </w:r>
        <w:r>
          <w:instrText xml:space="preserve">PAGEREF _Toc236925635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786"/>
        <w:tabs>
          <w:tab w:val="right" w:pos="8296" w:leader="dot"/>
        </w:tabs>
        <w:rPr>
          <w:rFonts w:ascii="Arial" w:hAnsi="Arial"/>
          <w:sz w:val="22"/>
          <w:szCs w:val="24"/>
        </w:rPr>
      </w:pPr>
      <w:r/>
      <w:hyperlink w:tooltip="#_Toc236925636" w:anchor="_Toc236925636" w:history="1">
        <w:r>
          <w:rPr>
            <w:rStyle w:val="798"/>
            <w:rFonts w:ascii="方正黑体_GBK" w:hAnsi="方正黑体_GBK" w:eastAsia="方正黑体_GBK" w:cs="方正黑体_GBK"/>
          </w:rPr>
          <w:t xml:space="preserve">四、响应文件的递交</w:t>
        </w:r>
        <w:r>
          <w:rPr>
            <w:rFonts w:hint="eastAsia"/>
          </w:rPr>
          <w:tab/>
        </w:r>
        <w:r>
          <w:rPr>
            <w:rFonts w:hint="eastAsia"/>
          </w:rPr>
          <w:fldChar w:fldCharType="begin"/>
        </w:r>
        <w:r>
          <w:rPr>
            <w:rFonts w:hint="eastAsia"/>
          </w:rPr>
          <w:instrText xml:space="preserve"> </w:instrText>
        </w:r>
        <w:r>
          <w:instrText xml:space="preserve">PAGEREF _Toc236925636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86"/>
        <w:tabs>
          <w:tab w:val="right" w:pos="8296" w:leader="dot"/>
        </w:tabs>
        <w:rPr>
          <w:rFonts w:ascii="Arial" w:hAnsi="Arial"/>
          <w:sz w:val="22"/>
          <w:szCs w:val="24"/>
        </w:rPr>
      </w:pPr>
      <w:r/>
      <w:hyperlink w:tooltip="#_Toc236925637" w:anchor="_Toc236925637" w:history="1">
        <w:r>
          <w:rPr>
            <w:rStyle w:val="798"/>
            <w:rFonts w:ascii="方正黑体_GBK" w:hAnsi="方正黑体_GBK" w:eastAsia="方正黑体_GBK" w:cs="方正黑体_GBK"/>
          </w:rPr>
          <w:t xml:space="preserve">五、响应文件的解密与评审</w:t>
        </w:r>
        <w:r>
          <w:rPr>
            <w:rFonts w:hint="eastAsia"/>
          </w:rPr>
          <w:tab/>
        </w:r>
        <w:r>
          <w:rPr>
            <w:rFonts w:hint="eastAsia"/>
          </w:rPr>
          <w:fldChar w:fldCharType="begin"/>
        </w:r>
        <w:r>
          <w:rPr>
            <w:rFonts w:hint="eastAsia"/>
          </w:rPr>
          <w:instrText xml:space="preserve"> </w:instrText>
        </w:r>
        <w:r>
          <w:instrText xml:space="preserve">PAGEREF _Toc236925637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6"/>
        <w:tabs>
          <w:tab w:val="right" w:pos="8296" w:leader="dot"/>
        </w:tabs>
        <w:rPr>
          <w:rFonts w:ascii="Arial" w:hAnsi="Arial"/>
          <w:sz w:val="22"/>
          <w:szCs w:val="24"/>
        </w:rPr>
      </w:pPr>
      <w:r/>
      <w:hyperlink w:tooltip="#_Toc236925638" w:anchor="_Toc236925638" w:history="1">
        <w:r>
          <w:rPr>
            <w:rStyle w:val="798"/>
            <w:rFonts w:ascii="方正黑体_GBK" w:hAnsi="方正黑体_GBK" w:eastAsia="方正黑体_GBK" w:cs="方正黑体_GBK"/>
          </w:rPr>
          <w:t xml:space="preserve">六、成交</w:t>
        </w:r>
        <w:r>
          <w:rPr>
            <w:rFonts w:hint="eastAsia"/>
          </w:rPr>
          <w:tab/>
        </w:r>
        <w:r>
          <w:rPr>
            <w:rFonts w:hint="eastAsia"/>
          </w:rPr>
          <w:fldChar w:fldCharType="begin"/>
        </w:r>
        <w:r>
          <w:rPr>
            <w:rFonts w:hint="eastAsia"/>
          </w:rPr>
          <w:instrText xml:space="preserve"> </w:instrText>
        </w:r>
        <w:r>
          <w:instrText xml:space="preserve">PAGEREF _Toc236925638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86"/>
        <w:tabs>
          <w:tab w:val="right" w:pos="8296" w:leader="dot"/>
        </w:tabs>
        <w:rPr>
          <w:rFonts w:ascii="Arial" w:hAnsi="Arial"/>
          <w:sz w:val="22"/>
          <w:szCs w:val="24"/>
        </w:rPr>
      </w:pPr>
      <w:r/>
      <w:hyperlink w:tooltip="#_Toc236925639" w:anchor="_Toc236925639" w:history="1">
        <w:r>
          <w:rPr>
            <w:rStyle w:val="798"/>
            <w:rFonts w:ascii="方正黑体_GBK" w:hAnsi="方正黑体_GBK" w:eastAsia="方正黑体_GBK" w:cs="方正黑体_GBK"/>
          </w:rPr>
          <w:t xml:space="preserve">七、授予合同</w:t>
        </w:r>
        <w:r>
          <w:rPr>
            <w:rFonts w:hint="eastAsia"/>
          </w:rPr>
          <w:tab/>
        </w:r>
        <w:r>
          <w:rPr>
            <w:rFonts w:hint="eastAsia"/>
          </w:rPr>
          <w:fldChar w:fldCharType="begin"/>
        </w:r>
        <w:r>
          <w:rPr>
            <w:rFonts w:hint="eastAsia"/>
          </w:rPr>
          <w:instrText xml:space="preserve"> </w:instrText>
        </w:r>
        <w:r>
          <w:instrText xml:space="preserve">PAGEREF _Toc236925639 \h</w:instrText>
        </w:r>
        <w:r>
          <w:rPr>
            <w:rFonts w:hint="eastAsia"/>
          </w:rPr>
          <w:instrText xml:space="preserve"> </w:instrText>
        </w:r>
        <w:r>
          <w:rPr>
            <w:rFonts w:hint="eastAsia"/>
          </w:rPr>
        </w:r>
        <w:r>
          <w:rPr>
            <w:rFonts w:hint="eastAsia"/>
          </w:rPr>
          <w:fldChar w:fldCharType="separate"/>
        </w:r>
        <w:r>
          <w:t xml:space="preserve">17</w:t>
        </w:r>
        <w:r>
          <w:rPr>
            <w:rFonts w:hint="eastAsia"/>
          </w:rPr>
          <w:fldChar w:fldCharType="end"/>
        </w:r>
      </w:hyperlink>
      <w:r/>
      <w:r/>
    </w:p>
    <w:p>
      <w:pPr>
        <w:pStyle w:val="778"/>
        <w:tabs>
          <w:tab w:val="right" w:pos="8296" w:leader="dot"/>
        </w:tabs>
        <w:rPr>
          <w:rFonts w:ascii="Arial" w:hAnsi="Arial"/>
          <w:sz w:val="22"/>
          <w:szCs w:val="24"/>
        </w:rPr>
      </w:pPr>
      <w:r/>
      <w:hyperlink w:tooltip="#_Toc236925640" w:anchor="_Toc236925640" w:history="1">
        <w:r>
          <w:rPr>
            <w:rStyle w:val="798"/>
            <w:rFonts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_Toc236925640 \h</w:instrText>
        </w:r>
        <w:r>
          <w:rPr>
            <w:rFonts w:hint="eastAsia"/>
          </w:rPr>
          <w:instrText xml:space="preserve"> </w:instrText>
        </w:r>
        <w:r>
          <w:rPr>
            <w:rFonts w:hint="eastAsia"/>
          </w:rPr>
        </w:r>
        <w:r>
          <w:rPr>
            <w:rFonts w:hint="eastAsia"/>
          </w:rPr>
          <w:fldChar w:fldCharType="separate"/>
        </w:r>
        <w:r>
          <w:t xml:space="preserve">18</w:t>
        </w:r>
        <w:r>
          <w:rPr>
            <w:rFonts w:hint="eastAsia"/>
          </w:rPr>
          <w:fldChar w:fldCharType="end"/>
        </w:r>
      </w:hyperlink>
      <w:r/>
      <w:r/>
    </w:p>
    <w:p>
      <w:pPr>
        <w:pStyle w:val="778"/>
        <w:tabs>
          <w:tab w:val="right" w:pos="8296" w:leader="dot"/>
        </w:tabs>
        <w:rPr>
          <w:rFonts w:ascii="Arial" w:hAnsi="Arial"/>
          <w:sz w:val="22"/>
          <w:szCs w:val="24"/>
        </w:rPr>
      </w:pPr>
      <w:r/>
      <w:hyperlink w:tooltip="#_Toc236925641" w:anchor="_Toc236925641" w:history="1">
        <w:r>
          <w:rPr>
            <w:rStyle w:val="798"/>
            <w:rFonts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_Toc236925641 \h</w:instrText>
        </w:r>
        <w:r>
          <w:rPr>
            <w:rFonts w:hint="eastAsia"/>
          </w:rPr>
          <w:instrText xml:space="preserve"> </w:instrText>
        </w:r>
        <w:r>
          <w:rPr>
            <w:rFonts w:hint="eastAsia"/>
          </w:rPr>
        </w:r>
        <w:r>
          <w:rPr>
            <w:rFonts w:hint="eastAsia"/>
          </w:rPr>
          <w:fldChar w:fldCharType="separate"/>
        </w:r>
        <w:r>
          <w:t xml:space="preserve">23</w:t>
        </w:r>
        <w:r>
          <w:rPr>
            <w:rFonts w:hint="eastAsia"/>
          </w:rPr>
          <w:fldChar w:fldCharType="end"/>
        </w:r>
      </w:hyperlink>
      <w:r/>
      <w:r/>
    </w:p>
    <w:p>
      <w:pPr>
        <w:pStyle w:val="778"/>
        <w:tabs>
          <w:tab w:val="right" w:pos="8296" w:leader="dot"/>
        </w:tabs>
        <w:rPr>
          <w:rFonts w:ascii="Arial" w:hAnsi="Arial"/>
          <w:sz w:val="22"/>
          <w:szCs w:val="24"/>
        </w:rPr>
      </w:pPr>
      <w:r/>
      <w:hyperlink w:tooltip="#_Toc236925642" w:anchor="_Toc236925642" w:history="1">
        <w:r>
          <w:rPr>
            <w:rStyle w:val="798"/>
            <w:rFonts w:ascii="方正黑体_GBK" w:hAnsi="方正黑体_GBK" w:eastAsia="方正黑体_GBK" w:cs="方正黑体_GBK"/>
          </w:rPr>
          <w:t xml:space="preserve">第五章  评审方法与评审标准</w:t>
        </w:r>
        <w:r>
          <w:rPr>
            <w:rFonts w:hint="eastAsia"/>
          </w:rPr>
          <w:tab/>
        </w:r>
        <w:r>
          <w:rPr>
            <w:rFonts w:hint="eastAsia"/>
          </w:rPr>
          <w:fldChar w:fldCharType="begin"/>
        </w:r>
        <w:r>
          <w:rPr>
            <w:rFonts w:hint="eastAsia"/>
          </w:rPr>
          <w:instrText xml:space="preserve"> </w:instrText>
        </w:r>
        <w:r>
          <w:instrText xml:space="preserve">PAGEREF _Toc236925642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778"/>
        <w:tabs>
          <w:tab w:val="right" w:pos="8296" w:leader="dot"/>
        </w:tabs>
        <w:rPr>
          <w:rStyle w:val="798"/>
        </w:rPr>
      </w:pPr>
      <w:r/>
      <w:hyperlink w:tooltip="#_Toc236925643" w:anchor="_Toc236925643" w:history="1">
        <w:r>
          <w:rPr>
            <w:rStyle w:val="798"/>
            <w:rFonts w:ascii="方正黑体_GBK" w:hAnsi="方正黑体_GBK" w:eastAsia="方正黑体_GBK" w:cs="方正黑体_GBK"/>
          </w:rPr>
          <w:t xml:space="preserve">第六章  响应文件格式</w:t>
        </w:r>
        <w:r>
          <w:rPr>
            <w:rFonts w:hint="eastAsia"/>
          </w:rPr>
          <w:tab/>
        </w:r>
        <w:r>
          <w:rPr>
            <w:rFonts w:hint="eastAsia"/>
          </w:rPr>
          <w:fldChar w:fldCharType="begin"/>
        </w:r>
        <w:r>
          <w:rPr>
            <w:rFonts w:hint="eastAsia"/>
          </w:rPr>
          <w:instrText xml:space="preserve"> </w:instrText>
        </w:r>
        <w:r>
          <w:instrText xml:space="preserve">PAGEREF _Toc236925643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jc w:val="left"/>
        <w:widowControl/>
        <w:rPr>
          <w:rStyle w:val="798"/>
        </w:rPr>
      </w:pPr>
      <w:r>
        <w:rPr>
          <w:rStyle w:val="798"/>
        </w:rPr>
        <w:br w:type="page" w:clear="all"/>
      </w:r>
      <w:r/>
    </w:p>
    <w:p>
      <w:pPr>
        <w:pStyle w:val="778"/>
        <w:tabs>
          <w:tab w:val="right" w:pos="8296" w:leader="dot"/>
        </w:tabs>
        <w:rPr>
          <w:rFonts w:ascii="Arial" w:hAnsi="Arial"/>
          <w:sz w:val="22"/>
          <w:szCs w:val="24"/>
        </w:rPr>
      </w:pPr>
      <w:r>
        <w:rPr>
          <w:rFonts w:ascii="Arial" w:hAnsi="Arial"/>
          <w:sz w:val="22"/>
          <w:szCs w:val="24"/>
        </w:rPr>
      </w:r>
      <w:r/>
    </w:p>
    <w:p>
      <w:pPr>
        <w:jc w:val="center"/>
        <w:keepNext/>
        <w:spacing w:line="400" w:lineRule="exact"/>
        <w:rPr>
          <w:rFonts w:ascii="方正黑体_GBK" w:hAnsi="方正黑体_GBK" w:eastAsia="方正黑体_GBK" w:cs="方正黑体_GBK"/>
          <w:sz w:val="28"/>
          <w:szCs w:val="28"/>
        </w:rPr>
        <w:outlineLvl w:val="0"/>
      </w:pPr>
      <w:r>
        <w:rPr>
          <w:rFonts w:ascii="宋体" w:hAnsi="宋体"/>
          <w:bCs/>
          <w:lang w:val="zh-CN"/>
        </w:rPr>
        <w:fldChar w:fldCharType="end"/>
      </w:r>
      <w:bookmarkStart w:id="7" w:name="_Toc236925623"/>
      <w:r>
        <w:rPr>
          <w:rFonts w:hint="eastAsia" w:ascii="方正黑体_GBK" w:hAnsi="方正黑体_GBK" w:eastAsia="方正黑体_GBK" w:cs="方正黑体_GBK"/>
          <w:sz w:val="28"/>
          <w:szCs w:val="28"/>
        </w:rPr>
        <w:t xml:space="preserve">第一章  磋商邀请</w:t>
      </w:r>
      <w:bookmarkEnd w:id="7"/>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受江苏省质量和标准化研究院的委托，江苏省政府采购中心就基于人工智能的质量和标准化服务能力提升项目（</w:t>
      </w:r>
      <w:r>
        <w:rPr>
          <w:rFonts w:ascii="方正仿宋_GBK" w:hAnsi="方正仿宋_GBK" w:eastAsia="方正仿宋_GBK" w:cs="方正仿宋_GBK"/>
          <w:sz w:val="28"/>
          <w:szCs w:val="28"/>
        </w:rPr>
        <w:t xml:space="preserve">JSZC-320000-SCZX-C2026-0371</w:t>
      </w:r>
      <w:r>
        <w:rPr>
          <w:rFonts w:hint="eastAsia" w:ascii="方正仿宋_GBK" w:hAnsi="方正仿宋_GBK" w:eastAsia="方正仿宋_GBK" w:cs="方正仿宋_GBK"/>
          <w:sz w:val="28"/>
          <w:szCs w:val="28"/>
        </w:rPr>
        <w:t xml:space="preserve">）项目进行竞争性磋商采购，欢迎符合条件的供应商参加磋商。</w:t>
      </w:r>
      <w:r/>
    </w:p>
    <w:p>
      <w:pPr>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基于人工智能的质量和标准化服务能力提升项目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w:t>
      </w:r>
      <w:r>
        <w:rPr>
          <w:rFonts w:hint="eastAsia" w:ascii="Times New Roman" w:hAnsi="Times New Roman" w:eastAsia="方正黑体_GBK"/>
          <w:sz w:val="28"/>
          <w:szCs w:val="28"/>
        </w:rPr>
        <w:t xml:space="preserve">9</w:t>
      </w:r>
      <w:r>
        <w:rPr>
          <w:rFonts w:hint="eastAsia" w:ascii="Times New Roman" w:hAnsi="Times New Roman" w:eastAsia="方正黑体_GBK"/>
          <w:sz w:val="28"/>
          <w:szCs w:val="28"/>
        </w:rPr>
        <w:t xml:space="preserve">月7</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时30分（北京时间）前递交响应文件</w:t>
      </w:r>
      <w:r>
        <w:rPr>
          <w:rFonts w:hint="eastAsia" w:ascii="方正仿宋_GBK" w:hAnsi="方正仿宋_GBK" w:eastAsia="方正仿宋_GBK" w:cs="方正仿宋_GBK"/>
          <w:sz w:val="28"/>
          <w:szCs w:val="28"/>
        </w:rPr>
        <w:t xml:space="preserve">。</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8" w:name="_Toc38985263"/>
      <w:r/>
      <w:bookmarkStart w:id="9" w:name="_Toc28359002"/>
      <w:r/>
      <w:bookmarkStart w:id="10" w:name="_Toc35393790"/>
      <w:r/>
      <w:bookmarkStart w:id="11" w:name="_Toc35393621"/>
      <w:r/>
      <w:bookmarkStart w:id="12" w:name="_Toc28359079"/>
      <w:r/>
      <w:bookmarkStart w:id="13" w:name="_Toc236925624"/>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ascii="方正仿宋_GBK" w:hAnsi="方正仿宋_GBK" w:eastAsia="方正仿宋_GBK" w:cs="方正仿宋_GBK"/>
          <w:sz w:val="28"/>
          <w:szCs w:val="28"/>
        </w:rPr>
        <w:t xml:space="preserve">JSZC-320000-SCZX-C2026-0371</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2.项目名称：基于人工智能的质量和标准化服务能力提升项目</w:t>
      </w:r>
      <w:bookmarkEnd w:id="14"/>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4"/>
        <w:gridCol w:w="3250"/>
      </w:tblGrid>
      <w:tr>
        <w:trPr/>
        <w:tc>
          <w:tcPr>
            <w:tcW w:w="1154"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5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5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50" w:type="dxa"/>
            <w:textDirection w:val="lrTb"/>
            <w:noWrap w:val="false"/>
          </w:tcPr>
          <w:p>
            <w:pPr>
              <w:ind w:firstLine="1120"/>
              <w:spacing w:line="400" w:lineRule="exact"/>
              <w:rPr>
                <w:rFonts w:ascii="方正仿宋_GBK" w:hAnsi="方正仿宋_GBK" w:eastAsia="方正仿宋_GBK" w:cs="方正仿宋_GBK"/>
                <w:sz w:val="28"/>
                <w:szCs w:val="28"/>
              </w:rPr>
            </w:pPr>
            <w:r>
              <w:rPr>
                <w:rFonts w:ascii="Times New Roman" w:hAnsi="Times New Roman" w:eastAsia="方正黑体_GBK"/>
                <w:sz w:val="28"/>
                <w:szCs w:val="28"/>
              </w:rPr>
              <w:t xml:space="preserve">232</w:t>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233"/>
      </w:tblGrid>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3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33" w:type="dxa"/>
            <w:textDirection w:val="lrTb"/>
            <w:noWrap w:val="false"/>
          </w:tcPr>
          <w:p>
            <w:pPr>
              <w:jc w:val="center"/>
              <w:spacing w:line="400" w:lineRule="exact"/>
              <w:rPr>
                <w:rFonts w:ascii="方正仿宋_GBK" w:hAnsi="方正仿宋_GBK" w:eastAsia="方正仿宋_GBK" w:cs="方正仿宋_GBK"/>
                <w:sz w:val="28"/>
                <w:szCs w:val="28"/>
              </w:rPr>
            </w:pPr>
            <w:r>
              <w:rPr>
                <w:rFonts w:ascii="Times New Roman" w:hAnsi="Times New Roman" w:eastAsia="方正黑体_GBK"/>
                <w:sz w:val="28"/>
                <w:szCs w:val="28"/>
              </w:rPr>
              <w:t xml:space="preserve">232</w:t>
            </w:r>
            <w:r/>
          </w:p>
        </w:tc>
      </w:tr>
    </w:tbl>
    <w:p>
      <w:pPr>
        <w:ind w:firstLine="560"/>
        <w:spacing w:line="400" w:lineRule="exact"/>
        <w:rPr>
          <w:rFonts w:hint="eastAsia" w:ascii="宋体" w:hAnsi="宋体"/>
          <w:sz w:val="28"/>
          <w:szCs w:val="28"/>
          <w:u w:val="single"/>
        </w:rPr>
      </w:pPr>
      <w:r>
        <w:rPr>
          <w:rFonts w:hint="eastAsia" w:ascii="方正仿宋_GBK" w:hAnsi="方正仿宋_GBK" w:eastAsia="方正仿宋_GBK" w:cs="方正仿宋_GBK"/>
          <w:sz w:val="28"/>
          <w:szCs w:val="28"/>
        </w:rPr>
        <w:t xml:space="preserve">5.采购需求（简介）：</w:t>
      </w:r>
      <w:r>
        <w:rPr>
          <w:rFonts w:ascii="方正仿宋_GBK" w:hAnsi="方正仿宋_GBK" w:eastAsia="方正仿宋_GBK" w:cs="方正仿宋_GBK"/>
          <w:sz w:val="28"/>
          <w:szCs w:val="28"/>
        </w:rPr>
        <w:t xml:space="preserve">本项目旨在对现有标准信息服务、技术性贸易措施、缺陷产品召回、统一社会信用代码、物品编码及国际标准化等业务子模块进行功能升级，搭建AI中台作为统一技术底座，聚焦院内核心业务板块，通过数据结构化治理、业务规则引擎优化，全面部署智能化服务场景，减轻业务人员重复性人工操作负担，提升核心业务的处置效率与规范性，为社会公众提供更加便捷、精准、合规的标准信息公共服务。</w:t>
      </w:r>
      <w:r>
        <w:rPr>
          <w:rFonts w:hint="eastAsia" w:ascii="方正仿宋_GBK" w:hAnsi="方正仿宋_GBK" w:eastAsia="方正仿宋_GBK" w:cs="方正仿宋_GBK"/>
          <w:sz w:val="28"/>
          <w:szCs w:val="28"/>
        </w:rPr>
        <w:t xml:space="preserve">（详细内容见本磋商文件第四章）</w:t>
      </w:r>
      <w:r/>
    </w:p>
    <w:p>
      <w:pPr>
        <w:ind w:firstLine="640"/>
        <w:spacing w:line="56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6.合同履行期限：自合同签订之日起4个月内完成交付，本项目中软件系统的免费维保期为从项目验收合格之日起一年。</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15" w:name="_Toc35393622"/>
      <w:r/>
      <w:bookmarkStart w:id="16" w:name="_Toc28359003"/>
      <w:r/>
      <w:bookmarkStart w:id="17" w:name="_Toc28359080"/>
      <w:r/>
      <w:bookmarkStart w:id="18" w:name="_Toc236925625"/>
      <w:r/>
      <w:bookmarkStart w:id="19" w:name="_Toc35393791"/>
      <w:r/>
      <w:bookmarkStart w:id="20" w:name="_Toc38985264"/>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ascii="方正楷体_GBK" w:hAnsi="方正楷体_GBK" w:eastAsia="方正楷体_GBK" w:cs="方正楷体_GBK"/>
          <w:sz w:val="28"/>
          <w:szCs w:val="28"/>
        </w:rPr>
      </w:pPr>
      <w:r/>
      <w:bookmarkStart w:id="21" w:name="_Toc35393623"/>
      <w:r/>
      <w:bookmarkStart w:id="22" w:name="_Toc35393792"/>
      <w:r/>
      <w:bookmarkStart w:id="23" w:name="_Toc38985265"/>
      <w:r/>
      <w:bookmarkStart w:id="24" w:name="_Toc28359004"/>
      <w:r/>
      <w:bookmarkStart w:id="25" w:name="_Toc28359081"/>
      <w:r>
        <w:rPr>
          <w:rFonts w:hint="eastAsia" w:ascii="方正楷体_GBK" w:hAnsi="方正楷体_GBK" w:eastAsia="方正楷体_GBK" w:cs="方正楷体_GBK"/>
          <w:sz w:val="28"/>
          <w:szCs w:val="28"/>
        </w:rPr>
        <w:t xml:space="preserve">（一）通用资格要求</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4.本项目不接受联合体参与磋商。</w:t>
      </w:r>
      <w:r/>
    </w:p>
    <w:p>
      <w:pPr>
        <w:ind w:firstLine="560"/>
        <w:spacing w:line="4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（二）本项目的特定资格要求：无</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26" w:name="_Toc236925626"/>
      <w:r>
        <w:rPr>
          <w:rFonts w:hint="eastAsia" w:ascii="方正黑体_GBK" w:hAnsi="方正黑体_GBK" w:eastAsia="方正黑体_GBK" w:cs="方正黑体_GBK"/>
          <w:sz w:val="28"/>
          <w:szCs w:val="28"/>
        </w:rPr>
        <w:t xml:space="preserve">三、获取磋商文件</w:t>
      </w:r>
      <w:bookmarkEnd w:id="26"/>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27" w:name="_Toc28359082"/>
      <w:r/>
      <w:bookmarkStart w:id="28" w:name="_Toc28359005"/>
      <w:r/>
      <w:bookmarkStart w:id="29" w:name="_Toc35393624"/>
      <w:r/>
      <w:bookmarkStart w:id="30" w:name="_Toc38985266"/>
      <w:r/>
      <w:bookmarkStart w:id="31" w:name="_Toc35393793"/>
      <w:r/>
      <w:bookmarkStart w:id="32" w:name="_Toc236925627"/>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w:t>
      </w:r>
      <w:bookmarkEnd w:id="27"/>
      <w:r/>
      <w:bookmarkEnd w:id="28"/>
      <w:r>
        <w:rPr>
          <w:rFonts w:hint="eastAsia" w:ascii="方正黑体_GBK" w:hAnsi="方正黑体_GBK" w:eastAsia="方正黑体_GBK" w:cs="方正黑体_GBK"/>
          <w:sz w:val="28"/>
          <w:szCs w:val="28"/>
        </w:rPr>
        <w:t xml:space="preserve">响应文件截止时间</w:t>
      </w:r>
      <w:bookmarkEnd w:id="29"/>
      <w:r/>
      <w:bookmarkEnd w:id="30"/>
      <w:r/>
      <w:bookmarkEnd w:id="31"/>
      <w:r>
        <w:rPr>
          <w:rFonts w:hint="eastAsia" w:ascii="方正黑体_GBK" w:hAnsi="方正黑体_GBK" w:eastAsia="方正黑体_GBK" w:cs="方正黑体_GBK"/>
          <w:sz w:val="28"/>
          <w:szCs w:val="28"/>
        </w:rPr>
        <w:t xml:space="preserve">、开启时间及地点</w:t>
      </w:r>
      <w:bookmarkEnd w:id="32"/>
      <w:r/>
      <w:r/>
    </w:p>
    <w:p>
      <w:pPr>
        <w:ind w:firstLine="560"/>
        <w:spacing w:line="400" w:lineRule="exact"/>
        <w:rPr>
          <w:rFonts w:hint="eastAsia" w:ascii="宋体" w:hAnsi="宋体" w:cs="宋体"/>
          <w:sz w:val="28"/>
          <w:szCs w:val="28"/>
        </w:rPr>
      </w:pPr>
      <w:r>
        <w:rPr>
          <w:rFonts w:hint="eastAsia" w:ascii="方正仿宋_GBK" w:hAnsi="方正仿宋_GBK" w:eastAsia="方正仿宋_GBK" w:cs="方正仿宋_GBK"/>
          <w:bCs/>
          <w:sz w:val="28"/>
          <w:szCs w:val="28"/>
        </w:rPr>
        <w:t xml:space="preserve">1. </w:t>
      </w:r>
      <w:r>
        <w:rPr>
          <w:rFonts w:hint="eastAsia" w:ascii="Times New Roman" w:hAnsi="Times New Roman" w:eastAsia="方正黑体_GBK"/>
          <w:sz w:val="28"/>
          <w:szCs w:val="28"/>
        </w:rPr>
        <w:t xml:space="preserve">2026</w:t>
      </w:r>
      <w:r>
        <w:rPr>
          <w:rFonts w:hint="eastAsia" w:ascii="方正仿宋_GBK" w:hAnsi="方正仿宋_GBK" w:eastAsia="方正仿宋_GBK" w:cs="方正仿宋_GBK"/>
          <w:bCs/>
          <w:sz w:val="28"/>
          <w:szCs w:val="28"/>
        </w:rPr>
        <w:t xml:space="preserve">年9</w:t>
      </w:r>
      <w:r>
        <w:rPr>
          <w:rFonts w:hint="eastAsia" w:ascii="Times New Roman" w:hAnsi="Times New Roman" w:eastAsia="方正黑体_GBK"/>
          <w:sz w:val="28"/>
          <w:szCs w:val="28"/>
        </w:rPr>
        <w:t xml:space="preserve">月</w:t>
      </w:r>
      <w:r>
        <w:rPr>
          <w:rFonts w:hint="eastAsia" w:ascii="Times New Roman" w:hAnsi="Times New Roman" w:eastAsia="方正黑体_GBK"/>
          <w:sz w:val="28"/>
          <w:szCs w:val="28"/>
        </w:rPr>
        <w:t xml:space="preserve">7</w:t>
      </w:r>
      <w:r>
        <w:rPr>
          <w:rFonts w:hint="eastAsia" w:ascii="Times New Roman" w:hAnsi="Times New Roman" w:eastAsia="方正黑体_GBK"/>
          <w:sz w:val="28"/>
          <w:szCs w:val="28"/>
        </w:rPr>
        <w:t xml:space="preserve">日</w:t>
      </w:r>
      <w:r>
        <w:rPr>
          <w:rFonts w:hint="eastAsia" w:ascii="Times New Roman" w:hAnsi="Times New Roman" w:eastAsia="方正黑体_GBK"/>
          <w:sz w:val="28"/>
          <w:szCs w:val="28"/>
        </w:rPr>
        <w:t xml:space="preserve">14</w:t>
      </w:r>
      <w:r>
        <w:rPr>
          <w:rFonts w:hint="eastAsia" w:ascii="方正仿宋_GBK" w:hAnsi="方正仿宋_GBK" w:eastAsia="方正仿宋_GBK" w:cs="方正仿宋_GBK"/>
          <w:bCs/>
          <w:sz w:val="28"/>
          <w:szCs w:val="28"/>
        </w:rPr>
        <w:t xml:space="preserve">时30分（北京时间）。</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33" w:name="_Toc28359084"/>
      <w:r/>
      <w:bookmarkStart w:id="34" w:name="_Toc35393794"/>
      <w:r/>
      <w:bookmarkStart w:id="35" w:name="_Toc28359007"/>
      <w:r/>
      <w:bookmarkStart w:id="36" w:name="_Toc35393625"/>
      <w:r/>
      <w:bookmarkStart w:id="37" w:name="_Toc38985267"/>
      <w:r/>
      <w:bookmarkStart w:id="38" w:name="_Toc236925628"/>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39" w:name="_Toc35393795"/>
      <w:r/>
      <w:bookmarkStart w:id="40" w:name="_Toc38985268"/>
      <w:r/>
      <w:bookmarkStart w:id="41" w:name="_Toc35393626"/>
      <w:r/>
      <w:bookmarkStart w:id="42" w:name="_Toc236925629"/>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43" w:name="_Toc236925630"/>
      <w:r/>
      <w:bookmarkStart w:id="44" w:name="_Toc28359085"/>
      <w:r/>
      <w:bookmarkStart w:id="45" w:name="_Toc35393627"/>
      <w:r/>
      <w:bookmarkStart w:id="46" w:name="_Toc35393796"/>
      <w:r/>
      <w:bookmarkStart w:id="47" w:name="_Toc28359008"/>
      <w:r/>
      <w:bookmarkStart w:id="48" w:name="_Toc38985269"/>
      <w:r>
        <w:rPr>
          <w:rFonts w:hint="eastAsia" w:ascii="方正黑体_GBK" w:hAnsi="方正黑体_GBK" w:eastAsia="方正黑体_GBK" w:cs="方正黑体_GBK"/>
          <w:sz w:val="28"/>
          <w:szCs w:val="28"/>
        </w:rPr>
        <w:t xml:space="preserve">七、本次磋商联系方式</w:t>
      </w:r>
      <w:bookmarkEnd w:id="43"/>
      <w:r/>
      <w:bookmarkEnd w:id="44"/>
      <w:r/>
      <w:bookmarkEnd w:id="45"/>
      <w:r/>
      <w:bookmarkEnd w:id="46"/>
      <w:r/>
      <w:bookmarkEnd w:id="47"/>
      <w:r/>
      <w:bookmarkEnd w:id="48"/>
      <w:r/>
      <w:r/>
    </w:p>
    <w:p>
      <w:pPr>
        <w:jc w:val="left"/>
        <w:spacing w:line="400" w:lineRule="exact"/>
        <w:widowControl/>
        <w:rPr>
          <w:rFonts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9" w:name="_Toc28359087"/>
      <w:r/>
      <w:bookmarkStart w:id="50" w:name="_Toc28359010"/>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bookmarkStart w:id="51" w:name="OLE_LINK20"/>
      <w:r>
        <w:rPr>
          <w:rFonts w:hint="eastAsia" w:ascii="方正仿宋_GBK" w:hAnsi="方正仿宋_GBK" w:eastAsia="方正仿宋_GBK" w:cs="方正仿宋_GBK"/>
          <w:sz w:val="28"/>
          <w:szCs w:val="28"/>
          <w:u w:val="single"/>
        </w:rPr>
        <w:t xml:space="preserve">江苏省质量和标准化研究院</w:t>
      </w:r>
      <w:bookmarkEnd w:id="51"/>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ascii="方正仿宋_GBK" w:hAnsi="方正仿宋_GBK" w:eastAsia="方正仿宋_GBK" w:cs="方正仿宋_GBK"/>
          <w:sz w:val="28"/>
          <w:szCs w:val="28"/>
          <w:u w:val="single"/>
        </w:rPr>
        <w:t xml:space="preserve">江苏省南京市石鼓路227号</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金志刚                </w:t>
      </w:r>
      <w:r/>
    </w:p>
    <w:p>
      <w:pPr>
        <w:ind w:firstLine="560"/>
        <w:jc w:val="left"/>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025-866</w:t>
      </w:r>
      <w:r>
        <w:rPr>
          <w:rFonts w:hint="eastAsia" w:ascii="方正仿宋_GBK" w:hAnsi="方正仿宋_GBK" w:eastAsia="方正仿宋_GBK" w:cs="方正仿宋_GBK"/>
          <w:sz w:val="28"/>
          <w:szCs w:val="28"/>
          <w:u w:val="single"/>
        </w:rPr>
        <w:t xml:space="preserve">50015        </w:t>
      </w:r>
      <w:bookmarkStart w:id="52" w:name="_Toc28359086"/>
      <w:r/>
      <w:bookmarkStart w:id="53" w:name="_Toc28359009"/>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52"/>
      <w:r/>
      <w:bookmarkEnd w:id="53"/>
      <w:r/>
      <w:r/>
    </w:p>
    <w:p>
      <w:pPr>
        <w:ind w:firstLine="560"/>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付钢、唐文</w:t>
      </w:r>
      <w:r/>
    </w:p>
    <w:p>
      <w:pPr>
        <w:ind w:firstLine="560"/>
        <w:spacing w:line="400" w:lineRule="exact"/>
        <w:rPr>
          <w:rFonts w:ascii="方正仿宋_GBK" w:hAnsi="方正仿宋_GBK" w:eastAsia="方正仿宋_GBK" w:cs="方正仿宋_GBK"/>
          <w:sz w:val="28"/>
          <w:szCs w:val="28"/>
          <w:shd w:val="clear" w:color="ffffff" w:fill="d9d9d9"/>
        </w:rPr>
      </w:pPr>
      <w:r>
        <w:rPr>
          <w:rFonts w:hint="eastAsia" w:ascii="方正仿宋_GBK" w:hAnsi="方正仿宋_GBK" w:eastAsia="方正仿宋_GBK" w:cs="方正仿宋_GBK"/>
          <w:sz w:val="28"/>
          <w:szCs w:val="28"/>
        </w:rPr>
        <w:t xml:space="preserve">联系方式：</w:t>
      </w:r>
      <w:r>
        <w:rPr>
          <w:rFonts w:ascii="方正仿宋_GBK" w:hAnsi="方正仿宋_GBK" w:eastAsia="方正仿宋_GBK" w:cs="方正仿宋_GBK"/>
          <w:sz w:val="28"/>
          <w:szCs w:val="28"/>
          <w:u w:val="single"/>
        </w:rPr>
        <w:t xml:space="preserve">025-83668520、83668519</w:t>
      </w:r>
      <w:r/>
    </w:p>
    <w:p>
      <w:pPr>
        <w:ind w:firstLine="560"/>
        <w:keepLines/>
        <w:keepNext/>
        <w:spacing w:before="156" w:after="156" w:line="400" w:lineRule="exact"/>
        <w:rPr>
          <w:rFonts w:ascii="方正黑体_GBK" w:hAnsi="方正黑体_GBK" w:eastAsia="方正黑体_GBK" w:cs="方正黑体_GBK"/>
          <w:sz w:val="28"/>
          <w:szCs w:val="28"/>
        </w:rPr>
        <w:outlineLvl w:val="2"/>
      </w:pPr>
      <w:r/>
      <w:bookmarkStart w:id="54" w:name="_Toc236925631"/>
      <w:r/>
      <w:bookmarkEnd w:id="49"/>
      <w:r/>
      <w:bookmarkEnd w:id="50"/>
      <w:r>
        <w:rPr>
          <w:rFonts w:hint="eastAsia" w:ascii="方正黑体_GBK" w:hAnsi="方正黑体_GBK" w:eastAsia="方正黑体_GBK" w:cs="方正黑体_GBK"/>
          <w:sz w:val="28"/>
          <w:szCs w:val="28"/>
        </w:rPr>
        <w:t xml:space="preserve">八、其他</w:t>
      </w:r>
      <w:bookmarkEnd w:id="54"/>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sz w:val="28"/>
          <w:szCs w:val="28"/>
        </w:rPr>
        <w:t xml:space="preserve">http://www.ccgp-jiangsu.gov.cn/jiangsu/zlxz/ee/ee3a4bc5a3454aa2b0d9312230633ce9.html</w:t>
      </w:r>
      <w:r>
        <w:rPr>
          <w:rFonts w:ascii="Times New Roman" w:hAnsi="Times New Roman" w:eastAsia="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ascii="方正黑体_GBK" w:hAnsi="方正黑体_GBK" w:eastAsia="方正黑体_GBK" w:cs="方正黑体_GBK"/>
          <w:sz w:val="28"/>
          <w:szCs w:val="28"/>
        </w:rPr>
        <w:outlineLvl w:val="0"/>
      </w:pPr>
      <w:r/>
      <w:bookmarkStart w:id="55" w:name="_Toc120614211"/>
      <w:r/>
      <w:bookmarkStart w:id="56" w:name="_Toc236925632"/>
      <w:r/>
      <w:bookmarkStart w:id="57" w:name="_Toc513029203"/>
      <w:r/>
      <w:bookmarkStart w:id="58" w:name="_Toc120614214"/>
      <w:r/>
      <w:bookmarkStart w:id="59" w:name="_Toc16938519"/>
      <w:r/>
      <w:bookmarkStart w:id="60" w:name="_Toc20823275"/>
      <w:r/>
      <w:bookmarkEnd w:id="2"/>
      <w:r/>
      <w:bookmarkEnd w:id="3"/>
      <w:r/>
      <w:bookmarkEnd w:id="4"/>
      <w:r/>
      <w:bookmarkEnd w:id="5"/>
      <w:r/>
      <w:bookmarkEnd w:id="6"/>
      <w:r>
        <w:rPr>
          <w:rFonts w:hint="eastAsia" w:ascii="方正黑体_GBK" w:hAnsi="方正黑体_GBK" w:eastAsia="方正黑体_GBK" w:cs="方正黑体_GBK"/>
          <w:sz w:val="28"/>
          <w:szCs w:val="28"/>
        </w:rPr>
        <w:t xml:space="preserve">第二章  </w:t>
      </w:r>
      <w:bookmarkEnd w:id="55"/>
      <w:r>
        <w:rPr>
          <w:rFonts w:hint="eastAsia" w:ascii="方正黑体_GBK" w:hAnsi="方正黑体_GBK" w:eastAsia="方正黑体_GBK" w:cs="方正黑体_GBK"/>
          <w:sz w:val="28"/>
          <w:szCs w:val="28"/>
        </w:rPr>
        <w:t xml:space="preserve">供应商须知</w:t>
      </w:r>
      <w:bookmarkEnd w:id="56"/>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61" w:name="_Toc236925633"/>
      <w:r/>
      <w:bookmarkStart w:id="62" w:name="_Toc120614215"/>
      <w:r/>
      <w:bookmarkStart w:id="63" w:name="_Toc20823281"/>
      <w:r/>
      <w:bookmarkStart w:id="64" w:name="_Toc513029209"/>
      <w:r/>
      <w:bookmarkStart w:id="65" w:name="_Toc16938525"/>
      <w:r/>
      <w:bookmarkEnd w:id="57"/>
      <w:r/>
      <w:bookmarkEnd w:id="58"/>
      <w:r/>
      <w:bookmarkEnd w:id="59"/>
      <w:r/>
      <w:bookmarkEnd w:id="60"/>
      <w:r>
        <w:rPr>
          <w:rFonts w:hint="eastAsia" w:ascii="方正黑体_GBK" w:hAnsi="方正黑体_GBK" w:eastAsia="方正黑体_GBK" w:cs="方正黑体_GBK"/>
          <w:sz w:val="28"/>
          <w:szCs w:val="28"/>
        </w:rPr>
        <w:t xml:space="preserve">一、总则</w:t>
      </w:r>
      <w:bookmarkEnd w:id="61"/>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66" w:name="_Hlt16619475"/>
      <w:r/>
      <w:bookmarkStart w:id="67" w:name="_Toc458694821"/>
      <w:r/>
      <w:bookmarkStart w:id="68" w:name="_Toc20823276"/>
      <w:r/>
      <w:bookmarkStart w:id="69" w:name="_Toc16938520"/>
      <w:r/>
      <w:bookmarkStart w:id="70" w:name="_Toc513029204"/>
      <w:r/>
      <w:bookmarkEnd w:id="66"/>
      <w:r>
        <w:rPr>
          <w:rFonts w:hint="eastAsia" w:ascii="方正仿宋_GBK" w:hAnsi="方正仿宋_GBK" w:eastAsia="方正仿宋_GBK" w:cs="方正仿宋_GBK"/>
          <w:bCs/>
          <w:sz w:val="28"/>
          <w:szCs w:val="28"/>
        </w:rPr>
        <w:t xml:space="preserve">1</w:t>
      </w:r>
      <w:bookmarkEnd w:id="67"/>
      <w:r>
        <w:rPr>
          <w:rFonts w:hint="eastAsia" w:ascii="方正仿宋_GBK" w:hAnsi="方正仿宋_GBK" w:eastAsia="方正仿宋_GBK" w:cs="方正仿宋_GBK"/>
          <w:bCs/>
          <w:sz w:val="28"/>
          <w:szCs w:val="28"/>
        </w:rPr>
        <w:t xml:space="preserve">.采购方式</w:t>
      </w:r>
      <w:bookmarkEnd w:id="68"/>
      <w:r/>
      <w:bookmarkEnd w:id="69"/>
      <w:r/>
      <w:bookmarkEnd w:id="70"/>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w:t>
      </w:r>
      <w:r>
        <w:rPr>
          <w:rFonts w:hint="eastAsia" w:ascii="方正仿宋_GBK" w:hAnsi="方正仿宋_GBK" w:eastAsia="方正仿宋_GBK" w:cs="方正仿宋_GBK"/>
          <w:bCs/>
          <w:sz w:val="28"/>
          <w:szCs w:val="28"/>
        </w:rPr>
        <w:t xml:space="preserve">(以下简称磋商)</w:t>
      </w:r>
      <w:r>
        <w:rPr>
          <w:rFonts w:hint="eastAsia" w:ascii="方正仿宋_GBK" w:hAnsi="方正仿宋_GBK" w:eastAsia="方正仿宋_GBK" w:cs="方正仿宋_GBK"/>
          <w:bCs/>
          <w:sz w:val="28"/>
          <w:szCs w:val="28"/>
        </w:rPr>
        <w:t xml:space="preserve">方式，本磋商文件仅适用于磋商公告中所述项目。</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1" w:name="_Toc513029205"/>
      <w:r/>
      <w:bookmarkStart w:id="72" w:name="_Toc16938521"/>
      <w:r/>
      <w:bookmarkStart w:id="73" w:name="_Toc20823277"/>
      <w:r>
        <w:rPr>
          <w:rFonts w:hint="eastAsia" w:ascii="方正仿宋_GBK" w:hAnsi="方正仿宋_GBK" w:eastAsia="方正仿宋_GBK" w:cs="方正仿宋_GBK"/>
          <w:bCs/>
          <w:sz w:val="28"/>
          <w:szCs w:val="28"/>
        </w:rPr>
        <w:t xml:space="preserve">2.合格的</w:t>
      </w:r>
      <w:bookmarkEnd w:id="71"/>
      <w:r/>
      <w:bookmarkEnd w:id="72"/>
      <w:r/>
      <w:bookmarkEnd w:id="73"/>
      <w:r>
        <w:rPr>
          <w:rFonts w:hint="eastAsia" w:ascii="方正仿宋_GBK" w:hAnsi="方正仿宋_GBK" w:eastAsia="方正仿宋_GBK" w:cs="方正仿宋_GBK"/>
          <w:bCs/>
          <w:sz w:val="28"/>
          <w:szCs w:val="28"/>
        </w:rPr>
        <w:t xml:space="preserve">供应商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74" w:name="_Toc513029206"/>
      <w:r/>
      <w:bookmarkStart w:id="75" w:name="_Toc16938522"/>
      <w:r/>
      <w:bookmarkStart w:id="76" w:name="_Toc20823278"/>
      <w:r/>
      <w:bookmarkStart w:id="77" w:name="_Toc16938523"/>
      <w:r/>
      <w:bookmarkStart w:id="78" w:name="_Toc462564067"/>
      <w:r/>
      <w:bookmarkStart w:id="79" w:name="_Toc20823279"/>
      <w:r/>
      <w:bookmarkStart w:id="80" w:name="_Toc513029207"/>
      <w:r>
        <w:rPr>
          <w:rFonts w:hint="eastAsia" w:ascii="方正仿宋_GBK" w:hAnsi="方正仿宋_GBK" w:eastAsia="方正仿宋_GBK" w:cs="方正仿宋_GBK"/>
          <w:bCs/>
          <w:sz w:val="28"/>
          <w:szCs w:val="28"/>
        </w:rPr>
        <w:t xml:space="preserve">3.适用法律</w:t>
      </w:r>
      <w:bookmarkEnd w:id="74"/>
      <w:r/>
      <w:bookmarkEnd w:id="75"/>
      <w:r/>
      <w:bookmarkEnd w:id="76"/>
      <w:r>
        <w:rPr>
          <w:rFonts w:hint="eastAsia" w:ascii="方正仿宋_GBK" w:hAnsi="方正仿宋_GBK" w:eastAsia="方正仿宋_GBK" w:cs="方正仿宋_GBK"/>
          <w:bCs/>
          <w:sz w:val="28"/>
          <w:szCs w:val="28"/>
        </w:rPr>
        <w:t xml:space="preserve">和标准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3.1本次磋商及由此产生的合同受中华人民共和国有关的法律法规制约和保护。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4.磋商费用</w:t>
      </w:r>
      <w:bookmarkEnd w:id="77"/>
      <w:r/>
      <w:bookmarkEnd w:id="78"/>
      <w:r/>
      <w:bookmarkEnd w:id="79"/>
      <w:r/>
      <w:bookmarkEnd w:id="80"/>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5.磋商文件的约束力</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81" w:name="_Toc236925634"/>
      <w:r/>
      <w:bookmarkStart w:id="82" w:name="_Toc120614216"/>
      <w:r/>
      <w:bookmarkStart w:id="83" w:name="_Toc16938529"/>
      <w:r/>
      <w:bookmarkStart w:id="84" w:name="_Toc513029213"/>
      <w:r/>
      <w:bookmarkStart w:id="85" w:name="_Toc20823285"/>
      <w:r/>
      <w:bookmarkStart w:id="86" w:name="_Toc462564072"/>
      <w:r/>
      <w:bookmarkEnd w:id="62"/>
      <w:r/>
      <w:bookmarkEnd w:id="63"/>
      <w:r/>
      <w:bookmarkEnd w:id="64"/>
      <w:r/>
      <w:bookmarkEnd w:id="65"/>
      <w:r>
        <w:rPr>
          <w:rFonts w:hint="eastAsia" w:ascii="方正黑体_GBK" w:hAnsi="方正黑体_GBK" w:eastAsia="方正黑体_GBK" w:cs="方正黑体_GBK"/>
          <w:sz w:val="28"/>
          <w:szCs w:val="28"/>
        </w:rPr>
        <w:t xml:space="preserve">二、磋商文件</w:t>
      </w:r>
      <w:bookmarkEnd w:id="81"/>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87" w:name="_Toc16938526"/>
      <w:r/>
      <w:bookmarkStart w:id="88" w:name="_Toc513029210"/>
      <w:r/>
      <w:bookmarkStart w:id="89" w:name="_Toc20823282"/>
      <w:r>
        <w:rPr>
          <w:rFonts w:hint="eastAsia" w:ascii="方正仿宋_GBK" w:hAnsi="方正仿宋_GBK" w:eastAsia="方正仿宋_GBK" w:cs="方正仿宋_GBK"/>
          <w:bCs/>
          <w:sz w:val="28"/>
          <w:szCs w:val="28"/>
        </w:rPr>
        <w:t xml:space="preserve">6.磋商文件构成</w:t>
      </w:r>
      <w:bookmarkEnd w:id="87"/>
      <w:r/>
      <w:bookmarkEnd w:id="88"/>
      <w:r/>
      <w:bookmarkEnd w:id="89"/>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90" w:name="_Toc513029212"/>
      <w:r/>
      <w:bookmarkStart w:id="91" w:name="_Toc16938528"/>
      <w:r/>
      <w:bookmarkStart w:id="92" w:name="_Toc462564071"/>
      <w:r/>
      <w:bookmarkStart w:id="93" w:name="_Toc20823284"/>
      <w:r>
        <w:rPr>
          <w:rFonts w:hint="eastAsia" w:ascii="方正仿宋_GBK" w:hAnsi="方正仿宋_GBK" w:eastAsia="方正仿宋_GBK" w:cs="方正仿宋_GBK"/>
          <w:bCs/>
          <w:sz w:val="28"/>
          <w:szCs w:val="28"/>
        </w:rPr>
        <w:t xml:space="preserve">7.磋商文件的澄清和修改</w:t>
      </w:r>
      <w:bookmarkEnd w:id="90"/>
      <w:r/>
      <w:bookmarkEnd w:id="91"/>
      <w:r/>
      <w:bookmarkEnd w:id="92"/>
      <w:r/>
      <w:bookmarkEnd w:id="93"/>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w:t>
      </w:r>
      <w:r>
        <w:rPr>
          <w:rFonts w:hint="eastAsia" w:ascii="方正仿宋_GBK" w:hAnsi="方正仿宋_GBK" w:eastAsia="方正仿宋_GBK" w:cs="方正仿宋_GBK"/>
          <w:bCs/>
          <w:sz w:val="28"/>
          <w:szCs w:val="28"/>
        </w:rPr>
        <w:t xml:space="preserve">修改,</w:t>
      </w:r>
      <w:r>
        <w:rPr>
          <w:rFonts w:hint="eastAsia" w:ascii="方正仿宋_GBK" w:hAnsi="方正仿宋_GBK" w:eastAsia="方正仿宋_GBK" w:cs="方正仿宋_GBK"/>
          <w:bCs/>
          <w:sz w:val="28"/>
          <w:szCs w:val="28"/>
        </w:rPr>
        <w:t xml:space="preserve"> 澄清或者修改的内容作为磋商文件的组成部分。澄清或者修改的内容可能影响响应文件编制的，采购中心将在提交首次响应文件截止时间至少5日前，在“江苏政府采购网”上发布书面更正公告形式通知所有获取磋商文件的</w:t>
      </w:r>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t xml:space="preserve"> 更正公告内容将作为磋商文件的组成部分，并对供应商具有约束力。不足5日的，采购中心将顺延提交首次响应文件截止时间。</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94" w:name="_Hlt26954739"/>
      <w:r/>
      <w:bookmarkStart w:id="95" w:name="_Hlt26954852"/>
      <w:r/>
      <w:bookmarkStart w:id="96" w:name="_Toc236925635"/>
      <w:r/>
      <w:bookmarkStart w:id="97" w:name="_Toc20823286"/>
      <w:r/>
      <w:bookmarkStart w:id="98" w:name="_Toc16938530"/>
      <w:r/>
      <w:bookmarkStart w:id="99" w:name="_Toc462564073"/>
      <w:r/>
      <w:bookmarkStart w:id="100" w:name="_Toc513029214"/>
      <w:r/>
      <w:bookmarkStart w:id="101" w:name="_Toc513029224"/>
      <w:r/>
      <w:bookmarkStart w:id="102" w:name="_Toc120614217"/>
      <w:r/>
      <w:bookmarkStart w:id="103" w:name="_Toc16938540"/>
      <w:r/>
      <w:bookmarkStart w:id="104" w:name="_Toc20823296"/>
      <w:r/>
      <w:bookmarkEnd w:id="82"/>
      <w:r/>
      <w:bookmarkEnd w:id="83"/>
      <w:r/>
      <w:bookmarkEnd w:id="84"/>
      <w:r/>
      <w:bookmarkEnd w:id="85"/>
      <w:r/>
      <w:bookmarkEnd w:id="86"/>
      <w:r/>
      <w:bookmarkEnd w:id="94"/>
      <w:r/>
      <w:bookmarkEnd w:id="95"/>
      <w:r>
        <w:rPr>
          <w:rFonts w:hint="eastAsia" w:ascii="方正黑体_GBK" w:hAnsi="方正黑体_GBK" w:eastAsia="方正黑体_GBK" w:cs="方正黑体_GBK"/>
          <w:sz w:val="28"/>
          <w:szCs w:val="28"/>
        </w:rPr>
        <w:t xml:space="preserve">三、响应文件的编制</w:t>
      </w:r>
      <w:bookmarkEnd w:id="9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8.响应文件的语言及度量衡单位</w:t>
      </w:r>
      <w:bookmarkEnd w:id="97"/>
      <w:r/>
      <w:bookmarkEnd w:id="98"/>
      <w:r/>
      <w:bookmarkEnd w:id="99"/>
      <w:r/>
      <w:bookmarkEnd w:id="100"/>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05" w:name="_Toc16938531"/>
      <w:r/>
      <w:bookmarkStart w:id="106" w:name="_Toc462564074"/>
      <w:r/>
      <w:bookmarkStart w:id="107" w:name="_Toc20823287"/>
      <w:r/>
      <w:bookmarkStart w:id="108" w:name="_Toc513029215"/>
      <w:r>
        <w:rPr>
          <w:rFonts w:hint="eastAsia" w:ascii="方正仿宋_GBK" w:hAnsi="方正仿宋_GBK" w:eastAsia="方正仿宋_GBK" w:cs="方正仿宋_GBK"/>
          <w:bCs/>
          <w:sz w:val="28"/>
          <w:szCs w:val="28"/>
        </w:rPr>
        <w:t xml:space="preserve">9.响应文件构成</w:t>
      </w:r>
      <w:bookmarkEnd w:id="105"/>
      <w:r/>
      <w:bookmarkEnd w:id="106"/>
      <w:r/>
      <w:bookmarkEnd w:id="107"/>
      <w:r/>
      <w:bookmarkEnd w:id="10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09" w:name="_Hlt26668975"/>
      <w:r/>
      <w:bookmarkStart w:id="110" w:name="_Hlt26670360"/>
      <w:r/>
      <w:bookmarkStart w:id="111" w:name="_Hlt26954838"/>
      <w:r/>
      <w:bookmarkStart w:id="112" w:name="_Toc49090507"/>
      <w:r/>
      <w:bookmarkStart w:id="113" w:name="_Toc49090509"/>
      <w:r/>
      <w:bookmarkStart w:id="114" w:name="_Toc14577354"/>
      <w:r/>
      <w:bookmarkStart w:id="115" w:name="_Toc14577357"/>
      <w:r/>
      <w:bookmarkStart w:id="116" w:name="_Toc513029216"/>
      <w:r/>
      <w:bookmarkStart w:id="117" w:name="_Toc513029219"/>
      <w:r/>
      <w:bookmarkStart w:id="118" w:name="_Toc14577355"/>
      <w:r/>
      <w:bookmarkStart w:id="119" w:name="_Toc49090508"/>
      <w:r/>
      <w:bookmarkEnd w:id="109"/>
      <w:r/>
      <w:bookmarkEnd w:id="110"/>
      <w:r/>
      <w:bookmarkEnd w:id="111"/>
      <w:r>
        <w:rPr>
          <w:rFonts w:hint="eastAsia" w:ascii="方正仿宋_GBK" w:hAnsi="方正仿宋_GBK" w:eastAsia="方正仿宋_GBK" w:cs="方正仿宋_GBK"/>
          <w:bCs/>
          <w:sz w:val="28"/>
          <w:szCs w:val="28"/>
        </w:rPr>
        <w:t xml:space="preserve">10.证明磋商响应标的符合磋商文件规定的文件</w:t>
      </w:r>
      <w:bookmarkEnd w:id="112"/>
      <w:r/>
      <w:bookmarkEnd w:id="113"/>
      <w:r/>
      <w:bookmarkEnd w:id="114"/>
      <w:r/>
      <w:bookmarkEnd w:id="115"/>
      <w:r/>
      <w:bookmarkEnd w:id="116"/>
      <w:r/>
      <w:bookmarkEnd w:id="117"/>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bookmarkEnd w:id="118"/>
      <w:r/>
      <w:bookmarkEnd w:id="119"/>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11.分项报价表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0" w:name="_Hlt26670482"/>
      <w:r/>
      <w:bookmarkStart w:id="121" w:name="_Hlt26954846"/>
      <w:r/>
      <w:bookmarkStart w:id="122" w:name="_Hlt26954848"/>
      <w:r/>
      <w:bookmarkStart w:id="123" w:name="_Hlt26670486"/>
      <w:r/>
      <w:bookmarkStart w:id="124" w:name="_Hlt26954731"/>
      <w:r/>
      <w:bookmarkEnd w:id="120"/>
      <w:r/>
      <w:bookmarkEnd w:id="121"/>
      <w:r/>
      <w:bookmarkEnd w:id="122"/>
      <w:r/>
      <w:bookmarkEnd w:id="123"/>
      <w:r/>
      <w:bookmarkEnd w:id="124"/>
      <w:r>
        <w:rPr>
          <w:rFonts w:hint="eastAsia" w:ascii="方正仿宋_GBK" w:hAnsi="方正仿宋_GBK" w:eastAsia="方正仿宋_GBK" w:cs="方正仿宋_GBK"/>
          <w:bCs/>
          <w:sz w:val="28"/>
          <w:szCs w:val="28"/>
        </w:rPr>
        <w:t xml:space="preserve">12.技术要求响应及偏离表、商务要求响应及偏离表</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p>
    <w:p>
      <w:pPr>
        <w:ind w:firstLine="560"/>
        <w:spacing w:line="400" w:lineRule="exact"/>
        <w:tabs>
          <w:tab w:val="left" w:pos="900" w:leader="none"/>
        </w:tabs>
        <w:rPr>
          <w:rFonts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13.服务承诺、培训计划、人员安排及其他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5" w:name="_Toc49090510"/>
      <w:r/>
      <w:bookmarkStart w:id="126" w:name="_Toc14577359"/>
      <w:r>
        <w:rPr>
          <w:rFonts w:hint="eastAsia" w:ascii="方正仿宋_GBK" w:hAnsi="方正仿宋_GBK" w:eastAsia="方正仿宋_GBK" w:cs="方正仿宋_GBK"/>
          <w:bCs/>
          <w:sz w:val="28"/>
          <w:szCs w:val="28"/>
        </w:rPr>
        <w:t xml:space="preserve">14.磋商响应函</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27" w:name="_Toc14577360"/>
      <w:r/>
      <w:bookmarkStart w:id="128" w:name="_Toc49090511"/>
      <w:r/>
      <w:bookmarkEnd w:id="125"/>
      <w:r/>
      <w:bookmarkEnd w:id="126"/>
      <w:r>
        <w:rPr>
          <w:rFonts w:hint="eastAsia" w:ascii="方正仿宋_GBK" w:hAnsi="方正仿宋_GBK" w:eastAsia="方正仿宋_GBK" w:cs="方正仿宋_GBK"/>
          <w:bCs/>
          <w:sz w:val="28"/>
          <w:szCs w:val="28"/>
        </w:rPr>
        <w:t xml:space="preserve">15.磋商有效期</w:t>
      </w:r>
      <w:bookmarkEnd w:id="127"/>
      <w:r/>
      <w:bookmarkEnd w:id="12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16.磋商有效期的延长</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129" w:name="_Toc236925636"/>
      <w:r/>
      <w:bookmarkStart w:id="130" w:name="_Toc513029229"/>
      <w:r/>
      <w:bookmarkStart w:id="131" w:name="_Toc16938545"/>
      <w:r/>
      <w:bookmarkStart w:id="132" w:name="_Toc20823301"/>
      <w:r/>
      <w:bookmarkStart w:id="133" w:name="_Toc120614218"/>
      <w:r/>
      <w:bookmarkEnd w:id="101"/>
      <w:r/>
      <w:bookmarkEnd w:id="102"/>
      <w:r/>
      <w:bookmarkEnd w:id="103"/>
      <w:r/>
      <w:bookmarkEnd w:id="104"/>
      <w:r>
        <w:rPr>
          <w:rFonts w:hint="eastAsia" w:ascii="方正黑体_GBK" w:hAnsi="方正黑体_GBK" w:eastAsia="方正黑体_GBK" w:cs="方正黑体_GBK"/>
          <w:sz w:val="28"/>
          <w:szCs w:val="28"/>
        </w:rPr>
        <w:t xml:space="preserve">四、响应文件的递交</w:t>
      </w:r>
      <w:bookmarkEnd w:id="129"/>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34" w:name="_Toc462564084"/>
      <w:r/>
      <w:bookmarkStart w:id="135" w:name="_Toc16938541"/>
      <w:r/>
      <w:bookmarkStart w:id="136" w:name="_Toc513029225"/>
      <w:r/>
      <w:bookmarkStart w:id="137" w:name="_Toc20823297"/>
      <w:r>
        <w:rPr>
          <w:rFonts w:hint="eastAsia" w:ascii="方正仿宋_GBK" w:hAnsi="方正仿宋_GBK" w:eastAsia="方正仿宋_GBK" w:cs="方正仿宋_GBK"/>
          <w:bCs/>
          <w:sz w:val="28"/>
          <w:szCs w:val="28"/>
        </w:rPr>
        <w:t xml:space="preserve">17.电子磋商</w:t>
      </w:r>
      <w:bookmarkEnd w:id="134"/>
      <w:r/>
      <w:bookmarkEnd w:id="135"/>
      <w:r/>
      <w:bookmarkEnd w:id="136"/>
      <w:r/>
      <w:bookmarkEnd w:id="137"/>
      <w:r>
        <w:rPr>
          <w:rFonts w:hint="eastAsia" w:ascii="方正仿宋_GBK" w:hAnsi="方正仿宋_GBK" w:eastAsia="方正仿宋_GBK" w:cs="方正仿宋_GBK"/>
          <w:bCs/>
          <w:sz w:val="28"/>
          <w:szCs w:val="28"/>
        </w:rPr>
        <w:t xml:space="preserve">响应文件的递交</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38" w:name="_Toc513029226"/>
      <w:r/>
      <w:bookmarkStart w:id="139" w:name="_Toc16938542"/>
      <w:r/>
      <w:bookmarkStart w:id="140" w:name="_Toc20823298"/>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18.提交响应文件截止时间</w:t>
      </w:r>
      <w:bookmarkEnd w:id="138"/>
      <w:r/>
      <w:bookmarkEnd w:id="139"/>
      <w:r/>
      <w:bookmarkEnd w:id="140"/>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供应商应充分考虑到网络环境、网络带宽等风险因素，如因供应商自身原因造成的电子响应文件上传不成功的按照本磋商文件第二章第25.3.2条规定作无效响应处理。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1" w:name="_Toc16938543"/>
      <w:r/>
      <w:bookmarkStart w:id="142" w:name="_Toc513029227"/>
      <w:r/>
      <w:bookmarkStart w:id="143" w:name="_Toc20823299"/>
      <w:r>
        <w:rPr>
          <w:rFonts w:hint="eastAsia" w:ascii="方正仿宋_GBK" w:hAnsi="方正仿宋_GBK" w:eastAsia="方正仿宋_GBK" w:cs="方正仿宋_GBK"/>
          <w:bCs/>
          <w:sz w:val="28"/>
          <w:szCs w:val="28"/>
        </w:rPr>
        <w:t xml:space="preserve">19.响应文件</w:t>
      </w:r>
      <w:bookmarkEnd w:id="141"/>
      <w:r/>
      <w:bookmarkEnd w:id="142"/>
      <w:r/>
      <w:bookmarkEnd w:id="143"/>
      <w:r>
        <w:rPr>
          <w:rFonts w:hint="eastAsia" w:ascii="方正仿宋_GBK" w:hAnsi="方正仿宋_GBK" w:eastAsia="方正仿宋_GBK" w:cs="方正仿宋_GBK"/>
          <w:bCs/>
          <w:sz w:val="28"/>
          <w:szCs w:val="28"/>
        </w:rPr>
        <w:t xml:space="preserve">的拒收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4" w:name="_Toc513029228"/>
      <w:r/>
      <w:bookmarkStart w:id="145" w:name="_Toc16938544"/>
      <w:r/>
      <w:bookmarkStart w:id="146" w:name="_Toc20823300"/>
      <w:r>
        <w:rPr>
          <w:rFonts w:hint="eastAsia" w:ascii="方正仿宋_GBK" w:hAnsi="方正仿宋_GBK" w:eastAsia="方正仿宋_GBK" w:cs="方正仿宋_GBK"/>
          <w:bCs/>
          <w:sz w:val="28"/>
          <w:szCs w:val="28"/>
        </w:rPr>
        <w:t xml:space="preserve">20.响应文件的撤回和修改</w:t>
      </w:r>
      <w:bookmarkEnd w:id="144"/>
      <w:r/>
      <w:bookmarkEnd w:id="145"/>
      <w:r/>
      <w:bookmarkEnd w:id="14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147" w:name="_Toc236925637"/>
      <w:r>
        <w:rPr>
          <w:rFonts w:hint="eastAsia" w:ascii="方正黑体_GBK" w:hAnsi="方正黑体_GBK" w:eastAsia="方正黑体_GBK" w:cs="方正黑体_GBK"/>
          <w:sz w:val="28"/>
          <w:szCs w:val="28"/>
        </w:rPr>
        <w:t xml:space="preserve">五、响应文件的解密与评审</w:t>
      </w:r>
      <w:bookmarkEnd w:id="130"/>
      <w:r/>
      <w:bookmarkEnd w:id="131"/>
      <w:r/>
      <w:bookmarkEnd w:id="132"/>
      <w:r/>
      <w:bookmarkEnd w:id="133"/>
      <w:r/>
      <w:bookmarkEnd w:id="147"/>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48" w:name="_Toc513029230"/>
      <w:r/>
      <w:bookmarkStart w:id="149" w:name="_Toc16938546"/>
      <w:r/>
      <w:bookmarkStart w:id="150" w:name="_Toc20823302"/>
      <w:r/>
      <w:bookmarkStart w:id="151" w:name="_Toc16938548"/>
      <w:r/>
      <w:bookmarkStart w:id="152" w:name="_Toc20823304"/>
      <w:r/>
      <w:bookmarkStart w:id="153" w:name="_Toc513029232"/>
      <w:r>
        <w:rPr>
          <w:rFonts w:hint="eastAsia" w:ascii="方正仿宋_GBK" w:hAnsi="方正仿宋_GBK" w:eastAsia="方正仿宋_GBK" w:cs="方正仿宋_GBK"/>
          <w:bCs/>
          <w:sz w:val="28"/>
          <w:szCs w:val="28"/>
        </w:rPr>
        <w:t xml:space="preserve">21</w:t>
      </w:r>
      <w:bookmarkEnd w:id="148"/>
      <w:r/>
      <w:bookmarkEnd w:id="149"/>
      <w:r/>
      <w:bookmarkEnd w:id="150"/>
      <w:r>
        <w:rPr>
          <w:rFonts w:hint="eastAsia" w:ascii="方正仿宋_GBK" w:hAnsi="方正仿宋_GBK" w:eastAsia="方正仿宋_GBK" w:cs="方正仿宋_GBK"/>
          <w:bCs/>
          <w:sz w:val="28"/>
          <w:szCs w:val="28"/>
        </w:rPr>
        <w:t xml:space="preserve">.响应文件解密</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4" w:name="_Toc20823303"/>
      <w:r/>
      <w:bookmarkStart w:id="155" w:name="_Toc16938547"/>
      <w:r/>
      <w:bookmarkStart w:id="156" w:name="_Toc513029231"/>
      <w:r>
        <w:rPr>
          <w:rFonts w:hint="eastAsia" w:ascii="方正仿宋_GBK" w:hAnsi="方正仿宋_GBK" w:eastAsia="方正仿宋_GBK" w:cs="方正仿宋_GBK"/>
          <w:bCs/>
          <w:sz w:val="28"/>
          <w:szCs w:val="28"/>
        </w:rPr>
        <w:t xml:space="preserve">22.磋商小组</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23.评审过程的保密与公正</w:t>
      </w:r>
      <w:bookmarkEnd w:id="154"/>
      <w:r/>
      <w:bookmarkEnd w:id="155"/>
      <w:r/>
      <w:bookmarkEnd w:id="156"/>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57" w:name="_Toc20823305"/>
      <w:r/>
      <w:bookmarkStart w:id="158" w:name="_Toc16938549"/>
      <w:r/>
      <w:bookmarkStart w:id="159" w:name="_Toc513029233"/>
      <w:r/>
      <w:bookmarkEnd w:id="151"/>
      <w:r/>
      <w:bookmarkEnd w:id="152"/>
      <w:r/>
      <w:bookmarkEnd w:id="153"/>
      <w:r>
        <w:rPr>
          <w:rFonts w:hint="eastAsia" w:ascii="方正仿宋_GBK" w:hAnsi="方正仿宋_GBK" w:eastAsia="方正仿宋_GBK" w:cs="方正仿宋_GBK"/>
          <w:bCs/>
          <w:sz w:val="28"/>
          <w:szCs w:val="28"/>
        </w:rPr>
        <w:t xml:space="preserve">24.评审过程中</w:t>
      </w:r>
      <w:r>
        <w:rPr>
          <w:rFonts w:hint="eastAsia" w:ascii="方正仿宋_GBK" w:hAnsi="方正仿宋_GBK" w:eastAsia="方正仿宋_GBK" w:cs="方正仿宋_GBK"/>
          <w:bCs/>
          <w:sz w:val="28"/>
          <w:szCs w:val="28"/>
        </w:rPr>
        <w:t xml:space="preserve">的的</w:t>
      </w:r>
      <w:r>
        <w:rPr>
          <w:rFonts w:hint="eastAsia" w:ascii="方正仿宋_GBK" w:hAnsi="方正仿宋_GBK" w:eastAsia="方正仿宋_GBK" w:cs="方正仿宋_GBK"/>
          <w:bCs/>
          <w:sz w:val="28"/>
          <w:szCs w:val="28"/>
        </w:rPr>
        <w:t xml:space="preserve">澄清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25.对响应文件的审</w:t>
      </w:r>
      <w:bookmarkEnd w:id="157"/>
      <w:r/>
      <w:bookmarkEnd w:id="158"/>
      <w:r/>
      <w:bookmarkEnd w:id="159"/>
      <w:r>
        <w:rPr>
          <w:rFonts w:hint="eastAsia" w:ascii="方正仿宋_GBK" w:hAnsi="方正仿宋_GBK" w:eastAsia="方正仿宋_GBK" w:cs="方正仿宋_GBK"/>
          <w:bCs/>
          <w:sz w:val="28"/>
          <w:szCs w:val="28"/>
        </w:rPr>
        <w:t xml:space="preserve">查</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w:t>
      </w:r>
      <w:r>
        <w:rPr>
          <w:rFonts w:hint="eastAsia" w:ascii="方正仿宋_GBK" w:hAnsi="方正仿宋_GBK" w:eastAsia="方正仿宋_GBK" w:cs="方正仿宋_GBK"/>
          <w:bCs/>
          <w:sz w:val="28"/>
          <w:szCs w:val="28"/>
        </w:rPr>
        <w:t xml:space="preserve">是否具备磋商</w:t>
      </w:r>
      <w:r>
        <w:rPr>
          <w:rFonts w:hint="eastAsia" w:ascii="方正仿宋_GBK" w:hAnsi="方正仿宋_GBK" w:eastAsia="方正仿宋_GBK" w:cs="方正仿宋_GBK"/>
          <w:bCs/>
          <w:sz w:val="28"/>
          <w:szCs w:val="28"/>
        </w:rPr>
        <w:t xml:space="preserve">资格,</w:t>
      </w:r>
      <w:r>
        <w:rPr>
          <w:rFonts w:hint="eastAsia" w:ascii="方正仿宋_GBK" w:hAnsi="方正仿宋_GBK" w:eastAsia="方正仿宋_GBK" w:cs="方正仿宋_GBK"/>
          <w:bCs/>
          <w:sz w:val="28"/>
          <w:szCs w:val="28"/>
        </w:rPr>
        <w:t xml:space="preserve">查询结果留存并归档。</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联合体成员中任何一方存在不良信用记录的，视同联合体存在不良信用记录。</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w:t>
      </w:r>
      <w:r>
        <w:rPr>
          <w:rFonts w:hint="eastAsia" w:ascii="方正仿宋_GBK" w:hAnsi="方正仿宋_GBK" w:eastAsia="方正仿宋_GBK" w:cs="方正仿宋_GBK"/>
          <w:bCs/>
          <w:sz w:val="28"/>
          <w:szCs w:val="28"/>
        </w:rPr>
        <w:t xml:space="preserve">用记录。</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w:t>
      </w:r>
      <w:r>
        <w:rPr>
          <w:rFonts w:hint="eastAsia" w:ascii="方正仿宋_GBK" w:hAnsi="方正仿宋_GBK" w:eastAsia="方正仿宋_GBK" w:cs="方正仿宋_GBK"/>
          <w:bCs/>
          <w:sz w:val="28"/>
          <w:szCs w:val="28"/>
        </w:rPr>
        <w:t xml:space="preserve">10</w:t>
      </w:r>
      <w:r>
        <w:rPr>
          <w:rFonts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w:t>
      </w: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bCs/>
          <w:sz w:val="28"/>
          <w:szCs w:val="28"/>
        </w:rPr>
        <w:t xml:space="preserve">）</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25.3.10 供应商所提供的服务不符合磋商文件中所列国家强制性标准的。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如果响应文件实质上没有响应磋商文件的要求，磋商小组将予以拒绝，供应商不得通过修改或撤销不符合要求的偏离或保留而使其成为实质性响应的文件。</w:t>
      </w:r>
      <w:r/>
    </w:p>
    <w:p>
      <w:pPr>
        <w:ind w:firstLine="560"/>
        <w:spacing w:line="400" w:lineRule="exact"/>
        <w:rPr>
          <w:rFonts w:ascii="方正仿宋_GBK" w:hAnsi="方正仿宋_GBK" w:eastAsia="方正仿宋_GBK" w:cs="方正仿宋_GBK"/>
          <w:sz w:val="28"/>
          <w:szCs w:val="28"/>
        </w:rPr>
      </w:pPr>
      <w:r/>
      <w:bookmarkStart w:id="160" w:name="_Toc20823306"/>
      <w:r/>
      <w:bookmarkStart w:id="161" w:name="_Toc513029234"/>
      <w:r/>
      <w:bookmarkStart w:id="162" w:name="_Toc16938550"/>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p>
    <w:p>
      <w:pPr>
        <w:ind w:firstLine="560"/>
        <w:spacing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26</w:t>
      </w:r>
      <w:bookmarkEnd w:id="160"/>
      <w:r/>
      <w:bookmarkEnd w:id="161"/>
      <w:r/>
      <w:bookmarkEnd w:id="162"/>
      <w:r>
        <w:rPr>
          <w:rFonts w:hint="eastAsia" w:ascii="方正仿宋_GBK" w:hAnsi="方正仿宋_GBK" w:eastAsia="方正仿宋_GBK" w:cs="方正仿宋_GBK"/>
          <w:bCs/>
          <w:sz w:val="28"/>
          <w:szCs w:val="28"/>
        </w:rPr>
        <w:t xml:space="preserve">.磋商程序及评审方法与评审标准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w:t>
      </w:r>
      <w:r>
        <w:rPr>
          <w:rFonts w:hint="eastAsia" w:ascii="方正仿宋_GBK" w:hAnsi="方正仿宋_GBK" w:eastAsia="方正仿宋_GBK" w:cs="方正仿宋_GBK"/>
          <w:sz w:val="28"/>
          <w:szCs w:val="28"/>
        </w:rPr>
        <w:t xml:space="preserve">将按照少数服从多数的原则投票推荐3家以上供应商的设计方案或者解决方案，在苏采云系统中向其发布“最后报价要求函”及最后报价格式表，要求其在规定时间内提交最后报价。</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w:t>
      </w:r>
      <w:r>
        <w:rPr>
          <w:rFonts w:hint="eastAsia" w:ascii="方正仿宋_GBK" w:hAnsi="方正仿宋_GBK" w:eastAsia="方正仿宋_GBK" w:cs="方正仿宋_GBK"/>
          <w:sz w:val="28"/>
          <w:szCs w:val="28"/>
        </w:rPr>
        <w:t xml:space="preserve">公章,</w:t>
      </w:r>
      <w:r>
        <w:rPr>
          <w:rFonts w:hint="eastAsia" w:ascii="方正仿宋_GBK" w:hAnsi="方正仿宋_GBK" w:eastAsia="方正仿宋_GBK" w:cs="方正仿宋_GBK"/>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 异常低价响应审查</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26.1.4.1 评审过程中出现下列情形之一的，磋商小组应当启动异常低价响应审查程序：</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（1）响应报价低于全部通过符合性审查供应商响应报价平均值50%的，即响应报价&lt;全部通过符合性审查供应商响应报价平均值×50%；</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（2）响应报价低于通过符合性审查的次低报价供应商响应报价50%的，即响应报价&lt;通过符合性审查的次低报价供应商响应报价×50%；</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（3）响应报价低于采购项目最高限价45%的，即响应报价&lt;采购项目最高限价×45%；</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（4）磋商小组基于专业判断，认为供应商报价过低，有可能影响产品质量或者不能诚信履约的其他情形。</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26.1.4.2 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方正仿宋_GBK" w:hAnsi="方正仿宋_GBK" w:eastAsia="方正仿宋_GBK" w:cs="方正仿宋_GBK"/>
          <w:sz w:val="28"/>
          <w:szCs w:val="28"/>
        </w:rPr>
        <w:t xml:space="preserve">其中，属于第（3）项情形，供应商已随响应文件一并提交相关书面说明及必要的证明材料的，在评审现场可不再重复提交。</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评审方法与评审标准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163" w:name="_Toc20823307"/>
      <w:r/>
      <w:bookmarkStart w:id="164" w:name="_Toc120614219"/>
      <w:r/>
      <w:bookmarkStart w:id="165" w:name="_Toc513029235"/>
      <w:r/>
      <w:bookmarkStart w:id="166" w:name="_Toc16938551"/>
      <w:r/>
      <w:bookmarkStart w:id="167" w:name="_Toc236925638"/>
      <w:r>
        <w:rPr>
          <w:rFonts w:hint="eastAsia" w:ascii="方正黑体_GBK" w:hAnsi="方正黑体_GBK" w:eastAsia="方正黑体_GBK" w:cs="方正黑体_GBK"/>
          <w:sz w:val="28"/>
          <w:szCs w:val="28"/>
        </w:rPr>
        <w:t xml:space="preserve">六、</w:t>
      </w:r>
      <w:bookmarkEnd w:id="163"/>
      <w:r/>
      <w:bookmarkEnd w:id="164"/>
      <w:r/>
      <w:bookmarkEnd w:id="165"/>
      <w:r/>
      <w:bookmarkEnd w:id="166"/>
      <w:r>
        <w:rPr>
          <w:rFonts w:hint="eastAsia" w:ascii="方正黑体_GBK" w:hAnsi="方正黑体_GBK" w:eastAsia="方正黑体_GBK" w:cs="方正黑体_GBK"/>
          <w:sz w:val="28"/>
          <w:szCs w:val="28"/>
        </w:rPr>
        <w:t xml:space="preserve">成交</w:t>
      </w:r>
      <w:bookmarkEnd w:id="167"/>
      <w:r/>
      <w:r/>
    </w:p>
    <w:p>
      <w:pPr>
        <w:ind w:firstLine="560"/>
        <w:spacing w:after="156" w:line="400" w:lineRule="exact"/>
        <w:tabs>
          <w:tab w:val="left" w:pos="900" w:leader="none"/>
        </w:tabs>
        <w:rPr>
          <w:rFonts w:ascii="方正仿宋_GBK" w:hAnsi="方正仿宋_GBK" w:eastAsia="方正仿宋_GBK" w:cs="方正仿宋_GBK"/>
          <w:sz w:val="28"/>
          <w:szCs w:val="28"/>
        </w:rPr>
      </w:pPr>
      <w:r/>
      <w:bookmarkStart w:id="168" w:name="_Toc513029238"/>
      <w:r/>
      <w:bookmarkStart w:id="169" w:name="_Toc20823310"/>
      <w:r/>
      <w:bookmarkStart w:id="170" w:name="_Toc16938554"/>
      <w:r>
        <w:rPr>
          <w:rFonts w:hint="eastAsia" w:ascii="方正仿宋_GBK" w:hAnsi="方正仿宋_GBK" w:eastAsia="方正仿宋_GBK" w:cs="方正仿宋_GBK"/>
          <w:sz w:val="28"/>
          <w:szCs w:val="28"/>
        </w:rPr>
        <w:t xml:space="preserve">27</w:t>
      </w:r>
      <w:bookmarkEnd w:id="168"/>
      <w:r>
        <w:rPr>
          <w:rFonts w:hint="eastAsia" w:ascii="方正仿宋_GBK" w:hAnsi="方正仿宋_GBK" w:eastAsia="方正仿宋_GBK" w:cs="方正仿宋_GBK"/>
          <w:sz w:val="28"/>
          <w:szCs w:val="28"/>
        </w:rPr>
        <w:t xml:space="preserve">.确定</w:t>
      </w:r>
      <w:bookmarkEnd w:id="169"/>
      <w:r/>
      <w:bookmarkEnd w:id="170"/>
      <w:r>
        <w:rPr>
          <w:rFonts w:hint="eastAsia" w:ascii="方正仿宋_GBK" w:hAnsi="方正仿宋_GBK" w:eastAsia="方正仿宋_GBK" w:cs="方正仿宋_GBK"/>
          <w:sz w:val="28"/>
          <w:szCs w:val="28"/>
        </w:rPr>
        <w:t xml:space="preserve">成交单位</w:t>
      </w:r>
      <w:r/>
    </w:p>
    <w:p>
      <w:pPr>
        <w:ind w:firstLine="560"/>
        <w:spacing w:after="156" w:line="400" w:lineRule="exact"/>
        <w:tabs>
          <w:tab w:val="left" w:pos="90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p>
    <w:p>
      <w:pPr>
        <w:ind w:firstLine="560"/>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71" w:name="_Toc200451960"/>
      <w:r>
        <w:rPr>
          <w:rFonts w:hint="eastAsia" w:ascii="方正仿宋_GBK" w:hAnsi="方正仿宋_GBK" w:eastAsia="方正仿宋_GBK" w:cs="方正仿宋_GBK"/>
          <w:bCs/>
          <w:sz w:val="28"/>
          <w:szCs w:val="28"/>
        </w:rPr>
        <w:t xml:space="preserve">28.质疑处理</w:t>
      </w:r>
      <w:bookmarkEnd w:id="171"/>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t xml:space="preserve">　　28.2.2对采购过程提出质疑的，为各采购程序环节结束之日。</w:t>
      </w:r>
      <w:r>
        <w:rPr>
          <w:rFonts w:hint="eastAsia" w:ascii="方正仿宋_GBK" w:hAnsi="方正仿宋_GBK" w:eastAsia="方正仿宋_GBK" w:cs="方正仿宋_GBK"/>
          <w:sz w:val="28"/>
          <w:szCs w:val="28"/>
        </w:rPr>
        <w:br w:type="textWrapping" w:clear="all"/>
        <w:t xml:space="preserve">　　28.2.3对成交结果提出质疑的，为成交结果公告期限届满之日。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w:t>
      </w:r>
      <w:r>
        <w:rPr>
          <w:rFonts w:hint="eastAsia" w:ascii="方正仿宋_GBK" w:hAnsi="方正仿宋_GBK" w:eastAsia="方正仿宋_GBK" w:cs="方正仿宋_GBK"/>
          <w:sz w:val="28"/>
          <w:szCs w:val="28"/>
        </w:rPr>
        <w:t xml:space="preserve">质疑,</w:t>
      </w:r>
      <w:r>
        <w:rPr>
          <w:rFonts w:hint="eastAsia" w:ascii="方正仿宋_GBK" w:hAnsi="方正仿宋_GBK" w:eastAsia="方正仿宋_GBK" w:cs="方正仿宋_GBK"/>
          <w:sz w:val="28"/>
          <w:szCs w:val="28"/>
        </w:rPr>
        <w:t xml:space="preserve">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采购人质疑接收人及联系方式见磋商文件第一章。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w:t>
      </w:r>
      <w:r>
        <w:rPr>
          <w:rFonts w:hint="eastAsia" w:ascii="方正仿宋_GBK" w:hAnsi="方正仿宋_GBK" w:eastAsia="方正仿宋_GBK" w:cs="方正仿宋_GBK"/>
          <w:sz w:val="28"/>
          <w:szCs w:val="28"/>
        </w:rPr>
        <w:t xml:space="preserve">行政处罚和记录该供应商的失信信息。</w:t>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72" w:name="_Toc513029236"/>
      <w:r/>
      <w:bookmarkStart w:id="173" w:name="_Toc20823308"/>
      <w:r/>
      <w:bookmarkStart w:id="174" w:name="_Toc16938552"/>
      <w:r/>
      <w:bookmarkStart w:id="175" w:name="_Toc120614220"/>
      <w:r>
        <w:rPr>
          <w:rFonts w:hint="eastAsia" w:ascii="方正仿宋_GBK" w:hAnsi="方正仿宋_GBK" w:eastAsia="方正仿宋_GBK" w:cs="方正仿宋_GBK"/>
          <w:bCs/>
          <w:sz w:val="28"/>
          <w:szCs w:val="28"/>
        </w:rPr>
        <w:t xml:space="preserve">29.成交通知书</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w:t>
      </w:r>
      <w:r>
        <w:rPr>
          <w:rFonts w:hint="eastAsia" w:ascii="方正仿宋_GBK" w:hAnsi="方正仿宋_GBK" w:eastAsia="方正仿宋_GBK" w:cs="方正仿宋_GBK"/>
          <w:bCs/>
          <w:sz w:val="28"/>
          <w:szCs w:val="28"/>
        </w:rPr>
        <w:t xml:space="preserve">日内,</w:t>
      </w:r>
      <w:r>
        <w:rPr>
          <w:rFonts w:hint="eastAsia" w:ascii="方正仿宋_GBK" w:hAnsi="方正仿宋_GBK" w:eastAsia="方正仿宋_GBK" w:cs="方正仿宋_GBK"/>
          <w:bCs/>
          <w:sz w:val="28"/>
          <w:szCs w:val="28"/>
        </w:rPr>
        <w:t xml:space="preserve">使用CA数字证书登录苏采云系统及时下载成交通知书。因系统存储空间有限，自成交结果公告届满之日起30日后，苏采云系统不再保证提供下载成交通知书</w:t>
      </w:r>
      <w:r>
        <w:rPr>
          <w:rFonts w:hint="eastAsia" w:ascii="方正仿宋_GBK" w:hAnsi="方正仿宋_GBK" w:eastAsia="方正仿宋_GBK" w:cs="方正仿宋_GBK"/>
          <w:bCs/>
          <w:sz w:val="28"/>
          <w:szCs w:val="28"/>
        </w:rPr>
        <w:t xml:space="preserve">服务,</w:t>
      </w:r>
      <w:r>
        <w:rPr>
          <w:rFonts w:hint="eastAsia" w:ascii="方正仿宋_GBK" w:hAnsi="方正仿宋_GBK" w:eastAsia="方正仿宋_GBK" w:cs="方正仿宋_GBK"/>
          <w:bCs/>
          <w:sz w:val="28"/>
          <w:szCs w:val="28"/>
        </w:rPr>
        <w:t xml:space="preserve">因未及时下载而造成的不利后果由成交供应商自行承担。</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560"/>
        <w:jc w:val="left"/>
        <w:keepLines/>
        <w:keepNext/>
        <w:spacing w:before="260" w:after="260" w:line="400" w:lineRule="exact"/>
        <w:rPr>
          <w:rFonts w:ascii="方正黑体_GBK" w:hAnsi="方正黑体_GBK" w:eastAsia="方正黑体_GBK" w:cs="方正黑体_GBK"/>
          <w:sz w:val="28"/>
          <w:szCs w:val="28"/>
        </w:rPr>
        <w:outlineLvl w:val="1"/>
      </w:pPr>
      <w:r/>
      <w:bookmarkStart w:id="176" w:name="_Toc236925639"/>
      <w:r/>
      <w:bookmarkStart w:id="177" w:name="_Toc16938558"/>
      <w:r/>
      <w:bookmarkStart w:id="178" w:name="_Toc513029242"/>
      <w:r/>
      <w:bookmarkStart w:id="179" w:name="_Toc479757207"/>
      <w:r/>
      <w:bookmarkStart w:id="180" w:name="_Toc20823314"/>
      <w:r/>
      <w:bookmarkStart w:id="181" w:name="_Toc120614221"/>
      <w:r/>
      <w:bookmarkEnd w:id="172"/>
      <w:r/>
      <w:bookmarkEnd w:id="173"/>
      <w:r/>
      <w:bookmarkEnd w:id="174"/>
      <w:r/>
      <w:bookmarkEnd w:id="175"/>
      <w:r>
        <w:rPr>
          <w:rFonts w:hint="eastAsia" w:ascii="方正黑体_GBK" w:hAnsi="方正黑体_GBK" w:eastAsia="方正黑体_GBK" w:cs="方正黑体_GBK"/>
          <w:sz w:val="28"/>
          <w:szCs w:val="28"/>
        </w:rPr>
        <w:t xml:space="preserve">七、授予合同</w:t>
      </w:r>
      <w:bookmarkEnd w:id="176"/>
      <w:r/>
      <w:r/>
    </w:p>
    <w:p>
      <w:pPr>
        <w:ind w:firstLine="560"/>
        <w:spacing w:line="400" w:lineRule="exact"/>
        <w:tabs>
          <w:tab w:val="left" w:pos="900" w:leader="none"/>
        </w:tabs>
        <w:rPr>
          <w:rFonts w:ascii="方正仿宋_GBK" w:hAnsi="方正仿宋_GBK" w:eastAsia="方正仿宋_GBK" w:cs="方正仿宋_GBK"/>
          <w:bCs/>
          <w:sz w:val="28"/>
          <w:szCs w:val="28"/>
        </w:rPr>
      </w:pPr>
      <w:r/>
      <w:bookmarkStart w:id="182" w:name="_Toc513029237"/>
      <w:r/>
      <w:bookmarkStart w:id="183" w:name="_Toc16938553"/>
      <w:r/>
      <w:bookmarkStart w:id="184" w:name="_Toc20823309"/>
      <w:r>
        <w:rPr>
          <w:rFonts w:hint="eastAsia" w:ascii="方正仿宋_GBK" w:hAnsi="方正仿宋_GBK" w:eastAsia="方正仿宋_GBK" w:cs="方正仿宋_GBK"/>
          <w:bCs/>
          <w:sz w:val="28"/>
          <w:szCs w:val="28"/>
        </w:rPr>
        <w:t xml:space="preserve">30.签订合同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w:t>
      </w:r>
      <w:r>
        <w:rPr>
          <w:rFonts w:hint="eastAsia" w:ascii="方正仿宋_GBK" w:hAnsi="方正仿宋_GBK" w:eastAsia="方正仿宋_GBK" w:cs="方正仿宋_GBK"/>
          <w:bCs/>
          <w:sz w:val="28"/>
          <w:szCs w:val="28"/>
        </w:rPr>
        <w:t xml:space="preserve">合同,</w:t>
      </w:r>
      <w:r>
        <w:rPr>
          <w:rFonts w:hint="eastAsia" w:ascii="方正仿宋_GBK" w:hAnsi="方正仿宋_GBK" w:eastAsia="方正仿宋_GBK" w:cs="方正仿宋_GBK"/>
          <w:bCs/>
          <w:sz w:val="28"/>
          <w:szCs w:val="28"/>
        </w:rPr>
        <w:t xml:space="preserve">否则采购人有权终止合同。转包或分包造成采购人损失的，成交供应商应承担相应赔偿责任。</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31.标的物的追加</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bookmarkEnd w:id="182"/>
      <w:r/>
      <w:bookmarkEnd w:id="183"/>
      <w:r/>
      <w:bookmarkEnd w:id="184"/>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32.政府采购履约资金扶持政策</w:t>
      </w:r>
      <w:r/>
    </w:p>
    <w:p>
      <w:pPr>
        <w:ind w:firstLine="560"/>
        <w:spacing w:line="400" w:lineRule="exact"/>
        <w:tabs>
          <w:tab w:val="left" w:pos="900" w:leader="none"/>
        </w:tabs>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p>
    <w:p>
      <w:r/>
      <w:r/>
    </w:p>
    <w:p>
      <w:pPr>
        <w:jc w:val="left"/>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keepNext/>
        <w:spacing w:line="400" w:lineRule="exact"/>
        <w:rPr>
          <w:rFonts w:ascii="方正黑体_GBK" w:hAnsi="方正黑体_GBK" w:eastAsia="方正黑体_GBK" w:cs="方正黑体_GBK"/>
          <w:sz w:val="28"/>
          <w:szCs w:val="28"/>
        </w:rPr>
        <w:outlineLvl w:val="0"/>
      </w:pPr>
      <w:r/>
      <w:bookmarkStart w:id="185" w:name="_Toc236925640"/>
      <w:r>
        <w:rPr>
          <w:rFonts w:hint="eastAsia" w:ascii="方正黑体_GBK" w:hAnsi="方正黑体_GBK" w:eastAsia="方正黑体_GBK" w:cs="方正黑体_GBK"/>
          <w:sz w:val="28"/>
          <w:szCs w:val="28"/>
        </w:rPr>
        <w:t xml:space="preserve">第三章  合同</w:t>
      </w:r>
      <w:bookmarkEnd w:id="177"/>
      <w:r/>
      <w:bookmarkEnd w:id="178"/>
      <w:r/>
      <w:bookmarkEnd w:id="179"/>
      <w:r/>
      <w:bookmarkEnd w:id="180"/>
      <w:r/>
      <w:bookmarkEnd w:id="181"/>
      <w:r>
        <w:rPr>
          <w:rFonts w:hint="eastAsia" w:ascii="方正黑体_GBK" w:hAnsi="方正黑体_GBK" w:eastAsia="方正黑体_GBK" w:cs="方正黑体_GBK"/>
          <w:sz w:val="28"/>
          <w:szCs w:val="28"/>
        </w:rPr>
        <w:t xml:space="preserve">文本</w:t>
      </w:r>
      <w:bookmarkEnd w:id="185"/>
      <w:r/>
      <w:r/>
    </w:p>
    <w:p>
      <w:pPr>
        <w:spacing w:line="400" w:lineRule="exact"/>
        <w:rPr>
          <w:rFonts w:hint="eastAsia" w:ascii="宋体" w:hAnsi="宋体"/>
          <w:bCs/>
          <w:sz w:val="28"/>
          <w:szCs w:val="28"/>
        </w:rPr>
      </w:pPr>
      <w:r/>
      <w:bookmarkStart w:id="186" w:name="_Toc16938559"/>
      <w:r/>
      <w:bookmarkStart w:id="187" w:name="_Toc20823315"/>
      <w:r/>
      <w:bookmarkStart w:id="188" w:name="_Toc513029243"/>
      <w:r/>
      <w:r/>
    </w:p>
    <w:p>
      <w:pPr>
        <w:pStyle w:val="765"/>
        <w:jc w:val="center"/>
        <w:spacing w:line="40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sz w:val="28"/>
          <w:szCs w:val="28"/>
        </w:rPr>
        <w:t xml:space="preserve">XXXX  </w:t>
      </w:r>
      <w:r>
        <w:rPr>
          <w:rFonts w:hint="eastAsia" w:ascii="方正仿宋_GBK" w:hAnsi="方正仿宋_GBK" w:eastAsia="方正仿宋_GBK" w:cs="方正仿宋_GBK"/>
          <w:sz w:val="28"/>
          <w:szCs w:val="28"/>
        </w:rPr>
        <w:t xml:space="preserve">                                  </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ascii="Times New Roman" w:hAnsi="Times New Roman" w:eastAsia="方正仿宋_GBK"/>
          <w:sz w:val="28"/>
          <w:szCs w:val="28"/>
        </w:rPr>
        <w:t xml:space="preserve">JSZC-320000-SCZX-C20XX-XXXX  </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sz w:val="28"/>
          <w:szCs w:val="28"/>
        </w:rPr>
        <w:t xml:space="preserve">XX</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p>
    <w:p>
      <w:pPr>
        <w:ind w:firstLine="560"/>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项目竞争性磋商的结果，签署本合同。</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3.1乙方应按磋商文件规定的时间向甲方提供与合同标的有关的技术资料。</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4.2本项目中产生的所有资料，知识产权归属于甲方。项目结束时，本项目所涉及的所有程序源代码、脚本及参数、系统设计文档等所有文档必须全部提交给甲方，乙方不得在其他场合、项目中使用。</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sz w:val="28"/>
          <w:szCs w:val="28"/>
        </w:rPr>
        <w:t xml:space="preserve">XXXX</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sz w:val="28"/>
          <w:szCs w:val="28"/>
        </w:rPr>
        <w:t xml:space="preserve">XXXX</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sz w:val="28"/>
          <w:szCs w:val="28"/>
        </w:rPr>
        <w:t xml:space="preserve">XXXX</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sz w:val="28"/>
          <w:szCs w:val="28"/>
        </w:rPr>
        <w:t xml:space="preserve">XXXX</w:t>
      </w:r>
      <w:r/>
    </w:p>
    <w:p>
      <w:pPr>
        <w:ind w:firstLine="560"/>
        <w:spacing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7.2乙方不得将合同标的分包给他人履行。</w:t>
      </w:r>
      <w:r/>
    </w:p>
    <w:p>
      <w:pPr>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预付款：自合同签订之日起一个月内支付国产化适配改造和网站优化提升服务费用的30%；</w:t>
      </w:r>
      <w:r/>
    </w:p>
    <w:p>
      <w:pPr>
        <w:ind w:firstLine="560"/>
        <w:spacing w:line="360" w:lineRule="auto"/>
        <w:rPr>
          <w:rFonts w:hint="eastAsia" w:ascii="宋体" w:hAnsi="宋体" w:cs="宋体"/>
          <w:bCs/>
          <w:sz w:val="28"/>
          <w:szCs w:val="28"/>
        </w:rPr>
      </w:pPr>
      <w:r>
        <w:rPr>
          <w:rFonts w:hint="eastAsia" w:ascii="宋体" w:hAnsi="宋体" w:cs="宋体"/>
          <w:bCs/>
          <w:sz w:val="28"/>
          <w:szCs w:val="28"/>
        </w:rPr>
        <w:t xml:space="preserve">国产化适配改造和网站优化提升完成、试运行两个月后组织验收，项目验收合格并收到发票后10个工作日内支付国产化适配改造和网站优化提升服务费用的70%。</w:t>
      </w:r>
      <w:r/>
    </w:p>
    <w:p>
      <w:pPr>
        <w:ind w:firstLine="560"/>
        <w:spacing w:line="360" w:lineRule="auto"/>
        <w:rPr>
          <w:rFonts w:ascii="方正仿宋_GBK" w:hAnsi="方正仿宋_GBK" w:eastAsia="方正仿宋_GBK" w:cs="方正仿宋_GBK"/>
          <w:bCs/>
          <w:sz w:val="28"/>
          <w:szCs w:val="28"/>
        </w:rPr>
      </w:pPr>
      <w:r>
        <w:rPr>
          <w:rFonts w:hint="eastAsia" w:ascii="宋体" w:hAnsi="宋体" w:cs="宋体"/>
          <w:bCs/>
          <w:sz w:val="28"/>
          <w:szCs w:val="28"/>
        </w:rPr>
        <w:t xml:space="preserve">免费一年运维期到期且通过验收后，支付第二年运维费用的30%；第二年运维期到期且通过验收后，支付第二年运维费用的70%和第三年运维费用的30%；第三年运维期到期且通过验收后，支付第三年运维费用的70%。</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w:t>
      </w:r>
      <w:r>
        <w:rPr>
          <w:rFonts w:hint="eastAsia" w:ascii="方正仿宋_GBK" w:hAnsi="方正仿宋_GBK" w:eastAsia="方正仿宋_GBK" w:cs="方正仿宋_GBK"/>
          <w:bCs/>
          <w:sz w:val="28"/>
          <w:szCs w:val="28"/>
        </w:rPr>
        <w:t xml:space="preserve">时,</w:t>
      </w:r>
      <w:r>
        <w:rPr>
          <w:rFonts w:hint="eastAsia" w:ascii="方正仿宋_GBK" w:hAnsi="方正仿宋_GBK" w:eastAsia="方正仿宋_GBK" w:cs="方正仿宋_GBK"/>
          <w:bCs/>
          <w:sz w:val="28"/>
          <w:szCs w:val="28"/>
        </w:rPr>
        <w:t xml:space="preserve">甲方按照采购合同的约定对每一项技术、服务、安全标准的履约情况进行确认。验收结束</w:t>
      </w:r>
      <w:r>
        <w:rPr>
          <w:rFonts w:hint="eastAsia" w:ascii="方正仿宋_GBK" w:hAnsi="方正仿宋_GBK" w:eastAsia="方正仿宋_GBK" w:cs="方正仿宋_GBK"/>
          <w:bCs/>
          <w:sz w:val="28"/>
          <w:szCs w:val="28"/>
        </w:rPr>
        <w:t xml:space="preserve">后,</w:t>
      </w:r>
      <w:r>
        <w:rPr>
          <w:rFonts w:hint="eastAsia" w:ascii="方正仿宋_GBK" w:hAnsi="方正仿宋_GBK" w:eastAsia="方正仿宋_GBK" w:cs="方正仿宋_GBK"/>
          <w:bCs/>
          <w:sz w:val="28"/>
          <w:szCs w:val="28"/>
        </w:rPr>
        <w:t xml:space="preserve">验收小组出具验收</w:t>
      </w:r>
      <w:r>
        <w:rPr>
          <w:rFonts w:hint="eastAsia" w:ascii="方正仿宋_GBK" w:hAnsi="方正仿宋_GBK" w:eastAsia="方正仿宋_GBK" w:cs="方正仿宋_GBK"/>
          <w:bCs/>
          <w:sz w:val="28"/>
          <w:szCs w:val="28"/>
        </w:rPr>
        <w:t xml:space="preserve">书,</w:t>
      </w:r>
      <w:r>
        <w:rPr>
          <w:rFonts w:hint="eastAsia" w:ascii="方正仿宋_GBK" w:hAnsi="方正仿宋_GBK" w:eastAsia="方正仿宋_GBK" w:cs="方正仿宋_GBK"/>
          <w:bCs/>
          <w:sz w:val="28"/>
          <w:szCs w:val="28"/>
        </w:rPr>
        <w:t xml:space="preserve">列明各项标准的验收情况及项目总体</w:t>
      </w:r>
      <w:r>
        <w:rPr>
          <w:rFonts w:hint="eastAsia" w:ascii="方正仿宋_GBK" w:hAnsi="方正仿宋_GBK" w:eastAsia="方正仿宋_GBK" w:cs="方正仿宋_GBK"/>
          <w:bCs/>
          <w:sz w:val="28"/>
          <w:szCs w:val="28"/>
        </w:rPr>
        <w:t xml:space="preserve">评价,</w:t>
      </w:r>
      <w:r>
        <w:rPr>
          <w:rFonts w:hint="eastAsia" w:ascii="方正仿宋_GBK" w:hAnsi="方正仿宋_GBK" w:eastAsia="方正仿宋_GBK" w:cs="方正仿宋_GBK"/>
          <w:bCs/>
          <w:sz w:val="28"/>
          <w:szCs w:val="28"/>
        </w:rPr>
        <w:t xml:space="preserve">由验收双方共同签署。验收结果与采购合同约定的资金支付及履约保证金返还条件挂钩。履约验收的各项资料存档备查。</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w:t>
      </w:r>
      <w:r>
        <w:rPr>
          <w:rFonts w:hint="eastAsia" w:ascii="方正仿宋_GBK" w:hAnsi="方正仿宋_GBK" w:eastAsia="方正仿宋_GBK" w:cs="方正仿宋_GBK"/>
          <w:bCs/>
          <w:sz w:val="28"/>
          <w:szCs w:val="28"/>
        </w:rPr>
        <w:t xml:space="preserve">项目,</w:t>
      </w:r>
      <w:r>
        <w:rPr>
          <w:rFonts w:hint="eastAsia" w:ascii="方正仿宋_GBK" w:hAnsi="方正仿宋_GBK" w:eastAsia="方正仿宋_GBK" w:cs="方正仿宋_GBK"/>
          <w:bCs/>
          <w:sz w:val="28"/>
          <w:szCs w:val="28"/>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w:t>
      </w:r>
      <w:r>
        <w:rPr>
          <w:rFonts w:hint="eastAsia" w:ascii="方正仿宋_GBK" w:hAnsi="方正仿宋_GBK" w:eastAsia="方正仿宋_GBK" w:cs="方正仿宋_GBK"/>
          <w:bCs/>
          <w:sz w:val="28"/>
          <w:szCs w:val="28"/>
        </w:rPr>
        <w:t xml:space="preserve">的违法违规情形</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甲方将及时报告本级财政部门。</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w:t>
      </w:r>
      <w:r>
        <w:rPr>
          <w:rFonts w:hint="eastAsia" w:ascii="方正仿宋_GBK" w:hAnsi="方正仿宋_GBK" w:eastAsia="方正仿宋_GBK" w:cs="方正仿宋_GBK"/>
          <w:bCs/>
          <w:sz w:val="28"/>
          <w:szCs w:val="28"/>
        </w:rPr>
        <w:t xml:space="preserve">的,</w:t>
      </w:r>
      <w:r>
        <w:rPr>
          <w:rFonts w:hint="eastAsia" w:ascii="方正仿宋_GBK" w:hAnsi="方正仿宋_GBK" w:eastAsia="方正仿宋_GBK" w:cs="方正仿宋_GBK"/>
          <w:bCs/>
          <w:sz w:val="28"/>
          <w:szCs w:val="28"/>
        </w:rPr>
        <w:t xml:space="preserve">甲方应按逾期付款总额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每日向乙方支付违约金。</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万分之五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bCs/>
          <w:sz w:val="28"/>
          <w:szCs w:val="28"/>
          <w:u w:val="single"/>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乙方交付合同标的的标准不符合合同规定及磋商文件规定标准的，甲方有权拒绝接受合同标的，并可单方面解除合同。</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p>
    <w:p>
      <w:pPr>
        <w:pStyle w:val="770"/>
        <w:ind w:firstLine="560"/>
        <w:spacing w:before="120" w:after="120"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w:t>
      </w:r>
      <w:r>
        <w:rPr>
          <w:rFonts w:hint="eastAsia" w:ascii="方正仿宋_GBK" w:hAnsi="方正仿宋_GBK" w:eastAsia="方正仿宋_GBK" w:cs="方正仿宋_GBK"/>
          <w:bCs/>
          <w:sz w:val="28"/>
          <w:szCs w:val="28"/>
        </w:rPr>
        <w:t xml:space="preserve">执一份。</w:t>
      </w:r>
      <w:r/>
    </w:p>
    <w:p>
      <w:pPr>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p>
    <w:p>
      <w:pPr>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p>
    <w:p>
      <w:pPr>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w:t>
      </w:r>
      <w:r/>
    </w:p>
    <w:p>
      <w:pPr>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联系电话：                    联系电话：          </w:t>
      </w:r>
      <w:r/>
    </w:p>
    <w:p>
      <w:pPr>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p>
    <w:p>
      <w:pPr>
        <w:ind w:firstLine="560"/>
        <w:jc w:val="right"/>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p>
    <w:p>
      <w:pPr>
        <w:ind w:firstLine="480"/>
        <w:jc w:val="right"/>
        <w:spacing w:line="500" w:lineRule="exact"/>
        <w:rPr>
          <w:rFonts w:ascii="Times New Roman" w:hAnsi="Times New Roman"/>
          <w:sz w:val="24"/>
          <w:szCs w:val="24"/>
        </w:rPr>
      </w:pPr>
      <w:r>
        <w:rPr>
          <w:rFonts w:ascii="Times New Roman" w:hAnsi="Times New Roman"/>
          <w:sz w:val="24"/>
          <w:szCs w:val="24"/>
        </w:rPr>
      </w:r>
      <w:r/>
    </w:p>
    <w:p>
      <w:pPr>
        <w:jc w:val="left"/>
        <w:widowControl/>
        <w:rPr>
          <w:rFonts w:ascii="方正黑体_GBK" w:hAnsi="方正黑体_GBK" w:eastAsia="方正黑体_GBK" w:cs="方正黑体_GBK"/>
          <w:sz w:val="28"/>
          <w:szCs w:val="28"/>
        </w:rPr>
      </w:pPr>
      <w:r>
        <w:rPr>
          <w:rFonts w:ascii="Times New Roman" w:hAnsi="Times New Roman"/>
          <w:sz w:val="24"/>
          <w:szCs w:val="24"/>
        </w:rPr>
        <w:br w:type="page" w:clear="all"/>
      </w:r>
      <w:r/>
    </w:p>
    <w:p>
      <w:pPr>
        <w:jc w:val="center"/>
        <w:keepNext/>
        <w:spacing w:line="400" w:lineRule="exact"/>
        <w:rPr>
          <w:rFonts w:ascii="方正黑体_GBK" w:hAnsi="方正黑体_GBK" w:eastAsia="方正黑体_GBK" w:cs="方正黑体_GBK"/>
          <w:sz w:val="28"/>
          <w:szCs w:val="28"/>
        </w:rPr>
        <w:outlineLvl w:val="0"/>
      </w:pPr>
      <w:r/>
      <w:bookmarkStart w:id="189" w:name="_Toc236925641"/>
      <w:r/>
      <w:bookmarkStart w:id="190" w:name="_Toc49090575"/>
      <w:r/>
      <w:bookmarkStart w:id="191" w:name="_Toc26554093"/>
      <w:r/>
      <w:bookmarkStart w:id="192" w:name="_Toc479757211"/>
      <w:r/>
      <w:bookmarkStart w:id="193" w:name="_Toc462564139"/>
      <w:r/>
      <w:bookmarkEnd w:id="186"/>
      <w:r/>
      <w:bookmarkEnd w:id="187"/>
      <w:r/>
      <w:bookmarkEnd w:id="188"/>
      <w:r>
        <w:rPr>
          <w:rFonts w:hint="eastAsia" w:ascii="方正黑体_GBK" w:hAnsi="方正黑体_GBK" w:eastAsia="方正黑体_GBK" w:cs="方正黑体_GBK"/>
          <w:sz w:val="28"/>
          <w:szCs w:val="28"/>
        </w:rPr>
        <w:t xml:space="preserve">第四章 采购需求</w:t>
      </w:r>
      <w:bookmarkEnd w:id="189"/>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项目背景</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本项目旨在对现有标准信息服务、技术性贸易措施、缺陷产品召回、统一社会信用代码、物品编码及国际标准化等业务子模块进行功能升级，搭建AI中台作为统一技术底座，聚焦院内核心业务板块，通过数据结构化治理、业务规则引擎优化，全面部署智能化服务场景，减轻业务人员重复性人工操作负担，提升核心业务的处置效率与规范性，为社会公众提供更加便捷、精准、合规的标准信息公共服务。</w:t>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采购标的清单</w:t>
      </w:r>
      <w:r/>
    </w:p>
    <w:tbl>
      <w:tblPr>
        <w:tblW w:w="77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249"/>
        <w:gridCol w:w="1007"/>
        <w:gridCol w:w="2764"/>
        <w:gridCol w:w="2738"/>
      </w:tblGrid>
      <w:tr>
        <w:trPr>
          <w:cantSplit/>
          <w:jc w:val="center"/>
        </w:trPr>
        <w:tc>
          <w:tcPr>
            <w:tcW w:w="1249"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w:t>
            </w:r>
            <w:r/>
          </w:p>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包号</w:t>
            </w:r>
            <w:r/>
          </w:p>
        </w:tc>
        <w:tc>
          <w:tcPr>
            <w:tcW w:w="1007"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序号</w:t>
            </w:r>
            <w:r/>
          </w:p>
        </w:tc>
        <w:tc>
          <w:tcPr>
            <w:tcW w:w="2764"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采购标的</w:t>
            </w:r>
            <w:r/>
          </w:p>
        </w:tc>
        <w:tc>
          <w:tcPr>
            <w:tcW w:w="2738" w:type="dxa"/>
            <w:vAlign w:val="center"/>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249" w:type="dxa"/>
            <w:textDirection w:val="lrTb"/>
            <w:noWrap w:val="false"/>
          </w:tcPr>
          <w:p>
            <w:pPr>
              <w:jc w:val="center"/>
              <w:spacing w:line="0" w:lineRule="atLeast"/>
              <w:rPr>
                <w:rFonts w:ascii="方正仿宋_GBK" w:hAnsi="方正仿宋_GBK" w:eastAsia="方正仿宋_GBK" w:cs="方正仿宋_GBK"/>
                <w:sz w:val="28"/>
                <w:szCs w:val="28"/>
              </w:rPr>
            </w:pPr>
            <w:r>
              <w:rPr>
                <w:rFonts w:ascii="Times New Roman" w:hAnsi="Times New Roman" w:eastAsia="方正仿宋_GBK"/>
                <w:sz w:val="32"/>
                <w:szCs w:val="32"/>
              </w:rPr>
              <w:t xml:space="preserve">1</w:t>
            </w:r>
            <w:r/>
          </w:p>
        </w:tc>
        <w:tc>
          <w:tcPr>
            <w:tcW w:w="1007"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2764"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基于人工智能的质量和标准化服务能力提升项目</w:t>
            </w:r>
            <w:r/>
          </w:p>
        </w:tc>
        <w:tc>
          <w:tcPr>
            <w:tcW w:w="2738" w:type="dxa"/>
            <w:textDirection w:val="lrTb"/>
            <w:noWrap w:val="false"/>
          </w:tcPr>
          <w:p>
            <w:pPr>
              <w:jc w:val="center"/>
              <w:spacing w:line="0" w:lineRule="atLeas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软件和信息技术服务业</w:t>
            </w:r>
            <w:r/>
          </w:p>
        </w:tc>
      </w:tr>
    </w:tbl>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功能需求</w:t>
      </w:r>
      <w:r/>
    </w:p>
    <w:p>
      <w:pPr>
        <w:numPr>
          <w:ilvl w:val="0"/>
          <w:numId w:val="5"/>
        </w:numPr>
        <w:spacing w:before="260" w:after="260" w:line="560" w:lineRule="exact"/>
        <w:rPr>
          <w:rFonts w:ascii="方正仿宋_GBK" w:hAnsi="方正仿宋_GBK" w:eastAsia="方正仿宋_GBK" w:cs="方正仿宋_GBK"/>
          <w:b/>
          <w:color w:val="000000"/>
          <w:sz w:val="32"/>
          <w:szCs w:val="32"/>
        </w:rPr>
        <w:outlineLvl w:val="2"/>
      </w:pPr>
      <w:r>
        <w:rPr>
          <w:rFonts w:ascii="方正仿宋_GBK" w:hAnsi="方正仿宋_GBK" w:eastAsia="方正仿宋_GBK" w:cs="方正仿宋_GBK"/>
          <w:b/>
          <w:color w:val="000000"/>
          <w:sz w:val="32"/>
          <w:szCs w:val="32"/>
        </w:rPr>
        <w:t xml:space="preserve">数据准备</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标准数据</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对现有非结构化标准电子文本进行全面结构化处理，将标准文档中的术语定义、试验方法、技术指标、章节条款等各类核心要素进行系统抽取并转化为可解析的结构化</w:t>
      </w:r>
      <w:r>
        <w:rPr>
          <w:rFonts w:ascii="方正仿宋_GBK" w:hAnsi="方正仿宋_GBK" w:eastAsia="方正仿宋_GBK" w:cs="方正仿宋_GBK"/>
          <w:bCs/>
          <w:color w:val="000000"/>
          <w:sz w:val="32"/>
          <w:szCs w:val="32"/>
        </w:rPr>
        <w:t xml:space="preserve">字段，形成覆盖标准内容体系的细粒度结构化知识库。</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技贸预警数据</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通报数据</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针对子模块中已采集的TBT/SPS通报原文进行翻译与内容解析，提取通报标题、通报成员、相关产品、依据条款、内容简述、拟批准日期和拟生效日期等关键业务字段，形成规范化、结构化的通报数据资源。</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预警数据</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针对子模块中积累的国外预警文本进行翻译和内容解析，提取产品类别、产品名称、通报国家、存在风险、采取措施和通报原因等关键要素，构建规范化、结构化的预警数据集。</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召回业务数据</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线索数据</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对市场监管局公告、消费者投诉网站、海关、消防等多渠道采集的缺陷产品线索，进行标准化预处理，归整产品名称、产地、销售渠道、事件描述等关键信息，形成结构化的线索资源库。</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召回文本</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系统梳理召回计划备案材料、召回信息公示、阶段性</w:t>
      </w:r>
      <w:r>
        <w:rPr>
          <w:rFonts w:ascii="方正仿宋_GBK" w:hAnsi="方正仿宋_GBK" w:eastAsia="方正仿宋_GBK" w:cs="方正仿宋_GBK"/>
          <w:bCs/>
          <w:color w:val="000000"/>
          <w:sz w:val="32"/>
          <w:szCs w:val="32"/>
        </w:rPr>
        <w:t xml:space="preserve">总结报告、召回总结报告等召回全流程电子档案，对文本内容进行解析与关键要素提取，构建覆盖业务全流程的结构化数据集，为召回评估工作提供高质量数据基础。</w:t>
      </w:r>
      <w:r/>
    </w:p>
    <w:p>
      <w:pPr>
        <w:numPr>
          <w:ilvl w:val="0"/>
          <w:numId w:val="5"/>
        </w:numPr>
        <w:spacing w:before="260" w:after="260" w:line="560" w:lineRule="exact"/>
        <w:rPr>
          <w:rFonts w:ascii="方正仿宋_GBK" w:hAnsi="方正仿宋_GBK" w:eastAsia="方正仿宋_GBK" w:cs="方正仿宋_GBK"/>
          <w:b/>
          <w:color w:val="000000"/>
          <w:sz w:val="32"/>
          <w:szCs w:val="32"/>
        </w:rPr>
        <w:outlineLvl w:val="2"/>
      </w:pPr>
      <w:r>
        <w:rPr>
          <w:rFonts w:ascii="方正仿宋_GBK" w:hAnsi="方正仿宋_GBK" w:eastAsia="方正仿宋_GBK" w:cs="方正仿宋_GBK"/>
          <w:b/>
          <w:color w:val="000000"/>
          <w:sz w:val="32"/>
          <w:szCs w:val="32"/>
        </w:rPr>
        <w:t xml:space="preserve">一体化平台子模块升级</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江苏省标准信息公共服务子模块升级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标准立项查新</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标准立项流程的查新环节，实现待立项标准与现行标准库、负面清单的自动联检，生成查新报告，替代原有人工逐项比对的方式。同时，支持子模块自动评估创新性等级，提升立项审查的整体效率与决策质量。</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标准文本比对</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支持在标准全文加工时，自动比对不同标准间的技术要求高低关系，确保地方标准不低于国家标准和行业标准，提升标准质量管控水平。</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标准智能评估</w:t>
      </w:r>
      <w:r/>
    </w:p>
    <w:p>
      <w:pPr>
        <w:ind w:firstLine="640"/>
        <w:spacing w:before="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在现有标准审查流程基础上，调用本地AI大模型，实现“守底线-提中线-拉高线”三维度的自动评估。</w:t>
      </w:r>
      <w:r/>
    </w:p>
    <w:p>
      <w:pPr>
        <w:ind w:firstLine="640"/>
        <w:spacing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守底线”核查标准送审稿的形式规范、程序合规与技术内容，生成结构化问题清单；“提中线”评估标准在制度保障、多方参与及实施推广等方面的规范性与行为水平；“拉高线”评判标准的技术先进性、国际影响及组织</w:t>
      </w:r>
      <w:r>
        <w:rPr>
          <w:rFonts w:ascii="方正仿宋_GBK" w:hAnsi="方正仿宋_GBK" w:eastAsia="方正仿宋_GBK" w:cs="方正仿宋_GBK"/>
          <w:bCs/>
          <w:color w:val="000000"/>
          <w:sz w:val="32"/>
          <w:szCs w:val="32"/>
        </w:rPr>
        <w:t xml:space="preserve">协调能力，高效定位问题与改进方向。</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产品标准试验方法提取</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在现有标准全文加工管理的基础上，利用大语言模型自动定位“试验方法”章节，提取检验项目、引用标准、试验方法、关键参数及判定标准等核心信息，并输出结构化数据，缩短标准信息处理周期。</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标准结构化数据库</w:t>
      </w:r>
      <w:r/>
    </w:p>
    <w:p>
      <w:pPr>
        <w:ind w:firstLine="640"/>
        <w:spacing w:before="260" w:after="260" w:line="560" w:lineRule="exact"/>
        <w:rPr>
          <w:rFonts w:ascii="Times New Roman" w:hAnsi="Times New Roman"/>
        </w:rPr>
      </w:pPr>
      <w:r>
        <w:rPr>
          <w:rFonts w:ascii="方正仿宋_GBK" w:hAnsi="方正仿宋_GBK" w:eastAsia="方正仿宋_GBK" w:cs="方正仿宋_GBK"/>
          <w:bCs/>
          <w:color w:val="000000"/>
          <w:sz w:val="32"/>
          <w:szCs w:val="32"/>
        </w:rPr>
        <w:t xml:space="preserve">在标准全文加工过程中，子模块按配置规则同步抽取核心内容，形成结构化数据。范围、引用文件、术语等题录信息以AI识别为主、人工复核为辅；试验方法、参数阈值、条件等技术要素实现智能提取，经审核确认后形成标准化的知识节点入库。支持按标准号、分类号、关键词等多维度检索，满足业务人员快速查阅和调用的需要，保障全院标准数据的时效性与一致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产业链分析报告服务</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标准统计功能基础上，实现与产业链、区域经济特色的关联分析报告，包括产业链标准分布与覆盖率、江苏省标准活跃度热力图、起草单位创新能力画像、标准立项与发布趋势等，支持配置统计维度与模板。</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检验检测实验室智能支持</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在实验室管理子模块（LIMS）检验/原始记录录入时，</w:t>
      </w:r>
      <w:r>
        <w:rPr>
          <w:rFonts w:ascii="方正仿宋_GBK" w:hAnsi="方正仿宋_GBK" w:eastAsia="方正仿宋_GBK" w:cs="方正仿宋_GBK"/>
          <w:bCs/>
          <w:color w:val="000000"/>
          <w:sz w:val="32"/>
          <w:szCs w:val="32"/>
        </w:rPr>
        <w:t xml:space="preserve">子模块自动校验检测报告引用标准的现行有效性。建立检测项目与标准条款的关联库，当引用标准出现废止、更新或条款变更时，子模块自动告警，为检测人员提供即时的标准状态提示。</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标准辅助撰写与内容推荐</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支持起草人员在线编写标准的辅助参考功能，包括根据已输入的技术指标自动匹配标准中常用的规范表述句式；根据已编写内容智能推荐相关标准及对应指标要求；对专业术语自动检索已有标准的定义说明；实时提示当前章节编写是否符合GB/T 1.1的编写要点。支持配置推荐内容的来源范围及条目，提升标准起草的规范性与编写效率。</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标准扫码查询</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提供移动端扫码查询标准功能，将标准信息嵌入现有扫码服务。子模块自动解析商品及生产企业信息，关联展示所执行标准的详细信息，生成关键技术指标与国标要求的对照表，提升标准信息公共服务的便捷性。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标准智能检索</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标准检索服务的基础上，嵌入自然语言检索能力，支持子模块自动识别检索意图并返回相关标准列表。对于边界模糊或易产生歧义的检索条件，子模块给出合理提示或引导，提升检索准确性与用户体验。检索结果支持按相关性、标准号、发布时间等排序方式灵活切换。</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标准智能问答</w:t>
      </w:r>
      <w:r/>
    </w:p>
    <w:p>
      <w:pPr>
        <w:ind w:firstLine="640"/>
        <w:spacing w:before="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基于本地大模型与知识库，面向社会公众提供即时标准专业支持，覆盖标准查询、标准条款解读、标准公告信息、标准修改单、标准政策法规等方面的智能问答，降低公众查阅标准信息的门槛。</w:t>
      </w:r>
      <w:r/>
    </w:p>
    <w:p>
      <w:pPr>
        <w:ind w:firstLine="640"/>
        <w:spacing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子模块支持历史对话查看与删除，用户可新建或重命名对话，并支持对问答结果进行标注反馈；后台可按提问者的权限限制回答范围，确保数据安全，同时提供问答记录及标注管理功能。</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江苏省技术性贸易措施子模块升级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智能关联调用</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支持通报、预警数据在采集入库时，子模块自动关联匹配相关国际标准数据，并在通报详情页同步展示，省去人工跨库检索步骤。</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TBT翻译工具</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TBT数据加工的基础上，基于中英对照术语库和预警库语料，提供面向技贸领域的专业翻译支持，提升通报预警数据加工的效率与质量。同时支持在加工过程中提取产品类别、产品名称、通报国家、通报原因、风险措施等关键要素，以结构化数据形式输出并支持导出功能。</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缺陷产品召回业务子模块升级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线索智能筛选</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缺陷产品线索采集模块中，实现海量线索的自动筛选功能，子模块自动判断线索来源是否属于江苏辖区、涉及产品是否为消费品、是否存在安全风险，并将有效线索推送至处置环节。筛选规则支持业务人员根据监管重点动态配置。 </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召回效果评价</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缺陷产品召回业务全流程中建立召回效果评估机制，子模块支持配置评分规则，自动解析业务人员提交的评价描述，给出分值区间建议，为评审人员提供参考依据。同时支持管理部门根据实际业务导向灵活配置召回完成率、缺陷处置率、通知覆盖率等维度的权重和分值区间。</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江苏省统一社会信用代码子模块升级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统一代码智能查询</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在现有统一社会信用代码查询功能的基础上，嵌入智能问答交互方式，面向社会公众及政府部门提供即时的组织机构信息查询服务，覆盖机构基础信息核验、登记状态查询、经营异常名录比对等常见应用场景，有效提升统一代码信息获取效率。</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江苏省物品编码公共服务子模块升级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物品编码智能导办</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依托本地大模型与知识库，为企业用户提供物品编码办理流程指引与常见问题解答服务，涵盖厂商识别代码注册、续展、增号、变更、注销等全生命周期业务的办理流程、材料清单、办事机构联系方式等导办信息，支持用户查询当前业务办理的实时进度，并可快速跳转对应办事页面。</w:t>
      </w:r>
      <w:r/>
    </w:p>
    <w:p>
      <w:pPr>
        <w:numPr>
          <w:ilvl w:val="1"/>
          <w:numId w:val="5"/>
        </w:numPr>
        <w:spacing w:before="260" w:after="260" w:line="560" w:lineRule="exact"/>
        <w:rPr>
          <w:rFonts w:ascii="方正仿宋_GBK" w:hAnsi="方正仿宋_GBK" w:eastAsia="方正仿宋_GBK" w:cs="方正仿宋_GBK"/>
          <w:b/>
          <w:color w:val="000000"/>
          <w:sz w:val="32"/>
          <w:szCs w:val="32"/>
        </w:rPr>
        <w:outlineLvl w:val="3"/>
      </w:pPr>
      <w:r>
        <w:rPr>
          <w:rFonts w:ascii="方正仿宋_GBK" w:hAnsi="方正仿宋_GBK" w:eastAsia="方正仿宋_GBK" w:cs="方正仿宋_GBK"/>
          <w:b/>
          <w:color w:val="000000"/>
          <w:sz w:val="32"/>
          <w:szCs w:val="32"/>
        </w:rPr>
        <w:t xml:space="preserve">江苏省国际标准化服务子模块升级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国际标准化智能问答</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依托本地大模型与知识库，为企业用户提供国际标准工作领域的即时专业支持，覆盖国际标准检索、国际标准制修订流程咨询、提案孵化阶段要求、ISO/IEC技术工作流程、政策资讯解读、资源对接指引等常见咨询场景，有效提升企业参与国际标准化工作的效率与便捷性。</w:t>
      </w:r>
      <w:r/>
    </w:p>
    <w:p>
      <w:pPr>
        <w:numPr>
          <w:ilvl w:val="2"/>
          <w:numId w:val="5"/>
        </w:numPr>
        <w:spacing w:before="260" w:after="260" w:line="560" w:lineRule="exact"/>
        <w:rPr>
          <w:rFonts w:ascii="方正仿宋_GBK" w:hAnsi="方正仿宋_GBK" w:eastAsia="方正仿宋_GBK" w:cs="方正仿宋_GBK"/>
          <w:b/>
          <w:color w:val="000000"/>
          <w:sz w:val="32"/>
          <w:szCs w:val="32"/>
        </w:rPr>
        <w:outlineLvl w:val="4"/>
      </w:pPr>
      <w:r>
        <w:rPr>
          <w:rFonts w:ascii="方正仿宋_GBK" w:hAnsi="方正仿宋_GBK" w:eastAsia="方正仿宋_GBK" w:cs="方正仿宋_GBK"/>
          <w:b/>
          <w:color w:val="000000"/>
          <w:sz w:val="32"/>
          <w:szCs w:val="32"/>
        </w:rPr>
        <w:t xml:space="preserve">国际标准化智能翻译</w:t>
      </w:r>
      <w:r/>
    </w:p>
    <w:p>
      <w:pPr>
        <w:ind w:firstLine="640"/>
        <w:spacing w:before="260" w:after="260"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依托院内中英对照术语库和预警库语料资源，针对国际标准题录数据提供标准化专业术语的翻译支持，弥补通用翻译工具在专业术语处理方面的不足。支持中英文题录信息同屏对照浏览，提升国际标准题录的查阅效率。</w:t>
      </w:r>
      <w:r/>
    </w:p>
    <w:p>
      <w:pPr>
        <w:rPr>
          <w:rFonts w:ascii="Times New Roman" w:hAnsi="Times New Roman"/>
        </w:rPr>
      </w:pPr>
      <w:r>
        <w:rPr>
          <w:rFonts w:ascii="Times New Roman" w:hAnsi="Times New Roman"/>
        </w:rPr>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政府采购中实施本国产品标准及相关政策</w:t>
      </w:r>
      <w:r/>
    </w:p>
    <w:p>
      <w:pPr>
        <w:ind w:firstLine="640"/>
        <w:spacing w:line="560" w:lineRule="exact"/>
        <w:rPr>
          <w:rFonts w:ascii="方正魏碑_GBK" w:hAnsi="方正魏碑_GBK" w:eastAsia="方正魏碑_GBK" w:cs="方正魏碑_GBK"/>
          <w:bCs/>
          <w:sz w:val="32"/>
          <w:szCs w:val="32"/>
        </w:rPr>
      </w:pPr>
      <w:r>
        <w:rPr>
          <w:rFonts w:ascii="方正魏碑_GBK" w:hAnsi="方正魏碑_GBK" w:eastAsia="方正魏碑_GBK" w:cs="方正魏碑_GBK"/>
          <w:bCs/>
          <w:sz w:val="32"/>
          <w:szCs w:val="32"/>
        </w:rPr>
        <w:t xml:space="preserve">1.根据《国务院办公厅关于在政府采购中实施本国产品</w:t>
      </w:r>
      <w:r>
        <w:rPr>
          <w:rFonts w:ascii="方正魏碑_GBK" w:hAnsi="方正魏碑_GBK" w:eastAsia="方正魏碑_GBK" w:cs="方正魏碑_GBK"/>
          <w:bCs/>
          <w:sz w:val="32"/>
          <w:szCs w:val="32"/>
        </w:rPr>
        <w:t xml:space="preserve">标准及相关政策的通知》（国办发〔2025〕34号）规定，本项目对采购本国产品给予政策支持，具体内容见磋商文件“第五章 评审方法与评审标准”。</w:t>
      </w:r>
      <w:r/>
    </w:p>
    <w:p>
      <w:pPr>
        <w:ind w:firstLine="643"/>
        <w:spacing w:line="560" w:lineRule="exact"/>
        <w:rPr>
          <w:rFonts w:ascii="方正魏碑_GBK" w:hAnsi="方正魏碑_GBK" w:eastAsia="方正魏碑_GBK" w:cs="方正魏碑_GBK"/>
          <w:bCs/>
          <w:sz w:val="32"/>
          <w:szCs w:val="32"/>
        </w:rPr>
      </w:pPr>
      <w:r>
        <w:rPr>
          <w:rFonts w:ascii="方正魏碑_GBK" w:hAnsi="方正魏碑_GBK" w:eastAsia="方正魏碑_GBK" w:cs="方正魏碑_GBK"/>
          <w:b/>
          <w:sz w:val="32"/>
          <w:szCs w:val="32"/>
        </w:rPr>
        <w:t xml:space="preserve">2.本国产品标准适用于服务项目中涉及的货物。</w:t>
      </w:r>
      <w:r>
        <w:rPr>
          <w:rFonts w:ascii="方正魏碑_GBK" w:hAnsi="方正魏碑_GBK" w:eastAsia="方正魏碑_GBK" w:cs="方正魏碑_GBK"/>
          <w:bCs/>
          <w:sz w:val="32"/>
          <w:szCs w:val="32"/>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40"/>
        <w:spacing w:line="560" w:lineRule="exact"/>
        <w:rPr>
          <w:rFonts w:hint="eastAsia" w:ascii="宋体" w:hAnsi="宋体"/>
          <w:sz w:val="24"/>
          <w:szCs w:val="24"/>
        </w:rPr>
      </w:pPr>
      <w:r>
        <w:rPr>
          <w:rFonts w:ascii="方正魏碑_GBK" w:hAnsi="方正魏碑_GBK" w:eastAsia="方正魏碑_GBK" w:cs="方正魏碑_GBK"/>
          <w:bCs/>
          <w:sz w:val="32"/>
          <w:szCs w:val="3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400" w:lineRule="exact"/>
        <w:rPr>
          <w:rFonts w:ascii="方正仿宋_GBK" w:hAnsi="方正仿宋_GBK" w:eastAsia="方正仿宋_GBK" w:cs="方正仿宋_GBK"/>
          <w:b/>
          <w:bCs/>
          <w:color w:val="ff0000"/>
          <w:sz w:val="28"/>
          <w:szCs w:val="28"/>
        </w:rPr>
      </w:pPr>
      <w:r>
        <w:rPr>
          <w:rFonts w:hint="eastAsia" w:ascii="方正仿宋_GBK" w:hAnsi="方正仿宋_GBK" w:eastAsia="方正仿宋_GBK" w:cs="方正仿宋_GBK"/>
          <w:b/>
          <w:bCs/>
          <w:color w:val="ff0000"/>
          <w:sz w:val="28"/>
          <w:szCs w:val="28"/>
        </w:rPr>
        <w:t xml:space="preserve">（本项目不包含货物，不需提供《关于符合本国产品标准的声明函》）</w:t>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技术要求</w:t>
      </w:r>
      <w:r/>
    </w:p>
    <w:p>
      <w:pPr>
        <w:keepLines/>
        <w:keepNext/>
        <w:spacing w:before="260" w:after="260" w:line="416" w:lineRule="auto"/>
        <w:rPr>
          <w:rFonts w:ascii="Times New Roman" w:hAnsi="Times New Roman"/>
          <w:b/>
          <w:bCs/>
          <w:sz w:val="32"/>
          <w:szCs w:val="32"/>
        </w:rPr>
        <w:outlineLvl w:val="2"/>
      </w:pPr>
      <w:r/>
      <w:bookmarkStart w:id="194" w:name="_Toc76121204"/>
      <w:r>
        <w:rPr>
          <w:rFonts w:ascii="Times New Roman" w:hAnsi="Times New Roman"/>
          <w:b/>
          <w:bCs/>
          <w:sz w:val="32"/>
          <w:szCs w:val="32"/>
        </w:rPr>
        <w:t xml:space="preserve">（一）系统架构要求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(1)系统支持集群化部署。</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(2)支持负载均衡和单点故障自动切换。</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(3)数据库支持镜像备份，正式库与查询库同时提供不</w:t>
      </w:r>
      <w:r>
        <w:rPr>
          <w:rFonts w:ascii="方正仿宋_GBK" w:hAnsi="方正仿宋_GBK" w:eastAsia="方正仿宋_GBK" w:cs="方正仿宋_GBK"/>
          <w:bCs/>
          <w:color w:val="000000"/>
          <w:sz w:val="32"/>
          <w:szCs w:val="32"/>
        </w:rPr>
        <w:t xml:space="preserve">同的业务服务，保障服务高可靠性。</w:t>
      </w:r>
      <w:r/>
    </w:p>
    <w:p>
      <w:pPr>
        <w:ind w:firstLine="640"/>
        <w:spacing w:line="560" w:lineRule="exact"/>
        <w:rPr>
          <w:rFonts w:ascii="Times New Roman" w:hAnsi="Times New Roman"/>
        </w:rPr>
      </w:pPr>
      <w:r>
        <w:rPr>
          <w:rFonts w:ascii="方正仿宋_GBK" w:hAnsi="方正仿宋_GBK" w:eastAsia="方正仿宋_GBK" w:cs="方正仿宋_GBK"/>
          <w:bCs/>
          <w:color w:val="000000"/>
          <w:sz w:val="32"/>
          <w:szCs w:val="32"/>
        </w:rPr>
        <w:t xml:space="preserve">(4)系统架构应实现分层解耦，支持横向扩展能力，可随业务量的增长进行必要的节点扩容，便于后续模块化升级与功能扩展。</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（二）系统性能技术要求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根据业务处理类型的不同，把作业划分为交互类业务、查询类业务和统计分析类业务，分别给出响应时间要求的参考值，包括峰值响应时间和平均响应时间。</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(1)系统在常规压力下保持 7*24 小时稳定运行，事务成功率达 99.99%。</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(2)并发数不小于100时，常规页面展示小于等于 3 秒。</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(3)并发数不小于100时，交互类页面响应一般要求小于等于3秒。</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(4)并发数不小于100时，查询列表类页面响应一般要求小于等于5秒。</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(5)并发数不小于100时，统计分析类事务响应一般要求响应时间小于等于5秒，对于跨年度、多条件组合的复杂统计分析响应时间原则上不应超过8秒。</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（三）安全技术要求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(1)用户管理个人信息及敏感数据传输、应用使用国产加密和脱敏。数据库中个人信息及敏感数据存储使用国产加密，确保最终通过商用密码应用安全性评估。</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(2)系统架构符合《网络安全法》规定的网络安全等级保护测评要求</w:t>
      </w:r>
      <w:r>
        <w:rPr>
          <w:rFonts w:ascii="方正仿宋_GBK" w:hAnsi="方正仿宋_GBK" w:eastAsia="方正仿宋_GBK" w:cs="方正仿宋_GBK"/>
          <w:bCs/>
          <w:color w:val="000000"/>
          <w:sz w:val="32"/>
          <w:szCs w:val="32"/>
        </w:rPr>
        <w:t xml:space="preserve">(二级)</w:t>
      </w:r>
      <w:r>
        <w:rPr>
          <w:rFonts w:ascii="方正仿宋_GBK" w:hAnsi="方正仿宋_GBK" w:eastAsia="方正仿宋_GBK" w:cs="方正仿宋_GBK"/>
          <w:bCs/>
          <w:color w:val="000000"/>
          <w:sz w:val="32"/>
          <w:szCs w:val="32"/>
        </w:rPr>
        <w:t xml:space="preserve">，根据测评机构的整改意见完成整改，确保最终通过测评满足验收要求。</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（四）数据治理</w:t>
      </w:r>
      <w:bookmarkEnd w:id="194"/>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现状评估与规范制定：对标准服务、统一代码服务、技术性贸易措施服务、物品编码服务、缺陷产品召回服务等业务模块的数据量、数据类型、数据结构及数据质量进行全面评估。制定面向业务规则解析的结构化数据质量标准及治理规范。</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数据清洗与结构化加工：按照治理规范，对各业务模块数据进行清洗，修正、剔除重复、错误或不完整的数据。对非结构化的文本数据（如标准原文、通报文本、召回档案等）进行实体、要素与关联关系的抽取，转化为可被系统高效检索与调用的结构化数据。</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(3)知识库与规则库构建：基于治理后的结构化数据，构建涵盖标准知识、技贸术语、物品编码业务规则等在内的专题知识库，以及支撑自动化校验、比对和研判的业务规则库，并建立数据间的关联关系。</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(4)数据验证与维护：对治理入库的数据进行完整性、准确性和关联性验证，确保数据质量满足业务子模块的使用要求。建立数据持续维护与增量更新机制，保障数据资源的时效性。</w:t>
      </w:r>
      <w:r/>
    </w:p>
    <w:p>
      <w:pPr>
        <w:keepLines/>
        <w:keepNext/>
        <w:spacing w:before="260" w:after="260" w:line="416" w:lineRule="auto"/>
        <w:rPr>
          <w:rFonts w:ascii="Times New Roman" w:hAnsi="Times New Roman"/>
          <w:b/>
          <w:bCs/>
          <w:sz w:val="32"/>
          <w:szCs w:val="32"/>
        </w:rPr>
        <w:outlineLvl w:val="2"/>
      </w:pPr>
      <w:r/>
      <w:bookmarkStart w:id="195" w:name="_Toc1616305663"/>
      <w:r>
        <w:rPr>
          <w:rFonts w:ascii="Times New Roman" w:hAnsi="Times New Roman"/>
          <w:b/>
          <w:bCs/>
          <w:sz w:val="32"/>
          <w:szCs w:val="32"/>
        </w:rPr>
        <w:t xml:space="preserve">（五）安全需求</w:t>
      </w:r>
      <w:bookmarkEnd w:id="195"/>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系统级安全：制定和实施系统级安全策略，包括系统高可用性策略和数据库备份策略，满足信息安全等级保护要求。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应用级安全：制定和实施应用级安全防护策略，包括身份认证策略、访问权限策略、数据授权策略等。</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数据安全：数据在存储或传输过程中应做加密处理；加密算法能抵抗暴力破解；支持国密算法。</w:t>
      </w:r>
      <w:r/>
    </w:p>
    <w:p>
      <w:pPr>
        <w:keepLines/>
        <w:keepNext/>
        <w:spacing w:before="260" w:after="260" w:line="416" w:lineRule="auto"/>
        <w:rPr>
          <w:rFonts w:ascii="Times New Roman" w:hAnsi="Times New Roman"/>
          <w:b/>
          <w:bCs/>
          <w:sz w:val="32"/>
          <w:szCs w:val="32"/>
        </w:rPr>
        <w:outlineLvl w:val="2"/>
      </w:pPr>
      <w:r/>
      <w:bookmarkStart w:id="196" w:name="_Toc1877531750"/>
      <w:r>
        <w:rPr>
          <w:rFonts w:ascii="Times New Roman" w:hAnsi="Times New Roman"/>
          <w:b/>
          <w:bCs/>
          <w:sz w:val="32"/>
          <w:szCs w:val="32"/>
        </w:rPr>
        <w:t xml:space="preserve">（六）扩展性需求</w:t>
      </w:r>
      <w:bookmarkEnd w:id="196"/>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系统应具有良好的伸缩性，具有良好的扩展能力，节点数量支持平滑扩展。</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针对实际业务情况，系统对未来扩容保持良好的平滑性，不对底层架构设计做颠覆性改动。</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具有很好的模块化特性。技术架构的模块都相对稳定，只要接口不变，模块内部逻辑的改变都不影响其他模块。</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具有很强的适应能力。既能满足快速反应的业务需求，又能满足大数据量、复杂的、异步的业务需求。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具有良好的向前兼容性。系统在升级过程中应兼容历史数据，以保持其不可篡改、可追溯特性。</w:t>
      </w:r>
      <w:r/>
    </w:p>
    <w:p>
      <w:pPr>
        <w:rPr>
          <w:rFonts w:ascii="楷体_GB2312" w:hAnsi="Arial" w:eastAsia="楷体_GB2312"/>
          <w:sz w:val="28"/>
          <w:szCs w:val="28"/>
        </w:rPr>
      </w:pPr>
      <w:r>
        <w:rPr>
          <w:rFonts w:ascii="楷体_GB2312" w:hAnsi="Arial" w:eastAsia="楷体_GB2312"/>
          <w:sz w:val="28"/>
          <w:szCs w:val="28"/>
        </w:rPr>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商务要求</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（一）项目服务期限</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自合同签订之日起4个月内完成交付，本项目中软件系统的免费维保期为从项目验收合格之日起一年。</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（二）付款方式</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（1）合同签订生效后十个工作日内，甲方支付合同总价的50%。</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（2）乙方完成甲方所要求的全部需求，甲方确认系统上线运行正常并验收后，甲方</w:t>
      </w:r>
      <w:r>
        <w:rPr>
          <w:rFonts w:hint="eastAsia" w:ascii="方正仿宋_GBK" w:hAnsi="方正仿宋_GBK" w:eastAsia="方正仿宋_GBK" w:cs="方正仿宋_GBK"/>
          <w:bCs/>
          <w:color w:val="000000"/>
          <w:sz w:val="32"/>
          <w:szCs w:val="32"/>
        </w:rPr>
        <w:t xml:space="preserve">收到正式发票后10个工作日内</w:t>
      </w:r>
      <w:r>
        <w:rPr>
          <w:rFonts w:ascii="方正仿宋_GBK" w:hAnsi="方正仿宋_GBK" w:eastAsia="方正仿宋_GBK" w:cs="方正仿宋_GBK"/>
          <w:bCs/>
          <w:color w:val="000000"/>
          <w:sz w:val="32"/>
          <w:szCs w:val="32"/>
        </w:rPr>
        <w:t xml:space="preserve">支付合同总价的50%。</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（三）技术方案相关要求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（1）总体建设方案：响应供应商充分了解本项目背景，对项目总体建设思路、建设要求、技术要求等有一定理解的基础上，提供总体设计方案，包括总体架构、技术架构、系统性能设计方案等方面。</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（2）数据准备方案：响应供应商应充分了解本项目涉及的标准数据、技贸预警数据、召回业务数据等资源现状，提供完整的数据</w:t>
      </w:r>
      <w:r>
        <w:rPr>
          <w:rFonts w:hint="eastAsia" w:ascii="方正仿宋_GBK" w:hAnsi="方正仿宋_GBK" w:eastAsia="方正仿宋_GBK" w:cs="方正仿宋_GBK"/>
          <w:bCs/>
          <w:color w:val="000000"/>
          <w:sz w:val="32"/>
          <w:szCs w:val="32"/>
        </w:rPr>
        <w:t xml:space="preserve">准备</w:t>
      </w:r>
      <w:r>
        <w:rPr>
          <w:rFonts w:ascii="方正仿宋_GBK" w:hAnsi="方正仿宋_GBK" w:eastAsia="方正仿宋_GBK" w:cs="方正仿宋_GBK"/>
          <w:bCs/>
          <w:color w:val="000000"/>
          <w:sz w:val="32"/>
          <w:szCs w:val="32"/>
        </w:rPr>
        <w:t xml:space="preserve">方案。</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（3）功能设计方案，响应供应商针对该项目部分重点升级业务或功能提供详细设计方案。（要求设计方案详细、流程清晰、功能完整，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rPr>
          <w:rFonts w:ascii="方正仿宋_GBK" w:hAnsi="方正仿宋_GBK" w:eastAsia="方正仿宋_GBK" w:cs="方正仿宋_GBK"/>
          <w:bCs/>
          <w:color w:val="000000"/>
          <w:sz w:val="32"/>
          <w:szCs w:val="32"/>
        </w:rPr>
        <w:t xml:space="preserve">具体方案包含以下几个方面：</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①　江苏省标准信息公共服务子模块功能升级方案：要求方案需包含标准立项查新、标准智能评估、标准结构化数据库、产品标准实验方法提取、标准智能检索等业务模块的升级设计，要求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②　江苏省技术性贸易措施子模块功能升级方案：要求方案需包含智能关联调用、TBT翻译工具等业务模块的升级设计，要求方案详细、流程清晰、功能完整，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③　缺陷产品召回业务子模块功能升级方案：要求方案需包含线索筛选、召回效果评价等业务模块的升级设计。要求方案详细、流程清晰、功能完整，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④　江苏省统一信用代码子模块功能升级方案：要求方案需包含统一代码查询业务模块的升级设计，要求方案详细、流程清晰、功能完整，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⑤　江苏省物品编码公共服务子模块功能升级方案：方案需包含物品编码智能导办业务的升级设计。要求方案</w:t>
      </w:r>
      <w:r>
        <w:rPr>
          <w:rFonts w:ascii="方正仿宋_GBK" w:hAnsi="方正仿宋_GBK" w:eastAsia="方正仿宋_GBK" w:cs="方正仿宋_GBK"/>
          <w:bCs/>
          <w:color w:val="000000"/>
          <w:sz w:val="32"/>
          <w:szCs w:val="32"/>
        </w:rPr>
        <w:t xml:space="preserve">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⑥　江苏省国际标准化服务子模块功能升级方案：要求方案需包含智能问答、智能翻译业务模块的升级设计，要求方案详细、流程清晰、功能完整，</w:t>
      </w:r>
      <w:r>
        <w:rPr>
          <w:rFonts w:hint="eastAsia" w:ascii="方正仿宋_GBK" w:hAnsi="方正仿宋_GBK" w:eastAsia="方正仿宋_GBK" w:cs="方正仿宋_GBK"/>
          <w:bCs/>
          <w:color w:val="000000"/>
          <w:sz w:val="32"/>
          <w:szCs w:val="32"/>
        </w:rPr>
        <w:t xml:space="preserve">要求供应商提供详细的功能设计流程图、界面原型图、技术架构说明或同类项目案例介绍</w:t>
      </w:r>
      <w:r>
        <w:rPr>
          <w:rFonts w:ascii="方正仿宋_GBK" w:hAnsi="方正仿宋_GBK" w:eastAsia="方正仿宋_GBK" w:cs="方正仿宋_GBK"/>
          <w:bCs/>
          <w:color w:val="000000"/>
          <w:sz w:val="32"/>
          <w:szCs w:val="32"/>
        </w:rPr>
        <w:t xml:space="preserve">。</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w:t>
      </w:r>
      <w:r>
        <w:rPr>
          <w:rFonts w:hint="eastAsia" w:ascii="方正仿宋_GBK" w:hAnsi="方正仿宋_GBK" w:eastAsia="方正仿宋_GBK" w:cs="方正仿宋_GBK"/>
          <w:bCs/>
          <w:color w:val="000000"/>
          <w:sz w:val="32"/>
          <w:szCs w:val="32"/>
        </w:rPr>
        <w:t xml:space="preserve">3</w:t>
      </w:r>
      <w:r>
        <w:rPr>
          <w:rFonts w:ascii="方正仿宋_GBK" w:hAnsi="方正仿宋_GBK" w:eastAsia="方正仿宋_GBK" w:cs="方正仿宋_GBK"/>
          <w:bCs/>
          <w:color w:val="000000"/>
          <w:sz w:val="32"/>
          <w:szCs w:val="32"/>
        </w:rPr>
        <w:t xml:space="preserve">）数据</w:t>
      </w:r>
      <w:r>
        <w:rPr>
          <w:rFonts w:hint="eastAsia" w:ascii="方正仿宋_GBK" w:hAnsi="方正仿宋_GBK" w:eastAsia="方正仿宋_GBK" w:cs="方正仿宋_GBK"/>
          <w:bCs/>
          <w:color w:val="000000"/>
          <w:sz w:val="32"/>
          <w:szCs w:val="32"/>
        </w:rPr>
        <w:t xml:space="preserve">治理</w:t>
      </w:r>
      <w:r>
        <w:rPr>
          <w:rFonts w:ascii="方正仿宋_GBK" w:hAnsi="方正仿宋_GBK" w:eastAsia="方正仿宋_GBK" w:cs="方正仿宋_GBK"/>
          <w:bCs/>
          <w:color w:val="000000"/>
          <w:sz w:val="32"/>
          <w:szCs w:val="32"/>
        </w:rPr>
        <w:t xml:space="preserve">方案：响应供应商应充分了解本项目涉及的标准数据、技贸预警数据、召回业务数据等资源现状，提供完整的数据</w:t>
      </w:r>
      <w:r>
        <w:rPr>
          <w:rFonts w:hint="eastAsia" w:ascii="方正仿宋_GBK" w:hAnsi="方正仿宋_GBK" w:eastAsia="方正仿宋_GBK" w:cs="方正仿宋_GBK"/>
          <w:bCs/>
          <w:color w:val="000000"/>
          <w:sz w:val="32"/>
          <w:szCs w:val="32"/>
        </w:rPr>
        <w:t xml:space="preserve">治理</w:t>
      </w:r>
      <w:r>
        <w:rPr>
          <w:rFonts w:ascii="方正仿宋_GBK" w:hAnsi="方正仿宋_GBK" w:eastAsia="方正仿宋_GBK" w:cs="方正仿宋_GBK"/>
          <w:bCs/>
          <w:color w:val="000000"/>
          <w:sz w:val="32"/>
          <w:szCs w:val="32"/>
        </w:rPr>
        <w:t xml:space="preserve">方案。</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r>
      <w:r/>
    </w:p>
    <w:p>
      <w:pPr>
        <w:rPr>
          <w:rFonts w:ascii="楷体_GB2312" w:hAnsi="Arial" w:eastAsia="楷体_GB2312"/>
          <w:sz w:val="28"/>
          <w:szCs w:val="28"/>
        </w:rPr>
      </w:pPr>
      <w:r>
        <w:rPr>
          <w:rFonts w:ascii="楷体_GB2312" w:hAnsi="Arial" w:eastAsia="楷体_GB2312"/>
          <w:sz w:val="28"/>
          <w:szCs w:val="28"/>
        </w:rPr>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（四）履约能力及人员团队要求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（1）响应供应商具有ISO45000职业健康安全管理体系认证</w:t>
      </w:r>
      <w:r>
        <w:rPr>
          <w:rFonts w:hint="eastAsia" w:ascii="方正仿宋_GBK" w:hAnsi="方正仿宋_GBK" w:eastAsia="方正仿宋_GBK" w:cs="方正仿宋_GBK"/>
          <w:bCs/>
          <w:color w:val="000000"/>
          <w:sz w:val="32"/>
          <w:szCs w:val="32"/>
        </w:rPr>
        <w:t xml:space="preserve">、ISO9000</w:t>
      </w:r>
      <w:r>
        <w:rPr>
          <w:rFonts w:ascii="方正仿宋_GBK" w:hAnsi="方正仿宋_GBK" w:eastAsia="方正仿宋_GBK" w:cs="方正仿宋_GBK"/>
          <w:bCs/>
          <w:color w:val="000000"/>
          <w:sz w:val="32"/>
          <w:szCs w:val="32"/>
        </w:rPr>
        <w:t xml:space="preserve">质量管理体系认证。</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（2）响应供应商具有自2022年1月1日起（以合同签订日期为准）承担过标准管理或类似系统开发和人工智能相关信息化系统开发的业绩。</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（3）响应供应商具有与本次磋商内容相关的计算机软件著作权登记证书，包括：标准题录抓取、标准信息监管管理、数据智能提取类相关方面。</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（4）响应供应商根据项目需求须组建不少于7人的项</w:t>
      </w:r>
      <w:r>
        <w:rPr>
          <w:rFonts w:ascii="方正仿宋_GBK" w:hAnsi="方正仿宋_GBK" w:eastAsia="方正仿宋_GBK" w:cs="方正仿宋_GBK"/>
          <w:bCs/>
          <w:color w:val="000000"/>
          <w:sz w:val="32"/>
          <w:szCs w:val="32"/>
        </w:rPr>
        <w:t xml:space="preserve">目团队，其中项目经理1名，团队成员（不含项目经理）至少6人，项目团队须具备较强的项目实施能力，其中项目经理具备信息系统项目管理师证或软件设计师证书，除项目经理以外的技术人员，持有高级信息系统项目管理师、高级系统架构设计师、中级软件设计师、中级网络工程师证书。</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5）成交供应商需组建服务团队实际履约，不得将任何履约服务内容进行转包。未经采购人同意，不得采用分包的形式履行合同，否则采购人有权终止合同。转包或分包造成采购人损失的，成交供应商应承担相应赔偿与法律责任。</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（五）项目组织实施要求</w:t>
      </w:r>
      <w:r/>
    </w:p>
    <w:p>
      <w:pPr>
        <w:ind w:firstLine="440"/>
        <w:spacing w:line="360" w:lineRule="auto"/>
        <w:tabs>
          <w:tab w:val="left" w:pos="0" w:leader="none"/>
        </w:tabs>
        <w:rPr>
          <w:rFonts w:hint="eastAsia" w:ascii="宋体" w:hAnsi="宋体" w:cs="宋体"/>
          <w:b/>
          <w:bCs/>
          <w:sz w:val="32"/>
          <w:szCs w:val="32"/>
        </w:rPr>
      </w:pPr>
      <w:r>
        <w:rPr>
          <w:rFonts w:ascii="宋体" w:hAnsi="宋体" w:cs="宋体"/>
          <w:b/>
          <w:bCs/>
          <w:sz w:val="32"/>
          <w:szCs w:val="32"/>
        </w:rPr>
        <w:t xml:space="preserve">1、项目实施与计划</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响应供应商应在合同签订后3日内进场启动项目建设，实施团队核心成员（项目经理、技术负责人等）同时进场。进场后响应供应商应落实并深化设计方案和具体实施计划方案，实施方案应包括系统开发及部署环境要求。成交供应商应按照项目计划按期实施。</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响应供应商应履行相应的职责，在整个合同执行期间，项目的组织、建设、实施、服务、工期、质量等方面关乎项目建设效果的内容，接受采购人组织的监督、考核，考核结果不及格或不合格的，采购人有权不组织验收、延期付款，相关责任由响应供应商承担，响应供应商应无</w:t>
      </w:r>
      <w:r>
        <w:rPr>
          <w:rFonts w:ascii="方正仿宋_GBK" w:hAnsi="方正仿宋_GBK" w:eastAsia="方正仿宋_GBK" w:cs="方正仿宋_GBK"/>
          <w:bCs/>
          <w:color w:val="000000"/>
          <w:sz w:val="32"/>
          <w:szCs w:val="32"/>
        </w:rPr>
        <w:t xml:space="preserve">条件接受。 </w:t>
      </w:r>
      <w:r/>
    </w:p>
    <w:p>
      <w:pPr>
        <w:ind w:firstLine="440"/>
        <w:spacing w:line="360" w:lineRule="auto"/>
        <w:tabs>
          <w:tab w:val="left" w:pos="0" w:leader="none"/>
        </w:tabs>
        <w:rPr>
          <w:rFonts w:hint="eastAsia" w:ascii="宋体" w:hAnsi="宋体" w:cs="宋体"/>
          <w:b/>
          <w:bCs/>
          <w:sz w:val="32"/>
          <w:szCs w:val="32"/>
        </w:rPr>
      </w:pPr>
      <w:r>
        <w:rPr>
          <w:rFonts w:ascii="宋体" w:hAnsi="宋体" w:cs="宋体"/>
          <w:b/>
          <w:bCs/>
          <w:sz w:val="32"/>
          <w:szCs w:val="32"/>
        </w:rPr>
        <w:t xml:space="preserve">2、质量保证要求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本系统应用软件开发要求采用国际通用的规范化的软件开发、软件工程实施和项目管理方法，对项目实施的全过程进行监控和管理，对项目进度和工程实施进度进行控制；对应用系统软件必须进行充分的测试，确认其正确性和可靠性；同时必须有详细易懂的系统的安装、运行、验收测试的技术文件；所有的技术文件必须是中文，并且本项目所有文档应该按照所使用的质量管理体系要求编写。成交供应商需提供本项目质量管理方案；成交供应商需提供本项目过程中研发管理方案及代码标准；成交供应商需提供本项目过程中测试方式；采购人可定期对项目的情况进行质量检查。</w:t>
      </w:r>
      <w:r/>
    </w:p>
    <w:p>
      <w:pPr>
        <w:ind w:firstLine="440"/>
        <w:spacing w:line="360" w:lineRule="auto"/>
        <w:tabs>
          <w:tab w:val="left" w:pos="0" w:leader="none"/>
        </w:tabs>
        <w:rPr>
          <w:rFonts w:hint="eastAsia" w:ascii="宋体" w:hAnsi="宋体" w:cs="宋体"/>
          <w:b/>
          <w:bCs/>
          <w:sz w:val="32"/>
          <w:szCs w:val="32"/>
        </w:rPr>
      </w:pPr>
      <w:r>
        <w:rPr>
          <w:rFonts w:ascii="宋体" w:hAnsi="宋体" w:cs="宋体"/>
          <w:b/>
          <w:bCs/>
          <w:sz w:val="32"/>
          <w:szCs w:val="32"/>
        </w:rPr>
        <w:t xml:space="preserve">3、项目文档要求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成交供应商除在规定时间内按照采购文件的要求完成该系统的调研、设计、开发、调试、测试等工作外，还应向用户方提供计算机软件光盘，并提交相关技术文档并提供明确的交付清单。同时，成果和文档资料必须符合软件工程的相关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（1）概要设计阶段：实施方案、项目实施计划、需求规格说明书、概要设计说明书（包含系统体系结构图、业务流程图、数据流程图等）。</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（2）开发阶段：数据库详细设计说明书（包含数据项、数据字典等详细数据库说明）、系统详细设计说明书、系</w:t>
      </w:r>
      <w:r>
        <w:rPr>
          <w:rFonts w:ascii="方正仿宋_GBK" w:hAnsi="方正仿宋_GBK" w:eastAsia="方正仿宋_GBK" w:cs="方正仿宋_GBK"/>
          <w:bCs/>
          <w:color w:val="000000"/>
          <w:sz w:val="32"/>
          <w:szCs w:val="32"/>
        </w:rPr>
        <w:t xml:space="preserve">统测试方案（用例）、系统测试分析报告、项目实施过程中衍生的其它相关资料。</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（3）项目部署阶段：软件维护手册、软件使用操作手册、安装部署手册。</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（4）试运行阶段与最终验收阶段：系统试运行和自测报告、故障诊断与排除手册、系统源代码、系统安装包等、培训计划、用户使用手册、运维手册、系统演示光盘。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（5）其他与本系统开发相关的各类文档。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（6）项目开发中的一些工作文档，如计划、报告、讨论纲要、会议记录等。</w:t>
      </w:r>
      <w:r/>
    </w:p>
    <w:p>
      <w:pPr>
        <w:ind w:firstLine="440"/>
        <w:spacing w:line="360" w:lineRule="auto"/>
        <w:tabs>
          <w:tab w:val="left" w:pos="0" w:leader="none"/>
        </w:tabs>
        <w:rPr>
          <w:rFonts w:hint="eastAsia" w:ascii="宋体" w:hAnsi="宋体" w:cs="宋体"/>
          <w:b/>
          <w:bCs/>
          <w:sz w:val="32"/>
          <w:szCs w:val="32"/>
        </w:rPr>
      </w:pPr>
      <w:r>
        <w:rPr>
          <w:rFonts w:ascii="宋体" w:hAnsi="宋体" w:cs="宋体"/>
          <w:b/>
          <w:bCs/>
          <w:sz w:val="32"/>
          <w:szCs w:val="32"/>
        </w:rPr>
        <w:t xml:space="preserve">4、项目验收要求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系统正式交付前，成交供应商将技术文档和源码、软件交甲方，对于已检测出来的安全漏洞，必须由成交供应商修复完成，否则不予上线交付。</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1、项目验收前，成交供应商要完成采购文件和合同规定的各项建设内容并满足要求，符合国家有关工程建设、安全及保密等各项规定，验收资料齐全。</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2、项目完工后，成交供应商按采购文件和合同要求提交所有项目成果和项目文档。并提出验收申请，用户单位出具用户使用意见。</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3、采购人、用户使用方等接收项目成果和项目文档。用户单位确认是否达到验收要求，并按验收方案，组织项目验收。</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4、系统在完成功能开发上线联调测试并经用户单位验</w:t>
      </w:r>
      <w:r>
        <w:rPr>
          <w:rFonts w:ascii="方正仿宋_GBK" w:hAnsi="方正仿宋_GBK" w:eastAsia="方正仿宋_GBK" w:cs="方正仿宋_GBK"/>
          <w:bCs/>
          <w:color w:val="000000"/>
          <w:sz w:val="32"/>
          <w:szCs w:val="32"/>
        </w:rPr>
        <w:t xml:space="preserve">证通过后可进行项目验收。</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5、对整个项目的验收包括检查应用系统是否实现了双方签定的《需求说明书》所要求实现的相关功能，是否与响应供应商提出的解决方案中既定建设目标一致。</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（六）培训要求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1、成交供应商必须提供相应的应用软件技术和系统操作等方面的培训。有关应用软件的操作培训课程，培训应该在本期项目验收完成前进行。</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2、成交供应商应提供面向系统管理员的应用软件系统结构、设计等方面的培训。项目实施入场，成交供应商将详细的培训课程以及时间表交给采购人，最后以采购人认可为准。</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3、成交供应商派出的培训教员应具有丰富的同类课程的教学经验和应用经验；所有的培训教员必须用中文授课；响应供应商必须为所有被培训人员提供培训用文字资料和讲义等相关材料。</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成交供应商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w:t>
      </w:r>
      <w:r/>
    </w:p>
    <w:p>
      <w:pPr>
        <w:rPr>
          <w:rFonts w:hint="eastAsia" w:ascii="宋体" w:hAnsi="宋体" w:cs="宋体"/>
          <w:b/>
          <w:sz w:val="22"/>
        </w:rPr>
      </w:pPr>
      <w:r>
        <w:rPr>
          <w:rFonts w:hint="eastAsia" w:ascii="宋体" w:hAnsi="宋体" w:cs="宋体"/>
          <w:b/>
          <w:sz w:val="22"/>
        </w:rPr>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（七）售后服务要求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1、整个项目质保期为验收后一年，质保期间的维护服务不收取任何额外费用，由成交供应商提供免费的软件维护服务、技术服务支持，包括系统维护、性能提升、故障检测等，并保证系统正常运行。</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2、在项目验收后的服务期内，如果是软件设计漏洞或偏差，成交供应商必须及时修正，且不另收费用。</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4、成交供应商应提供实时在线的客户服务和现场服务。应具备灵活多样的通讯手段，提供7×24小时响应服务。实时解决常见问题。</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故障响应。成交供应商在接到系统故障报修要求时，半小时内做出明确响应和维护安排，在2小时内为建设单位提供维护服务，并做出故障诊断报告，3小时内恢复正常。</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热线服务。响应供应商应提供热线电话、E-mail、传真、网站等途径，随时接受建设单位提出的各种技术和使用问题，不能即时解决的问题要在1小时内提出解决方案。</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系统巡检。每月至少提供4次对系统进行巡检服务，及时发现和排除潜在问题或故障隐患，保证系统的稳定运行。</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系统升级。质保期内响应供应商应提供免费的系统软</w:t>
      </w:r>
      <w:r>
        <w:rPr>
          <w:rFonts w:ascii="方正仿宋_GBK" w:hAnsi="方正仿宋_GBK" w:eastAsia="方正仿宋_GBK" w:cs="方正仿宋_GBK"/>
          <w:bCs/>
          <w:color w:val="000000"/>
          <w:sz w:val="32"/>
          <w:szCs w:val="32"/>
        </w:rPr>
        <w:t xml:space="preserve">件升级服务。升级内容包括解决的BUG、采纳用户建议以及业务需求调整实现的功能和其他内容。</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同时，成交供应商须为试点地市县使用单位提供及时便捷的技术支持，除正常运维外，确保每月至少一次现场回访。</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5、响应供应商应具备相关的售后服务体系，在承诺服务期内提供完善、及时、无推诿的应用软件等项目实施范围内的服务保障。</w:t>
      </w:r>
      <w:r/>
    </w:p>
    <w:p>
      <w:pPr>
        <w:keepLines/>
        <w:keepNext/>
        <w:spacing w:before="260" w:after="260" w:line="416" w:lineRule="auto"/>
        <w:rPr>
          <w:rFonts w:ascii="Times New Roman" w:hAnsi="Times New Roman"/>
          <w:b/>
          <w:bCs/>
          <w:sz w:val="32"/>
          <w:szCs w:val="32"/>
        </w:rPr>
        <w:outlineLvl w:val="2"/>
      </w:pPr>
      <w:r>
        <w:rPr>
          <w:rFonts w:ascii="Times New Roman" w:hAnsi="Times New Roman"/>
          <w:b/>
          <w:bCs/>
          <w:sz w:val="32"/>
          <w:szCs w:val="32"/>
        </w:rPr>
        <w:t xml:space="preserve">（八）知识产权和保密要求</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本项目的最终用户为采购人，本项目所产生的知识产权归采购人独享，成交供应商必须提供项目的所有开发和技术文档。本项目中采购的商业软件（含自主品牌），最终许可用户名为采购人。响应供应商须承诺所提供的系统（含平台）不依赖于任何第三方商业平台的支持和环境。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2、成交供应商须承诺且不限于以下保密条款要求：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1）成交供应商对本项目所产生的业务资料、技术信息等负有保密责任，未经采购人同意不得提供给任何第三方，包括成交供应商的分支机构、子公司、委托顾问方或接受咨询方。本项目所产生的知识产权归采购人独享，成交供应商须提供项目的所有源代码和开发文档给采购人。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（2）成交供应商应妥善保管有关的文件和资料，未经采购人许可，不对其复制、仿造等。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（3）成交供应商应对有关人员进行有效管理，包括制</w:t>
      </w:r>
      <w:r>
        <w:rPr>
          <w:rFonts w:ascii="方正仿宋_GBK" w:hAnsi="方正仿宋_GBK" w:eastAsia="方正仿宋_GBK" w:cs="方正仿宋_GBK"/>
          <w:bCs/>
          <w:color w:val="000000"/>
          <w:sz w:val="32"/>
          <w:szCs w:val="32"/>
        </w:rPr>
        <w:t xml:space="preserve">定规章制度，以确保本承诺书的履行。 </w:t>
      </w:r>
      <w:r/>
    </w:p>
    <w:p>
      <w:pPr>
        <w:ind w:firstLine="640"/>
        <w:spacing w:line="560" w:lineRule="exact"/>
        <w:rPr>
          <w:rFonts w:ascii="方正仿宋_GBK" w:hAnsi="方正仿宋_GBK" w:eastAsia="方正仿宋_GBK" w:cs="方正仿宋_GBK"/>
          <w:bCs/>
          <w:color w:val="000000"/>
          <w:sz w:val="32"/>
          <w:szCs w:val="32"/>
        </w:rPr>
      </w:pPr>
      <w:r>
        <w:rPr>
          <w:rFonts w:ascii="方正仿宋_GBK" w:hAnsi="方正仿宋_GBK" w:eastAsia="方正仿宋_GBK" w:cs="方正仿宋_GBK"/>
          <w:bCs/>
          <w:color w:val="000000"/>
          <w:sz w:val="32"/>
          <w:szCs w:val="32"/>
        </w:rPr>
        <w:t xml:space="preserve">（4）成交供应商若违反本承诺的约定，应赔偿采购人由此遭受的一切损失。 </w:t>
      </w:r>
      <w:r/>
    </w:p>
    <w:p>
      <w:pPr>
        <w:ind w:firstLine="640"/>
        <w:spacing w:line="560" w:lineRule="exact"/>
        <w:rPr>
          <w:rFonts w:ascii="方正魏碑_GBK" w:hAnsi="方正魏碑_GBK" w:eastAsia="方正魏碑_GBK" w:cs="方正魏碑_GBK"/>
          <w:b/>
          <w:bCs/>
          <w:color w:val="ff0000"/>
          <w:sz w:val="24"/>
        </w:rPr>
      </w:pPr>
      <w:r>
        <w:rPr>
          <w:rFonts w:ascii="方正仿宋_GBK" w:hAnsi="方正仿宋_GBK" w:eastAsia="方正仿宋_GBK" w:cs="方正仿宋_GBK"/>
          <w:bCs/>
          <w:color w:val="000000"/>
          <w:sz w:val="32"/>
          <w:szCs w:val="32"/>
        </w:rPr>
        <w:t xml:space="preserve">（5）保密期限：成交供应商需对本项目的业务资料、技术信息等在软件生命周期内一直保密，直至采购人同意或该业务资料、技术信息在同行业中已成为公开信息后方可解除保密义务。</w:t>
      </w:r>
      <w:r/>
    </w:p>
    <w:p>
      <w:pPr>
        <w:rPr>
          <w:rFonts w:ascii="Times New Roman" w:hAnsi="Times New Roman"/>
        </w:rPr>
      </w:pPr>
      <w:r>
        <w:rPr>
          <w:rFonts w:ascii="Times New Roman" w:hAnsi="Times New Roman"/>
        </w:rPr>
      </w:r>
      <w:r/>
    </w:p>
    <w:p>
      <w:pPr>
        <w:numPr>
          <w:ilvl w:val="0"/>
          <w:numId w:val="4"/>
        </w:numPr>
        <w:spacing w:before="260" w:after="260" w:line="560" w:lineRule="exact"/>
        <w:rPr>
          <w:rFonts w:ascii="方正黑体_GBK" w:hAnsi="方正黑体_GBK" w:eastAsia="方正黑体_GBK" w:cs="方正黑体_GBK"/>
          <w:b/>
          <w:color w:val="000000"/>
          <w:sz w:val="32"/>
          <w:szCs w:val="32"/>
        </w:rPr>
        <w:outlineLvl w:val="1"/>
      </w:pPr>
      <w:r>
        <w:rPr>
          <w:rFonts w:ascii="方正黑体_GBK" w:hAnsi="方正黑体_GBK" w:eastAsia="方正黑体_GBK" w:cs="方正黑体_GBK"/>
          <w:b/>
          <w:color w:val="000000"/>
          <w:sz w:val="32"/>
          <w:szCs w:val="32"/>
        </w:rPr>
        <w:t xml:space="preserve">其他要求</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1.项目</w:t>
      </w:r>
      <w:r>
        <w:rPr>
          <w:rFonts w:ascii="方正仿宋_GBK" w:hAnsi="方正仿宋_GBK" w:eastAsia="方正仿宋_GBK" w:cs="方正仿宋_GBK"/>
          <w:sz w:val="32"/>
          <w:szCs w:val="32"/>
        </w:rPr>
        <w:t xml:space="preserve">属性:</w:t>
      </w:r>
      <w:r>
        <w:rPr>
          <w:rFonts w:ascii="方正仿宋_GBK" w:hAnsi="方正仿宋_GBK" w:eastAsia="方正仿宋_GBK" w:cs="方正仿宋_GBK"/>
          <w:sz w:val="32"/>
          <w:szCs w:val="32"/>
        </w:rPr>
        <w:t xml:space="preserve">服务类项目。</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2.演示要求</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（1）供应商需按照磋商文件规定的演示内容制作演示视频文件，视频文件的格式为</w:t>
      </w:r>
      <w:r>
        <w:rPr>
          <w:rFonts w:ascii="Times New Roman" w:hAnsi="Times New Roman" w:eastAsia="方正仿宋_GBK"/>
          <w:sz w:val="32"/>
          <w:szCs w:val="32"/>
        </w:rPr>
        <w:t xml:space="preserve">X.mp4</w:t>
      </w:r>
      <w:r>
        <w:rPr>
          <w:rFonts w:ascii="方正仿宋_GBK" w:hAnsi="方正仿宋_GBK" w:eastAsia="方正仿宋_GBK" w:cs="方正仿宋_GBK"/>
          <w:sz w:val="32"/>
          <w:szCs w:val="32"/>
        </w:rPr>
        <w:t xml:space="preserve">或</w:t>
      </w:r>
      <w:r>
        <w:rPr>
          <w:rFonts w:ascii="Times New Roman" w:hAnsi="Times New Roman" w:eastAsia="方正仿宋_GBK"/>
          <w:sz w:val="32"/>
          <w:szCs w:val="32"/>
        </w:rPr>
        <w:t xml:space="preserve">X.avi</w:t>
      </w:r>
      <w:r>
        <w:rPr>
          <w:rFonts w:ascii="方正仿宋_GBK" w:hAnsi="方正仿宋_GBK" w:eastAsia="方正仿宋_GBK" w:cs="方正仿宋_GBK"/>
          <w:sz w:val="32"/>
          <w:szCs w:val="32"/>
        </w:rPr>
        <w:t xml:space="preserve">，供应商须将视频文件分段压缩为</w:t>
      </w:r>
      <w:r>
        <w:rPr>
          <w:rFonts w:ascii="Times New Roman" w:hAnsi="Times New Roman" w:eastAsia="方正仿宋_GBK"/>
          <w:sz w:val="32"/>
          <w:szCs w:val="32"/>
        </w:rPr>
        <w:t xml:space="preserve">X.zip</w:t>
      </w:r>
      <w:r>
        <w:rPr>
          <w:rFonts w:ascii="方正仿宋_GBK" w:hAnsi="方正仿宋_GBK" w:eastAsia="方正仿宋_GBK" w:cs="方正仿宋_GBK"/>
          <w:sz w:val="32"/>
          <w:szCs w:val="32"/>
        </w:rPr>
        <w:t xml:space="preserve">文件上传（单个文件不得大于</w:t>
      </w:r>
      <w:r>
        <w:rPr>
          <w:rFonts w:ascii="Times New Roman" w:hAnsi="Times New Roman" w:eastAsia="方正仿宋_GBK"/>
          <w:sz w:val="32"/>
          <w:szCs w:val="32"/>
        </w:rPr>
        <w:t xml:space="preserve">50M</w:t>
      </w:r>
      <w:r>
        <w:rPr>
          <w:rFonts w:ascii="方正仿宋_GBK" w:hAnsi="方正仿宋_GBK" w:eastAsia="方正仿宋_GBK" w:cs="方正仿宋_GBK"/>
          <w:sz w:val="32"/>
          <w:szCs w:val="32"/>
        </w:rPr>
        <w:t xml:space="preserve">，所有文件总共不得大于</w:t>
      </w:r>
      <w:r>
        <w:rPr>
          <w:rFonts w:ascii="Times New Roman" w:hAnsi="Times New Roman" w:eastAsia="方正仿宋_GBK"/>
          <w:sz w:val="32"/>
          <w:szCs w:val="32"/>
        </w:rPr>
        <w:t xml:space="preserve">300M</w:t>
      </w:r>
      <w:r>
        <w:rPr>
          <w:rFonts w:ascii="方正仿宋_GBK" w:hAnsi="方正仿宋_GBK" w:eastAsia="方正仿宋_GBK" w:cs="方正仿宋_GBK"/>
          <w:sz w:val="32"/>
          <w:szCs w:val="32"/>
        </w:rPr>
        <w:t xml:space="preserve">）。文件上传方式见《操作手册》规定，上传的演示视频将作为响应文件的组成部分，视频时长总计不超过</w:t>
      </w:r>
      <w:r>
        <w:rPr>
          <w:rFonts w:ascii="方正仿宋_GBK" w:hAnsi="方正仿宋_GBK" w:eastAsia="方正仿宋_GBK" w:cs="方正仿宋_GBK"/>
          <w:sz w:val="32"/>
          <w:szCs w:val="32"/>
          <w:u w:val="single"/>
        </w:rPr>
        <w:t xml:space="preserve">5</w:t>
      </w:r>
      <w:r>
        <w:rPr>
          <w:rFonts w:ascii="方正仿宋_GBK" w:hAnsi="方正仿宋_GBK" w:eastAsia="方正仿宋_GBK" w:cs="方正仿宋_GBK"/>
          <w:sz w:val="32"/>
          <w:szCs w:val="32"/>
        </w:rPr>
        <w:t xml:space="preserve">分钟。</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（2）演示内容如下：</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①标准智能评估功能演示，包括标准文本内容解析、</w:t>
      </w:r>
      <w:r>
        <w:rPr>
          <w:rFonts w:ascii="方正仿宋_GBK" w:hAnsi="宋体" w:eastAsia="方正仿宋_GBK"/>
          <w:sz w:val="32"/>
          <w:szCs w:val="32"/>
        </w:rPr>
        <w:t xml:space="preserve">守底线审查、提中线评估、拉高线评估、标准指标横向对比以及评估报告生成</w:t>
      </w:r>
      <w:r>
        <w:rPr>
          <w:rFonts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sz w:val="32"/>
          <w:szCs w:val="32"/>
        </w:rPr>
      </w:pPr>
      <w:r>
        <w:rPr>
          <w:rFonts w:ascii="方正仿宋_GBK" w:hAnsi="方正仿宋_GBK" w:eastAsia="方正仿宋_GBK" w:cs="方正仿宋_GBK"/>
          <w:sz w:val="32"/>
          <w:szCs w:val="32"/>
        </w:rPr>
        <w:t xml:space="preserve">②产品标准试验方法提取功能演示，包括标准文本批量处理、</w:t>
      </w:r>
      <w:r>
        <w:rPr>
          <w:rFonts w:ascii="方正仿宋_GBK" w:hAnsi="宋体" w:eastAsia="方正仿宋_GBK"/>
          <w:sz w:val="32"/>
          <w:szCs w:val="32"/>
        </w:rPr>
        <w:t xml:space="preserve">检验项目核心信息提取，支持导出提取结果</w:t>
      </w:r>
      <w:r>
        <w:rPr>
          <w:rFonts w:ascii="方正仿宋_GBK" w:hAnsi="方正仿宋_GBK" w:eastAsia="方正仿宋_GBK" w:cs="方正仿宋_GBK"/>
          <w:sz w:val="32"/>
          <w:szCs w:val="32"/>
        </w:rPr>
        <w:t xml:space="preserve">；</w:t>
      </w:r>
      <w:r/>
    </w:p>
    <w:p>
      <w:pPr>
        <w:ind w:firstLine="640"/>
        <w:spacing w:line="560" w:lineRule="exact"/>
        <w:rPr>
          <w:rFonts w:ascii="方正仿宋_GBK" w:hAnsi="方正仿宋_GBK" w:eastAsia="方正仿宋_GBK" w:cs="方正仿宋_GBK"/>
          <w:bCs/>
          <w:sz w:val="28"/>
          <w:szCs w:val="28"/>
        </w:rPr>
      </w:pPr>
      <w:r>
        <w:rPr>
          <w:rFonts w:ascii="方正仿宋_GBK" w:hAnsi="方正仿宋_GBK" w:eastAsia="方正仿宋_GBK" w:cs="方正仿宋_GBK"/>
          <w:sz w:val="32"/>
          <w:szCs w:val="32"/>
        </w:rPr>
        <w:t xml:space="preserve">③TBT翻译工具演示，包括搭建TBT专业术语词典、</w:t>
      </w:r>
      <w:r>
        <w:rPr>
          <w:rFonts w:ascii="方正仿宋_GBK" w:hAnsi="方正仿宋_GBK" w:eastAsia="方正仿宋_GBK" w:cs="方正仿宋_GBK"/>
          <w:sz w:val="32"/>
          <w:szCs w:val="32"/>
        </w:rPr>
        <w:t xml:space="preserve">中英文翻译结果同屏对照展示、中文通报文稿规范化排版与输出。</w:t>
      </w:r>
      <w:r/>
    </w:p>
    <w:p>
      <w:pPr>
        <w:jc w:val="center"/>
        <w:keepNext/>
        <w:spacing w:line="400" w:lineRule="exact"/>
        <w:rPr>
          <w:rFonts w:ascii="黑体" w:hAnsi="Times New Roman" w:eastAsia="黑体"/>
          <w:bCs/>
          <w:sz w:val="28"/>
          <w:szCs w:val="28"/>
        </w:rPr>
        <w:outlineLvl w:val="0"/>
      </w:pPr>
      <w:r>
        <w:rPr>
          <w:rFonts w:ascii="宋体" w:hAnsi="Courier New" w:cs="Courier New"/>
          <w:sz w:val="24"/>
          <w:szCs w:val="24"/>
        </w:rPr>
        <w:br w:type="page" w:clear="all"/>
      </w:r>
      <w:bookmarkStart w:id="197" w:name="_Toc236925642"/>
      <w:r/>
      <w:bookmarkStart w:id="198" w:name="_Toc120614281"/>
      <w:r>
        <w:rPr>
          <w:rFonts w:hint="eastAsia" w:ascii="方正黑体_GBK" w:hAnsi="方正黑体_GBK" w:eastAsia="方正黑体_GBK" w:cs="方正黑体_GBK"/>
          <w:sz w:val="28"/>
          <w:szCs w:val="28"/>
        </w:rPr>
        <w:t xml:space="preserve">第五章  评审方法与评审标准</w:t>
      </w:r>
      <w:bookmarkEnd w:id="197"/>
      <w:r/>
      <w:r/>
    </w:p>
    <w:p>
      <w:pPr>
        <w:ind w:firstLine="643"/>
        <w:jc w:val="left"/>
        <w:spacing w:before="120" w:after="120" w:line="400" w:lineRule="exact"/>
        <w:rPr>
          <w:rFonts w:ascii="方正仿宋_GBK" w:hAnsi="方正仿宋_GBK" w:eastAsia="方正仿宋_GBK" w:cs="方正仿宋_GBK"/>
          <w:b/>
          <w:sz w:val="32"/>
          <w:szCs w:val="32"/>
        </w:rPr>
      </w:pPr>
      <w:r>
        <w:rPr>
          <w:rFonts w:ascii="方正仿宋_GBK" w:hAnsi="方正仿宋_GBK" w:eastAsia="方正仿宋_GBK" w:cs="方正仿宋_GBK"/>
          <w:b/>
          <w:sz w:val="32"/>
          <w:szCs w:val="32"/>
        </w:rPr>
      </w:r>
      <w:r/>
    </w:p>
    <w:p>
      <w:pPr>
        <w:ind w:firstLine="562"/>
        <w:jc w:val="left"/>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政府采购政策功能落实</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书面声明格式见竞争性谈判文件第五章附件</w:t>
      </w:r>
      <w:r>
        <w:rPr>
          <w:rFonts w:hint="eastAsia" w:ascii="方正仿宋_GBK" w:hAnsi="方正仿宋_GBK" w:eastAsia="方正仿宋_GBK" w:cs="方正仿宋_GBK"/>
          <w:sz w:val="28"/>
          <w:szCs w:val="28"/>
        </w:rPr>
        <w:t xml:space="preserve">8-2</w:t>
      </w:r>
      <w:r>
        <w:rPr>
          <w:rFonts w:hint="eastAsia" w:ascii="方正仿宋_GBK" w:hAnsi="方正仿宋_GBK" w:eastAsia="方正仿宋_GBK" w:cs="方正仿宋_GBK"/>
          <w:sz w:val="28"/>
          <w:szCs w:val="28"/>
        </w:rPr>
        <w:t xml:space="preserve">），供应商将不享受《政府采购促进中小企业发展管理办法》规定的价格扣除优惠政策</w:t>
      </w:r>
      <w:r>
        <w:rPr>
          <w:rFonts w:hint="eastAsia" w:ascii="方正仿宋_GBK" w:hAnsi="方正仿宋_GBK" w:eastAsia="方正仿宋_GBK" w:cs="方正仿宋_GBK"/>
          <w:sz w:val="28"/>
          <w:szCs w:val="28"/>
        </w:rPr>
        <w:t xml:space="preserve">。</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left="120"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w:t>
      </w:r>
      <w:r>
        <w:rPr>
          <w:rFonts w:hint="eastAsia" w:ascii="方正仿宋_GBK" w:hAnsi="方正仿宋_GBK" w:eastAsia="方正仿宋_GBK" w:cs="方正仿宋_GBK"/>
          <w:sz w:val="28"/>
          <w:szCs w:val="28"/>
        </w:rPr>
        <w:t xml:space="preserve">享受政策。</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5.如本项目同意联合体参加磋商或同意分包履行合同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p>
    <w:p>
      <w:pPr>
        <w:ind w:firstLine="560"/>
        <w:jc w:val="left"/>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7.1当采购包中含有货物的，供应商为该采购包提供的符合本国产品标准的货物成本之和占该供应商提供的整个采购包成本之和的比例达到80%以上时（供应商需在“第六章 响应文件格式”的“附件1 分项报价表”中填写比例数值），依法对该供应商整个采购包给予价格评审优惠，即对该供应商整个采购包的总报价给予20%的价格扣除，用扣除后的价格参与评审。供应商未填写比例数值，或比例数值不足80%的，将不享受本国产品价格评审优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7.2供应商需按照磋商文件的要求提供《关于符合本国产品标准的声明函》（以下简称《声明函》），如不提供将不享受本国产品价格评审优惠。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审过程中如发现供应商在《声明函》内容含义不明确、同类事项与投标（响应）文件表述不一致或者有明显文字错误等情况的，磋商小组应当以书面形式要求供应商作出必要的澄清、说明或者补正。经澄清、说明或者补正的《声明函》仍然不符合《国务院办公厅关于在政府采购中实施本国产品标准及相关政策的通知》（国办发〔2025〕34号）和磋商文件规定的，供应商提供的相关产品视为不符合本国产品标准。</w:t>
      </w:r>
      <w:r/>
    </w:p>
    <w:p>
      <w:pPr>
        <w:ind w:firstLine="562"/>
        <w:jc w:val="left"/>
        <w:spacing w:before="120" w:after="120" w:line="400" w:lineRule="exact"/>
        <w:rPr>
          <w:rFonts w:hint="eastAsia" w:ascii="宋体" w:hAnsi="宋体"/>
          <w:b/>
          <w:sz w:val="28"/>
          <w:szCs w:val="28"/>
        </w:rPr>
      </w:pPr>
      <w:r>
        <w:rPr>
          <w:rFonts w:hint="eastAsia" w:ascii="宋体" w:hAnsi="宋体"/>
          <w:b/>
          <w:sz w:val="28"/>
          <w:szCs w:val="28"/>
        </w:rPr>
      </w:r>
      <w:r/>
    </w:p>
    <w:p>
      <w:pPr>
        <w:ind w:firstLine="640"/>
        <w:jc w:val="left"/>
        <w:spacing w:before="120" w:after="120" w:line="0" w:lineRule="atLeast"/>
        <w:rPr>
          <w:rFonts w:ascii="方正仿宋_GBK" w:hAnsi="方正仿宋_GBK" w:eastAsia="方正仿宋_GBK" w:cs="方正仿宋_GBK"/>
          <w:b/>
          <w:color w:val="000000"/>
          <w:sz w:val="32"/>
          <w:szCs w:val="32"/>
        </w:rPr>
      </w:pPr>
      <w:r>
        <w:rPr>
          <w:rFonts w:ascii="方正仿宋_GBK" w:hAnsi="方正仿宋_GBK" w:eastAsia="方正仿宋_GBK" w:cs="方正仿宋_GBK"/>
          <w:b/>
          <w:color w:val="000000"/>
          <w:sz w:val="32"/>
          <w:szCs w:val="32"/>
        </w:rPr>
        <w:t xml:space="preserve">评审方法与评审标准</w:t>
      </w:r>
      <w:r/>
    </w:p>
    <w:tbl>
      <w:tblPr>
        <w:tblW w:w="8569" w:type="dxa"/>
        <w:tblInd w:w="78" w:type="dxa"/>
        <w:tblLayout w:type="fixed"/>
        <w:tblCellMar>
          <w:left w:w="0" w:type="dxa"/>
          <w:right w:w="0" w:type="dxa"/>
        </w:tblCellMar>
        <w:tblLook w:val="04A0" w:firstRow="1" w:lastRow="0" w:firstColumn="1" w:lastColumn="0" w:noHBand="0" w:noVBand="1"/>
      </w:tblPr>
      <w:tblGrid>
        <w:gridCol w:w="539"/>
        <w:gridCol w:w="1326"/>
        <w:gridCol w:w="6024"/>
        <w:gridCol w:w="680"/>
      </w:tblGrid>
      <w:tr>
        <w:trPr>
          <w:trHeight w:val="351"/>
        </w:trPr>
        <w:tc>
          <w:tcPr>
            <w:shd w:val="clear" w:color="auto" w:fill="c0c0c0"/>
            <w:tcBorders>
              <w:top w:val="single" w:color="000000" w:sz="8" w:space="0"/>
              <w:left w:val="single" w:color="000000" w:sz="8" w:space="0"/>
              <w:bottom w:val="single" w:color="000000" w:sz="8" w:space="0"/>
              <w:right w:val="single" w:color="000000" w:sz="8" w:space="0"/>
            </w:tcBorders>
            <w:tcW w:w="539"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序号</w:t>
            </w:r>
            <w:r/>
          </w:p>
        </w:tc>
        <w:tc>
          <w:tcPr>
            <w:shd w:val="clear" w:color="auto" w:fill="c0c0c0"/>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w:t>
            </w:r>
            <w:r/>
          </w:p>
        </w:tc>
        <w:tc>
          <w:tcPr>
            <w:shd w:val="clear" w:color="auto" w:fill="c0c0c0"/>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评分标准</w:t>
            </w:r>
            <w:r/>
          </w:p>
        </w:tc>
        <w:tc>
          <w:tcPr>
            <w:shd w:val="clear" w:color="auto" w:fill="c0c0c0"/>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满分</w:t>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一、价格部分（10分）</w:t>
            </w:r>
            <w:r/>
          </w:p>
        </w:tc>
      </w:tr>
      <w:tr>
        <w:trPr>
          <w:trHeight w:val="955"/>
        </w:trPr>
        <w:tc>
          <w:tcPr>
            <w:tcBorders>
              <w:top w:val="none" w:color="000000" w:sz="4" w:space="0"/>
              <w:left w:val="single" w:color="000000" w:sz="8" w:space="0"/>
              <w:bottom w:val="single" w:color="000000" w:sz="8" w:space="0"/>
              <w:right w:val="single" w:color="000000" w:sz="8" w:space="0"/>
            </w:tcBorders>
            <w:tcW w:w="539"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w:t>
            </w:r>
            <w:r/>
          </w:p>
        </w:tc>
        <w:tc>
          <w:tcPr>
            <w:tcBorders>
              <w:top w:val="single" w:color="000000" w:sz="8"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价格分</w:t>
            </w:r>
            <w:r>
              <w:rPr>
                <w:rFonts w:ascii="方正仿宋_GBK" w:hAnsi="方正仿宋_GBK" w:eastAsia="方正仿宋_GBK" w:cs="方正仿宋_GBK"/>
                <w:color w:val="000000"/>
                <w:sz w:val="28"/>
                <w:szCs w:val="28"/>
                <w:lang w:bidi="ar"/>
              </w:rPr>
              <w:t xml:space="preserve">(10分)</w:t>
            </w:r>
            <w:r/>
          </w:p>
        </w:tc>
        <w:tc>
          <w:tcPr>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采用低价优先法计算，即满足磋商文件要求且最终报价最低的为评审基准价，其价格分为满分。其他供应商的价格分统一按照下列公式计算：报价得分=（评标基准价/最终报价）×10。</w:t>
            </w:r>
            <w:r/>
          </w:p>
        </w:tc>
        <w:tc>
          <w:tcPr>
            <w:tcBorders>
              <w:top w:val="single" w:color="000000" w:sz="8" w:space="0"/>
              <w:left w:val="single" w:color="000000" w:sz="8" w:space="0"/>
              <w:bottom w:val="single" w:color="000000" w:sz="8" w:space="0"/>
              <w:right w:val="single" w:color="000000" w:sz="8" w:space="0"/>
            </w:tcBorders>
            <w:tcW w:w="680"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10</w:t>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二、技术部分（5</w:t>
            </w: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lang w:bidi="ar"/>
              </w:rPr>
              <w:t xml:space="preserve">分）</w:t>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2</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整体技术方案</w:t>
            </w:r>
            <w:r>
              <w:rPr>
                <w:rFonts w:ascii="方正仿宋_GBK" w:hAnsi="方正仿宋_GBK" w:eastAsia="方正仿宋_GBK" w:cs="方正仿宋_GBK"/>
                <w:color w:val="000000"/>
                <w:sz w:val="28"/>
                <w:szCs w:val="28"/>
                <w:lang w:bidi="ar"/>
              </w:rPr>
              <w:t xml:space="preserve">(</w:t>
            </w:r>
            <w:r>
              <w:rPr>
                <w:rFonts w:hint="eastAsia" w:ascii="方正仿宋_GBK" w:hAnsi="方正仿宋_GBK" w:eastAsia="方正仿宋_GBK" w:cs="方正仿宋_GBK"/>
                <w:color w:val="000000"/>
                <w:sz w:val="28"/>
                <w:szCs w:val="28"/>
                <w:lang w:bidi="ar"/>
              </w:rPr>
              <w:t xml:space="preserve">42</w:t>
            </w:r>
            <w:r>
              <w:rPr>
                <w:rFonts w:ascii="方正仿宋_GBK" w:hAnsi="方正仿宋_GBK" w:eastAsia="方正仿宋_GBK" w:cs="方正仿宋_GBK"/>
                <w:color w:val="000000"/>
                <w:sz w:val="28"/>
                <w:szCs w:val="28"/>
                <w:lang w:bidi="ar"/>
              </w:rPr>
              <w:t xml:space="preserve">分)</w:t>
            </w:r>
            <w:r/>
          </w:p>
        </w:tc>
        <w:tc>
          <w:tcPr>
            <w:tcBorders>
              <w:top w:val="single" w:color="000000" w:sz="8"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1总体建设方案：</w:t>
            </w:r>
            <w:r/>
          </w:p>
        </w:tc>
        <w:tc>
          <w:tcPr>
            <w:tcBorders>
              <w:top w:val="single" w:color="000000" w:sz="8" w:space="0"/>
              <w:left w:val="single" w:color="000000" w:sz="8" w:space="0"/>
              <w:right w:val="single" w:color="000000" w:sz="8" w:space="0"/>
            </w:tcBorders>
            <w:tcW w:w="680" w:type="dxa"/>
            <w:vAlign w:val="center"/>
            <w:vMerge w:val="restart"/>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10</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响应供应商针对本项目的建设内容，提供的本项目总体建设方案，包括但不</w:t>
            </w:r>
            <w:r>
              <w:rPr>
                <w:rFonts w:ascii="方正仿宋_GBK" w:hAnsi="方正仿宋_GBK" w:eastAsia="方正仿宋_GBK" w:cs="方正仿宋_GBK"/>
                <w:color w:val="000000"/>
                <w:sz w:val="28"/>
                <w:szCs w:val="28"/>
                <w:lang w:bidi="ar"/>
              </w:rPr>
              <w:t xml:space="preserve">限于:</w:t>
            </w:r>
            <w:r>
              <w:rPr>
                <w:rFonts w:ascii="方正仿宋_GBK" w:hAnsi="方正仿宋_GBK" w:eastAsia="方正仿宋_GBK" w:cs="方正仿宋_GBK"/>
                <w:color w:val="000000"/>
                <w:sz w:val="28"/>
                <w:szCs w:val="28"/>
                <w:lang w:bidi="ar"/>
              </w:rPr>
              <w:t xml:space="preserve">总体架构、技术架构、系统性能设计方案等。</w:t>
            </w:r>
            <w:r/>
          </w:p>
        </w:tc>
        <w:tc>
          <w:tcPr>
            <w:tcBorders>
              <w:left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总体建设方案”中全部条款要求的，视为不符合采购文件，本项得0分。（2）响应文件符合“总体建设方案”中全部条款要求的，视为符合采购文件，本项得3分。（3）经评委认定，响应文件对“总体建设方案”中“总体架构”“技术架构”“</w:t>
            </w:r>
            <w:r>
              <w:rPr>
                <w:rFonts w:ascii="方正仿宋_GBK" w:hAnsi="方正仿宋_GBK" w:eastAsia="方正仿宋_GBK" w:cs="方正仿宋_GBK"/>
                <w:color w:val="000000"/>
                <w:sz w:val="28"/>
                <w:szCs w:val="28"/>
                <w:lang w:bidi="ar"/>
              </w:rPr>
              <w:t xml:space="preserve">系统性能设计方案</w:t>
            </w:r>
            <w:r>
              <w:rPr>
                <w:rFonts w:hint="eastAsia" w:ascii="方正仿宋_GBK" w:hAnsi="方正仿宋_GBK" w:eastAsia="方正仿宋_GBK" w:cs="方正仿宋_GBK"/>
                <w:color w:val="000000"/>
                <w:sz w:val="28"/>
                <w:szCs w:val="28"/>
                <w:lang w:bidi="ar"/>
              </w:rPr>
              <w:t xml:space="preserve">”三项要求的响应内容全部优于采购文件要求的(前提是响应文件对“总体建设方案”中除“总体架构”“技术架构”“</w:t>
            </w:r>
            <w:r>
              <w:rPr>
                <w:rFonts w:ascii="方正仿宋_GBK" w:hAnsi="方正仿宋_GBK" w:eastAsia="方正仿宋_GBK" w:cs="方正仿宋_GBK"/>
                <w:color w:val="000000"/>
                <w:sz w:val="28"/>
                <w:szCs w:val="28"/>
                <w:lang w:bidi="ar"/>
              </w:rPr>
              <w:t xml:space="preserve">系统性能设计方案</w:t>
            </w:r>
            <w:r>
              <w:rPr>
                <w:rFonts w:hint="eastAsia" w:ascii="方正仿宋_GBK" w:hAnsi="方正仿宋_GBK" w:eastAsia="方正仿宋_GBK" w:cs="方正仿宋_GBK"/>
                <w:color w:val="000000"/>
                <w:sz w:val="28"/>
                <w:szCs w:val="28"/>
                <w:lang w:bidi="ar"/>
              </w:rPr>
              <w:t xml:space="preserve">”外其他要求响应内容符合采购文件要求)，本项得5分。】</w:t>
            </w:r>
            <w:r/>
          </w:p>
        </w:tc>
        <w:tc>
          <w:tcPr>
            <w:tcBorders>
              <w:left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108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2数据准备方案：</w:t>
            </w:r>
            <w:r/>
          </w:p>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响应供应商针对本项目涉及的标准数据、技贸预警数据、召回业务数据等资源现状，提供完整的数据</w:t>
            </w:r>
            <w:r>
              <w:rPr>
                <w:rFonts w:hint="eastAsia" w:ascii="方正仿宋_GBK" w:hAnsi="方正仿宋_GBK" w:eastAsia="方正仿宋_GBK" w:cs="方正仿宋_GBK"/>
                <w:color w:val="000000"/>
                <w:sz w:val="28"/>
                <w:szCs w:val="28"/>
                <w:lang w:bidi="ar"/>
              </w:rPr>
              <w:t xml:space="preserve">准备</w:t>
            </w:r>
            <w:r>
              <w:rPr>
                <w:rFonts w:ascii="方正仿宋_GBK" w:hAnsi="方正仿宋_GBK" w:eastAsia="方正仿宋_GBK" w:cs="方正仿宋_GBK"/>
                <w:color w:val="000000"/>
                <w:sz w:val="28"/>
                <w:szCs w:val="28"/>
                <w:lang w:bidi="ar"/>
              </w:rPr>
              <w:t xml:space="preserve">方案。</w:t>
            </w:r>
            <w:r/>
          </w:p>
          <w:p>
            <w:pPr>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w:t>
            </w:r>
            <w:r/>
            <w:r>
              <w:rPr>
                <w:rFonts w:hint="eastAsia" w:ascii="方正仿宋_GBK" w:hAnsi="方正仿宋_GBK" w:eastAsia="方正仿宋_GBK" w:cs="方正仿宋_GBK"/>
                <w:color w:val="000000"/>
                <w:sz w:val="28"/>
                <w:szCs w:val="28"/>
                <w:lang w:bidi="ar"/>
              </w:rPr>
              <w:t xml:space="preserve">评分依据：（1）响应文件未符合“数据准备方案”中全部条款要求的，视为不符合采购文件，本项得0分。（2）响应文件符合“数据准备方案”中全部条款要求的，视为符合采购文件，本项得3分。（3）经评委认定，响应文件对“数据准备方案”中“</w:t>
            </w:r>
            <w:r>
              <w:rPr>
                <w:rFonts w:ascii="方正仿宋_GBK" w:hAnsi="方正仿宋_GBK" w:eastAsia="方正仿宋_GBK" w:cs="方正仿宋_GBK"/>
                <w:color w:val="000000"/>
                <w:sz w:val="28"/>
                <w:szCs w:val="28"/>
                <w:lang w:bidi="ar"/>
              </w:rPr>
              <w:t xml:space="preserve">标准数据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技贸预警数据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召回业务数据</w:t>
            </w:r>
            <w:r>
              <w:rPr>
                <w:rFonts w:hint="eastAsia" w:ascii="方正仿宋_GBK" w:hAnsi="方正仿宋_GBK" w:eastAsia="方正仿宋_GBK" w:cs="方正仿宋_GBK"/>
                <w:color w:val="000000"/>
                <w:sz w:val="28"/>
                <w:szCs w:val="28"/>
                <w:lang w:bidi="ar"/>
              </w:rPr>
              <w:t xml:space="preserve">”三项准备方案的响应内容全部优于采购文件要求的(前提是响应文件对“数据准备方案”中除“</w:t>
            </w:r>
            <w:r>
              <w:rPr>
                <w:rFonts w:ascii="方正仿宋_GBK" w:hAnsi="方正仿宋_GBK" w:eastAsia="方正仿宋_GBK" w:cs="方正仿宋_GBK"/>
                <w:color w:val="000000"/>
                <w:sz w:val="28"/>
                <w:szCs w:val="28"/>
                <w:lang w:bidi="ar"/>
              </w:rPr>
              <w:t xml:space="preserve">标准数据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技贸预警数据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召回业务数据</w:t>
            </w:r>
            <w:r>
              <w:rPr>
                <w:rFonts w:hint="eastAsia" w:ascii="方正仿宋_GBK" w:hAnsi="方正仿宋_GBK" w:eastAsia="方正仿宋_GBK" w:cs="方正仿宋_GBK"/>
                <w:color w:val="000000"/>
                <w:sz w:val="28"/>
                <w:szCs w:val="28"/>
                <w:lang w:bidi="ar"/>
              </w:rPr>
              <w:t xml:space="preserve">”外其他要求响应内容符合采购文件要求)，本项得5分。】</w:t>
            </w:r>
            <w:r/>
            <w:r>
              <w:rPr>
                <w:rFonts w:ascii="方正仿宋_GBK" w:hAnsi="方正仿宋_GBK" w:eastAsia="方正仿宋_GBK" w:cs="方正仿宋_GBK"/>
                <w:color w:val="000000"/>
                <w:sz w:val="28"/>
                <w:szCs w:val="28"/>
                <w:lang w:bidi="ar"/>
              </w:rPr>
            </w:r>
          </w:p>
        </w:tc>
        <w:tc>
          <w:tcPr>
            <w:tcBorders>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3功能设计方案：响应供应商针对该项目部分重点升级业务或功能提供详细设计方案。（要求设计方案详细、流程清晰、功能完整）。</w:t>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32</w:t>
            </w:r>
            <w:r/>
          </w:p>
        </w:tc>
      </w:tr>
      <w:tr>
        <w:trPr>
          <w:trHeight w:val="43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3.1江苏省标准信息公共服务平台功能升级方案（具体要求见第四章第六部分第三项第三点中与江苏省标准信息服务支撑系统功能升级方案的相关内容）</w:t>
            </w:r>
            <w:r>
              <w:rPr>
                <w:rFonts w:ascii="方正仿宋_GBK" w:hAnsi="方正仿宋_GBK" w:eastAsia="方正仿宋_GBK" w:cs="方正仿宋_GBK"/>
                <w:color w:val="000000"/>
                <w:sz w:val="28"/>
                <w:szCs w:val="28"/>
                <w:lang w:bidi="ar"/>
              </w:rPr>
              <w:t xml:space="preserve">(</w:t>
            </w:r>
            <w:r>
              <w:rPr>
                <w:rFonts w:hint="eastAsia"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本项得3分。（3）经评委认定，响应文件对“功能升级方案”中“业务流程”“功能设计”两项要求的响应内容全部优于采购文件要求的(前提是响应文件对“功能升级方案”中除“业务流程”</w:t>
            </w:r>
            <w:r>
              <w:rPr>
                <w:rFonts w:hint="eastAsia" w:ascii="方正仿宋_GBK" w:hAnsi="方正仿宋_GBK" w:eastAsia="方正仿宋_GBK" w:cs="方正仿宋_GBK"/>
                <w:color w:val="000000"/>
                <w:sz w:val="28"/>
                <w:szCs w:val="28"/>
                <w:lang w:bidi="ar"/>
              </w:rPr>
              <w:t xml:space="preserve">“功能设计”外其他要求响应内容符合采购文件要求)，本项得5分。】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3.2江苏省技术性贸易措施信息平台功能升级方案（具体要求见第四章第六部分第三项第三点中与江苏省技术性贸易措施信息平台功能升级方案的相关内容）</w:t>
            </w:r>
            <w:r>
              <w:rPr>
                <w:rFonts w:ascii="方正仿宋_GBK" w:hAnsi="方正仿宋_GBK" w:eastAsia="方正仿宋_GBK" w:cs="方正仿宋_GBK"/>
                <w:color w:val="000000"/>
                <w:sz w:val="28"/>
                <w:szCs w:val="28"/>
                <w:lang w:bidi="ar"/>
              </w:rPr>
              <w:t xml:space="preserve">(5分)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本项得3分。（3）经评委认定，响应文件对“功能升级方案”中“业务流程”“功能设计”两项要求的响应内容全部优于采购文件要求的(前提是响应文件对“功能升级方案”中除“业务流程”“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3.3缺陷产品召回业务系统功能升级方案（具体要求见第四章第六部分第三项第三点中与缺陷产品召回业务系统功能升级方案的相关内容）（5分）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本项得3分。（3）经评委认定，响应文件对“功能升级方案”中“业务流程”“功能设计”两项</w:t>
            </w:r>
            <w:r>
              <w:rPr>
                <w:rFonts w:hint="eastAsia" w:ascii="方正仿宋_GBK" w:hAnsi="方正仿宋_GBK" w:eastAsia="方正仿宋_GBK" w:cs="方正仿宋_GBK"/>
                <w:color w:val="000000"/>
                <w:sz w:val="28"/>
                <w:szCs w:val="28"/>
                <w:lang w:bidi="ar"/>
              </w:rPr>
              <w:t xml:space="preserve">要求的响应内容全部优于采购文件要求的(前提是响应文件对“功能升级方案”中除“业务流程”“功能设计”外其他要求响应内容符合采购文件要求)，本项得5分。】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3.4江苏省统一信用代码系统功能升级方案（具体要求见第四章第六部分第三项第三点中与江苏省统一信用代码系统功能升级方案的相关内容）（5分）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本项得3分。（3）经评委认定，响应文件对“功能升级方案”中“业务流程”“功能设计”两项要求的响应内容全部优于采购文件要求的(前提是响应文件对“功能升级方案”中除“业务流程”“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3.5江苏省物品编码公共服务平台功能升级方案（具体要求见第四章第六部分第三项第三点中与江苏省物品编码公共服务平台功能升级方案的相关内容）（5分）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w:t>
            </w:r>
            <w:r>
              <w:rPr>
                <w:rFonts w:hint="eastAsia" w:ascii="方正仿宋_GBK" w:hAnsi="方正仿宋_GBK" w:eastAsia="方正仿宋_GBK" w:cs="方正仿宋_GBK"/>
                <w:color w:val="000000"/>
                <w:sz w:val="28"/>
                <w:szCs w:val="28"/>
                <w:lang w:bidi="ar"/>
              </w:rPr>
              <w:t xml:space="preserve">本项得3分。（3）经评委认定，响应文件对“功能升级方案”中“业务流程”“功能设计”两项要求的响应内容全部优于采购文件要求的(前提是响应文件对“功能升级方案”中除“业务流程”“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3.6江苏省国际标准化服务平台功能升级方案（具体要求见第四章第六部分第三项第三点中与江苏省国际标准化服务平台功能升级方案的相关内容）（5分）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1）响应文件未符合“功能升级方案”中全部条款要求的，视为不符合采购文件，本项得0分。（2）响应文件符合“功能升级方案”中全部条款要求的，视为符合采购文件，本项得3分。（3）经评委认定，响应文件对“功能升级方案”中“业务流程”“功能设计”两项要求的响应内容全部优于采购文件要求的(前提是响应文件对“功能升级方案”中除“业务流程”“功能设计”外其他要求响应内容符合采购文件要求)，本项得5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4" w:space="0"/>
              <w:right w:val="single" w:color="000000" w:sz="8" w:space="0"/>
            </w:tcBorders>
            <w:tcW w:w="6024" w:type="dxa"/>
            <w:textDirection w:val="lrTb"/>
            <w:noWrap w:val="false"/>
          </w:tcPr>
          <w:p>
            <w:pPr>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4</w:t>
            </w:r>
            <w:r>
              <w:rPr>
                <w:rFonts w:ascii="方正仿宋_GBK" w:hAnsi="方正仿宋_GBK" w:eastAsia="方正仿宋_GBK" w:cs="方正仿宋_GBK"/>
                <w:color w:val="000000"/>
                <w:sz w:val="28"/>
                <w:szCs w:val="28"/>
                <w:lang w:bidi="ar"/>
              </w:rPr>
              <w:t xml:space="preserve">数据</w:t>
            </w:r>
            <w:r>
              <w:rPr>
                <w:rFonts w:hint="eastAsia" w:ascii="方正仿宋_GBK" w:hAnsi="方正仿宋_GBK" w:eastAsia="方正仿宋_GBK" w:cs="方正仿宋_GBK"/>
                <w:color w:val="000000"/>
                <w:sz w:val="28"/>
                <w:szCs w:val="28"/>
                <w:lang w:bidi="ar"/>
              </w:rPr>
              <w:t xml:space="preserve">治理</w:t>
            </w:r>
            <w:r>
              <w:rPr>
                <w:rFonts w:ascii="方正仿宋_GBK" w:hAnsi="方正仿宋_GBK" w:eastAsia="方正仿宋_GBK" w:cs="方正仿宋_GBK"/>
                <w:color w:val="000000"/>
                <w:sz w:val="28"/>
                <w:szCs w:val="28"/>
                <w:lang w:bidi="ar"/>
              </w:rPr>
              <w:t xml:space="preserve">方案：</w:t>
            </w:r>
            <w:r/>
          </w:p>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响应供应商针对本项目涉及的标准数据、技贸预警数据、召回业务数据等资源现状，提供完整的数据</w:t>
            </w:r>
            <w:r>
              <w:rPr>
                <w:rFonts w:hint="eastAsia" w:ascii="方正仿宋_GBK" w:hAnsi="方正仿宋_GBK" w:eastAsia="方正仿宋_GBK" w:cs="方正仿宋_GBK"/>
                <w:color w:val="000000"/>
                <w:sz w:val="28"/>
                <w:szCs w:val="28"/>
                <w:lang w:bidi="ar"/>
              </w:rPr>
              <w:t xml:space="preserve">治理</w:t>
            </w:r>
            <w:r>
              <w:rPr>
                <w:rFonts w:ascii="方正仿宋_GBK" w:hAnsi="方正仿宋_GBK" w:eastAsia="方正仿宋_GBK" w:cs="方正仿宋_GBK"/>
                <w:color w:val="000000"/>
                <w:sz w:val="28"/>
                <w:szCs w:val="28"/>
                <w:lang w:bidi="ar"/>
              </w:rPr>
              <w:t xml:space="preserve">方案。</w:t>
            </w:r>
            <w:r/>
          </w:p>
          <w:p>
            <w:pPr>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【评分依据：优于项目需求得</w:t>
            </w: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lang w:bidi="ar"/>
              </w:rPr>
              <w:t xml:space="preserve">分，符合项目需求得</w:t>
            </w:r>
            <w:r>
              <w:rPr>
                <w:rFonts w:hint="eastAsia" w:ascii="方正仿宋_GBK" w:hAnsi="方正仿宋_GBK" w:eastAsia="方正仿宋_GBK" w:cs="方正仿宋_GBK"/>
                <w:color w:val="000000"/>
                <w:sz w:val="28"/>
                <w:szCs w:val="28"/>
                <w:lang w:bidi="ar"/>
              </w:rPr>
              <w:t xml:space="preserve">1</w:t>
            </w:r>
            <w:r>
              <w:rPr>
                <w:rFonts w:ascii="方正仿宋_GBK" w:hAnsi="方正仿宋_GBK" w:eastAsia="方正仿宋_GBK" w:cs="方正仿宋_GBK"/>
                <w:color w:val="000000"/>
                <w:sz w:val="28"/>
                <w:szCs w:val="28"/>
                <w:lang w:bidi="ar"/>
              </w:rPr>
              <w:t xml:space="preserve">分，不符合项目需求或未提供不得分】</w:t>
            </w:r>
            <w:r/>
          </w:p>
          <w:p>
            <w:pPr>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1）响应文件未符合“数据准备方案”中全部条款要求的，视为不符合采购文件，本项得0分。（2）响应文件符合“数据准备方案”中全部条款要求的，视为符合采购文件，本项得1分。（3）经评委认定，响应文件对“数据准备方案”中“</w:t>
            </w:r>
            <w:r>
              <w:rPr>
                <w:rFonts w:ascii="方正仿宋_GBK" w:hAnsi="方正仿宋_GBK" w:eastAsia="方正仿宋_GBK" w:cs="方正仿宋_GBK"/>
                <w:color w:val="000000"/>
                <w:sz w:val="28"/>
                <w:szCs w:val="28"/>
                <w:lang w:bidi="ar"/>
              </w:rPr>
              <w:t xml:space="preserve">标准数据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技贸预警数据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召回业务数据</w:t>
            </w:r>
            <w:r>
              <w:rPr>
                <w:rFonts w:hint="eastAsia" w:ascii="方正仿宋_GBK" w:hAnsi="方正仿宋_GBK" w:eastAsia="方正仿宋_GBK" w:cs="方正仿宋_GBK"/>
                <w:color w:val="000000"/>
                <w:sz w:val="28"/>
                <w:szCs w:val="28"/>
                <w:lang w:bidi="ar"/>
              </w:rPr>
              <w:t xml:space="preserve">”三项治理方案的响应内容全部优于采购文件要求的(前提是响应文件对“数据准备方案”中除“</w:t>
            </w:r>
            <w:r>
              <w:rPr>
                <w:rFonts w:ascii="方正仿宋_GBK" w:hAnsi="方正仿宋_GBK" w:eastAsia="方正仿宋_GBK" w:cs="方正仿宋_GBK"/>
                <w:color w:val="000000"/>
                <w:sz w:val="28"/>
                <w:szCs w:val="28"/>
                <w:lang w:bidi="ar"/>
              </w:rPr>
              <w:t xml:space="preserve">标准数据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技贸预警数据</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召回业务数据</w:t>
            </w:r>
            <w:r>
              <w:rPr>
                <w:rFonts w:hint="eastAsia" w:ascii="方正仿宋_GBK" w:hAnsi="方正仿宋_GBK" w:eastAsia="方正仿宋_GBK" w:cs="方正仿宋_GBK"/>
                <w:color w:val="000000"/>
                <w:sz w:val="28"/>
                <w:szCs w:val="28"/>
                <w:lang w:bidi="ar"/>
              </w:rPr>
              <w:t xml:space="preserve">”外其他要求响应内容符合采购文件要求)，本项得2分。】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189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3</w:t>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功能演示（</w:t>
            </w:r>
            <w:r>
              <w:rPr>
                <w:rFonts w:hint="eastAsia" w:ascii="方正仿宋_GBK" w:hAnsi="方正仿宋_GBK" w:eastAsia="方正仿宋_GBK" w:cs="方正仿宋_GBK"/>
                <w:color w:val="000000"/>
                <w:sz w:val="28"/>
                <w:szCs w:val="28"/>
                <w:lang w:bidi="ar"/>
              </w:rPr>
              <w:t xml:space="preserve">10</w:t>
            </w:r>
            <w:r>
              <w:rPr>
                <w:rFonts w:ascii="方正仿宋_GBK" w:hAnsi="方正仿宋_GBK" w:eastAsia="方正仿宋_GBK" w:cs="方正仿宋_GBK"/>
                <w:color w:val="000000"/>
                <w:sz w:val="28"/>
                <w:szCs w:val="28"/>
                <w:lang w:bidi="ar"/>
              </w:rPr>
              <w:t xml:space="preserve">分）</w:t>
            </w:r>
            <w:r/>
          </w:p>
        </w:tc>
        <w:tc>
          <w:tcPr>
            <w:tcBorders>
              <w:top w:val="single" w:color="000000" w:sz="4" w:space="0"/>
              <w:left w:val="single" w:color="000000" w:sz="8" w:space="0"/>
              <w:bottom w:val="none" w:color="000000" w:sz="4" w:space="0"/>
              <w:right w:val="single" w:color="000000" w:sz="8" w:space="0"/>
            </w:tcBorders>
            <w:tcW w:w="6024" w:type="dxa"/>
            <w:vAlign w:val="center"/>
            <w:textDirection w:val="lrTb"/>
            <w:noWrap w:val="false"/>
          </w:tcPr>
          <w:p>
            <w:pPr>
              <w:jc w:val="lef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响应供应商需按照采购文件规定的演示内容制作演示视频文件，视频文件的格式要求为.mp4或.avi文件，将视频文件分卷压缩为.zip文件，单个文件不得大于50M，按照《江苏省政府采购交易执行系统操作手册》的规定上传，上传的演示视频将作为响应文件的组成部分。系统支持上传多个文件，视频时长总计不超过5分钟。响应供应商使用真实系统或者根据项目需求开发的演示系统的最高可得满分，使用其他形式演示的得分减半，不演示或者功能不满足要求不得分。</w:t>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w:t>
            </w:r>
            <w:r>
              <w:rPr>
                <w:rFonts w:hint="eastAsia" w:ascii="方正仿宋_GBK" w:hAnsi="方正仿宋_GBK" w:eastAsia="方正仿宋_GBK" w:cs="方正仿宋_GBK"/>
                <w:color w:val="000000"/>
                <w:sz w:val="28"/>
                <w:szCs w:val="28"/>
                <w:lang w:bidi="ar"/>
              </w:rPr>
              <w:t xml:space="preserve">0</w:t>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jc w:val="left"/>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jc w:val="left"/>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江苏省质量和标准化研究院系统演示（1</w:t>
            </w:r>
            <w:r>
              <w:rPr>
                <w:rFonts w:hint="eastAsia" w:ascii="方正仿宋_GBK" w:hAnsi="方正仿宋_GBK" w:eastAsia="方正仿宋_GBK" w:cs="方正仿宋_GBK"/>
                <w:color w:val="000000"/>
                <w:sz w:val="28"/>
                <w:szCs w:val="28"/>
                <w:lang w:bidi="ar"/>
              </w:rPr>
              <w:t xml:space="preserve">0</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36"/>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numPr>
                <w:ilvl w:val="0"/>
                <w:numId w:val="6"/>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标准智能评估功能演示，包括</w:t>
            </w:r>
            <w:r/>
          </w:p>
          <w:p>
            <w:pPr>
              <w:numPr>
                <w:ilvl w:val="0"/>
                <w:numId w:val="7"/>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标准文本内容解析</w:t>
            </w:r>
            <w:r>
              <w:rPr>
                <w:rFonts w:hint="eastAsia" w:ascii="方正仿宋_GBK" w:hAnsi="方正仿宋_GBK" w:eastAsia="方正仿宋_GBK" w:cs="方正仿宋_GBK"/>
                <w:color w:val="000000"/>
                <w:sz w:val="28"/>
                <w:szCs w:val="28"/>
                <w:lang w:bidi="ar"/>
              </w:rPr>
              <w:t xml:space="preserve">（1分）</w:t>
            </w:r>
            <w:r/>
          </w:p>
          <w:p>
            <w:pPr>
              <w:numPr>
                <w:ilvl w:val="0"/>
                <w:numId w:val="7"/>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守底线审查</w:t>
            </w:r>
            <w:r>
              <w:rPr>
                <w:rFonts w:hint="eastAsia" w:ascii="方正仿宋_GBK" w:hAnsi="方正仿宋_GBK" w:eastAsia="方正仿宋_GBK" w:cs="方正仿宋_GBK"/>
                <w:color w:val="000000"/>
                <w:sz w:val="28"/>
                <w:szCs w:val="28"/>
                <w:lang w:bidi="ar"/>
              </w:rPr>
              <w:t xml:space="preserve">（1分）</w:t>
            </w:r>
            <w:r/>
          </w:p>
          <w:p>
            <w:pPr>
              <w:numPr>
                <w:ilvl w:val="0"/>
                <w:numId w:val="7"/>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提中线评估</w:t>
            </w:r>
            <w:r>
              <w:rPr>
                <w:rFonts w:hint="eastAsia" w:ascii="方正仿宋_GBK" w:hAnsi="方正仿宋_GBK" w:eastAsia="方正仿宋_GBK" w:cs="方正仿宋_GBK"/>
                <w:color w:val="000000"/>
                <w:sz w:val="28"/>
                <w:szCs w:val="28"/>
                <w:lang w:bidi="ar"/>
              </w:rPr>
              <w:t xml:space="preserve">（1分）</w:t>
            </w:r>
            <w:r/>
          </w:p>
          <w:p>
            <w:pPr>
              <w:numPr>
                <w:ilvl w:val="0"/>
                <w:numId w:val="7"/>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标准指标横向对比以及评估报告生成</w:t>
            </w:r>
            <w:r>
              <w:rPr>
                <w:rFonts w:hint="eastAsia" w:ascii="方正仿宋_GBK" w:hAnsi="方正仿宋_GBK" w:eastAsia="方正仿宋_GBK" w:cs="方正仿宋_GBK"/>
                <w:color w:val="000000"/>
                <w:sz w:val="28"/>
                <w:szCs w:val="28"/>
                <w:lang w:bidi="ar"/>
              </w:rPr>
              <w:t xml:space="preserve">（1分）</w:t>
            </w:r>
            <w:r/>
          </w:p>
          <w:p>
            <w:p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w:t>
            </w:r>
            <w:r>
              <w:rPr>
                <w:rFonts w:ascii="方正仿宋_GBK" w:hAnsi="方正仿宋_GBK" w:eastAsia="方正仿宋_GBK" w:cs="方正仿宋_GBK"/>
                <w:color w:val="000000"/>
                <w:sz w:val="28"/>
                <w:szCs w:val="28"/>
                <w:lang w:bidi="ar"/>
              </w:rPr>
              <w:t xml:space="preserve">响应供应商</w:t>
            </w:r>
            <w:r>
              <w:rPr>
                <w:rFonts w:hint="eastAsia" w:ascii="方正仿宋_GBK" w:hAnsi="方正仿宋_GBK" w:eastAsia="方正仿宋_GBK" w:cs="方正仿宋_GBK"/>
                <w:color w:val="000000"/>
                <w:sz w:val="28"/>
                <w:szCs w:val="28"/>
                <w:lang w:bidi="ar"/>
              </w:rPr>
              <w:t xml:space="preserve">完整演示得4分，每缺少1项功能扣1分，扣完为止。</w:t>
            </w:r>
            <w:r>
              <w:rPr>
                <w:rFonts w:ascii="方正仿宋_GBK" w:hAnsi="方正仿宋_GBK" w:eastAsia="方正仿宋_GBK" w:cs="方正仿宋_GBK"/>
                <w:color w:val="000000"/>
                <w:sz w:val="28"/>
                <w:szCs w:val="28"/>
                <w:lang w:bidi="ar"/>
              </w:rPr>
              <w:t xml:space="preserve">】</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numPr>
                <w:ilvl w:val="0"/>
                <w:numId w:val="8"/>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产品标准试验方法提取功能演示，包括</w:t>
            </w:r>
            <w:r/>
          </w:p>
          <w:p>
            <w:pPr>
              <w:numPr>
                <w:ilvl w:val="0"/>
                <w:numId w:val="9"/>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标准文本批量处理</w:t>
            </w:r>
            <w:r>
              <w:rPr>
                <w:rFonts w:hint="eastAsia" w:ascii="方正仿宋_GBK" w:hAnsi="方正仿宋_GBK" w:eastAsia="方正仿宋_GBK" w:cs="方正仿宋_GBK"/>
                <w:color w:val="000000"/>
                <w:sz w:val="28"/>
                <w:szCs w:val="28"/>
                <w:lang w:bidi="ar"/>
              </w:rPr>
              <w:t xml:space="preserve">（1分）</w:t>
            </w:r>
            <w:r/>
          </w:p>
          <w:p>
            <w:pPr>
              <w:numPr>
                <w:ilvl w:val="0"/>
                <w:numId w:val="9"/>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检验项目核心信息提取</w:t>
            </w:r>
            <w:r>
              <w:rPr>
                <w:rFonts w:hint="eastAsia" w:ascii="方正仿宋_GBK" w:hAnsi="方正仿宋_GBK" w:eastAsia="方正仿宋_GBK" w:cs="方正仿宋_GBK"/>
                <w:color w:val="000000"/>
                <w:sz w:val="28"/>
                <w:szCs w:val="28"/>
                <w:lang w:bidi="ar"/>
              </w:rPr>
              <w:t xml:space="preserve">（1分）</w:t>
            </w:r>
            <w:r/>
          </w:p>
          <w:p>
            <w:pPr>
              <w:numPr>
                <w:ilvl w:val="0"/>
                <w:numId w:val="9"/>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支持导出提取结果</w:t>
            </w:r>
            <w:r>
              <w:rPr>
                <w:rFonts w:hint="eastAsia" w:ascii="方正仿宋_GBK" w:hAnsi="方正仿宋_GBK" w:eastAsia="方正仿宋_GBK" w:cs="方正仿宋_GBK"/>
                <w:color w:val="000000"/>
                <w:sz w:val="28"/>
                <w:szCs w:val="28"/>
                <w:lang w:bidi="ar"/>
              </w:rPr>
              <w:t xml:space="preserve">（1分）</w:t>
            </w:r>
            <w:r/>
          </w:p>
          <w:p>
            <w:pPr>
              <w:numPr>
                <w:ilvl w:val="255"/>
                <w:numId w:val="0"/>
              </w:numPr>
              <w:jc w:val="left"/>
              <w:widowControl/>
              <w:rPr>
                <w:rFonts w:ascii="方正仿宋_GBK" w:hAnsi="方正仿宋_GBK" w:eastAsia="方正仿宋_GBK" w:cs="方正仿宋_GBK"/>
                <w:color w:val="000000"/>
                <w:sz w:val="28"/>
                <w:szCs w:val="28"/>
                <w:lang w:bidi="ar"/>
              </w:rPr>
            </w:pPr>
            <w:r>
              <w:rPr>
                <w:rFonts w:hint="eastAsia" w:ascii="方正仿宋_GBK" w:hAnsi="方正仿宋_GBK" w:eastAsia="方正仿宋_GBK" w:cs="方正仿宋_GBK"/>
                <w:color w:val="000000"/>
                <w:sz w:val="28"/>
                <w:szCs w:val="28"/>
                <w:lang w:bidi="ar"/>
              </w:rPr>
              <w:t xml:space="preserve">【评分依据：</w:t>
            </w:r>
            <w:r>
              <w:rPr>
                <w:rFonts w:ascii="方正仿宋_GBK" w:hAnsi="方正仿宋_GBK" w:eastAsia="方正仿宋_GBK" w:cs="方正仿宋_GBK"/>
                <w:color w:val="000000"/>
                <w:sz w:val="28"/>
                <w:szCs w:val="28"/>
                <w:lang w:bidi="ar"/>
              </w:rPr>
              <w:t xml:space="preserve">响应供应商</w:t>
            </w:r>
            <w:r>
              <w:rPr>
                <w:rFonts w:hint="eastAsia" w:ascii="方正仿宋_GBK" w:hAnsi="方正仿宋_GBK" w:eastAsia="方正仿宋_GBK" w:cs="方正仿宋_GBK"/>
                <w:color w:val="000000"/>
                <w:sz w:val="28"/>
                <w:szCs w:val="28"/>
                <w:lang w:bidi="ar"/>
              </w:rPr>
              <w:t xml:space="preserve">完整演示得3分，每缺少1项功能扣1分，扣完为止。</w:t>
            </w:r>
            <w:r>
              <w:rPr>
                <w:rFonts w:ascii="方正仿宋_GBK" w:hAnsi="方正仿宋_GBK" w:eastAsia="方正仿宋_GBK" w:cs="方正仿宋_GBK"/>
                <w:color w:val="000000"/>
                <w:sz w:val="28"/>
                <w:szCs w:val="28"/>
                <w:lang w:bidi="ar"/>
              </w:rPr>
              <w:t xml:space="preserve">】</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numPr>
                <w:ilvl w:val="0"/>
                <w:numId w:val="8"/>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TBT翻译工具演示，包括</w:t>
            </w:r>
            <w:r/>
          </w:p>
          <w:p>
            <w:pPr>
              <w:numPr>
                <w:ilvl w:val="0"/>
                <w:numId w:val="10"/>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搭建TBT专业术语词典</w:t>
            </w:r>
            <w:r>
              <w:rPr>
                <w:rFonts w:hint="eastAsia" w:ascii="方正仿宋_GBK" w:hAnsi="方正仿宋_GBK" w:eastAsia="方正仿宋_GBK" w:cs="方正仿宋_GBK"/>
                <w:color w:val="000000"/>
                <w:sz w:val="28"/>
                <w:szCs w:val="28"/>
                <w:lang w:bidi="ar"/>
              </w:rPr>
              <w:t xml:space="preserve">（1分）</w:t>
            </w:r>
            <w:r/>
          </w:p>
          <w:p>
            <w:pPr>
              <w:numPr>
                <w:ilvl w:val="0"/>
                <w:numId w:val="10"/>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中英文翻译结果同屏对照展示</w:t>
            </w:r>
            <w:r>
              <w:rPr>
                <w:rFonts w:hint="eastAsia" w:ascii="方正仿宋_GBK" w:hAnsi="方正仿宋_GBK" w:eastAsia="方正仿宋_GBK" w:cs="方正仿宋_GBK"/>
                <w:color w:val="000000"/>
                <w:sz w:val="28"/>
                <w:szCs w:val="28"/>
                <w:lang w:bidi="ar"/>
              </w:rPr>
              <w:t xml:space="preserve">（1分）</w:t>
            </w:r>
            <w:r/>
          </w:p>
          <w:p>
            <w:pPr>
              <w:numPr>
                <w:ilvl w:val="0"/>
                <w:numId w:val="10"/>
              </w:numPr>
              <w:jc w:val="left"/>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中文通报文稿规范化排版与输出</w:t>
            </w:r>
            <w:r>
              <w:rPr>
                <w:rFonts w:hint="eastAsia" w:ascii="方正仿宋_GBK" w:hAnsi="方正仿宋_GBK" w:eastAsia="方正仿宋_GBK" w:cs="方正仿宋_GBK"/>
                <w:color w:val="000000"/>
                <w:sz w:val="28"/>
                <w:szCs w:val="28"/>
                <w:lang w:bidi="ar"/>
              </w:rPr>
              <w:t xml:space="preserve">（1分）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21"/>
        </w:trPr>
        <w:tc>
          <w:tcPr>
            <w:tcBorders>
              <w:top w:val="none" w:color="000000" w:sz="4" w:space="0"/>
              <w:left w:val="single" w:color="000000" w:sz="8" w:space="0"/>
              <w:bottom w:val="single" w:color="000000" w:sz="4"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4"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4" w:space="0"/>
              <w:right w:val="single" w:color="000000" w:sz="8" w:space="0"/>
            </w:tcBorders>
            <w:tcW w:w="6024" w:type="dxa"/>
            <w:vAlign w:val="center"/>
            <w:textDirection w:val="lrTb"/>
            <w:noWrap w:val="false"/>
          </w:tcPr>
          <w:p>
            <w:pPr>
              <w:jc w:val="left"/>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w:t>
            </w:r>
            <w:r>
              <w:rPr>
                <w:rFonts w:ascii="方正仿宋_GBK" w:hAnsi="方正仿宋_GBK" w:eastAsia="方正仿宋_GBK" w:cs="方正仿宋_GBK"/>
                <w:color w:val="000000"/>
                <w:sz w:val="28"/>
                <w:szCs w:val="28"/>
                <w:lang w:bidi="ar"/>
              </w:rPr>
              <w:t xml:space="preserve">响应供应商</w:t>
            </w:r>
            <w:r>
              <w:rPr>
                <w:rFonts w:hint="eastAsia" w:ascii="方正仿宋_GBK" w:hAnsi="方正仿宋_GBK" w:eastAsia="方正仿宋_GBK" w:cs="方正仿宋_GBK"/>
                <w:color w:val="000000"/>
                <w:sz w:val="28"/>
                <w:szCs w:val="28"/>
                <w:lang w:bidi="ar"/>
              </w:rPr>
              <w:t xml:space="preserve">完整演示得3分，每缺少1项功能扣1分，扣完为止。</w:t>
            </w:r>
            <w:r>
              <w:rPr>
                <w:rFonts w:ascii="方正仿宋_GBK" w:hAnsi="方正仿宋_GBK" w:eastAsia="方正仿宋_GBK" w:cs="方正仿宋_GBK"/>
                <w:color w:val="000000"/>
                <w:sz w:val="28"/>
                <w:szCs w:val="28"/>
                <w:lang w:bidi="ar"/>
              </w:rPr>
              <w:t xml:space="preserve">】</w:t>
            </w:r>
            <w:r/>
          </w:p>
        </w:tc>
        <w:tc>
          <w:tcPr>
            <w:tcBorders>
              <w:top w:val="none" w:color="000000" w:sz="4" w:space="0"/>
              <w:left w:val="single" w:color="000000" w:sz="8" w:space="0"/>
              <w:bottom w:val="single" w:color="000000" w:sz="4"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gridSpan w:val="4"/>
            <w:tcBorders>
              <w:top w:val="none" w:color="000000" w:sz="4" w:space="0"/>
              <w:left w:val="single" w:color="000000" w:sz="8" w:space="0"/>
              <w:bottom w:val="single" w:color="000000" w:sz="8" w:space="0"/>
              <w:right w:val="single" w:color="000000" w:sz="8" w:space="0"/>
            </w:tcBorders>
            <w:tcW w:w="8569" w:type="dxa"/>
            <w:vAlign w:val="center"/>
            <w:textDirection w:val="lrTb"/>
            <w:noWrap w:val="false"/>
          </w:tcPr>
          <w:p>
            <w:pP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三</w:t>
            </w:r>
            <w:r>
              <w:rPr>
                <w:rFonts w:ascii="方正仿宋_GBK" w:hAnsi="方正仿宋_GBK" w:eastAsia="方正仿宋_GBK" w:cs="方正仿宋_GBK"/>
                <w:color w:val="000000"/>
                <w:sz w:val="28"/>
                <w:szCs w:val="28"/>
                <w:lang w:bidi="ar"/>
              </w:rPr>
              <w:t xml:space="preserve">、商务部分（2</w:t>
            </w:r>
            <w:r>
              <w:rPr>
                <w:rFonts w:hint="eastAsia" w:ascii="方正仿宋_GBK" w:hAnsi="方正仿宋_GBK" w:eastAsia="方正仿宋_GBK" w:cs="方正仿宋_GBK"/>
                <w:color w:val="000000"/>
                <w:sz w:val="28"/>
                <w:szCs w:val="28"/>
                <w:lang w:bidi="ar"/>
              </w:rPr>
              <w:t xml:space="preserve">5</w:t>
            </w:r>
            <w:r>
              <w:rPr>
                <w:rFonts w:ascii="方正仿宋_GBK" w:hAnsi="方正仿宋_GBK" w:eastAsia="方正仿宋_GBK" w:cs="方正仿宋_GBK"/>
                <w:color w:val="000000"/>
                <w:sz w:val="28"/>
                <w:szCs w:val="28"/>
                <w:lang w:bidi="ar"/>
              </w:rPr>
              <w:t xml:space="preserve">分）</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4</w:t>
            </w:r>
            <w:r/>
          </w:p>
        </w:tc>
        <w:tc>
          <w:tcPr>
            <w:tcBorders>
              <w:top w:val="single" w:color="000000" w:sz="8"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资质证书(</w:t>
            </w:r>
            <w:r>
              <w:rPr>
                <w:rFonts w:hint="eastAsia"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lang w:bidi="ar"/>
              </w:rPr>
              <w:t xml:space="preserve">分）</w:t>
            </w:r>
            <w:r/>
          </w:p>
        </w:tc>
        <w:tc>
          <w:tcPr>
            <w:tcBorders>
              <w:top w:val="single" w:color="000000" w:sz="8"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响应供应商具有ISO45000职业健康安全管理体系认证</w:t>
            </w:r>
            <w:r>
              <w:rPr>
                <w:rFonts w:hint="eastAsia" w:ascii="方正仿宋_GBK" w:hAnsi="方正仿宋_GBK" w:eastAsia="方正仿宋_GBK" w:cs="方正仿宋_GBK"/>
                <w:color w:val="000000"/>
                <w:sz w:val="28"/>
                <w:szCs w:val="28"/>
                <w:lang w:bidi="ar"/>
              </w:rPr>
              <w:t xml:space="preserve">、ISO9000</w:t>
            </w:r>
            <w:r>
              <w:rPr>
                <w:rFonts w:ascii="方正仿宋_GBK" w:hAnsi="方正仿宋_GBK" w:eastAsia="方正仿宋_GBK" w:cs="方正仿宋_GBK"/>
                <w:color w:val="000000"/>
                <w:sz w:val="28"/>
                <w:szCs w:val="28"/>
                <w:lang w:bidi="ar"/>
              </w:rPr>
              <w:t xml:space="preserve">质量管理体系认证，每具有一个得</w:t>
            </w:r>
            <w:r>
              <w:rPr>
                <w:rFonts w:hint="eastAsia" w:ascii="方正仿宋_GBK" w:hAnsi="方正仿宋_GBK" w:eastAsia="方正仿宋_GBK" w:cs="方正仿宋_GBK"/>
                <w:color w:val="000000"/>
                <w:sz w:val="28"/>
                <w:szCs w:val="28"/>
                <w:lang w:bidi="ar"/>
              </w:rPr>
              <w:t xml:space="preserve">1.5</w:t>
            </w:r>
            <w:r>
              <w:rPr>
                <w:rFonts w:ascii="方正仿宋_GBK" w:hAnsi="方正仿宋_GBK" w:eastAsia="方正仿宋_GBK" w:cs="方正仿宋_GBK"/>
                <w:color w:val="000000"/>
                <w:sz w:val="28"/>
                <w:szCs w:val="28"/>
                <w:lang w:bidi="ar"/>
              </w:rPr>
              <w:t xml:space="preserve">分，最高得</w:t>
            </w:r>
            <w:r>
              <w:rPr>
                <w:rFonts w:hint="eastAsia"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lang w:bidi="ar"/>
              </w:rPr>
              <w:t xml:space="preserve">分。</w:t>
            </w:r>
            <w:r/>
          </w:p>
        </w:tc>
        <w:tc>
          <w:tcPr>
            <w:tcBorders>
              <w:top w:val="single" w:color="000000" w:sz="8"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8"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注：响应供应商须提供上述有效期内的证明文件扫描件并加盖响应供应商公章。</w:t>
            </w:r>
            <w:r/>
          </w:p>
        </w:tc>
        <w:tc>
          <w:tcPr>
            <w:tcBorders>
              <w:top w:val="single" w:color="000000" w:sz="8"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5</w:t>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响应供应商业绩（</w:t>
            </w:r>
            <w:r>
              <w:rPr>
                <w:rFonts w:hint="eastAsia" w:ascii="方正仿宋_GBK" w:hAnsi="方正仿宋_GBK" w:eastAsia="方正仿宋_GBK" w:cs="方正仿宋_GBK"/>
                <w:color w:val="000000"/>
                <w:sz w:val="28"/>
                <w:szCs w:val="28"/>
                <w:lang w:bidi="ar"/>
              </w:rPr>
              <w:t xml:space="preserve">9</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sz w:val="28"/>
                <w:szCs w:val="28"/>
                <w:highlight w:val="white"/>
              </w:rPr>
            </w:pPr>
            <w:r>
              <w:rPr>
                <w:rFonts w:ascii="方正仿宋_GBK" w:hAnsi="方正仿宋_GBK" w:eastAsia="方正仿宋_GBK" w:cs="方正仿宋_GBK"/>
                <w:color w:val="000000"/>
                <w:sz w:val="28"/>
                <w:szCs w:val="28"/>
                <w:lang w:bidi="ar"/>
              </w:rPr>
              <w:t xml:space="preserve">（1</w:t>
            </w:r>
            <w:r>
              <w:rPr>
                <w:rFonts w:ascii="方正仿宋_GBK" w:hAnsi="方正仿宋_GBK" w:eastAsia="方正仿宋_GBK" w:cs="方正仿宋_GBK"/>
                <w:sz w:val="28"/>
                <w:szCs w:val="28"/>
                <w:highlight w:val="white"/>
                <w:lang w:bidi="ar"/>
              </w:rPr>
              <w:t xml:space="preserve">）响应供应商自2022年1月1日起（以合同日期为准）承担过标准管理或</w:t>
            </w:r>
            <w:r>
              <w:rPr>
                <w:rFonts w:hint="eastAsia" w:ascii="方正仿宋_GBK" w:hAnsi="方正仿宋_GBK" w:eastAsia="方正仿宋_GBK" w:cs="方正仿宋_GBK"/>
                <w:sz w:val="28"/>
                <w:szCs w:val="28"/>
                <w:highlight w:val="white"/>
                <w:lang w:bidi="ar"/>
              </w:rPr>
              <w:t xml:space="preserve">标准服务类</w:t>
            </w:r>
            <w:r>
              <w:rPr>
                <w:rFonts w:ascii="方正仿宋_GBK" w:hAnsi="方正仿宋_GBK" w:eastAsia="方正仿宋_GBK" w:cs="方正仿宋_GBK"/>
                <w:sz w:val="28"/>
                <w:szCs w:val="28"/>
                <w:highlight w:val="white"/>
                <w:lang w:bidi="ar"/>
              </w:rPr>
              <w:t xml:space="preserve">系统开发的</w:t>
            </w:r>
            <w:r>
              <w:rPr>
                <w:rFonts w:ascii="方正仿宋_GBK" w:hAnsi="方正仿宋_GBK" w:eastAsia="方正仿宋_GBK" w:cs="方正仿宋_GBK"/>
                <w:sz w:val="28"/>
                <w:szCs w:val="28"/>
                <w:highlight w:val="white"/>
                <w:lang w:bidi="ar"/>
              </w:rPr>
              <w:t xml:space="preserve">类似</w:t>
            </w:r>
            <w:r>
              <w:rPr>
                <w:rFonts w:ascii="方正仿宋_GBK" w:hAnsi="方正仿宋_GBK" w:eastAsia="方正仿宋_GBK" w:cs="方正仿宋_GBK"/>
                <w:sz w:val="28"/>
                <w:szCs w:val="28"/>
                <w:highlight w:val="white"/>
                <w:lang w:bidi="ar"/>
              </w:rPr>
              <w:t xml:space="preserve">业绩，每提供1个得2分，最高得</w:t>
            </w:r>
            <w:r>
              <w:rPr>
                <w:rFonts w:hint="eastAsia" w:ascii="方正仿宋_GBK" w:hAnsi="方正仿宋_GBK" w:eastAsia="方正仿宋_GBK" w:cs="方正仿宋_GBK"/>
                <w:sz w:val="28"/>
                <w:szCs w:val="28"/>
                <w:highlight w:val="white"/>
                <w:lang w:bidi="ar"/>
              </w:rPr>
              <w:t xml:space="preserve">6</w:t>
            </w:r>
            <w:r>
              <w:rPr>
                <w:rFonts w:ascii="方正仿宋_GBK" w:hAnsi="方正仿宋_GBK" w:eastAsia="方正仿宋_GBK" w:cs="方正仿宋_GBK"/>
                <w:sz w:val="28"/>
                <w:szCs w:val="28"/>
                <w:highlight w:val="white"/>
                <w:lang w:bidi="ar"/>
              </w:rPr>
              <w:t xml:space="preserve">分。（提供合同关键页扫描件）</w:t>
            </w:r>
            <w:r/>
          </w:p>
          <w:p>
            <w:pPr>
              <w:widowControl/>
              <w:rPr>
                <w:rFonts w:ascii="方正仿宋_GBK" w:hAnsi="方正仿宋_GBK" w:eastAsia="方正仿宋_GBK" w:cs="方正仿宋_GBK"/>
                <w:color w:val="000000"/>
                <w:sz w:val="28"/>
                <w:szCs w:val="28"/>
                <w:highlight w:val="yellow"/>
              </w:rPr>
            </w:pPr>
            <w:r>
              <w:rPr>
                <w:rFonts w:ascii="方正仿宋_GBK" w:hAnsi="方正仿宋_GBK" w:eastAsia="方正仿宋_GBK" w:cs="方正仿宋_GBK"/>
                <w:sz w:val="28"/>
                <w:szCs w:val="28"/>
                <w:highlight w:val="white"/>
                <w:lang w:bidi="ar"/>
              </w:rPr>
              <w:t xml:space="preserve">（2）响应供应商自2022年1月1日起（以合同日期为准）承担过人工智能相关信息化系统开发</w:t>
            </w:r>
            <w:r>
              <w:rPr>
                <w:rFonts w:ascii="方正仿宋_GBK" w:hAnsi="方正仿宋_GBK" w:eastAsia="方正仿宋_GBK" w:cs="方正仿宋_GBK"/>
                <w:sz w:val="28"/>
                <w:szCs w:val="28"/>
                <w:highlight w:val="white"/>
                <w:lang w:bidi="ar"/>
              </w:rPr>
              <w:t xml:space="preserve">的类似业绩，每提供1个得1分，最高得</w:t>
            </w:r>
            <w:r>
              <w:rPr>
                <w:rFonts w:hint="eastAsia" w:ascii="方正仿宋_GBK" w:hAnsi="方正仿宋_GBK" w:eastAsia="方正仿宋_GBK" w:cs="方正仿宋_GBK"/>
                <w:sz w:val="28"/>
                <w:szCs w:val="28"/>
                <w:highlight w:val="white"/>
                <w:lang w:bidi="ar"/>
              </w:rPr>
              <w:t xml:space="preserve">3</w:t>
            </w:r>
            <w:r>
              <w:rPr>
                <w:rFonts w:ascii="方正仿宋_GBK" w:hAnsi="方正仿宋_GBK" w:eastAsia="方正仿宋_GBK" w:cs="方正仿宋_GBK"/>
                <w:sz w:val="28"/>
                <w:szCs w:val="28"/>
                <w:highlight w:val="white"/>
                <w:lang w:bidi="ar"/>
              </w:rPr>
              <w:t xml:space="preserve">分。（提供合同关键页扫描件）</w:t>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注：响应供应商须提供加盖响应供应商公章的合同关键页扫描件（必须包括合同首页、双方印章等信息）作为证明文件。不符合上述要求或未按要求提供有效证明文件的不得分。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1895"/>
        </w:trPr>
        <w:tc>
          <w:tcPr>
            <w:tcBorders>
              <w:top w:val="none" w:color="000000" w:sz="4" w:space="0"/>
              <w:left w:val="single" w:color="000000" w:sz="8" w:space="0"/>
              <w:bottom w:val="single" w:color="000000" w:sz="8" w:space="0"/>
              <w:right w:val="single" w:color="000000" w:sz="8" w:space="0"/>
            </w:tcBorders>
            <w:tcW w:w="539"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6</w:t>
            </w:r>
            <w:r/>
          </w:p>
        </w:tc>
        <w:tc>
          <w:tcPr>
            <w:tcBorders>
              <w:top w:val="none" w:color="000000" w:sz="4" w:space="0"/>
              <w:left w:val="single" w:color="000000" w:sz="8" w:space="0"/>
              <w:bottom w:val="single" w:color="000000" w:sz="8" w:space="0"/>
              <w:right w:val="single" w:color="000000" w:sz="8" w:space="0"/>
            </w:tcBorders>
            <w:tcW w:w="1326"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著作权（</w:t>
            </w:r>
            <w:r>
              <w:rPr>
                <w:rFonts w:hint="eastAsia"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响应供应商具有与本次磋商内容相关的计算机软件著作权登记证书，包括：标准题录抓取、标准信息监管管理、数据智能提取类等功能，响应供应商每提供1类计算机软件著作权登记证书得1分，最高</w:t>
            </w:r>
            <w:r>
              <w:rPr>
                <w:rFonts w:hint="eastAsia"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lang w:bidi="ar"/>
              </w:rPr>
              <w:t xml:space="preserve">分。（如响应文件中提供的著作权名称表述与采购文件描述的关键字样不一致，而该响应文件中能证明响应供应商拥有的软件著作权具有相同或相似功能和效果，且评标委员会认可的，视同符合要求。）</w:t>
            </w:r>
            <w:r/>
          </w:p>
        </w:tc>
        <w:tc>
          <w:tcPr>
            <w:tcBorders>
              <w:top w:val="none" w:color="000000" w:sz="4" w:space="0"/>
              <w:left w:val="single" w:color="000000" w:sz="8" w:space="0"/>
              <w:bottom w:val="single" w:color="000000" w:sz="8" w:space="0"/>
              <w:right w:val="single" w:color="000000" w:sz="8" w:space="0"/>
            </w:tcBorders>
            <w:tcW w:w="680"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7</w:t>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项目组人员资质（</w:t>
            </w:r>
            <w:r>
              <w:rPr>
                <w:rFonts w:hint="eastAsia" w:ascii="方正仿宋_GBK" w:hAnsi="方正仿宋_GBK" w:eastAsia="方正仿宋_GBK" w:cs="方正仿宋_GBK"/>
                <w:color w:val="000000"/>
                <w:sz w:val="28"/>
                <w:szCs w:val="28"/>
                <w:lang w:bidi="ar"/>
              </w:rPr>
              <w:t xml:space="preserve">10</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1项目经理：项目经理具备信息系统项目管理师证</w:t>
            </w:r>
            <w:r>
              <w:rPr>
                <w:rFonts w:hint="eastAsia" w:ascii="方正仿宋_GBK" w:hAnsi="方正仿宋_GBK" w:eastAsia="方正仿宋_GBK" w:cs="方正仿宋_GBK"/>
                <w:color w:val="000000"/>
                <w:sz w:val="28"/>
                <w:szCs w:val="28"/>
                <w:lang w:bidi="ar"/>
              </w:rPr>
              <w:t xml:space="preserve">、</w:t>
            </w:r>
            <w:r>
              <w:rPr>
                <w:rFonts w:ascii="方正仿宋_GBK" w:hAnsi="方正仿宋_GBK" w:eastAsia="方正仿宋_GBK" w:cs="方正仿宋_GBK"/>
                <w:color w:val="000000"/>
                <w:sz w:val="28"/>
                <w:szCs w:val="28"/>
                <w:lang w:bidi="ar"/>
              </w:rPr>
              <w:t xml:space="preserve">软件设计师证书的，每具有一个得</w:t>
            </w:r>
            <w:r>
              <w:rPr>
                <w:rFonts w:hint="eastAsia" w:ascii="方正仿宋_GBK" w:hAnsi="方正仿宋_GBK" w:eastAsia="方正仿宋_GBK" w:cs="方正仿宋_GBK"/>
                <w:color w:val="000000"/>
                <w:sz w:val="28"/>
                <w:szCs w:val="28"/>
                <w:lang w:bidi="ar"/>
              </w:rPr>
              <w:t xml:space="preserve">2</w:t>
            </w:r>
            <w:r>
              <w:rPr>
                <w:rFonts w:ascii="方正仿宋_GBK" w:hAnsi="方正仿宋_GBK" w:eastAsia="方正仿宋_GBK" w:cs="方正仿宋_GBK"/>
                <w:color w:val="000000"/>
                <w:sz w:val="28"/>
                <w:szCs w:val="28"/>
                <w:lang w:bidi="ar"/>
              </w:rPr>
              <w:t xml:space="preserve">分，最高得</w:t>
            </w:r>
            <w:r>
              <w:rPr>
                <w:rFonts w:hint="eastAsia" w:ascii="方正仿宋_GBK" w:hAnsi="方正仿宋_GBK" w:eastAsia="方正仿宋_GBK" w:cs="方正仿宋_GBK"/>
                <w:color w:val="000000"/>
                <w:sz w:val="28"/>
                <w:szCs w:val="28"/>
                <w:lang w:bidi="ar"/>
              </w:rPr>
              <w:t xml:space="preserve">4</w:t>
            </w:r>
            <w:r>
              <w:rPr>
                <w:rFonts w:ascii="方正仿宋_GBK" w:hAnsi="方正仿宋_GBK" w:eastAsia="方正仿宋_GBK" w:cs="方正仿宋_GBK"/>
                <w:color w:val="000000"/>
                <w:sz w:val="28"/>
                <w:szCs w:val="28"/>
                <w:lang w:bidi="ar"/>
              </w:rPr>
              <w:t xml:space="preserve">分。</w:t>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p>
        </w:tc>
      </w:tr>
      <w:tr>
        <w:trPr>
          <w:trHeight w:val="65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（注：需提供人员资格证书扫描件和响应截止时间前3个月内任意1个月响应供应商为其缴纳社保的证明材料，不按要求或没有提供的不得分。）</w:t>
            </w:r>
            <w:r/>
          </w:p>
        </w:tc>
        <w:tc>
          <w:tcPr>
            <w:tcBorders>
              <w:top w:val="non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1275"/>
        </w:trPr>
        <w:tc>
          <w:tcPr>
            <w:tcBorders>
              <w:top w:val="non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2项目开发团队：除项目经理以外的技术人员，持有高级信息系统项目管理师、高级系统架构设计师、中级软件设计师、中级网络工程师、注册信息安全专业人员（（CISP或CISSP））、信息技术服务标准应用经理证书（ITSS）证书，有一</w:t>
            </w:r>
            <w:r>
              <w:rPr>
                <w:rFonts w:ascii="方正仿宋_GBK" w:hAnsi="方正仿宋_GBK" w:eastAsia="方正仿宋_GBK" w:cs="方正仿宋_GBK"/>
                <w:color w:val="000000"/>
                <w:sz w:val="28"/>
                <w:szCs w:val="28"/>
                <w:lang w:bidi="ar"/>
              </w:rPr>
              <w:t xml:space="preserve">项得1分，最高得6分（单项不重复累计，单人多证仅算一项，不累加）。</w:t>
            </w:r>
            <w:r/>
          </w:p>
        </w:tc>
        <w:tc>
          <w:tcPr>
            <w:tcBorders>
              <w:top w:val="none" w:color="000000" w:sz="4" w:space="0"/>
              <w:left w:val="single" w:color="000000" w:sz="8" w:space="0"/>
              <w:bottom w:val="single" w:color="000000" w:sz="8" w:space="0"/>
              <w:right w:val="single" w:color="000000" w:sz="8" w:space="0"/>
            </w:tcBorders>
            <w:tcW w:w="680" w:type="dxa"/>
            <w:vAlign w:val="center"/>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t xml:space="preserve">6</w:t>
            </w:r>
            <w:r/>
          </w:p>
        </w:tc>
      </w:tr>
      <w:tr>
        <w:trPr>
          <w:trHeight w:val="735"/>
        </w:trPr>
        <w:tc>
          <w:tcPr>
            <w:gridSpan w:val="4"/>
            <w:tcBorders>
              <w:top w:val="single" w:color="000000" w:sz="4" w:space="0"/>
              <w:left w:val="single" w:color="000000" w:sz="4" w:space="0"/>
              <w:bottom w:val="single" w:color="000000" w:sz="4" w:space="0"/>
              <w:right w:val="single" w:color="000000" w:sz="4" w:space="0"/>
            </w:tcBorders>
            <w:tcW w:w="8569"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四、项目实施及售后服务（1</w:t>
            </w:r>
            <w:r>
              <w:rPr>
                <w:rFonts w:hint="eastAsia" w:ascii="方正仿宋_GBK" w:hAnsi="方正仿宋_GBK" w:eastAsia="方正仿宋_GBK" w:cs="方正仿宋_GBK"/>
                <w:color w:val="000000"/>
                <w:sz w:val="28"/>
                <w:szCs w:val="28"/>
                <w:lang w:bidi="ar"/>
              </w:rPr>
              <w:t xml:space="preserve">3</w:t>
            </w:r>
            <w:r>
              <w:rPr>
                <w:rFonts w:ascii="方正仿宋_GBK" w:hAnsi="方正仿宋_GBK" w:eastAsia="方正仿宋_GBK" w:cs="方正仿宋_GBK"/>
                <w:color w:val="000000"/>
                <w:sz w:val="28"/>
                <w:szCs w:val="28"/>
                <w:lang w:bidi="ar"/>
              </w:rPr>
              <w:t xml:space="preserve">分）</w:t>
            </w:r>
            <w:r/>
          </w:p>
        </w:tc>
      </w:tr>
      <w:tr>
        <w:trPr>
          <w:trHeight w:val="655"/>
        </w:trPr>
        <w:tc>
          <w:tcPr>
            <w:tcBorders>
              <w:top w:val="single" w:color="000000" w:sz="4" w:space="0"/>
              <w:left w:val="single" w:color="000000" w:sz="8" w:space="0"/>
              <w:bottom w:val="single" w:color="000000" w:sz="4"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8</w:t>
            </w:r>
            <w:r/>
          </w:p>
        </w:tc>
        <w:tc>
          <w:tcPr>
            <w:tcBorders>
              <w:top w:val="single" w:color="000000" w:sz="4" w:space="0"/>
              <w:left w:val="single" w:color="000000" w:sz="8" w:space="0"/>
              <w:bottom w:val="single" w:color="000000" w:sz="4"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组织实施</w:t>
            </w:r>
            <w:r>
              <w:rPr>
                <w:rFonts w:ascii="方正仿宋_GBK" w:hAnsi="方正仿宋_GBK" w:eastAsia="方正仿宋_GBK" w:cs="方正仿宋_GBK"/>
                <w:color w:val="000000"/>
                <w:sz w:val="28"/>
                <w:szCs w:val="28"/>
                <w:lang w:bidi="ar"/>
              </w:rPr>
              <w:t xml:space="preserve">(5分)</w:t>
            </w:r>
            <w:r/>
          </w:p>
        </w:tc>
        <w:tc>
          <w:tcPr>
            <w:tcBorders>
              <w:top w:val="single" w:color="000000" w:sz="4" w:space="0"/>
              <w:left w:val="single" w:color="000000" w:sz="8" w:space="0"/>
              <w:bottom w:val="single" w:color="000000"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针对响应供应商项目团队组织、进度计划、工作机制及流程等方面制定详细方案，要求方案科学。</w:t>
            </w:r>
            <w:r/>
          </w:p>
        </w:tc>
        <w:tc>
          <w:tcPr>
            <w:tcBorders>
              <w:top w:val="single" w:color="000000" w:sz="4" w:space="0"/>
              <w:left w:val="single" w:color="000000" w:sz="8" w:space="0"/>
              <w:bottom w:val="single" w:color="000000" w:sz="4"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p>
        </w:tc>
      </w:tr>
      <w:tr>
        <w:trPr>
          <w:trHeight w:val="655"/>
        </w:trPr>
        <w:tc>
          <w:tcPr>
            <w:tcBorders>
              <w:top w:val="single" w:color="000000" w:sz="4" w:space="0"/>
              <w:left w:val="single" w:color="000000" w:sz="8" w:space="0"/>
              <w:bottom w:val="single" w:color="000000" w:sz="8"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8"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single" w:color="000000" w:sz="4" w:space="0"/>
              <w:left w:val="single" w:color="000000" w:sz="8" w:space="0"/>
              <w:bottom w:val="single" w:color="000000" w:sz="8"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bidi="ar"/>
              </w:rPr>
              <w:t xml:space="preserve">【评分依据：（1）响应文件未符合“组织实施方案”中全部条款要求的，视为不符合采购文件，本项得0分。（2）响应文件符合“组织实施方案”中全部条款要求的，视为符合采购文件，本项得3分。（3）经评委认定，响应文件对“组织实施方案”中“项目团队组织”“进度计划”“工作机制及流程”三项要求的响应内容全部优于采购文件要求的(前提是响应文件对“组织实施方案”中除“项目团队组织”“进度计划”“工作机制及流程”外其他要求响应内容符合采购文件要求)，本项得5分。】</w:t>
            </w:r>
            <w:r/>
          </w:p>
        </w:tc>
        <w:tc>
          <w:tcPr>
            <w:tcBorders>
              <w:top w:val="single" w:color="000000" w:sz="4" w:space="0"/>
              <w:left w:val="single" w:color="000000" w:sz="8" w:space="0"/>
              <w:bottom w:val="single" w:color="000000" w:sz="8"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351"/>
        </w:trPr>
        <w:tc>
          <w:tcPr>
            <w:tcBorders>
              <w:top w:val="none" w:color="000000" w:sz="4" w:space="0"/>
              <w:left w:val="single" w:color="000000" w:sz="8" w:space="0"/>
              <w:bottom w:val="single" w:color="000000" w:sz="8" w:space="0"/>
              <w:right w:val="single" w:color="000000" w:sz="8" w:space="0"/>
            </w:tcBorders>
            <w:tcW w:w="539"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9</w:t>
            </w:r>
            <w:r/>
          </w:p>
        </w:tc>
        <w:tc>
          <w:tcPr>
            <w:tcBorders>
              <w:top w:val="none" w:color="000000" w:sz="4" w:space="0"/>
              <w:left w:val="single" w:color="000000" w:sz="8" w:space="0"/>
              <w:bottom w:val="single" w:color="000000" w:sz="8" w:space="0"/>
              <w:right w:val="single" w:color="000000" w:sz="8" w:space="0"/>
            </w:tcBorders>
            <w:tcW w:w="1326"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售后服务（5</w:t>
            </w:r>
            <w:r>
              <w:rPr>
                <w:rFonts w:hint="eastAsia" w:ascii="方正仿宋_GBK" w:hAnsi="方正仿宋_GBK" w:eastAsia="方正仿宋_GBK" w:cs="方正仿宋_GBK"/>
                <w:color w:val="000000"/>
                <w:sz w:val="28"/>
                <w:szCs w:val="28"/>
                <w:lang w:bidi="ar"/>
              </w:rPr>
              <w:t xml:space="preserve">分</w:t>
            </w:r>
            <w:r>
              <w:rPr>
                <w:rFonts w:ascii="方正仿宋_GBK" w:hAnsi="方正仿宋_GBK" w:eastAsia="方正仿宋_GBK" w:cs="方正仿宋_GBK"/>
                <w:color w:val="000000"/>
                <w:sz w:val="28"/>
                <w:szCs w:val="28"/>
                <w:lang w:bidi="ar"/>
              </w:rPr>
              <w:t xml:space="preserve">）</w:t>
            </w:r>
            <w:r/>
          </w:p>
        </w:tc>
        <w:tc>
          <w:tcPr>
            <w:tcBorders>
              <w:top w:val="none" w:color="000000" w:sz="4" w:space="0"/>
              <w:left w:val="single" w:color="000000" w:sz="8" w:space="0"/>
              <w:bottom w:val="none" w:color="000000"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000000" w:sz="8" w:space="0"/>
              <w:right w:val="single" w:color="000000" w:sz="8" w:space="0"/>
            </w:tcBorders>
            <w:tcW w:w="680" w:type="dxa"/>
            <w:vAlign w:val="center"/>
            <w:vMerge w:val="restart"/>
            <w:textDirection w:val="lrTb"/>
            <w:noWrap w:val="false"/>
          </w:tcPr>
          <w:p>
            <w:pPr>
              <w:jc w:val="center"/>
              <w:widowControl/>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5</w:t>
            </w:r>
            <w:r/>
          </w:p>
        </w:tc>
      </w:tr>
      <w:tr>
        <w:trPr>
          <w:trHeight w:val="655"/>
        </w:trPr>
        <w:tc>
          <w:tcPr>
            <w:tcBorders>
              <w:top w:val="none" w:color="000000" w:sz="4" w:space="0"/>
              <w:left w:val="single" w:color="000000" w:sz="8" w:space="0"/>
              <w:bottom w:val="single" w:color="auto" w:sz="4" w:space="0"/>
              <w:right w:val="single" w:color="000000" w:sz="8" w:space="0"/>
            </w:tcBorders>
            <w:tcW w:w="539"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auto" w:sz="4" w:space="0"/>
              <w:right w:val="single" w:color="000000" w:sz="8" w:space="0"/>
            </w:tcBorders>
            <w:tcW w:w="1326"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c>
          <w:tcPr>
            <w:tcBorders>
              <w:top w:val="none" w:color="000000" w:sz="4" w:space="0"/>
              <w:left w:val="single" w:color="000000" w:sz="8" w:space="0"/>
              <w:bottom w:val="single" w:color="auto"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根据</w:t>
            </w:r>
            <w:r>
              <w:rPr>
                <w:rFonts w:hint="eastAsia" w:ascii="方正仿宋_GBK" w:hAnsi="方正仿宋_GBK" w:eastAsia="方正仿宋_GBK" w:cs="方正仿宋_GBK"/>
                <w:color w:val="000000"/>
                <w:sz w:val="28"/>
                <w:szCs w:val="28"/>
                <w:lang w:bidi="ar"/>
              </w:rPr>
              <w:t xml:space="preserve">响应</w:t>
            </w:r>
            <w:r>
              <w:rPr>
                <w:rFonts w:ascii="方正仿宋_GBK" w:hAnsi="方正仿宋_GBK" w:eastAsia="方正仿宋_GBK" w:cs="方正仿宋_GBK"/>
                <w:color w:val="000000"/>
                <w:sz w:val="28"/>
                <w:szCs w:val="28"/>
                <w:lang w:bidi="ar"/>
              </w:rPr>
              <w:t xml:space="preserve">供应商提供的完整详细的</w:t>
            </w:r>
            <w:r>
              <w:rPr>
                <w:rFonts w:hint="eastAsia" w:ascii="方正仿宋_GBK" w:hAnsi="方正仿宋_GBK" w:eastAsia="方正仿宋_GBK" w:cs="方正仿宋_GBK"/>
                <w:color w:val="000000"/>
                <w:sz w:val="28"/>
                <w:szCs w:val="28"/>
                <w:lang w:bidi="ar"/>
              </w:rPr>
              <w:t xml:space="preserve">售后运行维护服务流程</w:t>
            </w:r>
            <w:r>
              <w:rPr>
                <w:rFonts w:ascii="方正仿宋_GBK" w:hAnsi="方正仿宋_GBK" w:eastAsia="方正仿宋_GBK" w:cs="方正仿宋_GBK"/>
                <w:color w:val="000000"/>
                <w:sz w:val="28"/>
                <w:szCs w:val="28"/>
                <w:lang w:bidi="ar"/>
              </w:rPr>
              <w:t xml:space="preserve">、</w:t>
            </w:r>
            <w:r>
              <w:rPr>
                <w:rFonts w:hint="eastAsia" w:ascii="方正仿宋_GBK" w:hAnsi="方正仿宋_GBK" w:eastAsia="方正仿宋_GBK" w:cs="方正仿宋_GBK"/>
                <w:color w:val="000000"/>
                <w:sz w:val="28"/>
                <w:szCs w:val="28"/>
                <w:lang w:bidi="ar"/>
              </w:rPr>
              <w:t xml:space="preserve">响应时间、计划</w:t>
            </w:r>
            <w:r>
              <w:rPr>
                <w:rFonts w:ascii="方正仿宋_GBK" w:hAnsi="方正仿宋_GBK" w:eastAsia="方正仿宋_GBK" w:cs="方正仿宋_GBK"/>
                <w:color w:val="000000"/>
                <w:sz w:val="28"/>
                <w:szCs w:val="28"/>
                <w:lang w:bidi="ar"/>
              </w:rPr>
              <w:t xml:space="preserve">等</w:t>
            </w:r>
            <w:r>
              <w:rPr>
                <w:rFonts w:hint="eastAsia" w:ascii="方正仿宋_GBK" w:hAnsi="方正仿宋_GBK" w:eastAsia="方正仿宋_GBK" w:cs="方正仿宋_GBK"/>
                <w:color w:val="000000"/>
                <w:sz w:val="28"/>
                <w:szCs w:val="28"/>
                <w:lang w:bidi="ar"/>
              </w:rPr>
              <w:t xml:space="preserve">售后服务</w:t>
            </w:r>
            <w:r>
              <w:rPr>
                <w:rFonts w:ascii="方正仿宋_GBK" w:hAnsi="方正仿宋_GBK" w:eastAsia="方正仿宋_GBK" w:cs="方正仿宋_GBK"/>
                <w:color w:val="000000"/>
                <w:sz w:val="28"/>
                <w:szCs w:val="28"/>
                <w:lang w:bidi="ar"/>
              </w:rPr>
              <w:t xml:space="preserve">方案进行评分。</w:t>
            </w:r>
            <w:r/>
          </w:p>
          <w:p>
            <w:pPr>
              <w:widowControl/>
              <w:rPr>
                <w:rFonts w:hint="eastAsia" w:ascii="宋体" w:hAnsi="宋体" w:cs="宋体"/>
              </w:rPr>
            </w:pPr>
            <w:r>
              <w:rPr>
                <w:rFonts w:hint="eastAsia" w:ascii="方正仿宋_GBK" w:hAnsi="方正仿宋_GBK" w:eastAsia="方正仿宋_GBK" w:cs="方正仿宋_GBK"/>
                <w:color w:val="000000"/>
                <w:sz w:val="28"/>
                <w:szCs w:val="28"/>
                <w:lang w:bidi="ar"/>
              </w:rPr>
              <w:t xml:space="preserve">【评分依据：（1）响应文件未符合“售后服务方案”中全部条款要求的，视为不符合采购文件，本项得0分。（2）响应文件符合“售后服务方案”中全部条款要求的，视为符合采购文件，本项得3分。（3）经评委认定，响应文件对“售后服务方案”中“响应时间”“响应计划”两项</w:t>
            </w:r>
            <w:r>
              <w:rPr>
                <w:rFonts w:hint="eastAsia" w:ascii="方正仿宋_GBK" w:hAnsi="方正仿宋_GBK" w:eastAsia="方正仿宋_GBK" w:cs="方正仿宋_GBK"/>
                <w:color w:val="000000"/>
                <w:sz w:val="28"/>
                <w:szCs w:val="28"/>
                <w:lang w:bidi="ar"/>
              </w:rPr>
              <w:t xml:space="preserve">要求的响应内容全部优于采购文件要求的(前提是响应文件对“售后服务方案”中除“响应时间”“响应计划”外其他要求响应内容符合采购文件要求)，本项得5分。】</w:t>
            </w:r>
            <w:r/>
          </w:p>
        </w:tc>
        <w:tc>
          <w:tcPr>
            <w:tcBorders>
              <w:top w:val="none" w:color="000000" w:sz="4" w:space="0"/>
              <w:left w:val="single" w:color="000000" w:sz="8" w:space="0"/>
              <w:bottom w:val="single" w:color="auto" w:sz="4" w:space="0"/>
              <w:right w:val="single" w:color="000000" w:sz="8" w:space="0"/>
            </w:tcBorders>
            <w:tcW w:w="680" w:type="dxa"/>
            <w:vAlign w:val="center"/>
            <w:vMerge w:val="continue"/>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rPr>
            </w:r>
            <w:r/>
          </w:p>
        </w:tc>
      </w:tr>
      <w:tr>
        <w:trPr>
          <w:trHeight w:val="655"/>
        </w:trPr>
        <w:tc>
          <w:tcPr>
            <w:tcBorders>
              <w:top w:val="single" w:color="auto" w:sz="4" w:space="0"/>
              <w:left w:val="single" w:color="auto" w:sz="4" w:space="0"/>
              <w:bottom w:val="single" w:color="auto" w:sz="4" w:space="0"/>
              <w:right w:val="single" w:color="000000" w:sz="8" w:space="0"/>
            </w:tcBorders>
            <w:tcW w:w="539" w:type="dxa"/>
            <w:vAlign w:val="center"/>
            <w:textDirection w:val="lrTb"/>
            <w:noWrap w:val="false"/>
          </w:tcPr>
          <w:p>
            <w:pPr>
              <w:jc w:val="center"/>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10</w:t>
            </w:r>
            <w:r/>
          </w:p>
        </w:tc>
        <w:tc>
          <w:tcPr>
            <w:tcBorders>
              <w:top w:val="single" w:color="auto" w:sz="4" w:space="0"/>
              <w:left w:val="single" w:color="000000" w:sz="8" w:space="0"/>
              <w:bottom w:val="single" w:color="auto" w:sz="4" w:space="0"/>
              <w:right w:val="single" w:color="000000" w:sz="8" w:space="0"/>
            </w:tcBorders>
            <w:tcW w:w="1326" w:type="dxa"/>
            <w:vAlign w:val="center"/>
            <w:textDirection w:val="lrTb"/>
            <w:noWrap w:val="false"/>
          </w:tcPr>
          <w:p>
            <w:pPr>
              <w:jc w:val="center"/>
              <w:rPr>
                <w:rFonts w:ascii="方正仿宋_GBK" w:hAnsi="方正仿宋_GBK" w:eastAsia="方正仿宋_GBK" w:cs="方正仿宋_GBK"/>
                <w:color w:val="000000"/>
                <w:sz w:val="28"/>
                <w:szCs w:val="28"/>
              </w:rPr>
            </w:pPr>
            <w:r>
              <w:rPr>
                <w:rFonts w:ascii="方正仿宋_GBK" w:hAnsi="方正仿宋_GBK" w:eastAsia="方正仿宋_GBK" w:cs="方正仿宋_GBK"/>
                <w:color w:val="000000"/>
                <w:sz w:val="28"/>
                <w:szCs w:val="28"/>
                <w:lang w:bidi="ar"/>
              </w:rPr>
              <w:t xml:space="preserve">培训服务</w:t>
            </w:r>
            <w:r>
              <w:rPr>
                <w:rFonts w:hint="eastAsia" w:ascii="方正仿宋_GBK" w:hAnsi="方正仿宋_GBK" w:eastAsia="方正仿宋_GBK" w:cs="方正仿宋_GBK"/>
                <w:color w:val="000000"/>
                <w:sz w:val="28"/>
                <w:szCs w:val="28"/>
                <w:lang w:bidi="ar"/>
              </w:rPr>
              <w:t xml:space="preserve">（3分）</w:t>
            </w:r>
            <w:r/>
          </w:p>
        </w:tc>
        <w:tc>
          <w:tcPr>
            <w:tcBorders>
              <w:top w:val="single" w:color="auto" w:sz="4" w:space="0"/>
              <w:left w:val="single" w:color="000000" w:sz="8" w:space="0"/>
              <w:bottom w:val="single" w:color="auto" w:sz="4" w:space="0"/>
              <w:right w:val="single" w:color="000000" w:sz="8" w:space="0"/>
            </w:tcBorders>
            <w:tcW w:w="6024" w:type="dxa"/>
            <w:vAlign w:val="center"/>
            <w:textDirection w:val="lrTb"/>
            <w:noWrap w:val="false"/>
          </w:tcPr>
          <w:p>
            <w:pPr>
              <w:widowControl/>
              <w:rPr>
                <w:rFonts w:ascii="方正仿宋_GBK" w:hAnsi="方正仿宋_GBK" w:eastAsia="方正仿宋_GBK" w:cs="方正仿宋_GBK"/>
                <w:color w:val="000000"/>
                <w:sz w:val="28"/>
                <w:szCs w:val="28"/>
                <w:lang w:bidi="ar"/>
              </w:rPr>
            </w:pPr>
            <w:r>
              <w:rPr>
                <w:rFonts w:ascii="方正仿宋_GBK" w:hAnsi="方正仿宋_GBK" w:eastAsia="方正仿宋_GBK" w:cs="方正仿宋_GBK"/>
                <w:color w:val="000000"/>
                <w:sz w:val="28"/>
                <w:szCs w:val="28"/>
                <w:lang w:bidi="ar"/>
              </w:rPr>
              <w:t xml:space="preserve">根据</w:t>
            </w:r>
            <w:r>
              <w:rPr>
                <w:rFonts w:hint="eastAsia" w:ascii="方正仿宋_GBK" w:hAnsi="方正仿宋_GBK" w:eastAsia="方正仿宋_GBK" w:cs="方正仿宋_GBK"/>
                <w:color w:val="000000"/>
                <w:sz w:val="28"/>
                <w:szCs w:val="28"/>
                <w:lang w:bidi="ar"/>
              </w:rPr>
              <w:t xml:space="preserve">响应</w:t>
            </w:r>
            <w:r>
              <w:rPr>
                <w:rFonts w:ascii="方正仿宋_GBK" w:hAnsi="方正仿宋_GBK" w:eastAsia="方正仿宋_GBK" w:cs="方正仿宋_GBK"/>
                <w:color w:val="000000"/>
                <w:sz w:val="28"/>
                <w:szCs w:val="28"/>
                <w:lang w:bidi="ar"/>
              </w:rPr>
              <w:t xml:space="preserve">供应商提供的完整详细的培训目标、任务、计划、组织等培训方案进行评分。</w:t>
            </w:r>
            <w:r/>
          </w:p>
          <w:p>
            <w:pPr>
              <w:widowControl/>
              <w:rPr>
                <w:rFonts w:hint="eastAsia" w:ascii="宋体" w:hAnsi="宋体" w:cs="宋体"/>
              </w:rPr>
            </w:pPr>
            <w:r>
              <w:rPr>
                <w:rFonts w:hint="eastAsia" w:ascii="方正仿宋_GBK" w:hAnsi="方正仿宋_GBK" w:eastAsia="方正仿宋_GBK" w:cs="方正仿宋_GBK"/>
                <w:color w:val="000000"/>
                <w:sz w:val="28"/>
                <w:szCs w:val="28"/>
                <w:lang w:bidi="ar"/>
              </w:rPr>
              <w:t xml:space="preserve">【评分依据：（1）响应文件未符合“培训服务方案”中全部条款要求的，视为不符合采购文件，本项得0分。（2）响应文件符合“培训服务方案”中全部条款要求的，视为符合采购文件，本项得2分。（3）经评委认定，响应文件对“培训服务方案”中“培训任务”“培训计划”两项要求的响应内容全部优于采购文件要求的(前提是响应文件对“培训服务方案”中除“培训任务”“培训计划”外其他要求响应内容符合采购文件要求)，本项得3分。】</w:t>
            </w:r>
            <w:r/>
          </w:p>
        </w:tc>
        <w:tc>
          <w:tcPr>
            <w:tcBorders>
              <w:top w:val="single" w:color="auto" w:sz="4" w:space="0"/>
              <w:left w:val="single" w:color="000000" w:sz="8" w:space="0"/>
              <w:bottom w:val="single" w:color="auto" w:sz="4" w:space="0"/>
              <w:right w:val="single" w:color="auto" w:sz="4" w:space="0"/>
            </w:tcBorders>
            <w:tcW w:w="680" w:type="dxa"/>
            <w:vAlign w:val="center"/>
            <w:textDirection w:val="lrTb"/>
            <w:noWrap w:val="false"/>
          </w:tcPr>
          <w:p>
            <w:pPr>
              <w:jc w:val="center"/>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p>
        </w:tc>
      </w:tr>
    </w:tbl>
    <w:p>
      <w:pPr>
        <w:rPr>
          <w:rFonts w:ascii="Times New Roman" w:hAnsi="Times New Roman"/>
          <w:szCs w:val="21"/>
        </w:rPr>
      </w:pPr>
      <w:r>
        <w:rPr>
          <w:rFonts w:ascii="Times New Roman" w:hAnsi="Times New Roman"/>
          <w:szCs w:val="21"/>
        </w:rPr>
      </w:r>
      <w:r/>
    </w:p>
    <w:p>
      <w:pPr>
        <w:jc w:val="left"/>
        <w:widowControl/>
        <w:rPr>
          <w:rFonts w:ascii="Times New Roman" w:hAnsi="Times New Roman"/>
          <w:szCs w:val="21"/>
        </w:rPr>
      </w:pPr>
      <w:r>
        <w:rPr>
          <w:rFonts w:ascii="Times New Roman" w:hAnsi="Times New Roman"/>
          <w:szCs w:val="21"/>
        </w:rPr>
        <w:br w:type="page" w:clear="all"/>
      </w:r>
      <w:r/>
    </w:p>
    <w:p>
      <w:pPr>
        <w:rPr>
          <w:rFonts w:ascii="Times New Roman" w:hAnsi="Times New Roman"/>
          <w:szCs w:val="21"/>
        </w:rPr>
      </w:pPr>
      <w:r>
        <w:rPr>
          <w:rFonts w:ascii="Times New Roman" w:hAnsi="Times New Roman"/>
          <w:szCs w:val="21"/>
        </w:rPr>
      </w:r>
      <w:r/>
    </w:p>
    <w:p>
      <w:pPr>
        <w:jc w:val="center"/>
        <w:keepNext/>
        <w:spacing w:line="400" w:lineRule="exact"/>
        <w:rPr>
          <w:rFonts w:ascii="方正黑体_GBK" w:hAnsi="方正黑体_GBK" w:eastAsia="方正黑体_GBK" w:cs="方正黑体_GBK"/>
          <w:sz w:val="28"/>
          <w:szCs w:val="28"/>
        </w:rPr>
        <w:outlineLvl w:val="0"/>
      </w:pPr>
      <w:r/>
      <w:bookmarkStart w:id="199" w:name="_Toc236925643"/>
      <w:r/>
      <w:bookmarkStart w:id="200" w:name="_Toc26554094"/>
      <w:r/>
      <w:bookmarkStart w:id="201" w:name="_Toc120614282"/>
      <w:r/>
      <w:bookmarkStart w:id="202" w:name="_Toc49090576"/>
      <w:r/>
      <w:bookmarkEnd w:id="190"/>
      <w:r/>
      <w:bookmarkEnd w:id="191"/>
      <w:r/>
      <w:bookmarkEnd w:id="198"/>
      <w:r>
        <w:rPr>
          <w:rFonts w:hint="eastAsia" w:ascii="方正黑体_GBK" w:hAnsi="方正黑体_GBK" w:eastAsia="方正黑体_GBK" w:cs="方正黑体_GBK"/>
          <w:sz w:val="28"/>
          <w:szCs w:val="28"/>
        </w:rPr>
        <w:t xml:space="preserve">第六章  响应文件格式</w:t>
      </w:r>
      <w:bookmarkEnd w:id="199"/>
      <w:r>
        <w:rPr>
          <w:rFonts w:hint="eastAsia" w:ascii="方正黑体_GBK" w:hAnsi="方正黑体_GBK" w:eastAsia="方正黑体_GBK" w:cs="方正黑体_GBK"/>
          <w:sz w:val="28"/>
          <w:szCs w:val="28"/>
        </w:rPr>
        <w:t xml:space="preserve"> </w:t>
      </w:r>
      <w:r/>
    </w:p>
    <w:p>
      <w:pPr>
        <w:jc w:val="center"/>
        <w:rPr>
          <w:rFonts w:hint="eastAsia" w:ascii="宋体" w:hAnsi="宋体"/>
          <w:b/>
          <w:sz w:val="72"/>
          <w:szCs w:val="21"/>
        </w:rPr>
      </w:pPr>
      <w:r/>
      <w:bookmarkStart w:id="203" w:name="_Hlt26671244"/>
      <w:r/>
      <w:bookmarkStart w:id="204" w:name="_Hlt26955039"/>
      <w:r/>
      <w:bookmarkEnd w:id="203"/>
      <w:r/>
      <w:bookmarkEnd w:id="204"/>
      <w:r/>
      <w:r/>
    </w:p>
    <w:p>
      <w:pPr>
        <w:jc w:val="center"/>
        <w:spacing w:line="660" w:lineRule="exact"/>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响  应</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84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供应商名称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spacing w:line="440" w:lineRule="exact"/>
        <w:rPr>
          <w:rFonts w:hint="eastAsia" w:ascii="宋体" w:hAnsi="宋体"/>
          <w:szCs w:val="21"/>
        </w:rPr>
      </w:pPr>
      <w:r>
        <w:rPr>
          <w:rFonts w:hint="eastAsia" w:ascii="宋体" w:hAnsi="宋体"/>
          <w:szCs w:val="21"/>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ind w:firstLine="964"/>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hint="eastAsia" w:ascii="宋体" w:hAnsi="宋体"/>
          <w:b/>
          <w:bCs/>
          <w:sz w:val="32"/>
          <w:szCs w:val="32"/>
        </w:rPr>
        <w:br w:type="page" w:clear="all"/>
      </w:r>
      <w:r/>
    </w:p>
    <w:p>
      <w:pPr>
        <w:ind w:firstLine="964"/>
        <w:rPr>
          <w:rFonts w:hint="eastAsia" w:ascii="宋体" w:hAnsi="宋体"/>
          <w:b/>
          <w:bCs/>
          <w:sz w:val="32"/>
          <w:szCs w:val="32"/>
        </w:rPr>
      </w:pPr>
      <w:r>
        <w:rPr>
          <w:rFonts w:hint="eastAsia" w:ascii="宋体" w:hAnsi="宋体"/>
          <w:b/>
          <w:bCs/>
          <w:sz w:val="32"/>
          <w:szCs w:val="32"/>
        </w:rPr>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响应文件的组成</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总备注：上述“资格审查内容”中1-5条、8、9条供应商必须在响应文件中提供相关材料，否则按无效响应处理。</w:t>
      </w:r>
      <w:r>
        <w:rPr>
          <w:rFonts w:ascii="方正仿宋_GBK" w:hAnsi="方正仿宋_GBK" w:eastAsia="方正仿宋_GBK" w:cs="方正仿宋_GBK"/>
          <w:sz w:val="28"/>
          <w:szCs w:val="28"/>
        </w:rPr>
        <w:t xml:space="preserve"> </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供应商必须对磋商文件（含技术要求和商务要求）中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的实质性要求逐条做出响应，并按照磋商文件要求提供证明材料，否则按无效响应处理。（格式见附件10）</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1.中小微企业声明函（格式见附件8）</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2.残疾人福利性单位声明函（格式见附件9）</w:t>
      </w:r>
      <w:r/>
    </w:p>
    <w:p>
      <w:pPr>
        <w:ind w:firstLine="560"/>
        <w:spacing w:line="400" w:lineRule="exact"/>
        <w:rPr>
          <w:rFonts w:ascii="方正仿宋_GBK" w:hAnsi="方正仿宋_GBK" w:eastAsia="方正仿宋_GBK" w:cs="方正仿宋_GBK"/>
          <w:sz w:val="32"/>
          <w:szCs w:val="32"/>
        </w:rPr>
      </w:pPr>
      <w:r>
        <w:rPr>
          <w:rFonts w:hint="eastAsia" w:ascii="方正仿宋_GBK" w:hAnsi="方正仿宋_GBK" w:eastAsia="方正仿宋_GBK" w:cs="方正仿宋_GBK"/>
          <w:sz w:val="28"/>
          <w:szCs w:val="28"/>
        </w:rPr>
        <w:t xml:space="preserve">3.关于符合本国产品标准的声明函（格式见附件11）</w:t>
      </w:r>
      <w:r/>
    </w:p>
    <w:p>
      <w:pPr>
        <w:ind w:left="480"/>
        <w:rPr>
          <w:rFonts w:hint="eastAsia" w:ascii="宋体" w:hAnsi="宋体"/>
          <w:b/>
          <w:sz w:val="24"/>
          <w:szCs w:val="21"/>
        </w:rPr>
      </w:pPr>
      <w:r>
        <w:rPr>
          <w:rFonts w:hint="eastAsia" w:ascii="宋体" w:hAnsi="宋体"/>
          <w:b/>
          <w:sz w:val="24"/>
          <w:szCs w:val="21"/>
        </w:rPr>
      </w:r>
      <w:r/>
    </w:p>
    <w:p>
      <w:pPr>
        <w:ind w:left="480"/>
        <w:rPr>
          <w:rFonts w:hint="eastAsia" w:ascii="宋体" w:hAnsi="宋体"/>
          <w:b/>
          <w:sz w:val="24"/>
          <w:szCs w:val="21"/>
        </w:rPr>
      </w:pPr>
      <w:r>
        <w:rPr>
          <w:rFonts w:hint="eastAsia" w:ascii="宋体" w:hAnsi="宋体"/>
          <w:b/>
          <w:sz w:val="24"/>
          <w:szCs w:val="21"/>
        </w:rPr>
      </w:r>
      <w:r/>
    </w:p>
    <w:p>
      <w:pPr>
        <w:rPr>
          <w:rFonts w:hint="eastAsia" w:ascii="宋体" w:hAnsi="宋体"/>
          <w:b/>
          <w:sz w:val="24"/>
          <w:szCs w:val="21"/>
        </w:rPr>
      </w:pPr>
      <w:r>
        <w:rPr>
          <w:rFonts w:hint="eastAsia" w:ascii="宋体" w:hAnsi="宋体"/>
          <w:b/>
          <w:sz w:val="24"/>
          <w:szCs w:val="21"/>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 分项报价表（服务类项目）（采购包号：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国产化适配改造</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网站优化提升</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1</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项</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网站运维服务</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2</w:t>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年</w:t>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磋商总报价（人民币：元）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861" w:type="dxa"/>
            <w:textDirection w:val="lrTb"/>
            <w:noWrap w:val="false"/>
          </w:tcPr>
          <w:p>
            <w:pPr>
              <w:pStyle w:val="789"/>
              <w:spacing w:before="0" w:beforeAutospacing="0" w:after="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color w:val="ff0000"/>
                <w:sz w:val="28"/>
                <w:szCs w:val="28"/>
              </w:rPr>
              <w:t xml:space="preserve">本项目不包含货物</w:t>
            </w:r>
            <w:r>
              <w:rPr>
                <w:rFonts w:hint="eastAsia" w:ascii="方正仿宋_GBK" w:hAnsi="方正仿宋_GBK" w:eastAsia="方正仿宋_GBK" w:cs="方正仿宋_GBK"/>
                <w:sz w:val="28"/>
                <w:szCs w:val="28"/>
              </w:rPr>
              <w:t xml:space="preserve">）</w:t>
            </w:r>
            <w:r/>
          </w:p>
        </w:tc>
      </w:tr>
    </w:tbl>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磋商总报价”数额为各“分项总价”之和。</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w:t>
      </w:r>
      <w:r>
        <w:rPr>
          <w:rFonts w:hint="eastAsia" w:ascii="方正仿宋_GBK" w:hAnsi="方正仿宋_GBK" w:eastAsia="方正仿宋_GBK" w:cs="方正仿宋_GBK"/>
          <w:sz w:val="28"/>
          <w:szCs w:val="28"/>
        </w:rPr>
        <w:t xml:space="preserve">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p>
    <w:p>
      <w:pPr>
        <w:spacing w:line="400" w:lineRule="exact"/>
        <w:rPr>
          <w:rFonts w:ascii="方正魏碑_GBK" w:hAnsi="方正魏碑_GBK" w:eastAsia="方正魏碑_GBK" w:cs="方正魏碑_GBK"/>
          <w:b/>
          <w:bCs/>
          <w:sz w:val="28"/>
          <w:szCs w:val="28"/>
        </w:rPr>
      </w:pPr>
      <w:r>
        <w:rPr>
          <w:rFonts w:ascii="方正魏碑_GBK" w:hAnsi="方正魏碑_GBK" w:eastAsia="方正魏碑_GBK" w:cs="方正魏碑_GBK"/>
          <w:b/>
          <w:bCs/>
          <w:sz w:val="28"/>
          <w:szCs w:val="28"/>
        </w:rPr>
      </w:r>
      <w:r/>
    </w:p>
    <w:p>
      <w:pPr>
        <w:jc w:val="left"/>
        <w:widowControl/>
        <w:rPr>
          <w:rFonts w:ascii="方正黑体_GBK" w:hAnsi="方正黑体_GBK" w:eastAsia="方正黑体_GBK" w:cs="方正黑体_GBK"/>
          <w:bCs/>
          <w:sz w:val="28"/>
          <w:szCs w:val="28"/>
        </w:rPr>
      </w:pPr>
      <w:r>
        <w:rPr>
          <w:rFonts w:ascii="宋体" w:hAnsi="宋体"/>
          <w:b/>
          <w:sz w:val="28"/>
          <w:szCs w:val="28"/>
        </w:rPr>
        <w:br w:type="page" w:clear="all"/>
      </w:r>
      <w:r>
        <w:rPr>
          <w:rFonts w:hint="eastAsia" w:ascii="方正黑体_GBK" w:hAnsi="方正黑体_GBK" w:eastAsia="方正黑体_GBK" w:cs="方正黑体_GBK"/>
          <w:bCs/>
          <w:sz w:val="28"/>
          <w:szCs w:val="28"/>
        </w:rPr>
        <w:t xml:space="preserve">附件2 技术要求响应及偏离表（采购包号：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ind w:firstLine="560"/>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jc w:val="cente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附件3 商务要求响应及偏离表（采购包号：</w:t>
      </w:r>
      <w:r>
        <w:rPr>
          <w:rFonts w:hint="eastAsia"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1.供应商需对磋商文件技术要求中非实质性要求（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2.如果磋商文件要求提供证明材料，供应商需将证明材料列于该表之下。</w:t>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具备履行合同所必需的设备和专业技术能力的书面声明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spacing w:line="400" w:lineRule="exact"/>
        <w:rPr>
          <w:rFonts w:hint="eastAsia" w:ascii="宋体" w:hAnsi="宋体"/>
          <w:bCs/>
          <w:sz w:val="28"/>
          <w:szCs w:val="28"/>
        </w:rPr>
      </w:pPr>
      <w:r>
        <w:rPr>
          <w:rFonts w:hint="eastAsia" w:ascii="宋体" w:hAnsi="宋体"/>
          <w:bCs/>
          <w:sz w:val="28"/>
          <w:szCs w:val="28"/>
        </w:rPr>
        <w:t xml:space="preserve">                                     </w:t>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参加政府采购活动前 3 年内在经营活动中没有重大违法记录的书面声明</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spacing w:line="400" w:lineRule="exact"/>
        <w:rPr>
          <w:rFonts w:hint="eastAsia" w:ascii="宋体" w:hAnsi="宋体"/>
          <w:b/>
          <w:sz w:val="28"/>
          <w:szCs w:val="28"/>
        </w:rPr>
      </w:pPr>
      <w:r/>
      <w:bookmarkStart w:id="205" w:name="_Toc120614284"/>
      <w:r/>
      <w:bookmarkEnd w:id="200"/>
      <w:r/>
      <w:bookmarkEnd w:id="201"/>
      <w:r/>
      <w:bookmarkEnd w:id="202"/>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法人授权书</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（响应供应商名称）授权</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年</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月</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206" w:name="_Hlt26955070"/>
      <w:r/>
      <w:bookmarkStart w:id="207" w:name="_格式3__银行出具的资信证明"/>
      <w:r/>
      <w:bookmarkStart w:id="208" w:name="_Hlt26671380"/>
      <w:r/>
      <w:bookmarkEnd w:id="206"/>
      <w:r/>
      <w:bookmarkEnd w:id="207"/>
      <w:r/>
      <w:bookmarkEnd w:id="208"/>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560"/>
        <w:spacing w:line="400" w:lineRule="exact"/>
        <w:tabs>
          <w:tab w:val="left" w:pos="360" w:leader="none"/>
        </w:tabs>
        <w:rPr>
          <w:rFonts w:ascii="Times New Roman" w:hAnsi="Times New Roman"/>
          <w:sz w:val="28"/>
          <w:szCs w:val="28"/>
        </w:rPr>
      </w:pPr>
      <w:r>
        <w:rPr>
          <w:rFonts w:ascii="Times New Roman" w:hAnsi="Times New Roman"/>
          <w:sz w:val="28"/>
          <w:szCs w:val="28"/>
        </w:rPr>
      </w:r>
      <w:r/>
    </w:p>
    <w:p>
      <w:pPr>
        <w:ind w:firstLine="420"/>
        <w:spacing w:line="400" w:lineRule="exact"/>
        <w:rPr>
          <w:rFonts w:ascii="Times New Roman" w:hAnsi="Times New Roman"/>
          <w:i/>
          <w:sz w:val="28"/>
          <w:szCs w:val="28"/>
          <w:u w:val="single"/>
        </w:rPr>
      </w:pPr>
      <w:r>
        <w:rPr>
          <w:rFonts w:ascii="Times New Roman" w:hAnsi="Times New Roman"/>
          <w:i/>
          <w:sz w:val="28"/>
          <w:szCs w:val="28"/>
          <w:u w:val="single"/>
        </w:rPr>
      </w:r>
      <w:r/>
    </w:p>
    <w:p>
      <w:pPr>
        <w:spacing w:line="400" w:lineRule="exact"/>
        <w:rPr>
          <w:rFonts w:ascii="Times New Roman" w:hAnsi="Times New Roman"/>
          <w:sz w:val="28"/>
          <w:szCs w:val="28"/>
        </w:rPr>
      </w:pPr>
      <w:r>
        <w:rPr>
          <w:rFonts w:ascii="Times New Roman" w:hAnsi="Times New Roman"/>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磋商响应函</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项目（项目名称）的磋商文件，正式授权下述签字人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（供应商的名称），全权处理本次项目磋商的有关事宜。</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成交,</w:t>
      </w:r>
      <w:r>
        <w:rPr>
          <w:rFonts w:hint="eastAsia" w:ascii="方正仿宋_GBK" w:hAnsi="方正仿宋_GBK" w:eastAsia="方正仿宋_GBK" w:cs="方正仿宋_GBK"/>
          <w:sz w:val="28"/>
          <w:szCs w:val="28"/>
        </w:rPr>
        <w:t xml:space="preserve">我方将根据磋商文件的规定，严格履行合同的责任和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并保证在磋商文件规定的时间完成项目，交付买方验收、使用。</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p>
    <w:p>
      <w:pPr>
        <w:ind w:firstLine="560"/>
        <w:jc w:val="lef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firstLine="584"/>
        <w:spacing w:line="400" w:lineRule="exact"/>
        <w:rPr>
          <w:rFonts w:ascii="仿宋_GB2312" w:hAnsi="Times New Roman" w:eastAsia="仿宋_GB2312"/>
          <w:spacing w:val="6"/>
          <w:sz w:val="28"/>
          <w:szCs w:val="28"/>
        </w:rPr>
      </w:pPr>
      <w:r>
        <w:rPr>
          <w:rFonts w:ascii="仿宋_GB2312" w:hAnsi="Times New Roman" w:eastAsia="仿宋_GB2312"/>
          <w:spacing w:val="6"/>
          <w:sz w:val="28"/>
          <w:szCs w:val="28"/>
        </w:rPr>
      </w:r>
      <w:r/>
    </w:p>
    <w:p>
      <w:pPr>
        <w:ind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jc w:val="righ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spacing w:line="400" w:lineRule="exact"/>
        <w:rPr>
          <w:rFonts w:hint="eastAsia" w:ascii="黑体" w:hAnsi="黑体" w:eastAsia="黑体"/>
          <w:b/>
          <w:sz w:val="28"/>
          <w:szCs w:val="28"/>
        </w:rPr>
      </w:pPr>
      <w:r>
        <w:rPr>
          <w:rFonts w:hint="eastAsia" w:ascii="黑体" w:hAnsi="黑体" w:eastAsia="黑体"/>
          <w:b/>
          <w:sz w:val="28"/>
          <w:szCs w:val="28"/>
        </w:rPr>
      </w:r>
      <w:r/>
    </w:p>
    <w:p>
      <w:pPr>
        <w:spacing w:line="400" w:lineRule="exact"/>
        <w:rPr>
          <w:rFonts w:hint="eastAsia" w:ascii="宋体" w:hAnsi="宋体"/>
          <w:sz w:val="28"/>
          <w:szCs w:val="28"/>
        </w:rPr>
      </w:pPr>
      <w:r>
        <w:rPr>
          <w:rFonts w:hint="eastAsia" w:ascii="宋体" w:hAnsi="宋体"/>
          <w:sz w:val="28"/>
          <w:szCs w:val="28"/>
        </w:rPr>
        <w:t xml:space="preserve"> </w:t>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附件8</w:t>
      </w:r>
      <w:r>
        <w:rPr>
          <w:rFonts w:hint="eastAsia" w:ascii="方正黑体_GBK" w:hAnsi="方正黑体_GBK" w:eastAsia="方正黑体_GBK" w:cs="方正黑体_GBK"/>
          <w:bCs/>
          <w:sz w:val="28"/>
          <w:szCs w:val="28"/>
        </w:rPr>
        <w:t xml:space="preserve">-1</w:t>
      </w:r>
      <w:r>
        <w:rPr>
          <w:rFonts w:hint="eastAsia" w:ascii="方正黑体_GBK" w:hAnsi="方正黑体_GBK" w:eastAsia="方正黑体_GBK" w:cs="方正黑体_GBK"/>
          <w:bCs/>
          <w:sz w:val="28"/>
          <w:szCs w:val="28"/>
        </w:rPr>
        <w:t xml:space="preserve"> 中小微企业声明函（服务类项目）（采购包号：XX）</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sz w:val="28"/>
          <w:szCs w:val="28"/>
          <w:u w:val="single"/>
        </w:rPr>
        <w:t xml:space="preserve">XXXX</w:t>
      </w:r>
      <w:r>
        <w:rPr>
          <w:rFonts w:hint="eastAsia" w:ascii="方正仿宋_GBK" w:hAnsi="方正仿宋_GBK" w:eastAsia="方正仿宋_GBK" w:cs="方正仿宋_GBK"/>
          <w:sz w:val="28"/>
          <w:szCs w:val="28"/>
        </w:rPr>
        <w:t xml:space="preserve">（项目名称）（采购包号：XX）的采购活动，服务全部由符合政策的中小微企业承接。相关企业（含联合体中的中小微企业、签订采购包意向协议的中小微企业）的具体情况如下：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（供应商填写磋商文件中明确的所属行业）行业；承接企业为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p>
    <w:p>
      <w:pPr>
        <w:ind w:right="480" w:firstLine="560"/>
        <w:jc w:val="right"/>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《国家统计局关于印发〈统计上大中小微型企业划分办法（2017）〉的通知》（国统字〔2017〕213号）的规定，自行勾选承接企业的企业规模类型。 </w:t>
      </w:r>
      <w:r/>
    </w:p>
    <w:p>
      <w:pPr>
        <w:jc w:val="left"/>
        <w:widowControl/>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p>
      <w:pPr>
        <w:spacing w:line="560" w:lineRule="atLeast"/>
        <w:rPr>
          <w:rFonts w:eastAsia="方正仿宋_GBK"/>
          <w:sz w:val="22"/>
        </w:rPr>
      </w:pPr>
      <w:r>
        <w:rPr>
          <w:rFonts w:hint="eastAsia" w:ascii="方正仿宋_GBK" w:hAnsi="方正仿宋_GBK" w:eastAsia="方正仿宋_GBK" w:cs="方正仿宋_GBK"/>
          <w:sz w:val="28"/>
          <w:szCs w:val="28"/>
        </w:rPr>
        <w:t xml:space="preserve"> </w:t>
      </w:r>
      <w:r>
        <w:rPr>
          <w:rFonts w:ascii="方正仿宋_GBK" w:hAnsi="方正仿宋_GBK" w:eastAsia="方正仿宋_GBK" w:cs="方正仿宋_GBK"/>
          <w:color w:val="333333"/>
          <w:sz w:val="32"/>
          <w:szCs w:val="32"/>
        </w:rPr>
        <w:t xml:space="preserve">附件</w:t>
      </w:r>
      <w:r>
        <w:rPr>
          <w:rFonts w:hint="eastAsia" w:ascii="方正仿宋_GBK" w:hAnsi="方正仿宋_GBK" w:eastAsia="方正仿宋_GBK" w:cs="方正仿宋_GBK"/>
          <w:color w:val="333333"/>
          <w:sz w:val="32"/>
          <w:szCs w:val="32"/>
        </w:rPr>
        <w:t xml:space="preserve">8-2</w:t>
      </w:r>
      <w:r/>
    </w:p>
    <w:p>
      <w:pPr>
        <w:ind w:firstLine="640"/>
        <w:jc w:val="center"/>
        <w:spacing w:line="560" w:lineRule="atLeast"/>
        <w:rPr>
          <w:rFonts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提供服务的人员均为</w:t>
      </w:r>
      <w:r>
        <w:rPr>
          <w:rFonts w:ascii="方正仿宋_GBK" w:hAnsi="方正仿宋_GBK" w:eastAsia="方正仿宋_GBK" w:cs="方正仿宋_GBK"/>
          <w:color w:val="333333"/>
          <w:sz w:val="32"/>
          <w:szCs w:val="32"/>
        </w:rPr>
        <w:t xml:space="preserve">订立劳动合同的从业人员的</w:t>
      </w:r>
      <w:r>
        <w:rPr>
          <w:rFonts w:ascii="方正仿宋_GBK" w:hAnsi="方正仿宋_GBK" w:eastAsia="方正仿宋_GBK" w:cs="方正仿宋_GBK"/>
          <w:sz w:val="32"/>
          <w:szCs w:val="20"/>
        </w:rPr>
        <w:t xml:space="preserve">书面声明</w:t>
      </w:r>
      <w:r/>
    </w:p>
    <w:p>
      <w:pPr>
        <w:ind w:firstLine="640"/>
        <w:jc w:val="center"/>
        <w:spacing w:line="560" w:lineRule="atLeast"/>
        <w:rPr>
          <w:rFonts w:ascii="方正仿宋_GBK" w:hAnsi="方正仿宋_GBK" w:eastAsia="方正仿宋_GBK" w:cs="方正仿宋_GBK"/>
          <w:sz w:val="32"/>
          <w:szCs w:val="20"/>
        </w:rPr>
      </w:pPr>
      <w:r>
        <w:rPr>
          <w:rFonts w:ascii="方正仿宋_GBK" w:hAnsi="方正仿宋_GBK" w:eastAsia="方正仿宋_GBK" w:cs="方正仿宋_GBK"/>
          <w:sz w:val="32"/>
          <w:szCs w:val="20"/>
        </w:rPr>
        <w:t xml:space="preserve">（采购包号：XX）</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本企业（本联合体，如项目采购包接受联合体参加的）参加江苏省政府采购中心组织的项目编号为</w:t>
      </w:r>
      <w:r>
        <w:rPr>
          <w:rFonts w:ascii="Times New Roman" w:hAnsi="Times New Roman" w:eastAsia="方正仿宋_GBK"/>
          <w:sz w:val="32"/>
          <w:szCs w:val="20"/>
        </w:rPr>
        <w:t xml:space="preserve">JSZC-320000-SCZX-G</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C</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T</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K</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20XX-XXXX</w:t>
      </w:r>
      <w:r>
        <w:rPr>
          <w:rFonts w:ascii="Times New Roman" w:hAnsi="Times New Roman" w:eastAsia="方正仿宋_GBK"/>
          <w:sz w:val="32"/>
          <w:szCs w:val="20"/>
        </w:rPr>
        <w:t xml:space="preserve">，</w:t>
      </w:r>
      <w:r>
        <w:rPr>
          <w:rFonts w:ascii="Times New Roman" w:hAnsi="Times New Roman" w:eastAsia="方正仿宋_GBK"/>
          <w:sz w:val="32"/>
          <w:szCs w:val="20"/>
        </w:rPr>
        <w:t xml:space="preserve">XXXX</w:t>
      </w:r>
      <w:r>
        <w:rPr>
          <w:rFonts w:ascii="Times New Roman" w:hAnsi="Times New Roman" w:eastAsia="方正仿宋_GBK"/>
          <w:sz w:val="32"/>
          <w:szCs w:val="20"/>
        </w:rPr>
        <w:t xml:space="preserve">（项目名称）（采购包号：</w:t>
      </w:r>
      <w:r>
        <w:rPr>
          <w:rFonts w:ascii="Times New Roman" w:hAnsi="Times New Roman" w:eastAsia="方正仿宋_GBK"/>
          <w:sz w:val="32"/>
          <w:szCs w:val="20"/>
        </w:rPr>
        <w:t xml:space="preserve">XX</w:t>
      </w:r>
      <w:r>
        <w:rPr>
          <w:rFonts w:ascii="Times New Roman" w:hAnsi="Times New Roman" w:eastAsia="方正仿宋_GBK"/>
          <w:sz w:val="32"/>
          <w:szCs w:val="20"/>
        </w:rPr>
        <w:t xml:space="preserve">）项目采购活动，根据</w:t>
      </w:r>
      <w:r>
        <w:rPr>
          <w:rFonts w:ascii="方正仿宋_GBK" w:hAnsi="方正仿宋_GBK" w:eastAsia="方正仿宋_GBK" w:cs="方正仿宋_GBK"/>
          <w:color w:val="333333"/>
          <w:sz w:val="32"/>
          <w:szCs w:val="32"/>
        </w:rPr>
        <w:t xml:space="preserve">《政府采购促进中小企业发展管理办法》第四条规定</w:t>
      </w:r>
      <w:r>
        <w:rPr>
          <w:rFonts w:ascii="Times New Roman" w:hAnsi="Times New Roman" w:eastAsia="方正仿宋_GBK"/>
          <w:sz w:val="32"/>
          <w:szCs w:val="20"/>
        </w:rPr>
        <w:t xml:space="preserve">，本企业（本联合体，如项目采购包接受联合体参加的）郑重声明：如服务由本企业（本联合体，如项目采购包接受联合体参加的）承接，为本项目采购包提供服务的人员均为</w:t>
      </w:r>
      <w:r>
        <w:rPr>
          <w:rFonts w:ascii="方正仿宋_GBK" w:hAnsi="方正仿宋_GBK" w:eastAsia="方正仿宋_GBK" w:cs="方正仿宋_GBK"/>
          <w:color w:val="333333"/>
          <w:sz w:val="32"/>
          <w:szCs w:val="32"/>
        </w:rPr>
        <w:t xml:space="preserve">依照《中华人民共和国劳动合同法》订立劳动合同的从业人员。</w:t>
      </w:r>
      <w:r/>
    </w:p>
    <w:p>
      <w:pPr>
        <w:ind w:firstLine="640"/>
        <w:spacing w:line="560" w:lineRule="atLeast"/>
        <w:rPr>
          <w:rFonts w:ascii="Times New Roman" w:hAnsi="Times New Roman" w:eastAsia="方正仿宋_GBK"/>
          <w:sz w:val="32"/>
          <w:szCs w:val="20"/>
        </w:rPr>
      </w:pPr>
      <w:r>
        <w:rPr>
          <w:rFonts w:ascii="Times New Roman" w:hAnsi="Times New Roman" w:eastAsia="方正仿宋_GBK"/>
          <w:sz w:val="32"/>
          <w:szCs w:val="20"/>
        </w:rPr>
        <w:t xml:space="preserve">本企业（联合体）对上述声明的真实性负责。如有虚假，将依法承担相应责任。</w:t>
      </w:r>
      <w:r/>
    </w:p>
    <w:p>
      <w:pPr>
        <w:ind w:firstLine="624"/>
        <w:jc w:val="left"/>
        <w:spacing w:after="100" w:line="259" w:lineRule="auto"/>
        <w:widowControl/>
        <w:rPr>
          <w:rFonts w:eastAsia="方正仿宋_GBK"/>
          <w:sz w:val="22"/>
        </w:rPr>
      </w:pPr>
      <w:r>
        <w:rPr>
          <w:rFonts w:eastAsia="方正仿宋_GBK"/>
          <w:sz w:val="22"/>
        </w:rPr>
      </w:r>
      <w:r/>
    </w:p>
    <w:p>
      <w:pPr>
        <w:ind w:firstLine="624"/>
        <w:spacing w:line="590" w:lineRule="atLeast"/>
        <w:rPr>
          <w:rFonts w:ascii="方正黑体_GBK" w:hAnsi="方正黑体_GBK" w:eastAsia="方正黑体_GBK" w:cs="方正黑体_GBK"/>
          <w:b/>
          <w:bCs/>
          <w:sz w:val="32"/>
          <w:szCs w:val="20"/>
        </w:rPr>
      </w:pPr>
      <w:r>
        <w:rPr>
          <w:rFonts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p>
    <w:p>
      <w:pPr>
        <w:ind w:firstLine="560"/>
        <w:spacing w:line="400" w:lineRule="exact"/>
        <w:rPr>
          <w:rFonts w:hint="eastAsia" w:ascii="宋体" w:hAnsi="宋体"/>
          <w:sz w:val="28"/>
          <w:szCs w:val="28"/>
        </w:rPr>
      </w:pPr>
      <w:r>
        <w:rPr>
          <w:rFonts w:hint="eastAsia" w:ascii="宋体" w:hAnsi="宋体"/>
          <w:sz w:val="28"/>
          <w:szCs w:val="28"/>
        </w:rPr>
      </w:r>
      <w:r/>
    </w:p>
    <w:p>
      <w:pPr>
        <w:jc w:val="left"/>
        <w:widowControl/>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br w:type="page" w:clear="all"/>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附件9 残疾人福利性单位声明函（服务类项目）（采购包号：</w:t>
      </w:r>
      <w:r>
        <w:rPr>
          <w:rFonts w:ascii="Times New Roman" w:hAnsi="Times New Roman"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bCs/>
          <w:sz w:val="28"/>
          <w:szCs w:val="28"/>
          <w:u w:val="single"/>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bCs/>
          <w:sz w:val="28"/>
          <w:szCs w:val="28"/>
        </w:rPr>
        <w:t xml:space="preserve">JSZC-320000-SCZX-C20XX-XXXX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bCs/>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ascii="Times New Roman" w:hAnsi="Times New Roman"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right="1559" w:firstLine="584"/>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p>
    <w:p>
      <w:pPr>
        <w:ind w:right="1559" w:firstLine="560"/>
        <w:jc w:val="right"/>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供应商全称（加盖CA电子公章）：  </w:t>
      </w:r>
      <w:r/>
    </w:p>
    <w:p>
      <w:pPr>
        <w:ind w:right="1559" w:firstLine="560"/>
        <w:jc w:val="center"/>
        <w:spacing w:line="400" w:lineRule="exact"/>
        <w:tabs>
          <w:tab w:val="left" w:pos="4860" w:leader="none"/>
        </w:tabs>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：____年____月____日</w:t>
      </w:r>
      <w:r/>
    </w:p>
    <w:p>
      <w:pPr>
        <w:ind w:right="1559" w:firstLine="560"/>
        <w:jc w:val="center"/>
        <w:spacing w:line="400" w:lineRule="exact"/>
        <w:tabs>
          <w:tab w:val="left" w:pos="4860" w:leader="none"/>
        </w:tabs>
        <w:rPr>
          <w:rFonts w:hint="eastAsia" w:ascii="宋体" w:hAnsi="宋体"/>
          <w:sz w:val="28"/>
          <w:szCs w:val="28"/>
        </w:rPr>
      </w:pPr>
      <w:r>
        <w:rPr>
          <w:rFonts w:hint="eastAsia" w:ascii="宋体" w:hAnsi="宋体"/>
          <w:sz w:val="28"/>
          <w:szCs w:val="28"/>
        </w:rPr>
      </w:r>
      <w:r/>
    </w:p>
    <w:p>
      <w:pP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附件10实质性要求响应及偏离表（采购包号：</w:t>
      </w:r>
      <w:r>
        <w:rPr>
          <w:rFonts w:hint="eastAsia" w:ascii="Times New Roman" w:hAnsi="Times New Roman"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sz w:val="28"/>
                <w:szCs w:val="28"/>
              </w:rPr>
            </w:pPr>
            <w:r>
              <w:rPr>
                <w:rFonts w:ascii="方正仿宋_GBK" w:hAnsi="方正仿宋_GBK" w:eastAsia="方正仿宋_GBK" w:cs="方正仿宋_GBK"/>
                <w:sz w:val="28"/>
                <w:szCs w:val="28"/>
              </w:rPr>
            </w:r>
            <w:r/>
          </w:p>
        </w:tc>
      </w:tr>
    </w:tbl>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1.供应商必须对磋商文件（含技术要求和商务要求）中的实质性要求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逐条做出明确响应，否则作无效响应处理。</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2.如果磋商文件要求提供证明材料，供应商必须将证明材料列于该表之下。</w:t>
      </w:r>
      <w:r/>
    </w:p>
    <w:p>
      <w:pPr>
        <w:ind w:firstLine="56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3.供应商未对实质性要求逐条作出明确响应的，或未按磋商文件要求提供证明材料的，该采购包作无效响应处理。</w:t>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bookmarkEnd w:id="192"/>
      <w:r/>
      <w:bookmarkEnd w:id="193"/>
      <w:r/>
      <w:bookmarkEnd w:id="205"/>
      <w:r/>
      <w:r/>
    </w:p>
    <w:p>
      <w:pPr>
        <w:spacing w:line="400" w:lineRule="exact"/>
        <w:rPr>
          <w:rFonts w:hint="eastAsia" w:ascii="宋体" w:hAnsi="宋体"/>
          <w:bCs/>
          <w:sz w:val="28"/>
          <w:szCs w:val="28"/>
        </w:rPr>
      </w:pPr>
      <w:r>
        <w:rPr>
          <w:rFonts w:hint="eastAsia" w:ascii="宋体" w:hAnsi="宋体"/>
          <w:bCs/>
          <w:sz w:val="28"/>
          <w:szCs w:val="28"/>
        </w:rPr>
      </w:r>
      <w:r/>
    </w:p>
    <w:p>
      <w:pPr>
        <w:spacing w:line="400" w:lineRule="exact"/>
        <w:rPr>
          <w:rFonts w:hint="eastAsia" w:ascii="宋体" w:hAnsi="宋体"/>
          <w:bCs/>
          <w:sz w:val="28"/>
          <w:szCs w:val="28"/>
        </w:rPr>
      </w:pPr>
      <w:r>
        <w:rPr>
          <w:rFonts w:hint="eastAsia" w:ascii="宋体" w:hAnsi="宋体"/>
          <w:bCs/>
          <w:sz w:val="28"/>
          <w:szCs w:val="28"/>
        </w:rPr>
      </w:r>
      <w:r/>
    </w:p>
    <w:p>
      <w:pPr>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附件11 关于符合本国产品标准的声明函（采购包号：XX）</w:t>
      </w:r>
      <w:r/>
    </w:p>
    <w:p>
      <w:pPr>
        <w:pStyle w:val="789"/>
        <w:ind w:firstLine="420"/>
        <w:spacing w:before="0" w:beforeAutospacing="0" w:after="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9"/>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w:t>
      </w:r>
      <w:r>
        <w:rPr>
          <w:rStyle w:val="797"/>
          <w:rFonts w:hint="eastAsia" w:ascii="方正仿宋_GBK" w:hAnsi="方正仿宋_GBK" w:eastAsia="方正仿宋_GBK" w:cs="方正仿宋_GBK"/>
          <w:i w:val="0"/>
          <w:sz w:val="28"/>
          <w:szCs w:val="28"/>
          <w:u w:val="single"/>
          <w:shd w:val="clear" w:color="auto" w:fill="ffffff"/>
        </w:rPr>
        <w:t xml:space="preserve">（产品名称1）</w:t>
      </w:r>
      <w:r>
        <w:rPr>
          <w:rStyle w:val="797"/>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797"/>
          <w:rFonts w:hint="eastAsia" w:ascii="方正仿宋_GBK" w:hAnsi="方正仿宋_GBK" w:eastAsia="方正仿宋_GBK" w:cs="方正仿宋_GBK"/>
          <w:i w:val="0"/>
          <w:sz w:val="28"/>
          <w:szCs w:val="28"/>
          <w:u w:val="single"/>
          <w:shd w:val="clear" w:color="auto" w:fill="ffffff"/>
        </w:rPr>
        <w:t xml:space="preserve">（厂名）</w:t>
      </w:r>
      <w:r>
        <w:rPr>
          <w:rStyle w:val="797"/>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79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789"/>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w:t>
      </w:r>
      <w:r>
        <w:rPr>
          <w:rStyle w:val="797"/>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797"/>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797"/>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w:t>
      </w:r>
      <w:r>
        <w:rPr>
          <w:rStyle w:val="797"/>
          <w:rFonts w:hint="eastAsia" w:ascii="方正仿宋_GBK" w:hAnsi="方正仿宋_GBK" w:eastAsia="方正仿宋_GBK" w:cs="方正仿宋_GBK"/>
          <w:i w:val="0"/>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789"/>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w:t>
      </w:r>
      <w:r/>
    </w:p>
    <w:p>
      <w:pPr>
        <w:pStyle w:val="789"/>
        <w:ind w:firstLine="42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789"/>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ascii="方正仿宋_GBK" w:hAnsi="方正仿宋_GBK" w:eastAsia="方正仿宋_GBK" w:cs="方正仿宋_GBK"/>
          <w:sz w:val="28"/>
          <w:szCs w:val="28"/>
        </w:rPr>
      </w:r>
      <w:r/>
    </w:p>
    <w:p>
      <w:pPr>
        <w:pStyle w:val="789"/>
        <w:jc w:val="center"/>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公司（单位）名称（加盖CA电子公章）：　        日期：</w:t>
      </w:r>
      <w:r>
        <w:rPr>
          <w:rFonts w:hint="eastAsia" w:ascii="方正仿宋_GBK" w:hAnsi="方正仿宋_GBK" w:eastAsia="方正仿宋_GBK" w:cs="方正仿宋_GBK"/>
          <w:sz w:val="28"/>
          <w:szCs w:val="28"/>
        </w:rPr>
        <w:t xml:space="preserve">____年____月____日</w:t>
      </w:r>
      <w:r/>
    </w:p>
    <w:p>
      <w:pPr>
        <w:pStyle w:val="789"/>
        <w:jc w:val="center"/>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       </w:t>
      </w:r>
      <w:r/>
    </w:p>
    <w:p>
      <w:pPr>
        <w:pStyle w:val="789"/>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__________________</w:t>
      </w:r>
      <w:r/>
    </w:p>
    <w:p>
      <w:pPr>
        <w:pStyle w:val="789"/>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789"/>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789"/>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789"/>
        <w:ind w:firstLine="560"/>
        <w:spacing w:before="30" w:beforeAutospacing="0" w:after="30" w:afterAutospacing="0" w:line="400" w:lineRule="exact"/>
        <w:rPr>
          <w:rFonts w:ascii="方正仿宋_GBK" w:hAnsi="方正仿宋_GBK" w:eastAsia="方正仿宋_GBK" w:cs="方正仿宋_GBK"/>
          <w:sz w:val="28"/>
          <w:szCs w:val="28"/>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789"/>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789"/>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797"/>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的地方不填。</w:t>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hint="eastAsia" w:ascii="宋体" w:hAnsi="宋体" w:cs="仿宋"/>
          <w:b/>
          <w:bCs/>
          <w:sz w:val="28"/>
          <w:szCs w:val="28"/>
        </w:rPr>
      </w:pPr>
      <w:r>
        <w:rPr>
          <w:rFonts w:hint="eastAsia" w:ascii="宋体" w:hAnsi="宋体" w:cs="仿宋"/>
          <w:b/>
          <w:bCs/>
          <w:sz w:val="28"/>
          <w:szCs w:val="28"/>
        </w:rPr>
      </w:r>
      <w:r/>
    </w:p>
    <w:p>
      <w:pPr>
        <w:spacing w:line="400" w:lineRule="exact"/>
        <w:rPr>
          <w:rFonts w:hint="eastAsia" w:ascii="宋体" w:hAnsi="宋体" w:cs="仿宋"/>
          <w:b/>
          <w:bCs/>
          <w:sz w:val="28"/>
          <w:szCs w:val="28"/>
        </w:rPr>
      </w:pPr>
      <w:r>
        <w:rPr>
          <w:rFonts w:hint="eastAsia" w:ascii="宋体" w:hAnsi="宋体" w:cs="仿宋"/>
          <w:b/>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质疑函范本</w:t>
      </w:r>
      <w:r/>
    </w:p>
    <w:p>
      <w:pPr>
        <w:spacing w:before="312"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spacing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spacing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2580005</wp:posOffset>
              </wp:positionH>
              <wp:positionV relativeFrom="paragraph">
                <wp:posOffset>3175</wp:posOffset>
              </wp:positionV>
              <wp:extent cx="207645"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7818" cy="1828800"/>
                      </a:xfrm>
                      <a:prstGeom prst="rect">
                        <a:avLst/>
                      </a:prstGeom>
                      <a:noFill/>
                      <a:ln>
                        <a:noFill/>
                      </a:ln>
                      <a:effectLst/>
                    </wps:spPr>
                    <wps:txbx>
                      <w:txbxContent>
                        <w:p>
                          <w:pPr>
                            <w:pStyle w:val="77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203.1pt;mso-position-horizontal:absolute;mso-position-vertical-relative:text;margin-top:0.2pt;mso-position-vertical:absolute;width:16.3pt;height:144.0pt;mso-wrap-distance-left:9.0pt;mso-wrap-distance-top:0.0pt;mso-wrap-distance-right:9.0pt;mso-wrap-distance-bottom:0.0pt;visibility:visible;" filled="f" stroked="f">
              <v:textbox inset="0,0,0,0">
                <w:txbxContent>
                  <w:p>
                    <w:pPr>
                      <w:pStyle w:val="776"/>
                      <w:tabs>
                        <w:tab w:val="clear" w:pos="4153" w:leader="none"/>
                        <w:tab w:val="clear" w:pos="8306" w:leader="none"/>
                      </w:tabs>
                      <w:rPr>
                        <w:rFonts w:hint="eastAsia" w:ascii="宋体" w:hAnsi="宋体"/>
                        <w:sz w:val="28"/>
                      </w:rPr>
                    </w:pP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p>
                  <w:p>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rPr>
        <w:rStyle w:val="796"/>
      </w:rPr>
      <w:framePr w:wrap="around" w:vAnchor="text" w:hAnchor="margin" w:xAlign="center" w:y="1"/>
    </w:pPr>
    <w:r>
      <w:fldChar w:fldCharType="begin"/>
    </w:r>
    <w:r>
      <w:rPr>
        <w:rStyle w:val="796"/>
      </w:rPr>
      <w:instrText xml:space="preserve">PAGE  </w:instrText>
    </w:r>
    <w:r>
      <w:fldChar w:fldCharType="separate"/>
    </w:r>
    <w:r>
      <w:rPr>
        <w:rStyle w:val="796"/>
      </w:rPr>
      <w:t xml:space="preserve">1</w:t>
    </w:r>
    <w:r>
      <w:fldChar w:fldCharType="end"/>
    </w:r>
    <w:r/>
  </w:p>
  <w:p>
    <w:pPr>
      <w:pStyle w:val="77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1"/>
      <w:isLgl w:val="false"/>
      <w:suff w:val="nothing"/>
      <w:lvlText w:val=""/>
      <w:lvlJc w:val="left"/>
      <w:pPr>
        <w:ind w:left="0" w:firstLine="0"/>
      </w:pPr>
      <w:rPr>
        <w:rFonts w:hint="eastAsia"/>
      </w:rPr>
    </w:lvl>
    <w:lvl w:ilvl="6">
      <w:start w:val="1"/>
      <w:numFmt w:val="decimal"/>
      <w:pStyle w:val="732"/>
      <w:isLgl w:val="false"/>
      <w:suff w:val="nothing"/>
      <w:lvlText w:val=""/>
      <w:lvlJc w:val="left"/>
      <w:pPr>
        <w:ind w:left="0" w:firstLine="0"/>
      </w:pPr>
      <w:rPr>
        <w:rFonts w:hint="eastAsia"/>
      </w:rPr>
    </w:lvl>
    <w:lvl w:ilvl="7">
      <w:start w:val="1"/>
      <w:numFmt w:val="decimal"/>
      <w:pStyle w:val="733"/>
      <w:isLgl w:val="false"/>
      <w:suff w:val="nothing"/>
      <w:lvlText w:val=""/>
      <w:lvlJc w:val="left"/>
      <w:pPr>
        <w:ind w:left="0" w:firstLine="0"/>
      </w:pPr>
      <w:rPr>
        <w:rFonts w:hint="eastAsia"/>
      </w:rPr>
    </w:lvl>
    <w:lvl w:ilvl="8">
      <w:start w:val="1"/>
      <w:numFmt w:val="decimal"/>
      <w:pStyle w:val="734"/>
      <w:isLgl w:val="false"/>
      <w:suff w:val="nothing"/>
      <w:lvlText w:val=""/>
      <w:lvlJc w:val="left"/>
      <w:pPr>
        <w:ind w:left="0" w:firstLine="0"/>
      </w:pPr>
      <w:rPr>
        <w:rFonts w:hint="eastAsia"/>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upperLetter"/>
      <w:pStyle w:val="99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9"/>
  </w:num>
  <w:num w:numId="3">
    <w:abstractNumId w:val="5"/>
  </w:num>
  <w:num w:numId="4">
    <w:abstractNumId w:val="1"/>
  </w:num>
  <w:num w:numId="5">
    <w:abstractNumId w:val="4"/>
  </w:num>
  <w:num w:numId="6">
    <w:abstractNumId w:val="8"/>
  </w:num>
  <w:num w:numId="7">
    <w:abstractNumId w:val="6"/>
  </w:num>
  <w:num w:numId="8">
    <w:abstractNumId w:val="3"/>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qFormat/>
    <w:pPr>
      <w:jc w:val="both"/>
      <w:widowControl w:val="off"/>
    </w:pPr>
    <w:rPr>
      <w:sz w:val="21"/>
      <w:szCs w:val="22"/>
    </w:rPr>
  </w:style>
  <w:style w:type="paragraph" w:styleId="726">
    <w:name w:val="Heading 1"/>
    <w:basedOn w:val="725"/>
    <w:next w:val="725"/>
    <w:link w:val="832"/>
    <w:qFormat/>
    <w:pPr>
      <w:jc w:val="center"/>
      <w:keepNext/>
      <w:outlineLvl w:val="0"/>
    </w:pPr>
    <w:rPr>
      <w:rFonts w:ascii="楷体_GB2312" w:hAnsi="Times New Roman" w:eastAsia="楷体_GB2312"/>
      <w:sz w:val="28"/>
      <w:szCs w:val="28"/>
    </w:rPr>
  </w:style>
  <w:style w:type="paragraph" w:styleId="727">
    <w:name w:val="Heading 2"/>
    <w:basedOn w:val="725"/>
    <w:next w:val="758"/>
    <w:link w:val="833"/>
    <w:qFormat/>
    <w:pPr>
      <w:jc w:val="center"/>
      <w:keepLines/>
      <w:keepNext/>
      <w:spacing w:before="260" w:after="260" w:line="416" w:lineRule="auto"/>
      <w:outlineLvl w:val="1"/>
    </w:pPr>
    <w:rPr>
      <w:rFonts w:ascii="Arial" w:hAnsi="Arial" w:eastAsia="幼圆" w:cs="Arial"/>
      <w:b/>
      <w:bCs/>
      <w:sz w:val="44"/>
      <w:szCs w:val="44"/>
    </w:rPr>
  </w:style>
  <w:style w:type="paragraph" w:styleId="728">
    <w:name w:val="Heading 3"/>
    <w:basedOn w:val="725"/>
    <w:next w:val="758"/>
    <w:link w:val="835"/>
    <w:qFormat/>
    <w:pPr>
      <w:keepLines/>
      <w:keepNext/>
      <w:spacing w:before="260" w:after="260" w:line="416" w:lineRule="auto"/>
      <w:outlineLvl w:val="2"/>
    </w:pPr>
    <w:rPr>
      <w:rFonts w:ascii="Times New Roman" w:hAnsi="Times New Roman"/>
      <w:b/>
      <w:bCs/>
      <w:sz w:val="32"/>
      <w:szCs w:val="32"/>
    </w:rPr>
  </w:style>
  <w:style w:type="paragraph" w:styleId="729">
    <w:name w:val="Heading 4"/>
    <w:basedOn w:val="725"/>
    <w:next w:val="758"/>
    <w:link w:val="836"/>
    <w:qFormat/>
    <w:pPr>
      <w:keepLines/>
      <w:keepNext/>
      <w:spacing w:before="280" w:after="290" w:line="376" w:lineRule="auto"/>
      <w:outlineLvl w:val="3"/>
    </w:pPr>
    <w:rPr>
      <w:rFonts w:ascii="Arial" w:hAnsi="Arial" w:eastAsia="黑体" w:cs="Arial"/>
      <w:b/>
      <w:bCs/>
      <w:sz w:val="28"/>
      <w:szCs w:val="28"/>
    </w:rPr>
  </w:style>
  <w:style w:type="paragraph" w:styleId="730">
    <w:name w:val="Heading 5"/>
    <w:basedOn w:val="725"/>
    <w:next w:val="758"/>
    <w:link w:val="837"/>
    <w:qFormat/>
    <w:pPr>
      <w:keepNext/>
      <w:outlineLvl w:val="4"/>
    </w:pPr>
    <w:rPr>
      <w:rFonts w:ascii="宋体" w:hAnsi="Times New Roman"/>
      <w:color w:val="000000"/>
      <w:sz w:val="28"/>
      <w:szCs w:val="28"/>
    </w:rPr>
  </w:style>
  <w:style w:type="paragraph" w:styleId="731">
    <w:name w:val="Heading 6"/>
    <w:basedOn w:val="725"/>
    <w:next w:val="725"/>
    <w:link w:val="838"/>
    <w:qFormat/>
    <w:pPr>
      <w:numPr>
        <w:ilvl w:val="5"/>
        <w:numId w:val="1"/>
      </w:numPr>
      <w:keepLines/>
      <w:keepNext/>
      <w:spacing w:before="240" w:after="64" w:line="320" w:lineRule="auto"/>
      <w:outlineLvl w:val="5"/>
    </w:pPr>
    <w:rPr>
      <w:rFonts w:ascii="Arial" w:hAnsi="Arial" w:eastAsia="黑体"/>
      <w:b/>
      <w:bCs/>
      <w:sz w:val="24"/>
      <w:szCs w:val="24"/>
    </w:rPr>
  </w:style>
  <w:style w:type="paragraph" w:styleId="732">
    <w:name w:val="Heading 7"/>
    <w:basedOn w:val="725"/>
    <w:next w:val="725"/>
    <w:link w:val="839"/>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33">
    <w:name w:val="Heading 8"/>
    <w:basedOn w:val="725"/>
    <w:next w:val="725"/>
    <w:link w:val="840"/>
    <w:qFormat/>
    <w:pPr>
      <w:numPr>
        <w:ilvl w:val="7"/>
        <w:numId w:val="1"/>
      </w:numPr>
      <w:keepLines/>
      <w:keepNext/>
      <w:spacing w:before="240" w:after="64" w:line="320" w:lineRule="auto"/>
      <w:outlineLvl w:val="7"/>
    </w:pPr>
    <w:rPr>
      <w:rFonts w:ascii="Arial" w:hAnsi="Arial" w:eastAsia="黑体"/>
      <w:sz w:val="24"/>
      <w:szCs w:val="24"/>
    </w:rPr>
  </w:style>
  <w:style w:type="paragraph" w:styleId="734">
    <w:name w:val="Heading 9"/>
    <w:basedOn w:val="725"/>
    <w:next w:val="725"/>
    <w:link w:val="841"/>
    <w:qFormat/>
    <w:pPr>
      <w:numPr>
        <w:ilvl w:val="8"/>
        <w:numId w:val="1"/>
      </w:numPr>
      <w:keepLines/>
      <w:keepNext/>
      <w:spacing w:before="240" w:after="64" w:line="320" w:lineRule="auto"/>
      <w:outlineLvl w:val="8"/>
    </w:pPr>
    <w:rPr>
      <w:rFonts w:ascii="Arial" w:hAnsi="Arial" w:eastAsia="黑体"/>
      <w:szCs w:val="21"/>
    </w:rPr>
  </w:style>
  <w:style w:type="character" w:styleId="735" w:default="1">
    <w:name w:val="Default Paragraph Font"/>
    <w:uiPriority w:val="1"/>
    <w:semiHidden/>
    <w:unhideWhenUsed/>
  </w:style>
  <w:style w:type="table" w:styleId="736" w:default="1">
    <w:name w:val="Normal Table"/>
    <w:uiPriority w:val="99"/>
    <w:semiHidden/>
    <w:unhideWhenUsed/>
    <w:tblPr>
      <w:tblInd w:w="0" w:type="dxa"/>
      <w:tblCellMar>
        <w:left w:w="108" w:type="dxa"/>
        <w:top w:w="0" w:type="dxa"/>
        <w:right w:w="108" w:type="dxa"/>
        <w:bottom w:w="0" w:type="dxa"/>
      </w:tblCellMar>
    </w:tblPr>
  </w:style>
  <w:style w:type="numbering" w:styleId="737" w:default="1">
    <w:name w:val="No List"/>
    <w:uiPriority w:val="99"/>
    <w:semiHidden/>
    <w:unhideWhenUsed/>
  </w:style>
  <w:style w:type="table" w:styleId="738">
    <w:name w:val="Plain Table 1"/>
    <w:basedOn w:val="736"/>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36"/>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36"/>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name w:val="Grid Table 1 Light"/>
    <w:basedOn w:val="736"/>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5">
    <w:name w:val="Grid Table 3"/>
    <w:basedOn w:val="736"/>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36"/>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36"/>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8">
    <w:name w:val="Grid Table 6 Colorful"/>
    <w:basedOn w:val="736"/>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49">
    <w:name w:val="Grid Table 7 Colorful"/>
    <w:basedOn w:val="736"/>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0">
    <w:name w:val="List Table 1 Light"/>
    <w:basedOn w:val="736"/>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36"/>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2">
    <w:name w:val="List Table 3"/>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3">
    <w:name w:val="List Table 4"/>
    <w:basedOn w:val="736"/>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name w:val="List Table 5 Dark"/>
    <w:basedOn w:val="736"/>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55">
    <w:name w:val="List Table 6 Colorful"/>
    <w:basedOn w:val="736"/>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56">
    <w:name w:val="List Table 7 Colorful"/>
    <w:basedOn w:val="736"/>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57">
    <w:name w:val="TOC Heading"/>
    <w:uiPriority w:val="39"/>
    <w:unhideWhenUsed/>
  </w:style>
  <w:style w:type="paragraph" w:styleId="758">
    <w:name w:val="Normal Indent"/>
    <w:basedOn w:val="725"/>
    <w:link w:val="834"/>
    <w:qFormat/>
    <w:pPr>
      <w:ind w:firstLine="420"/>
    </w:pPr>
    <w:rPr>
      <w:szCs w:val="21"/>
    </w:rPr>
  </w:style>
  <w:style w:type="paragraph" w:styleId="759">
    <w:name w:val="List 3"/>
    <w:basedOn w:val="725"/>
    <w:qFormat/>
    <w:pPr>
      <w:ind w:left="100" w:hanging="200"/>
    </w:pPr>
    <w:rPr>
      <w:rFonts w:ascii="Times New Roman" w:hAnsi="Times New Roman"/>
      <w:szCs w:val="21"/>
    </w:rPr>
  </w:style>
  <w:style w:type="paragraph" w:styleId="760">
    <w:name w:val="toc 7"/>
    <w:basedOn w:val="725"/>
    <w:next w:val="725"/>
    <w:uiPriority w:val="39"/>
    <w:unhideWhenUsed/>
    <w:qFormat/>
    <w:pPr>
      <w:ind w:left="1701"/>
      <w:spacing w:after="57"/>
    </w:pPr>
  </w:style>
  <w:style w:type="paragraph" w:styleId="761">
    <w:name w:val="Caption"/>
    <w:basedOn w:val="725"/>
    <w:next w:val="725"/>
    <w:uiPriority w:val="35"/>
    <w:qFormat/>
    <w:pPr>
      <w:spacing w:line="276" w:lineRule="auto"/>
    </w:pPr>
    <w:rPr>
      <w:b/>
      <w:bCs/>
      <w:color w:val="4f81bd"/>
      <w:sz w:val="18"/>
      <w:szCs w:val="18"/>
    </w:rPr>
  </w:style>
  <w:style w:type="paragraph" w:styleId="762">
    <w:name w:val="Document Map"/>
    <w:basedOn w:val="725"/>
    <w:link w:val="843"/>
    <w:semiHidden/>
    <w:qFormat/>
    <w:pPr>
      <w:shd w:val="clear" w:color="auto" w:fill="000080"/>
    </w:pPr>
    <w:rPr>
      <w:rFonts w:ascii="Times New Roman" w:hAnsi="Times New Roman"/>
      <w:szCs w:val="21"/>
    </w:rPr>
  </w:style>
  <w:style w:type="paragraph" w:styleId="763">
    <w:name w:val="annotation text"/>
    <w:basedOn w:val="725"/>
    <w:link w:val="844"/>
    <w:unhideWhenUsed/>
    <w:qFormat/>
    <w:pPr>
      <w:jc w:val="left"/>
    </w:pPr>
  </w:style>
  <w:style w:type="paragraph" w:styleId="764">
    <w:name w:val="Body Text 3"/>
    <w:basedOn w:val="725"/>
    <w:link w:val="845"/>
    <w:qFormat/>
    <w:rPr>
      <w:rFonts w:ascii="仿宋_GB2312" w:hAnsi="Arial" w:eastAsia="仿宋_GB2312"/>
      <w:sz w:val="32"/>
      <w:szCs w:val="32"/>
    </w:rPr>
  </w:style>
  <w:style w:type="paragraph" w:styleId="765">
    <w:name w:val="Body Text"/>
    <w:basedOn w:val="725"/>
    <w:link w:val="846"/>
    <w:qFormat/>
    <w:rPr>
      <w:rFonts w:ascii="楷体_GB2312" w:hAnsi="Arial" w:eastAsia="楷体_GB2312"/>
      <w:sz w:val="28"/>
      <w:szCs w:val="28"/>
    </w:rPr>
  </w:style>
  <w:style w:type="paragraph" w:styleId="766">
    <w:name w:val="Body Text Indent"/>
    <w:basedOn w:val="725"/>
    <w:link w:val="847"/>
    <w:unhideWhenUsed/>
    <w:qFormat/>
    <w:pPr>
      <w:ind w:left="420"/>
      <w:spacing w:after="120"/>
    </w:pPr>
  </w:style>
  <w:style w:type="paragraph" w:styleId="767">
    <w:name w:val="List 2"/>
    <w:basedOn w:val="725"/>
    <w:qFormat/>
    <w:pPr>
      <w:ind w:left="100" w:hanging="200"/>
    </w:pPr>
    <w:rPr>
      <w:rFonts w:ascii="Times New Roman" w:hAnsi="Times New Roman"/>
      <w:szCs w:val="21"/>
    </w:rPr>
  </w:style>
  <w:style w:type="paragraph" w:styleId="768">
    <w:name w:val="toc 5"/>
    <w:basedOn w:val="725"/>
    <w:next w:val="725"/>
    <w:uiPriority w:val="39"/>
    <w:unhideWhenUsed/>
    <w:qFormat/>
    <w:pPr>
      <w:ind w:left="1134"/>
      <w:spacing w:after="57"/>
    </w:pPr>
  </w:style>
  <w:style w:type="paragraph" w:styleId="769">
    <w:name w:val="toc 3"/>
    <w:basedOn w:val="725"/>
    <w:next w:val="725"/>
    <w:uiPriority w:val="39"/>
    <w:unhideWhenUsed/>
    <w:qFormat/>
    <w:pPr>
      <w:ind w:left="567"/>
      <w:spacing w:after="57"/>
    </w:pPr>
  </w:style>
  <w:style w:type="paragraph" w:styleId="770">
    <w:name w:val="Plain Text"/>
    <w:basedOn w:val="725"/>
    <w:link w:val="850"/>
    <w:qFormat/>
    <w:rPr>
      <w:rFonts w:ascii="宋体" w:hAnsi="Courier New" w:cs="Courier New"/>
      <w:szCs w:val="21"/>
    </w:rPr>
  </w:style>
  <w:style w:type="paragraph" w:styleId="771">
    <w:name w:val="toc 8"/>
    <w:basedOn w:val="725"/>
    <w:next w:val="725"/>
    <w:uiPriority w:val="39"/>
    <w:unhideWhenUsed/>
    <w:qFormat/>
    <w:pPr>
      <w:ind w:left="1984"/>
      <w:spacing w:after="57"/>
    </w:pPr>
  </w:style>
  <w:style w:type="paragraph" w:styleId="772">
    <w:name w:val="Date"/>
    <w:basedOn w:val="725"/>
    <w:next w:val="725"/>
    <w:link w:val="852"/>
    <w:qFormat/>
    <w:rPr>
      <w:rFonts w:ascii="Times New Roman" w:hAnsi="Times New Roman"/>
      <w:sz w:val="24"/>
      <w:szCs w:val="24"/>
    </w:rPr>
  </w:style>
  <w:style w:type="paragraph" w:styleId="773">
    <w:name w:val="Body Text Indent 2"/>
    <w:basedOn w:val="725"/>
    <w:link w:val="853"/>
    <w:qFormat/>
    <w:pPr>
      <w:ind w:left="630" w:firstLine="645"/>
    </w:pPr>
    <w:rPr>
      <w:rFonts w:ascii="Arial" w:hAnsi="Arial" w:eastAsia="仿宋_GB2312" w:cs="Arial"/>
      <w:sz w:val="32"/>
      <w:szCs w:val="32"/>
    </w:rPr>
  </w:style>
  <w:style w:type="paragraph" w:styleId="774">
    <w:name w:val="endnote text"/>
    <w:basedOn w:val="725"/>
    <w:link w:val="854"/>
    <w:uiPriority w:val="99"/>
    <w:unhideWhenUsed/>
    <w:qFormat/>
    <w:rPr>
      <w:sz w:val="20"/>
    </w:rPr>
  </w:style>
  <w:style w:type="paragraph" w:styleId="775">
    <w:name w:val="Balloon Text"/>
    <w:basedOn w:val="725"/>
    <w:link w:val="855"/>
    <w:semiHidden/>
    <w:qFormat/>
    <w:rPr>
      <w:rFonts w:ascii="Times New Roman" w:hAnsi="Times New Roman"/>
      <w:sz w:val="18"/>
      <w:szCs w:val="18"/>
    </w:rPr>
  </w:style>
  <w:style w:type="paragraph" w:styleId="776">
    <w:name w:val="Footer"/>
    <w:basedOn w:val="725"/>
    <w:link w:val="856"/>
    <w:uiPriority w:val="99"/>
    <w:qFormat/>
    <w:pPr>
      <w:jc w:val="left"/>
      <w:tabs>
        <w:tab w:val="center" w:pos="4153" w:leader="none"/>
        <w:tab w:val="right" w:pos="8306" w:leader="none"/>
      </w:tabs>
    </w:pPr>
    <w:rPr>
      <w:rFonts w:ascii="Times New Roman" w:hAnsi="Times New Roman"/>
      <w:sz w:val="18"/>
      <w:szCs w:val="18"/>
    </w:rPr>
  </w:style>
  <w:style w:type="paragraph" w:styleId="777">
    <w:name w:val="Header"/>
    <w:basedOn w:val="725"/>
    <w:link w:val="857"/>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78">
    <w:name w:val="toc 1"/>
    <w:basedOn w:val="725"/>
    <w:next w:val="725"/>
    <w:uiPriority w:val="39"/>
    <w:unhideWhenUsed/>
    <w:qFormat/>
    <w:pPr>
      <w:spacing w:after="57"/>
    </w:pPr>
  </w:style>
  <w:style w:type="paragraph" w:styleId="779">
    <w:name w:val="toc 4"/>
    <w:basedOn w:val="725"/>
    <w:next w:val="725"/>
    <w:uiPriority w:val="39"/>
    <w:unhideWhenUsed/>
    <w:qFormat/>
    <w:pPr>
      <w:ind w:left="850"/>
      <w:spacing w:after="57"/>
    </w:pPr>
  </w:style>
  <w:style w:type="paragraph" w:styleId="780">
    <w:name w:val="Subtitle"/>
    <w:basedOn w:val="725"/>
    <w:next w:val="725"/>
    <w:link w:val="860"/>
    <w:uiPriority w:val="11"/>
    <w:qFormat/>
    <w:pPr>
      <w:spacing w:before="200" w:after="200"/>
    </w:pPr>
    <w:rPr>
      <w:sz w:val="24"/>
      <w:szCs w:val="24"/>
    </w:rPr>
  </w:style>
  <w:style w:type="paragraph" w:styleId="781">
    <w:name w:val="List"/>
    <w:basedOn w:val="725"/>
    <w:qFormat/>
    <w:pPr>
      <w:ind w:left="200" w:hanging="200"/>
    </w:pPr>
    <w:rPr>
      <w:rFonts w:ascii="Times New Roman" w:hAnsi="Times New Roman"/>
      <w:szCs w:val="21"/>
    </w:rPr>
  </w:style>
  <w:style w:type="paragraph" w:styleId="782">
    <w:name w:val="footnote text"/>
    <w:basedOn w:val="725"/>
    <w:link w:val="861"/>
    <w:uiPriority w:val="99"/>
    <w:unhideWhenUsed/>
    <w:qFormat/>
    <w:pPr>
      <w:spacing w:after="40"/>
    </w:pPr>
    <w:rPr>
      <w:sz w:val="18"/>
    </w:rPr>
  </w:style>
  <w:style w:type="paragraph" w:styleId="783">
    <w:name w:val="toc 6"/>
    <w:basedOn w:val="725"/>
    <w:next w:val="725"/>
    <w:uiPriority w:val="39"/>
    <w:unhideWhenUsed/>
    <w:qFormat/>
    <w:pPr>
      <w:ind w:left="1417"/>
      <w:spacing w:after="57"/>
    </w:pPr>
  </w:style>
  <w:style w:type="paragraph" w:styleId="784">
    <w:name w:val="Body Text Indent 3"/>
    <w:basedOn w:val="725"/>
    <w:link w:val="863"/>
    <w:qFormat/>
    <w:pPr>
      <w:ind w:left="645" w:firstLine="645"/>
    </w:pPr>
    <w:rPr>
      <w:rFonts w:ascii="Arial" w:hAnsi="Arial" w:eastAsia="仿宋_GB2312" w:cs="Arial"/>
      <w:color w:val="ffff00"/>
      <w:sz w:val="32"/>
      <w:szCs w:val="32"/>
    </w:rPr>
  </w:style>
  <w:style w:type="paragraph" w:styleId="785">
    <w:name w:val="table of figures"/>
    <w:basedOn w:val="725"/>
    <w:next w:val="725"/>
    <w:semiHidden/>
    <w:qFormat/>
    <w:pPr>
      <w:ind w:left="840" w:hanging="420"/>
    </w:pPr>
    <w:rPr>
      <w:rFonts w:ascii="Times New Roman" w:hAnsi="Times New Roman"/>
      <w:szCs w:val="21"/>
    </w:rPr>
  </w:style>
  <w:style w:type="paragraph" w:styleId="786">
    <w:name w:val="toc 2"/>
    <w:basedOn w:val="725"/>
    <w:next w:val="725"/>
    <w:uiPriority w:val="39"/>
    <w:unhideWhenUsed/>
    <w:qFormat/>
    <w:pPr>
      <w:ind w:left="283"/>
      <w:spacing w:after="57"/>
    </w:pPr>
  </w:style>
  <w:style w:type="paragraph" w:styleId="787">
    <w:name w:val="toc 9"/>
    <w:basedOn w:val="725"/>
    <w:next w:val="725"/>
    <w:uiPriority w:val="39"/>
    <w:unhideWhenUsed/>
    <w:qFormat/>
    <w:pPr>
      <w:ind w:left="2268"/>
      <w:spacing w:after="57"/>
    </w:pPr>
  </w:style>
  <w:style w:type="paragraph" w:styleId="788">
    <w:name w:val="Body Text 2"/>
    <w:basedOn w:val="725"/>
    <w:link w:val="866"/>
    <w:qFormat/>
    <w:pPr>
      <w:jc w:val="center"/>
      <w:widowControl/>
    </w:pPr>
    <w:rPr>
      <w:rFonts w:ascii="楷体_GB2312" w:hAnsi="Times New Roman" w:eastAsia="楷体_GB2312"/>
      <w:sz w:val="28"/>
      <w:szCs w:val="28"/>
    </w:rPr>
  </w:style>
  <w:style w:type="paragraph" w:styleId="789">
    <w:name w:val="Normal (Web)"/>
    <w:basedOn w:val="725"/>
    <w:uiPriority w:val="99"/>
    <w:qFormat/>
    <w:pPr>
      <w:jc w:val="left"/>
      <w:spacing w:before="100" w:beforeAutospacing="1" w:after="100" w:afterAutospacing="1"/>
      <w:widowControl/>
    </w:pPr>
    <w:rPr>
      <w:rFonts w:ascii="宋体" w:hAnsi="宋体" w:cs="宋体"/>
      <w:sz w:val="24"/>
      <w:szCs w:val="24"/>
    </w:rPr>
  </w:style>
  <w:style w:type="paragraph" w:styleId="790">
    <w:name w:val="index 1"/>
    <w:basedOn w:val="725"/>
    <w:next w:val="725"/>
    <w:semiHidden/>
    <w:qFormat/>
    <w:pPr>
      <w:spacing w:line="240" w:lineRule="atLeast"/>
    </w:pPr>
    <w:rPr>
      <w:rFonts w:ascii="Times New Roman" w:hAnsi="Times New Roman"/>
      <w:b/>
      <w:bCs/>
      <w:szCs w:val="21"/>
    </w:rPr>
  </w:style>
  <w:style w:type="paragraph" w:styleId="791">
    <w:name w:val="Title"/>
    <w:basedOn w:val="725"/>
    <w:next w:val="725"/>
    <w:link w:val="867"/>
    <w:uiPriority w:val="10"/>
    <w:qFormat/>
    <w:pPr>
      <w:contextualSpacing/>
      <w:spacing w:before="300" w:after="200"/>
    </w:pPr>
    <w:rPr>
      <w:sz w:val="48"/>
      <w:szCs w:val="48"/>
    </w:rPr>
  </w:style>
  <w:style w:type="paragraph" w:styleId="792">
    <w:name w:val="annotation subject"/>
    <w:basedOn w:val="763"/>
    <w:next w:val="763"/>
    <w:link w:val="868"/>
    <w:semiHidden/>
    <w:qFormat/>
    <w:rPr>
      <w:rFonts w:ascii="Times New Roman" w:hAnsi="Times New Roman"/>
      <w:b/>
      <w:bCs/>
      <w:szCs w:val="21"/>
    </w:rPr>
  </w:style>
  <w:style w:type="table" w:styleId="793">
    <w:name w:val="Table Grid"/>
    <w:basedOn w:val="736"/>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22"/>
    <w:qFormat/>
    <w:rPr>
      <w:b/>
      <w:bCs/>
    </w:rPr>
  </w:style>
  <w:style w:type="character" w:styleId="795">
    <w:name w:val="endnote reference"/>
    <w:uiPriority w:val="99"/>
    <w:unhideWhenUsed/>
    <w:qFormat/>
    <w:rPr>
      <w:vertAlign w:val="superscript"/>
    </w:rPr>
  </w:style>
  <w:style w:type="character" w:styleId="796">
    <w:name w:val="page number"/>
    <w:qFormat/>
  </w:style>
  <w:style w:type="character" w:styleId="797">
    <w:name w:val="Emphasis"/>
    <w:qFormat/>
    <w:rPr>
      <w:i/>
    </w:rPr>
  </w:style>
  <w:style w:type="character" w:styleId="798">
    <w:name w:val="Hyperlink"/>
    <w:uiPriority w:val="99"/>
    <w:qFormat/>
    <w:rPr>
      <w:color w:val="0000ff"/>
      <w:u w:val="single"/>
    </w:rPr>
  </w:style>
  <w:style w:type="character" w:styleId="799">
    <w:name w:val="annotation reference"/>
    <w:semiHidden/>
    <w:qFormat/>
    <w:rPr>
      <w:sz w:val="21"/>
      <w:szCs w:val="21"/>
    </w:rPr>
  </w:style>
  <w:style w:type="character" w:styleId="800">
    <w:name w:val="footnote reference"/>
    <w:uiPriority w:val="99"/>
    <w:unhideWhenUsed/>
    <w:qFormat/>
    <w:rPr>
      <w:vertAlign w:val="superscript"/>
    </w:rPr>
  </w:style>
  <w:style w:type="table" w:styleId="801" w:customStyle="1">
    <w:name w:val="无格式表格 11"/>
    <w:basedOn w:val="736"/>
    <w:uiPriority w:val="59"/>
    <w:qFormat/>
    <w:tblPr>
      <w:tblCellMar>
        <w:left w:w="0" w:type="dxa"/>
        <w:right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36"/>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3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3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36"/>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36"/>
    <w:uiPriority w:val="99"/>
    <w:qFormat/>
    <w:tblPr>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3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736"/>
    <w:uiPriority w:val="9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36"/>
    <w:uiPriority w:val="59"/>
    <w:qFormat/>
    <w:tblPr>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736"/>
    <w:uiPriority w:val="99"/>
    <w:qFormat/>
    <w:tblPr>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736"/>
    <w:uiPriority w:val="99"/>
    <w:qFormat/>
    <w:tblPr>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2" w:customStyle="1">
    <w:name w:val="网格表 7 彩色1"/>
    <w:basedOn w:val="736"/>
    <w:uiPriority w:val="99"/>
    <w:qFormat/>
    <w:tblPr>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736"/>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73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5" w:customStyle="1">
    <w:name w:val="清单表 31"/>
    <w:basedOn w:val="736"/>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736"/>
    <w:uiPriority w:val="99"/>
    <w:qFormat/>
    <w:tblPr>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736"/>
    <w:uiPriority w:val="99"/>
    <w:qFormat/>
    <w:tblPr>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8" w:customStyle="1">
    <w:name w:val="清单表 6 彩色1"/>
    <w:basedOn w:val="736"/>
    <w:uiPriority w:val="99"/>
    <w:qFormat/>
    <w:tblPr>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9" w:customStyle="1">
    <w:name w:val="清单表 7 彩色1"/>
    <w:basedOn w:val="736"/>
    <w:uiPriority w:val="99"/>
    <w:qFormat/>
    <w:tblPr>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0" w:customStyle="1">
    <w:name w:val="TOC 标题1"/>
    <w:uiPriority w:val="39"/>
    <w:unhideWhenUsed/>
    <w:qFormat/>
  </w:style>
  <w:style w:type="paragraph" w:styleId="821">
    <w:name w:val="List Paragraph"/>
    <w:basedOn w:val="725"/>
    <w:uiPriority w:val="34"/>
    <w:qFormat/>
    <w:pPr>
      <w:contextualSpacing/>
      <w:ind w:left="720"/>
    </w:pPr>
  </w:style>
  <w:style w:type="paragraph" w:styleId="822">
    <w:name w:val="No Spacing"/>
    <w:uiPriority w:val="99"/>
    <w:qFormat/>
    <w:pPr>
      <w:jc w:val="both"/>
      <w:widowControl w:val="off"/>
    </w:pPr>
    <w:rPr>
      <w:rFonts w:ascii="Times New Roman" w:hAnsi="Times New Roman"/>
      <w:sz w:val="21"/>
      <w:szCs w:val="21"/>
    </w:rPr>
  </w:style>
  <w:style w:type="character" w:styleId="823" w:customStyle="1">
    <w:name w:val="Title Char"/>
    <w:uiPriority w:val="10"/>
    <w:qFormat/>
    <w:rPr>
      <w:sz w:val="48"/>
      <w:szCs w:val="48"/>
    </w:rPr>
  </w:style>
  <w:style w:type="character" w:styleId="824" w:customStyle="1">
    <w:name w:val="Subtitle Char"/>
    <w:uiPriority w:val="11"/>
    <w:qFormat/>
    <w:rPr>
      <w:sz w:val="24"/>
      <w:szCs w:val="24"/>
    </w:rPr>
  </w:style>
  <w:style w:type="paragraph" w:styleId="825">
    <w:name w:val="Quote"/>
    <w:basedOn w:val="725"/>
    <w:next w:val="725"/>
    <w:link w:val="883"/>
    <w:uiPriority w:val="29"/>
    <w:qFormat/>
    <w:pPr>
      <w:ind w:left="720" w:right="720"/>
    </w:pPr>
    <w:rPr>
      <w:i/>
    </w:rPr>
  </w:style>
  <w:style w:type="character" w:styleId="826" w:customStyle="1">
    <w:name w:val="Quote Char"/>
    <w:uiPriority w:val="29"/>
    <w:qFormat/>
    <w:rPr>
      <w:i/>
    </w:rPr>
  </w:style>
  <w:style w:type="paragraph" w:styleId="827">
    <w:name w:val="Intense Quote"/>
    <w:basedOn w:val="725"/>
    <w:next w:val="725"/>
    <w:link w:val="8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Intense Quote Char"/>
    <w:uiPriority w:val="30"/>
    <w:qFormat/>
    <w:rPr>
      <w:i/>
    </w:rPr>
  </w:style>
  <w:style w:type="character" w:styleId="829" w:customStyle="1">
    <w:name w:val="Footnote Text Char"/>
    <w:uiPriority w:val="99"/>
    <w:qFormat/>
    <w:rPr>
      <w:sz w:val="18"/>
    </w:rPr>
  </w:style>
  <w:style w:type="character" w:styleId="830" w:customStyle="1">
    <w:name w:val="Endnote Text Char"/>
    <w:uiPriority w:val="99"/>
    <w:qFormat/>
    <w:rPr>
      <w:sz w:val="20"/>
    </w:rPr>
  </w:style>
  <w:style w:type="paragraph" w:styleId="831" w:customStyle="1">
    <w:name w:val="TOC 标题111"/>
    <w:uiPriority w:val="39"/>
    <w:unhideWhenUsed/>
    <w:qFormat/>
  </w:style>
  <w:style w:type="character" w:styleId="832" w:customStyle="1">
    <w:name w:val="标题 1 字符"/>
    <w:link w:val="726"/>
    <w:qFormat/>
    <w:rPr>
      <w:rFonts w:ascii="楷体_GB2312" w:hAnsi="Times New Roman" w:eastAsia="楷体_GB2312" w:cs="Times New Roman"/>
      <w:sz w:val="28"/>
      <w:szCs w:val="28"/>
    </w:rPr>
  </w:style>
  <w:style w:type="character" w:styleId="833" w:customStyle="1">
    <w:name w:val="标题 2 字符"/>
    <w:link w:val="727"/>
    <w:qFormat/>
    <w:rPr>
      <w:rFonts w:ascii="Arial" w:hAnsi="Arial" w:eastAsia="幼圆" w:cs="Arial"/>
      <w:b/>
      <w:bCs/>
      <w:sz w:val="44"/>
      <w:szCs w:val="44"/>
    </w:rPr>
  </w:style>
  <w:style w:type="character" w:styleId="834" w:customStyle="1">
    <w:name w:val="正文缩进 字符"/>
    <w:link w:val="758"/>
    <w:qFormat/>
    <w:rPr>
      <w:szCs w:val="21"/>
    </w:rPr>
  </w:style>
  <w:style w:type="character" w:styleId="835" w:customStyle="1">
    <w:name w:val="标题 3 字符"/>
    <w:link w:val="728"/>
    <w:qFormat/>
    <w:rPr>
      <w:rFonts w:ascii="Times New Roman" w:hAnsi="Times New Roman" w:eastAsia="宋体" w:cs="Times New Roman"/>
      <w:b/>
      <w:bCs/>
      <w:sz w:val="32"/>
      <w:szCs w:val="32"/>
    </w:rPr>
  </w:style>
  <w:style w:type="character" w:styleId="836" w:customStyle="1">
    <w:name w:val="标题 4 字符"/>
    <w:link w:val="729"/>
    <w:qFormat/>
    <w:rPr>
      <w:rFonts w:ascii="Arial" w:hAnsi="Arial" w:eastAsia="黑体" w:cs="Arial"/>
      <w:b/>
      <w:bCs/>
      <w:sz w:val="28"/>
      <w:szCs w:val="28"/>
    </w:rPr>
  </w:style>
  <w:style w:type="character" w:styleId="837" w:customStyle="1">
    <w:name w:val="标题 5 字符"/>
    <w:link w:val="730"/>
    <w:qFormat/>
    <w:rPr>
      <w:rFonts w:ascii="宋体" w:hAnsi="Times New Roman" w:eastAsia="宋体" w:cs="Times New Roman"/>
      <w:color w:val="000000"/>
      <w:sz w:val="28"/>
      <w:szCs w:val="28"/>
    </w:rPr>
  </w:style>
  <w:style w:type="character" w:styleId="838" w:customStyle="1">
    <w:name w:val="标题 6 字符"/>
    <w:link w:val="731"/>
    <w:qFormat/>
    <w:rPr>
      <w:rFonts w:ascii="Arial" w:hAnsi="Arial" w:eastAsia="黑体" w:cs="Times New Roman"/>
      <w:b/>
      <w:bCs/>
      <w:sz w:val="24"/>
      <w:szCs w:val="24"/>
    </w:rPr>
  </w:style>
  <w:style w:type="character" w:styleId="839" w:customStyle="1">
    <w:name w:val="标题 7 字符"/>
    <w:link w:val="732"/>
    <w:qFormat/>
    <w:rPr>
      <w:rFonts w:ascii="Times New Roman" w:hAnsi="Times New Roman" w:eastAsia="宋体" w:cs="Times New Roman"/>
      <w:b/>
      <w:bCs/>
      <w:sz w:val="24"/>
      <w:szCs w:val="24"/>
    </w:rPr>
  </w:style>
  <w:style w:type="character" w:styleId="840" w:customStyle="1">
    <w:name w:val="标题 8 字符"/>
    <w:link w:val="733"/>
    <w:qFormat/>
    <w:rPr>
      <w:rFonts w:ascii="Arial" w:hAnsi="Arial" w:eastAsia="黑体" w:cs="Times New Roman"/>
      <w:sz w:val="24"/>
      <w:szCs w:val="24"/>
    </w:rPr>
  </w:style>
  <w:style w:type="character" w:styleId="841" w:customStyle="1">
    <w:name w:val="标题 9 字符"/>
    <w:link w:val="734"/>
    <w:qFormat/>
    <w:rPr>
      <w:rFonts w:ascii="Arial" w:hAnsi="Arial" w:eastAsia="黑体" w:cs="Times New Roman"/>
      <w:szCs w:val="21"/>
    </w:rPr>
  </w:style>
  <w:style w:type="paragraph" w:styleId="842" w:customStyle="1">
    <w:name w:val="目录 71"/>
    <w:basedOn w:val="725"/>
    <w:next w:val="725"/>
    <w:semiHidden/>
    <w:qFormat/>
    <w:pPr>
      <w:ind w:left="1260"/>
      <w:jc w:val="left"/>
    </w:pPr>
    <w:rPr>
      <w:rFonts w:ascii="Times New Roman" w:hAnsi="Times New Roman"/>
      <w:szCs w:val="21"/>
    </w:rPr>
  </w:style>
  <w:style w:type="character" w:styleId="843" w:customStyle="1">
    <w:name w:val="文档结构图 字符"/>
    <w:link w:val="762"/>
    <w:semiHidden/>
    <w:qFormat/>
    <w:rPr>
      <w:rFonts w:ascii="Times New Roman" w:hAnsi="Times New Roman" w:eastAsia="宋体" w:cs="Times New Roman"/>
      <w:szCs w:val="21"/>
      <w:shd w:val="clear" w:color="auto" w:fill="000080"/>
    </w:rPr>
  </w:style>
  <w:style w:type="character" w:styleId="844" w:customStyle="1">
    <w:name w:val="批注文字 字符"/>
    <w:link w:val="763"/>
    <w:uiPriority w:val="99"/>
    <w:semiHidden/>
    <w:qFormat/>
  </w:style>
  <w:style w:type="character" w:styleId="845" w:customStyle="1">
    <w:name w:val="正文文本 3 字符"/>
    <w:link w:val="764"/>
    <w:qFormat/>
    <w:rPr>
      <w:rFonts w:ascii="仿宋_GB2312" w:hAnsi="Arial" w:eastAsia="仿宋_GB2312" w:cs="Times New Roman"/>
      <w:sz w:val="32"/>
      <w:szCs w:val="32"/>
    </w:rPr>
  </w:style>
  <w:style w:type="character" w:styleId="846" w:customStyle="1">
    <w:name w:val="正文文本 字符"/>
    <w:link w:val="765"/>
    <w:qFormat/>
    <w:rPr>
      <w:rFonts w:ascii="楷体_GB2312" w:hAnsi="Arial" w:eastAsia="楷体_GB2312" w:cs="Times New Roman"/>
      <w:sz w:val="28"/>
      <w:szCs w:val="28"/>
    </w:rPr>
  </w:style>
  <w:style w:type="character" w:styleId="847" w:customStyle="1">
    <w:name w:val="正文文本缩进 字符"/>
    <w:link w:val="766"/>
    <w:uiPriority w:val="99"/>
    <w:semiHidden/>
    <w:qFormat/>
  </w:style>
  <w:style w:type="paragraph" w:styleId="848" w:customStyle="1">
    <w:name w:val="目录 51"/>
    <w:basedOn w:val="725"/>
    <w:next w:val="725"/>
    <w:semiHidden/>
    <w:qFormat/>
    <w:pPr>
      <w:ind w:left="840"/>
      <w:jc w:val="left"/>
    </w:pPr>
    <w:rPr>
      <w:rFonts w:ascii="Times New Roman" w:hAnsi="Times New Roman"/>
      <w:szCs w:val="21"/>
    </w:rPr>
  </w:style>
  <w:style w:type="paragraph" w:styleId="849" w:customStyle="1">
    <w:name w:val="目录 31"/>
    <w:basedOn w:val="725"/>
    <w:next w:val="725"/>
    <w:semiHidden/>
    <w:qFormat/>
    <w:pPr>
      <w:ind w:left="420"/>
      <w:jc w:val="left"/>
    </w:pPr>
    <w:rPr>
      <w:rFonts w:ascii="Times New Roman" w:hAnsi="Times New Roman"/>
      <w:i/>
      <w:iCs/>
      <w:szCs w:val="24"/>
    </w:rPr>
  </w:style>
  <w:style w:type="character" w:styleId="850" w:customStyle="1">
    <w:name w:val="纯文本 字符"/>
    <w:link w:val="770"/>
    <w:qFormat/>
    <w:rPr>
      <w:rFonts w:ascii="宋体" w:hAnsi="Courier New" w:eastAsia="宋体" w:cs="Courier New"/>
      <w:szCs w:val="21"/>
    </w:rPr>
  </w:style>
  <w:style w:type="paragraph" w:styleId="851" w:customStyle="1">
    <w:name w:val="目录 81"/>
    <w:basedOn w:val="725"/>
    <w:next w:val="725"/>
    <w:semiHidden/>
    <w:qFormat/>
    <w:pPr>
      <w:ind w:left="1470"/>
      <w:jc w:val="left"/>
    </w:pPr>
    <w:rPr>
      <w:rFonts w:ascii="Times New Roman" w:hAnsi="Times New Roman"/>
      <w:szCs w:val="21"/>
    </w:rPr>
  </w:style>
  <w:style w:type="character" w:styleId="852" w:customStyle="1">
    <w:name w:val="日期 字符"/>
    <w:link w:val="772"/>
    <w:qFormat/>
    <w:rPr>
      <w:rFonts w:ascii="Times New Roman" w:hAnsi="Times New Roman" w:eastAsia="宋体" w:cs="Times New Roman"/>
      <w:sz w:val="24"/>
      <w:szCs w:val="24"/>
    </w:rPr>
  </w:style>
  <w:style w:type="character" w:styleId="853" w:customStyle="1">
    <w:name w:val="正文文本缩进 2 字符"/>
    <w:link w:val="773"/>
    <w:qFormat/>
    <w:rPr>
      <w:rFonts w:ascii="Arial" w:hAnsi="Arial" w:eastAsia="仿宋_GB2312" w:cs="Arial"/>
      <w:sz w:val="32"/>
      <w:szCs w:val="32"/>
    </w:rPr>
  </w:style>
  <w:style w:type="character" w:styleId="854" w:customStyle="1">
    <w:name w:val="尾注文本 字符"/>
    <w:link w:val="774"/>
    <w:uiPriority w:val="99"/>
    <w:qFormat/>
    <w:rPr>
      <w:sz w:val="20"/>
    </w:rPr>
  </w:style>
  <w:style w:type="character" w:styleId="855" w:customStyle="1">
    <w:name w:val="批注框文本 字符"/>
    <w:link w:val="775"/>
    <w:semiHidden/>
    <w:qFormat/>
    <w:rPr>
      <w:rFonts w:ascii="Times New Roman" w:hAnsi="Times New Roman" w:eastAsia="宋体" w:cs="Times New Roman"/>
      <w:sz w:val="18"/>
      <w:szCs w:val="18"/>
    </w:rPr>
  </w:style>
  <w:style w:type="character" w:styleId="856" w:customStyle="1">
    <w:name w:val="页脚 字符"/>
    <w:link w:val="776"/>
    <w:uiPriority w:val="99"/>
    <w:qFormat/>
    <w:rPr>
      <w:rFonts w:ascii="Times New Roman" w:hAnsi="Times New Roman" w:eastAsia="宋体" w:cs="Times New Roman"/>
      <w:sz w:val="18"/>
      <w:szCs w:val="18"/>
    </w:rPr>
  </w:style>
  <w:style w:type="character" w:styleId="857" w:customStyle="1">
    <w:name w:val="页眉 字符"/>
    <w:link w:val="777"/>
    <w:qFormat/>
    <w:rPr>
      <w:rFonts w:ascii="Times New Roman" w:hAnsi="Times New Roman" w:eastAsia="宋体" w:cs="Times New Roman"/>
      <w:sz w:val="18"/>
      <w:szCs w:val="18"/>
    </w:rPr>
  </w:style>
  <w:style w:type="paragraph" w:styleId="858" w:customStyle="1">
    <w:name w:val="目录 11"/>
    <w:basedOn w:val="725"/>
    <w:next w:val="725"/>
    <w:semiHidden/>
    <w:qFormat/>
    <w:pPr>
      <w:jc w:val="left"/>
      <w:spacing w:before="120" w:after="120" w:line="400" w:lineRule="exact"/>
      <w:tabs>
        <w:tab w:val="right" w:pos="8720" w:leader="dot"/>
      </w:tabs>
    </w:pPr>
    <w:rPr>
      <w:rFonts w:ascii="宋体" w:hAnsi="宋体"/>
      <w:caps/>
      <w:sz w:val="24"/>
      <w:szCs w:val="24"/>
    </w:rPr>
  </w:style>
  <w:style w:type="paragraph" w:styleId="859" w:customStyle="1">
    <w:name w:val="目录 41"/>
    <w:basedOn w:val="725"/>
    <w:next w:val="725"/>
    <w:semiHidden/>
    <w:qFormat/>
    <w:pPr>
      <w:ind w:left="630"/>
      <w:jc w:val="left"/>
    </w:pPr>
    <w:rPr>
      <w:rFonts w:ascii="Times New Roman" w:hAnsi="Times New Roman"/>
      <w:szCs w:val="21"/>
    </w:rPr>
  </w:style>
  <w:style w:type="character" w:styleId="860" w:customStyle="1">
    <w:name w:val="副标题 字符"/>
    <w:link w:val="780"/>
    <w:uiPriority w:val="11"/>
    <w:qFormat/>
    <w:rPr>
      <w:sz w:val="24"/>
      <w:szCs w:val="24"/>
    </w:rPr>
  </w:style>
  <w:style w:type="character" w:styleId="861" w:customStyle="1">
    <w:name w:val="脚注文本 字符"/>
    <w:link w:val="782"/>
    <w:uiPriority w:val="99"/>
    <w:qFormat/>
    <w:rPr>
      <w:sz w:val="18"/>
    </w:rPr>
  </w:style>
  <w:style w:type="paragraph" w:styleId="862" w:customStyle="1">
    <w:name w:val="目录 61"/>
    <w:basedOn w:val="725"/>
    <w:next w:val="725"/>
    <w:semiHidden/>
    <w:qFormat/>
    <w:pPr>
      <w:ind w:left="1050"/>
      <w:jc w:val="left"/>
    </w:pPr>
    <w:rPr>
      <w:rFonts w:ascii="Times New Roman" w:hAnsi="Times New Roman"/>
      <w:szCs w:val="21"/>
    </w:rPr>
  </w:style>
  <w:style w:type="character" w:styleId="863" w:customStyle="1">
    <w:name w:val="正文文本缩进 3 字符"/>
    <w:link w:val="784"/>
    <w:qFormat/>
    <w:rPr>
      <w:rFonts w:ascii="Arial" w:hAnsi="Arial" w:eastAsia="仿宋_GB2312" w:cs="Arial"/>
      <w:color w:val="ffff00"/>
      <w:sz w:val="32"/>
      <w:szCs w:val="32"/>
    </w:rPr>
  </w:style>
  <w:style w:type="paragraph" w:styleId="864" w:customStyle="1">
    <w:name w:val="目录 21"/>
    <w:basedOn w:val="725"/>
    <w:next w:val="725"/>
    <w:semiHidden/>
    <w:qFormat/>
    <w:pPr>
      <w:ind w:left="210"/>
      <w:jc w:val="left"/>
    </w:pPr>
    <w:rPr>
      <w:rFonts w:ascii="Times New Roman" w:hAnsi="Times New Roman"/>
      <w:smallCaps/>
      <w:szCs w:val="24"/>
    </w:rPr>
  </w:style>
  <w:style w:type="paragraph" w:styleId="865" w:customStyle="1">
    <w:name w:val="目录 91"/>
    <w:basedOn w:val="725"/>
    <w:next w:val="725"/>
    <w:semiHidden/>
    <w:qFormat/>
    <w:pPr>
      <w:ind w:left="1680"/>
      <w:jc w:val="left"/>
    </w:pPr>
    <w:rPr>
      <w:rFonts w:ascii="Times New Roman" w:hAnsi="Times New Roman"/>
      <w:szCs w:val="21"/>
    </w:rPr>
  </w:style>
  <w:style w:type="character" w:styleId="866" w:customStyle="1">
    <w:name w:val="正文文本 2 字符"/>
    <w:link w:val="788"/>
    <w:qFormat/>
    <w:rPr>
      <w:rFonts w:ascii="楷体_GB2312" w:hAnsi="Times New Roman" w:eastAsia="楷体_GB2312" w:cs="Times New Roman"/>
      <w:sz w:val="28"/>
      <w:szCs w:val="28"/>
    </w:rPr>
  </w:style>
  <w:style w:type="character" w:styleId="867" w:customStyle="1">
    <w:name w:val="标题 字符"/>
    <w:link w:val="791"/>
    <w:uiPriority w:val="10"/>
    <w:qFormat/>
    <w:rPr>
      <w:sz w:val="48"/>
      <w:szCs w:val="48"/>
    </w:rPr>
  </w:style>
  <w:style w:type="character" w:styleId="868" w:customStyle="1">
    <w:name w:val="批注主题 字符"/>
    <w:link w:val="792"/>
    <w:semiHidden/>
    <w:qFormat/>
    <w:rPr>
      <w:rFonts w:ascii="Times New Roman" w:hAnsi="Times New Roman" w:eastAsia="宋体" w:cs="Times New Roman"/>
      <w:b/>
      <w:bCs/>
      <w:szCs w:val="21"/>
    </w:rPr>
  </w:style>
  <w:style w:type="paragraph" w:styleId="869" w:customStyle="1">
    <w:name w:val="正文首行缩进1"/>
    <w:basedOn w:val="725"/>
    <w:link w:val="870"/>
    <w:qFormat/>
    <w:pPr>
      <w:ind w:firstLine="200"/>
      <w:spacing w:line="360" w:lineRule="auto"/>
    </w:pPr>
    <w:rPr>
      <w:rFonts w:ascii="仿宋_GB2312" w:hAnsi="Times New Roman" w:eastAsia="仿宋_GB2312"/>
      <w:sz w:val="30"/>
      <w:szCs w:val="30"/>
    </w:rPr>
  </w:style>
  <w:style w:type="character" w:styleId="870" w:customStyle="1">
    <w:name w:val="正文首行缩进 Char"/>
    <w:link w:val="869"/>
    <w:qFormat/>
    <w:rPr>
      <w:rFonts w:ascii="仿宋_GB2312" w:hAnsi="Times New Roman" w:eastAsia="仿宋_GB2312" w:cs="Times New Roman"/>
      <w:sz w:val="30"/>
      <w:szCs w:val="30"/>
    </w:rPr>
  </w:style>
  <w:style w:type="paragraph" w:styleId="871" w:customStyle="1">
    <w:name w:val="正文首行缩进 21"/>
    <w:basedOn w:val="766"/>
    <w:link w:val="872"/>
    <w:qFormat/>
    <w:pPr>
      <w:ind w:left="0" w:firstLine="420"/>
      <w:spacing w:after="0" w:line="360" w:lineRule="auto"/>
    </w:pPr>
    <w:rPr>
      <w:rFonts w:ascii="宋体" w:hAnsi="宋体"/>
      <w:szCs w:val="20"/>
    </w:rPr>
  </w:style>
  <w:style w:type="character" w:styleId="872" w:customStyle="1">
    <w:name w:val="正文首行缩进 2 Char"/>
    <w:link w:val="871"/>
    <w:qFormat/>
    <w:rPr>
      <w:rFonts w:ascii="宋体" w:hAnsi="宋体" w:eastAsia="宋体" w:cs="Times New Roman"/>
      <w:szCs w:val="20"/>
    </w:rPr>
  </w:style>
  <w:style w:type="character" w:styleId="873" w:customStyle="1">
    <w:name w:val="Heading 1 Char"/>
    <w:uiPriority w:val="9"/>
    <w:qFormat/>
    <w:rPr>
      <w:rFonts w:ascii="Arial" w:hAnsi="Arial" w:eastAsia="Arial" w:cs="Arial"/>
      <w:sz w:val="40"/>
      <w:szCs w:val="40"/>
    </w:rPr>
  </w:style>
  <w:style w:type="character" w:styleId="874" w:customStyle="1">
    <w:name w:val="Heading 2 Char"/>
    <w:uiPriority w:val="9"/>
    <w:qFormat/>
    <w:rPr>
      <w:rFonts w:ascii="Arial" w:hAnsi="Arial" w:eastAsia="Arial" w:cs="Arial"/>
      <w:sz w:val="34"/>
    </w:rPr>
  </w:style>
  <w:style w:type="character" w:styleId="875" w:customStyle="1">
    <w:name w:val="Heading 3 Char"/>
    <w:uiPriority w:val="9"/>
    <w:qFormat/>
    <w:rPr>
      <w:rFonts w:ascii="Arial" w:hAnsi="Arial" w:eastAsia="Arial" w:cs="Arial"/>
      <w:sz w:val="30"/>
      <w:szCs w:val="30"/>
    </w:rPr>
  </w:style>
  <w:style w:type="character" w:styleId="876" w:customStyle="1">
    <w:name w:val="Heading 4 Char"/>
    <w:uiPriority w:val="9"/>
    <w:qFormat/>
    <w:rPr>
      <w:rFonts w:ascii="Arial" w:hAnsi="Arial" w:eastAsia="Arial" w:cs="Arial"/>
      <w:b/>
      <w:bCs/>
      <w:sz w:val="26"/>
      <w:szCs w:val="26"/>
    </w:rPr>
  </w:style>
  <w:style w:type="character" w:styleId="877" w:customStyle="1">
    <w:name w:val="Heading 5 Char"/>
    <w:uiPriority w:val="9"/>
    <w:qFormat/>
    <w:rPr>
      <w:rFonts w:ascii="Arial" w:hAnsi="Arial" w:eastAsia="Arial" w:cs="Arial"/>
      <w:b/>
      <w:bCs/>
      <w:sz w:val="24"/>
      <w:szCs w:val="24"/>
    </w:rPr>
  </w:style>
  <w:style w:type="character" w:styleId="878" w:customStyle="1">
    <w:name w:val="Heading 6 Char"/>
    <w:uiPriority w:val="9"/>
    <w:qFormat/>
    <w:rPr>
      <w:rFonts w:ascii="Arial" w:hAnsi="Arial" w:eastAsia="Arial" w:cs="Arial"/>
      <w:b/>
      <w:bCs/>
      <w:sz w:val="22"/>
      <w:szCs w:val="22"/>
    </w:rPr>
  </w:style>
  <w:style w:type="character" w:styleId="879" w:customStyle="1">
    <w:name w:val="Heading 7 Char"/>
    <w:uiPriority w:val="9"/>
    <w:qFormat/>
    <w:rPr>
      <w:rFonts w:ascii="Arial" w:hAnsi="Arial" w:eastAsia="Arial" w:cs="Arial"/>
      <w:b/>
      <w:bCs/>
      <w:i/>
      <w:iCs/>
      <w:sz w:val="22"/>
      <w:szCs w:val="22"/>
    </w:rPr>
  </w:style>
  <w:style w:type="character" w:styleId="880" w:customStyle="1">
    <w:name w:val="Heading 8 Char"/>
    <w:uiPriority w:val="9"/>
    <w:qFormat/>
    <w:rPr>
      <w:rFonts w:ascii="Arial" w:hAnsi="Arial" w:eastAsia="Arial" w:cs="Arial"/>
      <w:i/>
      <w:iCs/>
      <w:sz w:val="22"/>
      <w:szCs w:val="22"/>
    </w:rPr>
  </w:style>
  <w:style w:type="character" w:styleId="881" w:customStyle="1">
    <w:name w:val="Heading 9 Char"/>
    <w:uiPriority w:val="9"/>
    <w:qFormat/>
    <w:rPr>
      <w:rFonts w:ascii="Arial" w:hAnsi="Arial" w:eastAsia="Arial" w:cs="Arial"/>
      <w:i/>
      <w:iCs/>
      <w:sz w:val="21"/>
      <w:szCs w:val="21"/>
    </w:rPr>
  </w:style>
  <w:style w:type="paragraph" w:styleId="882" w:customStyle="1">
    <w:name w:val="列出段落"/>
    <w:basedOn w:val="725"/>
    <w:qFormat/>
    <w:pPr>
      <w:contextualSpacing/>
      <w:ind w:left="720"/>
      <w:jc w:val="left"/>
      <w:widowControl/>
    </w:pPr>
    <w:rPr>
      <w:sz w:val="24"/>
      <w:szCs w:val="24"/>
      <w:lang w:eastAsia="en-US" w:bidi="en-US"/>
    </w:rPr>
  </w:style>
  <w:style w:type="character" w:styleId="883" w:customStyle="1">
    <w:name w:val="引用 字符"/>
    <w:link w:val="825"/>
    <w:uiPriority w:val="29"/>
    <w:qFormat/>
    <w:rPr>
      <w:i/>
    </w:rPr>
  </w:style>
  <w:style w:type="character" w:styleId="884" w:customStyle="1">
    <w:name w:val="明显引用 字符"/>
    <w:link w:val="827"/>
    <w:uiPriority w:val="30"/>
    <w:qFormat/>
    <w:rPr>
      <w:i/>
    </w:rPr>
  </w:style>
  <w:style w:type="character" w:styleId="885" w:customStyle="1">
    <w:name w:val="Header Char"/>
    <w:uiPriority w:val="99"/>
    <w:qFormat/>
  </w:style>
  <w:style w:type="character" w:styleId="886" w:customStyle="1">
    <w:name w:val="Footer Char"/>
    <w:uiPriority w:val="99"/>
    <w:qFormat/>
  </w:style>
  <w:style w:type="character" w:styleId="887" w:customStyle="1">
    <w:name w:val="Caption Char"/>
    <w:uiPriority w:val="99"/>
    <w:qFormat/>
  </w:style>
  <w:style w:type="table" w:styleId="888" w:customStyle="1">
    <w:name w:val="Table Grid Light"/>
    <w:uiPriority w:val="59"/>
    <w:qFormat/>
    <w:tblPr>
      <w:tblCellMar>
        <w:left w:w="0" w:type="dxa"/>
        <w:top w:w="0" w:type="dxa"/>
        <w:right w:w="0" w:type="dxa"/>
        <w:bottom w:w="0" w:type="dxa"/>
      </w:tblCellMar>
    </w:tblPr>
  </w:style>
  <w:style w:type="table" w:styleId="889" w:customStyle="1">
    <w:name w:val="Grid Table 1 Light - Accent 1"/>
    <w:uiPriority w:val="99"/>
    <w:qFormat/>
    <w:tblPr>
      <w:tblCellMar>
        <w:left w:w="0" w:type="dxa"/>
        <w:top w:w="0" w:type="dxa"/>
        <w:right w:w="0" w:type="dxa"/>
        <w:bottom w:w="0" w:type="dxa"/>
      </w:tblCellMar>
    </w:tblPr>
  </w:style>
  <w:style w:type="table" w:styleId="890" w:customStyle="1">
    <w:name w:val="Grid Table 1 Light - Accent 2"/>
    <w:uiPriority w:val="99"/>
    <w:qFormat/>
    <w:tblPr>
      <w:tblCellMar>
        <w:left w:w="0" w:type="dxa"/>
        <w:top w:w="0" w:type="dxa"/>
        <w:right w:w="0" w:type="dxa"/>
        <w:bottom w:w="0" w:type="dxa"/>
      </w:tblCellMar>
    </w:tblPr>
  </w:style>
  <w:style w:type="table" w:styleId="891" w:customStyle="1">
    <w:name w:val="Grid Table 1 Light - Accent 3"/>
    <w:uiPriority w:val="99"/>
    <w:qFormat/>
    <w:tblPr>
      <w:tblCellMar>
        <w:left w:w="0" w:type="dxa"/>
        <w:top w:w="0" w:type="dxa"/>
        <w:right w:w="0" w:type="dxa"/>
        <w:bottom w:w="0" w:type="dxa"/>
      </w:tblCellMar>
    </w:tblPr>
  </w:style>
  <w:style w:type="table" w:styleId="892" w:customStyle="1">
    <w:name w:val="Grid Table 1 Light - Accent 4"/>
    <w:uiPriority w:val="99"/>
    <w:qFormat/>
    <w:tblPr>
      <w:tblCellMar>
        <w:left w:w="0" w:type="dxa"/>
        <w:top w:w="0" w:type="dxa"/>
        <w:right w:w="0" w:type="dxa"/>
        <w:bottom w:w="0" w:type="dxa"/>
      </w:tblCellMar>
    </w:tblPr>
  </w:style>
  <w:style w:type="table" w:styleId="893" w:customStyle="1">
    <w:name w:val="Grid Table 1 Light - Accent 5"/>
    <w:uiPriority w:val="99"/>
    <w:qFormat/>
    <w:tblPr>
      <w:tblCellMar>
        <w:left w:w="0" w:type="dxa"/>
        <w:top w:w="0" w:type="dxa"/>
        <w:right w:w="0" w:type="dxa"/>
        <w:bottom w:w="0" w:type="dxa"/>
      </w:tblCellMar>
    </w:tblPr>
  </w:style>
  <w:style w:type="table" w:styleId="894" w:customStyle="1">
    <w:name w:val="Grid Table 1 Light - Accent 6"/>
    <w:uiPriority w:val="99"/>
    <w:qFormat/>
    <w:tblPr>
      <w:tblCellMar>
        <w:left w:w="0" w:type="dxa"/>
        <w:top w:w="0" w:type="dxa"/>
        <w:right w:w="0" w:type="dxa"/>
        <w:bottom w:w="0" w:type="dxa"/>
      </w:tblCellMar>
    </w:tblPr>
  </w:style>
  <w:style w:type="table" w:styleId="895" w:customStyle="1">
    <w:name w:val="Grid Table 2 - Accent 1"/>
    <w:uiPriority w:val="99"/>
    <w:qFormat/>
    <w:tblPr>
      <w:tblCellMar>
        <w:left w:w="0" w:type="dxa"/>
        <w:top w:w="0" w:type="dxa"/>
        <w:right w:w="0" w:type="dxa"/>
        <w:bottom w:w="0" w:type="dxa"/>
      </w:tblCellMar>
    </w:tblPr>
  </w:style>
  <w:style w:type="table" w:styleId="896" w:customStyle="1">
    <w:name w:val="Grid Table 2 - Accent 2"/>
    <w:uiPriority w:val="99"/>
    <w:qFormat/>
    <w:tblPr>
      <w:tblCellMar>
        <w:left w:w="0" w:type="dxa"/>
        <w:top w:w="0" w:type="dxa"/>
        <w:right w:w="0" w:type="dxa"/>
        <w:bottom w:w="0" w:type="dxa"/>
      </w:tblCellMar>
    </w:tblPr>
  </w:style>
  <w:style w:type="table" w:styleId="897" w:customStyle="1">
    <w:name w:val="Grid Table 2 - Accent 3"/>
    <w:uiPriority w:val="99"/>
    <w:qFormat/>
    <w:tblPr>
      <w:tblCellMar>
        <w:left w:w="0" w:type="dxa"/>
        <w:top w:w="0" w:type="dxa"/>
        <w:right w:w="0" w:type="dxa"/>
        <w:bottom w:w="0" w:type="dxa"/>
      </w:tblCellMar>
    </w:tblPr>
  </w:style>
  <w:style w:type="table" w:styleId="898" w:customStyle="1">
    <w:name w:val="Grid Table 2 - Accent 4"/>
    <w:uiPriority w:val="99"/>
    <w:qFormat/>
    <w:tblPr>
      <w:tblCellMar>
        <w:left w:w="0" w:type="dxa"/>
        <w:top w:w="0" w:type="dxa"/>
        <w:right w:w="0" w:type="dxa"/>
        <w:bottom w:w="0" w:type="dxa"/>
      </w:tblCellMar>
    </w:tblPr>
  </w:style>
  <w:style w:type="table" w:styleId="899" w:customStyle="1">
    <w:name w:val="Grid Table 2 - Accent 5"/>
    <w:uiPriority w:val="99"/>
    <w:qFormat/>
    <w:tblPr>
      <w:tblCellMar>
        <w:left w:w="0" w:type="dxa"/>
        <w:top w:w="0" w:type="dxa"/>
        <w:right w:w="0" w:type="dxa"/>
        <w:bottom w:w="0" w:type="dxa"/>
      </w:tblCellMar>
    </w:tblPr>
  </w:style>
  <w:style w:type="table" w:styleId="900" w:customStyle="1">
    <w:name w:val="Grid Table 2 - Accent 6"/>
    <w:uiPriority w:val="99"/>
    <w:qFormat/>
    <w:tblPr>
      <w:tblCellMar>
        <w:left w:w="0" w:type="dxa"/>
        <w:top w:w="0" w:type="dxa"/>
        <w:right w:w="0" w:type="dxa"/>
        <w:bottom w:w="0" w:type="dxa"/>
      </w:tblCellMar>
    </w:tblPr>
  </w:style>
  <w:style w:type="table" w:styleId="901" w:customStyle="1">
    <w:name w:val="Grid Table 3 - Accent 1"/>
    <w:uiPriority w:val="99"/>
    <w:qFormat/>
    <w:tblPr>
      <w:tblCellMar>
        <w:left w:w="0" w:type="dxa"/>
        <w:top w:w="0" w:type="dxa"/>
        <w:right w:w="0" w:type="dxa"/>
        <w:bottom w:w="0" w:type="dxa"/>
      </w:tblCellMar>
    </w:tblPr>
  </w:style>
  <w:style w:type="table" w:styleId="902" w:customStyle="1">
    <w:name w:val="Grid Table 3 - Accent 2"/>
    <w:uiPriority w:val="99"/>
    <w:qFormat/>
    <w:tblPr>
      <w:tblCellMar>
        <w:left w:w="0" w:type="dxa"/>
        <w:top w:w="0" w:type="dxa"/>
        <w:right w:w="0" w:type="dxa"/>
        <w:bottom w:w="0" w:type="dxa"/>
      </w:tblCellMar>
    </w:tblPr>
  </w:style>
  <w:style w:type="table" w:styleId="903" w:customStyle="1">
    <w:name w:val="Grid Table 3 - Accent 3"/>
    <w:uiPriority w:val="99"/>
    <w:qFormat/>
    <w:tblPr>
      <w:tblCellMar>
        <w:left w:w="0" w:type="dxa"/>
        <w:top w:w="0" w:type="dxa"/>
        <w:right w:w="0" w:type="dxa"/>
        <w:bottom w:w="0" w:type="dxa"/>
      </w:tblCellMar>
    </w:tblPr>
  </w:style>
  <w:style w:type="table" w:styleId="904" w:customStyle="1">
    <w:name w:val="Grid Table 3 - Accent 4"/>
    <w:uiPriority w:val="99"/>
    <w:qFormat/>
    <w:tblPr>
      <w:tblCellMar>
        <w:left w:w="0" w:type="dxa"/>
        <w:top w:w="0" w:type="dxa"/>
        <w:right w:w="0" w:type="dxa"/>
        <w:bottom w:w="0" w:type="dxa"/>
      </w:tblCellMar>
    </w:tblPr>
  </w:style>
  <w:style w:type="table" w:styleId="905" w:customStyle="1">
    <w:name w:val="Grid Table 3 - Accent 5"/>
    <w:uiPriority w:val="99"/>
    <w:qFormat/>
    <w:tblPr>
      <w:tblCellMar>
        <w:left w:w="0" w:type="dxa"/>
        <w:top w:w="0" w:type="dxa"/>
        <w:right w:w="0" w:type="dxa"/>
        <w:bottom w:w="0" w:type="dxa"/>
      </w:tblCellMar>
    </w:tblPr>
  </w:style>
  <w:style w:type="table" w:styleId="906" w:customStyle="1">
    <w:name w:val="Grid Table 3 - Accent 6"/>
    <w:uiPriority w:val="99"/>
    <w:qFormat/>
    <w:tblPr>
      <w:tblCellMar>
        <w:left w:w="0" w:type="dxa"/>
        <w:top w:w="0" w:type="dxa"/>
        <w:right w:w="0" w:type="dxa"/>
        <w:bottom w:w="0" w:type="dxa"/>
      </w:tblCellMar>
    </w:tblPr>
  </w:style>
  <w:style w:type="table" w:styleId="907" w:customStyle="1">
    <w:name w:val="Grid Table 4 - Accent 1"/>
    <w:uiPriority w:val="59"/>
    <w:qFormat/>
    <w:tblPr>
      <w:tblCellMar>
        <w:left w:w="0" w:type="dxa"/>
        <w:top w:w="0" w:type="dxa"/>
        <w:right w:w="0" w:type="dxa"/>
        <w:bottom w:w="0" w:type="dxa"/>
      </w:tblCellMar>
    </w:tblPr>
  </w:style>
  <w:style w:type="table" w:styleId="908" w:customStyle="1">
    <w:name w:val="Grid Table 4 - Accent 2"/>
    <w:uiPriority w:val="59"/>
    <w:qFormat/>
    <w:tblPr>
      <w:tblCellMar>
        <w:left w:w="0" w:type="dxa"/>
        <w:top w:w="0" w:type="dxa"/>
        <w:right w:w="0" w:type="dxa"/>
        <w:bottom w:w="0" w:type="dxa"/>
      </w:tblCellMar>
    </w:tblPr>
  </w:style>
  <w:style w:type="table" w:styleId="909" w:customStyle="1">
    <w:name w:val="Grid Table 4 - Accent 3"/>
    <w:uiPriority w:val="59"/>
    <w:qFormat/>
    <w:tblPr>
      <w:tblCellMar>
        <w:left w:w="0" w:type="dxa"/>
        <w:top w:w="0" w:type="dxa"/>
        <w:right w:w="0" w:type="dxa"/>
        <w:bottom w:w="0" w:type="dxa"/>
      </w:tblCellMar>
    </w:tblPr>
  </w:style>
  <w:style w:type="table" w:styleId="910" w:customStyle="1">
    <w:name w:val="Grid Table 4 - Accent 4"/>
    <w:uiPriority w:val="59"/>
    <w:qFormat/>
    <w:tblPr>
      <w:tblCellMar>
        <w:left w:w="0" w:type="dxa"/>
        <w:top w:w="0" w:type="dxa"/>
        <w:right w:w="0" w:type="dxa"/>
        <w:bottom w:w="0" w:type="dxa"/>
      </w:tblCellMar>
    </w:tblPr>
  </w:style>
  <w:style w:type="table" w:styleId="911" w:customStyle="1">
    <w:name w:val="Grid Table 4 - Accent 5"/>
    <w:uiPriority w:val="59"/>
    <w:qFormat/>
    <w:tblPr>
      <w:tblCellMar>
        <w:left w:w="0" w:type="dxa"/>
        <w:top w:w="0" w:type="dxa"/>
        <w:right w:w="0" w:type="dxa"/>
        <w:bottom w:w="0" w:type="dxa"/>
      </w:tblCellMar>
    </w:tblPr>
  </w:style>
  <w:style w:type="table" w:styleId="912" w:customStyle="1">
    <w:name w:val="Grid Table 4 - Accent 6"/>
    <w:uiPriority w:val="59"/>
    <w:qFormat/>
    <w:tblPr>
      <w:tblCellMar>
        <w:left w:w="0" w:type="dxa"/>
        <w:top w:w="0" w:type="dxa"/>
        <w:right w:w="0" w:type="dxa"/>
        <w:bottom w:w="0" w:type="dxa"/>
      </w:tblCellMar>
    </w:tblPr>
  </w:style>
  <w:style w:type="table" w:styleId="913" w:customStyle="1">
    <w:name w:val="Grid Table 5 Dark- Accent 1"/>
    <w:uiPriority w:val="99"/>
    <w:qFormat/>
    <w:tblPr>
      <w:tblCellMar>
        <w:left w:w="0" w:type="dxa"/>
        <w:top w:w="0" w:type="dxa"/>
        <w:right w:w="0" w:type="dxa"/>
        <w:bottom w:w="0" w:type="dxa"/>
      </w:tblCellMar>
    </w:tblPr>
  </w:style>
  <w:style w:type="table" w:styleId="914" w:customStyle="1">
    <w:name w:val="Grid Table 5 Dark - Accent 2"/>
    <w:uiPriority w:val="99"/>
    <w:qFormat/>
    <w:tblPr>
      <w:tblCellMar>
        <w:left w:w="0" w:type="dxa"/>
        <w:top w:w="0" w:type="dxa"/>
        <w:right w:w="0" w:type="dxa"/>
        <w:bottom w:w="0" w:type="dxa"/>
      </w:tblCellMar>
    </w:tblPr>
  </w:style>
  <w:style w:type="table" w:styleId="915" w:customStyle="1">
    <w:name w:val="Grid Table 5 Dark - Accent 3"/>
    <w:uiPriority w:val="99"/>
    <w:qFormat/>
    <w:tblPr>
      <w:tblCellMar>
        <w:left w:w="0" w:type="dxa"/>
        <w:top w:w="0" w:type="dxa"/>
        <w:right w:w="0" w:type="dxa"/>
        <w:bottom w:w="0" w:type="dxa"/>
      </w:tblCellMar>
    </w:tblPr>
  </w:style>
  <w:style w:type="table" w:styleId="916" w:customStyle="1">
    <w:name w:val="Grid Table 5 Dark- Accent 4"/>
    <w:uiPriority w:val="99"/>
    <w:qFormat/>
    <w:tblPr>
      <w:tblCellMar>
        <w:left w:w="0" w:type="dxa"/>
        <w:top w:w="0" w:type="dxa"/>
        <w:right w:w="0" w:type="dxa"/>
        <w:bottom w:w="0" w:type="dxa"/>
      </w:tblCellMar>
    </w:tblPr>
  </w:style>
  <w:style w:type="table" w:styleId="917" w:customStyle="1">
    <w:name w:val="Grid Table 5 Dark - Accent 5"/>
    <w:uiPriority w:val="99"/>
    <w:qFormat/>
    <w:tblPr>
      <w:tblCellMar>
        <w:left w:w="0" w:type="dxa"/>
        <w:top w:w="0" w:type="dxa"/>
        <w:right w:w="0" w:type="dxa"/>
        <w:bottom w:w="0" w:type="dxa"/>
      </w:tblCellMar>
    </w:tblPr>
  </w:style>
  <w:style w:type="table" w:styleId="918" w:customStyle="1">
    <w:name w:val="Grid Table 5 Dark - Accent 6"/>
    <w:uiPriority w:val="99"/>
    <w:qFormat/>
    <w:tblPr>
      <w:tblCellMar>
        <w:left w:w="0" w:type="dxa"/>
        <w:top w:w="0" w:type="dxa"/>
        <w:right w:w="0" w:type="dxa"/>
        <w:bottom w:w="0" w:type="dxa"/>
      </w:tblCellMar>
    </w:tblPr>
  </w:style>
  <w:style w:type="table" w:styleId="919" w:customStyle="1">
    <w:name w:val="Grid Table 6 Colorful - Accent 1"/>
    <w:uiPriority w:val="99"/>
    <w:qFormat/>
    <w:tblPr>
      <w:tblCellMar>
        <w:left w:w="0" w:type="dxa"/>
        <w:top w:w="0" w:type="dxa"/>
        <w:right w:w="0" w:type="dxa"/>
        <w:bottom w:w="0" w:type="dxa"/>
      </w:tblCellMar>
    </w:tblPr>
  </w:style>
  <w:style w:type="table" w:styleId="920" w:customStyle="1">
    <w:name w:val="Grid Table 6 Colorful - Accent 2"/>
    <w:uiPriority w:val="99"/>
    <w:qFormat/>
    <w:tblPr>
      <w:tblCellMar>
        <w:left w:w="0" w:type="dxa"/>
        <w:top w:w="0" w:type="dxa"/>
        <w:right w:w="0" w:type="dxa"/>
        <w:bottom w:w="0" w:type="dxa"/>
      </w:tblCellMar>
    </w:tblPr>
  </w:style>
  <w:style w:type="table" w:styleId="921" w:customStyle="1">
    <w:name w:val="Grid Table 6 Colorful - Accent 3"/>
    <w:uiPriority w:val="99"/>
    <w:qFormat/>
    <w:tblPr>
      <w:tblCellMar>
        <w:left w:w="0" w:type="dxa"/>
        <w:top w:w="0" w:type="dxa"/>
        <w:right w:w="0" w:type="dxa"/>
        <w:bottom w:w="0" w:type="dxa"/>
      </w:tblCellMar>
    </w:tblPr>
  </w:style>
  <w:style w:type="table" w:styleId="922" w:customStyle="1">
    <w:name w:val="Grid Table 6 Colorful - Accent 4"/>
    <w:uiPriority w:val="99"/>
    <w:qFormat/>
    <w:tblPr>
      <w:tblCellMar>
        <w:left w:w="0" w:type="dxa"/>
        <w:top w:w="0" w:type="dxa"/>
        <w:right w:w="0" w:type="dxa"/>
        <w:bottom w:w="0" w:type="dxa"/>
      </w:tblCellMar>
    </w:tblPr>
  </w:style>
  <w:style w:type="table" w:styleId="923" w:customStyle="1">
    <w:name w:val="Grid Table 6 Colorful - Accent 5"/>
    <w:uiPriority w:val="99"/>
    <w:qFormat/>
    <w:tblPr>
      <w:tblCellMar>
        <w:left w:w="0" w:type="dxa"/>
        <w:top w:w="0" w:type="dxa"/>
        <w:right w:w="0" w:type="dxa"/>
        <w:bottom w:w="0" w:type="dxa"/>
      </w:tblCellMar>
    </w:tblPr>
  </w:style>
  <w:style w:type="table" w:styleId="924" w:customStyle="1">
    <w:name w:val="Grid Table 6 Colorful - Accent 6"/>
    <w:uiPriority w:val="99"/>
    <w:qFormat/>
    <w:tblPr>
      <w:tblCellMar>
        <w:left w:w="0" w:type="dxa"/>
        <w:top w:w="0" w:type="dxa"/>
        <w:right w:w="0" w:type="dxa"/>
        <w:bottom w:w="0" w:type="dxa"/>
      </w:tblCellMar>
    </w:tblPr>
  </w:style>
  <w:style w:type="table" w:styleId="925" w:customStyle="1">
    <w:name w:val="Grid Table 7 Colorful - Accent 1"/>
    <w:uiPriority w:val="99"/>
    <w:qFormat/>
    <w:tblPr>
      <w:tblCellMar>
        <w:left w:w="0" w:type="dxa"/>
        <w:top w:w="0" w:type="dxa"/>
        <w:right w:w="0" w:type="dxa"/>
        <w:bottom w:w="0" w:type="dxa"/>
      </w:tblCellMar>
    </w:tblPr>
  </w:style>
  <w:style w:type="table" w:styleId="926" w:customStyle="1">
    <w:name w:val="Grid Table 7 Colorful - Accent 2"/>
    <w:uiPriority w:val="99"/>
    <w:qFormat/>
    <w:tblPr>
      <w:tblCellMar>
        <w:left w:w="0" w:type="dxa"/>
        <w:top w:w="0" w:type="dxa"/>
        <w:right w:w="0" w:type="dxa"/>
        <w:bottom w:w="0" w:type="dxa"/>
      </w:tblCellMar>
    </w:tblPr>
  </w:style>
  <w:style w:type="table" w:styleId="927" w:customStyle="1">
    <w:name w:val="Grid Table 7 Colorful - Accent 3"/>
    <w:uiPriority w:val="99"/>
    <w:qFormat/>
    <w:tblPr>
      <w:tblCellMar>
        <w:left w:w="0" w:type="dxa"/>
        <w:top w:w="0" w:type="dxa"/>
        <w:right w:w="0" w:type="dxa"/>
        <w:bottom w:w="0" w:type="dxa"/>
      </w:tblCellMar>
    </w:tblPr>
  </w:style>
  <w:style w:type="table" w:styleId="928" w:customStyle="1">
    <w:name w:val="Grid Table 7 Colorful - Accent 4"/>
    <w:uiPriority w:val="99"/>
    <w:qFormat/>
    <w:tblPr>
      <w:tblCellMar>
        <w:left w:w="0" w:type="dxa"/>
        <w:top w:w="0" w:type="dxa"/>
        <w:right w:w="0" w:type="dxa"/>
        <w:bottom w:w="0" w:type="dxa"/>
      </w:tblCellMar>
    </w:tblPr>
  </w:style>
  <w:style w:type="table" w:styleId="929" w:customStyle="1">
    <w:name w:val="Grid Table 7 Colorful - Accent 5"/>
    <w:uiPriority w:val="99"/>
    <w:qFormat/>
    <w:tblPr>
      <w:tblCellMar>
        <w:left w:w="0" w:type="dxa"/>
        <w:top w:w="0" w:type="dxa"/>
        <w:right w:w="0" w:type="dxa"/>
        <w:bottom w:w="0" w:type="dxa"/>
      </w:tblCellMar>
    </w:tblPr>
  </w:style>
  <w:style w:type="table" w:styleId="930" w:customStyle="1">
    <w:name w:val="Grid Table 7 Colorful - Accent 6"/>
    <w:uiPriority w:val="99"/>
    <w:qFormat/>
    <w:tblPr>
      <w:tblCellMar>
        <w:left w:w="0" w:type="dxa"/>
        <w:top w:w="0" w:type="dxa"/>
        <w:right w:w="0" w:type="dxa"/>
        <w:bottom w:w="0" w:type="dxa"/>
      </w:tblCellMar>
    </w:tblPr>
  </w:style>
  <w:style w:type="table" w:styleId="931" w:customStyle="1">
    <w:name w:val="List Table 1 Light - Accent 1"/>
    <w:uiPriority w:val="99"/>
    <w:qFormat/>
    <w:tblPr>
      <w:tblCellMar>
        <w:left w:w="0" w:type="dxa"/>
        <w:top w:w="0" w:type="dxa"/>
        <w:right w:w="0" w:type="dxa"/>
        <w:bottom w:w="0" w:type="dxa"/>
      </w:tblCellMar>
    </w:tblPr>
  </w:style>
  <w:style w:type="table" w:styleId="932" w:customStyle="1">
    <w:name w:val="List Table 1 Light - Accent 2"/>
    <w:uiPriority w:val="99"/>
    <w:qFormat/>
    <w:tblPr>
      <w:tblCellMar>
        <w:left w:w="0" w:type="dxa"/>
        <w:top w:w="0" w:type="dxa"/>
        <w:right w:w="0" w:type="dxa"/>
        <w:bottom w:w="0" w:type="dxa"/>
      </w:tblCellMar>
    </w:tblPr>
  </w:style>
  <w:style w:type="table" w:styleId="933" w:customStyle="1">
    <w:name w:val="List Table 1 Light - Accent 3"/>
    <w:uiPriority w:val="99"/>
    <w:qFormat/>
    <w:tblPr>
      <w:tblCellMar>
        <w:left w:w="0" w:type="dxa"/>
        <w:top w:w="0" w:type="dxa"/>
        <w:right w:w="0" w:type="dxa"/>
        <w:bottom w:w="0" w:type="dxa"/>
      </w:tblCellMar>
    </w:tblPr>
  </w:style>
  <w:style w:type="table" w:styleId="934" w:customStyle="1">
    <w:name w:val="List Table 1 Light - Accent 4"/>
    <w:uiPriority w:val="99"/>
    <w:qFormat/>
    <w:tblPr>
      <w:tblCellMar>
        <w:left w:w="0" w:type="dxa"/>
        <w:top w:w="0" w:type="dxa"/>
        <w:right w:w="0" w:type="dxa"/>
        <w:bottom w:w="0" w:type="dxa"/>
      </w:tblCellMar>
    </w:tblPr>
  </w:style>
  <w:style w:type="table" w:styleId="935" w:customStyle="1">
    <w:name w:val="List Table 1 Light - Accent 5"/>
    <w:uiPriority w:val="99"/>
    <w:qFormat/>
    <w:tblPr>
      <w:tblCellMar>
        <w:left w:w="0" w:type="dxa"/>
        <w:top w:w="0" w:type="dxa"/>
        <w:right w:w="0" w:type="dxa"/>
        <w:bottom w:w="0" w:type="dxa"/>
      </w:tblCellMar>
    </w:tblPr>
  </w:style>
  <w:style w:type="table" w:styleId="936" w:customStyle="1">
    <w:name w:val="List Table 1 Light - Accent 6"/>
    <w:uiPriority w:val="99"/>
    <w:qFormat/>
    <w:tblPr>
      <w:tblCellMar>
        <w:left w:w="0" w:type="dxa"/>
        <w:top w:w="0" w:type="dxa"/>
        <w:right w:w="0" w:type="dxa"/>
        <w:bottom w:w="0" w:type="dxa"/>
      </w:tblCellMar>
    </w:tblPr>
  </w:style>
  <w:style w:type="table" w:styleId="937" w:customStyle="1">
    <w:name w:val="List Table 2 - Accent 1"/>
    <w:uiPriority w:val="99"/>
    <w:qFormat/>
    <w:tblPr>
      <w:tblCellMar>
        <w:left w:w="0" w:type="dxa"/>
        <w:top w:w="0" w:type="dxa"/>
        <w:right w:w="0" w:type="dxa"/>
        <w:bottom w:w="0" w:type="dxa"/>
      </w:tblCellMar>
    </w:tblPr>
  </w:style>
  <w:style w:type="table" w:styleId="938" w:customStyle="1">
    <w:name w:val="List Table 2 - Accent 2"/>
    <w:uiPriority w:val="99"/>
    <w:qFormat/>
    <w:tblPr>
      <w:tblCellMar>
        <w:left w:w="0" w:type="dxa"/>
        <w:top w:w="0" w:type="dxa"/>
        <w:right w:w="0" w:type="dxa"/>
        <w:bottom w:w="0" w:type="dxa"/>
      </w:tblCellMar>
    </w:tblPr>
  </w:style>
  <w:style w:type="table" w:styleId="939" w:customStyle="1">
    <w:name w:val="List Table 2 - Accent 3"/>
    <w:uiPriority w:val="99"/>
    <w:qFormat/>
    <w:tblPr>
      <w:tblCellMar>
        <w:left w:w="0" w:type="dxa"/>
        <w:top w:w="0" w:type="dxa"/>
        <w:right w:w="0" w:type="dxa"/>
        <w:bottom w:w="0" w:type="dxa"/>
      </w:tblCellMar>
    </w:tblPr>
  </w:style>
  <w:style w:type="table" w:styleId="940" w:customStyle="1">
    <w:name w:val="List Table 2 - Accent 4"/>
    <w:uiPriority w:val="99"/>
    <w:qFormat/>
    <w:tblPr>
      <w:tblCellMar>
        <w:left w:w="0" w:type="dxa"/>
        <w:top w:w="0" w:type="dxa"/>
        <w:right w:w="0" w:type="dxa"/>
        <w:bottom w:w="0" w:type="dxa"/>
      </w:tblCellMar>
    </w:tblPr>
  </w:style>
  <w:style w:type="table" w:styleId="941" w:customStyle="1">
    <w:name w:val="List Table 2 - Accent 5"/>
    <w:uiPriority w:val="99"/>
    <w:qFormat/>
    <w:tblPr>
      <w:tblCellMar>
        <w:left w:w="0" w:type="dxa"/>
        <w:top w:w="0" w:type="dxa"/>
        <w:right w:w="0" w:type="dxa"/>
        <w:bottom w:w="0" w:type="dxa"/>
      </w:tblCellMar>
    </w:tblPr>
  </w:style>
  <w:style w:type="table" w:styleId="942" w:customStyle="1">
    <w:name w:val="List Table 2 - Accent 6"/>
    <w:uiPriority w:val="99"/>
    <w:qFormat/>
    <w:tblPr>
      <w:tblCellMar>
        <w:left w:w="0" w:type="dxa"/>
        <w:top w:w="0" w:type="dxa"/>
        <w:right w:w="0" w:type="dxa"/>
        <w:bottom w:w="0" w:type="dxa"/>
      </w:tblCellMar>
    </w:tblPr>
  </w:style>
  <w:style w:type="table" w:styleId="943" w:customStyle="1">
    <w:name w:val="List Table 3 - Accent 1"/>
    <w:uiPriority w:val="99"/>
    <w:qFormat/>
    <w:tblPr>
      <w:tblCellMar>
        <w:left w:w="0" w:type="dxa"/>
        <w:top w:w="0" w:type="dxa"/>
        <w:right w:w="0" w:type="dxa"/>
        <w:bottom w:w="0" w:type="dxa"/>
      </w:tblCellMar>
    </w:tblPr>
  </w:style>
  <w:style w:type="table" w:styleId="944" w:customStyle="1">
    <w:name w:val="List Table 3 - Accent 2"/>
    <w:uiPriority w:val="99"/>
    <w:qFormat/>
    <w:tblPr>
      <w:tblCellMar>
        <w:left w:w="0" w:type="dxa"/>
        <w:top w:w="0" w:type="dxa"/>
        <w:right w:w="0" w:type="dxa"/>
        <w:bottom w:w="0" w:type="dxa"/>
      </w:tblCellMar>
    </w:tblPr>
  </w:style>
  <w:style w:type="table" w:styleId="945" w:customStyle="1">
    <w:name w:val="List Table 3 - Accent 3"/>
    <w:uiPriority w:val="99"/>
    <w:qFormat/>
    <w:tblPr>
      <w:tblCellMar>
        <w:left w:w="0" w:type="dxa"/>
        <w:top w:w="0" w:type="dxa"/>
        <w:right w:w="0" w:type="dxa"/>
        <w:bottom w:w="0" w:type="dxa"/>
      </w:tblCellMar>
    </w:tblPr>
  </w:style>
  <w:style w:type="table" w:styleId="946" w:customStyle="1">
    <w:name w:val="List Table 3 - Accent 4"/>
    <w:uiPriority w:val="99"/>
    <w:qFormat/>
    <w:tblPr>
      <w:tblCellMar>
        <w:left w:w="0" w:type="dxa"/>
        <w:top w:w="0" w:type="dxa"/>
        <w:right w:w="0" w:type="dxa"/>
        <w:bottom w:w="0" w:type="dxa"/>
      </w:tblCellMar>
    </w:tblPr>
  </w:style>
  <w:style w:type="table" w:styleId="947" w:customStyle="1">
    <w:name w:val="List Table 3 - Accent 5"/>
    <w:uiPriority w:val="99"/>
    <w:qFormat/>
    <w:tblPr>
      <w:tblCellMar>
        <w:left w:w="0" w:type="dxa"/>
        <w:top w:w="0" w:type="dxa"/>
        <w:right w:w="0" w:type="dxa"/>
        <w:bottom w:w="0" w:type="dxa"/>
      </w:tblCellMar>
    </w:tblPr>
  </w:style>
  <w:style w:type="table" w:styleId="948" w:customStyle="1">
    <w:name w:val="List Table 3 - Accent 6"/>
    <w:uiPriority w:val="99"/>
    <w:qFormat/>
    <w:tblPr>
      <w:tblCellMar>
        <w:left w:w="0" w:type="dxa"/>
        <w:top w:w="0" w:type="dxa"/>
        <w:right w:w="0" w:type="dxa"/>
        <w:bottom w:w="0" w:type="dxa"/>
      </w:tblCellMar>
    </w:tblPr>
  </w:style>
  <w:style w:type="table" w:styleId="949" w:customStyle="1">
    <w:name w:val="List Table 4 - Accent 1"/>
    <w:uiPriority w:val="99"/>
    <w:qFormat/>
    <w:tblPr>
      <w:tblCellMar>
        <w:left w:w="0" w:type="dxa"/>
        <w:top w:w="0" w:type="dxa"/>
        <w:right w:w="0" w:type="dxa"/>
        <w:bottom w:w="0" w:type="dxa"/>
      </w:tblCellMar>
    </w:tblPr>
  </w:style>
  <w:style w:type="table" w:styleId="950" w:customStyle="1">
    <w:name w:val="List Table 4 - Accent 2"/>
    <w:uiPriority w:val="99"/>
    <w:qFormat/>
    <w:tblPr>
      <w:tblCellMar>
        <w:left w:w="0" w:type="dxa"/>
        <w:top w:w="0" w:type="dxa"/>
        <w:right w:w="0" w:type="dxa"/>
        <w:bottom w:w="0" w:type="dxa"/>
      </w:tblCellMar>
    </w:tblPr>
  </w:style>
  <w:style w:type="table" w:styleId="951" w:customStyle="1">
    <w:name w:val="List Table 4 - Accent 3"/>
    <w:uiPriority w:val="99"/>
    <w:qFormat/>
    <w:tblPr>
      <w:tblCellMar>
        <w:left w:w="0" w:type="dxa"/>
        <w:top w:w="0" w:type="dxa"/>
        <w:right w:w="0" w:type="dxa"/>
        <w:bottom w:w="0" w:type="dxa"/>
      </w:tblCellMar>
    </w:tblPr>
  </w:style>
  <w:style w:type="table" w:styleId="952" w:customStyle="1">
    <w:name w:val="List Table 4 - Accent 4"/>
    <w:uiPriority w:val="99"/>
    <w:qFormat/>
    <w:tblPr>
      <w:tblCellMar>
        <w:left w:w="0" w:type="dxa"/>
        <w:top w:w="0" w:type="dxa"/>
        <w:right w:w="0" w:type="dxa"/>
        <w:bottom w:w="0" w:type="dxa"/>
      </w:tblCellMar>
    </w:tblPr>
  </w:style>
  <w:style w:type="table" w:styleId="953" w:customStyle="1">
    <w:name w:val="List Table 4 - Accent 5"/>
    <w:uiPriority w:val="99"/>
    <w:qFormat/>
    <w:tblPr>
      <w:tblCellMar>
        <w:left w:w="0" w:type="dxa"/>
        <w:top w:w="0" w:type="dxa"/>
        <w:right w:w="0" w:type="dxa"/>
        <w:bottom w:w="0" w:type="dxa"/>
      </w:tblCellMar>
    </w:tblPr>
  </w:style>
  <w:style w:type="table" w:styleId="954" w:customStyle="1">
    <w:name w:val="List Table 4 - Accent 6"/>
    <w:uiPriority w:val="99"/>
    <w:qFormat/>
    <w:tblPr>
      <w:tblCellMar>
        <w:left w:w="0" w:type="dxa"/>
        <w:top w:w="0" w:type="dxa"/>
        <w:right w:w="0" w:type="dxa"/>
        <w:bottom w:w="0" w:type="dxa"/>
      </w:tblCellMar>
    </w:tblPr>
  </w:style>
  <w:style w:type="table" w:styleId="955" w:customStyle="1">
    <w:name w:val="List Table 5 Dark - Accent 1"/>
    <w:uiPriority w:val="99"/>
    <w:qFormat/>
    <w:tblPr>
      <w:tblCellMar>
        <w:left w:w="0" w:type="dxa"/>
        <w:top w:w="0" w:type="dxa"/>
        <w:right w:w="0" w:type="dxa"/>
        <w:bottom w:w="0" w:type="dxa"/>
      </w:tblCellMar>
    </w:tblPr>
  </w:style>
  <w:style w:type="table" w:styleId="956" w:customStyle="1">
    <w:name w:val="List Table 5 Dark - Accent 2"/>
    <w:uiPriority w:val="99"/>
    <w:qFormat/>
    <w:tblPr>
      <w:tblCellMar>
        <w:left w:w="0" w:type="dxa"/>
        <w:top w:w="0" w:type="dxa"/>
        <w:right w:w="0" w:type="dxa"/>
        <w:bottom w:w="0" w:type="dxa"/>
      </w:tblCellMar>
    </w:tblPr>
  </w:style>
  <w:style w:type="table" w:styleId="957" w:customStyle="1">
    <w:name w:val="List Table 5 Dark - Accent 3"/>
    <w:uiPriority w:val="99"/>
    <w:qFormat/>
    <w:tblPr>
      <w:tblCellMar>
        <w:left w:w="0" w:type="dxa"/>
        <w:top w:w="0" w:type="dxa"/>
        <w:right w:w="0" w:type="dxa"/>
        <w:bottom w:w="0" w:type="dxa"/>
      </w:tblCellMar>
    </w:tblPr>
  </w:style>
  <w:style w:type="table" w:styleId="958" w:customStyle="1">
    <w:name w:val="List Table 5 Dark - Accent 4"/>
    <w:uiPriority w:val="99"/>
    <w:qFormat/>
    <w:tblPr>
      <w:tblCellMar>
        <w:left w:w="0" w:type="dxa"/>
        <w:top w:w="0" w:type="dxa"/>
        <w:right w:w="0" w:type="dxa"/>
        <w:bottom w:w="0" w:type="dxa"/>
      </w:tblCellMar>
    </w:tblPr>
  </w:style>
  <w:style w:type="table" w:styleId="959" w:customStyle="1">
    <w:name w:val="List Table 5 Dark - Accent 5"/>
    <w:uiPriority w:val="99"/>
    <w:qFormat/>
    <w:tblPr>
      <w:tblCellMar>
        <w:left w:w="0" w:type="dxa"/>
        <w:top w:w="0" w:type="dxa"/>
        <w:right w:w="0" w:type="dxa"/>
        <w:bottom w:w="0" w:type="dxa"/>
      </w:tblCellMar>
    </w:tblPr>
  </w:style>
  <w:style w:type="table" w:styleId="960" w:customStyle="1">
    <w:name w:val="List Table 5 Dark - Accent 6"/>
    <w:uiPriority w:val="99"/>
    <w:qFormat/>
    <w:tblPr>
      <w:tblCellMar>
        <w:left w:w="0" w:type="dxa"/>
        <w:top w:w="0" w:type="dxa"/>
        <w:right w:w="0" w:type="dxa"/>
        <w:bottom w:w="0" w:type="dxa"/>
      </w:tblCellMar>
    </w:tblPr>
  </w:style>
  <w:style w:type="table" w:styleId="961" w:customStyle="1">
    <w:name w:val="List Table 6 Colorful - Accent 1"/>
    <w:uiPriority w:val="99"/>
    <w:qFormat/>
    <w:tblPr>
      <w:tblCellMar>
        <w:left w:w="0" w:type="dxa"/>
        <w:top w:w="0" w:type="dxa"/>
        <w:right w:w="0" w:type="dxa"/>
        <w:bottom w:w="0" w:type="dxa"/>
      </w:tblCellMar>
    </w:tblPr>
  </w:style>
  <w:style w:type="table" w:styleId="962" w:customStyle="1">
    <w:name w:val="List Table 6 Colorful - Accent 2"/>
    <w:uiPriority w:val="99"/>
    <w:qFormat/>
    <w:tblPr>
      <w:tblCellMar>
        <w:left w:w="0" w:type="dxa"/>
        <w:top w:w="0" w:type="dxa"/>
        <w:right w:w="0" w:type="dxa"/>
        <w:bottom w:w="0" w:type="dxa"/>
      </w:tblCellMar>
    </w:tblPr>
  </w:style>
  <w:style w:type="table" w:styleId="963" w:customStyle="1">
    <w:name w:val="List Table 6 Colorful - Accent 3"/>
    <w:uiPriority w:val="99"/>
    <w:qFormat/>
    <w:tblPr>
      <w:tblCellMar>
        <w:left w:w="0" w:type="dxa"/>
        <w:top w:w="0" w:type="dxa"/>
        <w:right w:w="0" w:type="dxa"/>
        <w:bottom w:w="0" w:type="dxa"/>
      </w:tblCellMar>
    </w:tblPr>
  </w:style>
  <w:style w:type="table" w:styleId="964" w:customStyle="1">
    <w:name w:val="List Table 6 Colorful - Accent 4"/>
    <w:uiPriority w:val="99"/>
    <w:qFormat/>
    <w:tblPr>
      <w:tblCellMar>
        <w:left w:w="0" w:type="dxa"/>
        <w:top w:w="0" w:type="dxa"/>
        <w:right w:w="0" w:type="dxa"/>
        <w:bottom w:w="0" w:type="dxa"/>
      </w:tblCellMar>
    </w:tblPr>
  </w:style>
  <w:style w:type="table" w:styleId="965" w:customStyle="1">
    <w:name w:val="List Table 6 Colorful - Accent 5"/>
    <w:uiPriority w:val="99"/>
    <w:qFormat/>
    <w:tblPr>
      <w:tblCellMar>
        <w:left w:w="0" w:type="dxa"/>
        <w:top w:w="0" w:type="dxa"/>
        <w:right w:w="0" w:type="dxa"/>
        <w:bottom w:w="0" w:type="dxa"/>
      </w:tblCellMar>
    </w:tblPr>
  </w:style>
  <w:style w:type="table" w:styleId="966" w:customStyle="1">
    <w:name w:val="List Table 6 Colorful - Accent 6"/>
    <w:uiPriority w:val="99"/>
    <w:qFormat/>
    <w:tblPr>
      <w:tblCellMar>
        <w:left w:w="0" w:type="dxa"/>
        <w:top w:w="0" w:type="dxa"/>
        <w:right w:w="0" w:type="dxa"/>
        <w:bottom w:w="0" w:type="dxa"/>
      </w:tblCellMar>
    </w:tblPr>
  </w:style>
  <w:style w:type="table" w:styleId="967" w:customStyle="1">
    <w:name w:val="List Table 7 Colorful - Accent 1"/>
    <w:uiPriority w:val="99"/>
    <w:qFormat/>
    <w:tblPr>
      <w:tblCellMar>
        <w:left w:w="0" w:type="dxa"/>
        <w:top w:w="0" w:type="dxa"/>
        <w:right w:w="0" w:type="dxa"/>
        <w:bottom w:w="0" w:type="dxa"/>
      </w:tblCellMar>
    </w:tblPr>
  </w:style>
  <w:style w:type="table" w:styleId="968" w:customStyle="1">
    <w:name w:val="List Table 7 Colorful - Accent 2"/>
    <w:uiPriority w:val="99"/>
    <w:qFormat/>
    <w:tblPr>
      <w:tblCellMar>
        <w:left w:w="0" w:type="dxa"/>
        <w:top w:w="0" w:type="dxa"/>
        <w:right w:w="0" w:type="dxa"/>
        <w:bottom w:w="0" w:type="dxa"/>
      </w:tblCellMar>
    </w:tblPr>
  </w:style>
  <w:style w:type="table" w:styleId="969" w:customStyle="1">
    <w:name w:val="List Table 7 Colorful - Accent 3"/>
    <w:uiPriority w:val="99"/>
    <w:qFormat/>
    <w:tblPr>
      <w:tblCellMar>
        <w:left w:w="0" w:type="dxa"/>
        <w:top w:w="0" w:type="dxa"/>
        <w:right w:w="0" w:type="dxa"/>
        <w:bottom w:w="0" w:type="dxa"/>
      </w:tblCellMar>
    </w:tblPr>
  </w:style>
  <w:style w:type="table" w:styleId="970" w:customStyle="1">
    <w:name w:val="List Table 7 Colorful - Accent 4"/>
    <w:uiPriority w:val="99"/>
    <w:qFormat/>
    <w:tblPr>
      <w:tblCellMar>
        <w:left w:w="0" w:type="dxa"/>
        <w:top w:w="0" w:type="dxa"/>
        <w:right w:w="0" w:type="dxa"/>
        <w:bottom w:w="0" w:type="dxa"/>
      </w:tblCellMar>
    </w:tblPr>
  </w:style>
  <w:style w:type="table" w:styleId="971" w:customStyle="1">
    <w:name w:val="List Table 7 Colorful - Accent 5"/>
    <w:uiPriority w:val="99"/>
    <w:qFormat/>
    <w:tblPr>
      <w:tblCellMar>
        <w:left w:w="0" w:type="dxa"/>
        <w:top w:w="0" w:type="dxa"/>
        <w:right w:w="0" w:type="dxa"/>
        <w:bottom w:w="0" w:type="dxa"/>
      </w:tblCellMar>
    </w:tblPr>
  </w:style>
  <w:style w:type="table" w:styleId="972" w:customStyle="1">
    <w:name w:val="List Table 7 Colorful - Accent 6"/>
    <w:uiPriority w:val="99"/>
    <w:qFormat/>
    <w:tblPr>
      <w:tblCellMar>
        <w:left w:w="0" w:type="dxa"/>
        <w:top w:w="0" w:type="dxa"/>
        <w:right w:w="0" w:type="dxa"/>
        <w:bottom w:w="0" w:type="dxa"/>
      </w:tblCellMar>
    </w:tblPr>
  </w:style>
  <w:style w:type="table" w:styleId="973" w:customStyle="1">
    <w:name w:val="Lined - Accent"/>
    <w:uiPriority w:val="99"/>
    <w:qFormat/>
    <w:rPr>
      <w:color w:val="404040"/>
    </w:rPr>
    <w:tblPr>
      <w:tblCellMar>
        <w:left w:w="0" w:type="dxa"/>
        <w:top w:w="0" w:type="dxa"/>
        <w:right w:w="0" w:type="dxa"/>
        <w:bottom w:w="0" w:type="dxa"/>
      </w:tblCellMar>
    </w:tblPr>
  </w:style>
  <w:style w:type="table" w:styleId="974" w:customStyle="1">
    <w:name w:val="Lined - Accent 1"/>
    <w:uiPriority w:val="99"/>
    <w:qFormat/>
    <w:rPr>
      <w:color w:val="404040"/>
    </w:rPr>
    <w:tblPr>
      <w:tblCellMar>
        <w:left w:w="0" w:type="dxa"/>
        <w:top w:w="0" w:type="dxa"/>
        <w:right w:w="0" w:type="dxa"/>
        <w:bottom w:w="0" w:type="dxa"/>
      </w:tblCellMar>
    </w:tblPr>
  </w:style>
  <w:style w:type="table" w:styleId="975" w:customStyle="1">
    <w:name w:val="Lined - Accent 2"/>
    <w:uiPriority w:val="99"/>
    <w:qFormat/>
    <w:rPr>
      <w:color w:val="404040"/>
    </w:rPr>
    <w:tblPr>
      <w:tblCellMar>
        <w:left w:w="0" w:type="dxa"/>
        <w:top w:w="0" w:type="dxa"/>
        <w:right w:w="0" w:type="dxa"/>
        <w:bottom w:w="0" w:type="dxa"/>
      </w:tblCellMar>
    </w:tblPr>
  </w:style>
  <w:style w:type="table" w:styleId="976" w:customStyle="1">
    <w:name w:val="Lined - Accent 3"/>
    <w:uiPriority w:val="99"/>
    <w:qFormat/>
    <w:rPr>
      <w:color w:val="404040"/>
    </w:rPr>
    <w:tblPr>
      <w:tblCellMar>
        <w:left w:w="0" w:type="dxa"/>
        <w:top w:w="0" w:type="dxa"/>
        <w:right w:w="0" w:type="dxa"/>
        <w:bottom w:w="0" w:type="dxa"/>
      </w:tblCellMar>
    </w:tblPr>
  </w:style>
  <w:style w:type="table" w:styleId="977" w:customStyle="1">
    <w:name w:val="Lined - Accent 4"/>
    <w:uiPriority w:val="99"/>
    <w:qFormat/>
    <w:rPr>
      <w:color w:val="404040"/>
    </w:rPr>
    <w:tblPr>
      <w:tblCellMar>
        <w:left w:w="0" w:type="dxa"/>
        <w:top w:w="0" w:type="dxa"/>
        <w:right w:w="0" w:type="dxa"/>
        <w:bottom w:w="0" w:type="dxa"/>
      </w:tblCellMar>
    </w:tblPr>
  </w:style>
  <w:style w:type="table" w:styleId="978" w:customStyle="1">
    <w:name w:val="Lined - Accent 5"/>
    <w:uiPriority w:val="99"/>
    <w:qFormat/>
    <w:rPr>
      <w:color w:val="404040"/>
    </w:rPr>
    <w:tblPr>
      <w:tblCellMar>
        <w:left w:w="0" w:type="dxa"/>
        <w:top w:w="0" w:type="dxa"/>
        <w:right w:w="0" w:type="dxa"/>
        <w:bottom w:w="0" w:type="dxa"/>
      </w:tblCellMar>
    </w:tblPr>
  </w:style>
  <w:style w:type="table" w:styleId="979" w:customStyle="1">
    <w:name w:val="Lined - Accent 6"/>
    <w:uiPriority w:val="99"/>
    <w:qFormat/>
    <w:rPr>
      <w:color w:val="404040"/>
    </w:rPr>
    <w:tblPr>
      <w:tblCellMar>
        <w:left w:w="0" w:type="dxa"/>
        <w:top w:w="0" w:type="dxa"/>
        <w:right w:w="0" w:type="dxa"/>
        <w:bottom w:w="0" w:type="dxa"/>
      </w:tblCellMar>
    </w:tblPr>
  </w:style>
  <w:style w:type="table" w:styleId="980" w:customStyle="1">
    <w:name w:val="Bordered &amp; Lined - Accent"/>
    <w:uiPriority w:val="99"/>
    <w:qFormat/>
    <w:rPr>
      <w:color w:val="404040"/>
    </w:rPr>
    <w:tblPr>
      <w:tblCellMar>
        <w:left w:w="0" w:type="dxa"/>
        <w:top w:w="0" w:type="dxa"/>
        <w:right w:w="0" w:type="dxa"/>
        <w:bottom w:w="0" w:type="dxa"/>
      </w:tblCellMar>
    </w:tblPr>
  </w:style>
  <w:style w:type="table" w:styleId="981" w:customStyle="1">
    <w:name w:val="Bordered &amp; Lined - Accent 1"/>
    <w:uiPriority w:val="99"/>
    <w:qFormat/>
    <w:rPr>
      <w:color w:val="404040"/>
    </w:rPr>
    <w:tblPr>
      <w:tblCellMar>
        <w:left w:w="0" w:type="dxa"/>
        <w:top w:w="0" w:type="dxa"/>
        <w:right w:w="0" w:type="dxa"/>
        <w:bottom w:w="0" w:type="dxa"/>
      </w:tblCellMar>
    </w:tblPr>
  </w:style>
  <w:style w:type="table" w:styleId="982" w:customStyle="1">
    <w:name w:val="Bordered &amp; Lined - Accent 2"/>
    <w:uiPriority w:val="99"/>
    <w:qFormat/>
    <w:rPr>
      <w:color w:val="404040"/>
    </w:rPr>
    <w:tblPr>
      <w:tblCellMar>
        <w:left w:w="0" w:type="dxa"/>
        <w:top w:w="0" w:type="dxa"/>
        <w:right w:w="0" w:type="dxa"/>
        <w:bottom w:w="0" w:type="dxa"/>
      </w:tblCellMar>
    </w:tblPr>
  </w:style>
  <w:style w:type="table" w:styleId="983" w:customStyle="1">
    <w:name w:val="Bordered &amp; Lined - Accent 3"/>
    <w:uiPriority w:val="99"/>
    <w:qFormat/>
    <w:rPr>
      <w:color w:val="404040"/>
    </w:rPr>
    <w:tblPr>
      <w:tblCellMar>
        <w:left w:w="0" w:type="dxa"/>
        <w:top w:w="0" w:type="dxa"/>
        <w:right w:w="0" w:type="dxa"/>
        <w:bottom w:w="0" w:type="dxa"/>
      </w:tblCellMar>
    </w:tblPr>
  </w:style>
  <w:style w:type="table" w:styleId="984" w:customStyle="1">
    <w:name w:val="Bordered &amp; Lined - Accent 4"/>
    <w:uiPriority w:val="99"/>
    <w:qFormat/>
    <w:rPr>
      <w:color w:val="404040"/>
    </w:rPr>
    <w:tblPr>
      <w:tblCellMar>
        <w:left w:w="0" w:type="dxa"/>
        <w:top w:w="0" w:type="dxa"/>
        <w:right w:w="0" w:type="dxa"/>
        <w:bottom w:w="0" w:type="dxa"/>
      </w:tblCellMar>
    </w:tblPr>
  </w:style>
  <w:style w:type="table" w:styleId="985" w:customStyle="1">
    <w:name w:val="Bordered &amp; Lined - Accent 5"/>
    <w:uiPriority w:val="99"/>
    <w:qFormat/>
    <w:rPr>
      <w:color w:val="404040"/>
    </w:rPr>
    <w:tblPr>
      <w:tblCellMar>
        <w:left w:w="0" w:type="dxa"/>
        <w:top w:w="0" w:type="dxa"/>
        <w:right w:w="0" w:type="dxa"/>
        <w:bottom w:w="0" w:type="dxa"/>
      </w:tblCellMar>
    </w:tblPr>
  </w:style>
  <w:style w:type="table" w:styleId="986" w:customStyle="1">
    <w:name w:val="Bordered &amp; Lined - Accent 6"/>
    <w:uiPriority w:val="99"/>
    <w:qFormat/>
    <w:rPr>
      <w:color w:val="404040"/>
    </w:rPr>
    <w:tblPr>
      <w:tblCellMar>
        <w:left w:w="0" w:type="dxa"/>
        <w:top w:w="0" w:type="dxa"/>
        <w:right w:w="0" w:type="dxa"/>
        <w:bottom w:w="0" w:type="dxa"/>
      </w:tblCellMar>
    </w:tblPr>
  </w:style>
  <w:style w:type="table" w:styleId="987" w:customStyle="1">
    <w:name w:val="Bordered"/>
    <w:uiPriority w:val="99"/>
    <w:qFormat/>
    <w:tblPr>
      <w:tblCellMar>
        <w:left w:w="0" w:type="dxa"/>
        <w:top w:w="0" w:type="dxa"/>
        <w:right w:w="0" w:type="dxa"/>
        <w:bottom w:w="0" w:type="dxa"/>
      </w:tblCellMar>
    </w:tblPr>
  </w:style>
  <w:style w:type="table" w:styleId="988" w:customStyle="1">
    <w:name w:val="Bordered - Accent 1"/>
    <w:uiPriority w:val="99"/>
    <w:qFormat/>
    <w:tblPr>
      <w:tblCellMar>
        <w:left w:w="0" w:type="dxa"/>
        <w:top w:w="0" w:type="dxa"/>
        <w:right w:w="0" w:type="dxa"/>
        <w:bottom w:w="0" w:type="dxa"/>
      </w:tblCellMar>
    </w:tblPr>
  </w:style>
  <w:style w:type="table" w:styleId="989" w:customStyle="1">
    <w:name w:val="Bordered - Accent 2"/>
    <w:uiPriority w:val="99"/>
    <w:qFormat/>
    <w:tblPr>
      <w:tblCellMar>
        <w:left w:w="0" w:type="dxa"/>
        <w:top w:w="0" w:type="dxa"/>
        <w:right w:w="0" w:type="dxa"/>
        <w:bottom w:w="0" w:type="dxa"/>
      </w:tblCellMar>
    </w:tblPr>
  </w:style>
  <w:style w:type="table" w:styleId="990" w:customStyle="1">
    <w:name w:val="Bordered - Accent 3"/>
    <w:uiPriority w:val="99"/>
    <w:qFormat/>
    <w:tblPr>
      <w:tblCellMar>
        <w:left w:w="0" w:type="dxa"/>
        <w:top w:w="0" w:type="dxa"/>
        <w:right w:w="0" w:type="dxa"/>
        <w:bottom w:w="0" w:type="dxa"/>
      </w:tblCellMar>
    </w:tblPr>
  </w:style>
  <w:style w:type="table" w:styleId="991" w:customStyle="1">
    <w:name w:val="Bordered - Accent 4"/>
    <w:uiPriority w:val="99"/>
    <w:qFormat/>
    <w:tblPr>
      <w:tblCellMar>
        <w:left w:w="0" w:type="dxa"/>
        <w:top w:w="0" w:type="dxa"/>
        <w:right w:w="0" w:type="dxa"/>
        <w:bottom w:w="0" w:type="dxa"/>
      </w:tblCellMar>
    </w:tblPr>
  </w:style>
  <w:style w:type="table" w:styleId="992" w:customStyle="1">
    <w:name w:val="Bordered - Accent 5"/>
    <w:uiPriority w:val="99"/>
    <w:qFormat/>
    <w:tblPr>
      <w:tblCellMar>
        <w:left w:w="0" w:type="dxa"/>
        <w:top w:w="0" w:type="dxa"/>
        <w:right w:w="0" w:type="dxa"/>
        <w:bottom w:w="0" w:type="dxa"/>
      </w:tblCellMar>
    </w:tblPr>
  </w:style>
  <w:style w:type="table" w:styleId="993" w:customStyle="1">
    <w:name w:val="Bordered - Accent 6"/>
    <w:uiPriority w:val="99"/>
    <w:qFormat/>
    <w:tblPr>
      <w:tblCellMar>
        <w:left w:w="0" w:type="dxa"/>
        <w:top w:w="0" w:type="dxa"/>
        <w:right w:w="0" w:type="dxa"/>
        <w:bottom w:w="0" w:type="dxa"/>
      </w:tblCellMar>
    </w:tblPr>
  </w:style>
  <w:style w:type="paragraph" w:styleId="994" w:customStyle="1">
    <w:name w:val="TOC 标题11"/>
    <w:uiPriority w:val="39"/>
    <w:unhideWhenUsed/>
    <w:qFormat/>
  </w:style>
  <w:style w:type="character" w:styleId="995" w:customStyle="1">
    <w:name w:val="已访问的超链接1"/>
    <w:qFormat/>
    <w:rPr>
      <w:color w:val="800080"/>
      <w:u w:val="single"/>
    </w:rPr>
  </w:style>
  <w:style w:type="character" w:styleId="996" w:customStyle="1">
    <w:name w:val="font5 Char"/>
    <w:qFormat/>
    <w:rPr>
      <w:rFonts w:ascii="宋体" w:hAnsi="宋体" w:eastAsia="宋体"/>
      <w:sz w:val="28"/>
      <w:szCs w:val="28"/>
      <w:lang w:val="en-US" w:eastAsia="zh-CN" w:bidi="ar-SA"/>
    </w:rPr>
  </w:style>
  <w:style w:type="character" w:styleId="997" w:customStyle="1">
    <w:name w:val="二级目录 Char"/>
    <w:link w:val="998"/>
    <w:qFormat/>
    <w:rPr>
      <w:b/>
      <w:sz w:val="30"/>
      <w:szCs w:val="28"/>
    </w:rPr>
  </w:style>
  <w:style w:type="paragraph" w:styleId="998" w:customStyle="1">
    <w:name w:val="二级目录"/>
    <w:next w:val="725"/>
    <w:link w:val="997"/>
    <w:qFormat/>
    <w:pPr>
      <w:numPr>
        <w:numId w:val="2"/>
      </w:numPr>
      <w:tabs>
        <w:tab w:val="left" w:pos="1145" w:leader="none"/>
      </w:tabs>
      <w:outlineLvl w:val="1"/>
    </w:pPr>
    <w:rPr>
      <w:b/>
      <w:sz w:val="30"/>
      <w:szCs w:val="28"/>
    </w:rPr>
  </w:style>
  <w:style w:type="character" w:styleId="999" w:customStyle="1">
    <w:name w:val="列出段落 Char"/>
    <w:link w:val="1000"/>
    <w:qFormat/>
    <w:rPr>
      <w:rFonts w:ascii="Calibri" w:hAnsi="Calibri"/>
      <w:sz w:val="24"/>
      <w:szCs w:val="24"/>
      <w:lang w:eastAsia="en-US" w:bidi="en-US"/>
    </w:rPr>
  </w:style>
  <w:style w:type="paragraph" w:styleId="1000" w:customStyle="1">
    <w:name w:val="列出段落1"/>
    <w:basedOn w:val="725"/>
    <w:link w:val="999"/>
    <w:qFormat/>
    <w:pPr>
      <w:contextualSpacing/>
      <w:ind w:left="720"/>
      <w:jc w:val="left"/>
      <w:widowControl/>
    </w:pPr>
    <w:rPr>
      <w:sz w:val="24"/>
      <w:szCs w:val="24"/>
      <w:lang w:eastAsia="en-US" w:bidi="en-US"/>
    </w:rPr>
  </w:style>
  <w:style w:type="paragraph" w:styleId="1001" w:customStyle="1">
    <w:name w:val="Body Text(ch)"/>
    <w:basedOn w:val="725"/>
    <w:next w:val="765"/>
    <w:qFormat/>
    <w:pPr>
      <w:spacing w:after="120"/>
    </w:pPr>
    <w:rPr>
      <w:rFonts w:ascii="宋体" w:hAnsi="Arial"/>
      <w:bCs/>
      <w:iCs/>
      <w:szCs w:val="24"/>
    </w:rPr>
  </w:style>
  <w:style w:type="paragraph" w:styleId="1002" w:customStyle="1">
    <w:name w:val="xl27"/>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3" w:customStyle="1">
    <w:name w:val="xl26"/>
    <w:basedOn w:val="7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4" w:customStyle="1">
    <w:name w:val="Char"/>
    <w:basedOn w:val="725"/>
    <w:qFormat/>
    <w:pPr>
      <w:ind w:firstLine="200"/>
      <w:tabs>
        <w:tab w:val="left" w:pos="360" w:leader="none"/>
      </w:tabs>
    </w:pPr>
    <w:rPr>
      <w:rFonts w:ascii="Times New Roman" w:hAnsi="Times New Roman"/>
      <w:sz w:val="28"/>
      <w:szCs w:val="30"/>
    </w:rPr>
  </w:style>
  <w:style w:type="paragraph" w:styleId="1005" w:customStyle="1">
    <w:name w:val="Char1"/>
    <w:basedOn w:val="762"/>
    <w:qFormat/>
    <w:rPr>
      <w:rFonts w:ascii="Tahoma" w:hAnsi="Tahoma"/>
      <w:sz w:val="24"/>
      <w:szCs w:val="24"/>
    </w:rPr>
  </w:style>
  <w:style w:type="paragraph" w:styleId="1006" w:customStyle="1">
    <w:name w:val="普通正文"/>
    <w:basedOn w:val="725"/>
    <w:qFormat/>
    <w:pPr>
      <w:ind w:firstLine="480"/>
      <w:jc w:val="left"/>
      <w:spacing w:before="120" w:after="120" w:line="360" w:lineRule="auto"/>
    </w:pPr>
    <w:rPr>
      <w:rFonts w:ascii="Arial" w:hAnsi="Arial"/>
      <w:sz w:val="24"/>
      <w:szCs w:val="24"/>
    </w:rPr>
  </w:style>
  <w:style w:type="paragraph" w:styleId="1007" w:customStyle="1">
    <w:name w:val="table_lines"/>
    <w:basedOn w:val="725"/>
    <w:qFormat/>
    <w:pPr>
      <w:jc w:val="left"/>
      <w:widowControl/>
    </w:pPr>
    <w:rPr>
      <w:rFonts w:ascii="Times New Roman" w:hAnsi="Times New Roman"/>
      <w:sz w:val="20"/>
      <w:szCs w:val="20"/>
      <w:lang w:val="de-DE" w:eastAsia="de-DE"/>
    </w:rPr>
  </w:style>
  <w:style w:type="paragraph" w:styleId="1008"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1009" w:customStyle="1">
    <w:name w:val="font7"/>
    <w:basedOn w:val="725"/>
    <w:qFormat/>
    <w:pPr>
      <w:jc w:val="left"/>
      <w:spacing w:before="100" w:beforeAutospacing="1" w:after="100" w:afterAutospacing="1"/>
      <w:widowControl/>
    </w:pPr>
    <w:rPr>
      <w:rFonts w:hint="eastAsia" w:ascii="宋体" w:hAnsi="宋体"/>
      <w:sz w:val="18"/>
      <w:szCs w:val="18"/>
    </w:rPr>
  </w:style>
  <w:style w:type="paragraph" w:styleId="1010" w:customStyle="1">
    <w:name w:val="Char Char Char Char"/>
    <w:basedOn w:val="762"/>
    <w:qFormat/>
    <w:pPr>
      <w:spacing w:line="360" w:lineRule="auto"/>
    </w:pPr>
    <w:rPr>
      <w:rFonts w:ascii="Tahoma" w:hAnsi="Tahoma"/>
      <w:sz w:val="24"/>
      <w:szCs w:val="24"/>
    </w:rPr>
  </w:style>
  <w:style w:type="paragraph" w:styleId="1011" w:customStyle="1">
    <w:name w:val="4"/>
    <w:basedOn w:val="725"/>
    <w:next w:val="784"/>
    <w:qFormat/>
    <w:pPr>
      <w:ind w:firstLine="420"/>
      <w:spacing w:line="360" w:lineRule="auto"/>
    </w:pPr>
    <w:rPr>
      <w:rFonts w:ascii="Times New Roman" w:hAnsi="Times New Roman"/>
      <w:color w:val="ff0000"/>
      <w:sz w:val="24"/>
      <w:szCs w:val="24"/>
    </w:rPr>
  </w:style>
  <w:style w:type="paragraph" w:styleId="1012" w:customStyle="1">
    <w:name w:val="普通 (Web)"/>
    <w:basedOn w:val="725"/>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725"/>
    <w:qFormat/>
    <w:pPr>
      <w:spacing w:line="360" w:lineRule="auto"/>
    </w:pPr>
    <w:rPr>
      <w:rFonts w:ascii="Times New Roman" w:hAnsi="Times New Roman"/>
      <w:sz w:val="24"/>
      <w:szCs w:val="20"/>
    </w:rPr>
  </w:style>
  <w:style w:type="paragraph" w:styleId="1014" w:customStyle="1">
    <w:name w:val="样式1"/>
    <w:basedOn w:val="725"/>
    <w:qFormat/>
    <w:pPr>
      <w:numPr>
        <w:numId w:val="3"/>
      </w:numPr>
    </w:pPr>
    <w:rPr>
      <w:rFonts w:ascii="宋体" w:hAnsi="宋体"/>
      <w:szCs w:val="21"/>
    </w:rPr>
  </w:style>
  <w:style w:type="paragraph" w:styleId="1015" w:customStyle="1">
    <w:name w:val="font6"/>
    <w:basedOn w:val="725"/>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2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25"/>
    <w:next w:val="725"/>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18" w:customStyle="1">
    <w:name w:val="标题3"/>
    <w:basedOn w:val="725"/>
    <w:next w:val="725"/>
    <w:qFormat/>
    <w:pPr>
      <w:ind w:firstLine="624"/>
      <w:spacing w:line="590" w:lineRule="atLeast"/>
    </w:pPr>
    <w:rPr>
      <w:rFonts w:ascii="方正黑体_GBK" w:hAnsi="Times New Roman" w:eastAsia="方正黑体_GBK"/>
      <w:sz w:val="32"/>
      <w:szCs w:val="32"/>
    </w:rPr>
  </w:style>
  <w:style w:type="paragraph" w:styleId="1019" w:customStyle="1">
    <w:name w:val="xl24"/>
    <w:basedOn w:val="72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72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25"/>
    <w:qFormat/>
    <w:pPr>
      <w:jc w:val="left"/>
      <w:spacing w:after="160" w:line="240" w:lineRule="exact"/>
      <w:widowControl/>
    </w:pPr>
    <w:rPr>
      <w:rFonts w:ascii="Verdana" w:hAnsi="Verdana"/>
      <w:sz w:val="20"/>
      <w:szCs w:val="20"/>
      <w:lang w:eastAsia="en-US"/>
    </w:rPr>
  </w:style>
  <w:style w:type="paragraph" w:styleId="1022" w:customStyle="1">
    <w:name w:val="xl28"/>
    <w:basedOn w:val="72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Char Char Char Char Char Char Char Char1"/>
    <w:basedOn w:val="725"/>
    <w:qFormat/>
    <w:pPr>
      <w:jc w:val="left"/>
      <w:spacing w:after="160" w:line="240" w:lineRule="exact"/>
      <w:widowControl/>
    </w:pPr>
    <w:rPr>
      <w:rFonts w:ascii="Verdana" w:hAnsi="Verdana"/>
      <w:sz w:val="20"/>
      <w:szCs w:val="20"/>
      <w:lang w:eastAsia="en-US"/>
    </w:rPr>
  </w:style>
  <w:style w:type="paragraph" w:styleId="1024" w:customStyle="1">
    <w:name w:val="xl30"/>
    <w:basedOn w:val="725"/>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762"/>
    <w:qFormat/>
    <w:pPr>
      <w:spacing w:line="360" w:lineRule="auto"/>
    </w:pPr>
    <w:rPr>
      <w:rFonts w:ascii="Tahoma" w:hAnsi="Tahoma"/>
      <w:sz w:val="24"/>
      <w:szCs w:val="24"/>
    </w:rPr>
  </w:style>
  <w:style w:type="paragraph" w:styleId="1026" w:customStyle="1">
    <w:name w:val="table_1stline"/>
    <w:basedOn w:val="725"/>
    <w:qFormat/>
    <w:pPr>
      <w:jc w:val="left"/>
      <w:spacing w:before="120"/>
      <w:widowControl/>
    </w:pPr>
    <w:rPr>
      <w:rFonts w:ascii="Times New Roman" w:hAnsi="Times New Roman"/>
      <w:bCs/>
      <w:sz w:val="20"/>
      <w:szCs w:val="20"/>
      <w:lang w:val="de-DE" w:eastAsia="de-DE"/>
    </w:rPr>
  </w:style>
  <w:style w:type="paragraph" w:styleId="1027" w:customStyle="1">
    <w:name w:val="font5"/>
    <w:basedOn w:val="725"/>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25"/>
    <w:next w:val="725"/>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29" w:customStyle="1">
    <w:name w:val="修订1"/>
    <w:uiPriority w:val="99"/>
    <w:semiHidden/>
    <w:qFormat/>
    <w:rPr>
      <w:rFonts w:ascii="Times New Roman" w:hAnsi="Times New Roman"/>
      <w:sz w:val="21"/>
      <w:szCs w:val="21"/>
    </w:rPr>
  </w:style>
  <w:style w:type="paragraph" w:styleId="1030" w:customStyle="1">
    <w:name w:val="AONormal"/>
    <w:qFormat/>
    <w:pPr>
      <w:ind w:firstLine="440"/>
      <w:spacing w:line="400" w:lineRule="exact"/>
    </w:pPr>
    <w:rPr>
      <w:rFonts w:ascii="华文楷体" w:hAnsi="华文楷体" w:eastAsia="华文楷体" w:cs="华文楷体"/>
      <w:sz w:val="22"/>
      <w:szCs w:val="21"/>
    </w:rPr>
  </w:style>
  <w:style w:type="paragraph" w:styleId="1031" w:customStyle="1">
    <w:name w:val="修订2"/>
    <w:uiPriority w:val="99"/>
    <w:unhideWhenUsed/>
    <w:qFormat/>
    <w:rPr>
      <w:sz w:val="21"/>
      <w:szCs w:val="22"/>
    </w:rPr>
  </w:style>
  <w:style w:type="paragraph" w:styleId="1032" w:customStyle="1">
    <w:name w:val="页脚1"/>
    <w:basedOn w:val="725"/>
    <w:uiPriority w:val="99"/>
    <w:qFormat/>
    <w:pPr>
      <w:jc w:val="left"/>
      <w:tabs>
        <w:tab w:val="center" w:pos="4153" w:leader="none"/>
        <w:tab w:val="right" w:pos="8306" w:leader="none"/>
      </w:tabs>
    </w:pPr>
    <w:rPr>
      <w:rFonts w:ascii="Times New Roman" w:hAnsi="Times New Roman"/>
      <w:sz w:val="18"/>
      <w:szCs w:val="18"/>
    </w:rPr>
  </w:style>
  <w:style w:type="paragraph" w:styleId="1033" w:customStyle="1">
    <w:name w:val="页眉1"/>
    <w:basedOn w:val="725"/>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34" w:customStyle="1">
    <w:name w:val="修订3"/>
    <w:hidden/>
    <w:uiPriority w:val="99"/>
    <w:unhideWhenUsed/>
    <w:qFormat/>
    <w:rPr>
      <w:sz w:val="21"/>
      <w:szCs w:val="22"/>
    </w:rPr>
  </w:style>
  <w:style w:type="paragraph" w:styleId="1035" w:customStyle="1">
    <w:name w:val="修订4"/>
    <w:hidden/>
    <w:uiPriority w:val="99"/>
    <w:unhideWhenUsed/>
    <w:qFormat/>
    <w:rPr>
      <w:sz w:val="21"/>
      <w:szCs w:val="22"/>
    </w:rPr>
  </w:style>
  <w:style w:type="paragraph" w:styleId="1036" w:customStyle="1">
    <w:name w:val="修订5"/>
    <w:hidden/>
    <w:uiPriority w:val="99"/>
    <w:unhideWhenUsed/>
    <w:qFormat/>
    <w:rPr>
      <w:sz w:val="21"/>
      <w:szCs w:val="22"/>
    </w:rPr>
  </w:style>
  <w:style w:type="paragraph" w:styleId="1037" w:customStyle="1">
    <w:name w:val="修订6"/>
    <w:hidden/>
    <w:uiPriority w:val="99"/>
    <w:unhideWhenUsed/>
    <w:qFormat/>
    <w:rPr>
      <w:sz w:val="21"/>
      <w:szCs w:val="22"/>
    </w:rPr>
  </w:style>
  <w:style w:type="paragraph" w:styleId="1038">
    <w:name w:val="Revision"/>
    <w:hidden/>
    <w:uiPriority w:val="99"/>
    <w:unhideWhenUsed/>
    <w:rPr>
      <w:sz w:val="21"/>
      <w:szCs w:val="22"/>
    </w:rPr>
  </w:style>
  <w:style w:type="paragraph" w:styleId="1039" w:customStyle="1">
    <w:name w:val="Char1 Char Char Char"/>
    <w:basedOn w:val="725"/>
    <w:rPr>
      <w:rFonts w:ascii="Tahoma" w:hAnsi="Tahoma" w:eastAsia="仿宋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付钢</cp:lastModifiedBy>
  <cp:revision>19</cp:revision>
  <dcterms:created xsi:type="dcterms:W3CDTF">2026-08-12T08:57:00Z</dcterms:created>
  <dcterms:modified xsi:type="dcterms:W3CDTF">2026-08-26T03:42:19Z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eyJoZGlkIjoiYmQyM2ViMzA3MDE0NjU0ZjhmNGY2YWNhZTZkYzljMGMiLCJ1c2VySWQiOiIxMDAwODk3NzY3In0=</vt:lpwstr>
  </property>
  <property fmtid="{D5CDD505-2E9C-101B-9397-08002B2CF9AE}" pid="3" name="KSOProductBuildVer">
    <vt:lpwstr>2052-12.1.0.28043</vt:lpwstr>
  </property>
  <property fmtid="{D5CDD505-2E9C-101B-9397-08002B2CF9AE}" pid="4" name="ICV">
    <vt:lpwstr>D5EF63431E89483DA3F3D9D0E262EC85_13</vt:lpwstr>
  </property>
</Properties>
</file>