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78" w:right="105" w:firstLine="440"/>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760"/>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1120"/>
        <w:ind w:left="178" w:right="105" w:firstLine="880"/>
        <w:rPr>
          <w:rFonts w:ascii="黑体" w:hAnsi="宋体" w:eastAsia="黑体"/>
          <w:color w:val="auto"/>
          <w:sz w:val="44"/>
          <w:highlight w:val="none"/>
        </w:rPr>
      </w:pPr>
      <w:r>
        <w:rPr>
          <w:rFonts w:ascii="黑体" w:hAnsi="宋体" w:eastAsia="黑体"/>
          <w:color w:val="auto"/>
          <w:sz w:val="44"/>
          <w:highlight w:val="none"/>
        </w:rPr>
      </w:r>
      <w:r/>
    </w:p>
    <w:p>
      <w:pPr>
        <w:pStyle w:val="1120"/>
        <w:ind w:left="178" w:right="105" w:firstLine="880"/>
        <w:rPr>
          <w:rFonts w:ascii="黑体" w:hAnsi="宋体" w:eastAsia="黑体"/>
          <w:color w:val="auto"/>
          <w:sz w:val="44"/>
          <w:highlight w:val="none"/>
        </w:rPr>
      </w:pPr>
      <w:r>
        <w:rPr>
          <w:rFonts w:ascii="黑体" w:hAnsi="宋体" w:eastAsia="黑体"/>
          <w:color w:val="auto"/>
          <w:sz w:val="44"/>
          <w:highlight w:val="none"/>
        </w:rPr>
      </w:r>
      <w:r/>
    </w:p>
    <w:tbl>
      <w:tblPr>
        <w:tblStyle w:val="1058"/>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8637" w:type="dxa"/>
            <w:textDirection w:val="lrTb"/>
            <w:noWrap w:val="false"/>
          </w:tcPr>
          <w:p>
            <w:pPr>
              <w:ind w:right="105"/>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val="en-US" w:eastAsia="zh-CN"/>
              </w:rPr>
              <w:t xml:space="preserve">JSZC-320000-SMDG-G2026-0097</w:t>
            </w:r>
            <w:r/>
          </w:p>
          <w:p>
            <w:pPr>
              <w:ind w:left="2200" w:right="105"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val="en-US" w:eastAsia="zh-CN"/>
              </w:rPr>
              <w:t xml:space="preserve">江苏省产品质量监督检验研究院盐雾试验箱等设备采购</w:t>
            </w:r>
            <w:r/>
          </w:p>
        </w:tc>
      </w:tr>
    </w:tbl>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九</w:t>
      </w:r>
      <w:r>
        <w:rPr>
          <w:rFonts w:hint="eastAsia" w:ascii="黑体" w:hAnsi="宋体" w:eastAsia="黑体"/>
          <w:color w:val="auto"/>
          <w:sz w:val="44"/>
          <w:highlight w:val="none"/>
        </w:rPr>
        <w:t xml:space="preserve">月</w:t>
      </w:r>
      <w:r/>
    </w:p>
    <w:p>
      <w:pPr>
        <w:ind w:left="178" w:right="105" w:firstLine="440"/>
        <w:jc w:val="center"/>
        <w:spacing w:line="288" w:lineRule="auto"/>
        <w:rPr>
          <w:rFonts w:ascii="黑体" w:hAnsi="宋体" w:eastAsia="黑体"/>
          <w:color w:val="auto"/>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left="178" w:right="105" w:firstLine="340"/>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第一章招标</w:t>
      </w:r>
      <w:r>
        <w:rPr>
          <w:rFonts w:hint="eastAsia" w:ascii="黑体" w:hAnsi="宋体" w:eastAsia="黑体"/>
          <w:color w:val="auto"/>
          <w:spacing w:val="-10"/>
          <w:sz w:val="36"/>
          <w:szCs w:val="36"/>
          <w:highlight w:val="none"/>
          <w:lang w:val="en-US"/>
        </w:rPr>
        <w:t xml:space="preserve">公告</w:t>
      </w:r>
      <w:r/>
    </w:p>
    <w:p>
      <w:pPr>
        <w:ind w:left="178" w:right="105"/>
        <w:spacing w:line="288" w:lineRule="auto"/>
        <w:rPr>
          <w:rFonts w:ascii="宋体" w:hAnsi="宋体"/>
          <w:color w:val="auto"/>
          <w:szCs w:val="21"/>
          <w:highlight w:val="none"/>
        </w:rPr>
      </w:pPr>
      <w:r>
        <w:rPr>
          <w:rFonts w:ascii="宋体" w:hAnsi="宋体"/>
          <w:color w:val="auto"/>
          <w:szCs w:val="21"/>
          <w:highlight w:val="none"/>
        </w:rPr>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江苏省产品质量监督检验研究院盐雾试验箱等设备采购</w:t>
      </w:r>
      <w:r>
        <w:rPr>
          <w:rFonts w:hint="eastAsia" w:ascii="宋体" w:hAnsi="宋体" w:eastAsia="宋体"/>
          <w:color w:val="auto"/>
          <w:sz w:val="21"/>
          <w:szCs w:val="21"/>
          <w:highlight w:val="none"/>
        </w:rPr>
        <w:t xml:space="preserve">的潜在供应商应在“</w:t>
      </w:r>
      <w:r>
        <w:rPr>
          <w:rFonts w:hint="eastAsia" w:ascii="宋体" w:hAnsi="宋体" w:eastAsia="宋体"/>
          <w:color w:val="auto"/>
          <w:sz w:val="21"/>
          <w:szCs w:val="21"/>
          <w:highlight w:val="none"/>
          <w:lang w:val="en-US" w:eastAsia="zh-CN"/>
        </w:rPr>
        <w:t xml:space="preserve">苏采云</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系统</w:t>
      </w:r>
      <w:r>
        <w:rPr>
          <w:rFonts w:hint="eastAsia" w:ascii="宋体" w:hAnsi="宋体" w:eastAsia="宋体"/>
          <w:color w:val="auto"/>
          <w:sz w:val="21"/>
          <w:szCs w:val="21"/>
          <w:highlight w:val="none"/>
        </w:rPr>
        <w:t xml:space="preserve">获取采购文件，并于</w:t>
      </w:r>
      <w:r>
        <w:rPr>
          <w:rFonts w:hint="eastAsia" w:ascii="宋体" w:hAnsi="宋体" w:eastAsia="宋体"/>
          <w:color w:val="auto"/>
          <w:sz w:val="21"/>
          <w:szCs w:val="21"/>
          <w:highlight w:val="none"/>
          <w:lang w:eastAsia="zh-CN"/>
        </w:rPr>
        <w:t xml:space="preserve">2026年9月29日9:30</w:t>
      </w:r>
      <w:r>
        <w:rPr>
          <w:rFonts w:hint="eastAsia" w:ascii="宋体" w:hAnsi="宋体" w:eastAsia="宋体"/>
          <w:color w:val="auto"/>
          <w:sz w:val="21"/>
          <w:szCs w:val="21"/>
          <w:highlight w:val="none"/>
        </w:rPr>
        <w:t xml:space="preserve">（北京时间）前提交投标文件。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一、项目基本情况</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JSZC-320000-SMDG-G2026-0097</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eastAsia="zh-CN"/>
        </w:rPr>
        <w:t xml:space="preserve">江苏省产品质量监督检验研究院盐雾试验箱等设备采购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预算金额：</w:t>
      </w:r>
      <w:r>
        <w:rPr>
          <w:rFonts w:hint="eastAsia" w:ascii="宋体" w:hAnsi="宋体" w:eastAsia="宋体"/>
          <w:color w:val="auto"/>
          <w:sz w:val="21"/>
          <w:highlight w:val="none"/>
          <w:lang w:val="en-US"/>
        </w:rPr>
        <w:t xml:space="preserve">1</w:t>
      </w:r>
      <w:r>
        <w:rPr>
          <w:rFonts w:hint="eastAsia" w:ascii="宋体" w:hAnsi="宋体" w:eastAsia="宋体"/>
          <w:color w:val="auto"/>
          <w:sz w:val="21"/>
          <w:highlight w:val="none"/>
          <w:lang w:val="en-US" w:eastAsia="zh-CN"/>
        </w:rPr>
        <w:t xml:space="preserve">89</w:t>
      </w:r>
      <w:r>
        <w:rPr>
          <w:rFonts w:ascii="宋体" w:hAnsi="宋体" w:eastAsia="宋体"/>
          <w:color w:val="auto"/>
          <w:sz w:val="21"/>
          <w:highlight w:val="none"/>
        </w:rPr>
        <w:t xml:space="preserve">万</w:t>
      </w:r>
      <w:r>
        <w:rPr>
          <w:rFonts w:hint="eastAsia" w:ascii="宋体" w:hAnsi="宋体" w:eastAsia="宋体"/>
          <w:color w:val="auto"/>
          <w:sz w:val="21"/>
          <w:szCs w:val="21"/>
          <w:highlight w:val="none"/>
        </w:rPr>
        <w:t xml:space="preserve">元</w:t>
      </w:r>
      <w:r/>
    </w:p>
    <w:p>
      <w:p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highlight w:val="none"/>
          <w:lang w:val="en-US"/>
        </w:rPr>
        <w:t xml:space="preserve">1</w:t>
      </w:r>
      <w:r>
        <w:rPr>
          <w:rFonts w:hint="eastAsia" w:ascii="宋体" w:hAnsi="宋体" w:eastAsia="宋体"/>
          <w:color w:val="auto"/>
          <w:sz w:val="21"/>
          <w:highlight w:val="none"/>
          <w:lang w:val="en-US" w:eastAsia="zh-CN"/>
        </w:rPr>
        <w:t xml:space="preserve">89</w:t>
      </w:r>
      <w:r>
        <w:rPr>
          <w:rFonts w:ascii="宋体" w:hAnsi="宋体" w:eastAsia="宋体"/>
          <w:color w:val="auto"/>
          <w:sz w:val="21"/>
          <w:highlight w:val="none"/>
        </w:rPr>
        <w:t xml:space="preserve">万</w:t>
      </w:r>
      <w:r>
        <w:rPr>
          <w:rFonts w:hint="eastAsia" w:ascii="宋体" w:hAnsi="宋体" w:eastAsia="宋体"/>
          <w:color w:val="auto"/>
          <w:sz w:val="21"/>
          <w:szCs w:val="21"/>
          <w:highlight w:val="none"/>
          <w:lang w:val="en-US"/>
        </w:rPr>
        <w:t xml:space="preserve">元,超过最高限价作无效投标处理</w:t>
      </w:r>
      <w:r/>
    </w:p>
    <w:p>
      <w:pPr>
        <w:ind w:right="105"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采购需求：</w:t>
      </w:r>
      <w:r/>
    </w:p>
    <w:tbl>
      <w:tblPr>
        <w:tblStyle w:val="1058"/>
        <w:tblW w:w="4769" w:type="pct"/>
        <w:tblInd w:w="455" w:type="dxa"/>
        <w:tblLayout w:type="autofit"/>
        <w:tblCellMar>
          <w:left w:w="108" w:type="dxa"/>
          <w:top w:w="0" w:type="dxa"/>
          <w:right w:w="108" w:type="dxa"/>
          <w:bottom w:w="0" w:type="dxa"/>
        </w:tblCellMar>
        <w:tblLook w:val="04A0" w:firstRow="1" w:lastRow="0" w:firstColumn="1" w:lastColumn="0" w:noHBand="0" w:noVBand="1"/>
      </w:tblPr>
      <w:tblGrid>
        <w:gridCol w:w="773"/>
        <w:gridCol w:w="1581"/>
        <w:gridCol w:w="1368"/>
        <w:gridCol w:w="1368"/>
        <w:gridCol w:w="1451"/>
        <w:gridCol w:w="1451"/>
        <w:gridCol w:w="1408"/>
      </w:tblGrid>
      <w:tr>
        <w:trPr/>
        <w:tc>
          <w:tcPr>
            <w:shd w:val="clear" w:color="auto" w:fill="ffffff"/>
            <w:tcBorders>
              <w:top w:val="single" w:color="000000" w:sz="4" w:space="0"/>
              <w:left w:val="single" w:color="000000" w:sz="4" w:space="0"/>
              <w:bottom w:val="single" w:color="000000" w:sz="4" w:space="0"/>
              <w:right w:val="single" w:color="000000" w:sz="4" w:space="0"/>
            </w:tcBorders>
            <w:tcW w:w="411" w:type="pct"/>
            <w:textDirection w:val="lrTb"/>
            <w:noWrap w:val="false"/>
          </w:tcPr>
          <w:p>
            <w:pPr>
              <w:rPr>
                <w:color w:val="auto"/>
                <w:highlight w:val="none"/>
              </w:rPr>
            </w:pPr>
            <w:r>
              <w:rPr>
                <w:rFonts w:ascii="宋体" w:hAnsi="宋体" w:eastAsia="宋体"/>
                <w:color w:val="auto"/>
                <w:sz w:val="21"/>
                <w:highlight w:val="none"/>
              </w:rPr>
              <w:t xml:space="preserve">包号</w:t>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rFonts w:ascii="宋体" w:hAnsi="宋体" w:eastAsia="宋体"/>
                <w:color w:val="auto"/>
                <w:sz w:val="21"/>
                <w:highlight w:val="none"/>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价格条件</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★合同履行期限（交货期）</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最高限价（万元）</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rPr>
                <w:color w:val="auto"/>
                <w:highlight w:val="none"/>
              </w:rPr>
            </w:pPr>
            <w:r>
              <w:rPr>
                <w:rFonts w:ascii="宋体" w:hAnsi="宋体" w:eastAsia="宋体"/>
                <w:color w:val="auto"/>
                <w:sz w:val="21"/>
                <w:highlight w:val="none"/>
              </w:rPr>
              <w:t xml:space="preserve">是否接受进口产品</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11" w:type="pct"/>
            <w:vMerge w:val="restart"/>
            <w:textDirection w:val="lrTb"/>
            <w:noWrap w:val="false"/>
          </w:tcPr>
          <w:p>
            <w:pPr>
              <w:rPr>
                <w:rFonts w:ascii="宋体" w:hAnsi="宋体" w:eastAsia="宋体"/>
                <w:color w:val="auto"/>
                <w:sz w:val="21"/>
                <w:highlight w:val="none"/>
              </w:rPr>
            </w:pPr>
            <w:r>
              <w:rPr>
                <w:rFonts w:ascii="宋体" w:hAnsi="宋体" w:eastAsia="宋体"/>
                <w:color w:val="auto"/>
                <w:sz w:val="21"/>
                <w:highlight w:val="none"/>
              </w:rPr>
              <w:t xml:space="preserve">1</w:t>
            </w:r>
            <w:r/>
          </w:p>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rFonts w:ascii="宋体" w:hAnsi="宋体" w:eastAsia="宋体"/>
                <w:color w:val="auto"/>
                <w:sz w:val="21"/>
                <w:highlight w:val="none"/>
              </w:rPr>
              <w:t xml:space="preserve">盐雾试验箱</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合同签订后</w:t>
            </w:r>
            <w:r>
              <w:rPr>
                <w:rFonts w:hint="eastAsia" w:ascii="宋体" w:hAnsi="宋体" w:eastAsia="宋体"/>
                <w:color w:val="auto"/>
                <w:sz w:val="21"/>
                <w:highlight w:val="none"/>
                <w:lang w:val="en-US" w:eastAsia="zh-CN"/>
              </w:rPr>
              <w:t xml:space="preserve">20日</w:t>
            </w:r>
            <w:r>
              <w:rPr>
                <w:rFonts w:ascii="宋体" w:hAnsi="宋体" w:eastAsia="宋体"/>
                <w:color w:val="auto"/>
                <w:sz w:val="21"/>
                <w:highlight w:val="none"/>
              </w:rPr>
              <w:t xml:space="preserve">内</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color w:val="auto"/>
                <w:highlight w:val="none"/>
              </w:rPr>
            </w:pPr>
            <w:r>
              <w:rPr>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11"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rFonts w:ascii="宋体" w:hAnsi="宋体" w:eastAsia="宋体"/>
                <w:color w:val="auto"/>
                <w:sz w:val="21"/>
                <w:highlight w:val="none"/>
              </w:rPr>
              <w:t xml:space="preserve">高低温试验箱</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合同签订后</w:t>
            </w:r>
            <w:r>
              <w:rPr>
                <w:rFonts w:hint="eastAsia" w:ascii="宋体" w:hAnsi="宋体" w:eastAsia="宋体"/>
                <w:color w:val="auto"/>
                <w:sz w:val="21"/>
                <w:highlight w:val="none"/>
                <w:lang w:val="en-US" w:eastAsia="zh-CN"/>
              </w:rPr>
              <w:t xml:space="preserve">1</w:t>
            </w:r>
            <w:r>
              <w:rPr>
                <w:rFonts w:ascii="宋体" w:hAnsi="宋体" w:eastAsia="宋体"/>
                <w:color w:val="auto"/>
                <w:sz w:val="21"/>
                <w:highlight w:val="none"/>
              </w:rPr>
              <w:t xml:space="preserve">个月内</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color w:val="auto"/>
                <w:highlight w:val="none"/>
              </w:rPr>
            </w:pPr>
            <w:r>
              <w:rPr>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11"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rFonts w:ascii="宋体" w:hAnsi="宋体" w:eastAsia="宋体"/>
                <w:color w:val="auto"/>
                <w:sz w:val="21"/>
                <w:highlight w:val="none"/>
              </w:rPr>
              <w:t xml:space="preserve">高低温试验箱</w:t>
            </w:r>
            <w:r>
              <w:rPr>
                <w:rFonts w:hint="eastAsia" w:ascii="宋体" w:hAnsi="宋体" w:eastAsia="宋体"/>
                <w:b/>
                <w:bCs/>
                <w:color w:val="auto"/>
                <w:sz w:val="21"/>
                <w:highlight w:val="none"/>
                <w:lang w:eastAsia="zh-CN"/>
              </w:rPr>
              <w:t xml:space="preserve">（</w:t>
            </w:r>
            <w:r>
              <w:rPr>
                <w:rFonts w:hint="eastAsia" w:ascii="宋体" w:hAnsi="宋体" w:eastAsia="宋体"/>
                <w:b/>
                <w:bCs/>
                <w:color w:val="auto"/>
                <w:sz w:val="21"/>
                <w:highlight w:val="none"/>
                <w:lang w:val="en-US" w:eastAsia="zh-CN"/>
              </w:rPr>
              <w:t xml:space="preserve">核心产品</w:t>
            </w:r>
            <w:r>
              <w:rPr>
                <w:rFonts w:hint="eastAsia" w:ascii="宋体" w:hAnsi="宋体" w:eastAsia="宋体"/>
                <w:b/>
                <w:bCs/>
                <w:color w:val="auto"/>
                <w:sz w:val="21"/>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rFonts w:eastAsia="宋体"/>
                <w:color w:val="auto"/>
                <w:highlight w:val="none"/>
              </w:rPr>
            </w:pPr>
            <w:r>
              <w:rPr>
                <w:rFonts w:hint="eastAsia" w:ascii="宋体" w:hAnsi="宋体" w:eastAsia="宋体"/>
                <w:color w:val="auto"/>
                <w:sz w:val="21"/>
                <w:highlight w:val="none"/>
                <w:lang w:val="en-US"/>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1451" w:type="dxa"/>
            <w:vAlign w:val="top"/>
            <w:textDirection w:val="lrTb"/>
            <w:noWrap w:val="false"/>
          </w:tcPr>
          <w:p>
            <w:pPr>
              <w:rPr>
                <w:rFonts w:hint="eastAsia" w:eastAsia="宋体"/>
                <w:color w:val="auto"/>
                <w:highlight w:val="none"/>
                <w:lang w:eastAsia="zh-CN"/>
              </w:rPr>
            </w:pPr>
            <w:r>
              <w:rPr>
                <w:rFonts w:hint="eastAsia" w:ascii="宋体" w:hAnsi="宋体" w:eastAsia="宋体"/>
                <w:color w:val="auto"/>
                <w:sz w:val="21"/>
                <w:highlight w:val="none"/>
                <w:lang w:eastAsia="zh-CN"/>
              </w:rPr>
              <w:t xml:space="preserve">合同签订后45天内</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rFonts w:eastAsia="宋体"/>
                <w:color w:val="auto"/>
                <w:highlight w:val="none"/>
                <w:lang w:val="en-US"/>
              </w:rPr>
            </w:pPr>
            <w:r>
              <w:rPr>
                <w:rFonts w:hint="eastAsia" w:ascii="宋体" w:hAnsi="宋体" w:eastAsia="宋体"/>
                <w:color w:val="auto"/>
                <w:sz w:val="21"/>
                <w:highlight w:val="none"/>
                <w:lang w:val="en-US"/>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rFonts w:eastAsiaTheme="minorEastAsia"/>
                <w:color w:val="auto"/>
                <w:highlight w:val="none"/>
              </w:rPr>
            </w:pPr>
            <w:r>
              <w:rPr>
                <w:rFonts w:eastAsiaTheme="minorEastAsia"/>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11"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rFonts w:ascii="宋体" w:hAnsi="宋体" w:eastAsia="宋体"/>
                <w:color w:val="auto"/>
                <w:sz w:val="21"/>
                <w:highlight w:val="none"/>
              </w:rPr>
              <w:t xml:space="preserve">音视频类综合测量仪（含半消声室）</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1451" w:type="dxa"/>
            <w:vAlign w:val="top"/>
            <w:textDirection w:val="lrTb"/>
            <w:noWrap w:val="false"/>
          </w:tcPr>
          <w:p>
            <w:pPr>
              <w:rPr>
                <w:rFonts w:hint="eastAsia" w:eastAsia="宋体"/>
                <w:color w:val="auto"/>
                <w:highlight w:val="none"/>
                <w:lang w:eastAsia="zh-CN"/>
              </w:rPr>
            </w:pPr>
            <w:r>
              <w:rPr>
                <w:rFonts w:hint="eastAsia" w:ascii="宋体" w:hAnsi="宋体" w:eastAsia="宋体"/>
                <w:color w:val="auto"/>
                <w:sz w:val="21"/>
                <w:highlight w:val="none"/>
                <w:lang w:eastAsia="zh-CN"/>
              </w:rPr>
              <w:t xml:space="preserve">合同签订后45天内</w:t>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ascii="宋体" w:hAnsi="宋体" w:eastAsia="宋体"/>
                <w:color w:val="auto"/>
                <w:sz w:val="21"/>
                <w:highlight w:val="none"/>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keepLines/>
              <w:keepNext/>
              <w:spacing w:line="390" w:lineRule="atLeast"/>
              <w:shd w:val="clear" w:color="auto" w:fill="ffffff"/>
              <w:rPr>
                <w:rFonts w:eastAsiaTheme="minorEastAsia"/>
                <w:b w:val="0"/>
                <w:color w:val="auto"/>
                <w:sz w:val="21"/>
                <w:szCs w:val="21"/>
                <w:highlight w:val="none"/>
              </w:rPr>
              <w:outlineLvl w:val="2"/>
            </w:pPr>
            <w:r>
              <w:rPr>
                <w:rFonts w:eastAsiaTheme="minorEastAsia"/>
                <w:b w:val="0"/>
                <w:color w:val="auto"/>
                <w:sz w:val="21"/>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11" w:type="pct"/>
            <w:textDirection w:val="lrTb"/>
            <w:noWrap w:val="false"/>
          </w:tcPr>
          <w:p>
            <w:pPr>
              <w:rPr>
                <w:color w:val="auto"/>
                <w:highlight w:val="none"/>
              </w:rPr>
            </w:pPr>
            <w:r>
              <w:rPr>
                <w:rFonts w:ascii="宋体" w:hAnsi="宋体" w:eastAsia="宋体"/>
                <w:color w:val="auto"/>
                <w:sz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840"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7"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1" w:type="pct"/>
            <w:textDirection w:val="lrTb"/>
            <w:noWrap w:val="false"/>
          </w:tcPr>
          <w:p>
            <w:pPr>
              <w:rPr>
                <w:color w:val="auto"/>
                <w:highlight w:val="none"/>
              </w:rPr>
            </w:pPr>
            <w:r>
              <w:rPr>
                <w:rFonts w:hint="eastAsia" w:ascii="宋体" w:hAnsi="宋体" w:eastAsia="宋体"/>
                <w:color w:val="auto"/>
                <w:sz w:val="21"/>
                <w:highlight w:val="none"/>
                <w:lang w:val="en-US"/>
              </w:rPr>
              <w:t xml:space="preserve">1</w:t>
            </w:r>
            <w:r>
              <w:rPr>
                <w:rFonts w:hint="eastAsia" w:ascii="宋体" w:hAnsi="宋体" w:eastAsia="宋体"/>
                <w:color w:val="auto"/>
                <w:sz w:val="21"/>
                <w:highlight w:val="none"/>
                <w:lang w:val="en-US" w:eastAsia="zh-CN"/>
              </w:rPr>
              <w:t xml:space="preserve">89</w:t>
            </w:r>
            <w:r>
              <w:rPr>
                <w:rFonts w:ascii="宋体" w:hAnsi="宋体" w:eastAsia="宋体"/>
                <w:color w:val="auto"/>
                <w:sz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W w:w="748" w:type="pct"/>
            <w:textDirection w:val="lrTb"/>
            <w:noWrap w:val="false"/>
          </w:tcPr>
          <w:p>
            <w:pPr>
              <w:rPr>
                <w:color w:val="auto"/>
                <w:highlight w:val="none"/>
              </w:rPr>
            </w:pPr>
            <w:r>
              <w:rPr>
                <w:color w:val="auto"/>
                <w:highlight w:val="none"/>
              </w:rPr>
            </w:r>
            <w:r/>
          </w:p>
        </w:tc>
      </w:tr>
    </w:tbl>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rPr>
          <w:rFonts w:hint="eastAsia" w:ascii="宋体" w:hAnsi="宋体" w:eastAsia="宋体"/>
          <w:color w:val="auto"/>
          <w:sz w:val="21"/>
          <w:szCs w:val="21"/>
          <w:highlight w:val="none"/>
          <w:lang w:val="en-US"/>
        </w:rPr>
        <w:t xml:space="preserve">投标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面向中小企业采购。</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面向监狱企业采购。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面向残疾人福利性单位采购。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本项目所属行业：工业（制造业）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二、申请人的资格要求：</w:t>
      </w:r>
      <w:r/>
    </w:p>
    <w:p>
      <w:pPr>
        <w:ind w:left="178" w:right="105" w:firstLine="211"/>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w:t>
      </w:r>
      <w:r>
        <w:rPr>
          <w:rFonts w:hint="eastAsia" w:hAnsi="宋体" w:eastAsia="宋体"/>
          <w:color w:val="auto"/>
          <w:sz w:val="21"/>
          <w:szCs w:val="21"/>
          <w:highlight w:val="none"/>
          <w:lang w:val="en-US"/>
        </w:rPr>
        <w:t xml:space="preserve">三个月内</w:t>
      </w:r>
      <w:r>
        <w:rPr>
          <w:rFonts w:hint="eastAsia" w:hAnsi="宋体"/>
          <w:color w:val="auto"/>
          <w:sz w:val="21"/>
          <w:szCs w:val="21"/>
          <w:highlight w:val="none"/>
        </w:rPr>
        <w:t xml:space="preserve">（</w:t>
      </w:r>
      <w:r>
        <w:rPr>
          <w:rFonts w:hint="eastAsia" w:hAnsi="宋体" w:eastAsia="宋体"/>
          <w:color w:val="auto"/>
          <w:sz w:val="21"/>
          <w:szCs w:val="21"/>
          <w:highlight w:val="none"/>
          <w:lang w:val="en-US"/>
        </w:rPr>
        <w:t xml:space="preserve">任意</w:t>
      </w:r>
      <w:r>
        <w:rPr>
          <w:rFonts w:hint="eastAsia" w:hAnsi="宋体"/>
          <w:color w:val="auto"/>
          <w:sz w:val="21"/>
          <w:szCs w:val="21"/>
          <w:highlight w:val="none"/>
        </w:rPr>
        <w:t xml:space="preserve">一个月）</w:t>
      </w:r>
      <w:r>
        <w:rPr>
          <w:rFonts w:hint="eastAsia" w:ascii="宋体" w:hAnsi="宋体" w:eastAsia="宋体"/>
          <w:color w:val="auto"/>
          <w:sz w:val="21"/>
          <w:szCs w:val="21"/>
          <w:highlight w:val="none"/>
        </w:rPr>
        <w:t xml:space="preserve">企业编制的会计报表（至少包含资产负债表、利润表）</w:t>
      </w:r>
      <w:r>
        <w:rPr>
          <w:rFonts w:hint="eastAsia" w:ascii="宋体" w:hAnsi="宋体" w:eastAsia="宋体"/>
          <w:color w:val="auto"/>
          <w:sz w:val="21"/>
          <w:szCs w:val="21"/>
          <w:highlight w:val="none"/>
          <w:lang w:val="en-US"/>
        </w:rPr>
        <w:t xml:space="preserve">或者2024或2025度的财务审计报告，成立不足一年的提供银行资信证明复印件。</w:t>
      </w:r>
      <w:r>
        <w:rPr>
          <w:rFonts w:hint="eastAsia" w:ascii="宋体" w:hAnsi="宋体" w:eastAsia="宋体"/>
          <w:color w:val="auto"/>
          <w:sz w:val="21"/>
          <w:szCs w:val="21"/>
          <w:highlight w:val="none"/>
        </w:rPr>
        <w:t xml:space="preserve">）；</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（4）有依法缴纳税收和社会保障资金的良好记录（提供参加本次政府采购活动前三个月内（至少一个月）依法缴纳税收和社会保障资金的相关材料）；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left="178" w:right="105" w:firstLine="211"/>
        <w:spacing w:line="360" w:lineRule="auto"/>
        <w:shd w:val="clear" w:color="auto" w:fill="ffffff"/>
        <w:widowControl/>
        <w:rPr>
          <w:rFonts w:ascii="宋体" w:hAnsi="宋体" w:eastAsia="宋体"/>
          <w:color w:val="auto"/>
          <w:sz w:val="21"/>
          <w:szCs w:val="21"/>
          <w:highlight w:val="none"/>
        </w:rPr>
      </w:pPr>
      <w:r>
        <w:rPr>
          <w:rFonts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left="178" w:right="105" w:firstLine="211"/>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3.本项目的特定资格要求：</w:t>
      </w:r>
      <w:r>
        <w:rPr>
          <w:rFonts w:hint="eastAsia" w:ascii="宋体" w:hAnsi="宋体" w:eastAsia="宋体"/>
          <w:b/>
          <w:bCs/>
          <w:color w:val="auto"/>
          <w:sz w:val="21"/>
          <w:szCs w:val="21"/>
          <w:highlight w:val="none"/>
          <w:lang w:val="en-US"/>
        </w:rPr>
        <w:t xml:space="preserve">无。</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（2）凡为采购项目提供整体设计、规范编制或者项目管理、监理、检测等服务的供应商，不得再参加本项目的采购活动。</w:t>
      </w:r>
      <w:r/>
    </w:p>
    <w:p>
      <w:pPr>
        <w:pStyle w:val="1120"/>
        <w:ind w:right="105"/>
        <w:spacing w:line="360" w:lineRule="auto"/>
        <w:rPr>
          <w:rFonts w:eastAsia="宋体"/>
          <w:color w:val="auto"/>
          <w:highlight w:val="none"/>
          <w:lang w:val="en-US"/>
        </w:rPr>
      </w:pPr>
      <w:r>
        <w:rPr>
          <w:rFonts w:hint="eastAsia" w:ascii="宋体" w:hAnsi="宋体" w:eastAsia="宋体"/>
          <w:color w:val="auto"/>
          <w:sz w:val="21"/>
          <w:szCs w:val="21"/>
          <w:highlight w:val="none"/>
        </w:rPr>
        <w:t xml:space="preserve">（3）供应商被“信用中国”网站（www.creditchina.gov.cn）、</w:t>
      </w:r>
      <w:r>
        <w:rPr>
          <w:rFonts w:hint="eastAsia" w:ascii="宋体" w:hAnsi="宋体" w:eastAsia="宋体"/>
          <w:color w:val="auto"/>
          <w:sz w:val="21"/>
          <w:szCs w:val="21"/>
          <w:highlight w:val="none"/>
          <w:lang w:eastAsia="zh-CN"/>
        </w:rPr>
        <w:t xml:space="preserve">“中国政府采购网”</w:t>
      </w:r>
      <w:r>
        <w:rPr>
          <w:rFonts w:hint="eastAsia" w:ascii="宋体" w:hAnsi="宋体" w:eastAsia="宋体"/>
          <w:color w:val="auto"/>
          <w:sz w:val="21"/>
          <w:szCs w:val="21"/>
          <w:highlight w:val="none"/>
        </w:rPr>
        <w:t xml:space="preserve">(www.ccgp.gov.cn)列入失信被执行人、税收违法黑名单、政府采购严重违法失信行为记录名单。</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三、获取采购文件</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1.获取时间：自招标公告发布之日起5个工作日 </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89"/>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489"/>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四、投标截止时间、开标时间和地点</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1、投标截止时间：</w:t>
      </w:r>
      <w:r>
        <w:rPr>
          <w:rFonts w:hint="eastAsia" w:ascii="宋体" w:hAnsi="宋体" w:eastAsia="宋体"/>
          <w:color w:val="auto"/>
          <w:sz w:val="21"/>
          <w:szCs w:val="21"/>
          <w:highlight w:val="none"/>
          <w:lang w:eastAsia="zh-CN"/>
        </w:rPr>
        <w:t xml:space="preserve">2026年9月29日9:30</w:t>
      </w:r>
      <w:r>
        <w:rPr>
          <w:rFonts w:hint="eastAsia" w:ascii="宋体" w:hAnsi="宋体" w:eastAsia="宋体"/>
          <w:color w:val="auto"/>
          <w:sz w:val="21"/>
          <w:szCs w:val="21"/>
          <w:highlight w:val="none"/>
        </w:rPr>
        <w:t xml:space="preserve">（北京时间）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2、开标时间：</w:t>
      </w:r>
      <w:r>
        <w:rPr>
          <w:rFonts w:hint="eastAsia" w:ascii="宋体" w:hAnsi="宋体" w:eastAsia="宋体"/>
          <w:color w:val="auto"/>
          <w:sz w:val="21"/>
          <w:szCs w:val="21"/>
          <w:highlight w:val="none"/>
          <w:lang w:eastAsia="zh-CN"/>
        </w:rPr>
        <w:t xml:space="preserve">2026年9月29日9:30</w:t>
      </w:r>
      <w:r>
        <w:rPr>
          <w:rFonts w:hint="eastAsia" w:ascii="宋体" w:hAnsi="宋体" w:eastAsia="宋体"/>
          <w:color w:val="auto"/>
          <w:sz w:val="21"/>
          <w:szCs w:val="21"/>
          <w:highlight w:val="none"/>
        </w:rPr>
        <w:t xml:space="preserve">（北京时间）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3、开标地点：“苏采云”系统（网址： http://jszfcg.jsczt.cn/）“开标大厅”，点击“苏采云”进入系统“开标大厅”。</w:t>
      </w:r>
      <w:r/>
    </w:p>
    <w:p>
      <w:pPr>
        <w:ind w:left="178" w:right="105" w:firstLine="21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注：各供应商请关注开标大厅交流区，在开标结束后，请勿离开开标大厅。</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、公告期限</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六</w:t>
      </w:r>
      <w:r>
        <w:rPr>
          <w:rFonts w:hint="eastAsia" w:ascii="宋体" w:hAnsi="宋体" w:eastAsia="宋体"/>
          <w:color w:val="auto"/>
          <w:sz w:val="21"/>
          <w:szCs w:val="21"/>
          <w:highlight w:val="none"/>
        </w:rPr>
        <w:t xml:space="preserve">、其他补充事宜</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1、本项目公告媒体:江苏省政府采购网(http://wwnw.ccgpjiamgsu gov.cn/)</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numPr>
          <w:ilvl w:val="0"/>
          <w:numId w:val="6"/>
        </w:numPr>
        <w:ind w:left="178" w:right="105" w:firstLine="210"/>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widowControl/>
        <w:rPr>
          <w:rFonts w:ascii="宋体" w:hAnsi="宋体" w:eastAsia="宋体"/>
          <w:b/>
          <w:bCs/>
          <w:color w:val="auto"/>
          <w:sz w:val="21"/>
          <w:szCs w:val="21"/>
          <w:highlight w:val="none"/>
          <w:lang w:val="en-US"/>
        </w:rPr>
      </w:pPr>
      <w:r>
        <w:rPr>
          <w:rFonts w:hint="eastAsia" w:ascii="宋体" w:hAnsi="宋体" w:eastAsia="宋体"/>
          <w:color w:val="auto"/>
          <w:sz w:val="21"/>
          <w:szCs w:val="21"/>
          <w:highlight w:val="none"/>
        </w:rPr>
        <w:t xml:space="preserve">4.有关本次招标的事项若存在变动或修改，敬请及时关注在“江苏政府采购网”发布的更正公告。</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七</w:t>
      </w:r>
      <w:r>
        <w:rPr>
          <w:rFonts w:hint="eastAsia" w:ascii="宋体" w:hAnsi="宋体" w:eastAsia="宋体"/>
          <w:color w:val="auto"/>
          <w:sz w:val="21"/>
          <w:szCs w:val="21"/>
          <w:highlight w:val="none"/>
        </w:rPr>
        <w:t xml:space="preserve">、凡对本次采购提出询问，请按以下方式联系。</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称：江苏省产品质量监督检验研究院</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地址：南京市秦淮区光华东街5号</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联系人：吴工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联系方式：025-84470300</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联系方式：025-</w:t>
      </w:r>
      <w:r>
        <w:rPr>
          <w:rFonts w:hint="eastAsia" w:ascii="宋体" w:hAnsi="宋体" w:eastAsia="宋体"/>
          <w:color w:val="auto"/>
          <w:sz w:val="21"/>
          <w:szCs w:val="21"/>
          <w:highlight w:val="none"/>
          <w:lang w:eastAsia="zh-CN"/>
        </w:rPr>
        <w:t xml:space="preserve">84531056</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周翠</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高雅婧、</w:t>
      </w:r>
      <w:r>
        <w:rPr>
          <w:rFonts w:hint="eastAsia" w:ascii="宋体" w:hAnsi="宋体" w:eastAsia="宋体"/>
          <w:color w:val="auto"/>
          <w:sz w:val="21"/>
          <w:szCs w:val="21"/>
          <w:highlight w:val="none"/>
        </w:rPr>
        <w:t xml:space="preserve">杨扬</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话：025-</w:t>
      </w:r>
      <w:r>
        <w:rPr>
          <w:rFonts w:hint="eastAsia" w:ascii="宋体" w:hAnsi="宋体" w:eastAsia="宋体"/>
          <w:color w:val="auto"/>
          <w:sz w:val="21"/>
          <w:szCs w:val="21"/>
          <w:highlight w:val="none"/>
          <w:lang w:eastAsia="zh-CN"/>
        </w:rPr>
        <w:t xml:space="preserve">84531056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025-84532452、</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ind w:left="178" w:right="105"/>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left="178" w:right="105"/>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1、适用法律</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《中华人民共和国政府采购法》、《中华人民共和国政府采购法实施条例》等有关法律、规章和规定等。</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”是指参加投标竞争，并符合采购文件规定资格条件的法人、其他组织或者自然人。</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 “货物和服务”指本采购文件中所述</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及相关服务。</w:t>
      </w:r>
      <w:r>
        <w:rPr>
          <w:rFonts w:hint="eastAsia" w:ascii="宋体" w:hAnsi="宋体" w:eastAsia="宋体"/>
          <w:color w:val="auto"/>
          <w:szCs w:val="21"/>
          <w:highlight w:val="none"/>
        </w:rPr>
        <w:t xml:space="preserve">本次招标</w:t>
      </w:r>
      <w:r>
        <w:rPr>
          <w:rFonts w:hint="eastAsia" w:ascii="宋体" w:hAnsi="宋体" w:eastAsia="宋体"/>
          <w:b/>
          <w:color w:val="auto"/>
          <w:szCs w:val="21"/>
          <w:highlight w:val="none"/>
        </w:rPr>
        <w:t xml:space="preserve">除在“招标公告”中说明外</w:t>
      </w:r>
      <w:r>
        <w:rPr>
          <w:rFonts w:hint="eastAsia" w:ascii="宋体" w:hAnsi="宋体" w:eastAsia="宋体"/>
          <w:color w:val="auto"/>
          <w:szCs w:val="21"/>
          <w:highlight w:val="none"/>
        </w:rPr>
        <w:t xml:space="preserve">不接受进口产品投标，</w:t>
      </w:r>
      <w:r>
        <w:rPr>
          <w:rFonts w:hint="eastAsia" w:ascii="宋体" w:hAnsi="宋体" w:eastAsia="宋体"/>
          <w:b/>
          <w:color w:val="auto"/>
          <w:szCs w:val="21"/>
          <w:highlight w:val="none"/>
        </w:rPr>
        <w:t xml:space="preserve">进口产品是指通过中国海关报关验放进入中国境内且产自关境外的产品。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及服务的单位。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3.7进口产品政策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（2）允许进口产品参加的，满足需求的国内产品可以参加。</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（3）允许进口产品参加的，优先采购向我国企业转让技术、与我国企业签订消化吸收再创新方案的投标人的进口产品。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3.8未按要求提供相关材料的，不享受相关政策。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3.9政府采购中实施本国产品标准及相关政策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3.9.1.本项目对采购本国产品给予政策支持，具体内容见招标文件“第三章 评分标准”。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4、</w:t>
      </w:r>
      <w:r>
        <w:rPr>
          <w:rFonts w:hint="eastAsia" w:ascii="宋体" w:hAnsi="宋体" w:eastAsia="宋体"/>
          <w:b/>
          <w:bCs/>
          <w:color w:val="auto"/>
          <w:sz w:val="21"/>
          <w:szCs w:val="21"/>
          <w:highlight w:val="none"/>
        </w:rPr>
        <w:t xml:space="preserve">投标费用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 中标服务费：</w:t>
      </w:r>
      <w:r>
        <w:rPr>
          <w:rFonts w:hint="eastAsia" w:hAnsi="宋体"/>
          <w:color w:val="auto"/>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color w:val="auto"/>
          <w:szCs w:val="21"/>
          <w:highlight w:val="none"/>
          <w:lang w:val="en-US"/>
        </w:rPr>
        <w:t xml:space="preserve">中标服务</w:t>
      </w:r>
      <w:r>
        <w:rPr>
          <w:rFonts w:hint="eastAsia" w:hAnsi="宋体"/>
          <w:color w:val="auto"/>
          <w:szCs w:val="21"/>
          <w:highlight w:val="none"/>
        </w:rPr>
        <w:t xml:space="preserve">费由</w:t>
      </w:r>
      <w:r>
        <w:rPr>
          <w:rFonts w:hint="eastAsia" w:hAnsi="宋体"/>
          <w:color w:val="auto"/>
          <w:szCs w:val="21"/>
          <w:highlight w:val="none"/>
          <w:lang w:val="en-US"/>
        </w:rPr>
        <w:t xml:space="preserve">中标</w:t>
      </w:r>
      <w:r>
        <w:rPr>
          <w:rFonts w:hint="eastAsia" w:hAnsi="宋体"/>
          <w:color w:val="auto"/>
          <w:szCs w:val="21"/>
          <w:highlight w:val="none"/>
        </w:rPr>
        <w:t xml:space="preserve">供应商在领取成交通知书时，一次性支付至采购代理机构。</w:t>
      </w:r>
      <w:r>
        <w:rPr>
          <w:rFonts w:hint="eastAsia" w:ascii="宋体" w:hAnsi="宋体" w:eastAsia="宋体"/>
          <w:color w:val="auto"/>
          <w:sz w:val="21"/>
          <w:szCs w:val="21"/>
          <w:highlight w:val="none"/>
        </w:rPr>
        <w:t xml:space="preserve">中标服务费采用差额定率累进计费方式，中标人按照“国家计委关于印发《招标代理服务收费管理暂行办法》的通知《招标代理服务收费管理暂行办法》（计价格[2002]1980 号）”中规定的收费标准的65%向采购代理机构交付招标代理服务费，本项费用无需在投标报价表中单列。</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服务费</w:t>
      </w:r>
      <w:r>
        <w:rPr>
          <w:rFonts w:hint="eastAsia" w:ascii="宋体" w:hAnsi="宋体" w:eastAsia="宋体"/>
          <w:b/>
          <w:color w:val="auto"/>
          <w:sz w:val="21"/>
          <w:szCs w:val="21"/>
          <w:highlight w:val="none"/>
        </w:rPr>
        <w:t xml:space="preserve">受理单位：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单位名称：苏美达国际技术贸易有限公司</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开户银行：中信南京分行营业部</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账号：7321010182300013675</w:t>
      </w:r>
      <w:r/>
    </w:p>
    <w:p>
      <w:pPr>
        <w:ind w:left="176" w:right="108"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二、投标文件编制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5、供应商应当按照招标文件的要求编制投标文件，并对其提交的投标文件真实性、合法性承担法律责任。</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6、投标文件的语言、计量单位、货币和编制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 供应商所使用的计量单位应为国家法定计量单位。</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供应商应用人民币报价。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 投标文件应字迹清楚、内容齐全、不得涂改。如有修改，修改处须有供应商公章或法定代表人或其授权磋商代表签字。</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6.5 投标文件应按照招标文件规定的顺序，统一用A4规格幅面双面打印、装订成册并编制目录，由于编排混乱导致招标文件被误读或查找不到，责任由供应商承担。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6.6投标文件应逐页编码，不得跳页（包括但不限于授权、证明材料、声明及产品介绍、彩页等）。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6.7 供应商应在投标文件中写清相应的项目编号、项目名称、供应商名称、地址、电话、传真等。</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7、投标文件的组成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7.1 供应商应当根据招标文件要求编制投标文件，并根据自己的商务能力、技术水平对招标文件提出的要求和条件逐条标明是否响应。投标文件由商务部分、技术部分、价格部分，以及其他部分组成。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7.2 </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法定代表人授权委托书及委托代理人的身份证复印件； </w:t>
      </w:r>
      <w:r/>
    </w:p>
    <w:p>
      <w:pPr>
        <w:ind w:left="176" w:right="108"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w:t>
      </w:r>
      <w:r>
        <w:rPr>
          <w:rFonts w:hint="eastAsia" w:ascii="宋体" w:hAnsi="宋体" w:eastAsia="宋体"/>
          <w:bCs/>
          <w:color w:val="auto"/>
          <w:sz w:val="21"/>
          <w:szCs w:val="21"/>
          <w:highlight w:val="none"/>
        </w:rPr>
        <w:t xml:space="preserve">法人、其他组织的营业执照（副本复印件）；供应商是自然人的，提供自然人的身份证明（复印件）；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4</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bCs/>
          <w:color w:val="auto"/>
          <w:sz w:val="21"/>
          <w:szCs w:val="21"/>
          <w:highlight w:val="none"/>
        </w:rPr>
        <w:t xml:space="preserve">第一章招标公告中“二、申请人的资格要求”</w:t>
      </w:r>
      <w:r>
        <w:rPr>
          <w:rFonts w:hint="eastAsia" w:ascii="宋体" w:hAnsi="宋体" w:eastAsia="宋体"/>
          <w:bCs/>
          <w:color w:val="auto"/>
          <w:sz w:val="21"/>
          <w:szCs w:val="21"/>
          <w:highlight w:val="none"/>
          <w:lang w:val="en-US"/>
        </w:rPr>
        <w:t xml:space="preserve">1.</w:t>
      </w:r>
      <w:r>
        <w:rPr>
          <w:rFonts w:hint="eastAsia" w:ascii="宋体" w:hAnsi="宋体" w:eastAsia="宋体"/>
          <w:bCs/>
          <w:color w:val="auto"/>
          <w:sz w:val="21"/>
          <w:szCs w:val="21"/>
          <w:highlight w:val="none"/>
        </w:rPr>
        <w:t xml:space="preserve">《中华人民共和国政府采购法》第二十二条规定的资</w:t>
      </w:r>
      <w:r>
        <w:rPr>
          <w:rFonts w:hint="eastAsia" w:ascii="宋体" w:hAnsi="宋体" w:eastAsia="宋体"/>
          <w:color w:val="auto"/>
          <w:sz w:val="21"/>
          <w:szCs w:val="21"/>
          <w:highlight w:val="none"/>
        </w:rPr>
        <w:t xml:space="preserve">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采购人根据采购项目的特殊要求规定的特定资格条件证明文件；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）合同草案条款；</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）供应商认为需要提供的其他资格证明文件和商务资料。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7.3 </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货物、服务内容的详细说明；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7.4 </w:t>
      </w:r>
      <w:r>
        <w:rPr>
          <w:rFonts w:hint="eastAsia" w:ascii="宋体" w:hAnsi="宋体" w:eastAsia="宋体"/>
          <w:b/>
          <w:color w:val="auto"/>
          <w:sz w:val="21"/>
          <w:szCs w:val="21"/>
          <w:highlight w:val="none"/>
        </w:rPr>
        <w:t xml:space="preserve">投标文件的价格部分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（1）价格部分是对货物和服务价格构成的说明，招标文件如没有特别说明的话，对每一项货物和服务仅接受一个价格。</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（2）报价应包含完成本货物和服务项目发生的所有含税费用、支付给员工的工资和国家强制缴纳的各种社会保障资金，以及供应商认为需要的其他费用等。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投标有效期</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自开标之日起90天内投标有效。</w:t>
      </w:r>
      <w:r/>
    </w:p>
    <w:p>
      <w:pPr>
        <w:pStyle w:val="1120"/>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三、投标文件签署与提交</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10</w:t>
      </w:r>
      <w:r>
        <w:rPr>
          <w:rFonts w:hint="eastAsia" w:ascii="宋体" w:hAnsi="宋体" w:eastAsia="宋体"/>
          <w:b/>
          <w:bCs/>
          <w:color w:val="auto"/>
          <w:sz w:val="21"/>
          <w:szCs w:val="21"/>
          <w:highlight w:val="none"/>
        </w:rPr>
        <w:t xml:space="preserve">、投标文件签署</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10.1投标人应由其法定代表人或法定代表人授权代表在规定的网上投标时间，凭 CA 证书登陆“苏采云”系统在线编制投标文件（电子数据），并在投标截止时间之前上传投标文件。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10.2投标人应对 CA 证书妥善保管，如被他人盗用投标，因此带来的结果均由投标人自行承担。</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10.3投标人应当对招标文件提出的要求和条件作出实质性响应，并在电子投标系统逐条应答。</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10.4投标人应对要求提供的资格证明文件（如资质证书、资格证书）、技术资料（如白皮书、彩页、手册、检测报告等）扫描上传至投标系统。</w:t>
      </w:r>
      <w:r/>
    </w:p>
    <w:p>
      <w:pPr>
        <w:ind w:left="176" w:right="108" w:firstLine="422"/>
        <w:spacing w:line="360" w:lineRule="auto"/>
        <w:rPr>
          <w:rFonts w:ascii="宋体" w:hAnsi="宋体" w:eastAsia="宋体"/>
          <w:b/>
          <w:bCs/>
          <w:color w:val="auto"/>
          <w:sz w:val="21"/>
          <w:szCs w:val="21"/>
          <w:highlight w:val="none"/>
          <w:lang w:val="en-US"/>
        </w:rPr>
      </w:pPr>
      <w:r/>
      <w:bookmarkStart w:id="0" w:name="_Toc462564084"/>
      <w:r/>
      <w:bookmarkStart w:id="1" w:name="_Toc20823297"/>
      <w:r/>
      <w:bookmarkStart w:id="2" w:name="_Toc513029225"/>
      <w:r/>
      <w:bookmarkStart w:id="3" w:name="_Toc16938541"/>
      <w:r>
        <w:rPr>
          <w:rFonts w:hint="eastAsia" w:ascii="宋体" w:hAnsi="宋体" w:eastAsia="宋体"/>
          <w:b/>
          <w:bCs/>
          <w:color w:val="auto"/>
          <w:sz w:val="21"/>
          <w:szCs w:val="21"/>
          <w:highlight w:val="none"/>
          <w:lang w:val="en-US"/>
        </w:rPr>
        <w:t xml:space="preserve">11.电子投标文件</w:t>
      </w:r>
      <w:bookmarkEnd w:id="0"/>
      <w:r/>
      <w:bookmarkEnd w:id="1"/>
      <w:r/>
      <w:bookmarkEnd w:id="2"/>
      <w:r/>
      <w:bookmarkEnd w:id="3"/>
      <w:r>
        <w:rPr>
          <w:rFonts w:hint="eastAsia" w:ascii="宋体" w:hAnsi="宋体" w:eastAsia="宋体"/>
          <w:b/>
          <w:bCs/>
          <w:color w:val="auto"/>
          <w:sz w:val="21"/>
          <w:szCs w:val="21"/>
          <w:highlight w:val="none"/>
          <w:lang w:val="en-US"/>
        </w:rPr>
        <w:t xml:space="preserve">的递交</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11.1投标人应当按照规定，在投标截止时间前制作并上传电子投标文件。</w:t>
      </w:r>
      <w:bookmarkStart w:id="4" w:name="_Toc16938542"/>
      <w:r/>
      <w:bookmarkEnd w:id="4"/>
      <w:r/>
      <w:bookmarkStart w:id="5" w:name="_Toc20823298"/>
      <w:r/>
      <w:bookmarkEnd w:id="5"/>
      <w:r/>
      <w:r/>
    </w:p>
    <w:p>
      <w:pPr>
        <w:ind w:left="176" w:right="108" w:firstLine="422"/>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12.投标截止日期</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 投标人上传电子投标文件的时间不得迟于招标公告中规定的投标截止时间。</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投标人应充分考虑到网络环境、网络带宽等风险因素，如因投标人自身原因造成的电子投标文件上传不成功的做无效投标处理。</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 采购人及采购代理机构可以按照规定，通过修改招标文件酌情延长投标截止日期，在此情况下，投标人的所有权利和义务以及投标人受制的截止日期均应以延长后新的截止日期为准。</w:t>
      </w:r>
      <w:r/>
    </w:p>
    <w:p>
      <w:pPr>
        <w:ind w:left="176" w:right="108" w:firstLine="422"/>
        <w:spacing w:line="360" w:lineRule="auto"/>
        <w:rPr>
          <w:rFonts w:ascii="宋体" w:hAnsi="宋体" w:eastAsia="宋体"/>
          <w:b/>
          <w:bCs/>
          <w:color w:val="auto"/>
          <w:sz w:val="21"/>
          <w:szCs w:val="21"/>
          <w:highlight w:val="none"/>
          <w:lang w:val="en-US"/>
        </w:rPr>
      </w:pPr>
      <w:r/>
      <w:bookmarkStart w:id="6" w:name="_Toc20823299"/>
      <w:r/>
      <w:bookmarkStart w:id="7" w:name="_Toc513029227"/>
      <w:r/>
      <w:bookmarkStart w:id="8" w:name="_Toc16938543"/>
      <w:r>
        <w:rPr>
          <w:rFonts w:hint="eastAsia" w:ascii="宋体" w:hAnsi="宋体" w:eastAsia="宋体"/>
          <w:b/>
          <w:bCs/>
          <w:color w:val="auto"/>
          <w:sz w:val="21"/>
          <w:szCs w:val="21"/>
          <w:highlight w:val="none"/>
          <w:lang w:val="en-US"/>
        </w:rPr>
        <w:t xml:space="preserve">13.投标文件</w:t>
      </w:r>
      <w:bookmarkEnd w:id="6"/>
      <w:r/>
      <w:bookmarkEnd w:id="7"/>
      <w:r/>
      <w:bookmarkEnd w:id="8"/>
      <w:r>
        <w:rPr>
          <w:rFonts w:hint="eastAsia" w:ascii="宋体" w:hAnsi="宋体" w:eastAsia="宋体"/>
          <w:b/>
          <w:bCs/>
          <w:color w:val="auto"/>
          <w:sz w:val="21"/>
          <w:szCs w:val="21"/>
          <w:highlight w:val="none"/>
          <w:lang w:val="en-US"/>
        </w:rPr>
        <w:t xml:space="preserve">的拒收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13.1 采购人及采购代理机构拒绝接收在其规定的投标截止时间后上传的任何投标文件。</w:t>
      </w:r>
      <w:r/>
    </w:p>
    <w:p>
      <w:pPr>
        <w:ind w:left="176" w:right="108" w:firstLine="422"/>
        <w:spacing w:line="360" w:lineRule="auto"/>
        <w:rPr>
          <w:rFonts w:ascii="宋体" w:hAnsi="宋体" w:eastAsia="宋体"/>
          <w:b/>
          <w:bCs/>
          <w:color w:val="auto"/>
          <w:sz w:val="21"/>
          <w:szCs w:val="21"/>
          <w:highlight w:val="none"/>
          <w:lang w:val="en-US"/>
        </w:rPr>
      </w:pPr>
      <w:r/>
      <w:bookmarkStart w:id="9" w:name="_Toc20823300"/>
      <w:r/>
      <w:bookmarkStart w:id="10" w:name="_Toc16938544"/>
      <w:r/>
      <w:bookmarkStart w:id="11" w:name="_Toc513029228"/>
      <w:r>
        <w:rPr>
          <w:rFonts w:hint="eastAsia" w:ascii="宋体" w:hAnsi="宋体" w:eastAsia="宋体"/>
          <w:b/>
          <w:bCs/>
          <w:color w:val="auto"/>
          <w:sz w:val="21"/>
          <w:szCs w:val="21"/>
          <w:highlight w:val="none"/>
          <w:lang w:val="en-US"/>
        </w:rPr>
        <w:t xml:space="preserve">14.投标文件的撤回和修改</w:t>
      </w:r>
      <w:bookmarkEnd w:id="9"/>
      <w:r/>
      <w:bookmarkEnd w:id="10"/>
      <w:r/>
      <w:bookmarkEnd w:id="11"/>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 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14.1.1 电子投标文件的撤回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投标人可在投标截止时间前，撤回其电子投标文件。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14.1.2 投标人撤回电子投标文件，则认为其不再参与本项目投标活动。</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 投标文件的修改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14.2.1投标人可在投标截止时间前，对其电子投标文件进行修改。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14.2.2 在投标截止时间之后，投标人不得对其电子投标文件作任何修改。</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14.3 在投标截止时间至招标文件中规定的投标有效期满之间的这段时间内，投标人不得撤回其投标。</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四、开标、评标与确定中标供应商</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15</w:t>
      </w:r>
      <w:r>
        <w:rPr>
          <w:rFonts w:hint="eastAsia" w:ascii="宋体" w:hAnsi="宋体" w:eastAsia="宋体"/>
          <w:b/>
          <w:bCs/>
          <w:color w:val="auto"/>
          <w:sz w:val="21"/>
          <w:szCs w:val="21"/>
          <w:highlight w:val="none"/>
        </w:rPr>
        <w:t xml:space="preserve">、开标</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15.1开标时间及地点。开标应当在招标文件确定的提交投标文件截止时间的同一时间公开进行；开标地点应当为招标文件中预先确定的地点。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15.2由电子招标投标交易平台主持，邀请投标人参加。</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15.3所有投标单位使用 CA 证书在开标时间时，解密各自投标文件，由工作人员操作系统进行开标，投标人不足3家的，不得开标。</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15.4投标人原因造成投标文件未解密的，视为撤销其投标文件；因投标人之外的原因造成投标文件未解密的，视为撤回其投标文件。部分投标文件未解密的，其他投标文件的开标可以继续进行。</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、评标</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 评标组织</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left="176"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.2 评标程序</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.2.1 投标文件的资格性检查。</w:t>
      </w:r>
      <w:r>
        <w:rPr>
          <w:rFonts w:hint="eastAsia" w:ascii="宋体" w:hAnsi="宋体" w:eastAsia="宋体"/>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.2.2投标文件的符合性检查</w:t>
      </w:r>
      <w:r>
        <w:rPr>
          <w:rFonts w:hint="eastAsia" w:ascii="宋体" w:hAnsi="宋体" w:eastAsia="宋体"/>
          <w:color w:val="auto"/>
          <w:sz w:val="21"/>
          <w:szCs w:val="21"/>
          <w:highlight w:val="none"/>
        </w:rPr>
        <w:t xml:space="preserve">。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的商务和技术要求。</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评审时，投标文件出现不一致情形的，按下列规定执行：</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投标文件正本与副本不符的，以正本为准。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投标文件报价出现前后不一致的，按照下列规定修正：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（1）投标文件中开标一览表（报价表）内容与投标文件中相应内容不一致的，以开标一览表（报价表）为准；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16.2.3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（1）投标（响应）报价低于全部通过符合性审查供应商投标（响应）报价平均值65%的，即投标（响应）报价＜全部通过符合性审查供应商投标（响应）报价平均值×65%；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（2）投标（响应）报价低于通过符合性审查的次低报价供应商投标（响应）报价65%的，即投标（响应）报价＜通过符合性审查的次低报价供应商投标（响应）报价×65%；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（3）投标（响应）报价低于采购项目最高限价60%的，即投标（响应）报价&lt;采购项目最高限价×60%；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53"/>
        <w:spacing w:line="360" w:lineRule="auto"/>
        <w:tabs>
          <w:tab w:val="left" w:pos="1365" w:leader="none"/>
        </w:tabs>
        <w:rPr>
          <w:rFonts w:ascii="宋体" w:hAnsi="宋体" w:eastAsia="宋体"/>
          <w:b/>
          <w:bCs/>
          <w:color w:val="auto"/>
          <w:sz w:val="21"/>
          <w:szCs w:val="22"/>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656"/>
        <w:spacing w:line="360" w:lineRule="auto"/>
        <w:tabs>
          <w:tab w:val="left" w:pos="1365" w:leader="none"/>
        </w:tabs>
        <w:rPr>
          <w:rFonts w:ascii="宋体" w:hAnsi="宋体" w:eastAsia="宋体"/>
          <w:b/>
          <w:bCs/>
          <w:color w:val="auto"/>
          <w:sz w:val="21"/>
          <w:szCs w:val="22"/>
          <w:highlight w:val="none"/>
        </w:rPr>
      </w:pPr>
      <w:r>
        <w:rPr>
          <w:rFonts w:hint="eastAsia" w:ascii="宋体" w:hAnsi="宋体" w:eastAsia="宋体"/>
          <w:b/>
          <w:bCs/>
          <w:color w:val="auto"/>
          <w:sz w:val="21"/>
          <w:szCs w:val="22"/>
          <w:highlight w:val="none"/>
          <w:lang w:val="en-US"/>
        </w:rPr>
        <w:t xml:space="preserve">16.3</w:t>
      </w:r>
      <w:r>
        <w:rPr>
          <w:rFonts w:hint="eastAsia" w:ascii="宋体" w:hAnsi="宋体" w:eastAsia="宋体"/>
          <w:b/>
          <w:bCs/>
          <w:color w:val="auto"/>
          <w:sz w:val="21"/>
          <w:szCs w:val="22"/>
          <w:highlight w:val="none"/>
        </w:rPr>
        <w:t xml:space="preserve">投标供应商存在下列情况之一的，其投标无效：</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（2）投标人未按照招标文件要求上传电子投标文件的。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（3）供应商不具备招标文件中规定资格要求的；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（4）供应商在报价时采用选择性报价；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（5）报价超过招标文件中规定的预算金额或者最高限价的；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（7）不同供应商的投标文件由同一单位或者个人编制；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（11）不同供应商的投标文件相互混装；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）不同供应商的负责人为同一人或者存在控股、管理关系的；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）不同供应商的委托代理人(或法定代表人、项目经理、项目总监、项目负责人等)在招标文件发布日上月至投标截止日当月在同一单位缴纳社会保险的；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）提供虚假材料的（包括工商营业执照、财务报表、资格证明文件等）；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）未通过符合性检查的；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）不符合招标文件中规定的其它实质性要求的；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）法律、法规和招标文件规定的其他无效情形。</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16.4</w:t>
      </w:r>
      <w:r>
        <w:rPr>
          <w:rFonts w:hint="eastAsia" w:ascii="宋体" w:hAnsi="宋体" w:eastAsia="宋体"/>
          <w:color w:val="auto"/>
          <w:sz w:val="21"/>
          <w:szCs w:val="21"/>
          <w:highlight w:val="none"/>
        </w:rPr>
        <w:t xml:space="preserve">有下列情形之一的予以废标，同时将废标理由通知所有供应商：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w:t>
      </w: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，采购人不能支付的；</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left="62" w:right="108" w:firstLine="422"/>
        <w:spacing w:line="360" w:lineRule="auto"/>
        <w:widowControl/>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16.5</w:t>
      </w:r>
      <w:r>
        <w:rPr>
          <w:rFonts w:hint="eastAsia" w:ascii="宋体" w:hAnsi="宋体" w:eastAsia="宋体"/>
          <w:b/>
          <w:bCs/>
          <w:color w:val="auto"/>
          <w:sz w:val="21"/>
          <w:szCs w:val="21"/>
          <w:highlight w:val="none"/>
        </w:rPr>
        <w:t xml:space="preserve">在评标期间，出现符合专业条件的供应商或者对招标文件做出实质响应的供应商不足三家情形的，此采购项目应予以废标。</w:t>
      </w:r>
      <w:r>
        <w:rPr>
          <w:rFonts w:hint="eastAsia" w:ascii="宋体" w:hAnsi="宋体" w:eastAsia="宋体"/>
          <w:color w:val="auto"/>
          <w:sz w:val="2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495"/>
        <w:ind w:left="0" w:firstLine="422"/>
        <w:jc w:val="both"/>
        <w:spacing w:line="360" w:lineRule="auto"/>
        <w:rPr>
          <w:rFonts w:ascii="宋体" w:hAnsi="宋体" w:eastAsia="宋体" w:cs="Arial"/>
          <w:b/>
          <w:bCs/>
          <w:color w:val="auto"/>
          <w:sz w:val="21"/>
          <w:szCs w:val="21"/>
          <w:highlight w:val="none"/>
        </w:rPr>
        <w:outlineLvl w:val="9"/>
      </w:pPr>
      <w:r/>
      <w:bookmarkStart w:id="12" w:name="_Toc26857"/>
      <w:r>
        <w:rPr>
          <w:rFonts w:hint="eastAsia" w:ascii="宋体" w:hAnsi="宋体" w:eastAsia="宋体" w:cs="Arial"/>
          <w:b/>
          <w:bCs/>
          <w:color w:val="auto"/>
          <w:sz w:val="21"/>
          <w:szCs w:val="21"/>
          <w:highlight w:val="none"/>
          <w:lang w:val="en-US"/>
        </w:rPr>
        <w:t xml:space="preserve">16.6</w:t>
      </w:r>
      <w:r>
        <w:rPr>
          <w:rFonts w:hint="eastAsia" w:ascii="宋体" w:hAnsi="宋体" w:eastAsia="宋体" w:cs="Arial"/>
          <w:b/>
          <w:bCs/>
          <w:color w:val="auto"/>
          <w:sz w:val="21"/>
          <w:szCs w:val="21"/>
          <w:highlight w:val="none"/>
        </w:rPr>
        <w:t xml:space="preserve">投标文件的澄清</w:t>
      </w:r>
      <w:bookmarkEnd w:id="12"/>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 评标方法和标准</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color w:val="auto"/>
          <w:sz w:val="21"/>
          <w:szCs w:val="21"/>
          <w:highlight w:val="none"/>
        </w:rPr>
        <w:t xml:space="preserve">采用综合评分法。即在满足招标文件</w:t>
      </w:r>
      <w:r>
        <w:rPr>
          <w:rFonts w:hint="eastAsia" w:ascii="宋体" w:hAnsi="宋体" w:eastAsia="宋体"/>
          <w:color w:val="auto"/>
          <w:sz w:val="21"/>
          <w:szCs w:val="21"/>
          <w:highlight w:val="none"/>
          <w:lang w:val="en-US"/>
        </w:rPr>
        <w:t xml:space="preserve">全部</w:t>
      </w:r>
      <w:r>
        <w:rPr>
          <w:rFonts w:hint="eastAsia" w:ascii="宋体" w:hAnsi="宋体" w:eastAsia="宋体"/>
          <w:color w:val="auto"/>
          <w:sz w:val="21"/>
          <w:szCs w:val="21"/>
          <w:highlight w:val="none"/>
        </w:rPr>
        <w:t xml:space="preserve">实质性要求前提下，按照招标文件中规定的各项因素进行综合评审后，以评标总得分最高的供应商作为中标候选供应商或者中标供应商的评标方法。</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18.1</w:t>
      </w:r>
      <w:r>
        <w:rPr>
          <w:rFonts w:hint="eastAsia" w:ascii="宋体" w:hAnsi="宋体" w:eastAsia="宋体"/>
          <w:color w:val="auto"/>
          <w:sz w:val="21"/>
          <w:szCs w:val="21"/>
          <w:highlight w:val="none"/>
        </w:rPr>
        <w:t xml:space="preserve">综合评分的主要因素是：</w:t>
      </w:r>
      <w:r>
        <w:rPr>
          <w:rFonts w:hint="eastAsia" w:ascii="宋体" w:hAnsi="宋体" w:eastAsia="宋体"/>
          <w:b/>
          <w:color w:val="auto"/>
          <w:sz w:val="21"/>
          <w:szCs w:val="21"/>
          <w:highlight w:val="none"/>
        </w:rPr>
        <w:t xml:space="preserve">价格、技术、服务等。</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18.2</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p>
    <w:p>
      <w:pPr>
        <w:ind w:left="62" w:right="108" w:firstLine="422"/>
        <w:spacing w:line="360" w:lineRule="auto"/>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18.3</w:t>
      </w:r>
      <w:r>
        <w:rPr>
          <w:rFonts w:hint="eastAsia" w:ascii="宋体" w:hAnsi="宋体" w:eastAsia="宋体"/>
          <w:b/>
          <w:color w:val="auto"/>
          <w:sz w:val="21"/>
          <w:szCs w:val="21"/>
          <w:highlight w:val="none"/>
        </w:rPr>
        <w:t xml:space="preserve"> 评分标准详见第三章。</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、确定中标供应商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采购人在收到评标报告5个工作日内未按评标报告推荐的中标候选人顺序确定中标人，又不能说明合法理由的，视同按评标报告推荐的顺序确定排名第一的中标候选人为中标人。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中标通知书发出后，中标供应商无正当理由不与采购人签订合同的，投标保证金不予退还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；情节严重的，由财政部门将其列入不良行为记录名单，在一至三年内禁止参加采购人组织的采购活动，并予以通报。</w:t>
      </w:r>
      <w:r/>
    </w:p>
    <w:p>
      <w:pPr>
        <w:ind w:left="62" w:right="108"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 代理机构对未中标的供应商不作未中标原因的解释。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所有投标文件都将作为档案保存，不论中标与否，代理机构均不退回。</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21</w:t>
      </w:r>
      <w:r>
        <w:rPr>
          <w:rFonts w:hint="eastAsia" w:ascii="宋体" w:hAnsi="宋体" w:eastAsia="宋体"/>
          <w:b/>
          <w:color w:val="auto"/>
          <w:sz w:val="21"/>
          <w:szCs w:val="21"/>
          <w:highlight w:val="none"/>
        </w:rPr>
        <w:t xml:space="preserve">、评标过程的保密性</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.1 代理机构将采取必要措施，保证评标在严格保密的情况下进行。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left="62"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五、签订合同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22</w:t>
      </w:r>
      <w:r>
        <w:rPr>
          <w:rFonts w:hint="eastAsia" w:ascii="宋体" w:hAnsi="宋体" w:eastAsia="宋体"/>
          <w:color w:val="auto"/>
          <w:sz w:val="21"/>
          <w:szCs w:val="21"/>
          <w:highlight w:val="none"/>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采购人不得向中标供应商提出任何不合理的要求作为签订合同的条件，不得与中标供应商私下订立背离合同实质性内容的协议。</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25、</w:t>
      </w:r>
      <w:r>
        <w:rPr>
          <w:rFonts w:hint="eastAsia" w:ascii="宋体" w:hAnsi="宋体" w:eastAsia="宋体"/>
          <w:color w:val="auto"/>
          <w:sz w:val="21"/>
          <w:szCs w:val="21"/>
          <w:highlight w:val="none"/>
        </w:rPr>
        <w:t xml:space="preserve">政府采购合同履行中，采购人需追加与合同标的相同的货物的，在不改变合同其他条款的前提下，可以与供应商协商签订补充合同，但所有补充合同的采购金额不得超过原合同采购金额的百分之十。</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六、质疑、投诉和诚实信用</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26</w:t>
      </w:r>
      <w:r>
        <w:rPr>
          <w:rFonts w:hint="eastAsia" w:ascii="宋体" w:hAnsi="宋体" w:eastAsia="宋体"/>
          <w:b/>
          <w:bCs/>
          <w:color w:val="auto"/>
          <w:sz w:val="21"/>
          <w:szCs w:val="21"/>
          <w:highlight w:val="none"/>
        </w:rPr>
        <w:t xml:space="preserve">、质疑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周翠</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联系电话：025-</w:t>
      </w:r>
      <w:r>
        <w:rPr>
          <w:rFonts w:hint="eastAsia" w:ascii="宋体" w:hAnsi="宋体" w:eastAsia="宋体"/>
          <w:color w:val="auto"/>
          <w:sz w:val="21"/>
          <w:szCs w:val="21"/>
          <w:highlight w:val="none"/>
          <w:lang w:eastAsia="zh-CN"/>
        </w:rPr>
        <w:t xml:space="preserve">84531056</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 供应商必须在法定质疑期内一次性提出针对同一采购程序环节的质疑。供应商如在法定期限内对同一采购程序环节提出多次质疑的，采购代理机构、采购人将只对供应商第一次质疑作出答复。</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26.5 质疑函必须按照《质疑函范本》要求的格式和内容进行填写。供应商如组成联合体参加投标，则《质疑函范本》中要求签字、盖章、加盖公章之处，联合体各方均须按要求签字、盖章、加盖公章。</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26.6 质疑文件应包括以下主要内容，并按照“谁主张、谁举证”的原则，附上相关证明材料。否则，采购代理机构或采购人不予受理：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26.8 质疑函应当使用中文。相关当事人提供外文书证或者外国语视听资料的，应当附有中文译本，由翻译机构盖章或者翻译人员签名。</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26.9 质疑函应当现场提交至采购代理机构或采购人联系人处，提交时应出示有效身份证明。未按上述要求提交质疑函的，质疑不予受理。</w:t>
      </w:r>
      <w:r/>
    </w:p>
    <w:p>
      <w:pPr>
        <w:ind w:left="178" w:right="105" w:firstLine="428"/>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26.11 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 以下情形的质疑不予受理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26.12.1 内容不符合《政府采购质疑和投诉办法》第十二条规定的质疑。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26.12.2 超出政府采购法定期限的质疑。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26.12.3 以传真、电子邮件等方式递交的非原件形式的质疑。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26.12.4 未参加投标活动的供应商或在投标活动中自身权益未受到损害的供应商所提出的质疑。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26.12.5供应商组成联合体参加投标，联合体中任何一方或多方未按要求签字、盖章、加盖公章的质疑。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27</w:t>
      </w:r>
      <w:r>
        <w:rPr>
          <w:rFonts w:hint="eastAsia" w:ascii="宋体" w:hAnsi="宋体" w:eastAsia="宋体"/>
          <w:b/>
          <w:bCs/>
          <w:color w:val="auto"/>
          <w:sz w:val="21"/>
          <w:szCs w:val="21"/>
          <w:highlight w:val="none"/>
        </w:rPr>
        <w:t xml:space="preserve">、投诉</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27</w:t>
      </w:r>
      <w:r>
        <w:rPr>
          <w:rFonts w:hint="eastAsia" w:ascii="宋体" w:hAnsi="宋体" w:eastAsia="宋体"/>
          <w:color w:val="auto"/>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28</w:t>
      </w:r>
      <w:r>
        <w:rPr>
          <w:rFonts w:hint="eastAsia" w:ascii="宋体" w:hAnsi="宋体" w:eastAsia="宋体"/>
          <w:b/>
          <w:bCs/>
          <w:color w:val="auto"/>
          <w:sz w:val="21"/>
          <w:szCs w:val="21"/>
          <w:highlight w:val="none"/>
        </w:rPr>
        <w:t xml:space="preserve">、诚实信用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.1 供应商之间不得相互串通投标报价，不得妨碍其他供应商的公平竞争，不得损害采购人和其他供应商的合法权益。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.4 供应商不得虚假承诺，否则，按照提供虚假材料谋取中标成交处理。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.5 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left="178" w:right="105"/>
        <w:jc w:val="center"/>
        <w:spacing w:line="360"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auto"/>
          <w:sz w:val="21"/>
          <w:szCs w:val="21"/>
          <w:highlight w:val="none"/>
          <w:lang w:val="en-US"/>
        </w:rPr>
        <w:t xml:space="preserve">第一</w:t>
      </w:r>
      <w:r>
        <w:rPr>
          <w:rFonts w:hint="eastAsia" w:ascii="宋体" w:hAnsi="宋体" w:eastAsia="宋体"/>
          <w:color w:val="auto"/>
          <w:sz w:val="21"/>
          <w:szCs w:val="21"/>
          <w:highlight w:val="none"/>
        </w:rPr>
        <w:t xml:space="preserve">中标候选人。</w:t>
      </w:r>
      <w:r>
        <w:rPr>
          <w:rFonts w:hint="eastAsia" w:ascii="宋体" w:hAnsi="宋体" w:eastAsia="宋体"/>
          <w:b/>
          <w:bCs/>
          <w:color w:val="auto"/>
          <w:sz w:val="21"/>
          <w:szCs w:val="21"/>
          <w:highlight w:val="none"/>
        </w:rPr>
        <w:t xml:space="preserve">本项目选取</w:t>
      </w:r>
      <w:r>
        <w:rPr>
          <w:rFonts w:hint="eastAsia" w:ascii="宋体" w:hAnsi="宋体" w:eastAsia="宋体"/>
          <w:b/>
          <w:bCs/>
          <w:color w:val="auto"/>
          <w:sz w:val="21"/>
          <w:szCs w:val="21"/>
          <w:highlight w:val="none"/>
          <w:lang w:val="en-US"/>
        </w:rPr>
        <w:t xml:space="preserve">3</w:t>
      </w:r>
      <w:r>
        <w:rPr>
          <w:rFonts w:hint="eastAsia" w:ascii="宋体" w:hAnsi="宋体" w:eastAsia="宋体"/>
          <w:b/>
          <w:bCs/>
          <w:color w:val="auto"/>
          <w:sz w:val="21"/>
          <w:szCs w:val="21"/>
          <w:highlight w:val="none"/>
        </w:rPr>
        <w:t xml:space="preserve">名中标候选人。</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 </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1、评分办法中所涉及的相关各种资格、资质、证书、证明等材料在投标文件中提供复印件，复印件不清晰时提供原件备查，以供评标委员会评标核实。</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评审小组各成员独立对每个进入打分程序的有效供应商的</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以打分的形式进行服务和报告评价（计算结果均四舍五入保留两位小数）。对评委的评分（除价格分外）进行统计汇总，直接算术平均计算得分；计算出每个供应商的得分，加上价格得分即为每个供应商的综合得分。</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同一投标人，上述三项价格扣除优惠不得重复享受。</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④采购本国产品的支持政策</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本项目政府采购活动中既有本国产品又有非本国产品参与竞争的，依法对本国产品给予价格评审优惠，对本国产品的报价给予20%的价格扣除，用扣除后的价格参与评审。</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b/>
          <w:bCs/>
          <w:color w:val="auto"/>
          <w:sz w:val="21"/>
          <w:szCs w:val="21"/>
          <w:highlight w:val="none"/>
          <w:lang w:val="en-US"/>
        </w:rPr>
        <w:t xml:space="preserve">供应商需在“第六章 投标文件格式”的“成本比例声明函”中填写比例数值</w:t>
      </w:r>
      <w:r>
        <w:rPr>
          <w:rFonts w:hint="eastAsia" w:ascii="宋体" w:hAnsi="宋体" w:eastAsia="宋体"/>
          <w:color w:val="auto"/>
          <w:sz w:val="21"/>
          <w:szCs w:val="21"/>
          <w:highlight w:val="none"/>
          <w:lang w:val="en-US"/>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供应商需按照招标文件的要求提供《关于符合本国产品标准的声明函》（以下简称《声明函》），如不提供将不享受本国产品价格评审优惠。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105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055"/>
        <w:gridCol w:w="7065"/>
        <w:gridCol w:w="910"/>
      </w:tblGrid>
      <w:tr>
        <w:trPr>
          <w:jc w:val="center"/>
          <w:trHeight w:val="284"/>
          <w:tblHeader/>
        </w:trPr>
        <w:tc>
          <w:tcPr>
            <w:tcW w:w="411"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序号</w:t>
            </w:r>
            <w:r/>
          </w:p>
        </w:tc>
        <w:tc>
          <w:tcPr>
            <w:tcW w:w="536"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评审因素</w:t>
            </w:r>
            <w:r/>
          </w:p>
        </w:tc>
        <w:tc>
          <w:tcPr>
            <w:tcW w:w="3589"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评审标准</w:t>
            </w:r>
            <w:r/>
          </w:p>
        </w:tc>
        <w:tc>
          <w:tcPr>
            <w:tcW w:w="462"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分值</w:t>
            </w:r>
            <w:r/>
          </w:p>
        </w:tc>
      </w:tr>
      <w:tr>
        <w:trPr>
          <w:jc w:val="center"/>
          <w:trHeight w:val="1127"/>
        </w:trPr>
        <w:tc>
          <w:tcPr>
            <w:tcW w:w="411"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536"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价格</w:t>
            </w:r>
            <w:r/>
          </w:p>
        </w:tc>
        <w:tc>
          <w:tcPr>
            <w:tcW w:w="3589" w:type="pct"/>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满足招标文件要求且投标报价最低的供应商的价格为投标基准价，其价格分为满分。其他供应商的价格分数统一按照下列公式计算：投标报价得分=（投标基准价/投标报价）×30</w:t>
            </w:r>
            <w:r/>
          </w:p>
        </w:tc>
        <w:tc>
          <w:tcPr>
            <w:tcW w:w="462" w:type="pct"/>
            <w:vAlign w:val="center"/>
            <w:textDirection w:val="lrTb"/>
            <w:noWrap w:val="false"/>
          </w:tcPr>
          <w:p>
            <w:pPr>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w:t>
            </w:r>
            <w:r/>
          </w:p>
        </w:tc>
      </w:tr>
      <w:tr>
        <w:trPr>
          <w:jc w:val="center"/>
          <w:trHeight w:val="550"/>
        </w:trPr>
        <w:tc>
          <w:tcPr>
            <w:tcW w:w="411"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2.1</w:t>
            </w:r>
            <w:r/>
          </w:p>
        </w:tc>
        <w:tc>
          <w:tcPr>
            <w:tcW w:w="536" w:type="pct"/>
            <w:vAlign w:val="center"/>
            <w:vMerge w:val="restart"/>
            <w:textDirection w:val="lrTb"/>
            <w:noWrap w:val="false"/>
          </w:tcPr>
          <w:p>
            <w:pPr>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技术响应</w:t>
            </w:r>
            <w:r/>
          </w:p>
        </w:tc>
        <w:tc>
          <w:tcPr>
            <w:tcW w:w="3589" w:type="pct"/>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评委根据投标文件中技术参数响应情况进行打分。完全满足招标文件要求的得34分。其中标注</w:t>
            </w:r>
            <w:r>
              <w:rPr>
                <w:rFonts w:hint="eastAsia" w:asciiTheme="majorEastAsia" w:hAnsiTheme="majorEastAsia" w:eastAsiaTheme="majorEastAsia" w:cstheme="majorEastAsia"/>
                <w:b/>
                <w:color w:val="auto"/>
                <w:sz w:val="21"/>
                <w:szCs w:val="21"/>
                <w:highlight w:val="none"/>
              </w:rPr>
              <w:t xml:space="preserve">“★”为实质性条款，不接受负偏离；标注</w:t>
            </w:r>
            <w:r>
              <w:rPr>
                <w:rFonts w:hint="eastAsia" w:asciiTheme="majorEastAsia" w:hAnsiTheme="majorEastAsia" w:eastAsiaTheme="majorEastAsia" w:cstheme="majorEastAsia"/>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rPr>
              <w:t xml:space="preserve">▲”</w:t>
            </w:r>
            <w:r>
              <w:rPr>
                <w:rFonts w:hint="eastAsia" w:asciiTheme="majorEastAsia" w:hAnsiTheme="majorEastAsia" w:eastAsiaTheme="majorEastAsia" w:cstheme="majorEastAsia"/>
                <w:color w:val="auto"/>
                <w:sz w:val="21"/>
                <w:szCs w:val="21"/>
                <w:highlight w:val="none"/>
              </w:rPr>
              <w:t xml:space="preserve">的参数为重要参数，有一项负偏离的，每项扣</w:t>
            </w:r>
            <w:r>
              <w:rPr>
                <w:rFonts w:hint="eastAsia" w:asciiTheme="majorEastAsia" w:hAnsiTheme="majorEastAsia" w:eastAsiaTheme="majorEastAsia" w:cstheme="majorEastAsia"/>
                <w:color w:val="auto"/>
                <w:sz w:val="21"/>
                <w:szCs w:val="21"/>
                <w:highlight w:val="none"/>
                <w:lang w:val="en-US" w:eastAsia="zh-CN"/>
              </w:rPr>
              <w:t xml:space="preserve">1</w:t>
            </w:r>
            <w:r>
              <w:rPr>
                <w:rFonts w:hint="eastAsia" w:asciiTheme="majorEastAsia" w:hAnsiTheme="majorEastAsia" w:eastAsiaTheme="majorEastAsia" w:cstheme="majorEastAsia"/>
                <w:color w:val="auto"/>
                <w:sz w:val="21"/>
                <w:szCs w:val="21"/>
                <w:highlight w:val="none"/>
              </w:rPr>
              <w:t xml:space="preserve">分；其他普通参数负偏离的，有一项负偏离的，每项扣</w:t>
            </w:r>
            <w:r>
              <w:rPr>
                <w:rFonts w:hint="eastAsia" w:asciiTheme="majorEastAsia" w:hAnsiTheme="majorEastAsia" w:eastAsiaTheme="majorEastAsia" w:cstheme="majorEastAsia"/>
                <w:color w:val="auto"/>
                <w:sz w:val="21"/>
                <w:szCs w:val="21"/>
                <w:highlight w:val="none"/>
                <w:lang w:val="en-US" w:eastAsia="zh-CN"/>
              </w:rPr>
              <w:t xml:space="preserve">0.1</w:t>
            </w:r>
            <w:r>
              <w:rPr>
                <w:rFonts w:hint="eastAsia" w:asciiTheme="majorEastAsia" w:hAnsiTheme="majorEastAsia" w:eastAsiaTheme="majorEastAsia" w:cstheme="majorEastAsia"/>
                <w:color w:val="auto"/>
                <w:sz w:val="21"/>
                <w:szCs w:val="21"/>
                <w:highlight w:val="none"/>
              </w:rPr>
              <w:t xml:space="preserve">分，扣完为止。</w:t>
            </w:r>
            <w:r/>
          </w:p>
          <w:p>
            <w:pPr>
              <w:spacing w:line="360" w:lineRule="auto"/>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rPr>
              <w:t xml:space="preserve">备注：供应商须在投标文件内对于招标文件第四章招标技术规格及要求中标注</w:t>
            </w:r>
            <w:r>
              <w:rPr>
                <w:rFonts w:hint="eastAsia" w:asciiTheme="majorEastAsia" w:hAnsiTheme="majorEastAsia" w:eastAsiaTheme="majorEastAsia" w:cstheme="majorEastAsia"/>
                <w:b/>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rPr>
              <w:t xml:space="preserve">“</w:t>
            </w:r>
            <w:bookmarkStart w:id="13" w:name="_Hlk103676357"/>
            <w:r>
              <w:rPr>
                <w:rFonts w:hint="eastAsia" w:asciiTheme="majorEastAsia" w:hAnsiTheme="majorEastAsia" w:eastAsiaTheme="majorEastAsia" w:cstheme="majorEastAsia"/>
                <w:b/>
                <w:bCs/>
                <w:color w:val="auto"/>
                <w:sz w:val="21"/>
                <w:szCs w:val="21"/>
                <w:highlight w:val="none"/>
              </w:rPr>
              <w:t xml:space="preserve">▲</w:t>
            </w:r>
            <w:bookmarkEnd w:id="13"/>
            <w:r>
              <w:rPr>
                <w:rFonts w:hint="eastAsia" w:asciiTheme="majorEastAsia" w:hAnsiTheme="majorEastAsia" w:eastAsiaTheme="majorEastAsia" w:cstheme="majorEastAsia"/>
                <w:b/>
                <w:bCs/>
                <w:color w:val="auto"/>
                <w:sz w:val="21"/>
                <w:szCs w:val="21"/>
                <w:highlight w:val="none"/>
              </w:rPr>
              <w:t xml:space="preserve">”的参数提供相应技术支持资料(如</w:t>
            </w:r>
            <w:r>
              <w:rPr>
                <w:rFonts w:hint="eastAsia" w:asciiTheme="majorEastAsia" w:hAnsiTheme="majorEastAsia" w:eastAsiaTheme="majorEastAsia" w:cstheme="majorEastAsia"/>
                <w:b/>
                <w:bCs/>
                <w:color w:val="auto"/>
                <w:sz w:val="21"/>
                <w:szCs w:val="21"/>
                <w:highlight w:val="none"/>
                <w:lang w:val="en-US"/>
              </w:rPr>
              <w:t xml:space="preserve">公开发行的</w:t>
            </w:r>
            <w:r>
              <w:rPr>
                <w:rFonts w:hint="eastAsia" w:asciiTheme="majorEastAsia" w:hAnsiTheme="majorEastAsia" w:eastAsiaTheme="majorEastAsia" w:cstheme="majorEastAsia"/>
                <w:b/>
                <w:bCs/>
                <w:color w:val="auto"/>
                <w:sz w:val="21"/>
                <w:szCs w:val="21"/>
                <w:highlight w:val="none"/>
              </w:rPr>
              <w:t xml:space="preserve">彩页、</w:t>
            </w:r>
            <w:r>
              <w:rPr>
                <w:rFonts w:hint="eastAsia" w:asciiTheme="majorEastAsia" w:hAnsiTheme="majorEastAsia" w:eastAsiaTheme="majorEastAsia" w:cstheme="majorEastAsia"/>
                <w:b/>
                <w:bCs/>
                <w:color w:val="auto"/>
                <w:sz w:val="21"/>
                <w:szCs w:val="21"/>
                <w:highlight w:val="none"/>
                <w:lang w:val="en-US"/>
              </w:rPr>
              <w:t xml:space="preserve">官网截图及链接、</w:t>
            </w:r>
            <w:r>
              <w:rPr>
                <w:rFonts w:hint="eastAsia" w:asciiTheme="majorEastAsia" w:hAnsiTheme="majorEastAsia" w:eastAsiaTheme="majorEastAsia" w:cstheme="majorEastAsia"/>
                <w:b/>
                <w:bCs/>
                <w:color w:val="auto"/>
                <w:sz w:val="21"/>
                <w:szCs w:val="21"/>
                <w:highlight w:val="none"/>
              </w:rPr>
              <w:t xml:space="preserve">检测报告</w:t>
            </w:r>
            <w:r>
              <w:rPr>
                <w:rFonts w:hint="eastAsia" w:asciiTheme="majorEastAsia" w:hAnsiTheme="majorEastAsia" w:eastAsiaTheme="majorEastAsia" w:cstheme="majorEastAsia"/>
                <w:b/>
                <w:bCs/>
                <w:color w:val="auto"/>
                <w:sz w:val="21"/>
                <w:szCs w:val="21"/>
                <w:highlight w:val="none"/>
                <w:lang w:val="en-US"/>
              </w:rPr>
              <w:t xml:space="preserve">或招标文件第四章要求的其他证明材料</w:t>
            </w:r>
            <w:r>
              <w:rPr>
                <w:rFonts w:hint="eastAsia" w:asciiTheme="majorEastAsia" w:hAnsiTheme="majorEastAsia" w:eastAsiaTheme="majorEastAsia" w:cstheme="majorEastAsia"/>
                <w:b/>
                <w:bCs/>
                <w:color w:val="auto"/>
                <w:sz w:val="21"/>
                <w:szCs w:val="21"/>
                <w:highlight w:val="none"/>
              </w:rPr>
              <w:t xml:space="preserve">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462" w:type="pct"/>
            <w:vAlign w:val="center"/>
            <w:textDirection w:val="lrTb"/>
            <w:noWrap w:val="false"/>
          </w:tcPr>
          <w:p>
            <w:pPr>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34</w:t>
            </w:r>
            <w:r/>
          </w:p>
        </w:tc>
      </w:tr>
      <w:tr>
        <w:trPr>
          <w:jc w:val="center"/>
          <w:trHeight w:val="3516"/>
        </w:trPr>
        <w:tc>
          <w:tcPr>
            <w:tcW w:w="411" w:type="pct"/>
            <w:vAlign w:val="center"/>
            <w:textDirection w:val="lrTb"/>
            <w:noWrap w:val="false"/>
          </w:tcPr>
          <w:p>
            <w:pPr>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2.2</w:t>
            </w:r>
            <w:r/>
          </w:p>
        </w:tc>
        <w:tc>
          <w:tcPr>
            <w:tcW w:w="536" w:type="pct"/>
            <w:vAlign w:val="center"/>
            <w:vMerge w:val="continue"/>
            <w:textDirection w:val="lrTb"/>
            <w:noWrap w:val="false"/>
          </w:tcPr>
          <w:p>
            <w:pPr>
              <w:jc w:val="center"/>
              <w:spacing w:line="360" w:lineRule="auto"/>
              <w:rPr>
                <w:rFonts w:asciiTheme="majorEastAsia" w:hAnsiTheme="majorEastAsia" w:eastAsiaTheme="majorEastAsia" w:cstheme="majorEastAsia"/>
                <w:b/>
                <w:bCs/>
                <w:color w:val="auto"/>
                <w:sz w:val="21"/>
                <w:szCs w:val="21"/>
                <w:highlight w:val="none"/>
              </w:rPr>
            </w:pPr>
            <w:r>
              <w:rPr>
                <w:rFonts w:asciiTheme="majorEastAsia" w:hAnsiTheme="majorEastAsia" w:eastAsiaTheme="majorEastAsia" w:cstheme="majorEastAsia"/>
                <w:b/>
                <w:bCs/>
                <w:color w:val="auto"/>
                <w:sz w:val="21"/>
                <w:szCs w:val="21"/>
                <w:highlight w:val="none"/>
              </w:rPr>
            </w:r>
            <w:r/>
          </w:p>
        </w:tc>
        <w:tc>
          <w:tcPr>
            <w:tcW w:w="3589" w:type="pct"/>
            <w:vAlign w:val="center"/>
            <w:textDirection w:val="lrTb"/>
            <w:noWrap w:val="false"/>
          </w:tcPr>
          <w:p>
            <w:pP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对产品选型、规格、设计的科学性、合理性、材质选用、制造工艺水平等进行评审：</w:t>
            </w:r>
            <w:r/>
          </w:p>
          <w:p>
            <w:pP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产品选型好、规格、设计的科学合理，材质选用坚固、结实，制造工艺水平好，得8</w:t>
            </w:r>
            <w:r>
              <w:rPr>
                <w:rFonts w:hint="eastAsia" w:asciiTheme="majorEastAsia" w:hAnsiTheme="majorEastAsia" w:eastAsiaTheme="majorEastAsia" w:cstheme="majorEastAsia"/>
                <w:color w:val="auto"/>
                <w:sz w:val="21"/>
                <w:szCs w:val="21"/>
                <w:highlight w:val="none"/>
              </w:rPr>
              <w:t xml:space="preserve">分；</w:t>
            </w:r>
            <w:r/>
          </w:p>
          <w:p>
            <w:pP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产品选型较好、规格、设计的较为科学合理，材质选用较好，制造工艺水平较好，得5</w:t>
            </w:r>
            <w:r>
              <w:rPr>
                <w:rFonts w:hint="eastAsia" w:asciiTheme="majorEastAsia" w:hAnsiTheme="majorEastAsia" w:eastAsiaTheme="majorEastAsia" w:cstheme="majorEastAsia"/>
                <w:color w:val="auto"/>
                <w:sz w:val="21"/>
                <w:szCs w:val="21"/>
                <w:highlight w:val="none"/>
              </w:rPr>
              <w:t xml:space="preserve">分；</w:t>
            </w:r>
            <w:r/>
          </w:p>
          <w:p>
            <w:pP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产品选型一般、规格、设计的一般合理，材质选用较差，制造工艺水平一般，得3</w:t>
            </w:r>
            <w:r>
              <w:rPr>
                <w:rFonts w:hint="eastAsia" w:asciiTheme="majorEastAsia" w:hAnsiTheme="majorEastAsia" w:eastAsiaTheme="majorEastAsia" w:cstheme="majorEastAsia"/>
                <w:color w:val="auto"/>
                <w:sz w:val="21"/>
                <w:szCs w:val="21"/>
                <w:highlight w:val="none"/>
              </w:rPr>
              <w:t xml:space="preserve">分；</w:t>
            </w:r>
            <w:r/>
          </w:p>
          <w:p>
            <w:pPr>
              <w:spacing w:line="360" w:lineRule="auto"/>
              <w:widowControl/>
              <w:rPr>
                <w:rFonts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未提供不得分。</w:t>
            </w:r>
            <w:r/>
          </w:p>
        </w:tc>
        <w:tc>
          <w:tcPr>
            <w:tcW w:w="462" w:type="pct"/>
            <w:vAlign w:val="center"/>
            <w:textDirection w:val="lrTb"/>
            <w:noWrap w:val="false"/>
          </w:tcPr>
          <w:p>
            <w:pPr>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r>
      <w:tr>
        <w:trPr>
          <w:jc w:val="center"/>
          <w:trHeight w:val="547"/>
        </w:trPr>
        <w:tc>
          <w:tcPr>
            <w:tcW w:w="411"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3.1</w:t>
            </w:r>
            <w:r/>
          </w:p>
        </w:tc>
        <w:tc>
          <w:tcPr>
            <w:tcW w:w="536" w:type="pct"/>
            <w:vAlign w:val="center"/>
            <w:vMerge w:val="restart"/>
            <w:textDirection w:val="lrTb"/>
            <w:noWrap w:val="false"/>
          </w:tcPr>
          <w:p>
            <w:pPr>
              <w:jc w:val="left"/>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售后服务</w:t>
            </w:r>
            <w:r/>
          </w:p>
        </w:tc>
        <w:tc>
          <w:tcPr>
            <w:tcW w:w="3589"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 xml:space="preserve">核心产品</w:t>
            </w:r>
            <w:r>
              <w:rPr>
                <w:rFonts w:hint="eastAsia" w:asciiTheme="majorEastAsia" w:hAnsiTheme="majorEastAsia" w:eastAsiaTheme="majorEastAsia" w:cstheme="majorEastAsia"/>
                <w:color w:val="auto"/>
                <w:sz w:val="21"/>
                <w:szCs w:val="21"/>
                <w:highlight w:val="none"/>
              </w:rPr>
              <w:t xml:space="preserve">满足招标文件免费质保期</w:t>
            </w:r>
            <w:r>
              <w:rPr>
                <w:rFonts w:hint="eastAsia" w:asciiTheme="majorEastAsia" w:hAnsiTheme="majorEastAsia" w:eastAsiaTheme="majorEastAsia" w:cstheme="majorEastAsia"/>
                <w:b/>
                <w:bCs/>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lang w:val="en-US"/>
              </w:rPr>
              <w:t xml:space="preserve">1</w:t>
            </w:r>
            <w:r>
              <w:rPr>
                <w:rFonts w:hint="eastAsia" w:asciiTheme="majorEastAsia" w:hAnsiTheme="majorEastAsia" w:eastAsiaTheme="majorEastAsia" w:cstheme="majorEastAsia"/>
                <w:b/>
                <w:bCs/>
                <w:color w:val="auto"/>
                <w:sz w:val="21"/>
                <w:szCs w:val="21"/>
                <w:highlight w:val="none"/>
              </w:rPr>
              <w:t xml:space="preserve">年）</w:t>
            </w:r>
            <w:r>
              <w:rPr>
                <w:rFonts w:hint="eastAsia" w:asciiTheme="majorEastAsia" w:hAnsiTheme="majorEastAsia" w:eastAsiaTheme="majorEastAsia" w:cstheme="majorEastAsia"/>
                <w:color w:val="auto"/>
                <w:sz w:val="21"/>
                <w:szCs w:val="21"/>
                <w:highlight w:val="none"/>
              </w:rPr>
              <w:t xml:space="preserve">的基础上，每增加1年免费质保加1分，本项最多得2分。需提供售后服务承诺书（原件）</w:t>
            </w:r>
            <w:r>
              <w:rPr>
                <w:rFonts w:hint="eastAsia" w:asciiTheme="majorEastAsia" w:hAnsiTheme="majorEastAsia" w:eastAsiaTheme="majorEastAsia" w:cstheme="majorEastAsia"/>
                <w:color w:val="auto"/>
                <w:sz w:val="21"/>
                <w:szCs w:val="21"/>
                <w:highlight w:val="none"/>
                <w:lang w:val="en-US"/>
              </w:rPr>
              <w:t xml:space="preserve">加盖投标人公章</w:t>
            </w:r>
            <w:r>
              <w:rPr>
                <w:rFonts w:hint="eastAsia" w:asciiTheme="majorEastAsia" w:hAnsiTheme="majorEastAsia" w:eastAsiaTheme="majorEastAsia" w:cstheme="majorEastAsia"/>
                <w:color w:val="auto"/>
                <w:sz w:val="21"/>
                <w:szCs w:val="21"/>
                <w:highlight w:val="none"/>
              </w:rPr>
              <w:t xml:space="preserve">（若投标文件中出现前后不一致的情况，以最低免费质保期作为评分依据）。</w:t>
            </w:r>
            <w:r/>
          </w:p>
        </w:tc>
        <w:tc>
          <w:tcPr>
            <w:tcW w:w="462" w:type="pct"/>
            <w:vAlign w:val="center"/>
            <w:textDirection w:val="lrTb"/>
            <w:noWrap w:val="false"/>
          </w:tcPr>
          <w:p>
            <w:pPr>
              <w:jc w:val="cente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r>
      <w:tr>
        <w:trPr>
          <w:jc w:val="center"/>
          <w:trHeight w:val="455"/>
        </w:trPr>
        <w:tc>
          <w:tcPr>
            <w:tcW w:w="411"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3.2</w:t>
            </w:r>
            <w:r/>
          </w:p>
        </w:tc>
        <w:tc>
          <w:tcPr>
            <w:tcW w:w="536" w:type="pct"/>
            <w:vAlign w:val="center"/>
            <w:vMerge w:val="continue"/>
            <w:textDirection w:val="lrTb"/>
            <w:noWrap w:val="false"/>
          </w:tcPr>
          <w:p>
            <w:pPr>
              <w:jc w:val="left"/>
              <w:spacing w:line="360" w:lineRule="auto"/>
              <w:rPr>
                <w:rFonts w:asciiTheme="majorEastAsia" w:hAnsiTheme="majorEastAsia" w:eastAsiaTheme="majorEastAsia" w:cstheme="majorEastAsia"/>
                <w:color w:val="auto"/>
                <w:sz w:val="21"/>
                <w:szCs w:val="21"/>
                <w:highlight w:val="none"/>
              </w:rPr>
            </w:pPr>
            <w:r>
              <w:rPr>
                <w:rFonts w:asciiTheme="majorEastAsia" w:hAnsiTheme="majorEastAsia" w:eastAsiaTheme="majorEastAsia" w:cstheme="majorEastAsia"/>
                <w:color w:val="auto"/>
                <w:sz w:val="21"/>
                <w:szCs w:val="21"/>
                <w:highlight w:val="none"/>
              </w:rPr>
            </w:r>
            <w:r/>
          </w:p>
        </w:tc>
        <w:tc>
          <w:tcPr>
            <w:tcW w:w="3589" w:type="pct"/>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olor w:val="auto"/>
                <w:sz w:val="21"/>
                <w:szCs w:val="21"/>
                <w:highlight w:val="none"/>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1分，未描述不得分。</w:t>
            </w:r>
            <w:r/>
          </w:p>
        </w:tc>
        <w:tc>
          <w:tcPr>
            <w:tcW w:w="462" w:type="pct"/>
            <w:vAlign w:val="center"/>
            <w:textDirection w:val="lrTb"/>
            <w:noWrap w:val="false"/>
          </w:tcPr>
          <w:p>
            <w:pPr>
              <w:jc w:val="cente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r>
      <w:tr>
        <w:trPr>
          <w:jc w:val="center"/>
          <w:trHeight w:val="1447"/>
        </w:trPr>
        <w:tc>
          <w:tcPr>
            <w:tcW w:w="411"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4</w:t>
            </w:r>
            <w:r/>
          </w:p>
        </w:tc>
        <w:tc>
          <w:tcPr>
            <w:tcW w:w="1052" w:type="dxa"/>
            <w:vAlign w:val="center"/>
            <w:textDirection w:val="lrTb"/>
            <w:noWrap w:val="false"/>
          </w:tcPr>
          <w:p>
            <w:pPr>
              <w:jc w:val="left"/>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b/>
                <w:color w:val="auto"/>
                <w:sz w:val="21"/>
                <w:szCs w:val="21"/>
                <w:highlight w:val="none"/>
              </w:rPr>
              <w:t xml:space="preserve">实施方案及进度安排</w:t>
            </w:r>
            <w:r/>
          </w:p>
        </w:tc>
        <w:tc>
          <w:tcPr>
            <w:tcW w:w="7062" w:type="dxa"/>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olor w:val="auto"/>
                <w:sz w:val="21"/>
                <w:szCs w:val="21"/>
                <w:highlight w:val="none"/>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p>
        </w:tc>
        <w:tc>
          <w:tcPr>
            <w:tcW w:w="907" w:type="dxa"/>
            <w:vAlign w:val="center"/>
            <w:textDirection w:val="lrTb"/>
            <w:noWrap w:val="false"/>
          </w:tcPr>
          <w:p>
            <w:pPr>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olor w:val="auto"/>
                <w:sz w:val="21"/>
                <w:szCs w:val="21"/>
                <w:highlight w:val="none"/>
                <w:lang w:val="en-US"/>
              </w:rPr>
              <w:t xml:space="preserve">8</w:t>
            </w:r>
            <w:r/>
          </w:p>
        </w:tc>
      </w:tr>
      <w:tr>
        <w:trPr>
          <w:jc w:val="center"/>
          <w:trHeight w:val="2833"/>
        </w:trPr>
        <w:tc>
          <w:tcPr>
            <w:tcW w:w="411"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5</w:t>
            </w:r>
            <w:r/>
          </w:p>
        </w:tc>
        <w:tc>
          <w:tcPr>
            <w:tcW w:w="1052" w:type="dxa"/>
            <w:vAlign w:val="center"/>
            <w:textDirection w:val="lrTb"/>
            <w:noWrap w:val="false"/>
          </w:tcPr>
          <w:p>
            <w:pPr>
              <w:jc w:val="left"/>
              <w:spacing w:line="360" w:lineRule="auto"/>
              <w:rPr>
                <w:rFonts w:asciiTheme="majorEastAsia" w:hAnsiTheme="majorEastAsia" w:eastAsiaTheme="majorEastAsia" w:cstheme="majorEastAsia"/>
                <w:b/>
                <w:color w:val="auto"/>
                <w:sz w:val="21"/>
                <w:szCs w:val="21"/>
                <w:highlight w:val="none"/>
              </w:rPr>
            </w:pPr>
            <w:r>
              <w:rPr>
                <w:rFonts w:hint="eastAsia" w:ascii="宋体" w:hAnsi="宋体" w:eastAsia="宋体"/>
                <w:b/>
                <w:color w:val="auto"/>
                <w:sz w:val="21"/>
                <w:szCs w:val="21"/>
                <w:highlight w:val="none"/>
              </w:rPr>
              <w:t xml:space="preserve">培训</w:t>
            </w:r>
            <w:r/>
          </w:p>
        </w:tc>
        <w:tc>
          <w:tcPr>
            <w:tcW w:w="7062" w:type="dxa"/>
            <w:vAlign w:val="center"/>
            <w:textDirection w:val="lrTb"/>
            <w:noWrap w:val="false"/>
          </w:tcPr>
          <w:p>
            <w:pP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根据制定的技术培训方案，培训方案的针对性，满足相关操作人员的实际工作需求(至少包含完整的培训目标、培训组织及人员安排、培训对象、培训方式及培训承诺等) 进行评分：</w:t>
            </w:r>
            <w:r/>
          </w:p>
          <w:p>
            <w:pP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培训方案内容完整、可行，针对性、可操作性强的得3分；</w:t>
            </w:r>
            <w:r/>
          </w:p>
          <w:p>
            <w:pP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培训方案内容较为完整、可行，针对性、可操作性较强的得2分；</w:t>
            </w:r>
            <w:r/>
          </w:p>
          <w:p>
            <w:pP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培训方案简单笼统，没有针对性的得1分；</w:t>
            </w:r>
            <w:r/>
          </w:p>
          <w:p>
            <w:pPr>
              <w:spacing w:line="360" w:lineRule="auto"/>
              <w:rPr>
                <w:rFonts w:asciiTheme="majorEastAsia" w:hAnsiTheme="majorEastAsia" w:eastAsiaTheme="majorEastAsia" w:cstheme="majorEastAsia"/>
                <w:color w:val="auto"/>
                <w:sz w:val="21"/>
                <w:szCs w:val="21"/>
                <w:highlight w:val="none"/>
                <w:lang w:val="en-US"/>
              </w:rPr>
            </w:pPr>
            <w:r>
              <w:rPr>
                <w:rFonts w:hint="eastAsia" w:ascii="宋体" w:hAnsi="宋体" w:eastAsia="宋体"/>
                <w:color w:val="auto"/>
                <w:sz w:val="21"/>
                <w:szCs w:val="21"/>
                <w:highlight w:val="none"/>
                <w:lang w:val="en-US"/>
              </w:rPr>
              <w:t xml:space="preserve">未提供的不得分。</w:t>
            </w:r>
            <w:r/>
          </w:p>
        </w:tc>
        <w:tc>
          <w:tcPr>
            <w:tcW w:w="907" w:type="dxa"/>
            <w:vAlign w:val="center"/>
            <w:textDirection w:val="lrTb"/>
            <w:noWrap w:val="false"/>
          </w:tcPr>
          <w:p>
            <w:pPr>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olor w:val="auto"/>
                <w:sz w:val="21"/>
                <w:szCs w:val="21"/>
                <w:highlight w:val="none"/>
                <w:lang w:val="en-US"/>
              </w:rPr>
              <w:t xml:space="preserve">3</w:t>
            </w:r>
            <w:r/>
          </w:p>
        </w:tc>
      </w:tr>
      <w:tr>
        <w:trPr>
          <w:jc w:val="center"/>
          <w:trHeight w:val="417"/>
        </w:trPr>
        <w:tc>
          <w:tcPr>
            <w:tcW w:w="411" w:type="pct"/>
            <w:vAlign w:val="center"/>
            <w:textDirection w:val="lrTb"/>
            <w:noWrap w:val="false"/>
          </w:tcPr>
          <w:p>
            <w:pPr>
              <w:jc w:val="left"/>
              <w:spacing w:line="360" w:lineRule="auto"/>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6</w:t>
            </w:r>
            <w:r/>
          </w:p>
        </w:tc>
        <w:tc>
          <w:tcPr>
            <w:tcW w:w="1052" w:type="dxa"/>
            <w:vAlign w:val="center"/>
            <w:textDirection w:val="lrTb"/>
            <w:noWrap w:val="false"/>
          </w:tcPr>
          <w:p>
            <w:pPr>
              <w:jc w:val="left"/>
              <w:spacing w:line="360" w:lineRule="auto"/>
              <w:rPr>
                <w:rFonts w:asciiTheme="majorEastAsia" w:hAnsiTheme="majorEastAsia" w:eastAsiaTheme="majorEastAsia" w:cstheme="majorEastAsia"/>
                <w:b/>
                <w:color w:val="auto"/>
                <w:sz w:val="21"/>
                <w:szCs w:val="21"/>
                <w:highlight w:val="none"/>
              </w:rPr>
            </w:pPr>
            <w:r>
              <w:rPr>
                <w:rFonts w:hint="eastAsia" w:ascii="宋体" w:hAnsi="宋体" w:eastAsia="宋体"/>
                <w:b/>
                <w:color w:val="auto"/>
                <w:sz w:val="21"/>
                <w:szCs w:val="21"/>
                <w:highlight w:val="none"/>
              </w:rPr>
              <w:t xml:space="preserve">业绩</w:t>
            </w:r>
            <w:r/>
          </w:p>
        </w:tc>
        <w:tc>
          <w:tcPr>
            <w:tcW w:w="7062" w:type="dxa"/>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lang w:val="en-US"/>
              </w:rPr>
            </w:pPr>
            <w:r>
              <w:rPr>
                <w:rFonts w:hint="eastAsia" w:ascii="宋体" w:hAnsi="宋体" w:eastAsia="宋体"/>
                <w:color w:val="auto"/>
                <w:sz w:val="21"/>
                <w:szCs w:val="21"/>
                <w:highlight w:val="none"/>
              </w:rPr>
              <w:t xml:space="preserve">供应商或者制造商（含制造商的其他代理商）</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rPr>
              <w:t xml:space="preserve">自</w:t>
            </w:r>
            <w:r>
              <w:rPr>
                <w:rFonts w:hint="eastAsia" w:ascii="宋体" w:hAnsi="宋体" w:eastAsia="宋体"/>
                <w:b/>
                <w:bCs/>
                <w:color w:val="auto"/>
                <w:sz w:val="21"/>
                <w:szCs w:val="21"/>
                <w:highlight w:val="none"/>
              </w:rPr>
              <w:t xml:space="preserve">202</w:t>
            </w:r>
            <w:r>
              <w:rPr>
                <w:rFonts w:hint="eastAsia" w:ascii="宋体" w:hAnsi="宋体" w:eastAsia="宋体"/>
                <w:b/>
                <w:bCs/>
                <w:color w:val="auto"/>
                <w:sz w:val="21"/>
                <w:szCs w:val="21"/>
                <w:highlight w:val="none"/>
                <w:lang w:val="en-US"/>
              </w:rPr>
              <w:t xml:space="preserve">3</w:t>
            </w:r>
            <w:r>
              <w:rPr>
                <w:rFonts w:hint="eastAsia" w:ascii="宋体" w:hAnsi="宋体" w:eastAsia="宋体"/>
                <w:b/>
                <w:bCs/>
                <w:color w:val="auto"/>
                <w:sz w:val="21"/>
                <w:szCs w:val="21"/>
                <w:highlight w:val="none"/>
              </w:rPr>
              <w:t xml:space="preserve">年</w:t>
            </w: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月1日</w:t>
            </w:r>
            <w:r>
              <w:rPr>
                <w:rFonts w:hint="eastAsia" w:ascii="宋体" w:hAnsi="宋体" w:eastAsia="宋体"/>
                <w:color w:val="auto"/>
                <w:sz w:val="21"/>
                <w:szCs w:val="21"/>
                <w:highlight w:val="none"/>
              </w:rPr>
              <w:t xml:space="preserve">（含）至投标截止时间为止</w:t>
            </w:r>
            <w:r>
              <w:rPr>
                <w:rFonts w:hint="eastAsia" w:ascii="宋体" w:hAnsi="宋体" w:eastAsia="宋体"/>
                <w:b/>
                <w:color w:val="auto"/>
                <w:sz w:val="21"/>
                <w:szCs w:val="21"/>
                <w:highlight w:val="none"/>
                <w:lang w:val="en-US"/>
              </w:rPr>
              <w:t xml:space="preserve">核心产品在国内的同品牌同型号产品销售业绩</w:t>
            </w:r>
            <w:r>
              <w:rPr>
                <w:rFonts w:hint="eastAsia" w:ascii="宋体" w:hAnsi="宋体" w:eastAsia="宋体"/>
                <w:color w:val="auto"/>
                <w:sz w:val="21"/>
                <w:szCs w:val="21"/>
                <w:highlight w:val="none"/>
              </w:rPr>
              <w:t xml:space="preserve">，以合同签订时间为准，每提供一个有效</w:t>
            </w:r>
            <w:r>
              <w:rPr>
                <w:rFonts w:hint="eastAsia" w:ascii="宋体" w:hAnsi="宋体" w:eastAsia="宋体"/>
                <w:color w:val="auto"/>
                <w:sz w:val="21"/>
                <w:szCs w:val="21"/>
                <w:highlight w:val="none"/>
                <w:lang w:val="en-US"/>
              </w:rPr>
              <w:t xml:space="preserve">合同</w:t>
            </w:r>
            <w:r>
              <w:rPr>
                <w:rFonts w:hint="eastAsia" w:ascii="宋体" w:hAnsi="宋体" w:eastAsia="宋体"/>
                <w:color w:val="auto"/>
                <w:sz w:val="21"/>
                <w:szCs w:val="21"/>
                <w:highlight w:val="none"/>
              </w:rPr>
              <w:t xml:space="preserve">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分，本项最高得</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rPr>
              <w:t xml:space="preserve">同一用户单位不重复计分。</w:t>
            </w:r>
            <w:r>
              <w:rPr>
                <w:rFonts w:hint="eastAsia" w:ascii="宋体" w:hAnsi="宋体" w:eastAsia="宋体"/>
                <w:b/>
                <w:bCs/>
                <w:color w:val="auto"/>
                <w:sz w:val="21"/>
                <w:szCs w:val="21"/>
                <w:highlight w:val="none"/>
                <w:lang w:val="en-US"/>
              </w:rPr>
              <w:t xml:space="preserve">(提供所投产品合同复印件，合同原件、发票备查。)</w:t>
            </w:r>
            <w:r/>
          </w:p>
        </w:tc>
        <w:tc>
          <w:tcPr>
            <w:tcW w:w="907" w:type="dxa"/>
            <w:vAlign w:val="center"/>
            <w:textDirection w:val="lrTb"/>
            <w:noWrap w:val="false"/>
          </w:tcPr>
          <w:p>
            <w:pPr>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olor w:val="auto"/>
                <w:sz w:val="21"/>
                <w:szCs w:val="21"/>
                <w:highlight w:val="none"/>
              </w:rPr>
              <w:t xml:space="preserve">8</w:t>
            </w:r>
            <w:r/>
          </w:p>
        </w:tc>
      </w:tr>
      <w:tr>
        <w:trPr>
          <w:jc w:val="center"/>
          <w:trHeight w:val="667"/>
        </w:trPr>
        <w:tc>
          <w:tcPr>
            <w:tcW w:w="411" w:type="pct"/>
            <w:vAlign w:val="center"/>
            <w:textDirection w:val="lrTb"/>
            <w:noWrap w:val="false"/>
          </w:tcPr>
          <w:p>
            <w:pPr>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7</w:t>
            </w:r>
            <w:r/>
          </w:p>
        </w:tc>
        <w:tc>
          <w:tcPr>
            <w:tcW w:w="536" w:type="pct"/>
            <w:vAlign w:val="center"/>
            <w:textDirection w:val="lrTb"/>
            <w:noWrap w:val="false"/>
          </w:tcPr>
          <w:p>
            <w:pPr>
              <w:jc w:val="left"/>
              <w:spacing w:line="360" w:lineRule="auto"/>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国家政策导向</w:t>
            </w:r>
            <w:r/>
          </w:p>
        </w:tc>
        <w:tc>
          <w:tcPr>
            <w:tcW w:w="3589" w:type="pct"/>
            <w:vAlign w:val="center"/>
            <w:textDirection w:val="lrTb"/>
            <w:noWrap w:val="false"/>
          </w:tcPr>
          <w:p>
            <w:pP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p>
            <w:pP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W w:w="462" w:type="pct"/>
            <w:vAlign w:val="center"/>
            <w:textDirection w:val="lrTb"/>
            <w:noWrap w:val="false"/>
          </w:tcPr>
          <w:p>
            <w:pPr>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r>
    </w:tbl>
    <w:p>
      <w:pPr>
        <w:ind w:left="178" w:right="105" w:firstLine="211"/>
        <w:jc w:val="center"/>
        <w:spacing w:line="360" w:lineRule="auto"/>
        <w:rPr>
          <w:rFonts w:ascii="黑体" w:hAnsi="宋体" w:eastAsia="黑体"/>
          <w:color w:val="auto"/>
          <w:sz w:val="36"/>
          <w:szCs w:val="36"/>
          <w:highlight w:val="none"/>
        </w:rPr>
        <w:outlineLvl w:val="0"/>
      </w:pPr>
      <w:r>
        <w:rPr>
          <w:rFonts w:ascii="宋体" w:hAnsi="宋体"/>
          <w:b/>
          <w:color w:val="auto"/>
          <w:szCs w:val="21"/>
          <w:highlight w:val="none"/>
        </w:rPr>
        <w:br w:type="page" w:clear="all"/>
      </w:r>
      <w:r>
        <w:rPr>
          <w:rFonts w:hint="eastAsia" w:ascii="黑体" w:hAnsi="宋体" w:eastAsia="黑体"/>
          <w:color w:val="auto"/>
          <w:spacing w:val="-10"/>
          <w:sz w:val="36"/>
          <w:szCs w:val="36"/>
          <w:highlight w:val="none"/>
        </w:rPr>
        <w:t xml:space="preserve">第四章 </w:t>
      </w:r>
      <w:bookmarkStart w:id="14" w:name="_Toc150538845"/>
      <w:r>
        <w:rPr>
          <w:rFonts w:hint="eastAsia" w:ascii="黑体" w:hAnsi="宋体" w:eastAsia="黑体"/>
          <w:color w:val="auto"/>
          <w:spacing w:val="-10"/>
          <w:sz w:val="36"/>
          <w:szCs w:val="36"/>
          <w:highlight w:val="none"/>
        </w:rPr>
        <w:t xml:space="preserve">招标技术规格及要求</w:t>
      </w:r>
      <w:bookmarkEnd w:id="14"/>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一、</w:t>
      </w:r>
      <w:r>
        <w:rPr>
          <w:rFonts w:hint="eastAsia" w:ascii="宋体" w:hAnsi="宋体" w:eastAsia="宋体"/>
          <w:b/>
          <w:bCs/>
          <w:color w:val="auto"/>
          <w:sz w:val="21"/>
          <w:szCs w:val="21"/>
          <w:highlight w:val="none"/>
          <w:lang w:val="en-US"/>
        </w:rPr>
        <w:t xml:space="preserve">采购需求一览表</w:t>
      </w:r>
      <w:r/>
    </w:p>
    <w:tbl>
      <w:tblPr>
        <w:tblStyle w:val="105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06"/>
        <w:gridCol w:w="1408"/>
        <w:gridCol w:w="1408"/>
        <w:gridCol w:w="1408"/>
        <w:gridCol w:w="1408"/>
        <w:gridCol w:w="1408"/>
        <w:gridCol w:w="1409"/>
      </w:tblGrid>
      <w:tr>
        <w:trPr/>
        <w:tc>
          <w:tcPr>
            <w:shd w:val="clear" w:color="auto" w:fill="ffffff"/>
            <w:tcBorders>
              <w:top w:val="single" w:color="000000" w:sz="4" w:space="0"/>
              <w:left w:val="single" w:color="000000" w:sz="4" w:space="0"/>
              <w:bottom w:val="single" w:color="000000" w:sz="4" w:space="0"/>
              <w:right w:val="single" w:color="000000" w:sz="4" w:space="0"/>
            </w:tcBorders>
            <w:tcW w:w="713" w:type="pct"/>
            <w:textDirection w:val="lrTb"/>
            <w:noWrap w:val="false"/>
          </w:tcPr>
          <w:p>
            <w:pPr>
              <w:rPr>
                <w:color w:val="auto"/>
                <w:highlight w:val="none"/>
              </w:rPr>
            </w:pPr>
            <w:r>
              <w:rPr>
                <w:rFonts w:ascii="宋体" w:hAnsi="宋体" w:eastAsia="宋体"/>
                <w:color w:val="auto"/>
                <w:sz w:val="21"/>
                <w:highlight w:val="none"/>
              </w:rPr>
              <w:t xml:space="preserve">包号</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价格条件</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★合同履行期限（交货期）</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最高限价（万元）</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是否接受进口产品</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13" w:type="pct"/>
            <w:vMerge w:val="restart"/>
            <w:textDirection w:val="lrTb"/>
            <w:noWrap w:val="false"/>
          </w:tcPr>
          <w:p>
            <w:pPr>
              <w:rPr>
                <w:rFonts w:ascii="宋体" w:hAnsi="宋体" w:eastAsia="宋体"/>
                <w:color w:val="auto"/>
                <w:sz w:val="21"/>
                <w:highlight w:val="none"/>
              </w:rPr>
            </w:pPr>
            <w:r>
              <w:rPr>
                <w:rFonts w:ascii="宋体" w:hAnsi="宋体" w:eastAsia="宋体"/>
                <w:color w:val="auto"/>
                <w:sz w:val="21"/>
                <w:highlight w:val="none"/>
              </w:rPr>
              <w:t xml:space="preserve">1</w:t>
            </w:r>
            <w:r/>
          </w:p>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盐雾试验箱</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合同签订后</w:t>
            </w:r>
            <w:r>
              <w:rPr>
                <w:rFonts w:hint="eastAsia" w:ascii="宋体" w:hAnsi="宋体" w:eastAsia="宋体"/>
                <w:color w:val="auto"/>
                <w:sz w:val="21"/>
                <w:highlight w:val="none"/>
                <w:lang w:val="en-US" w:eastAsia="zh-CN"/>
              </w:rPr>
              <w:t xml:space="preserve">20日</w:t>
            </w:r>
            <w:r>
              <w:rPr>
                <w:rFonts w:ascii="宋体" w:hAnsi="宋体" w:eastAsia="宋体"/>
                <w:color w:val="auto"/>
                <w:sz w:val="21"/>
                <w:highlight w:val="none"/>
              </w:rPr>
              <w:t xml:space="preserve">内</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color w:val="auto"/>
                <w:highlight w:val="none"/>
              </w:rPr>
            </w:pPr>
            <w:r>
              <w:rPr>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13"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高低温试验箱</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合同签订后</w:t>
            </w:r>
            <w:r>
              <w:rPr>
                <w:rFonts w:hint="eastAsia" w:ascii="宋体" w:hAnsi="宋体" w:eastAsia="宋体"/>
                <w:color w:val="auto"/>
                <w:sz w:val="21"/>
                <w:highlight w:val="none"/>
                <w:lang w:val="en-US" w:eastAsia="zh-CN"/>
              </w:rPr>
              <w:t xml:space="preserve">1</w:t>
            </w:r>
            <w:r>
              <w:rPr>
                <w:rFonts w:ascii="宋体" w:hAnsi="宋体" w:eastAsia="宋体"/>
                <w:color w:val="auto"/>
                <w:sz w:val="21"/>
                <w:highlight w:val="none"/>
              </w:rPr>
              <w:t xml:space="preserve">个月内</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color w:val="auto"/>
                <w:highlight w:val="none"/>
              </w:rPr>
            </w:pPr>
            <w:r>
              <w:rPr>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13"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高低温试验箱</w:t>
            </w:r>
            <w:r>
              <w:rPr>
                <w:rFonts w:hint="eastAsia" w:ascii="宋体" w:hAnsi="宋体" w:eastAsia="宋体"/>
                <w:b/>
                <w:bCs/>
                <w:color w:val="auto"/>
                <w:sz w:val="21"/>
                <w:highlight w:val="none"/>
                <w:lang w:eastAsia="zh-CN"/>
              </w:rPr>
              <w:t xml:space="preserve">（</w:t>
            </w:r>
            <w:r>
              <w:rPr>
                <w:rFonts w:hint="eastAsia" w:ascii="宋体" w:hAnsi="宋体" w:eastAsia="宋体"/>
                <w:b/>
                <w:bCs/>
                <w:color w:val="auto"/>
                <w:sz w:val="21"/>
                <w:highlight w:val="none"/>
                <w:lang w:val="en-US" w:eastAsia="zh-CN"/>
              </w:rPr>
              <w:t xml:space="preserve">核心产品</w:t>
            </w:r>
            <w:r>
              <w:rPr>
                <w:rFonts w:hint="eastAsia" w:ascii="宋体" w:hAnsi="宋体" w:eastAsia="宋体"/>
                <w:b/>
                <w:bCs/>
                <w:color w:val="auto"/>
                <w:sz w:val="21"/>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rFonts w:eastAsia="宋体"/>
                <w:color w:val="auto"/>
                <w:highlight w:val="none"/>
              </w:rPr>
            </w:pPr>
            <w:r>
              <w:rPr>
                <w:rFonts w:hint="eastAsia" w:ascii="宋体" w:hAnsi="宋体" w:eastAsia="宋体"/>
                <w:color w:val="auto"/>
                <w:sz w:val="21"/>
                <w:highlight w:val="none"/>
                <w:lang w:val="en-US"/>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vAlign w:val="top"/>
            <w:textDirection w:val="lrTb"/>
            <w:noWrap w:val="false"/>
          </w:tcPr>
          <w:p>
            <w:pPr>
              <w:rPr>
                <w:rFonts w:hint="eastAsia" w:eastAsia="宋体"/>
                <w:color w:val="auto"/>
                <w:highlight w:val="none"/>
                <w:lang w:eastAsia="zh-CN"/>
              </w:rPr>
            </w:pPr>
            <w:r>
              <w:rPr>
                <w:rFonts w:hint="eastAsia" w:ascii="宋体" w:hAnsi="宋体" w:eastAsia="宋体"/>
                <w:color w:val="auto"/>
                <w:sz w:val="21"/>
                <w:highlight w:val="none"/>
                <w:lang w:eastAsia="zh-CN"/>
              </w:rPr>
              <w:t xml:space="preserve">合同签订后45天内</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rFonts w:eastAsia="宋体"/>
                <w:color w:val="auto"/>
                <w:highlight w:val="none"/>
                <w:lang w:val="en-US"/>
              </w:rPr>
            </w:pPr>
            <w:r>
              <w:rPr>
                <w:rFonts w:hint="eastAsia" w:ascii="宋体" w:hAnsi="宋体" w:eastAsia="宋体"/>
                <w:color w:val="auto"/>
                <w:sz w:val="21"/>
                <w:highlight w:val="none"/>
                <w:lang w:val="en-US"/>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rPr>
                <w:rFonts w:eastAsiaTheme="minorEastAsia"/>
                <w:color w:val="auto"/>
                <w:highlight w:val="none"/>
              </w:rPr>
            </w:pPr>
            <w:r>
              <w:rPr>
                <w:rFonts w:eastAsiaTheme="minorEastAsia"/>
                <w:color w:val="auto"/>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13" w:type="pct"/>
            <w:vMerge w:val="continue"/>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音视频类综合测量仪（含半消声室）</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用户地交货价</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vAlign w:val="top"/>
            <w:textDirection w:val="lrTb"/>
            <w:noWrap w:val="false"/>
          </w:tcPr>
          <w:p>
            <w:pPr>
              <w:rPr>
                <w:rFonts w:hint="eastAsia" w:eastAsia="宋体"/>
                <w:color w:val="auto"/>
                <w:highlight w:val="none"/>
                <w:lang w:eastAsia="zh-CN"/>
              </w:rPr>
            </w:pPr>
            <w:r>
              <w:rPr>
                <w:rFonts w:hint="eastAsia" w:ascii="宋体" w:hAnsi="宋体" w:eastAsia="宋体"/>
                <w:color w:val="auto"/>
                <w:sz w:val="21"/>
                <w:highlight w:val="none"/>
                <w:lang w:eastAsia="zh-CN"/>
              </w:rPr>
              <w:t xml:space="preserve">合同签订后45天内</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ascii="宋体" w:hAnsi="宋体" w:eastAsia="宋体"/>
                <w:color w:val="auto"/>
                <w:sz w:val="21"/>
                <w:highlight w:val="none"/>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pStyle w:val="1067"/>
              <w:rPr>
                <w:rFonts w:eastAsia="宋体"/>
                <w:color w:val="auto"/>
                <w:highlight w:val="none"/>
                <w:lang w:val="en-US"/>
              </w:rPr>
            </w:pPr>
            <w:r>
              <w:rPr>
                <w:rFonts w:hint="eastAsia" w:eastAsia="宋体"/>
                <w:color w:val="auto"/>
                <w:highlight w:val="none"/>
                <w:lang w:val="en-US"/>
              </w:rPr>
              <w:t xml:space="preserve">否</w:t>
            </w:r>
            <w:r/>
          </w:p>
          <w:p>
            <w:pPr>
              <w:keepLines/>
              <w:keepNext/>
              <w:spacing w:line="390" w:lineRule="atLeast"/>
              <w:shd w:val="clear" w:color="auto" w:fill="ffffff"/>
              <w:rPr>
                <w:rFonts w:eastAsiaTheme="minorEastAsia"/>
                <w:b w:val="0"/>
                <w:color w:val="auto"/>
                <w:sz w:val="21"/>
                <w:szCs w:val="21"/>
                <w:highlight w:val="none"/>
              </w:rPr>
              <w:outlineLvl w:val="2"/>
            </w:pPr>
            <w:r>
              <w:rPr>
                <w:rFonts w:eastAsiaTheme="minorEastAsia"/>
                <w:b w:val="0"/>
                <w:color w:val="auto"/>
                <w:sz w:val="21"/>
                <w:szCs w:val="21"/>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13" w:type="pct"/>
            <w:textDirection w:val="lrTb"/>
            <w:noWrap w:val="false"/>
          </w:tcPr>
          <w:p>
            <w:pPr>
              <w:rPr>
                <w:color w:val="auto"/>
                <w:highlight w:val="none"/>
              </w:rPr>
            </w:pPr>
            <w:r>
              <w:rPr>
                <w:rFonts w:ascii="宋体" w:hAnsi="宋体" w:eastAsia="宋体"/>
                <w:color w:val="auto"/>
                <w:sz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rFonts w:hint="eastAsia" w:ascii="宋体" w:hAnsi="宋体" w:eastAsia="宋体"/>
                <w:color w:val="auto"/>
                <w:sz w:val="21"/>
                <w:highlight w:val="none"/>
                <w:lang w:val="en-US"/>
              </w:rPr>
              <w:t xml:space="preserve">1</w:t>
            </w:r>
            <w:r>
              <w:rPr>
                <w:rFonts w:hint="eastAsia" w:ascii="宋体" w:hAnsi="宋体" w:eastAsia="宋体"/>
                <w:color w:val="auto"/>
                <w:sz w:val="21"/>
                <w:highlight w:val="none"/>
                <w:lang w:val="en-US" w:eastAsia="zh-CN"/>
              </w:rPr>
              <w:t xml:space="preserve">89</w:t>
            </w:r>
            <w:r>
              <w:rPr>
                <w:rFonts w:ascii="宋体" w:hAnsi="宋体" w:eastAsia="宋体"/>
                <w:color w:val="auto"/>
                <w:sz w:val="21"/>
                <w:highlight w:val="none"/>
              </w:rPr>
              <w:t xml:space="preserve">万元</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textDirection w:val="lrTb"/>
            <w:noWrap w:val="false"/>
          </w:tcPr>
          <w:p>
            <w:pPr>
              <w:rPr>
                <w:color w:val="auto"/>
                <w:highlight w:val="none"/>
              </w:rPr>
            </w:pPr>
            <w:r>
              <w:rPr>
                <w:color w:val="auto"/>
                <w:highlight w:val="none"/>
              </w:rPr>
            </w:r>
            <w:r/>
          </w:p>
        </w:tc>
      </w:tr>
    </w:tbl>
    <w:p>
      <w:pPr>
        <w:ind w:right="105"/>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注：所投的产品报价均不得超过</w:t>
      </w:r>
      <w:r>
        <w:rPr>
          <w:rFonts w:hint="eastAsia" w:ascii="宋体" w:hAnsi="宋体" w:eastAsia="宋体"/>
          <w:b/>
          <w:bCs/>
          <w:color w:val="auto"/>
          <w:sz w:val="21"/>
          <w:szCs w:val="21"/>
          <w:highlight w:val="none"/>
          <w:lang w:val="en-US"/>
        </w:rPr>
        <w:t xml:space="preserve">预算/最高限价金额</w:t>
      </w:r>
      <w:r>
        <w:rPr>
          <w:rFonts w:hint="eastAsia" w:ascii="宋体" w:hAnsi="宋体" w:eastAsia="宋体"/>
          <w:b/>
          <w:bCs/>
          <w:color w:val="auto"/>
          <w:sz w:val="21"/>
          <w:szCs w:val="21"/>
          <w:highlight w:val="none"/>
        </w:rPr>
        <w:t xml:space="preserve">，否则将导致</w:t>
      </w:r>
      <w:r>
        <w:rPr>
          <w:rFonts w:hint="eastAsia" w:ascii="宋体" w:hAnsi="宋体" w:eastAsia="宋体"/>
          <w:b/>
          <w:bCs/>
          <w:color w:val="auto"/>
          <w:sz w:val="21"/>
          <w:szCs w:val="21"/>
          <w:highlight w:val="none"/>
          <w:lang w:val="en-US"/>
        </w:rPr>
        <w:t xml:space="preserve">投标被否决</w:t>
      </w:r>
      <w:r>
        <w:rPr>
          <w:rFonts w:hint="eastAsia" w:ascii="宋体" w:hAnsi="宋体" w:eastAsia="宋体"/>
          <w:b/>
          <w:bCs/>
          <w:color w:val="auto"/>
          <w:sz w:val="21"/>
          <w:szCs w:val="21"/>
          <w:highlight w:val="none"/>
        </w:rPr>
        <w:t xml:space="preserve">。</w:t>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二、技术参数</w:t>
      </w:r>
      <w:r/>
    </w:p>
    <w:p>
      <w:pPr>
        <w:spacing w:line="360" w:lineRule="auto"/>
        <w:rPr>
          <w:rFonts w:ascii="宋体" w:hAnsi="宋体" w:eastAsia="宋体"/>
          <w:color w:val="auto"/>
          <w:sz w:val="21"/>
          <w:szCs w:val="21"/>
          <w:highlight w:val="none"/>
        </w:rPr>
      </w:pPr>
      <w:r/>
      <w:bookmarkStart w:id="15" w:name="OLE_LINK1"/>
      <w:r>
        <w:rPr>
          <w:rFonts w:hint="eastAsia" w:ascii="宋体" w:hAnsi="宋体" w:eastAsia="宋体"/>
          <w:b/>
          <w:color w:val="auto"/>
          <w:sz w:val="21"/>
          <w:szCs w:val="21"/>
          <w:highlight w:val="none"/>
        </w:rPr>
        <w:t xml:space="preserve">品目1：盐雾试验箱  1套</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一、检测样品范围</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用于防火阀门等的盐雾腐蚀试验。</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二、功能要求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1.符合GB/T 10587、GB/T 2423.17、GB/T 2423.18、GB/T 10125、GB 15930、GB/T 5170.8等标准，可以用于确定在规定的盐雾腐蚀环境条件下防火阀门的耐腐蚀性能。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2.仪器使用寿命长，运行成本低，自动化、智能化程度高。</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3.必须提供正版印刷的产品样本资料（包括技术规格）以确保投标技术指标的真实性。</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三、技术性能指标</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仪器精度：</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.1 温度范围：10℃-60℃（可调）；</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.2 温度均匀度：≤±2℃；</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 相对湿度：30%-98%R.H；</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 沉降量：1-2ml/80cm²/h；</w:t>
      </w:r>
      <w:r/>
    </w:p>
    <w:p>
      <w:pPr>
        <w:ind w:firstLine="21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 空间尺寸不小于25m³；</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 温度波动度：≤±1℃；</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 饱和桶温度：47℃-70℃</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 试验时间：0-999H、M可调</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 具备循环腐蚀功能；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）尺寸结构</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.1 试验设备结构：试验房由左右、上下、前后六个面组成一个密封的试验空间。盐雾箱内的材料不应影响盐雾的腐蚀性能;盐雾不应直接喷射在阀门上;箱(室)顶部的凝聚盐水液不应滴在阀门上;从四壁流下的盐水液不应重新使用。</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.2 试验箱内尺寸：不小于5300mm×5000mm×1850mm；双开门门洞尺寸不小于3500mm×2000mm。</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.3 材质：内胆选用防腐钛板材料制作，材质厚度不小于1.2mm，外壁采用镀锌喷塑工艺，中间灌注硬质阻燃型聚氨酯发泡保温层。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.4 底部承重：不小于4000kg</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.5 配套盐水箱：容积满足连续2个周期测试，1个周期为5天，间隙喷雾8小时共100个小时。其他必要配件：至少有螺杆空气压缩机、纯水机。</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3）控制系统</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1.配置10寸触摸屏；可显示温度、湿度、时间等；</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四、必须满足标准</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GB/T10587-2006 盐雾试验箱技术条件</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GB/T2423.17-2024 电工电子产品基本环境试验规程 试验 Ka：盐雾试验方法</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GB/T 2423.18-2021 </w:t>
      </w:r>
      <w:r>
        <w:rPr>
          <w:rFonts w:ascii="宋体" w:hAnsi="宋体" w:eastAsia="宋体"/>
          <w:color w:val="auto"/>
          <w:sz w:val="21"/>
          <w:szCs w:val="21"/>
          <w:highlight w:val="none"/>
        </w:rPr>
        <w:t xml:space="preserve">环境试验 第2部分：试验方法 试验Kb：盐雾，交变（氯化钠溶液）</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GB/T10125-2021 人造气氛腐蚀试验 盐雾试验</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GB/T 5170.8-2017环境试验设备检验方法 第8部分：盐雾试验设备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GB 15930-2024 建筑通风和排烟系统用防火阀门</w:t>
      </w:r>
      <w:r/>
    </w:p>
    <w:p>
      <w:pPr>
        <w:spacing w:line="360" w:lineRule="auto"/>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★五、配置清单（</w:t>
      </w:r>
      <w:r>
        <w:rPr>
          <w:rFonts w:hint="eastAsia" w:ascii="宋体" w:hAnsi="宋体" w:eastAsia="宋体"/>
          <w:b/>
          <w:color w:val="auto"/>
          <w:sz w:val="21"/>
          <w:szCs w:val="21"/>
          <w:highlight w:val="none"/>
          <w:lang w:val="en-US"/>
        </w:rPr>
        <w:t xml:space="preserve">无需提供证明材料，在</w:t>
      </w:r>
      <w:r>
        <w:rPr>
          <w:rFonts w:hint="eastAsia" w:ascii="宋体" w:hAnsi="宋体" w:eastAsia="宋体"/>
          <w:b/>
          <w:color w:val="auto"/>
          <w:sz w:val="21"/>
          <w:szCs w:val="21"/>
          <w:highlight w:val="none"/>
        </w:rPr>
        <w:t xml:space="preserve">技术条款偏离表中响应即可）</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盐雾试验房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螺杆空压机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盐水箱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纯水箱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纯水机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标准漏斗 5个</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标准量筒 5个</w:t>
      </w:r>
      <w:r/>
    </w:p>
    <w:p>
      <w:pPr>
        <w:spacing w:line="360" w:lineRule="auto"/>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★六、售后服务及其他</w:t>
      </w:r>
      <w:r>
        <w:rPr>
          <w:rFonts w:hint="eastAsia" w:eastAsia="宋体"/>
          <w:b/>
          <w:bCs/>
          <w:color w:val="auto"/>
          <w:highlight w:val="none"/>
        </w:rPr>
        <w:t xml:space="preserve">（无需提供证明材料，</w:t>
      </w:r>
      <w:r>
        <w:rPr>
          <w:rFonts w:hint="eastAsia" w:eastAsia="宋体"/>
          <w:b/>
          <w:bCs/>
          <w:color w:val="auto"/>
          <w:highlight w:val="none"/>
          <w:lang w:val="en-US"/>
        </w:rPr>
        <w:t xml:space="preserve">在商务条款偏离表中逐条响应</w:t>
      </w:r>
      <w:r>
        <w:rPr>
          <w:rFonts w:hint="eastAsia" w:eastAsia="宋体"/>
          <w:b/>
          <w:bCs/>
          <w:color w:val="auto"/>
          <w:highlight w:val="none"/>
        </w:rPr>
        <w:t xml:space="preserve">）</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1.保修期限：设备在通过最终验收合格后进入免费保修期。供货方应对设备提供</w:t>
      </w:r>
      <w:r>
        <w:rPr>
          <w:rFonts w:hint="eastAsia" w:ascii="宋体" w:hAnsi="宋体" w:eastAsia="宋体"/>
          <w:b/>
          <w:bCs/>
          <w:color w:val="auto"/>
          <w:sz w:val="21"/>
          <w:szCs w:val="21"/>
          <w:highlight w:val="none"/>
        </w:rPr>
        <w:t xml:space="preserve">一年</w:t>
      </w:r>
      <w:r>
        <w:rPr>
          <w:rFonts w:hint="eastAsia" w:ascii="宋体" w:hAnsi="宋体" w:eastAsia="宋体"/>
          <w:color w:val="auto"/>
          <w:sz w:val="21"/>
          <w:szCs w:val="21"/>
          <w:highlight w:val="none"/>
        </w:rPr>
        <w:t xml:space="preserve">免费</w:t>
      </w:r>
      <w:r>
        <w:rPr>
          <w:rFonts w:hint="eastAsia" w:ascii="宋体" w:hAnsi="宋体" w:eastAsia="宋体"/>
          <w:color w:val="auto"/>
          <w:sz w:val="21"/>
          <w:szCs w:val="21"/>
          <w:highlight w:val="none"/>
          <w:lang w:val="en-US" w:eastAsia="zh-CN"/>
        </w:rPr>
        <w:t xml:space="preserve">原厂</w:t>
      </w:r>
      <w:r>
        <w:rPr>
          <w:rFonts w:hint="eastAsia" w:ascii="宋体" w:hAnsi="宋体" w:eastAsia="宋体"/>
          <w:color w:val="auto"/>
          <w:sz w:val="21"/>
          <w:szCs w:val="21"/>
          <w:highlight w:val="none"/>
        </w:rPr>
        <w:t xml:space="preserve">保修服务，终身维护服务。</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2.售后服务：免费安装调试，维修在4小时内响应，在24小时之内到达仪器现场进行维护；保修期后的服务工作由供货商公司专业维修中心负责。</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3.技术资料及培训：乙方提供完整的中文版操作使用手册、维修手册等相关资料。在仪器安装调试过程中，乙方免费对甲方指定的技术人员对仪器的维护及使用进行培训。</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4.供货商在国内要有专业的固定服务中心和足够完善的维修服务实力，确保备件的供应顺畅。</w:t>
      </w:r>
      <w:bookmarkEnd w:id="15"/>
      <w:r/>
      <w:r/>
    </w:p>
    <w:p>
      <w:pPr>
        <w:spacing w:line="240" w:lineRule="auto"/>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lang w:eastAsia="zh-CN"/>
        </w:rPr>
        <w:br w:type="page" w:clear="all"/>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品目2：高低温试验箱 1套</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一、设备用途与总体要求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用于消防产品的高低温试验，并具备快速温变功能和湿度控制功能，采用冷水机制冷的制冷形式。</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二、技术指标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▲1.内容积不小于1000L；</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▲2.温度范围 -70～+150 ℃；</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▲3.升温速率：-70℃～+150℃, ≤ 60 min（空载、全程平均）；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▲4.降温速率：+20℃～-70℃, ≤ 80 min（空载、全程平均）；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▲5.具备快速温变功能：升温速率 ≥9℃/min（空载状态），降温速率 ≥9℃/min（空载状态）</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具备湿度控制功能：湿度范围</w:t>
      </w:r>
      <w:r>
        <w:rPr>
          <w:rFonts w:hint="eastAsia" w:ascii="宋体" w:hAnsi="宋体" w:eastAsia="宋体"/>
          <w:color w:val="auto"/>
          <w:sz w:val="21"/>
          <w:szCs w:val="21"/>
          <w:highlight w:val="none"/>
          <w:lang w:val="en-US"/>
        </w:rPr>
        <w:t xml:space="preserve">包含</w:t>
      </w:r>
      <w:r>
        <w:rPr>
          <w:rFonts w:hint="eastAsia" w:ascii="宋体" w:hAnsi="宋体" w:eastAsia="宋体"/>
          <w:color w:val="auto"/>
          <w:sz w:val="21"/>
          <w:szCs w:val="21"/>
          <w:highlight w:val="none"/>
        </w:rPr>
        <w:t xml:space="preserve">20%RH～98%RH；</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.温度偏差：≤±2℃，温度均匀度≤±2℃，温度波动度≤±1℃；</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.湿度偏差：≤±3（﹥75％RH时）、≤±5（≤75％RH时），湿度均匀度：≤5%RH（≤85℃，﹥75％RH时）、≤7（≤85℃，≤75％RH时），湿度波动度≤±3%RH；</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.负载需求：满载承重不小于100kg；</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.制冷形式采用冷水机制冷，仪器需要配置冷水机，并由投标人或制造商负责安装，采购人不另行付费。</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.仪器控制系统：</w:t>
      </w:r>
      <w:r/>
    </w:p>
    <w:p>
      <w:pPr>
        <w:spacing w:line="360" w:lineRule="auto"/>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控制器</w:t>
      </w:r>
      <w:r>
        <w:rPr>
          <w:rFonts w:hint="eastAsia" w:ascii="宋体" w:hAnsi="宋体" w:eastAsia="宋体"/>
          <w:color w:val="auto"/>
          <w:sz w:val="21"/>
          <w:szCs w:val="21"/>
          <w:highlight w:val="none"/>
        </w:rPr>
        <w:t xml:space="preserve">采用</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PLC</w:t>
      </w:r>
      <w:r>
        <w:rPr>
          <w:rFonts w:hint="eastAsia" w:ascii="宋体" w:hAnsi="宋体" w:eastAsia="宋体"/>
          <w:color w:val="auto"/>
          <w:sz w:val="21"/>
          <w:szCs w:val="21"/>
          <w:highlight w:val="none"/>
        </w:rPr>
        <w:t xml:space="preserve">+尺寸为</w:t>
      </w:r>
      <w:r>
        <w:rPr>
          <w:rFonts w:ascii="宋体" w:hAnsi="宋体" w:eastAsia="宋体"/>
          <w:color w:val="auto"/>
          <w:sz w:val="21"/>
          <w:szCs w:val="21"/>
          <w:highlight w:val="none"/>
        </w:rPr>
        <w:t xml:space="preserve">10.1英寸</w:t>
      </w:r>
      <w:r>
        <w:rPr>
          <w:rFonts w:hint="eastAsia" w:ascii="宋体" w:hAnsi="宋体" w:eastAsia="宋体"/>
          <w:color w:val="auto"/>
          <w:sz w:val="21"/>
          <w:szCs w:val="21"/>
          <w:highlight w:val="none"/>
        </w:rPr>
        <w:t xml:space="preserve">的</w:t>
      </w:r>
      <w:r>
        <w:rPr>
          <w:rFonts w:ascii="宋体" w:hAnsi="宋体" w:eastAsia="宋体"/>
          <w:color w:val="auto"/>
          <w:sz w:val="21"/>
          <w:szCs w:val="21"/>
          <w:highlight w:val="none"/>
        </w:rPr>
        <w:t xml:space="preserve">触摸电容屏；</w:t>
      </w:r>
      <w:r>
        <w:rPr>
          <w:rFonts w:hint="eastAsia" w:ascii="宋体" w:hAnsi="宋体" w:eastAsia="宋体"/>
          <w:color w:val="auto"/>
          <w:sz w:val="21"/>
          <w:szCs w:val="21"/>
          <w:highlight w:val="none"/>
        </w:rPr>
        <w:t xml:space="preserve">电容屏：</w:t>
      </w:r>
      <w:r>
        <w:rPr>
          <w:rFonts w:ascii="宋体" w:hAnsi="宋体" w:eastAsia="宋体"/>
          <w:color w:val="auto"/>
          <w:sz w:val="21"/>
          <w:szCs w:val="21"/>
          <w:highlight w:val="none"/>
        </w:rPr>
        <w:t xml:space="preserve">多点触控</w:t>
      </w:r>
      <w:r>
        <w:rPr>
          <w:rFonts w:hint="eastAsia" w:ascii="宋体" w:hAnsi="宋体" w:eastAsia="宋体"/>
          <w:color w:val="auto"/>
          <w:sz w:val="21"/>
          <w:szCs w:val="21"/>
          <w:highlight w:val="none"/>
        </w:rPr>
        <w:t xml:space="preserve">、尺寸</w:t>
      </w:r>
      <w:r>
        <w:rPr>
          <w:rFonts w:ascii="宋体" w:hAnsi="宋体" w:eastAsia="宋体"/>
          <w:color w:val="auto"/>
          <w:sz w:val="21"/>
          <w:szCs w:val="21"/>
          <w:highlight w:val="none"/>
        </w:rPr>
        <w:t xml:space="preserve">≤130mm×100mm×75mm</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重量≤550g，功耗≤12W，可用电流（SM 和 CM 总线最大 1600 mA(5 V DC)，可用电流 (24 V DC) 最大 400 mA（传感器电源）</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系统自带器件健康管理系统。</w:t>
      </w:r>
      <w:r>
        <w:rPr>
          <w:rFonts w:hint="eastAsia" w:ascii="宋体" w:hAnsi="宋体" w:eastAsia="宋体"/>
          <w:b/>
          <w:bCs/>
          <w:color w:val="auto"/>
          <w:sz w:val="21"/>
          <w:szCs w:val="21"/>
          <w:highlight w:val="none"/>
          <w:lang w:val="en-US" w:eastAsia="zh-CN"/>
        </w:rPr>
        <w:t xml:space="preserve">投标人</w:t>
      </w:r>
      <w:r>
        <w:rPr>
          <w:rFonts w:hint="eastAsia" w:ascii="宋体" w:hAnsi="宋体" w:eastAsia="宋体"/>
          <w:b/>
          <w:bCs/>
          <w:color w:val="auto"/>
          <w:sz w:val="21"/>
          <w:szCs w:val="21"/>
          <w:highlight w:val="none"/>
        </w:rPr>
        <w:t xml:space="preserve">应提供符合要求的控制器显示页面图片、器件健康管理系统界面图片。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应具有曲线记录功能；程序间可链接、程序可设外循环、程序分段可设内循环</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应带有 USB 储存接口，存储信息包括试验时间、试验目标值和试验实测值等主要运行参数；</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.应具备安全保护装置</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制冷系统应具备：压缩机超压；压缩机电机过热；压缩机电机过流；冷却水供水欠压等功能。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试验室应具备：可调式的超温保护；试验空间温度熔断丝；空气调节通道极限超温；电机过热等保护功能。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其他保护功能：总电源相序和缺相保护；漏电保护；负载短路保护；总电源电压上、下限报警等</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color w:val="auto"/>
          <w:highlight w:val="none"/>
        </w:rPr>
        <w:t xml:space="preserve"> </w:t>
      </w:r>
      <w:r>
        <w:rPr>
          <w:rFonts w:ascii="宋体" w:hAnsi="宋体" w:eastAsia="宋体"/>
          <w:color w:val="auto"/>
          <w:sz w:val="21"/>
          <w:szCs w:val="21"/>
          <w:highlight w:val="none"/>
        </w:rPr>
        <w:t xml:space="preserve">最大功耗：小于33KW</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最大电流：小于50A</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设备满足以下热负载图范围</w:t>
      </w:r>
      <w:r/>
    </w:p>
    <w:p>
      <w:pPr>
        <w:jc w:val="center"/>
        <w:spacing w:line="360" w:lineRule="auto"/>
        <w:rPr>
          <w:rFonts w:hint="eastAsia" w:ascii="宋体" w:hAnsi="宋体" w:eastAsia="宋体"/>
          <w:color w:val="auto"/>
          <w:sz w:val="21"/>
          <w:szCs w:val="21"/>
          <w:highlight w:val="none"/>
        </w:rPr>
      </w:pPr>
      <w:r>
        <w:rPr>
          <w:color w:val="auto"/>
          <w:highlight w:val="none"/>
          <w:lang w:val="en-US"/>
        </w:rPr>
        <mc:AlternateContent>
          <mc:Choice Requires="wpg">
            <w:drawing>
              <wp:inline xmlns:wp="http://schemas.openxmlformats.org/drawingml/2006/wordprocessingDrawing" distT="0" distB="0" distL="0" distR="0">
                <wp:extent cx="3504565" cy="2726690"/>
                <wp:effectExtent l="0" t="0" r="635" b="6985"/>
                <wp:docPr id="7" name="图片 1" descr="ZF09双级风冷带载能力曲线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ZF09双级风冷带载能力曲线_01"/>
                        <pic:cNvPicPr>
                          <a:picLocks noChangeAspect="1"/>
                        </pic:cNvPicPr>
                        <pic:nvPr/>
                      </pic:nvPicPr>
                      <pic:blipFill>
                        <a:blip r:embed="rId21"/>
                        <a:srcRect l="15332" t="13370" r="13257" b="13188"/>
                        <a:stretch/>
                      </pic:blipFill>
                      <pic:spPr bwMode="auto">
                        <a:xfrm>
                          <a:off x="0" y="0"/>
                          <a:ext cx="3504565" cy="272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75.9pt;height:214.7pt;mso-wrap-distance-left:0.0pt;mso-wrap-distance-top:0.0pt;mso-wrap-distance-right:0.0pt;mso-wrap-distance-bottom:0.0pt;" stroked="f">
                <v:path textboxrect="0,0,0,0"/>
                <v:imagedata r:id="rId21" o:title=""/>
              </v:shape>
            </w:pict>
          </mc:Fallback>
        </mc:AlternateConten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★三、配置清单（</w:t>
      </w:r>
      <w:r>
        <w:rPr>
          <w:rFonts w:hint="eastAsia" w:ascii="宋体" w:hAnsi="宋体" w:eastAsia="宋体"/>
          <w:b/>
          <w:color w:val="auto"/>
          <w:sz w:val="21"/>
          <w:szCs w:val="21"/>
          <w:highlight w:val="none"/>
          <w:lang w:val="en-US"/>
        </w:rPr>
        <w:t xml:space="preserve">无需提供证明材料，在</w:t>
      </w:r>
      <w:r>
        <w:rPr>
          <w:rFonts w:hint="eastAsia" w:ascii="宋体" w:hAnsi="宋体" w:eastAsia="宋体"/>
          <w:b/>
          <w:color w:val="auto"/>
          <w:sz w:val="21"/>
          <w:szCs w:val="21"/>
          <w:highlight w:val="none"/>
        </w:rPr>
        <w:t xml:space="preserve">技术条款偏离表中响应即可）</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至少包括：</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1.试验箱主体1套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2.配属冷水机制冷系统：1套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3.技术说明书：1套</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★四、售后服务及其他</w:t>
      </w:r>
      <w:r>
        <w:rPr>
          <w:rFonts w:hint="eastAsia" w:eastAsia="宋体"/>
          <w:b/>
          <w:bCs/>
          <w:color w:val="auto"/>
          <w:highlight w:val="none"/>
        </w:rPr>
        <w:t xml:space="preserve">（无需提供证明材料，</w:t>
      </w:r>
      <w:r>
        <w:rPr>
          <w:rFonts w:hint="eastAsia" w:eastAsia="宋体"/>
          <w:b/>
          <w:bCs/>
          <w:color w:val="auto"/>
          <w:highlight w:val="none"/>
          <w:lang w:val="en-US"/>
        </w:rPr>
        <w:t xml:space="preserve">在商务条款偏离表中逐条响应</w:t>
      </w:r>
      <w:r>
        <w:rPr>
          <w:rFonts w:hint="eastAsia" w:eastAsia="宋体"/>
          <w:b/>
          <w:bCs/>
          <w:color w:val="auto"/>
          <w:highlight w:val="none"/>
        </w:rPr>
        <w:t xml:space="preserve">）</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1.保修期限：设备在通过最终验收合格后进入免费保修期。供货方应对设备提供一年免费</w:t>
      </w:r>
      <w:r>
        <w:rPr>
          <w:rFonts w:hint="eastAsia" w:ascii="宋体" w:hAnsi="宋体" w:eastAsia="宋体"/>
          <w:color w:val="auto"/>
          <w:sz w:val="21"/>
          <w:szCs w:val="21"/>
          <w:highlight w:val="none"/>
          <w:lang w:val="en-US"/>
        </w:rPr>
        <w:t xml:space="preserve">原厂</w:t>
      </w:r>
      <w:r>
        <w:rPr>
          <w:rFonts w:hint="eastAsia" w:ascii="宋体" w:hAnsi="宋体" w:eastAsia="宋体"/>
          <w:color w:val="auto"/>
          <w:sz w:val="21"/>
          <w:szCs w:val="21"/>
          <w:highlight w:val="none"/>
        </w:rPr>
        <w:t xml:space="preserve">保修服务，终身维护服务。</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2.售后服务：免费安装调试，维修在4小时内响应，在48小时之内到达仪器现场进行维护；保修期后的服务工作由供货商公司专业维修中心负责。</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3.技术资料及培训：乙方提供完整的中文版操作使用手册、维修手册等相关资料。在设备安装调试过程中，乙方免费对甲方指定的技术人员对仪器的维护及使用进行培训。</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4.供货商在国内要有专业的固定服务中心和足够完善的维修服务实力，确保备件的供应顺畅。</w:t>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品目3：高低温试验箱  </w:t>
      </w:r>
      <w:r>
        <w:rPr>
          <w:rFonts w:hint="eastAsia" w:ascii="宋体" w:hAnsi="宋体" w:eastAsia="宋体"/>
          <w:b/>
          <w:color w:val="auto"/>
          <w:sz w:val="21"/>
          <w:szCs w:val="21"/>
          <w:highlight w:val="none"/>
          <w:lang w:val="en-US"/>
        </w:rPr>
        <w:t xml:space="preserve">1</w:t>
      </w:r>
      <w:r>
        <w:rPr>
          <w:rFonts w:hint="eastAsia" w:ascii="宋体" w:hAnsi="宋体" w:eastAsia="宋体"/>
          <w:b/>
          <w:color w:val="auto"/>
          <w:sz w:val="21"/>
          <w:szCs w:val="21"/>
          <w:highlight w:val="none"/>
        </w:rPr>
        <w:t xml:space="preserve">套</w:t>
      </w:r>
      <w:r/>
    </w:p>
    <w:p>
      <w:pPr>
        <w:spacing w:line="360" w:lineRule="auto"/>
        <w:rPr>
          <w:color w:val="auto"/>
          <w:highlight w:val="none"/>
        </w:rPr>
      </w:pPr>
      <w:r>
        <w:rPr>
          <w:rFonts w:ascii="宋体" w:hAnsi="宋体" w:eastAsia="宋体"/>
          <w:b/>
          <w:color w:val="auto"/>
          <w:sz w:val="21"/>
          <w:highlight w:val="none"/>
        </w:rPr>
        <w:t xml:space="preserve">【仪器概述】</w:t>
      </w:r>
      <w:r/>
    </w:p>
    <w:p>
      <w:pPr>
        <w:spacing w:line="360" w:lineRule="auto"/>
        <w:rPr>
          <w:color w:val="auto"/>
          <w:highlight w:val="none"/>
        </w:rPr>
      </w:pPr>
      <w:r>
        <w:rPr>
          <w:rFonts w:ascii="宋体" w:hAnsi="宋体" w:eastAsia="宋体"/>
          <w:color w:val="auto"/>
          <w:sz w:val="21"/>
          <w:highlight w:val="none"/>
        </w:rPr>
        <w:t xml:space="preserve">高低温试验箱（快温变试验）是在产品研发、测试阶段重要的检测设备之一，主要作用用于检测产品对外界环境的耐受能力和长期暴露在自然环境中使用寿命的表现，从而对产品的缺陷进行优化，以及检测出产品的使用环境、使用寿命，常应用于国防工业、航天工业、自动化零组件汽车部件、电子电器件、塑胶、化工、制药工业及相关产品之耐热、耐寒测试。</w:t>
      </w:r>
      <w:r/>
    </w:p>
    <w:p>
      <w:pPr>
        <w:spacing w:line="360" w:lineRule="auto"/>
        <w:rPr>
          <w:color w:val="auto"/>
          <w:highlight w:val="none"/>
        </w:rPr>
      </w:pPr>
      <w:r>
        <w:rPr>
          <w:rFonts w:ascii="宋体" w:hAnsi="宋体" w:eastAsia="宋体"/>
          <w:b/>
          <w:color w:val="auto"/>
          <w:sz w:val="21"/>
          <w:highlight w:val="none"/>
        </w:rPr>
        <w:t xml:space="preserve">【仪器满足标准】</w:t>
      </w:r>
      <w:r/>
    </w:p>
    <w:p>
      <w:pPr>
        <w:spacing w:line="360" w:lineRule="auto"/>
        <w:rPr>
          <w:color w:val="auto"/>
          <w:highlight w:val="none"/>
        </w:rPr>
      </w:pPr>
      <w:r>
        <w:rPr>
          <w:rFonts w:ascii="宋体" w:hAnsi="宋体" w:eastAsia="宋体"/>
          <w:color w:val="auto"/>
          <w:sz w:val="21"/>
          <w:highlight w:val="none"/>
        </w:rPr>
        <w:t xml:space="preserve">温度试验：</w:t>
      </w:r>
      <w:r/>
    </w:p>
    <w:tbl>
      <w:tblPr>
        <w:tblStyle w:val="1058"/>
        <w:tblW w:w="9120" w:type="dxa"/>
        <w:tblInd w:w="93" w:type="dxa"/>
        <w:tblLayout w:type="autofit"/>
        <w:tblCellMar>
          <w:left w:w="108" w:type="dxa"/>
          <w:top w:w="0" w:type="dxa"/>
          <w:right w:w="108" w:type="dxa"/>
          <w:bottom w:w="0" w:type="dxa"/>
        </w:tblCellMar>
        <w:tblLook w:val="04A0" w:firstRow="1" w:lastRow="0" w:firstColumn="1" w:lastColumn="0" w:noHBand="0" w:noVBand="1"/>
      </w:tblPr>
      <w:tblGrid>
        <w:gridCol w:w="9120"/>
      </w:tblGrid>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IEC60068-2-1 Test A</w:t>
            </w:r>
            <w:r/>
          </w:p>
        </w:tc>
      </w:tr>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IEC60068-2-2 Test B</w:t>
            </w:r>
            <w:r/>
          </w:p>
        </w:tc>
      </w:tr>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GB/T2423.1 试验A 低温</w:t>
            </w:r>
            <w:r/>
          </w:p>
        </w:tc>
      </w:tr>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GB/T2423.2 试验B 高温</w:t>
            </w:r>
            <w:r/>
          </w:p>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w:t>
            </w:r>
            <w:r>
              <w:rPr>
                <w:rFonts w:ascii="Arial" w:hAnsi="Arial" w:cs="Arial"/>
                <w:color w:val="auto"/>
                <w:szCs w:val="21"/>
                <w:highlight w:val="none"/>
              </w:rPr>
              <w:t xml:space="preserve">B/T2423.22 试验</w:t>
            </w:r>
            <w:r>
              <w:rPr>
                <w:rFonts w:hint="eastAsia" w:ascii="Arial" w:hAnsi="Arial" w:cs="Arial"/>
                <w:color w:val="auto"/>
                <w:szCs w:val="21"/>
                <w:highlight w:val="none"/>
              </w:rPr>
              <w:t xml:space="preserve">N</w:t>
            </w:r>
            <w:r>
              <w:rPr>
                <w:rFonts w:ascii="Arial" w:hAnsi="Arial" w:cs="Arial"/>
                <w:color w:val="auto"/>
                <w:szCs w:val="21"/>
                <w:highlight w:val="none"/>
              </w:rPr>
              <w:t xml:space="preserve"> 温度变化</w:t>
            </w:r>
            <w:r/>
          </w:p>
        </w:tc>
      </w:tr>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GJB150.3A 高温试验</w:t>
            </w:r>
            <w:r/>
          </w:p>
        </w:tc>
      </w:tr>
      <w:tr>
        <w:trPr>
          <w:trHeight w:val="281"/>
        </w:trPr>
        <w:tc>
          <w:tcPr>
            <w:tcBorders>
              <w:top w:val="none" w:color="000000" w:sz="4" w:space="0"/>
              <w:left w:val="none" w:color="000000" w:sz="4" w:space="0"/>
              <w:bottom w:val="none" w:color="000000" w:sz="4" w:space="0"/>
              <w:right w:val="none" w:color="000000" w:sz="4" w:space="0"/>
            </w:tcBorders>
            <w:tcW w:w="912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GJB150.4A 低温试验</w:t>
            </w:r>
            <w:r/>
          </w:p>
        </w:tc>
      </w:tr>
    </w:tbl>
    <w:p>
      <w:pPr>
        <w:spacing w:line="360" w:lineRule="auto"/>
        <w:rPr>
          <w:color w:val="auto"/>
          <w:highlight w:val="none"/>
        </w:rPr>
      </w:pPr>
      <w:r>
        <w:rPr>
          <w:rFonts w:ascii="宋体" w:hAnsi="宋体" w:eastAsia="宋体"/>
          <w:color w:val="auto"/>
          <w:sz w:val="21"/>
          <w:highlight w:val="none"/>
        </w:rPr>
        <w:t xml:space="preserve">温湿度试验：</w:t>
      </w:r>
      <w:r/>
    </w:p>
    <w:tbl>
      <w:tblPr>
        <w:tblStyle w:val="1058"/>
        <w:tblW w:w="5200" w:type="dxa"/>
        <w:tblInd w:w="93" w:type="dxa"/>
        <w:tblLayout w:type="autofit"/>
        <w:tblCellMar>
          <w:left w:w="108" w:type="dxa"/>
          <w:top w:w="0" w:type="dxa"/>
          <w:right w:w="108" w:type="dxa"/>
          <w:bottom w:w="0" w:type="dxa"/>
        </w:tblCellMar>
        <w:tblLook w:val="04A0" w:firstRow="1" w:lastRow="0" w:firstColumn="1" w:lastColumn="0" w:noHBand="0" w:noVBand="1"/>
      </w:tblPr>
      <w:tblGrid>
        <w:gridCol w:w="5200"/>
      </w:tblGrid>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IEC60068-2-30</w:t>
            </w:r>
            <w:r/>
          </w:p>
        </w:tc>
      </w:tr>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IEC60068-2-38</w:t>
            </w:r>
            <w:r/>
          </w:p>
        </w:tc>
      </w:tr>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IEC60068-2-78</w:t>
            </w:r>
            <w:r/>
          </w:p>
        </w:tc>
      </w:tr>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GB/T2423.3  试验Cab 恒定湿热</w:t>
            </w:r>
            <w:r/>
          </w:p>
        </w:tc>
      </w:tr>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GB/T2423.4  试验Db 交变湿热</w:t>
            </w:r>
            <w:r/>
          </w:p>
        </w:tc>
      </w:tr>
      <w:tr>
        <w:trPr>
          <w:trHeight w:val="27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GB/T2423.34 试验Z/AD：温度/湿度组合循环试验</w:t>
            </w:r>
            <w:r/>
          </w:p>
        </w:tc>
      </w:tr>
      <w:tr>
        <w:trPr>
          <w:trHeight w:val="50"/>
        </w:trPr>
        <w:tc>
          <w:tcPr>
            <w:tcBorders>
              <w:top w:val="none" w:color="000000" w:sz="4" w:space="0"/>
              <w:left w:val="none" w:color="000000" w:sz="4" w:space="0"/>
              <w:bottom w:val="none" w:color="000000" w:sz="4" w:space="0"/>
              <w:right w:val="none" w:color="000000" w:sz="4" w:space="0"/>
            </w:tcBorders>
            <w:tcW w:w="5200" w:type="dxa"/>
            <w:vAlign w:val="center"/>
            <w:textDirection w:val="lrTb"/>
            <w:noWrap/>
          </w:tcPr>
          <w:p>
            <w:pPr>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GJB150.9A 湿热试验</w:t>
            </w:r>
            <w:r/>
          </w:p>
        </w:tc>
      </w:tr>
    </w:tbl>
    <w:p>
      <w:pPr>
        <w:spacing w:line="360" w:lineRule="auto"/>
        <w:rPr>
          <w:color w:val="auto"/>
          <w:highlight w:val="none"/>
        </w:rPr>
      </w:pPr>
      <w:r>
        <w:rPr>
          <w:rFonts w:ascii="宋体" w:hAnsi="宋体" w:eastAsia="宋体"/>
          <w:b/>
          <w:color w:val="auto"/>
          <w:sz w:val="21"/>
          <w:highlight w:val="none"/>
        </w:rPr>
        <w:t xml:space="preserve">【技术参数】</w:t>
      </w:r>
      <w:r/>
    </w:p>
    <w:p>
      <w:pPr>
        <w:spacing w:line="360" w:lineRule="auto"/>
        <w:rPr>
          <w:color w:val="auto"/>
          <w:highlight w:val="none"/>
        </w:rPr>
      </w:pPr>
      <w:r>
        <w:rPr>
          <w:rFonts w:ascii="宋体" w:hAnsi="宋体" w:eastAsia="宋体"/>
          <w:b/>
          <w:color w:val="auto"/>
          <w:sz w:val="21"/>
          <w:highlight w:val="none"/>
        </w:rPr>
        <w:t xml:space="preserve">3.1 仪器主要技术参数要求</w:t>
      </w:r>
      <w:r/>
    </w:p>
    <w:p>
      <w:pPr>
        <w:spacing w:line="360" w:lineRule="auto"/>
        <w:rPr>
          <w:color w:val="auto"/>
          <w:highlight w:val="none"/>
        </w:rPr>
      </w:pPr>
      <w:r>
        <w:rPr>
          <w:rFonts w:ascii="宋体" w:hAnsi="宋体" w:eastAsia="宋体"/>
          <w:color w:val="auto"/>
          <w:sz w:val="21"/>
          <w:highlight w:val="none"/>
        </w:rPr>
        <w:t xml:space="preserve">▲3.1.1 设备尺寸需满足下列要求：工作室尺寸（深×宽×高）＞650×950×750mm</w:t>
      </w:r>
      <w:r>
        <w:rPr>
          <w:rFonts w:hint="eastAsia" w:ascii="宋体" w:hAnsi="宋体" w:eastAsia="宋体"/>
          <w:color w:val="auto"/>
          <w:sz w:val="21"/>
          <w:highlight w:val="none"/>
          <w:lang w:eastAsia="zh-CN"/>
        </w:rPr>
        <w:t xml:space="preserve">；内容积不小于1000L</w:t>
      </w:r>
      <w:r>
        <w:rPr>
          <w:rFonts w:hint="eastAsia" w:eastAsia="宋体"/>
          <w:color w:val="auto"/>
          <w:highlight w:val="none"/>
          <w:lang w:eastAsia="zh-CN"/>
        </w:rPr>
        <w:t xml:space="preserve">；</w:t>
      </w:r>
      <w:r>
        <w:rPr>
          <w:rFonts w:ascii="宋体" w:hAnsi="宋体" w:eastAsia="宋体"/>
          <w:color w:val="auto"/>
          <w:sz w:val="21"/>
          <w:highlight w:val="none"/>
        </w:rPr>
        <w:t xml:space="preserve">▲3.1.2 温度范围-70～+150 ℃，温度恢复时间≤5分钟。</w:t>
      </w:r>
      <w:r/>
    </w:p>
    <w:p>
      <w:pPr>
        <w:spacing w:line="360" w:lineRule="auto"/>
        <w:rPr>
          <w:color w:val="auto"/>
          <w:highlight w:val="none"/>
        </w:rPr>
      </w:pPr>
      <w:r>
        <w:rPr>
          <w:rFonts w:ascii="宋体" w:hAnsi="宋体" w:eastAsia="宋体"/>
          <w:color w:val="auto"/>
          <w:sz w:val="21"/>
          <w:highlight w:val="none"/>
        </w:rPr>
        <w:t xml:space="preserve">升温速率-70℃～ +150℃, ≤ 60 min（空载、全程平均）</w:t>
      </w:r>
      <w:r/>
    </w:p>
    <w:p>
      <w:pPr>
        <w:spacing w:line="360" w:lineRule="auto"/>
        <w:rPr>
          <w:color w:val="auto"/>
          <w:highlight w:val="none"/>
        </w:rPr>
      </w:pPr>
      <w:r>
        <w:rPr>
          <w:rFonts w:ascii="宋体" w:hAnsi="宋体" w:eastAsia="宋体"/>
          <w:color w:val="auto"/>
          <w:sz w:val="21"/>
          <w:highlight w:val="none"/>
        </w:rPr>
        <w:t xml:space="preserve">降温速率+20℃ ～ -70℃, ≤ 80 min（空载、全程平均）</w:t>
      </w:r>
      <w:r/>
    </w:p>
    <w:p>
      <w:pPr>
        <w:spacing w:line="360" w:lineRule="auto"/>
        <w:rPr>
          <w:color w:val="auto"/>
          <w:highlight w:val="none"/>
        </w:rPr>
      </w:pPr>
      <w:r>
        <w:rPr>
          <w:rFonts w:ascii="宋体" w:hAnsi="宋体" w:eastAsia="宋体"/>
          <w:color w:val="auto"/>
          <w:sz w:val="21"/>
          <w:highlight w:val="none"/>
        </w:rPr>
        <w:t xml:space="preserve">3.1.3 温度精度：温度波动度≤±0.5℃（空载），温度偏差≤±2.0℃（空载）。</w:t>
      </w:r>
      <w:r/>
    </w:p>
    <w:p>
      <w:pPr>
        <w:spacing w:line="360" w:lineRule="auto"/>
        <w:rPr>
          <w:color w:val="auto"/>
          <w:highlight w:val="none"/>
        </w:rPr>
      </w:pPr>
      <w:r>
        <w:rPr>
          <w:rFonts w:ascii="宋体" w:hAnsi="宋体" w:eastAsia="宋体"/>
          <w:color w:val="auto"/>
          <w:sz w:val="21"/>
          <w:highlight w:val="none"/>
        </w:rPr>
        <w:t xml:space="preserve">3.1.4 湿度范围10～98%RH，满足如下温湿度框图：标准产品满足范围1，并且有满足范围2的能力。</w:t>
      </w:r>
      <w:r/>
    </w:p>
    <w:p>
      <w:pPr>
        <w:spacing w:line="360" w:lineRule="auto"/>
        <w:rPr>
          <w:color w:val="auto"/>
          <w:highlight w:val="none"/>
        </w:rPr>
      </w:pPr>
      <w:r>
        <w:rPr>
          <w:color w:val="auto"/>
          <w:highlight w:val="none"/>
          <w:lang w:val="en-US"/>
        </w:rPr>
        <mc:AlternateContent>
          <mc:Choice Requires="wpg">
            <w:drawing>
              <wp:inline xmlns:wp="http://schemas.openxmlformats.org/drawingml/2006/wordprocessingDrawing" distT="0" distB="0" distL="0" distR="0">
                <wp:extent cx="3291840" cy="2745105"/>
                <wp:effectExtent l="0" t="0" r="3810" b="762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pic:cNvPicPr>
                          <a:picLocks noChangeAspect="1"/>
                        </pic:cNvPicPr>
                        <pic:nvPr/>
                      </pic:nvPicPr>
                      <pic:blipFill>
                        <a:blip r:embed="rId22"/>
                        <a:stretch/>
                      </pic:blipFill>
                      <pic:spPr bwMode="auto">
                        <a:xfrm>
                          <a:off x="0" y="0"/>
                          <a:ext cx="3291840" cy="274518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9.2pt;height:216.1pt;mso-wrap-distance-left:0.0pt;mso-wrap-distance-top:0.0pt;mso-wrap-distance-right:0.0pt;mso-wrap-distance-bottom:0.0pt;" stroked="false">
                <v:path textboxrect="0,0,0,0"/>
                <v:imagedata r:id="rId22" o:title=""/>
              </v:shape>
            </w:pict>
          </mc:Fallback>
        </mc:AlternateContent>
      </w:r>
      <w:r/>
    </w:p>
    <w:p>
      <w:pPr>
        <w:spacing w:line="360" w:lineRule="auto"/>
        <w:rPr>
          <w:color w:val="auto"/>
          <w:highlight w:val="none"/>
        </w:rPr>
      </w:pPr>
      <w:r>
        <w:rPr>
          <w:rFonts w:ascii="宋体" w:hAnsi="宋体" w:eastAsia="宋体"/>
          <w:color w:val="auto"/>
          <w:sz w:val="21"/>
          <w:highlight w:val="none"/>
        </w:rPr>
        <w:t xml:space="preserve">3.1.5 设备带载：</w:t>
      </w:r>
      <w:r/>
    </w:p>
    <w:p>
      <w:pPr>
        <w:spacing w:line="360" w:lineRule="auto"/>
        <w:rPr>
          <w:color w:val="auto"/>
          <w:highlight w:val="none"/>
        </w:rPr>
      </w:pPr>
      <w:r>
        <w:rPr>
          <w:color w:val="auto"/>
          <w:highlight w:val="none"/>
          <w:lang w:val="en-US"/>
        </w:rPr>
        <mc:AlternateContent>
          <mc:Choice Requires="wpg">
            <w:drawing>
              <wp:inline xmlns:wp="http://schemas.openxmlformats.org/drawingml/2006/wordprocessingDrawing" distT="0" distB="0" distL="0" distR="0">
                <wp:extent cx="2468880" cy="1926590"/>
                <wp:effectExtent l="0" t="0" r="7620" b="698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pic:cNvPicPr>
                          <a:picLocks noChangeAspect="1"/>
                        </pic:cNvPicPr>
                        <pic:nvPr/>
                      </pic:nvPicPr>
                      <pic:blipFill>
                        <a:blip r:embed="rId23"/>
                        <a:stretch/>
                      </pic:blipFill>
                      <pic:spPr bwMode="auto">
                        <a:xfrm>
                          <a:off x="0" y="0"/>
                          <a:ext cx="2468880" cy="192672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4.4pt;height:151.7pt;mso-wrap-distance-left:0.0pt;mso-wrap-distance-top:0.0pt;mso-wrap-distance-right:0.0pt;mso-wrap-distance-bottom:0.0pt;" stroked="false">
                <v:path textboxrect="0,0,0,0"/>
                <v:imagedata r:id="rId23" o:title=""/>
              </v:shape>
            </w:pict>
          </mc:Fallback>
        </mc:AlternateContent>
      </w:r>
      <w:r/>
    </w:p>
    <w:p>
      <w:pPr>
        <w:spacing w:line="360" w:lineRule="auto"/>
        <w:rPr>
          <w:color w:val="auto"/>
          <w:highlight w:val="none"/>
        </w:rPr>
      </w:pPr>
      <w:r>
        <w:rPr>
          <w:rFonts w:ascii="宋体" w:hAnsi="宋体" w:eastAsia="宋体"/>
          <w:color w:val="auto"/>
          <w:sz w:val="21"/>
          <w:highlight w:val="none"/>
        </w:rPr>
        <w:t xml:space="preserve">3.1.6 湿度精度：</w:t>
      </w:r>
      <w:r/>
    </w:p>
    <w:p>
      <w:pPr>
        <w:spacing w:line="360" w:lineRule="auto"/>
        <w:rPr>
          <w:color w:val="auto"/>
          <w:highlight w:val="none"/>
        </w:rPr>
      </w:pPr>
      <w:r>
        <w:rPr>
          <w:rFonts w:ascii="宋体" w:hAnsi="宋体" w:eastAsia="宋体"/>
          <w:color w:val="auto"/>
          <w:sz w:val="21"/>
          <w:highlight w:val="none"/>
        </w:rPr>
        <w:t xml:space="preserve">湿度波动度(%RH) ±3</w:t>
      </w:r>
      <w:r/>
    </w:p>
    <w:p>
      <w:pPr>
        <w:spacing w:line="360" w:lineRule="auto"/>
        <w:rPr>
          <w:color w:val="auto"/>
          <w:highlight w:val="none"/>
        </w:rPr>
      </w:pPr>
      <w:r>
        <w:rPr>
          <w:rFonts w:ascii="宋体" w:hAnsi="宋体" w:eastAsia="宋体"/>
          <w:color w:val="auto"/>
          <w:sz w:val="21"/>
          <w:highlight w:val="none"/>
        </w:rPr>
        <w:t xml:space="preserve">湿度均匀度(%RH) 5（20℃～85℃，﹥75％RH 时）</w:t>
      </w:r>
      <w:r/>
    </w:p>
    <w:p>
      <w:pPr>
        <w:spacing w:line="360" w:lineRule="auto"/>
        <w:rPr>
          <w:color w:val="auto"/>
          <w:highlight w:val="none"/>
        </w:rPr>
      </w:pPr>
      <w:r>
        <w:rPr>
          <w:rFonts w:ascii="宋体" w:hAnsi="宋体" w:eastAsia="宋体"/>
          <w:color w:val="auto"/>
          <w:sz w:val="21"/>
          <w:highlight w:val="none"/>
        </w:rPr>
        <w:t xml:space="preserve">7（10℃～85℃，≤75％RH 时）</w:t>
      </w:r>
      <w:r/>
    </w:p>
    <w:p>
      <w:pPr>
        <w:spacing w:line="360" w:lineRule="auto"/>
        <w:rPr>
          <w:color w:val="auto"/>
          <w:highlight w:val="none"/>
        </w:rPr>
      </w:pPr>
      <w:r>
        <w:rPr>
          <w:rFonts w:ascii="宋体" w:hAnsi="宋体" w:eastAsia="宋体"/>
          <w:color w:val="auto"/>
          <w:sz w:val="21"/>
          <w:highlight w:val="none"/>
        </w:rPr>
        <w:t xml:space="preserve">湿度偏差(%RH) +2～-3 （﹥75％RH 时）</w:t>
      </w:r>
      <w:r/>
    </w:p>
    <w:p>
      <w:pPr>
        <w:spacing w:line="360" w:lineRule="auto"/>
        <w:rPr>
          <w:color w:val="auto"/>
          <w:highlight w:val="none"/>
        </w:rPr>
      </w:pPr>
      <w:r>
        <w:rPr>
          <w:rFonts w:ascii="宋体" w:hAnsi="宋体" w:eastAsia="宋体"/>
          <w:color w:val="auto"/>
          <w:sz w:val="21"/>
          <w:highlight w:val="none"/>
        </w:rPr>
        <w:t xml:space="preserve">±5 （≤75％RH 湿度波动度(%RH) ±3）</w:t>
      </w:r>
      <w:r/>
    </w:p>
    <w:p>
      <w:pPr>
        <w:spacing w:line="360" w:lineRule="auto"/>
        <w:rPr>
          <w:color w:val="auto"/>
          <w:highlight w:val="none"/>
        </w:rPr>
      </w:pPr>
      <w:r>
        <w:rPr>
          <w:rFonts w:ascii="宋体" w:hAnsi="宋体" w:eastAsia="宋体"/>
          <w:b/>
          <w:color w:val="auto"/>
          <w:sz w:val="21"/>
          <w:highlight w:val="none"/>
        </w:rPr>
        <w:t xml:space="preserve">3.2 仪器机构设计要求</w:t>
      </w:r>
      <w:r/>
    </w:p>
    <w:p>
      <w:pPr>
        <w:spacing w:line="360" w:lineRule="auto"/>
        <w:rPr>
          <w:color w:val="auto"/>
          <w:highlight w:val="none"/>
        </w:rPr>
      </w:pPr>
      <w:r>
        <w:rPr>
          <w:rFonts w:ascii="宋体" w:hAnsi="宋体" w:eastAsia="宋体"/>
          <w:color w:val="auto"/>
          <w:sz w:val="21"/>
          <w:highlight w:val="none"/>
        </w:rPr>
        <w:t xml:space="preserve">3.2.1 保温围护结构：</w:t>
      </w:r>
      <w:r/>
    </w:p>
    <w:p>
      <w:pPr>
        <w:pStyle w:val="1067"/>
        <w:rPr>
          <w:color w:val="auto"/>
          <w:highlight w:val="none"/>
        </w:rPr>
      </w:pPr>
      <w:r>
        <w:rPr>
          <w:rFonts w:ascii="宋体" w:hAnsi="宋体" w:eastAsia="宋体"/>
          <w:color w:val="auto"/>
          <w:sz w:val="21"/>
          <w:highlight w:val="none"/>
        </w:rPr>
        <w:t xml:space="preserve">外壁材料：冷轧钢板静电双面喷塑，颜色为信号白，内壁材料：SUS304 不锈钢板；保温材料：</w:t>
      </w:r>
      <w:r>
        <w:rPr>
          <w:color w:val="auto"/>
          <w:highlight w:val="none"/>
        </w:rPr>
        <w:t xml:space="preserve">≥</w:t>
      </w:r>
      <w:r>
        <w:rPr>
          <w:rFonts w:ascii="宋体" w:hAnsi="宋体" w:eastAsia="宋体"/>
          <w:color w:val="auto"/>
          <w:sz w:val="21"/>
          <w:highlight w:val="none"/>
        </w:rPr>
        <w:t xml:space="preserve">100mm 阻燃型材</w:t>
      </w:r>
      <w:r/>
    </w:p>
    <w:p>
      <w:pPr>
        <w:spacing w:line="360" w:lineRule="auto"/>
        <w:rPr>
          <w:color w:val="auto"/>
          <w:highlight w:val="none"/>
        </w:rPr>
      </w:pPr>
      <w:r>
        <w:rPr>
          <w:rFonts w:ascii="宋体" w:hAnsi="宋体" w:eastAsia="宋体"/>
          <w:color w:val="auto"/>
          <w:sz w:val="21"/>
          <w:highlight w:val="none"/>
        </w:rPr>
        <w:t xml:space="preserve">3.2.2 试验室体标准配置：配置直径100mm引线孔2个</w:t>
      </w:r>
      <w:r/>
    </w:p>
    <w:p>
      <w:pPr>
        <w:spacing w:line="360" w:lineRule="auto"/>
        <w:rPr>
          <w:color w:val="auto"/>
          <w:highlight w:val="none"/>
        </w:rPr>
      </w:pPr>
      <w:r>
        <w:rPr>
          <w:rFonts w:ascii="宋体" w:hAnsi="宋体" w:eastAsia="宋体"/>
          <w:color w:val="auto"/>
          <w:sz w:val="21"/>
          <w:highlight w:val="none"/>
        </w:rPr>
        <w:t xml:space="preserve">3.2.3 承重要求：试验箱内总的承重量：≤350kg</w:t>
      </w:r>
      <w:r/>
    </w:p>
    <w:p>
      <w:pPr>
        <w:spacing w:line="360" w:lineRule="auto"/>
        <w:rPr>
          <w:color w:val="auto"/>
          <w:highlight w:val="none"/>
        </w:rPr>
      </w:pPr>
      <w:r>
        <w:rPr>
          <w:rFonts w:ascii="宋体" w:hAnsi="宋体" w:eastAsia="宋体"/>
          <w:color w:val="auto"/>
          <w:sz w:val="21"/>
          <w:highlight w:val="none"/>
        </w:rPr>
        <w:t xml:space="preserve">3.2.4 温（湿）度控制显示屏、设备累时器、超温保护设定装置、急停开关、运行指示灯、故障指示灯、蜂鸣器、USB接口。</w:t>
      </w:r>
      <w:r/>
    </w:p>
    <w:p>
      <w:pPr>
        <w:spacing w:line="360" w:lineRule="auto"/>
        <w:rPr>
          <w:color w:val="auto"/>
          <w:highlight w:val="none"/>
        </w:rPr>
      </w:pPr>
      <w:r>
        <w:rPr>
          <w:rFonts w:ascii="宋体" w:hAnsi="宋体" w:eastAsia="宋体"/>
          <w:color w:val="auto"/>
          <w:sz w:val="21"/>
          <w:highlight w:val="none"/>
        </w:rPr>
        <w:t xml:space="preserve">3.2.5 冷却循环水：采用冷水机（包含管路安装）</w:t>
      </w:r>
      <w:r/>
    </w:p>
    <w:p>
      <w:pPr>
        <w:spacing w:line="360" w:lineRule="auto"/>
        <w:rPr>
          <w:color w:val="auto"/>
          <w:highlight w:val="none"/>
        </w:rPr>
      </w:pPr>
      <w:r>
        <w:rPr>
          <w:rFonts w:ascii="宋体" w:hAnsi="宋体" w:eastAsia="宋体"/>
          <w:color w:val="auto"/>
          <w:sz w:val="21"/>
          <w:highlight w:val="none"/>
        </w:rPr>
        <w:t xml:space="preserve">3.2.6 净水机：湿度专用净化水1台，并做好现场设备纯水管路</w:t>
      </w:r>
      <w:r/>
    </w:p>
    <w:p>
      <w:pPr>
        <w:spacing w:line="360" w:lineRule="auto"/>
        <w:rPr>
          <w:color w:val="auto"/>
          <w:highlight w:val="none"/>
        </w:rPr>
      </w:pPr>
      <w:r>
        <w:rPr>
          <w:rFonts w:ascii="宋体" w:hAnsi="宋体" w:eastAsia="宋体"/>
          <w:color w:val="auto"/>
          <w:sz w:val="21"/>
          <w:highlight w:val="none"/>
        </w:rPr>
        <w:t xml:space="preserve">3.2.7 设备现场安装需配套设备供电线路（现有场地只提供配电柜）</w:t>
      </w:r>
      <w:r/>
    </w:p>
    <w:p>
      <w:pPr>
        <w:spacing w:line="360" w:lineRule="auto"/>
        <w:rPr>
          <w:color w:val="auto"/>
          <w:highlight w:val="none"/>
        </w:rPr>
      </w:pPr>
      <w:r>
        <w:rPr>
          <w:rFonts w:ascii="宋体" w:hAnsi="宋体" w:eastAsia="宋体"/>
          <w:b/>
          <w:color w:val="auto"/>
          <w:sz w:val="21"/>
          <w:highlight w:val="none"/>
        </w:rPr>
        <w:t xml:space="preserve">3.3 仪器电气控制系统</w:t>
      </w:r>
      <w:r/>
    </w:p>
    <w:p>
      <w:pPr>
        <w:spacing w:line="360" w:lineRule="auto"/>
        <w:rPr>
          <w:color w:val="auto"/>
          <w:highlight w:val="none"/>
        </w:rPr>
      </w:pPr>
      <w:r>
        <w:rPr>
          <w:rFonts w:ascii="宋体" w:hAnsi="宋体" w:eastAsia="宋体"/>
          <w:color w:val="auto"/>
          <w:sz w:val="21"/>
          <w:highlight w:val="none"/>
        </w:rPr>
        <w:t xml:space="preserve">▲3.3.1 显示器不低于：投射式电容屏，多点触控10.1"；≤130mm×100mm×75mm，重量≤550g，功耗≤12W，可用电流（SM 和 CM 总线最大 1600 mA(5 V DC)，可用电流 (24 V DC) 最大 400 mA（传感器电源）。</w:t>
      </w:r>
      <w:r/>
    </w:p>
    <w:p>
      <w:pPr>
        <w:spacing w:line="360" w:lineRule="auto"/>
        <w:rPr>
          <w:color w:val="auto"/>
          <w:highlight w:val="none"/>
        </w:rPr>
      </w:pPr>
      <w:r>
        <w:rPr>
          <w:rFonts w:ascii="宋体" w:hAnsi="宋体" w:eastAsia="宋体"/>
          <w:color w:val="auto"/>
          <w:sz w:val="21"/>
          <w:highlight w:val="none"/>
        </w:rPr>
        <w:t xml:space="preserve">3.3.2 设定方式：触摸屏方式，中英文菜单，定值运转、程序运转。</w:t>
      </w:r>
      <w:r/>
    </w:p>
    <w:p>
      <w:pPr>
        <w:spacing w:line="360" w:lineRule="auto"/>
        <w:rPr>
          <w:color w:val="auto"/>
          <w:highlight w:val="none"/>
        </w:rPr>
      </w:pPr>
      <w:r>
        <w:rPr>
          <w:rFonts w:ascii="宋体" w:hAnsi="宋体" w:eastAsia="宋体"/>
          <w:color w:val="auto"/>
          <w:sz w:val="21"/>
          <w:highlight w:val="none"/>
        </w:rPr>
        <w:t xml:space="preserve">▲3.3.3 曲线记录功能：90个程序、每个程序最大99段，每段时间最大可设置999小时，且时间设置模式为时/分/秒；程序间可链接、程序可设外循环、程序分段可设内循环</w:t>
      </w:r>
      <w:r/>
    </w:p>
    <w:p>
      <w:pPr>
        <w:spacing w:line="360" w:lineRule="auto"/>
        <w:rPr>
          <w:color w:val="auto"/>
          <w:highlight w:val="none"/>
        </w:rPr>
      </w:pPr>
      <w:r>
        <w:rPr>
          <w:rFonts w:ascii="宋体" w:hAnsi="宋体" w:eastAsia="宋体"/>
          <w:color w:val="auto"/>
          <w:sz w:val="21"/>
          <w:highlight w:val="none"/>
        </w:rPr>
        <w:t xml:space="preserve">▲3.3.4 设备带有USB储存接口，存储信息包括试验时间、试验目标值和试验实测值等主要运行参数，存储格式为.csv格式</w:t>
      </w:r>
      <w:r/>
    </w:p>
    <w:p>
      <w:pPr>
        <w:spacing w:line="360" w:lineRule="auto"/>
        <w:rPr>
          <w:color w:val="auto"/>
          <w:highlight w:val="none"/>
        </w:rPr>
      </w:pPr>
      <w:r>
        <w:rPr>
          <w:rFonts w:ascii="宋体" w:hAnsi="宋体" w:eastAsia="宋体"/>
          <w:color w:val="auto"/>
          <w:sz w:val="21"/>
          <w:highlight w:val="none"/>
        </w:rPr>
        <w:t xml:space="preserve">▲3.3.5 上位机软件要求：设备的上位机通讯需支持标准工业通讯协议（如Modbus RTU/TCP、OPC DA/UA等），并开放通讯接口及协议文档，确保可与现有上位机监控软件进行数据交互，需配合</w:t>
      </w:r>
      <w:r>
        <w:rPr>
          <w:rFonts w:hint="eastAsia" w:ascii="宋体" w:hAnsi="宋体" w:eastAsia="宋体"/>
          <w:color w:val="auto"/>
          <w:sz w:val="21"/>
          <w:highlight w:val="none"/>
        </w:rPr>
        <w:t xml:space="preserve">采购人</w:t>
      </w:r>
      <w:r>
        <w:rPr>
          <w:rFonts w:ascii="宋体" w:hAnsi="宋体" w:eastAsia="宋体"/>
          <w:color w:val="auto"/>
          <w:sz w:val="21"/>
          <w:highlight w:val="none"/>
        </w:rPr>
        <w:t xml:space="preserve">完成软件联调，确保新增设备可与现有设备在同一上位机软件平台上实现集中监控、统一显示（包括实时数据、运行曲线、报警信息等）</w:t>
      </w:r>
      <w:r/>
    </w:p>
    <w:p>
      <w:pPr>
        <w:spacing w:line="360" w:lineRule="auto"/>
        <w:rPr>
          <w:color w:val="auto"/>
          <w:highlight w:val="none"/>
        </w:rPr>
      </w:pPr>
      <w:r>
        <w:rPr>
          <w:rFonts w:ascii="宋体" w:hAnsi="宋体" w:eastAsia="宋体"/>
          <w:color w:val="auto"/>
          <w:sz w:val="21"/>
          <w:highlight w:val="none"/>
        </w:rPr>
        <w:t xml:space="preserve">▲3.3.6 热传导分析系统：热传导实时分析系统要有几何模型导入及可视化、有限元网格自适应划分、有限元模型导入及可视化、实时温度/热应力应变计算及显示、实时温度场显示等功能。</w:t>
      </w:r>
      <w:r/>
    </w:p>
    <w:p>
      <w:pPr>
        <w:spacing w:line="360" w:lineRule="auto"/>
        <w:rPr>
          <w:color w:val="auto"/>
          <w:highlight w:val="none"/>
        </w:rPr>
      </w:pPr>
      <w:r>
        <w:rPr>
          <w:rFonts w:ascii="宋体" w:hAnsi="宋体" w:eastAsia="宋体"/>
          <w:color w:val="auto"/>
          <w:sz w:val="21"/>
          <w:highlight w:val="none"/>
        </w:rPr>
        <w:t xml:space="preserve">- 几何模型导入及可视化</w:t>
      </w:r>
      <w:r/>
    </w:p>
    <w:p>
      <w:pPr>
        <w:spacing w:line="360" w:lineRule="auto"/>
        <w:rPr>
          <w:color w:val="auto"/>
          <w:highlight w:val="none"/>
        </w:rPr>
      </w:pPr>
      <w:r>
        <w:rPr>
          <w:rFonts w:ascii="宋体" w:hAnsi="宋体" w:eastAsia="宋体"/>
          <w:color w:val="auto"/>
          <w:sz w:val="21"/>
          <w:highlight w:val="none"/>
        </w:rPr>
        <w:t xml:space="preserve">- 有限元网格自适应划分</w:t>
      </w:r>
      <w:r/>
    </w:p>
    <w:p>
      <w:pPr>
        <w:spacing w:line="360" w:lineRule="auto"/>
        <w:rPr>
          <w:color w:val="auto"/>
          <w:highlight w:val="none"/>
        </w:rPr>
      </w:pPr>
      <w:r>
        <w:rPr>
          <w:rFonts w:ascii="宋体" w:hAnsi="宋体" w:eastAsia="宋体"/>
          <w:color w:val="auto"/>
          <w:sz w:val="21"/>
          <w:highlight w:val="none"/>
        </w:rPr>
        <w:t xml:space="preserve">- 有限元模型导入及可视化</w:t>
      </w:r>
      <w:r/>
    </w:p>
    <w:p>
      <w:pPr>
        <w:spacing w:line="360" w:lineRule="auto"/>
        <w:rPr>
          <w:color w:val="auto"/>
          <w:highlight w:val="none"/>
        </w:rPr>
      </w:pPr>
      <w:r>
        <w:rPr>
          <w:rFonts w:ascii="宋体" w:hAnsi="宋体" w:eastAsia="宋体"/>
          <w:color w:val="auto"/>
          <w:sz w:val="21"/>
          <w:highlight w:val="none"/>
        </w:rPr>
        <w:t xml:space="preserve">- 实时温度/热应力应变计算及显示</w:t>
      </w:r>
      <w:r/>
    </w:p>
    <w:p>
      <w:pPr>
        <w:spacing w:line="360" w:lineRule="auto"/>
        <w:rPr>
          <w:color w:val="auto"/>
          <w:highlight w:val="none"/>
        </w:rPr>
      </w:pPr>
      <w:r>
        <w:rPr>
          <w:rFonts w:ascii="宋体" w:hAnsi="宋体" w:eastAsia="宋体"/>
          <w:color w:val="auto"/>
          <w:sz w:val="21"/>
          <w:highlight w:val="none"/>
        </w:rPr>
        <w:t xml:space="preserve">- 实时温度场形态及热传导规律显示</w:t>
      </w:r>
      <w:r/>
    </w:p>
    <w:p>
      <w:pPr>
        <w:spacing w:line="360" w:lineRule="auto"/>
        <w:rPr>
          <w:color w:val="auto"/>
          <w:highlight w:val="none"/>
        </w:rPr>
      </w:pPr>
      <w:r>
        <w:rPr>
          <w:rFonts w:ascii="宋体" w:hAnsi="宋体" w:eastAsia="宋体"/>
          <w:b/>
          <w:color w:val="auto"/>
          <w:sz w:val="21"/>
          <w:highlight w:val="none"/>
        </w:rPr>
        <w:t xml:space="preserve">3.4 安全保护装置</w:t>
      </w:r>
      <w:r/>
    </w:p>
    <w:p>
      <w:pPr>
        <w:spacing w:line="360" w:lineRule="auto"/>
        <w:rPr>
          <w:color w:val="auto"/>
          <w:highlight w:val="none"/>
        </w:rPr>
      </w:pPr>
      <w:r>
        <w:rPr>
          <w:rFonts w:ascii="宋体" w:hAnsi="宋体" w:eastAsia="宋体"/>
          <w:color w:val="auto"/>
          <w:sz w:val="21"/>
          <w:highlight w:val="none"/>
        </w:rPr>
        <w:t xml:space="preserve">3.4.1 制冷系统：压缩机超压；压缩机电机过热；压缩机电机过流；冷却水供水欠压。</w:t>
      </w:r>
      <w:r/>
    </w:p>
    <w:p>
      <w:pPr>
        <w:spacing w:line="360" w:lineRule="auto"/>
        <w:rPr>
          <w:color w:val="auto"/>
          <w:highlight w:val="none"/>
        </w:rPr>
      </w:pPr>
      <w:r>
        <w:rPr>
          <w:rFonts w:ascii="宋体" w:hAnsi="宋体" w:eastAsia="宋体"/>
          <w:color w:val="auto"/>
          <w:sz w:val="21"/>
          <w:highlight w:val="none"/>
        </w:rPr>
        <w:t xml:space="preserve">3.4.2 试验室：可调式的超温保护；试验空间温度熔断丝；空气调节通道极限超温；风机电机过热。</w:t>
      </w:r>
      <w:r/>
    </w:p>
    <w:p>
      <w:pPr>
        <w:spacing w:line="360" w:lineRule="auto"/>
        <w:rPr>
          <w:color w:val="auto"/>
          <w:highlight w:val="none"/>
        </w:rPr>
      </w:pPr>
      <w:r>
        <w:rPr>
          <w:rFonts w:ascii="宋体" w:hAnsi="宋体" w:eastAsia="宋体"/>
          <w:color w:val="auto"/>
          <w:sz w:val="21"/>
          <w:highlight w:val="none"/>
        </w:rPr>
        <w:t xml:space="preserve">3.4.3 其他保护功能：总电源相序和缺相保护；漏电保护；负载短路保护；总电源电压上、下限报警</w:t>
      </w:r>
      <w:r/>
    </w:p>
    <w:p>
      <w:pPr>
        <w:spacing w:line="360" w:lineRule="auto"/>
        <w:rPr>
          <w:color w:val="auto"/>
          <w:highlight w:val="none"/>
        </w:rPr>
      </w:pPr>
      <w:r>
        <w:rPr>
          <w:rFonts w:ascii="宋体" w:hAnsi="宋体" w:eastAsia="宋体"/>
          <w:b/>
          <w:color w:val="auto"/>
          <w:sz w:val="21"/>
          <w:highlight w:val="none"/>
        </w:rPr>
        <w:t xml:space="preserve">【总体要求】</w:t>
      </w:r>
      <w:r/>
    </w:p>
    <w:p>
      <w:pPr>
        <w:spacing w:line="360" w:lineRule="auto"/>
        <w:rPr>
          <w:color w:val="auto"/>
          <w:highlight w:val="none"/>
        </w:rPr>
      </w:pPr>
      <w:r>
        <w:rPr>
          <w:rFonts w:ascii="宋体" w:hAnsi="宋体" w:eastAsia="宋体"/>
          <w:color w:val="auto"/>
          <w:sz w:val="21"/>
          <w:highlight w:val="none"/>
        </w:rPr>
        <w:t xml:space="preserve">1.1 空气调节系统：</w:t>
      </w:r>
      <w:r/>
    </w:p>
    <w:p>
      <w:pPr>
        <w:spacing w:line="360" w:lineRule="auto"/>
        <w:rPr>
          <w:color w:val="auto"/>
          <w:highlight w:val="none"/>
        </w:rPr>
      </w:pPr>
      <w:r>
        <w:rPr>
          <w:rFonts w:ascii="宋体" w:hAnsi="宋体" w:eastAsia="宋体"/>
          <w:color w:val="auto"/>
          <w:sz w:val="21"/>
          <w:highlight w:val="none"/>
        </w:rPr>
        <w:t xml:space="preserve">强制对流调温调湿式，配备独立的冷端和热端PID自动调节技术，低温不采用耗能的加热平衡式控温方式。</w:t>
      </w:r>
      <w:r/>
    </w:p>
    <w:p>
      <w:pPr>
        <w:spacing w:line="360" w:lineRule="auto"/>
        <w:rPr>
          <w:color w:val="auto"/>
          <w:highlight w:val="none"/>
        </w:rPr>
      </w:pPr>
      <w:r>
        <w:rPr>
          <w:rFonts w:ascii="宋体" w:hAnsi="宋体" w:eastAsia="宋体"/>
          <w:color w:val="auto"/>
          <w:sz w:val="21"/>
          <w:highlight w:val="none"/>
        </w:rPr>
        <w:t xml:space="preserve">1.2为保障压缩机长期可靠运行，在压缩机的排气和回气端装有温度变送器，通过PLC控制，从而使压缩机在正常工况下运行。</w:t>
      </w:r>
      <w:r/>
    </w:p>
    <w:p>
      <w:pPr>
        <w:spacing w:line="360" w:lineRule="auto"/>
        <w:rPr>
          <w:color w:val="auto"/>
          <w:highlight w:val="none"/>
        </w:rPr>
      </w:pPr>
      <w:r>
        <w:rPr>
          <w:rFonts w:ascii="宋体" w:hAnsi="宋体" w:eastAsia="宋体"/>
          <w:color w:val="auto"/>
          <w:sz w:val="21"/>
          <w:highlight w:val="none"/>
        </w:rPr>
        <w:t xml:space="preserve">▲1.3 附属功能：超高低温保护功能；日历定时功能(自动启动及自动停止运行)自诊断功能。（超高低温保护功能需是额外的物理上独立的断电保护，在样品试验箱内温度高于设定的最高温度或低于设定的最低温度时，停止加热/制冷，但应能够保留历史记录，且断电保护动作不受主控制器控制，防止主控制器故障导致超高低温保护功能不起作用，</w:t>
      </w:r>
      <w:r>
        <w:rPr>
          <w:rFonts w:ascii="宋体" w:hAnsi="宋体" w:eastAsia="宋体"/>
          <w:b/>
          <w:bCs/>
          <w:color w:val="auto"/>
          <w:sz w:val="21"/>
          <w:highlight w:val="none"/>
        </w:rPr>
        <w:t xml:space="preserve">提供工作原理图</w:t>
      </w:r>
      <w:r>
        <w:rPr>
          <w:rFonts w:ascii="宋体" w:hAnsi="宋体" w:eastAsia="宋体"/>
          <w:color w:val="auto"/>
          <w:sz w:val="21"/>
          <w:highlight w:val="none"/>
        </w:rPr>
        <w:t xml:space="preserve">。）</w:t>
      </w:r>
      <w:r/>
    </w:p>
    <w:p>
      <w:pPr>
        <w:spacing w:line="360" w:lineRule="auto"/>
        <w:rPr>
          <w:color w:val="auto"/>
          <w:highlight w:val="none"/>
        </w:rPr>
      </w:pPr>
      <w:r>
        <w:rPr>
          <w:rFonts w:ascii="宋体" w:hAnsi="宋体" w:eastAsia="宋体"/>
          <w:color w:val="auto"/>
          <w:sz w:val="21"/>
          <w:highlight w:val="none"/>
        </w:rPr>
        <w:t xml:space="preserve">1.4 控制器维护界面需自带设备故障代码、原因分析提示、处理方法指导。</w:t>
      </w:r>
      <w:r/>
    </w:p>
    <w:p>
      <w:pPr>
        <w:spacing w:line="360" w:lineRule="auto"/>
        <w:rPr>
          <w:rFonts w:ascii="宋体" w:hAnsi="宋体" w:eastAsia="宋体"/>
          <w:color w:val="auto"/>
          <w:sz w:val="21"/>
          <w:szCs w:val="21"/>
          <w:highlight w:val="none"/>
        </w:rPr>
      </w:pPr>
      <w:r>
        <w:rPr>
          <w:rFonts w:ascii="宋体" w:hAnsi="宋体" w:eastAsia="宋体"/>
          <w:color w:val="auto"/>
          <w:sz w:val="21"/>
          <w:highlight w:val="none"/>
        </w:rPr>
        <w:t xml:space="preserve">1.5 为确保设备运行更加可靠，要求采用PLC触摸式控制器，尺寸≤130mm×100mm×75mm，重量≤550g，功耗≤12W，可用电流（SM 和 CM 总线最大 1600 mA(5 V DC)，可用电流 (24 V DC) 最大 400 mA（传感器电源）。</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售后服务</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 生产商必须在中国有良好的售后服务支持，在华东地区具相应能力的售后维修中心，并能出具相应证明材料。</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投标方必须提供“售后服务承诺书”。投标人应在投标文件中明确售后服务的期限和承诺。</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color w:val="auto"/>
          <w:sz w:val="21"/>
          <w:szCs w:val="21"/>
          <w:highlight w:val="none"/>
        </w:rPr>
        <w:t xml:space="preserve">3 系统质量保证期为自最终验收协议签署生效之日起12个月</w:t>
      </w:r>
      <w:r>
        <w:rPr>
          <w:rFonts w:hint="eastAsia" w:ascii="宋体" w:hAnsi="宋体" w:eastAsia="宋体"/>
          <w:color w:val="auto"/>
          <w:sz w:val="21"/>
          <w:szCs w:val="21"/>
          <w:highlight w:val="none"/>
          <w:lang w:val="en-US" w:eastAsia="zh-CN"/>
        </w:rPr>
        <w:t xml:space="preserve">的原厂质保</w:t>
      </w:r>
      <w:r>
        <w:rPr>
          <w:rFonts w:hint="eastAsia" w:ascii="宋体" w:hAnsi="宋体" w:eastAsia="宋体"/>
          <w:color w:val="auto"/>
          <w:sz w:val="21"/>
          <w:szCs w:val="21"/>
          <w:highlight w:val="none"/>
        </w:rPr>
        <w:t xml:space="preserve">。在此期间，系统及设备发生任何非人为原因造成的故障和损坏，均由供应商负责免费修复，失效零件予以免费更换。</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 设备故障报修的响应时间：每天8：00~18：00期间为2小时。其余期间为15小时。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 投标方必须提出保修期内的维修、维护内容和范围（产品、技术、模块、部件）。维修期间，原厂供应商应尽全力配合提供样机支持。</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 投标方必须提出保修期后一年内的收费、维修、维护内容，费用和服务方式、范围（产品、技术、模块、部件），供采购人参考，其费用不计入总价。</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 投标方必须根据相关应用软件系统的升级要求对有关软件提供一定周期内的免费升级和维护，系统的软件升级应当与设备检测的后续开发和升级统一考虑。</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 投标方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品目4：音视频类综合测量仪（含半消声室）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音视频类综合测量仪由数据采集分析仪、声校准器、EFT校准套件和高压差分探头组成。</w:t>
      </w:r>
      <w:r/>
    </w:p>
    <w:p>
      <w:pPr>
        <w:spacing w:line="360" w:lineRule="auto"/>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一、技术要求</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1-1 数据采集分析仪技术要求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数据采集分析仪设备具有高精度的模拟音频输入/输出，支持平衡与非平衡信号，设备可用于喇叭、音箱电声测试，功放板测试及声功率测试。</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 </w:t>
      </w:r>
      <w:r>
        <w:rPr>
          <w:rFonts w:ascii="宋体" w:hAnsi="宋体" w:eastAsia="宋体"/>
          <w:color w:val="auto"/>
          <w:sz w:val="21"/>
          <w:szCs w:val="21"/>
          <w:highlight w:val="none"/>
        </w:rPr>
        <w:t xml:space="preserve">输入通道＞20，输入接口覆盖BNC，</w:t>
      </w:r>
      <w:r>
        <w:rPr>
          <w:rFonts w:hint="eastAsia" w:ascii="宋体" w:hAnsi="宋体" w:eastAsia="宋体"/>
          <w:color w:val="auto"/>
          <w:sz w:val="21"/>
          <w:szCs w:val="21"/>
          <w:highlight w:val="none"/>
        </w:rPr>
        <w:t xml:space="preserve">C</w:t>
      </w:r>
      <w:r>
        <w:rPr>
          <w:rFonts w:ascii="宋体" w:hAnsi="宋体" w:eastAsia="宋体"/>
          <w:color w:val="auto"/>
          <w:sz w:val="21"/>
          <w:szCs w:val="21"/>
          <w:highlight w:val="none"/>
        </w:rPr>
        <w:t xml:space="preserve">ANNON，</w:t>
      </w:r>
      <w:r>
        <w:rPr>
          <w:rFonts w:hint="eastAsia" w:ascii="宋体" w:hAnsi="宋体" w:eastAsia="宋体"/>
          <w:color w:val="auto"/>
          <w:sz w:val="21"/>
          <w:szCs w:val="21"/>
          <w:highlight w:val="none"/>
        </w:rPr>
        <w:t xml:space="preserve">D</w:t>
      </w:r>
      <w:r>
        <w:rPr>
          <w:rFonts w:ascii="宋体" w:hAnsi="宋体" w:eastAsia="宋体"/>
          <w:color w:val="auto"/>
          <w:sz w:val="21"/>
          <w:szCs w:val="21"/>
          <w:highlight w:val="none"/>
        </w:rPr>
        <w:t xml:space="preserve">-SUB25接口</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w:t>
      </w:r>
      <w:r>
        <w:rPr>
          <w:rFonts w:ascii="宋体" w:hAnsi="宋体" w:eastAsia="宋体"/>
          <w:color w:val="auto"/>
          <w:sz w:val="21"/>
          <w:szCs w:val="21"/>
          <w:highlight w:val="none"/>
        </w:rPr>
        <w:t xml:space="preserve">自生噪声＜25dBA，输入频响范围2Hz~20kHz，输入动态范围＞106dB</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 采集通道平坦度小于±0.008dB（20Hz-20kHz），底噪≤1.3uVrms，信噪比≥125dB，动态范围≥115dB，总谐波失真加噪声THD+N≤-105dB，串扰Cross talk≤-118dB</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 IEPE恒流源激励：≥4mA（负载≤5K），≥2mA（5K＜负载≤10K）</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 输出通道DAC精度≥24Bit，采样率范围覆盖1kHz-192kHz</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 输出通道输出电压范围不低于±21Vrms（差分），不低于±10.5Vrms（单端），平坦度小于±0.008dB（20Hz-20kHz），可搭配信号发生器输出正弦波、互调失真、DIM测试信号等信号</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 软件测试项目：覆盖电平/增益、频率响应、总谐波失真、信噪比、灵敏度、波型回调分析、极性分析、相位响应、动态范围-AES17 Dynamic Range、异音分析Rub&amp;Buzz、阻抗曲线Impendance Curve、扬声器TS参数Thiele-Small等参数</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 内置声功率级测试标准：覆盖GB/T 3768-2017/ISO 3746:2010（采用反射面上方包络测量面的简易法）、GB/T 3767-2016/ISO 3744:2010（反射面上近似自由场的工程法）、GB/T 6882-2016/ISO 3745:2012（消声室和半消声室精密法）等标准</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 数据后处理功能：覆盖声压分析、互谱分析、功率谱&amp;功率谱密度&amp;FFT频谱、创建或分割混合波形、波形参数测量、准峰值检波、平移波形、获取同步时间、计算波形差异、数字滤波器、计权滤波器、波形突变剔除、波形脉冲突变检测、波形相似度分析、波形互换等功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 曲线后处理功能：具有计算曲线矢量点数面积和系数、曲线提取与组合、曲线参数测量、曲线运算、曲线平滑、曲线互换、曲线金机校准与补偿、从曲线提取单值、曲线与单值的运算、计算曲线的差异等功能</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支持Shuttle驱动，信号传输</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1-2 声校准器技术要求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 声压级：覆盖94dB/114dB两个级别</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频率：1000Hz</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1-3 EFT校准套件技术要求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 满足IEC/EN 61000-4-4和ISO7637-2测试标准</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兼容发生器输出接口为Fischer以及BNC接口的脉冲群发生器</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 包含50ohm匹配电阻，100:1校准件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 包含1000ohm匹配电阻，500:1校准件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 包含Fischer到4mm香蕉头适配器，用于连接到脉冲群发生器内置CDN的输出，确保测量探头的同轴连接</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 包含：BNC（母）转Fischer高压连接器（母）</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 带宽满足400MHz</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 兼容3CTest EFT500和EMTEST UCS 500N7发生器</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1-4 高压差分探头技术要求</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 频宽：≥100 MHz</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量程选择：×100，×1000</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 精确度：±1%</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 输入电压范围 ×100：≤1.4 kV，×1000：≤14 kV</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 允许最高输入电压 最高差动电压 14 kV</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 输入端及接地端间最高电压5 kV rms</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 输入阻抗 差动 20 MΩ/1 pF</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 单端到接地端间的输入阻抗 10 MΩ/2 pF</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 输出电压 ≤7 V</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 输出阻抗 50 Ω</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上升时间≤3.5 ns</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 杂讯抑制率 60 Hz：＞80 dB；100 Hz：＞60 dB；1 MHz：＞50 dB</w:t>
      </w:r>
      <w:r/>
    </w:p>
    <w:p>
      <w:pPr>
        <w:spacing w:line="360" w:lineRule="auto"/>
        <w:rPr>
          <w:rFonts w:hint="eastAsia" w:ascii="宋体" w:hAnsi="宋体" w:eastAsia="宋体"/>
          <w:color w:val="auto"/>
          <w:sz w:val="21"/>
          <w:szCs w:val="21"/>
          <w:highlight w:val="none"/>
          <w:lang w:val="en-US" w:eastAsia="zh-CN"/>
        </w:rPr>
      </w:pPr>
      <w:r>
        <w:rPr>
          <w:rFonts w:hint="eastAsia" w:ascii="宋体" w:hAnsi="宋体" w:eastAsia="宋体"/>
          <w:b/>
          <w:color w:val="auto"/>
          <w:sz w:val="21"/>
          <w:szCs w:val="21"/>
          <w:highlight w:val="none"/>
        </w:rPr>
        <w:t xml:space="preserve">★</w:t>
      </w:r>
      <w:r>
        <w:rPr>
          <w:rFonts w:hint="eastAsia" w:ascii="宋体" w:hAnsi="宋体" w:eastAsia="宋体"/>
          <w:color w:val="auto"/>
          <w:sz w:val="21"/>
          <w:szCs w:val="21"/>
          <w:highlight w:val="none"/>
          <w:lang w:val="en-US" w:eastAsia="zh-CN"/>
        </w:rPr>
        <w:t xml:space="preserve">二.配置清单（无需提供证明材料，在技术条款偏离表中响应即可）</w:t>
      </w:r>
      <w:r/>
    </w:p>
    <w:p>
      <w:pPr>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至少包括：</w:t>
      </w:r>
      <w:r/>
    </w:p>
    <w:p>
      <w:pP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数据采集分析仪 1套</w:t>
      </w:r>
      <w:r/>
    </w:p>
    <w:p>
      <w:pP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声校准器 1套</w:t>
      </w:r>
      <w:r/>
    </w:p>
    <w:p>
      <w:pP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EFT校准套件 1套</w:t>
      </w:r>
      <w:r/>
    </w:p>
    <w:p>
      <w:pP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高压差分探头 1套</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三</w:t>
      </w:r>
      <w:r>
        <w:rPr>
          <w:rFonts w:hint="eastAsia" w:ascii="宋体" w:hAnsi="宋体" w:eastAsia="宋体"/>
          <w:b/>
          <w:color w:val="auto"/>
          <w:sz w:val="21"/>
          <w:szCs w:val="21"/>
          <w:highlight w:val="none"/>
        </w:rPr>
        <w:t xml:space="preserve">.售后服务</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1.生产商必须在中国有良好的售后服务支持，在华东地区具有相应能力的售后维修中心，并能出具相应证明材料。</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2.投标人必须提供“售后服务承诺书”。投标人应在投标文件中明确售后服务的期限和承诺。</w:t>
      </w:r>
      <w:r/>
    </w:p>
    <w:p>
      <w:pP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质保期：系统质量保证期为自最终验收协议签署生效之日起的12个月</w:t>
      </w:r>
      <w:r>
        <w:rPr>
          <w:rFonts w:hint="eastAsia" w:ascii="宋体" w:hAnsi="宋体" w:eastAsia="宋体"/>
          <w:color w:val="auto"/>
          <w:sz w:val="21"/>
          <w:szCs w:val="21"/>
          <w:highlight w:val="none"/>
          <w:lang w:val="en-US" w:eastAsia="zh-CN"/>
        </w:rPr>
        <w:t xml:space="preserve">原厂质保</w:t>
      </w:r>
      <w:r>
        <w:rPr>
          <w:rFonts w:hint="eastAsia" w:ascii="宋体" w:hAnsi="宋体" w:eastAsia="宋体"/>
          <w:color w:val="auto"/>
          <w:sz w:val="21"/>
          <w:szCs w:val="21"/>
          <w:highlight w:val="none"/>
        </w:rPr>
        <w:t xml:space="preserve">。在此期间，系统及设备发生任何非人为原因造成的故障和损坏，均由供应商负责免费修复，失效零件予以免费更换。维修期间，原厂供应商应尽全力配合提供样机支持。</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4.设备故障报修的响应时间：每天8：00~18：00期间为2小时。其余期间为15小时。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5.投标人必须根据相关应用软件系统的升级要求对有关软件提供一定周期内的免费升级和维护，系统的软件升级应当与设备检测的后续开发和升级统一考虑。</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人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p>
    <w:p>
      <w:pPr>
        <w:jc w:val="left"/>
        <w:spacing w:after="160" w:line="360" w:lineRule="exact"/>
        <w:rPr>
          <w:rFonts w:ascii="宋体" w:hAnsi="宋体" w:eastAsia="宋体"/>
          <w:color w:val="auto"/>
          <w:sz w:val="21"/>
          <w:szCs w:val="21"/>
          <w:highlight w:val="none"/>
        </w:rPr>
      </w:pPr>
      <w:r/>
      <w:bookmarkStart w:id="23" w:name="_GoBack"/>
      <w:r/>
      <w:bookmarkEnd w:id="23"/>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rPr>
        <w:t xml:space="preserve">三、付款方式</w:t>
      </w:r>
      <w:r>
        <w:rPr>
          <w:rFonts w:hint="eastAsia" w:ascii="宋体" w:hAnsi="宋体" w:eastAsia="宋体"/>
          <w:color w:val="auto"/>
          <w:sz w:val="21"/>
          <w:szCs w:val="21"/>
          <w:highlight w:val="none"/>
        </w:rPr>
        <w:t xml:space="preserve">：</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生效后，设备、材料全部运抵指定实验室指定地点，并安装结束，调试完毕，全部设备验收合格后，中标人向采购人开具合同总价10%的银行保函，采购人向中标人支付合同总价100%的货款，合同履行完毕后无息退回。如中标人未能履行合同规定的义务，采购人有权从履约保证金中取得补偿。</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2、如遇特殊情况如突发应急、财务支付周期需要等，经双方协商，可采取款项预付方式，但预付金额不得超过合同金额的50%。</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因中标人原因没有按期提供银行保函和发票的，致使采购人未能及时付款所产生的责任由中标人负责，采购人不承担违约责任。</w:t>
      </w:r>
      <w:r/>
    </w:p>
    <w:p>
      <w:pPr>
        <w:jc w:val="left"/>
        <w:spacing w:after="160" w:line="360" w:lineRule="exact"/>
        <w:rPr>
          <w:rFonts w:ascii="宋体" w:hAnsi="宋体" w:eastAsia="宋体"/>
          <w:b/>
          <w:bCs/>
          <w:color w:val="auto"/>
          <w:sz w:val="21"/>
          <w:szCs w:val="21"/>
          <w:highlight w:val="none"/>
          <w:lang w:val="en-US"/>
        </w:rPr>
      </w:pPr>
      <w:r>
        <w:rPr>
          <w:rFonts w:ascii="宋体" w:hAnsi="宋体" w:eastAsia="宋体"/>
          <w:b/>
          <w:bCs/>
          <w:color w:val="auto"/>
          <w:sz w:val="21"/>
          <w:szCs w:val="21"/>
          <w:highlight w:val="none"/>
          <w:lang w:val="en-US"/>
        </w:rPr>
      </w:r>
      <w:r/>
    </w:p>
    <w:p>
      <w:pPr>
        <w:jc w:val="left"/>
        <w:spacing w:after="160" w:line="360" w:lineRule="exact"/>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四</w:t>
      </w:r>
      <w:r>
        <w:rPr>
          <w:rFonts w:hint="eastAsia" w:ascii="宋体" w:hAnsi="宋体" w:eastAsia="宋体"/>
          <w:b/>
          <w:bCs/>
          <w:color w:val="auto"/>
          <w:sz w:val="21"/>
          <w:szCs w:val="21"/>
          <w:highlight w:val="none"/>
        </w:rPr>
        <w:t xml:space="preserve">、报价</w:t>
      </w:r>
      <w:r/>
    </w:p>
    <w:p>
      <w:pPr>
        <w:spacing w:after="160" w:line="360" w:lineRule="exact"/>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Cs/>
          <w:color w:val="auto"/>
          <w:sz w:val="21"/>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境外产品报价不含</w:t>
      </w:r>
      <w:r>
        <w:rPr>
          <w:rFonts w:hint="eastAsia" w:ascii="宋体" w:hAnsi="宋体" w:eastAsia="宋体"/>
          <w:bCs/>
          <w:color w:val="auto"/>
          <w:sz w:val="21"/>
          <w:szCs w:val="21"/>
          <w:highlight w:val="none"/>
          <w:lang w:val="en-US"/>
        </w:rPr>
        <w:t xml:space="preserve">采购人</w:t>
      </w:r>
      <w:r>
        <w:rPr>
          <w:rFonts w:hint="eastAsia" w:ascii="宋体" w:hAnsi="宋体" w:eastAsia="宋体"/>
          <w:bCs/>
          <w:color w:val="auto"/>
          <w:sz w:val="21"/>
          <w:szCs w:val="21"/>
          <w:highlight w:val="none"/>
        </w:rPr>
        <w:t xml:space="preserve">可以减免的正常的关税和增值税，如有加征关税，则报价中需要包含加征关税。当投标产品同时包含境内产品和境外产品时，应当对境内产品和境外产品按照以上要求分别进行报价。不按上述要求进行报价的，投标文件将作无效投标处理。）</w:t>
      </w:r>
      <w:r/>
    </w:p>
    <w:p>
      <w:pPr>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2、一次性报价，包括卖方完成本项目服务工作期间所需的人工、材料、交通、差旅、保险、利润、税金、通讯、办公设备、政策性文件规定及合同包含的所有风险、责任等各项应有费用。</w:t>
      </w:r>
      <w:r/>
    </w:p>
    <w:p>
      <w:pPr>
        <w:spacing w:after="160"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rPr>
        <w:t xml:space="preserve">五、交货地点</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交货地点及验收：南京市秦淮区光华东街5号，由供应商负责办理运输和装卸等，费用由供应商负责，由采购人组织验收，检验不合格或不符合质量要求，供应商除无条件退货、返工外，还应承担采购人的一切损失。</w:t>
      </w:r>
      <w:r/>
    </w:p>
    <w:p>
      <w:pPr>
        <w:spacing w:after="160" w:line="360" w:lineRule="exact"/>
        <w:rPr>
          <w:rFonts w:ascii="宋体" w:hAnsi="宋体" w:eastAsia="宋体"/>
          <w:b/>
          <w:bCs/>
          <w:color w:val="auto"/>
          <w:sz w:val="21"/>
          <w:szCs w:val="21"/>
          <w:highlight w:val="none"/>
          <w:lang w:val="en-US"/>
        </w:rPr>
      </w:pPr>
      <w:r>
        <w:rPr>
          <w:rFonts w:ascii="宋体" w:hAnsi="宋体" w:eastAsia="宋体"/>
          <w:b/>
          <w:bCs/>
          <w:color w:val="auto"/>
          <w:sz w:val="21"/>
          <w:szCs w:val="21"/>
          <w:highlight w:val="none"/>
          <w:lang w:val="en-US"/>
        </w:rPr>
      </w:r>
      <w:r/>
    </w:p>
    <w:p>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六</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验收要求</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验收标准及方式：符合招标文件要求及相关标准，经使用部门确认填写项目验收报告。</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供应商所提供的设备必须是原厂生产的、全新的、未使用过的(包括零部件)，并完全符合原厂质量检测标准和相关质量检测标准以及合同规定的质量规格和性能要求。如不符合本合同中约定的要求，采购人有权拒绝接收。</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供应商应保证采购人在使用由供应商提供的设备或设备的任何部分（含软件）不受第三方关于侵犯其所有权、专利权、商标权、工业设计权等的指控。如因第三方侵权致使采购人对外承担侵权责任或无法继续使用的，采购人有权向供应商追偿或解除本合同并要求供应商返还全部货款。</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供应商所提供的设备安装调试完成后，采购人应按本合同所约定的货物清单及要求对货物的品牌、外观、规格、数量、配件及安装调试后的使用性能、运行状况及其他情况进行验收，供应商必须在验收现场提供必要的技术支持。如特殊货物验收需经专家论证、第三方检测的，则验收合格证明文件以专家论证、第三方检测结果为准。</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经验收发现物资设备与合同规定不符，采购人有权拒绝接受并向供应商提出按合同价双倍索赔。如设备在质保期内被证明存在缺陷，包括潜在的缺陷或使用不合适的材料，采购人有权凭有关证明文件向供应商提出索赔。</w:t>
      </w:r>
      <w:r/>
    </w:p>
    <w:p>
      <w:pPr>
        <w:ind w:left="178" w:right="105"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黑体" w:eastAsia="黑体"/>
          <w:color w:val="auto"/>
          <w:sz w:val="36"/>
          <w:szCs w:val="36"/>
          <w:highlight w:val="none"/>
        </w:rPr>
      </w:pPr>
      <w:r>
        <w:rPr>
          <w:rFonts w:hint="eastAsia" w:ascii="黑体" w:eastAsia="黑体"/>
          <w:color w:val="auto"/>
          <w:sz w:val="36"/>
          <w:szCs w:val="36"/>
          <w:highlight w:val="none"/>
        </w:rPr>
        <w:br w:type="page" w:clear="all"/>
      </w:r>
      <w:r/>
    </w:p>
    <w:p>
      <w:pPr>
        <w:numPr>
          <w:ilvl w:val="0"/>
          <w:numId w:val="0"/>
        </w:numPr>
        <w:ind w:left="2840" w:right="105" w:firstLine="360"/>
        <w:jc w:val="both"/>
        <w:spacing w:line="288" w:lineRule="auto"/>
        <w:rPr>
          <w:rFonts w:ascii="黑体" w:eastAsia="黑体"/>
          <w:color w:val="auto"/>
          <w:sz w:val="36"/>
          <w:szCs w:val="36"/>
          <w:highlight w:val="none"/>
        </w:rPr>
        <w:outlineLvl w:val="0"/>
      </w:pPr>
      <w:r>
        <w:rPr>
          <w:rFonts w:hint="eastAsia" w:ascii="黑体" w:hAnsi="Calibri" w:eastAsia="黑体" w:cs="宋体"/>
          <w:color w:val="auto"/>
          <w:sz w:val="36"/>
          <w:szCs w:val="36"/>
          <w:highlight w:val="none"/>
          <w:lang w:val="zh-CN" w:eastAsia="zh-CN" w:bidi="ar-SA"/>
        </w:rPr>
        <w:t xml:space="preserve">第五章</w:t>
      </w:r>
      <w:r>
        <w:rPr>
          <w:rFonts w:hint="eastAsia" w:ascii="黑体" w:eastAsia="黑体"/>
          <w:color w:val="auto"/>
          <w:sz w:val="36"/>
          <w:szCs w:val="36"/>
          <w:highlight w:val="none"/>
        </w:rPr>
        <w:t xml:space="preserve">合同草案条款</w:t>
      </w:r>
      <w:r/>
    </w:p>
    <w:p>
      <w:pPr>
        <w:ind w:left="178" w:right="105" w:firstLine="320"/>
        <w:jc w:val="center"/>
        <w:rPr>
          <w:rFonts w:ascii="宋体" w:hAnsi="宋体" w:eastAsia="宋体"/>
          <w:bCs/>
          <w:color w:val="auto"/>
          <w:sz w:val="32"/>
          <w:highlight w:val="none"/>
        </w:rPr>
      </w:pPr>
      <w:r>
        <w:rPr>
          <w:rFonts w:hint="eastAsia" w:ascii="宋体" w:hAnsi="宋体" w:eastAsia="宋体"/>
          <w:bCs/>
          <w:color w:val="auto"/>
          <w:sz w:val="32"/>
          <w:highlight w:val="none"/>
        </w:rPr>
        <w:t xml:space="preserve">合同文本</w:t>
      </w:r>
      <w:r/>
    </w:p>
    <w:p>
      <w:pPr>
        <w:ind w:left="178" w:right="105" w:firstLine="3000"/>
        <w:spacing w:line="360" w:lineRule="auto"/>
        <w:rPr>
          <w:rFonts w:ascii="宋体" w:hAnsi="宋体"/>
          <w:color w:val="auto"/>
          <w:szCs w:val="21"/>
          <w:highlight w:val="none"/>
        </w:rPr>
      </w:pPr>
      <w:r>
        <w:rPr>
          <w:rFonts w:hint="eastAsia" w:ascii="宋体" w:hAnsi="宋体"/>
          <w:color w:val="auto"/>
          <w:szCs w:val="21"/>
          <w:highlight w:val="none"/>
        </w:rPr>
        <w:t xml:space="preserve">编号：</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卖方：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招标采购代理机构：</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一、说明：</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受买方委托，招标采购代理机构于年月日组织了江苏省产品质量监督检验研究院所需设备采购项目，经评委认真严格地评审，确定由卖方成交。</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二、合同条款：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1.现依照采购结果（采购文件编号：\项目编号：），买卖双方达成如下协议：</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本次设备（或服务）合同总金额含税价（或免税价）人民币（大写)         元整（¥        元），具体如下列清单所示：</w:t>
      </w:r>
      <w:r/>
    </w:p>
    <w:tbl>
      <w:tblPr>
        <w:tblStyle w:val="1058"/>
        <w:tblpPr w:horzAnchor="margin" w:tblpXSpec="left" w:vertAnchor="text" w:tblpY="4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7"/>
        <w:gridCol w:w="881"/>
        <w:gridCol w:w="1501"/>
        <w:gridCol w:w="1436"/>
        <w:gridCol w:w="790"/>
        <w:gridCol w:w="1131"/>
        <w:gridCol w:w="1131"/>
        <w:gridCol w:w="1032"/>
      </w:tblGrid>
      <w:tr>
        <w:trPr>
          <w:cantSplit/>
          <w:trHeight w:val="613"/>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设备名称</w:t>
            </w:r>
            <w:r/>
          </w:p>
        </w:tc>
        <w:tc>
          <w:tcPr>
            <w:tcW w:w="447"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W w:w="76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型号、配置</w:t>
            </w:r>
            <w:r/>
          </w:p>
        </w:tc>
        <w:tc>
          <w:tcPr>
            <w:tcW w:w="729"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产地/制造商名称</w:t>
            </w:r>
            <w:r/>
          </w:p>
        </w:tc>
        <w:tc>
          <w:tcPr>
            <w:tcW w:w="401"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金额</w:t>
            </w:r>
            <w:r/>
          </w:p>
        </w:tc>
        <w:tc>
          <w:tcPr>
            <w:tcW w:w="52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15"/>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合同总金额</w:t>
            </w:r>
            <w:r/>
          </w:p>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（含税或免税）</w:t>
            </w:r>
            <w:r/>
          </w:p>
        </w:tc>
        <w:tc>
          <w:tcPr>
            <w:gridSpan w:val="7"/>
            <w:tcW w:w="4011" w:type="pct"/>
            <w:vAlign w:val="center"/>
            <w:textDirection w:val="lrTb"/>
            <w:noWrap w:val="false"/>
          </w:tcPr>
          <w:p>
            <w:pPr>
              <w:ind w:left="178" w:right="105"/>
              <w:spacing w:line="360" w:lineRule="auto"/>
              <w:rPr>
                <w:rFonts w:ascii="宋体" w:hAnsi="宋体"/>
                <w:bCs/>
                <w:color w:val="auto"/>
                <w:szCs w:val="21"/>
                <w:highlight w:val="none"/>
              </w:rPr>
            </w:pPr>
            <w:r>
              <w:rPr>
                <w:rFonts w:hint="eastAsia" w:ascii="宋体" w:hAnsi="宋体"/>
                <w:bCs/>
                <w:color w:val="auto"/>
                <w:szCs w:val="21"/>
                <w:highlight w:val="none"/>
              </w:rPr>
              <w:t xml:space="preserve">人民币（大写）：元整（￥：元整）</w:t>
            </w:r>
            <w:r/>
          </w:p>
        </w:tc>
      </w:tr>
    </w:tbl>
    <w:p>
      <w:pPr>
        <w:ind w:left="178" w:right="105" w:firstLine="400"/>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2.1 卖方应严格按照本合同约定提供设备（或服务）及相应技术服务，上述列表清单未尽事宜，详见本合同附件所约定的设备（或服务）技术参数及要求等具体条款。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3. 交付使用时间：卖方需于本合同生效之日起日内完成交货，交货之日起日内完成相应的安装、调试工作，确保所供物资设备符合本合同约定的质量、数量、技术参数及要求，否则将按照合同约定承担违约责任。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4. 收货人：江苏省产品质量监督检验研究院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5. 交货地点：本次采购采用下列方式供货：卖方送货，完成卸货并搬运至买方指定地点：（）免费安装、调试及验收合格完毕方视为交付买方，在交付买方之前所供货物毁损、灭失的责任均由卖方承担。</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6. 包装要求：全部货物的外包装，必须采用防漏、防潮、防震、防锈、防盗和考虑到可能会发生的野蛮装卸等长途内陆运输及多次装卸之需要。</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7. 付款方式及期限：根据具体情况选择其中一种</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、如遇特殊情况如疫情、突发应急、财务支付周期需要等，经双方协商，可采取款项预付方式，但预付金额不得超过合同金额的50%。</w:t>
      </w:r>
      <w:r/>
    </w:p>
    <w:p>
      <w:pPr>
        <w:ind w:left="178" w:right="105" w:firstLine="366"/>
        <w:spacing w:line="360" w:lineRule="auto"/>
        <w:rPr>
          <w:rFonts w:ascii="宋体" w:hAnsi="宋体"/>
          <w:bCs/>
          <w:color w:val="auto"/>
          <w:szCs w:val="21"/>
          <w:highlight w:val="none"/>
        </w:rPr>
      </w:pPr>
      <w:r>
        <w:rPr>
          <w:rFonts w:hint="eastAsia" w:ascii="宋体" w:hAnsi="宋体"/>
          <w:bCs/>
          <w:color w:val="auto"/>
          <w:szCs w:val="21"/>
          <w:highlight w:val="none"/>
        </w:rPr>
        <w:t xml:space="preserve">因卖方原因没有按期提供银行保函和发票的，致使买方未能及时付款所产生的责任由卖方负责，买方不承担违约责任。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 验收</w:t>
      </w:r>
      <w:r/>
    </w:p>
    <w:p>
      <w:pPr>
        <w:ind w:left="178" w:right="105" w:firstLine="342"/>
        <w:jc w:val="left"/>
        <w:spacing w:line="351" w:lineRule="auto"/>
        <w:tabs>
          <w:tab w:val="left" w:pos="4785" w:leader="none"/>
        </w:tabs>
        <w:rPr>
          <w:rFonts w:eastAsia="宋体"/>
          <w:color w:val="auto"/>
          <w:highlight w:val="none"/>
          <w:lang w:val="en-US"/>
        </w:rPr>
      </w:pPr>
      <w:r>
        <w:rPr>
          <w:rFonts w:hint="eastAsia" w:eastAsia="宋体"/>
          <w:color w:val="auto"/>
          <w:highlight w:val="none"/>
          <w:lang w:val="en-US"/>
        </w:rPr>
        <w:t xml:space="preserve">按照《江苏省政府采购履约验收管理办法》（苏财规〔2024〕7号）文的规定进行验收，政府采购合同约定的履约验收条件达到时，采购人应当在5个工作日内启动履约验收工作，并向供应商发出《政府采购履约验收通知单》</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验收标准及方式：符合相关标准，经使用部门确认填写项目验收报告</w:t>
      </w:r>
      <w:r>
        <w:rPr>
          <w:rFonts w:hint="eastAsia" w:ascii="宋体" w:hAnsi="宋体" w:eastAsia="宋体"/>
          <w:bCs/>
          <w:color w:val="auto"/>
          <w:szCs w:val="21"/>
          <w:highlight w:val="none"/>
          <w:lang w:val="en-US"/>
        </w:rPr>
        <w:t xml:space="preserve">及</w:t>
      </w:r>
      <w:r>
        <w:rPr>
          <w:rFonts w:hint="eastAsia" w:eastAsia="宋体"/>
          <w:color w:val="auto"/>
          <w:highlight w:val="none"/>
          <w:lang w:val="en-US"/>
        </w:rPr>
        <w:t xml:space="preserve">《政府采购履约验收书样表》</w:t>
      </w:r>
      <w:r>
        <w:rPr>
          <w:rFonts w:hint="eastAsia" w:ascii="宋体" w:hAnsi="宋体"/>
          <w:bCs/>
          <w:color w:val="auto"/>
          <w:szCs w:val="21"/>
          <w:highlight w:val="none"/>
        </w:rPr>
        <w:t xml:space="preserve">。</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 质保期及售后服务</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9.1 卖方所供设备、材料及安装的质量保证期：</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9.3 在质保期内，因买方使用不当原因出现设备故障时，卖方在接买方通知后，应在</w:t>
      </w:r>
      <w:r>
        <w:rPr>
          <w:rFonts w:hint="eastAsia" w:ascii="宋体" w:hAnsi="宋体" w:eastAsia="宋体"/>
          <w:bCs/>
          <w:color w:val="auto"/>
          <w:szCs w:val="21"/>
          <w:highlight w:val="none"/>
          <w:lang w:val="en-US"/>
        </w:rPr>
        <w:t xml:space="preserve">9</w:t>
      </w:r>
      <w:r>
        <w:rPr>
          <w:rFonts w:hint="eastAsia" w:ascii="宋体" w:hAnsi="宋体"/>
          <w:bCs/>
          <w:color w:val="auto"/>
          <w:szCs w:val="21"/>
          <w:highlight w:val="none"/>
        </w:rPr>
        <w:t xml:space="preserve">.2条款中所述的时限内赶到买方现场，帮助排除故障、修复或更换零部件，需购买零部件时，酌情收取成本费。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9.4质保期满后，如设备出现故障，卖方在接买方通知后，仍应在上述时间内响应、派人赶到买方现场，帮助排除故障、修复或更换零部件，需购买零部件时，酌情收取成本费。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10. 技术资料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按第章技术规格、参数及其他要求中的要求提供相关资料。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 卖方的违约责任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11.1卖方未按合同规定的质量要求交货，买方有权拒收，由此造成的直接损失和间接损失由卖方赔偿。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11.3 本合同所有货物的制造及安装，都必须由卖方自己或响应文件中明确的单位承担，不得分包给其他单位。否则，买方有权按卖方不能交付或不能完成合同处理。</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 买方的违约责任：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12.1买方应当在收到发票及保函的两个月内支付货款，无正当理由延期付款的，每逾期一日向乙方承担应付未付价款万分之五的违约金。</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13. 卖方供给买方的设备、材料及卖方自己的施工用具，进入买方工地现场后的保管，由卖方负责；卖方在买方工地现场安装、调试、验收人员的安全、保险、食宿、交通由卖方负责。</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14  卖方需配合办理免税进口设备的免税手续。</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15. 合同的生效：本合同一式两份，自买卖双方签字、盖章之日起生效。合同签订后，任何一方无正当理由均不得单方解除合同，否则应按照本合同总价款的30%承担违约责任。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16. 未尽事宜、双方协商解决，并按《中华人民共和国民法典》调整。</w:t>
      </w:r>
      <w:r/>
    </w:p>
    <w:p>
      <w:pPr>
        <w:ind w:left="100" w:right="105" w:firstLine="856"/>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买方：江苏省产品质量监督检验研究院卖方：</w:t>
      </w:r>
      <w:r/>
    </w:p>
    <w:p>
      <w:pPr>
        <w:ind w:left="178" w:right="105" w:firstLine="40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（盖章）（盖章）</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法定代表人：法定代表人或其委托代理人：</w:t>
      </w:r>
      <w:r/>
    </w:p>
    <w:p>
      <w:pPr>
        <w:ind w:left="178" w:right="105"/>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p>
    <w:p>
      <w:pPr>
        <w:ind w:left="178" w:right="105"/>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电话：电话：</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传真：传真：</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地址：南京市光华东街5号地址：</w:t>
      </w:r>
      <w:r/>
    </w:p>
    <w:p>
      <w:pPr>
        <w:rPr>
          <w:rFonts w:ascii="黑体" w:eastAsia="黑体"/>
          <w:color w:val="auto"/>
          <w:sz w:val="36"/>
          <w:szCs w:val="36"/>
          <w:highlight w:val="none"/>
        </w:rPr>
      </w:pPr>
      <w:r/>
      <w:bookmarkStart w:id="16" w:name="_Toc489275682"/>
      <w:r/>
      <w:bookmarkStart w:id="17" w:name="_Toc476063953"/>
      <w:r/>
      <w:bookmarkStart w:id="18" w:name="_Toc479684884"/>
      <w:r/>
      <w:bookmarkStart w:id="19" w:name="_Toc476063952"/>
      <w:r/>
      <w:bookmarkStart w:id="20" w:name="_Toc489275683"/>
      <w:r/>
      <w:bookmarkStart w:id="21" w:name="_Toc479684885"/>
      <w:r/>
      <w:bookmarkStart w:id="22" w:name="_Toc489655320"/>
      <w:r>
        <w:rPr>
          <w:rFonts w:hint="eastAsia" w:ascii="黑体" w:eastAsia="黑体"/>
          <w:color w:val="auto"/>
          <w:sz w:val="36"/>
          <w:szCs w:val="36"/>
          <w:highlight w:val="none"/>
        </w:rPr>
        <w:br w:type="page" w:clear="all"/>
      </w:r>
      <w:r/>
    </w:p>
    <w:p>
      <w:pPr>
        <w:ind w:left="178" w:right="105" w:firstLine="36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第六章 投标文件格式</w:t>
      </w:r>
      <w:r/>
    </w:p>
    <w:p>
      <w:pPr>
        <w:ind w:left="178" w:right="105"/>
        <w:jc w:val="left"/>
        <w:spacing w:line="360" w:lineRule="auto"/>
        <w:widowControl/>
        <w:rPr>
          <w:rFonts w:ascii="宋体" w:hAnsi="宋体"/>
          <w:color w:val="auto"/>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ind w:left="178" w:right="105" w:firstLine="301"/>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105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1"/>
        <w:gridCol w:w="3849"/>
      </w:tblGrid>
      <w:tr>
        <w:trPr>
          <w:trHeight w:val="460"/>
        </w:trPr>
        <w:tc>
          <w:tcPr>
            <w:tcW w:w="6111"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3849"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9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3"/>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4"/>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5"/>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2"/>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bl>
    <w:p>
      <w:pPr>
        <w:ind w:left="178" w:right="105" w:firstLine="321"/>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1107"/>
        <w:ind w:left="178" w:right="105" w:firstLine="321"/>
        <w:rPr>
          <w:rFonts w:ascii="黑体" w:eastAsia="黑体"/>
          <w:b/>
          <w:bCs/>
          <w:color w:val="auto"/>
          <w:szCs w:val="32"/>
          <w:highlight w:val="none"/>
        </w:rPr>
      </w:pPr>
      <w:r>
        <w:rPr>
          <w:rFonts w:ascii="黑体" w:eastAsia="黑体"/>
          <w:b/>
          <w:bCs/>
          <w:color w:val="auto"/>
          <w:szCs w:val="32"/>
          <w:highlight w:val="none"/>
        </w:rPr>
      </w:r>
      <w:r/>
    </w:p>
    <w:p>
      <w:pPr>
        <w:ind w:left="178" w:right="105"/>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bookmarkEnd w:id="16"/>
      <w:r/>
      <w:bookmarkEnd w:id="17"/>
      <w:r/>
      <w:bookmarkEnd w:id="18"/>
      <w:r/>
      <w:bookmarkEnd w:id="19"/>
      <w:r/>
      <w:bookmarkEnd w:id="20"/>
      <w:r/>
      <w:bookmarkEnd w:id="21"/>
      <w:r/>
      <w:bookmarkEnd w:id="22"/>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（一）投标函(格式)：</w:t>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投标函</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致苏美达国际技术贸易有限公司：</w:t>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电话：传真：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通讯地址：邮编：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二</w:t>
      </w:r>
      <w:r>
        <w:rPr>
          <w:rFonts w:hint="eastAsia" w:ascii="宋体" w:hAnsi="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pPr>
      <w:r>
        <w:rPr>
          <w:rFonts w:eastAsia="黑体"/>
          <w:bCs/>
          <w:color w:val="auto"/>
          <w:sz w:val="28"/>
          <w:szCs w:val="28"/>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p>
      <w:pPr>
        <w:ind w:firstLine="46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苏美达国际技术贸易有限公司：</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我公司(单位)对被授权人的签名负全部责任。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被授权人情况：</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姓名：性别：电话：</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3570"/>
        <w:spacing w:line="360" w:lineRule="auto"/>
        <w:rPr>
          <w:rFonts w:ascii="宋体" w:hAnsi="宋体"/>
          <w:bCs/>
          <w:color w:val="auto"/>
          <w:szCs w:val="21"/>
          <w:highlight w:val="none"/>
        </w:rPr>
      </w:pPr>
      <w:r>
        <w:rPr>
          <w:rFonts w:ascii="宋体" w:hAnsi="宋体"/>
          <w:bCs/>
          <w:color w:val="auto"/>
          <w:szCs w:val="21"/>
          <w:highlight w:val="none"/>
        </w:rPr>
      </w:r>
      <w:r/>
    </w:p>
    <w:p>
      <w:pPr>
        <w:ind w:firstLine="357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6350" b="10795"/>
                <wp:docPr id="10" name="文本框 5"/>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9" o:spid="_x0000_s9"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9525" b="10795"/>
                <wp:docPr id="11" name="文本框 6"/>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0" o:spid="_x0000_s10"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1493"/>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0160" b="10795"/>
                <wp:docPr id="12" name="文本框 7"/>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1" o:spid="_x0000_s11"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sz w:val="24"/>
          <w:szCs w:val="24"/>
          <w:highlight w:val="none"/>
        </w:rPr>
        <mc:AlternateContent>
          <mc:Choice Requires="wpg">
            <w:drawing>
              <wp:inline xmlns:wp="http://schemas.openxmlformats.org/drawingml/2006/wordprocessingDrawing" distT="0" distB="0" distL="0" distR="0">
                <wp:extent cx="2397125" cy="1584960"/>
                <wp:effectExtent l="4445" t="4445" r="8255" b="10795"/>
                <wp:docPr id="13" name="文本框 8"/>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2" o:spid="_x0000_s12"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numPr>
          <w:ilvl w:val="0"/>
          <w:numId w:val="7"/>
        </w:numPr>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开标一览表：</w:t>
      </w:r>
      <w:r/>
    </w:p>
    <w:p>
      <w:pPr>
        <w:rPr>
          <w:color w:val="auto"/>
          <w:highlight w:val="none"/>
        </w:rPr>
      </w:pPr>
      <w:r>
        <w:rPr>
          <w:rFonts w:hint="eastAsia" w:ascii="宋体" w:hAnsi="宋体" w:eastAsia="宋体"/>
          <w:color w:val="auto"/>
          <w:sz w:val="24"/>
          <w:highlight w:val="none"/>
          <w:lang w:val="en-US"/>
        </w:rPr>
        <w:t xml:space="preserve">项目名称：项目</w:t>
      </w:r>
      <w:r>
        <w:rPr>
          <w:rFonts w:hint="eastAsia" w:ascii="宋体" w:hAnsi="宋体"/>
          <w:color w:val="auto"/>
          <w:sz w:val="24"/>
          <w:highlight w:val="none"/>
        </w:rPr>
        <w:t xml:space="preserve">编号：</w:t>
      </w:r>
      <w:r/>
    </w:p>
    <w:tbl>
      <w:tblPr>
        <w:tblStyle w:val="1058"/>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1"/>
        <w:gridCol w:w="778"/>
        <w:gridCol w:w="579"/>
        <w:gridCol w:w="880"/>
        <w:gridCol w:w="683"/>
        <w:gridCol w:w="1272"/>
        <w:gridCol w:w="683"/>
        <w:gridCol w:w="778"/>
        <w:gridCol w:w="880"/>
        <w:gridCol w:w="778"/>
        <w:gridCol w:w="705"/>
        <w:gridCol w:w="715"/>
        <w:gridCol w:w="736"/>
      </w:tblGrid>
      <w:tr>
        <w:trPr>
          <w:jc w:val="center"/>
          <w:trHeight w:val="1397"/>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包号/</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品目号</w:t>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产品</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pStyle w:val="1085"/>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型号和</w:t>
            </w:r>
            <w:r/>
          </w:p>
          <w:p>
            <w:pPr>
              <w:pStyle w:val="1085"/>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制造商名称</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和国籍</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货币</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保证金</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交货期</w:t>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是否进口</w:t>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是否小微企业制造</w:t>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11"/>
            <w:tcBorders>
              <w:top w:val="single" w:color="auto" w:sz="4" w:space="0"/>
              <w:left w:val="single" w:color="auto" w:sz="4" w:space="0"/>
              <w:bottom w:val="single" w:color="auto" w:sz="4" w:space="0"/>
              <w:right w:val="single" w:color="auto" w:sz="4" w:space="0"/>
            </w:tcBorders>
            <w:tcW w:w="4365" w:type="pct"/>
            <w:textDirection w:val="lrTb"/>
            <w:noWrap w:val="false"/>
          </w:tcPr>
          <w:p>
            <w:pP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投标总价合计：</w:t>
            </w:r>
            <w:r/>
          </w:p>
        </w:tc>
      </w:tr>
    </w:tbl>
    <w:p>
      <w:pPr>
        <w:ind w:left="178" w:right="105"/>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授权代表(签字):</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日期：</w:t>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rPr>
          <w:color w:val="auto"/>
          <w:highlight w:val="none"/>
        </w:rPr>
      </w:pPr>
      <w:r>
        <w:rPr>
          <w:color w:val="auto"/>
          <w:highlight w:val="none"/>
        </w:rPr>
      </w:r>
      <w:r/>
    </w:p>
    <w:p>
      <w:pPr>
        <w:pStyle w:val="1496"/>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四</w:t>
      </w:r>
      <w:r>
        <w:rPr>
          <w:rFonts w:hint="eastAsia" w:ascii="宋体" w:hAnsi="宋体"/>
          <w:b/>
          <w:color w:val="auto"/>
          <w:sz w:val="24"/>
          <w:szCs w:val="24"/>
          <w:highlight w:val="none"/>
        </w:rPr>
        <w:t xml:space="preserve">）分项报价表 (格式)：</w:t>
      </w:r>
      <w:r/>
    </w:p>
    <w:p>
      <w:pPr>
        <w:jc w:val="center"/>
        <w:spacing w:line="360" w:lineRule="auto"/>
        <w:rPr>
          <w:rFonts w:ascii="宋体" w:hAnsi="宋体" w:eastAsia="宋体"/>
          <w:b/>
          <w:color w:val="auto"/>
          <w:sz w:val="36"/>
          <w:szCs w:val="28"/>
          <w:highlight w:val="none"/>
        </w:rPr>
      </w:pPr>
      <w:r>
        <w:rPr>
          <w:rFonts w:hint="eastAsia" w:ascii="宋体" w:hAnsi="宋体"/>
          <w:b/>
          <w:color w:val="auto"/>
          <w:sz w:val="36"/>
          <w:szCs w:val="28"/>
          <w:highlight w:val="none"/>
        </w:rPr>
        <w:t xml:space="preserve">分项报价表</w:t>
      </w:r>
      <w:r/>
    </w:p>
    <w:p>
      <w:pPr>
        <w:pStyle w:val="1493"/>
        <w:rPr>
          <w:color w:val="auto"/>
          <w:highlight w:val="none"/>
        </w:rPr>
      </w:pPr>
      <w:r>
        <w:rPr>
          <w:color w:val="auto"/>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投标人名称（盖章）招标编号：</w:t>
      </w:r>
      <w:r/>
    </w:p>
    <w:tbl>
      <w:tblPr>
        <w:tblStyle w:val="1058"/>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993"/>
        <w:gridCol w:w="655"/>
        <w:gridCol w:w="1573"/>
        <w:gridCol w:w="1097"/>
        <w:gridCol w:w="655"/>
        <w:gridCol w:w="655"/>
        <w:gridCol w:w="1320"/>
        <w:gridCol w:w="1328"/>
        <w:gridCol w:w="952"/>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原</w:t>
            </w:r>
            <w:r>
              <w:rPr>
                <w:rFonts w:hint="eastAsia" w:ascii="宋体" w:hAnsi="宋体"/>
                <w:bCs/>
                <w:color w:val="auto"/>
                <w:szCs w:val="21"/>
                <w:highlight w:val="none"/>
              </w:rPr>
              <w:t xml:space="preserve">产地</w:t>
            </w:r>
            <w:r>
              <w:rPr>
                <w:rFonts w:hint="eastAsia" w:ascii="宋体" w:hAnsi="宋体" w:eastAsia="宋体"/>
                <w:bCs/>
                <w:color w:val="auto"/>
                <w:szCs w:val="21"/>
                <w:highlight w:val="none"/>
                <w:lang w:val="en-US"/>
              </w:rPr>
              <w:t xml:space="preserve">和制造商名称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eastAsia="宋体"/>
                <w:color w:val="auto"/>
                <w:sz w:val="22"/>
                <w:szCs w:val="22"/>
                <w:highlight w:val="none"/>
              </w:rPr>
            </w:pPr>
            <w:r>
              <w:rPr>
                <w:rFonts w:hint="eastAsia" w:ascii="宋体" w:hAnsi="宋体"/>
                <w:color w:val="auto"/>
                <w:sz w:val="22"/>
                <w:szCs w:val="22"/>
                <w:highlight w:val="none"/>
              </w:rPr>
              <w:t xml:space="preserve">合计</w:t>
            </w:r>
            <w:r/>
          </w:p>
        </w:tc>
      </w:tr>
    </w:tbl>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法定代表人或法定代表人授权代表签字或盖章：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p>
    <w:p>
      <w:pPr>
        <w:pStyle w:val="1497"/>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五</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商务响应偏离表（格式）：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商务响应偏离表</w:t>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1058"/>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pStyle w:val="1498"/>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注：1、投标人应对招标文件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《采购需求》二）商务要求的内容给予逐条响应，若漏项或不逐条应答视为完全响应招标文件的商务条款要求。</w:t>
      </w:r>
      <w:r/>
    </w:p>
    <w:p>
      <w:pPr>
        <w:numPr>
          <w:ilvl w:val="0"/>
          <w:numId w:val="8"/>
        </w:num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“偏离/响应”栏请注明”响应或无偏离/正偏离/负偏离，正偏离指供应商的响应高于招标文件要求，负偏离指供应商的响应低于招标文件要求。</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pStyle w:val="1493"/>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六</w:t>
      </w:r>
      <w:r>
        <w:rPr>
          <w:rFonts w:hint="eastAsia" w:ascii="宋体" w:hAnsi="宋体"/>
          <w:b/>
          <w:color w:val="auto"/>
          <w:sz w:val="24"/>
          <w:szCs w:val="24"/>
          <w:highlight w:val="none"/>
        </w:rPr>
        <w:t xml:space="preserve">）技术响应偏离表（格式）：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技术响应偏离表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1058"/>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440" w:lineRule="exact"/>
        <w:rPr>
          <w:rFonts w:ascii="宋体" w:hAnsi="宋体"/>
          <w:color w:val="auto"/>
          <w:szCs w:val="21"/>
          <w:highlight w:val="none"/>
        </w:rPr>
      </w:pPr>
      <w:r>
        <w:rPr>
          <w:rFonts w:hint="eastAsia" w:ascii="宋体" w:hAnsi="宋体"/>
          <w:bCs/>
          <w:color w:val="auto"/>
          <w:szCs w:val="21"/>
          <w:highlight w:val="none"/>
        </w:rPr>
        <w:t xml:space="preserve">注：</w:t>
      </w:r>
      <w:r>
        <w:rPr>
          <w:rFonts w:hint="eastAsia" w:ascii="宋体" w:hAnsi="宋体"/>
          <w:color w:val="auto"/>
          <w:szCs w:val="21"/>
          <w:highlight w:val="none"/>
        </w:rPr>
        <w:t xml:space="preserve">1、投标人应对招标文件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《采购需求》一）、技术要求”的内容给予逐条响应，若漏项或不逐条应答视为负偏离。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2、“偏离/响应”栏请注明”响应或无偏离/正偏离/负偏离，正偏离指供应商的响应高于招标文件要求，负偏离指供应商的响应低于招标文件要求。</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七</w:t>
      </w:r>
      <w:r>
        <w:rPr>
          <w:rFonts w:hint="eastAsia" w:ascii="宋体" w:hAnsi="宋体"/>
          <w:b/>
          <w:color w:val="auto"/>
          <w:sz w:val="24"/>
          <w:szCs w:val="24"/>
          <w:highlight w:val="none"/>
        </w:rPr>
        <w:t xml:space="preserve">）中小企业声明函（格式）：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 号）的规定，本公司（联合体）参加</w:t>
      </w:r>
      <w:r>
        <w:rPr>
          <w:rFonts w:hint="eastAsia" w:ascii="宋体" w:hAnsi="宋体"/>
          <w:bCs/>
          <w:color w:val="auto"/>
          <w:szCs w:val="21"/>
          <w:highlight w:val="none"/>
          <w:u w:val="single"/>
        </w:rPr>
        <w:t xml:space="preserve">（单位名称）</w:t>
      </w:r>
      <w:r>
        <w:rPr>
          <w:rFonts w:hint="eastAsia" w:ascii="宋体" w:hAnsi="宋体"/>
          <w:bCs/>
          <w:color w:val="auto"/>
          <w:szCs w:val="21"/>
          <w:highlight w:val="none"/>
        </w:rPr>
        <w:t xml:space="preserve">的</w:t>
      </w:r>
      <w:r>
        <w:rPr>
          <w:rFonts w:hint="eastAsia" w:ascii="宋体" w:hAnsi="宋体"/>
          <w:bCs/>
          <w:color w:val="auto"/>
          <w:szCs w:val="21"/>
          <w:highlight w:val="none"/>
          <w:u w:val="single"/>
        </w:rPr>
        <w:t xml:space="preserve">（项目名称）</w:t>
      </w:r>
      <w:r>
        <w:rPr>
          <w:rFonts w:hint="eastAsia" w:ascii="宋体" w:hAnsi="宋体"/>
          <w:bCs/>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 </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企业名称（盖章）：</w:t>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日　　　　　　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八</w:t>
      </w:r>
      <w:r>
        <w:rPr>
          <w:rFonts w:hint="eastAsia" w:ascii="宋体" w:hAnsi="宋体"/>
          <w:b/>
          <w:color w:val="auto"/>
          <w:szCs w:val="21"/>
          <w:highlight w:val="none"/>
        </w:rPr>
        <w:t xml:space="preserve">）残疾人福利性单位声明函（格式）：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bCs/>
          <w:color w:val="auto"/>
          <w:szCs w:val="21"/>
          <w:highlight w:val="none"/>
          <w:u w:val="single"/>
        </w:rPr>
        <w:t xml:space="preserve">项目</w:t>
      </w:r>
      <w:r>
        <w:rPr>
          <w:rFonts w:hint="eastAsia" w:ascii="宋体" w:hAnsi="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本单位对上述声明的真实性负责。如有虚假，将依法承担相应责任。</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单位名称（盖章）：</w:t>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rPr>
          <w:rFonts w:ascii="宋体" w:hAnsi="宋体"/>
          <w:bCs/>
          <w:color w:val="auto"/>
          <w:szCs w:val="21"/>
          <w:highlight w:val="none"/>
        </w:rPr>
      </w:pPr>
      <w:r>
        <w:rPr>
          <w:rFonts w:hint="eastAsia" w:ascii="宋体" w:hAnsi="宋体"/>
          <w:bCs/>
          <w:color w:val="auto"/>
          <w:szCs w:val="21"/>
          <w:highlight w:val="none"/>
        </w:rPr>
        <w:br w:type="page" w:clear="all"/>
      </w:r>
      <w:r/>
    </w:p>
    <w:p>
      <w:pPr>
        <w:ind w:left="120"/>
        <w:spacing w:line="360" w:lineRule="auto"/>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九</w:t>
      </w:r>
      <w:r>
        <w:rPr>
          <w:rFonts w:hint="eastAsia" w:ascii="宋体" w:hAnsi="宋体"/>
          <w:b/>
          <w:color w:val="auto"/>
          <w:szCs w:val="21"/>
          <w:highlight w:val="none"/>
        </w:rPr>
        <w:t xml:space="preserve">）关于符合本国产品标准的声明函（采购包号：**）</w:t>
      </w:r>
      <w:r/>
    </w:p>
    <w:p>
      <w:pPr>
        <w:pStyle w:val="1102"/>
        <w:ind w:firstLine="420"/>
        <w:jc w:val="center"/>
        <w:spacing w:before="0" w:beforeAutospacing="0" w:after="0" w:afterAutospacing="0" w:line="0" w:lineRule="atLeast"/>
        <w:rPr>
          <w:color w:val="auto"/>
          <w:highlight w:val="none"/>
        </w:rPr>
      </w:pPr>
      <w:r>
        <w:rPr>
          <w:rFonts w:hint="eastAsia" w:ascii="宋体" w:hAnsi="宋体" w:cs="宋体"/>
          <w:b/>
          <w:color w:val="auto"/>
          <w:szCs w:val="21"/>
          <w:highlight w:val="none"/>
        </w:rPr>
        <w:t xml:space="preserve">关于符合本国产品标准的声明函（采购包号：**）</w:t>
      </w:r>
      <w:r/>
    </w:p>
    <w:p>
      <w:pPr>
        <w:pStyle w:val="1102"/>
        <w:ind w:firstLine="420"/>
        <w:spacing w:before="0" w:beforeAutospacing="0" w:after="0" w:afterAutospacing="0" w:line="0" w:lineRule="atLeast"/>
        <w:rPr>
          <w:color w:val="auto"/>
          <w:highlight w:val="none"/>
        </w:rPr>
      </w:pPr>
      <w:r>
        <w:rPr>
          <w:color w:val="auto"/>
          <w:highlight w:val="none"/>
        </w:rPr>
      </w:r>
      <w:r/>
    </w:p>
    <w:p>
      <w:pPr>
        <w:pStyle w:val="1102"/>
        <w:ind w:firstLine="420"/>
        <w:spacing w:before="0" w:beforeAutospacing="0" w:after="0" w:afterAutospacing="0" w:line="0" w:lineRule="atLeast"/>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2"/>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4445" b="22225"/>
                <wp:wrapNone/>
                <wp:docPr id="14" name="组合 2"/>
                <wp:cNvGraphicFramePr/>
                <a:graphic xmlns:a="http://schemas.openxmlformats.org/drawingml/2006/main">
                  <a:graphicData uri="http://schemas.microsoft.com/office/word/2010/wordprocessingGroup">
                    <wpg:wgp>
                      <wpg:cNvGrpSpPr/>
                      <wpg:grpSpPr bwMode="auto">
                        <a:xfrm>
                          <a:off x="0" y="0"/>
                          <a:ext cx="5373370" cy="1261110"/>
                          <a:chOff x="2478" y="825258"/>
                          <a:chExt cx="8462" cy="1986"/>
                        </a:xfrm>
                      </wpg:grpSpPr>
                      <wpg:grpSp>
                        <wpg:cNvGrpSpPr/>
                        <wpg:grpSpPr bwMode="auto">
                          <a:xfrm>
                            <a:off x="2478" y="825258"/>
                            <a:ext cx="8462" cy="1987"/>
                            <a:chOff x="2204" y="739950"/>
                            <a:chExt cx="8462" cy="1987"/>
                          </a:xfrm>
                          <a:solidFill>
                            <a:srgbClr val="000000"/>
                          </a:solidFill>
                        </wpg:grpSpPr>
                        <wps:wsp>
                          <wps:cNvPr id="0" name=""/>
                          <wps:cNvSpPr/>
                          <wps:spPr bwMode="auto">
                            <a:xfrm flipV="1">
                              <a:off x="9630" y="73995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1" name=""/>
                          <wps:cNvSpPr/>
                          <wps:spPr bwMode="auto">
                            <a:xfrm flipV="1">
                              <a:off x="5394" y="740261"/>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2" name=""/>
                          <wps:cNvSpPr/>
                          <wps:spPr bwMode="auto">
                            <a:xfrm flipV="1">
                              <a:off x="7086" y="740263"/>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3" name=""/>
                          <wps:cNvSpPr/>
                          <wps:spPr bwMode="auto">
                            <a:xfrm flipV="1">
                              <a:off x="8529" y="740265"/>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4" name=""/>
                          <wps:cNvSpPr/>
                          <wps:spPr bwMode="auto">
                            <a:xfrm flipV="1">
                              <a:off x="2698" y="74060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5" name=""/>
                          <wps:cNvSpPr/>
                          <wps:spPr bwMode="auto">
                            <a:xfrm flipV="1">
                              <a:off x="9215" y="740901"/>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6" name=""/>
                          <wps:cNvSpPr/>
                          <wps:spPr bwMode="auto">
                            <a:xfrm flipV="1">
                              <a:off x="4738" y="741187"/>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7" name=""/>
                          <wps:cNvSpPr/>
                          <wps:spPr bwMode="auto">
                            <a:xfrm flipV="1">
                              <a:off x="6454" y="741224"/>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8" name=""/>
                          <wps:cNvSpPr/>
                          <wps:spPr bwMode="auto">
                            <a:xfrm flipV="1">
                              <a:off x="8073" y="741237"/>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9" name=""/>
                          <wps:cNvSpPr/>
                          <wps:spPr bwMode="auto">
                            <a:xfrm flipV="1">
                              <a:off x="2204" y="74157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10" name=""/>
                          <wps:cNvSpPr/>
                          <wps:spPr bwMode="auto">
                            <a:xfrm flipV="1">
                              <a:off x="4097" y="741605"/>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g:grpSp>
                      <wps:wsp>
                        <wps:cNvPr id="11" name=""/>
                        <wps:cNvSpPr/>
                        <wps:spPr bwMode="auto">
                          <a:xfrm flipV="1">
                            <a:off x="4409" y="825963"/>
                            <a:ext cx="1036" cy="333"/>
                          </a:xfrm>
                          <a:prstGeom prst="line">
                            <a:avLst/>
                          </a:prstGeom>
                          <a:solidFill>
                            <a:srgbClr val="000000"/>
                          </a:solidFill>
                          <a:ln w="25400" cap="flat" cmpd="sng" algn="ctr">
                            <a:solidFill>
                              <a:srgbClr val="4F81BD"/>
                            </a:solidFill>
                            <a:prstDash val="solid"/>
                          </a:ln>
                          <a:effectLst/>
                        </wps:spPr>
                        <wps:bodyPr rot="0">
                          <a:prstTxWarp prst="textNoShape">
                            <a:avLst/>
                          </a:prstTxWarp>
                          <a:noAutofit/>
                        </wps:bodyPr>
                      </wps:wsp>
                    </wpg:wgp>
                  </a:graphicData>
                </a:graphic>
              </wp:anchor>
            </w:drawing>
          </mc:Choice>
          <mc:Fallback>
            <w:pict>
              <v:group id="group 13" o:spid="_x0000_s0000" style="position:absolute;z-index:251666432;o:allowoverlap:true;o:allowincell:true;mso-position-horizontal-relative:text;margin-left:20.9pt;mso-position-horizontal:absolute;mso-position-vertical-relative:text;margin-top:0.8pt;mso-position-vertical:absolute;width:423.1pt;height:99.3pt;mso-wrap-distance-left:9.0pt;mso-wrap-distance-top:0.0pt;mso-wrap-distance-right:9.0pt;mso-wrap-distance-bottom:0.0pt;" coordorigin="24,8252" coordsize="84,19">
                <v:group id="group 14" o:spid="_x0000_s0000" style="position:absolute;left:24;top:8252;width:84;height:19;" coordorigin="22,7399" coordsize="84,19">
                  <v:line id="shape 15" o:spid="_x0000_s15" style="position:absolute;left:0;text-align:left;z-index:251666432;flip:y;visibility:visible;" from="20.9pt,0.8pt" to="444.0pt,100.1pt" fillcolor="#000000" strokecolor="#4F81BD" strokeweight="2.00pt">
                    <v:fill opacity="0f"/>
                    <v:stroke dashstyle="solid"/>
                  </v:line>
                  <v:line id="shape 16" o:spid="_x0000_s16" style="position:absolute;left:0;text-align:left;z-index:251666432;flip:y;visibility:visible;" from="20.9pt,0.8pt" to="444.0pt,100.1pt" fillcolor="#000000" strokecolor="#4F81BD" strokeweight="2.00pt">
                    <v:fill opacity="0f"/>
                    <v:stroke dashstyle="solid"/>
                  </v:line>
                  <v:line id="shape 17" o:spid="_x0000_s17" style="position:absolute;left:0;text-align:left;z-index:251666432;flip:y;visibility:visible;" from="20.9pt,0.8pt" to="444.0pt,100.1pt" fillcolor="#000000" strokecolor="#4F81BD" strokeweight="2.00pt">
                    <v:fill opacity="0f"/>
                    <v:stroke dashstyle="solid"/>
                  </v:line>
                  <v:line id="shape 18" o:spid="_x0000_s18" style="position:absolute;left:0;text-align:left;z-index:251666432;flip:y;visibility:visible;" from="20.9pt,0.8pt" to="444.0pt,100.1pt" fillcolor="#000000" strokecolor="#4F81BD" strokeweight="2.00pt">
                    <v:fill opacity="0f"/>
                    <v:stroke dashstyle="solid"/>
                  </v:line>
                  <v:line id="shape 19" o:spid="_x0000_s19" style="position:absolute;left:0;text-align:left;z-index:251666432;flip:y;visibility:visible;" from="20.9pt,0.8pt" to="444.0pt,100.1pt" fillcolor="#000000" strokecolor="#4F81BD" strokeweight="2.00pt">
                    <v:fill opacity="0f"/>
                    <v:stroke dashstyle="solid"/>
                  </v:line>
                  <v:line id="shape 20" o:spid="_x0000_s20" style="position:absolute;left:0;text-align:left;z-index:251666432;flip:y;visibility:visible;" from="20.9pt,0.8pt" to="444.0pt,100.1pt" fillcolor="#000000" strokecolor="#4F81BD" strokeweight="2.00pt">
                    <v:fill opacity="0f"/>
                    <v:stroke dashstyle="solid"/>
                  </v:line>
                  <v:line id="shape 21" o:spid="_x0000_s21" style="position:absolute;left:0;text-align:left;z-index:251666432;flip:y;visibility:visible;" from="20.9pt,0.8pt" to="444.0pt,100.1pt" fillcolor="#000000" strokecolor="#4F81BD" strokeweight="2.00pt">
                    <v:fill opacity="0f"/>
                    <v:stroke dashstyle="solid"/>
                  </v:line>
                  <v:line id="shape 22" o:spid="_x0000_s22" style="position:absolute;left:0;text-align:left;z-index:251666432;flip:y;visibility:visible;" from="20.9pt,0.8pt" to="444.0pt,100.1pt" fillcolor="#000000" strokecolor="#4F81BD" strokeweight="2.00pt">
                    <v:fill opacity="0f"/>
                    <v:stroke dashstyle="solid"/>
                  </v:line>
                  <v:line id="shape 23" o:spid="_x0000_s23" style="position:absolute;left:0;text-align:left;z-index:251666432;flip:y;visibility:visible;" from="20.9pt,0.8pt" to="444.0pt,100.1pt" fillcolor="#000000" strokecolor="#4F81BD" strokeweight="2.00pt">
                    <v:fill opacity="0f"/>
                    <v:stroke dashstyle="solid"/>
                  </v:line>
                  <v:line id="shape 24" o:spid="_x0000_s24" style="position:absolute;left:0;text-align:left;z-index:251666432;flip:y;visibility:visible;" from="20.9pt,0.8pt" to="444.0pt,100.1pt" fillcolor="#000000" strokecolor="#4F81BD" strokeweight="2.00pt">
                    <v:fill opacity="0f"/>
                    <v:stroke dashstyle="solid"/>
                  </v:line>
                  <v:line id="shape 25" o:spid="_x0000_s25" style="position:absolute;left:0;text-align:left;z-index:251666432;flip:y;visibility:visible;" from="20.9pt,0.8pt" to="444.0pt,100.1pt" fillcolor="#000000" strokecolor="#4F81BD" strokeweight="2.00pt">
                    <v:fill opacity="0f"/>
                    <v:stroke dashstyle="solid"/>
                  </v:line>
                </v:group>
                <v:line id="shape 26" o:spid="_x0000_s26" style="position:absolute;left:0;text-align:left;z-index:251666432;flip:y;visibility:visible;" from="20.9pt,0.8pt" to="444.0pt,100.1pt" fillcolor="#000000" strokecolor="#4F81BD" strokeweight="2.00pt">
                  <v:stroke dashstyle="solid"/>
                </v:line>
              </v:group>
            </w:pict>
          </mc:Fallback>
        </mc:AlternateContent>
      </w:r>
      <w:r>
        <w:rPr>
          <w:rFonts w:hint="eastAsia"/>
          <w:color w:val="auto"/>
          <w:highlight w:val="none"/>
          <w:shd w:val="clear" w:color="auto" w:fill="ffffff"/>
        </w:rPr>
        <w:t xml:space="preserve">1.</w:t>
      </w:r>
      <w:r>
        <w:rPr>
          <w:rStyle w:val="1113"/>
          <w:rFonts w:hint="eastAsia" w:ascii="宋体" w:hAnsi="宋体" w:cs="宋体"/>
          <w:color w:val="auto"/>
          <w:highlight w:val="none"/>
          <w:u w:val="single"/>
          <w:shd w:val="clear" w:color="auto" w:fill="ffffff"/>
        </w:rPr>
        <w:t xml:space="preserve">（产品名称1）</w:t>
      </w:r>
      <w:r>
        <w:rPr>
          <w:rStyle w:val="1113"/>
          <w:rFonts w:hint="eastAsia" w:ascii="宋体" w:hAnsi="宋体" w:cs="宋体"/>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113"/>
          <w:rFonts w:hint="eastAsia" w:ascii="宋体" w:hAnsi="宋体" w:cs="宋体"/>
          <w:color w:val="auto"/>
          <w:highlight w:val="none"/>
          <w:u w:val="single"/>
          <w:shd w:val="clear" w:color="auto" w:fill="ffffff"/>
        </w:rPr>
        <w:t xml:space="preserve">（厂名）</w:t>
      </w:r>
      <w:r>
        <w:rPr>
          <w:rStyle w:val="1113"/>
          <w:rFonts w:hint="eastAsia" w:ascii="宋体" w:hAnsi="宋体" w:cs="宋体"/>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113"/>
          <w:rFonts w:hint="eastAsia" w:ascii="宋体" w:hAnsi="宋体" w:cs="宋体"/>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1113"/>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1113"/>
          <w:rFonts w:hint="eastAsia" w:ascii="宋体" w:hAnsi="宋体" w:cs="宋体"/>
          <w:color w:val="auto"/>
          <w:highlight w:val="none"/>
          <w:u w:val="single"/>
          <w:shd w:val="clear" w:color="auto" w:fill="ffffff"/>
        </w:rPr>
        <w:t xml:space="preserve">（规定比例）</w:t>
      </w:r>
      <w:r>
        <w:rPr>
          <w:rStyle w:val="1113"/>
          <w:rFonts w:hint="eastAsia" w:ascii="宋体" w:hAnsi="宋体" w:cs="宋体"/>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1113"/>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3"/>
          <w:rFonts w:hint="eastAsia" w:ascii="宋体" w:hAnsi="宋体" w:cs="宋体"/>
          <w:color w:val="auto"/>
          <w:highlight w:val="none"/>
          <w:u w:val="single"/>
          <w:shd w:val="clear" w:color="auto" w:fill="ffffff"/>
        </w:rPr>
        <w:t xml:space="preserve">（关键组件）</w:t>
      </w:r>
      <w:r>
        <w:rPr>
          <w:rStyle w:val="1113"/>
          <w:rFonts w:hint="eastAsia" w:ascii="宋体" w:hAnsi="宋体" w:cs="宋体"/>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1113"/>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3"/>
          <w:rFonts w:hint="eastAsia" w:ascii="宋体" w:hAnsi="宋体" w:cs="宋体"/>
          <w:color w:val="auto"/>
          <w:highlight w:val="none"/>
          <w:u w:val="single"/>
          <w:shd w:val="clear" w:color="auto" w:fill="ffffff"/>
        </w:rPr>
        <w:t xml:space="preserve">（关键工序）</w:t>
      </w:r>
      <w:r>
        <w:rPr>
          <w:rStyle w:val="1113"/>
          <w:rFonts w:hint="eastAsia" w:ascii="宋体" w:hAnsi="宋体" w:cs="宋体"/>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102"/>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2.</w:t>
      </w:r>
      <w:r>
        <w:rPr>
          <w:rStyle w:val="1113"/>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1113"/>
          <w:rFonts w:hint="eastAsia" w:ascii="宋体" w:hAnsi="宋体" w:cs="宋体"/>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113"/>
          <w:rFonts w:hint="eastAsia" w:ascii="宋体" w:hAnsi="宋体" w:cs="宋体"/>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1113"/>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1113"/>
          <w:rFonts w:hint="eastAsia" w:ascii="宋体" w:hAnsi="宋体" w:cs="宋体"/>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1113"/>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1113"/>
          <w:rFonts w:hint="eastAsia" w:ascii="宋体" w:hAnsi="宋体" w:cs="宋体"/>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1113"/>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113"/>
          <w:rFonts w:hint="eastAsia" w:ascii="宋体" w:hAnsi="宋体" w:cs="宋体"/>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1102"/>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w:t>
      </w:r>
      <w:r/>
    </w:p>
    <w:p>
      <w:pPr>
        <w:pStyle w:val="1102"/>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102"/>
        <w:spacing w:before="30" w:beforeAutospacing="0" w:after="30" w:afterAutospacing="0" w:line="0" w:lineRule="atLeast"/>
        <w:rPr>
          <w:color w:val="auto"/>
          <w:highlight w:val="none"/>
        </w:rPr>
      </w:pPr>
      <w:r>
        <w:rPr>
          <w:color w:val="auto"/>
          <w:highlight w:val="none"/>
        </w:rPr>
      </w:r>
      <w:r/>
    </w:p>
    <w:p>
      <w:pPr>
        <w:pStyle w:val="1102"/>
        <w:ind w:right="480" w:firstLine="3720"/>
        <w:spacing w:before="30" w:beforeAutospacing="0" w:after="30" w:afterAutospacing="0" w:line="0" w:lineRule="atLeast"/>
        <w:rPr>
          <w:color w:val="auto"/>
          <w:highlight w:val="none"/>
        </w:rPr>
      </w:pPr>
      <w:r>
        <w:rPr>
          <w:rFonts w:hint="eastAsia"/>
          <w:color w:val="auto"/>
          <w:highlight w:val="none"/>
          <w:shd w:val="clear" w:color="auto" w:fill="ffffff"/>
        </w:rPr>
        <w:t xml:space="preserve">公司（单位）名称（盖章）：　        </w:t>
      </w:r>
      <w:r/>
    </w:p>
    <w:p>
      <w:pPr>
        <w:pStyle w:val="1102"/>
        <w:jc w:val="center"/>
        <w:spacing w:before="30" w:beforeAutospacing="0" w:after="30" w:afterAutospacing="0" w:line="0" w:lineRule="atLeast"/>
        <w:rPr>
          <w:color w:val="auto"/>
          <w:highlight w:val="none"/>
        </w:rPr>
      </w:pPr>
      <w:r>
        <w:rPr>
          <w:rFonts w:hint="eastAsia"/>
          <w:color w:val="auto"/>
          <w:highlight w:val="none"/>
          <w:shd w:val="clear" w:color="auto" w:fill="ffffff"/>
        </w:rPr>
        <w:t xml:space="preserve">日期：　   年　  月　  日         </w:t>
      </w:r>
      <w:r/>
    </w:p>
    <w:p>
      <w:pPr>
        <w:pStyle w:val="1102"/>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__________________</w:t>
      </w:r>
      <w:r/>
    </w:p>
    <w:p>
      <w:pPr>
        <w:pStyle w:val="1102"/>
        <w:spacing w:before="30" w:beforeAutospacing="0" w:after="30" w:afterAutospacing="0" w:line="0" w:lineRule="atLeast"/>
        <w:rPr>
          <w:color w:val="auto"/>
          <w:highlight w:val="none"/>
        </w:rPr>
      </w:pPr>
      <w:r>
        <w:rPr>
          <w:rFonts w:hint="eastAsia"/>
          <w:color w:val="auto"/>
          <w:highlight w:val="none"/>
          <w:shd w:val="clear" w:color="auto" w:fill="ffffff"/>
        </w:rPr>
        <w:t xml:space="preserve">1.产品如有型号，请在“产品名称”栏一并填写。</w:t>
      </w:r>
      <w:r/>
    </w:p>
    <w:p>
      <w:pPr>
        <w:pStyle w:val="1102"/>
        <w:spacing w:before="30" w:beforeAutospacing="0" w:after="30" w:afterAutospacing="0" w:line="0" w:lineRule="atLeast"/>
        <w:rPr>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1102"/>
        <w:spacing w:before="30" w:beforeAutospacing="0" w:after="30" w:afterAutospacing="0" w:line="0" w:lineRule="atLeast"/>
        <w:rPr>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1102"/>
        <w:spacing w:before="30" w:beforeAutospacing="0" w:after="30" w:afterAutospacing="0" w:line="0" w:lineRule="atLeast"/>
        <w:rPr>
          <w:color w:val="auto"/>
          <w:highlight w:val="none"/>
        </w:rPr>
      </w:pPr>
      <w:r>
        <w:rPr>
          <w:rFonts w:hint="eastAsia"/>
          <w:color w:val="auto"/>
          <w:highlight w:val="none"/>
          <w:shd w:val="clear" w:color="auto" w:fill="ffffff"/>
        </w:rPr>
        <w:t xml:space="preserve">4.该产品的关键组件要求实施前，“关键组件”栏可不填，下同。</w:t>
      </w:r>
      <w:r/>
    </w:p>
    <w:p>
      <w:pPr>
        <w:pStyle w:val="1102"/>
        <w:spacing w:before="30" w:beforeAutospacing="0" w:after="30" w:afterAutospacing="0" w:line="0" w:lineRule="atLeast"/>
        <w:rPr>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spacing w:line="360" w:lineRule="auto"/>
        <w:tabs>
          <w:tab w:val="left" w:pos="4860" w:leader="none"/>
        </w:tabs>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6.用斜线划除的地方无需填写。</w:t>
      </w:r>
      <w:r/>
    </w:p>
    <w:p>
      <w:pPr>
        <w:rPr>
          <w:rFonts w:ascii="宋体" w:hAnsi="宋体" w:eastAsia="宋体"/>
          <w:b/>
          <w:bCs/>
          <w:color w:val="auto"/>
          <w:highlight w:val="none"/>
          <w:shd w:val="clear" w:color="auto" w:fill="ffffff"/>
        </w:rPr>
      </w:pPr>
      <w:r>
        <w:rPr>
          <w:rFonts w:hint="eastAsia" w:ascii="宋体" w:hAnsi="宋体" w:eastAsia="宋体"/>
          <w:b/>
          <w:bCs/>
          <w:color w:val="auto"/>
          <w:highlight w:val="none"/>
          <w:shd w:val="clear" w:color="auto" w:fill="ffffff"/>
        </w:rPr>
        <w:t xml:space="preserve">适用于采购项目或者采购包中含有多种产品时，不提供或者提供声明的比例达不到要求时，不享受价格扣除)</w:t>
      </w:r>
      <w:r/>
    </w:p>
    <w:p>
      <w:pPr>
        <w:pStyle w:val="1102"/>
        <w:jc w:val="center"/>
        <w:spacing w:before="30" w:after="30" w:line="0" w:lineRule="atLeast"/>
        <w:rPr>
          <w:rFonts w:ascii="宋体" w:hAnsi="宋体" w:eastAsia="宋体"/>
          <w:b/>
          <w:bCs/>
          <w:color w:val="auto"/>
          <w:sz w:val="36"/>
          <w:szCs w:val="36"/>
          <w:highlight w:val="none"/>
          <w:shd w:val="clear" w:color="auto" w:fill="ffffff"/>
        </w:rPr>
      </w:pPr>
      <w:r>
        <w:rPr>
          <w:rFonts w:hint="eastAsia" w:ascii="宋体" w:hAnsi="宋体" w:eastAsia="宋体"/>
          <w:b/>
          <w:bCs/>
          <w:color w:val="auto"/>
          <w:sz w:val="36"/>
          <w:szCs w:val="36"/>
          <w:highlight w:val="none"/>
          <w:shd w:val="clear" w:color="auto" w:fill="ffffff"/>
        </w:rPr>
        <w:t xml:space="preserve">成本比例声明函</w:t>
      </w:r>
      <w:r/>
    </w:p>
    <w:p>
      <w:pPr>
        <w:pStyle w:val="1102"/>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pStyle w:val="1102"/>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本公司(单位)对上述声明内容的真实性负责。如有虚假，愿承担相应法律责任。</w:t>
      </w:r>
      <w:r/>
    </w:p>
    <w:p>
      <w:pPr>
        <w:pStyle w:val="1102"/>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公司(单位)名称(盖章):</w:t>
      </w:r>
      <w:r/>
    </w:p>
    <w:p>
      <w:pPr>
        <w:pStyle w:val="1102"/>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日期:年月日</w:t>
      </w:r>
      <w:r/>
    </w:p>
    <w:p>
      <w:pPr>
        <w:pStyle w:val="1102"/>
        <w:spacing w:before="30" w:after="30" w:line="360" w:lineRule="auto"/>
        <w:rPr>
          <w:rFonts w:ascii="宋体" w:hAnsi="宋体" w:eastAsia="宋体"/>
          <w:color w:val="auto"/>
          <w:highlight w:val="none"/>
          <w:shd w:val="clear" w:color="auto" w:fill="ffffff"/>
        </w:rPr>
      </w:pPr>
      <w:r>
        <w:rPr>
          <w:rFonts w:ascii="宋体" w:hAnsi="宋体" w:eastAsia="宋体"/>
          <w:color w:val="auto"/>
          <w:highlight w:val="none"/>
          <w:shd w:val="clear" w:color="auto" w:fill="ffffff"/>
        </w:rPr>
      </w:r>
      <w:r/>
    </w:p>
    <w:p>
      <w:pPr>
        <w:spacing w:line="360" w:lineRule="auto"/>
        <w:tabs>
          <w:tab w:val="left" w:pos="4860" w:leader="none"/>
        </w:tabs>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color w:val="auto"/>
          <w:highlight w:val="none"/>
          <w:shd w:val="clear" w:color="auto" w:fill="ffffff"/>
          <w:lang w:val="en-US"/>
        </w:rPr>
        <w:t xml:space="preserve">(含)</w:t>
      </w:r>
      <w:r>
        <w:rPr>
          <w:rFonts w:hint="eastAsia" w:ascii="宋体" w:hAnsi="宋体" w:eastAsia="宋体"/>
          <w:color w:val="auto"/>
          <w:highlight w:val="none"/>
          <w:shd w:val="clear" w:color="auto" w:fill="ffffff"/>
        </w:rPr>
        <w:t xml:space="preserve">以上时，依法对该供应商提供的全部产品给予价格评审优惠即对该供应商提供的全部产品的总报价给予20%的价格扣除，用扣除后的价格参与评审。</w:t>
      </w:r>
      <w:r/>
    </w:p>
    <w:p>
      <w:pPr>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br w:type="page" w:clear="all"/>
      </w:r>
      <w:r/>
    </w:p>
    <w:p>
      <w:pPr>
        <w:jc w:val="left"/>
        <w:spacing w:line="560" w:lineRule="exact"/>
        <w:widowControl/>
        <w:rPr>
          <w:rFonts w:ascii="Times New Roman" w:hAnsi="Times New Roman" w:eastAsia="方正仿宋_GBK" w:cs="Times New Roman"/>
          <w:color w:val="auto"/>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附件1</w:t>
      </w:r>
      <w:r/>
    </w:p>
    <w:p>
      <w:pPr>
        <w:jc w:val="center"/>
        <w:spacing w:line="560" w:lineRule="exact"/>
        <w:widowControl/>
        <w:rPr>
          <w:rFonts w:ascii="方正小标宋简体" w:hAnsi="Arial" w:eastAsia="方正小标宋简体" w:cs="Arial"/>
          <w:color w:val="auto"/>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政府采购履约验收通知单（参考样本）</w:t>
      </w:r>
      <w:r/>
    </w:p>
    <w:p>
      <w:pPr>
        <w:ind w:left="118"/>
        <w:jc w:val="left"/>
        <w:spacing w:before="67" w:line="560" w:lineRule="exact"/>
        <w:widowControl/>
        <w:rPr>
          <w:rFonts w:ascii="仿宋_GB2312" w:hAnsi="Arial" w:eastAsia="仿宋_GB2312" w:cs="Arial"/>
          <w:color w:val="auto"/>
          <w:sz w:val="24"/>
          <w:szCs w:val="31"/>
          <w:highlight w:val="none"/>
        </w:rPr>
      </w:pPr>
      <w:r>
        <w:rPr>
          <w:rFonts w:hint="eastAsia" w:ascii="仿宋_GB2312" w:hAnsi="Arial" w:eastAsia="仿宋_GB2312" w:cs="Arial"/>
          <w:color w:val="auto"/>
          <w:spacing w:val="5"/>
          <w:sz w:val="24"/>
          <w:szCs w:val="31"/>
          <w:highlight w:val="none"/>
        </w:rPr>
        <w:t xml:space="preserve">供应商：</w:t>
      </w:r>
      <w:r/>
    </w:p>
    <w:tbl>
      <w:tblPr>
        <w:tblStyle w:val="1058"/>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4"/>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1"/>
                <w:sz w:val="24"/>
                <w:highlight w:val="none"/>
              </w:rPr>
              <w:t xml:space="preserve">履约验收方案及工作要求</w:t>
            </w:r>
            <w:r/>
          </w:p>
        </w:tc>
      </w:tr>
      <w:tr>
        <w:trPr>
          <w:trHeight w:val="7570"/>
        </w:trPr>
        <w:tc>
          <w:tcPr>
            <w:gridSpan w:val="4"/>
            <w:tcBorders>
              <w:top w:val="single" w:color="000000" w:sz="2" w:space="0"/>
              <w:left w:val="single" w:color="000000" w:sz="2" w:space="0"/>
              <w:bottom w:val="single" w:color="000000" w:sz="2" w:space="0"/>
              <w:right w:val="single" w:color="000000" w:sz="2" w:space="0"/>
            </w:tcBorders>
            <w:tcW w:w="9319" w:type="dxa"/>
            <w:textDirection w:val="lrTb"/>
            <w:noWrap w:val="false"/>
          </w:tcPr>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100" w:right="1890" w:firstLine="5192"/>
              <w:jc w:val="left"/>
              <w:spacing w:before="91" w:line="560" w:lineRule="exact"/>
              <w:widowControl/>
              <w:rPr>
                <w:rFonts w:ascii="黑体" w:hAnsi="黑体" w:eastAsia="黑体" w:cs="Arial"/>
                <w:color w:val="auto"/>
                <w:spacing w:val="-2"/>
                <w:sz w:val="24"/>
                <w:highlight w:val="none"/>
              </w:rPr>
            </w:pPr>
            <w:r>
              <w:rPr>
                <w:rFonts w:hint="eastAsia" w:ascii="黑体" w:hAnsi="黑体" w:eastAsia="黑体" w:cs="Arial"/>
                <w:color w:val="auto"/>
                <w:spacing w:val="-2"/>
                <w:sz w:val="24"/>
                <w:highlight w:val="none"/>
              </w:rPr>
              <w:t xml:space="preserve">单位公章</w:t>
            </w:r>
            <w:r/>
          </w:p>
          <w:p>
            <w:pPr>
              <w:ind w:left="5545" w:right="1890" w:hanging="561"/>
              <w:jc w:val="left"/>
              <w:spacing w:before="91" w:line="560" w:lineRule="exact"/>
              <w:widowControl/>
              <w:rPr>
                <w:rFonts w:ascii="黑体" w:hAnsi="黑体" w:eastAsia="黑体" w:cs="Arial"/>
                <w:color w:val="auto"/>
                <w:sz w:val="24"/>
                <w:highlight w:val="none"/>
              </w:rPr>
            </w:pPr>
            <w:r>
              <w:rPr>
                <w:rFonts w:hint="eastAsia" w:ascii="黑体" w:hAnsi="黑体" w:eastAsia="黑体" w:cs="Arial"/>
                <w:color w:val="auto"/>
                <w:spacing w:val="-10"/>
                <w:sz w:val="24"/>
                <w:highlight w:val="none"/>
              </w:rPr>
              <w:t xml:space="preserve">年月日</w:t>
            </w:r>
            <w:r/>
          </w:p>
        </w:tc>
      </w:tr>
    </w:tbl>
    <w:p>
      <w:pPr>
        <w:numPr>
          <w:ilvl w:val="255"/>
          <w:numId w:val="0"/>
        </w:numPr>
        <w:ind w:right="108"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jc w:val="left"/>
        <w:spacing w:before="318" w:line="560" w:lineRule="exact"/>
        <w:widowControl/>
        <w:rPr>
          <w:rFonts w:ascii="Times New Roman" w:hAnsi="Times New Roman" w:eastAsia="方正仿宋_GBK" w:cs="Times New Roman"/>
          <w:color w:val="auto"/>
          <w:spacing w:val="-4"/>
          <w:sz w:val="31"/>
          <w:szCs w:val="31"/>
          <w:highlight w:val="none"/>
        </w:rPr>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outlineLvl w:val="0"/>
      </w:pPr>
      <w:r>
        <w:rPr>
          <w:rFonts w:ascii="Times New Roman" w:hAnsi="Times New Roman" w:eastAsia="方正仿宋_GBK" w:cs="Times New Roman"/>
          <w:color w:val="auto"/>
          <w:spacing w:val="-4"/>
          <w:sz w:val="31"/>
          <w:szCs w:val="31"/>
          <w:highlight w:val="none"/>
        </w:rPr>
      </w:r>
      <w:r/>
    </w:p>
    <w:p>
      <w:pPr>
        <w:jc w:val="left"/>
        <w:spacing w:before="318" w:line="560" w:lineRule="exact"/>
        <w:widowControl/>
        <w:rPr>
          <w:rFonts w:ascii="Times New Roman" w:hAnsi="Times New Roman" w:eastAsia="方正仿宋_GBK" w:cs="Times New Roman"/>
          <w:color w:val="auto"/>
          <w:spacing w:val="-4"/>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附件2-1</w:t>
      </w:r>
      <w:r/>
    </w:p>
    <w:p>
      <w:pPr>
        <w:jc w:val="center"/>
        <w:spacing w:line="560" w:lineRule="exact"/>
        <w:rPr>
          <w:rFonts w:ascii="方正小标宋简体" w:hAnsi="Arial" w:eastAsia="方正小标宋简体" w:cs="Arial"/>
          <w:color w:val="auto"/>
          <w:spacing w:val="9"/>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政府采购履约验收书参考样本(货物类）</w:t>
      </w:r>
      <w:r/>
    </w:p>
    <w:tbl>
      <w:tblPr>
        <w:tblStyle w:val="1058"/>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是□否□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共分期（段），此为第期（段）验收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□自行简易验收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技术、性能指标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运行状况及安装调试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售后服务</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合同履约</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存在问题和</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供应商确认：</w:t>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（单位公章或授权代表签字）</w:t>
            </w:r>
            <w:r/>
          </w:p>
        </w:tc>
      </w:tr>
    </w:tbl>
    <w:p>
      <w:pPr>
        <w:ind w:firstLine="270"/>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说明</w:t>
      </w:r>
      <w:r>
        <w:rPr>
          <w:rFonts w:ascii="宋体" w:hAnsi="宋体"/>
          <w:color w:val="auto"/>
          <w:sz w:val="18"/>
          <w:szCs w:val="18"/>
          <w:highlight w:val="none"/>
        </w:rPr>
        <w:t xml:space="preserve">:1.</w:t>
      </w:r>
      <w:r>
        <w:rPr>
          <w:rFonts w:hint="eastAsia" w:ascii="宋体" w:hAnsi="宋体"/>
          <w:color w:val="auto"/>
          <w:sz w:val="18"/>
          <w:szCs w:val="18"/>
          <w:highlight w:val="none"/>
        </w:rPr>
        <w:t xml:space="preserve">该表为货物类项目履约验收的参考样表，可以根据工作实际进行调整。</w:t>
      </w:r>
      <w:r/>
    </w:p>
    <w:p>
      <w:pPr>
        <w:ind w:right="105" w:firstLine="40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7"/>
      <w:footerReference w:type="first" r:id="rId18"/>
      <w:footnotePr/>
      <w:endnotePr/>
      <w:type w:val="nextPage"/>
      <w:pgSz w:w="16838" w:h="11906" w:orient="landscape"/>
      <w:pgMar w:top="1083" w:right="1440" w:bottom="1083" w:left="1440"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方正仿宋_GBK">
    <w:panose1 w:val="020B0503020202020204"/>
  </w:font>
  <w:font w:name="Symbol">
    <w:panose1 w:val="05050102010706020507"/>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pPr>
                          <w:r>
                            <w:fldChar w:fldCharType="begin"/>
                          </w:r>
                          <w:r>
                            <w:instrText xml:space="preserve"> PAGE  \* MERGEFORMAT </w:instrText>
                          </w:r>
                          <w:r>
                            <w:fldChar w:fldCharType="separate"/>
                          </w:r>
                          <w:r>
                            <w:t xml:space="preserve">28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11"/>
      </w:rPr>
      <w:framePr w:wrap="around" w:vAnchor="text" w:hAnchor="margin" w:xAlign="center" w:y="1"/>
    </w:pPr>
    <w:r>
      <w:fldChar w:fldCharType="begin"/>
    </w:r>
    <w:r>
      <w:rPr>
        <w:rStyle w:val="1111"/>
      </w:rPr>
      <w:instrText xml:space="preserve">PAGE  </w:instrText>
    </w:r>
    <w:r>
      <w:fldChar w:fldCharType="separate"/>
    </w:r>
    <w:r>
      <w:rPr>
        <w:rStyle w:val="1111"/>
      </w:rPr>
      <w:t xml:space="preserve">1</w:t>
    </w:r>
    <w:r>
      <w:fldChar w:fldCharType="end"/>
    </w:r>
    <w:r/>
  </w:p>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3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36</w:t>
                    </w:r>
                    <w:r>
                      <w:rPr>
                        <w:rFonts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48</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8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47</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6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2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1"/>
      <w:numFmt w:val="decimal"/>
      <w:pStyle w:val="126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5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45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85"/>
      <w:isLgl w:val="false"/>
      <w:suff w:val="tab"/>
      <w:lvlText w:val="%1"/>
      <w:lvlJc w:val="left"/>
      <w:pPr>
        <w:ind w:left="567" w:hanging="567"/>
        <w:tabs>
          <w:tab w:val="left" w:pos="567" w:leader="none"/>
        </w:tabs>
      </w:pPr>
      <w:rPr>
        <w:rFonts w:hint="eastAsia"/>
      </w:rPr>
    </w:lvl>
    <w:lvl w:ilvl="1">
      <w:start w:val="1"/>
      <w:numFmt w:val="decimal"/>
      <w:pStyle w:val="1328"/>
      <w:isLgl w:val="false"/>
      <w:suff w:val="tab"/>
      <w:lvlText w:val="%1.%2"/>
      <w:lvlJc w:val="left"/>
      <w:pPr>
        <w:ind w:left="567" w:hanging="283"/>
        <w:tabs>
          <w:tab w:val="left" w:pos="1004" w:leader="none"/>
        </w:tabs>
      </w:pPr>
      <w:rPr>
        <w:rFonts w:hint="eastAsia"/>
      </w:rPr>
    </w:lvl>
    <w:lvl w:ilvl="2">
      <w:start w:val="1"/>
      <w:numFmt w:val="decimal"/>
      <w:pStyle w:val="132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57"/>
    <w:link w:val="1048"/>
    <w:uiPriority w:val="9"/>
    <w:rPr>
      <w:rFonts w:ascii="Arial" w:hAnsi="Arial" w:eastAsia="Arial" w:cs="Arial"/>
      <w:sz w:val="40"/>
      <w:szCs w:val="40"/>
    </w:rPr>
  </w:style>
  <w:style w:type="character" w:styleId="903">
    <w:name w:val="Heading 2 Char"/>
    <w:basedOn w:val="1057"/>
    <w:link w:val="1049"/>
    <w:uiPriority w:val="9"/>
    <w:rPr>
      <w:rFonts w:ascii="Arial" w:hAnsi="Arial" w:eastAsia="Arial" w:cs="Arial"/>
      <w:sz w:val="34"/>
    </w:rPr>
  </w:style>
  <w:style w:type="character" w:styleId="904">
    <w:name w:val="Heading 3 Char"/>
    <w:basedOn w:val="1057"/>
    <w:link w:val="1050"/>
    <w:uiPriority w:val="9"/>
    <w:rPr>
      <w:rFonts w:ascii="Arial" w:hAnsi="Arial" w:eastAsia="Arial" w:cs="Arial"/>
      <w:sz w:val="30"/>
      <w:szCs w:val="30"/>
    </w:rPr>
  </w:style>
  <w:style w:type="character" w:styleId="905">
    <w:name w:val="Heading 4 Char"/>
    <w:basedOn w:val="1057"/>
    <w:link w:val="1051"/>
    <w:uiPriority w:val="9"/>
    <w:rPr>
      <w:rFonts w:ascii="Arial" w:hAnsi="Arial" w:eastAsia="Arial" w:cs="Arial"/>
      <w:b/>
      <w:bCs/>
      <w:sz w:val="26"/>
      <w:szCs w:val="26"/>
    </w:rPr>
  </w:style>
  <w:style w:type="character" w:styleId="906">
    <w:name w:val="Heading 5 Char"/>
    <w:basedOn w:val="1057"/>
    <w:link w:val="1052"/>
    <w:uiPriority w:val="9"/>
    <w:rPr>
      <w:rFonts w:ascii="Arial" w:hAnsi="Arial" w:eastAsia="Arial" w:cs="Arial"/>
      <w:b/>
      <w:bCs/>
      <w:sz w:val="24"/>
      <w:szCs w:val="24"/>
    </w:rPr>
  </w:style>
  <w:style w:type="character" w:styleId="907">
    <w:name w:val="Heading 6 Char"/>
    <w:basedOn w:val="1057"/>
    <w:link w:val="1053"/>
    <w:uiPriority w:val="9"/>
    <w:rPr>
      <w:rFonts w:ascii="Arial" w:hAnsi="Arial" w:eastAsia="Arial" w:cs="Arial"/>
      <w:b/>
      <w:bCs/>
      <w:sz w:val="22"/>
      <w:szCs w:val="22"/>
    </w:rPr>
  </w:style>
  <w:style w:type="character" w:styleId="908">
    <w:name w:val="Heading 7 Char"/>
    <w:basedOn w:val="1057"/>
    <w:link w:val="1054"/>
    <w:uiPriority w:val="9"/>
    <w:rPr>
      <w:rFonts w:ascii="Arial" w:hAnsi="Arial" w:eastAsia="Arial" w:cs="Arial"/>
      <w:b/>
      <w:bCs/>
      <w:i/>
      <w:iCs/>
      <w:sz w:val="22"/>
      <w:szCs w:val="22"/>
    </w:rPr>
  </w:style>
  <w:style w:type="character" w:styleId="909">
    <w:name w:val="Heading 8 Char"/>
    <w:basedOn w:val="1057"/>
    <w:link w:val="1055"/>
    <w:uiPriority w:val="9"/>
    <w:rPr>
      <w:rFonts w:ascii="Arial" w:hAnsi="Arial" w:eastAsia="Arial" w:cs="Arial"/>
      <w:i/>
      <w:iCs/>
      <w:sz w:val="22"/>
      <w:szCs w:val="22"/>
    </w:rPr>
  </w:style>
  <w:style w:type="character" w:styleId="910">
    <w:name w:val="Heading 9 Char"/>
    <w:basedOn w:val="1057"/>
    <w:link w:val="1056"/>
    <w:uiPriority w:val="9"/>
    <w:rPr>
      <w:rFonts w:ascii="Arial" w:hAnsi="Arial" w:eastAsia="Arial" w:cs="Arial"/>
      <w:i/>
      <w:iCs/>
      <w:sz w:val="21"/>
      <w:szCs w:val="21"/>
    </w:rPr>
  </w:style>
  <w:style w:type="character" w:styleId="911">
    <w:name w:val="Title Char"/>
    <w:basedOn w:val="1057"/>
    <w:link w:val="1104"/>
    <w:uiPriority w:val="10"/>
    <w:rPr>
      <w:sz w:val="48"/>
      <w:szCs w:val="48"/>
    </w:rPr>
  </w:style>
  <w:style w:type="character" w:styleId="912">
    <w:name w:val="Subtitle Char"/>
    <w:basedOn w:val="1057"/>
    <w:link w:val="1091"/>
    <w:uiPriority w:val="11"/>
    <w:rPr>
      <w:sz w:val="24"/>
      <w:szCs w:val="24"/>
    </w:rPr>
  </w:style>
  <w:style w:type="character" w:styleId="913">
    <w:name w:val="Quote Char"/>
    <w:link w:val="1180"/>
    <w:uiPriority w:val="29"/>
    <w:rPr>
      <w:i/>
    </w:rPr>
  </w:style>
  <w:style w:type="character" w:styleId="914">
    <w:name w:val="Intense Quote Char"/>
    <w:link w:val="1164"/>
    <w:uiPriority w:val="30"/>
    <w:rPr>
      <w:i/>
    </w:rPr>
  </w:style>
  <w:style w:type="character" w:styleId="915">
    <w:name w:val="Header Char"/>
    <w:basedOn w:val="1057"/>
    <w:link w:val="1085"/>
    <w:uiPriority w:val="99"/>
  </w:style>
  <w:style w:type="character" w:styleId="916">
    <w:name w:val="Footer Char"/>
    <w:basedOn w:val="1057"/>
    <w:link w:val="1083"/>
    <w:uiPriority w:val="99"/>
  </w:style>
  <w:style w:type="paragraph" w:styleId="917">
    <w:name w:val="Caption"/>
    <w:basedOn w:val="1047"/>
    <w:next w:val="1047"/>
    <w:uiPriority w:val="35"/>
    <w:semiHidden/>
    <w:unhideWhenUsed/>
    <w:qFormat/>
    <w:pPr>
      <w:spacing w:line="276" w:lineRule="auto"/>
    </w:pPr>
    <w:rPr>
      <w:b/>
      <w:bCs/>
      <w:color w:val="4f81bd" w:themeColor="accent1"/>
      <w:sz w:val="18"/>
      <w:szCs w:val="18"/>
    </w:rPr>
  </w:style>
  <w:style w:type="character" w:styleId="918">
    <w:name w:val="Caption Char"/>
    <w:basedOn w:val="917"/>
    <w:link w:val="1083"/>
    <w:uiPriority w:val="99"/>
  </w:style>
  <w:style w:type="table" w:styleId="919">
    <w:name w:val="Table Grid Light"/>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0">
    <w:name w:val="Plain Table 1"/>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2"/>
    <w:basedOn w:val="10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3"/>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name w:val="Plain Table 4"/>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name w:val="Plain Table 5"/>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5">
    <w:name w:val="Grid Table 1 Light"/>
    <w:basedOn w:val="10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6">
    <w:name w:val="Grid Table 1 Light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7">
    <w:name w:val="Grid Table 1 Light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8">
    <w:name w:val="Grid Table 1 Light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9">
    <w:name w:val="Grid Table 1 Light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0">
    <w:name w:val="Grid Table 1 Light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1">
    <w:name w:val="Grid Table 1 Light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2">
    <w:name w:val="Grid Table 2"/>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3">
    <w:name w:val="Grid Table 2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4">
    <w:name w:val="Grid Table 2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2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2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2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8">
    <w:name w:val="Grid Table 2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9">
    <w:name w:val="Grid Table 3"/>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4"/>
    <w:basedOn w:val="10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name w:val="Grid Table 4 - Accent 1"/>
    <w:basedOn w:val="10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8">
    <w:name w:val="Grid Table 4 - Accent 2"/>
    <w:basedOn w:val="10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9">
    <w:name w:val="Grid Table 4 - Accent 3"/>
    <w:basedOn w:val="10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0">
    <w:name w:val="Grid Table 4 - Accent 4"/>
    <w:basedOn w:val="10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1">
    <w:name w:val="Grid Table 4 - Accent 5"/>
    <w:basedOn w:val="10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2">
    <w:name w:val="Grid Table 4 - Accent 6"/>
    <w:basedOn w:val="10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3">
    <w:name w:val="Grid Table 5 Dark"/>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4">
    <w:name w:val="Grid Table 5 Dark- Accent 1"/>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5">
    <w:name w:val="Grid Table 5 Dark - Accent 2"/>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6">
    <w:name w:val="Grid Table 5 Dark - Accent 3"/>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7">
    <w:name w:val="Grid Table 5 Dark- Accent 4"/>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8">
    <w:name w:val="Grid Table 5 Dark - Accent 5"/>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9">
    <w:name w:val="Grid Table 5 Dark - Accent 6"/>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0">
    <w:name w:val="Grid Table 6 Colorful"/>
    <w:basedOn w:val="10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6 Colorful - Accent 1"/>
    <w:basedOn w:val="10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2">
    <w:name w:val="Grid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3">
    <w:name w:val="Grid Table 6 Colorful - Accent 3"/>
    <w:basedOn w:val="10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4">
    <w:name w:val="Grid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5">
    <w:name w:val="Grid Table 6 Colorful - Accent 5"/>
    <w:basedOn w:val="10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6 Colorful - Accent 6"/>
    <w:basedOn w:val="10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7 Colorful"/>
    <w:basedOn w:val="10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8">
    <w:name w:val="Grid Table 7 Colorful - Accent 1"/>
    <w:basedOn w:val="10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9">
    <w:name w:val="Grid Table 7 Colorful - Accent 2"/>
    <w:basedOn w:val="10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7 Colorful - Accent 3"/>
    <w:basedOn w:val="10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7 Colorful - Accent 4"/>
    <w:basedOn w:val="10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7 Colorful - Accent 5"/>
    <w:basedOn w:val="10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3">
    <w:name w:val="Grid Table 7 Colorful - Accent 6"/>
    <w:basedOn w:val="10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4">
    <w:name w:val="List Table 1 Light"/>
    <w:basedOn w:val="10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1 Light - Accent 1"/>
    <w:basedOn w:val="10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6">
    <w:name w:val="List Table 1 Light - Accent 2"/>
    <w:basedOn w:val="10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7">
    <w:name w:val="List Table 1 Light - Accent 3"/>
    <w:basedOn w:val="10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8">
    <w:name w:val="List Table 1 Light - Accent 4"/>
    <w:basedOn w:val="10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9">
    <w:name w:val="List Table 1 Light - Accent 5"/>
    <w:basedOn w:val="10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0">
    <w:name w:val="List Table 1 Light - Accent 6"/>
    <w:basedOn w:val="10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1">
    <w:name w:val="List Table 2"/>
    <w:basedOn w:val="10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2 - Accent 1"/>
    <w:basedOn w:val="10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3">
    <w:name w:val="List Table 2 - Accent 2"/>
    <w:basedOn w:val="10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4">
    <w:name w:val="List Table 2 - Accent 3"/>
    <w:basedOn w:val="10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5">
    <w:name w:val="List Table 2 - Accent 4"/>
    <w:basedOn w:val="10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6">
    <w:name w:val="List Table 2 - Accent 5"/>
    <w:basedOn w:val="10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7">
    <w:name w:val="List Table 2 - Accent 6"/>
    <w:basedOn w:val="10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8">
    <w:name w:val="List Table 3"/>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3 - Accent 1"/>
    <w:basedOn w:val="10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3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1">
    <w:name w:val="List Table 3 - Accent 3"/>
    <w:basedOn w:val="10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2">
    <w:name w:val="List Table 3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3">
    <w:name w:val="List Table 3 - Accent 5"/>
    <w:basedOn w:val="10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4">
    <w:name w:val="List Table 3 - Accent 6"/>
    <w:basedOn w:val="10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5">
    <w:name w:val="List Table 4"/>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4 - Accent 1"/>
    <w:basedOn w:val="10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4 - Accent 2"/>
    <w:basedOn w:val="10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8">
    <w:name w:val="List Table 4 - Accent 3"/>
    <w:basedOn w:val="10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9">
    <w:name w:val="List Table 4 - Accent 4"/>
    <w:basedOn w:val="10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0">
    <w:name w:val="List Table 4 - Accent 5"/>
    <w:basedOn w:val="10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1">
    <w:name w:val="List Table 4 - Accent 6"/>
    <w:basedOn w:val="10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2">
    <w:name w:val="List Table 5 Dark"/>
    <w:basedOn w:val="10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1"/>
    <w:basedOn w:val="10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2"/>
    <w:basedOn w:val="10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3"/>
    <w:basedOn w:val="10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4"/>
    <w:basedOn w:val="10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5"/>
    <w:basedOn w:val="10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6"/>
    <w:basedOn w:val="10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6 Colorful"/>
    <w:basedOn w:val="10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0">
    <w:name w:val="List Table 6 Colorful - Accent 1"/>
    <w:basedOn w:val="10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1">
    <w:name w:val="List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2">
    <w:name w:val="List Table 6 Colorful - Accent 3"/>
    <w:basedOn w:val="10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3">
    <w:name w:val="List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4">
    <w:name w:val="List Table 6 Colorful - Accent 5"/>
    <w:basedOn w:val="10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5">
    <w:name w:val="List Table 6 Colorful - Accent 6"/>
    <w:basedOn w:val="10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6">
    <w:name w:val="List Table 7 Colorful"/>
    <w:basedOn w:val="10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7">
    <w:name w:val="List Table 7 Colorful - Accent 1"/>
    <w:basedOn w:val="10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8">
    <w:name w:val="List Table 7 Colorful - Accent 2"/>
    <w:basedOn w:val="10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9">
    <w:name w:val="List Table 7 Colorful - Accent 3"/>
    <w:basedOn w:val="10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0">
    <w:name w:val="List Table 7 Colorful - Accent 4"/>
    <w:basedOn w:val="10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1">
    <w:name w:val="List Table 7 Colorful - Accent 5"/>
    <w:basedOn w:val="10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2">
    <w:name w:val="List Table 7 Colorful - Accent 6"/>
    <w:basedOn w:val="10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3">
    <w:name w:val="Lined - Accent"/>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Lined - Accent 1"/>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Lined - Accent 2"/>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Lined - Accent 3"/>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Lined - Accent 4"/>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Lined - Accent 5"/>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Lined - Accent 6"/>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amp; Lined - Accent"/>
    <w:basedOn w:val="10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Bordered &amp; Lined - Accent 1"/>
    <w:basedOn w:val="10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Bordered &amp; Lined - Accent 2"/>
    <w:basedOn w:val="10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Bordered &amp; Lined - Accent 3"/>
    <w:basedOn w:val="10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Bordered &amp; Lined - Accent 4"/>
    <w:basedOn w:val="10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Bordered &amp; Lined - Accent 5"/>
    <w:basedOn w:val="10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Bordered &amp; Lined - Accent 6"/>
    <w:basedOn w:val="10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w:basedOn w:val="10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8">
    <w:name w:val="Bordered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9">
    <w:name w:val="Bordered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0">
    <w:name w:val="Bordered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1">
    <w:name w:val="Bordered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2">
    <w:name w:val="Bordered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3">
    <w:name w:val="Bordered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4">
    <w:name w:val="Footnote Text Char"/>
    <w:link w:val="1092"/>
    <w:uiPriority w:val="99"/>
    <w:rPr>
      <w:sz w:val="18"/>
    </w:rPr>
  </w:style>
  <w:style w:type="character" w:styleId="1045">
    <w:name w:val="Endnote Text Char"/>
    <w:link w:val="1081"/>
    <w:uiPriority w:val="99"/>
    <w:rPr>
      <w:sz w:val="20"/>
    </w:rPr>
  </w:style>
  <w:style w:type="paragraph" w:styleId="1046">
    <w:name w:val="TOC Heading"/>
    <w:uiPriority w:val="39"/>
    <w:unhideWhenUsed/>
  </w:style>
  <w:style w:type="paragraph" w:styleId="1047" w:default="1">
    <w:name w:val="Normal"/>
    <w:uiPriority w:val="0"/>
    <w:qFormat/>
    <w:pPr>
      <w:jc w:val="both"/>
      <w:widowControl w:val="off"/>
    </w:pPr>
    <w:rPr>
      <w:rFonts w:ascii="Calibri" w:hAnsi="Calibri" w:eastAsia="Calibri" w:cs="宋体"/>
      <w:lang w:val="zh-CN" w:eastAsia="zh-CN" w:bidi="ar-SA"/>
    </w:rPr>
  </w:style>
  <w:style w:type="paragraph" w:styleId="1048">
    <w:name w:val="Heading 1"/>
    <w:basedOn w:val="1047"/>
    <w:next w:val="1047"/>
    <w:link w:val="1123"/>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49">
    <w:name w:val="Heading 2"/>
    <w:basedOn w:val="1047"/>
    <w:next w:val="1047"/>
    <w:link w:val="1124"/>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50">
    <w:name w:val="Heading 3"/>
    <w:basedOn w:val="1047"/>
    <w:next w:val="1047"/>
    <w:link w:val="122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51">
    <w:name w:val="Heading 4"/>
    <w:basedOn w:val="1047"/>
    <w:next w:val="1047"/>
    <w:link w:val="1126"/>
    <w:uiPriority w:val="0"/>
    <w:qFormat/>
    <w:pPr>
      <w:keepLines/>
      <w:keepNext/>
      <w:spacing w:before="120" w:after="120"/>
      <w:outlineLvl w:val="3"/>
    </w:pPr>
    <w:rPr>
      <w:rFonts w:ascii="Arial" w:hAnsi="Arial" w:eastAsia="黑体" w:cs="Times New Roman"/>
      <w:b/>
      <w:sz w:val="28"/>
      <w:lang w:val="en-US"/>
    </w:rPr>
  </w:style>
  <w:style w:type="paragraph" w:styleId="1052">
    <w:name w:val="Heading 5"/>
    <w:basedOn w:val="1047"/>
    <w:next w:val="1059"/>
    <w:link w:val="1127"/>
    <w:uiPriority w:val="0"/>
    <w:qFormat/>
    <w:pPr>
      <w:keepNext/>
      <w:outlineLvl w:val="4"/>
    </w:pPr>
    <w:rPr>
      <w:rFonts w:ascii="黑体" w:eastAsia="黑体" w:cs="Times New Roman"/>
      <w:b/>
      <w:color w:val="000000"/>
      <w:sz w:val="28"/>
      <w:lang w:val="en-US"/>
    </w:rPr>
  </w:style>
  <w:style w:type="paragraph" w:styleId="1053">
    <w:name w:val="Heading 6"/>
    <w:basedOn w:val="1047"/>
    <w:next w:val="1047"/>
    <w:link w:val="112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54">
    <w:name w:val="Heading 7"/>
    <w:basedOn w:val="1047"/>
    <w:next w:val="1047"/>
    <w:link w:val="1129"/>
    <w:uiPriority w:val="0"/>
    <w:qFormat/>
    <w:pPr>
      <w:keepLines/>
      <w:keepNext/>
      <w:spacing w:before="240" w:after="64" w:line="320" w:lineRule="auto"/>
      <w:outlineLvl w:val="6"/>
    </w:pPr>
    <w:rPr>
      <w:rFonts w:eastAsia="宋体" w:cs="Times New Roman"/>
      <w:b/>
      <w:bCs/>
      <w:sz w:val="24"/>
      <w:szCs w:val="24"/>
      <w:lang w:val="en-US"/>
    </w:rPr>
  </w:style>
  <w:style w:type="paragraph" w:styleId="1055">
    <w:name w:val="Heading 8"/>
    <w:basedOn w:val="1047"/>
    <w:next w:val="1047"/>
    <w:link w:val="113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56">
    <w:name w:val="Heading 9"/>
    <w:basedOn w:val="1047"/>
    <w:next w:val="1047"/>
    <w:link w:val="1131"/>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57" w:default="1">
    <w:name w:val="Default Paragraph Font"/>
    <w:uiPriority w:val="1"/>
    <w:semiHidden/>
    <w:unhideWhenUsed/>
    <w:qFormat/>
  </w:style>
  <w:style w:type="table" w:styleId="1058" w:default="1">
    <w:name w:val="Normal Table"/>
    <w:uiPriority w:val="99"/>
    <w:semiHidden/>
    <w:unhideWhenUsed/>
    <w:qFormat/>
    <w:tblPr>
      <w:tblCellMar>
        <w:left w:w="108" w:type="dxa"/>
        <w:top w:w="0" w:type="dxa"/>
        <w:right w:w="108" w:type="dxa"/>
        <w:bottom w:w="0" w:type="dxa"/>
      </w:tblCellMar>
    </w:tblPr>
  </w:style>
  <w:style w:type="paragraph" w:styleId="1059">
    <w:name w:val="Normal Indent"/>
    <w:basedOn w:val="1047"/>
    <w:next w:val="1047"/>
    <w:uiPriority w:val="0"/>
    <w:qFormat/>
    <w:pPr>
      <w:ind w:firstLine="420"/>
    </w:pPr>
  </w:style>
  <w:style w:type="paragraph" w:styleId="1060">
    <w:name w:val="List 3"/>
    <w:basedOn w:val="1047"/>
    <w:uiPriority w:val="0"/>
    <w:qFormat/>
    <w:pPr>
      <w:ind w:left="1260" w:hanging="420"/>
    </w:pPr>
  </w:style>
  <w:style w:type="paragraph" w:styleId="1061">
    <w:name w:val="toc 7"/>
    <w:basedOn w:val="1047"/>
    <w:next w:val="1047"/>
    <w:uiPriority w:val="0"/>
    <w:semiHidden/>
    <w:qFormat/>
    <w:pPr>
      <w:ind w:left="1260"/>
      <w:jc w:val="left"/>
    </w:pPr>
    <w:rPr>
      <w:sz w:val="18"/>
    </w:rPr>
  </w:style>
  <w:style w:type="paragraph" w:styleId="1062">
    <w:name w:val="List Number 2"/>
    <w:basedOn w:val="1047"/>
    <w:uiPriority w:val="0"/>
    <w:qFormat/>
    <w:pPr>
      <w:ind w:left="1440" w:hanging="1440"/>
      <w:spacing w:line="360" w:lineRule="auto"/>
      <w:tabs>
        <w:tab w:val="left" w:pos="1440" w:leader="none"/>
      </w:tabs>
    </w:pPr>
    <w:rPr>
      <w:sz w:val="24"/>
      <w:szCs w:val="24"/>
    </w:rPr>
  </w:style>
  <w:style w:type="paragraph" w:styleId="1063">
    <w:name w:val="index 8"/>
    <w:basedOn w:val="1047"/>
    <w:next w:val="1047"/>
    <w:uiPriority w:val="0"/>
    <w:semiHidden/>
    <w:qFormat/>
    <w:pPr>
      <w:ind w:left="2940"/>
    </w:pPr>
  </w:style>
  <w:style w:type="paragraph" w:styleId="1064">
    <w:name w:val="List Number"/>
    <w:basedOn w:val="1047"/>
    <w:uiPriority w:val="0"/>
    <w:qFormat/>
    <w:pPr>
      <w:ind w:left="2952" w:hanging="432"/>
      <w:tabs>
        <w:tab w:val="left" w:pos="2952" w:leader="none"/>
      </w:tabs>
    </w:pPr>
    <w:rPr>
      <w:szCs w:val="24"/>
    </w:rPr>
  </w:style>
  <w:style w:type="paragraph" w:styleId="1065">
    <w:name w:val="index 5"/>
    <w:basedOn w:val="1047"/>
    <w:next w:val="1047"/>
    <w:uiPriority w:val="0"/>
    <w:semiHidden/>
    <w:qFormat/>
    <w:pPr>
      <w:ind w:left="1680"/>
    </w:pPr>
  </w:style>
  <w:style w:type="paragraph" w:styleId="1066">
    <w:name w:val="Document Map"/>
    <w:basedOn w:val="1047"/>
    <w:link w:val="1170"/>
    <w:uiPriority w:val="0"/>
    <w:semiHidden/>
    <w:qFormat/>
    <w:pPr>
      <w:shd w:val="clear" w:color="auto" w:fill="000080"/>
    </w:pPr>
    <w:rPr>
      <w:rFonts w:eastAsia="宋体" w:asciiTheme="minorHAnsi" w:hAnsiTheme="minorHAnsi" w:cstheme="minorBidi"/>
      <w:sz w:val="21"/>
      <w:szCs w:val="22"/>
      <w:lang w:val="en-US"/>
    </w:rPr>
  </w:style>
  <w:style w:type="paragraph" w:styleId="1067">
    <w:name w:val="annotation text"/>
    <w:basedOn w:val="1047"/>
    <w:link w:val="1288"/>
    <w:uiPriority w:val="99"/>
    <w:unhideWhenUsed/>
    <w:qFormat/>
    <w:pPr>
      <w:jc w:val="left"/>
    </w:pPr>
  </w:style>
  <w:style w:type="paragraph" w:styleId="1068">
    <w:name w:val="index 6"/>
    <w:basedOn w:val="1047"/>
    <w:next w:val="1047"/>
    <w:uiPriority w:val="0"/>
    <w:semiHidden/>
    <w:qFormat/>
    <w:pPr>
      <w:ind w:left="2100"/>
    </w:pPr>
  </w:style>
  <w:style w:type="paragraph" w:styleId="1069">
    <w:name w:val="Salutation"/>
    <w:basedOn w:val="1047"/>
    <w:next w:val="1047"/>
    <w:link w:val="1330"/>
    <w:uiPriority w:val="0"/>
    <w:qFormat/>
    <w:rPr>
      <w:rFonts w:ascii="仿宋_GB2312" w:eastAsia="仿宋_GB2312"/>
      <w:sz w:val="28"/>
    </w:rPr>
  </w:style>
  <w:style w:type="paragraph" w:styleId="1070">
    <w:name w:val="Body Text 3"/>
    <w:basedOn w:val="1047"/>
    <w:link w:val="1320"/>
    <w:uiPriority w:val="0"/>
    <w:qFormat/>
    <w:rPr>
      <w:rFonts w:ascii="仿宋_GB2312" w:hAnsi="Arial" w:eastAsia="仿宋_GB2312"/>
      <w:sz w:val="32"/>
    </w:rPr>
  </w:style>
  <w:style w:type="paragraph" w:styleId="1071">
    <w:name w:val="Body Text"/>
    <w:basedOn w:val="1047"/>
    <w:next w:val="1047"/>
    <w:link w:val="1272"/>
    <w:uiPriority w:val="0"/>
    <w:unhideWhenUsed/>
    <w:qFormat/>
    <w:pPr>
      <w:spacing w:after="120"/>
    </w:pPr>
  </w:style>
  <w:style w:type="paragraph" w:styleId="1072">
    <w:name w:val="Body Text Indent"/>
    <w:basedOn w:val="1047"/>
    <w:link w:val="1211"/>
    <w:uiPriority w:val="0"/>
    <w:qFormat/>
    <w:pPr>
      <w:ind w:firstLine="645"/>
    </w:pPr>
    <w:rPr>
      <w:rFonts w:ascii="楷体_GB2312" w:eastAsia="楷体_GB2312" w:hAnsiTheme="minorHAnsi" w:cstheme="minorBidi"/>
      <w:sz w:val="32"/>
      <w:szCs w:val="22"/>
      <w:lang w:val="en-US"/>
    </w:rPr>
  </w:style>
  <w:style w:type="paragraph" w:styleId="1073">
    <w:name w:val="index 4"/>
    <w:basedOn w:val="1047"/>
    <w:next w:val="1047"/>
    <w:uiPriority w:val="0"/>
    <w:semiHidden/>
    <w:qFormat/>
    <w:pPr>
      <w:ind w:left="1260"/>
    </w:pPr>
  </w:style>
  <w:style w:type="paragraph" w:styleId="1074">
    <w:name w:val="toc 5"/>
    <w:basedOn w:val="1047"/>
    <w:next w:val="1047"/>
    <w:uiPriority w:val="0"/>
    <w:semiHidden/>
    <w:qFormat/>
    <w:pPr>
      <w:ind w:left="840"/>
      <w:jc w:val="left"/>
    </w:pPr>
    <w:rPr>
      <w:sz w:val="18"/>
    </w:rPr>
  </w:style>
  <w:style w:type="paragraph" w:styleId="1075">
    <w:name w:val="toc 3"/>
    <w:basedOn w:val="1047"/>
    <w:next w:val="1047"/>
    <w:uiPriority w:val="0"/>
    <w:semiHidden/>
    <w:qFormat/>
    <w:pPr>
      <w:ind w:left="420"/>
      <w:jc w:val="left"/>
    </w:pPr>
    <w:rPr>
      <w:i/>
    </w:rPr>
  </w:style>
  <w:style w:type="paragraph" w:styleId="1076">
    <w:name w:val="Plain Text"/>
    <w:basedOn w:val="1047"/>
    <w:link w:val="1198"/>
    <w:uiPriority w:val="0"/>
    <w:qFormat/>
    <w:rPr>
      <w:rFonts w:ascii="宋体" w:hAnsi="Courier New" w:eastAsia="宋体" w:cstheme="minorBidi"/>
      <w:sz w:val="21"/>
      <w:szCs w:val="22"/>
      <w:lang w:val="en-US"/>
    </w:rPr>
  </w:style>
  <w:style w:type="paragraph" w:styleId="1077">
    <w:name w:val="toc 8"/>
    <w:basedOn w:val="1047"/>
    <w:next w:val="1047"/>
    <w:uiPriority w:val="0"/>
    <w:semiHidden/>
    <w:qFormat/>
    <w:pPr>
      <w:ind w:left="1470"/>
      <w:jc w:val="left"/>
    </w:pPr>
    <w:rPr>
      <w:sz w:val="18"/>
    </w:rPr>
  </w:style>
  <w:style w:type="paragraph" w:styleId="1078">
    <w:name w:val="index 3"/>
    <w:basedOn w:val="1047"/>
    <w:next w:val="1047"/>
    <w:uiPriority w:val="0"/>
    <w:semiHidden/>
    <w:qFormat/>
    <w:pPr>
      <w:ind w:left="840"/>
    </w:pPr>
  </w:style>
  <w:style w:type="paragraph" w:styleId="1079">
    <w:name w:val="Date"/>
    <w:basedOn w:val="1047"/>
    <w:next w:val="1047"/>
    <w:link w:val="1302"/>
    <w:uiPriority w:val="0"/>
    <w:qFormat/>
    <w:pPr>
      <w:ind w:left="100"/>
    </w:pPr>
    <w:rPr>
      <w:sz w:val="28"/>
    </w:rPr>
  </w:style>
  <w:style w:type="paragraph" w:styleId="1080">
    <w:name w:val="Body Text Indent 2"/>
    <w:basedOn w:val="1047"/>
    <w:link w:val="1167"/>
    <w:uiPriority w:val="0"/>
    <w:qFormat/>
    <w:pPr>
      <w:ind w:left="630" w:firstLine="645"/>
    </w:pPr>
    <w:rPr>
      <w:rFonts w:ascii="Arial" w:hAnsi="Arial" w:eastAsia="仿宋_GB2312" w:cstheme="minorBidi"/>
      <w:sz w:val="32"/>
      <w:szCs w:val="22"/>
      <w:lang w:val="en-US"/>
    </w:rPr>
  </w:style>
  <w:style w:type="paragraph" w:styleId="1081">
    <w:name w:val="endnote text"/>
    <w:basedOn w:val="1047"/>
    <w:link w:val="1325"/>
    <w:uiPriority w:val="0"/>
    <w:qFormat/>
    <w:pPr>
      <w:jc w:val="left"/>
    </w:pPr>
    <w:rPr>
      <w:szCs w:val="24"/>
    </w:rPr>
  </w:style>
  <w:style w:type="paragraph" w:styleId="1082">
    <w:name w:val="Balloon Text"/>
    <w:basedOn w:val="1047"/>
    <w:link w:val="1240"/>
    <w:uiPriority w:val="0"/>
    <w:semiHidden/>
    <w:qFormat/>
    <w:rPr>
      <w:sz w:val="18"/>
      <w:szCs w:val="18"/>
    </w:rPr>
  </w:style>
  <w:style w:type="paragraph" w:styleId="1083">
    <w:name w:val="Footer"/>
    <w:basedOn w:val="1047"/>
    <w:link w:val="1238"/>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84">
    <w:name w:val="envelope return"/>
    <w:basedOn w:val="1047"/>
    <w:uiPriority w:val="99"/>
    <w:unhideWhenUsed/>
    <w:qFormat/>
    <w:rPr>
      <w:rFonts w:ascii="Arial" w:hAnsi="Arial"/>
    </w:rPr>
  </w:style>
  <w:style w:type="paragraph" w:styleId="1085">
    <w:name w:val="Header"/>
    <w:basedOn w:val="1047"/>
    <w:link w:val="1322"/>
    <w:uiPriority w:val="0"/>
    <w:qFormat/>
    <w:pPr>
      <w:jc w:val="center"/>
      <w:tabs>
        <w:tab w:val="center" w:pos="4153" w:leader="none"/>
        <w:tab w:val="right" w:pos="8306" w:leader="none"/>
      </w:tabs>
      <w:pBdr>
        <w:bottom w:val="single" w:color="auto" w:sz="6" w:space="1"/>
      </w:pBdr>
    </w:pPr>
    <w:rPr>
      <w:sz w:val="18"/>
    </w:rPr>
  </w:style>
  <w:style w:type="paragraph" w:styleId="1086">
    <w:name w:val="Signature"/>
    <w:basedOn w:val="1047"/>
    <w:link w:val="1306"/>
    <w:uiPriority w:val="0"/>
    <w:qFormat/>
    <w:pPr>
      <w:jc w:val="center"/>
      <w:spacing w:after="600" w:line="312" w:lineRule="atLeast"/>
    </w:pPr>
    <w:rPr>
      <w:rFonts w:eastAsia="仿宋_GB2312"/>
      <w:sz w:val="24"/>
    </w:rPr>
  </w:style>
  <w:style w:type="paragraph" w:styleId="1087">
    <w:name w:val="toc 1"/>
    <w:basedOn w:val="1047"/>
    <w:next w:val="1047"/>
    <w:uiPriority w:val="0"/>
    <w:semiHidden/>
    <w:qFormat/>
    <w:pPr>
      <w:jc w:val="left"/>
      <w:spacing w:before="120" w:after="120"/>
    </w:pPr>
    <w:rPr>
      <w:b/>
      <w:caps/>
    </w:rPr>
  </w:style>
  <w:style w:type="paragraph" w:styleId="1088">
    <w:name w:val="toc 4"/>
    <w:basedOn w:val="1047"/>
    <w:next w:val="1047"/>
    <w:uiPriority w:val="0"/>
    <w:semiHidden/>
    <w:qFormat/>
    <w:pPr>
      <w:ind w:left="630"/>
      <w:jc w:val="left"/>
    </w:pPr>
    <w:rPr>
      <w:sz w:val="18"/>
    </w:rPr>
  </w:style>
  <w:style w:type="paragraph" w:styleId="1089">
    <w:name w:val="index heading"/>
    <w:basedOn w:val="1047"/>
    <w:next w:val="1090"/>
    <w:uiPriority w:val="0"/>
    <w:semiHidden/>
    <w:qFormat/>
  </w:style>
  <w:style w:type="paragraph" w:styleId="1090">
    <w:name w:val="index 1"/>
    <w:basedOn w:val="1047"/>
    <w:next w:val="1047"/>
    <w:uiPriority w:val="0"/>
    <w:semiHidden/>
    <w:qFormat/>
    <w:rPr>
      <w:rFonts w:ascii="仿宋_GB2312" w:hAnsi="宋体" w:eastAsia="仿宋_GB2312"/>
      <w:sz w:val="30"/>
      <w:szCs w:val="24"/>
    </w:rPr>
  </w:style>
  <w:style w:type="paragraph" w:styleId="1091">
    <w:name w:val="Subtitle"/>
    <w:basedOn w:val="1047"/>
    <w:next w:val="1047"/>
    <w:link w:val="1299"/>
    <w:uiPriority w:val="0"/>
    <w:qFormat/>
    <w:pPr>
      <w:jc w:val="left"/>
      <w:spacing w:after="600" w:line="276" w:lineRule="auto"/>
      <w:widowControl/>
    </w:pPr>
    <w:rPr>
      <w:rFonts w:ascii="Cambria" w:hAnsi="Cambria"/>
      <w:i/>
      <w:iCs/>
      <w:spacing w:val="13"/>
      <w:sz w:val="24"/>
      <w:szCs w:val="24"/>
      <w:lang w:eastAsia="en-US" w:bidi="en-US"/>
    </w:rPr>
  </w:style>
  <w:style w:type="paragraph" w:styleId="1092">
    <w:name w:val="footnote text"/>
    <w:basedOn w:val="1047"/>
    <w:link w:val="1257"/>
    <w:uiPriority w:val="0"/>
    <w:qFormat/>
    <w:pPr>
      <w:jc w:val="left"/>
    </w:pPr>
    <w:rPr>
      <w:sz w:val="18"/>
      <w:szCs w:val="18"/>
    </w:rPr>
  </w:style>
  <w:style w:type="paragraph" w:styleId="1093">
    <w:name w:val="toc 6"/>
    <w:basedOn w:val="1047"/>
    <w:next w:val="1047"/>
    <w:uiPriority w:val="0"/>
    <w:semiHidden/>
    <w:qFormat/>
    <w:pPr>
      <w:ind w:left="1050"/>
      <w:jc w:val="left"/>
    </w:pPr>
    <w:rPr>
      <w:sz w:val="18"/>
    </w:rPr>
  </w:style>
  <w:style w:type="paragraph" w:styleId="1094">
    <w:name w:val="Body Text Indent 3"/>
    <w:basedOn w:val="1047"/>
    <w:link w:val="1209"/>
    <w:uiPriority w:val="0"/>
    <w:qFormat/>
    <w:pPr>
      <w:ind w:left="645" w:firstLine="645"/>
    </w:pPr>
    <w:rPr>
      <w:rFonts w:ascii="Arial" w:hAnsi="Arial" w:eastAsia="仿宋_GB2312" w:cstheme="minorBidi"/>
      <w:color w:val="ffff00"/>
      <w:sz w:val="32"/>
      <w:szCs w:val="22"/>
      <w:lang w:val="en-US"/>
    </w:rPr>
  </w:style>
  <w:style w:type="paragraph" w:styleId="1095">
    <w:name w:val="index 7"/>
    <w:basedOn w:val="1047"/>
    <w:next w:val="1047"/>
    <w:uiPriority w:val="0"/>
    <w:semiHidden/>
    <w:qFormat/>
    <w:pPr>
      <w:ind w:left="2520"/>
    </w:pPr>
  </w:style>
  <w:style w:type="paragraph" w:styleId="1096">
    <w:name w:val="index 9"/>
    <w:basedOn w:val="1047"/>
    <w:next w:val="1047"/>
    <w:uiPriority w:val="0"/>
    <w:semiHidden/>
    <w:qFormat/>
    <w:pPr>
      <w:ind w:left="3360"/>
    </w:pPr>
  </w:style>
  <w:style w:type="paragraph" w:styleId="1097">
    <w:name w:val="table of figures"/>
    <w:basedOn w:val="1047"/>
    <w:next w:val="1047"/>
    <w:uiPriority w:val="0"/>
    <w:semiHidden/>
    <w:qFormat/>
    <w:pPr>
      <w:ind w:left="840" w:hanging="420"/>
    </w:pPr>
  </w:style>
  <w:style w:type="paragraph" w:styleId="1098">
    <w:name w:val="toc 2"/>
    <w:basedOn w:val="1047"/>
    <w:next w:val="1047"/>
    <w:uiPriority w:val="0"/>
    <w:semiHidden/>
    <w:qFormat/>
    <w:pPr>
      <w:ind w:left="210"/>
      <w:jc w:val="left"/>
    </w:pPr>
    <w:rPr>
      <w:smallCaps/>
    </w:rPr>
  </w:style>
  <w:style w:type="paragraph" w:styleId="1099">
    <w:name w:val="toc 9"/>
    <w:basedOn w:val="1047"/>
    <w:next w:val="1047"/>
    <w:uiPriority w:val="0"/>
    <w:semiHidden/>
    <w:qFormat/>
    <w:pPr>
      <w:ind w:left="1680"/>
      <w:jc w:val="left"/>
    </w:pPr>
    <w:rPr>
      <w:sz w:val="18"/>
    </w:rPr>
  </w:style>
  <w:style w:type="paragraph" w:styleId="1100">
    <w:name w:val="Body Text 2"/>
    <w:basedOn w:val="1047"/>
    <w:link w:val="1244"/>
    <w:uiPriority w:val="0"/>
    <w:qFormat/>
    <w:pPr>
      <w:jc w:val="center"/>
      <w:widowControl/>
    </w:pPr>
    <w:rPr>
      <w:rFonts w:ascii="楷体_GB2312" w:eastAsia="楷体_GB2312"/>
      <w:sz w:val="28"/>
    </w:rPr>
  </w:style>
  <w:style w:type="paragraph" w:styleId="1101">
    <w:name w:val="HTML Preformatted"/>
    <w:basedOn w:val="1047"/>
    <w:link w:val="11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1102">
    <w:name w:val="Normal (Web)"/>
    <w:basedOn w:val="1047"/>
    <w:uiPriority w:val="0"/>
    <w:qFormat/>
    <w:pPr>
      <w:jc w:val="left"/>
      <w:spacing w:before="100" w:beforeAutospacing="1" w:after="100" w:afterAutospacing="1"/>
      <w:widowControl/>
    </w:pPr>
    <w:rPr>
      <w:rFonts w:ascii="Arial" w:hAnsi="Arial" w:eastAsia="Arial Unicode MS" w:cs="Arial"/>
      <w:sz w:val="24"/>
      <w:szCs w:val="24"/>
    </w:rPr>
  </w:style>
  <w:style w:type="paragraph" w:styleId="1103">
    <w:name w:val="index 2"/>
    <w:basedOn w:val="1047"/>
    <w:next w:val="1047"/>
    <w:uiPriority w:val="0"/>
    <w:semiHidden/>
    <w:qFormat/>
    <w:pPr>
      <w:ind w:left="420"/>
    </w:pPr>
  </w:style>
  <w:style w:type="paragraph" w:styleId="1104">
    <w:name w:val="Title"/>
    <w:basedOn w:val="1047"/>
    <w:link w:val="1146"/>
    <w:uiPriority w:val="0"/>
    <w:qFormat/>
    <w:pPr>
      <w:jc w:val="center"/>
      <w:spacing w:line="420" w:lineRule="exact"/>
      <w:widowControl/>
    </w:pPr>
    <w:rPr>
      <w:rFonts w:eastAsia="黑体" w:asciiTheme="minorHAnsi" w:hAnsiTheme="minorHAnsi" w:cstheme="minorBidi"/>
      <w:b/>
      <w:sz w:val="28"/>
      <w:szCs w:val="22"/>
      <w:lang w:val="en-GB"/>
    </w:rPr>
  </w:style>
  <w:style w:type="paragraph" w:styleId="1105">
    <w:name w:val="annotation subject"/>
    <w:basedOn w:val="1067"/>
    <w:next w:val="1067"/>
    <w:link w:val="1202"/>
    <w:uiPriority w:val="0"/>
    <w:semiHidden/>
    <w:qFormat/>
    <w:rPr>
      <w:rFonts w:eastAsia="宋体" w:asciiTheme="minorHAnsi" w:hAnsiTheme="minorHAnsi" w:cstheme="minorBidi"/>
      <w:b/>
      <w:bCs/>
      <w:sz w:val="21"/>
      <w:szCs w:val="22"/>
      <w:lang w:val="en-US"/>
    </w:rPr>
  </w:style>
  <w:style w:type="paragraph" w:styleId="1106">
    <w:name w:val="Body Text First Indent"/>
    <w:basedOn w:val="1071"/>
    <w:link w:val="1273"/>
    <w:uiPriority w:val="0"/>
    <w:qFormat/>
    <w:pPr>
      <w:ind w:firstLine="420"/>
    </w:pPr>
    <w:rPr>
      <w:rFonts w:ascii="Times New Roman" w:hAnsi="Times New Roman" w:eastAsia="宋体"/>
      <w:sz w:val="21"/>
      <w:szCs w:val="24"/>
    </w:rPr>
  </w:style>
  <w:style w:type="paragraph" w:styleId="1107">
    <w:name w:val="Body Text First Indent 2"/>
    <w:basedOn w:val="1072"/>
    <w:uiPriority w:val="0"/>
    <w:qFormat/>
    <w:pPr>
      <w:ind w:firstLine="420"/>
    </w:pPr>
  </w:style>
  <w:style w:type="table" w:styleId="1108">
    <w:name w:val="Table Grid"/>
    <w:basedOn w:val="10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9">
    <w:name w:val="Strong"/>
    <w:uiPriority w:val="0"/>
    <w:qFormat/>
    <w:rPr>
      <w:b/>
      <w:bCs/>
    </w:rPr>
  </w:style>
  <w:style w:type="character" w:styleId="1110">
    <w:name w:val="endnote reference"/>
    <w:uiPriority w:val="0"/>
    <w:qFormat/>
    <w:rPr>
      <w:vertAlign w:val="superscript"/>
    </w:rPr>
  </w:style>
  <w:style w:type="character" w:styleId="1111">
    <w:name w:val="page number"/>
    <w:basedOn w:val="1057"/>
    <w:uiPriority w:val="0"/>
    <w:qFormat/>
  </w:style>
  <w:style w:type="character" w:styleId="1112">
    <w:name w:val="FollowedHyperlink"/>
    <w:uiPriority w:val="0"/>
    <w:qFormat/>
    <w:rPr>
      <w:color w:val="800080"/>
      <w:u w:val="single"/>
    </w:rPr>
  </w:style>
  <w:style w:type="character" w:styleId="1113">
    <w:name w:val="Emphasis"/>
    <w:uiPriority w:val="0"/>
    <w:qFormat/>
    <w:rPr>
      <w:b/>
      <w:bCs/>
      <w:i/>
      <w:iCs/>
      <w:spacing w:val="10"/>
      <w:shd w:val="clear" w:color="auto" w:fill="auto"/>
    </w:rPr>
  </w:style>
  <w:style w:type="character" w:styleId="1114">
    <w:name w:val="line number"/>
    <w:basedOn w:val="1057"/>
    <w:uiPriority w:val="0"/>
    <w:qFormat/>
  </w:style>
  <w:style w:type="character" w:styleId="1115">
    <w:name w:val="HTML Typewriter"/>
    <w:uiPriority w:val="0"/>
    <w:qFormat/>
    <w:rPr>
      <w:rFonts w:ascii="宋体" w:hAnsi="宋体" w:eastAsia="宋体" w:cs="宋体"/>
      <w:sz w:val="24"/>
      <w:szCs w:val="24"/>
    </w:rPr>
  </w:style>
  <w:style w:type="character" w:styleId="1116">
    <w:name w:val="Hyperlink"/>
    <w:uiPriority w:val="0"/>
    <w:qFormat/>
    <w:rPr>
      <w:color w:val="0000ff"/>
      <w:u w:val="single"/>
    </w:rPr>
  </w:style>
  <w:style w:type="character" w:styleId="1117">
    <w:name w:val="annotation reference"/>
    <w:uiPriority w:val="0"/>
    <w:qFormat/>
    <w:rPr>
      <w:sz w:val="21"/>
    </w:rPr>
  </w:style>
  <w:style w:type="character" w:styleId="1118">
    <w:name w:val="footnote reference"/>
    <w:uiPriority w:val="0"/>
    <w:qFormat/>
    <w:rPr>
      <w:vertAlign w:val="superscript"/>
    </w:rPr>
  </w:style>
  <w:style w:type="character" w:styleId="1119">
    <w:name w:val="HTML Sample"/>
    <w:uiPriority w:val="0"/>
    <w:qFormat/>
    <w:rPr>
      <w:rFonts w:ascii="Courier New" w:hAnsi="宋体" w:eastAsia="宋体" w:cs="Courier New"/>
    </w:rPr>
  </w:style>
  <w:style w:type="paragraph" w:styleId="1120">
    <w:name w:val="List Paragraph"/>
    <w:basedOn w:val="1047"/>
    <w:uiPriority w:val="34"/>
    <w:qFormat/>
    <w:pPr>
      <w:ind w:firstLine="420"/>
    </w:pPr>
    <w:rPr>
      <w:szCs w:val="24"/>
    </w:rPr>
  </w:style>
  <w:style w:type="paragraph" w:styleId="1121" w:customStyle="1">
    <w:name w:val="标题 5（有编号）（绿盟科技）"/>
    <w:basedOn w:val="1047"/>
    <w:next w:val="112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122"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123" w:customStyle="1">
    <w:name w:val="标题 1 Char"/>
    <w:basedOn w:val="1057"/>
    <w:link w:val="1048"/>
    <w:uiPriority w:val="0"/>
    <w:qFormat/>
    <w:rPr>
      <w:rFonts w:ascii="黑体" w:hAnsi="Calibri" w:eastAsia="黑体" w:cs="Times New Roman"/>
      <w:b/>
      <w:sz w:val="24"/>
      <w:szCs w:val="28"/>
    </w:rPr>
  </w:style>
  <w:style w:type="character" w:styleId="1124" w:customStyle="1">
    <w:name w:val="标题 2 Char"/>
    <w:basedOn w:val="1057"/>
    <w:link w:val="1049"/>
    <w:uiPriority w:val="0"/>
    <w:qFormat/>
    <w:rPr>
      <w:rFonts w:ascii="宋体" w:hAnsi="宋体" w:eastAsia="宋体" w:cs="Times New Roman"/>
      <w:b/>
      <w:szCs w:val="24"/>
    </w:rPr>
  </w:style>
  <w:style w:type="character" w:styleId="1125" w:customStyle="1">
    <w:name w:val="标题 3 Char"/>
    <w:basedOn w:val="1057"/>
    <w:uiPriority w:val="0"/>
    <w:qFormat/>
    <w:rPr>
      <w:rFonts w:ascii="Calibri" w:hAnsi="Calibri" w:eastAsia="Calibri" w:cs="宋体"/>
      <w:b/>
      <w:bCs/>
      <w:sz w:val="32"/>
      <w:szCs w:val="32"/>
      <w:lang w:val="zh-CN"/>
    </w:rPr>
  </w:style>
  <w:style w:type="character" w:styleId="1126" w:customStyle="1">
    <w:name w:val="标题 4 Char"/>
    <w:basedOn w:val="1057"/>
    <w:link w:val="1051"/>
    <w:uiPriority w:val="0"/>
    <w:qFormat/>
    <w:rPr>
      <w:rFonts w:ascii="Arial" w:hAnsi="Arial" w:eastAsia="黑体" w:cs="Times New Roman"/>
      <w:b/>
      <w:sz w:val="28"/>
      <w:szCs w:val="20"/>
    </w:rPr>
  </w:style>
  <w:style w:type="character" w:styleId="1127" w:customStyle="1">
    <w:name w:val="标题 5 Char"/>
    <w:basedOn w:val="1057"/>
    <w:link w:val="1052"/>
    <w:uiPriority w:val="0"/>
    <w:qFormat/>
    <w:rPr>
      <w:rFonts w:ascii="黑体" w:hAnsi="Calibri" w:eastAsia="黑体" w:cs="Times New Roman"/>
      <w:b/>
      <w:color w:val="000000"/>
      <w:sz w:val="28"/>
      <w:szCs w:val="20"/>
    </w:rPr>
  </w:style>
  <w:style w:type="character" w:styleId="1128" w:customStyle="1">
    <w:name w:val="标题 6 Char"/>
    <w:basedOn w:val="1057"/>
    <w:link w:val="1053"/>
    <w:uiPriority w:val="0"/>
    <w:qFormat/>
    <w:rPr>
      <w:rFonts w:ascii="Arial" w:hAnsi="Arial" w:eastAsia="黑体" w:cs="Times New Roman"/>
      <w:b/>
      <w:bCs/>
      <w:sz w:val="24"/>
      <w:szCs w:val="24"/>
    </w:rPr>
  </w:style>
  <w:style w:type="character" w:styleId="1129" w:customStyle="1">
    <w:name w:val="标题 7 Char"/>
    <w:basedOn w:val="1057"/>
    <w:link w:val="1054"/>
    <w:uiPriority w:val="0"/>
    <w:qFormat/>
    <w:rPr>
      <w:rFonts w:ascii="Calibri" w:hAnsi="Calibri" w:eastAsia="宋体" w:cs="Times New Roman"/>
      <w:b/>
      <w:bCs/>
      <w:sz w:val="24"/>
      <w:szCs w:val="24"/>
    </w:rPr>
  </w:style>
  <w:style w:type="character" w:styleId="1130" w:customStyle="1">
    <w:name w:val="标题 8 Char"/>
    <w:basedOn w:val="1057"/>
    <w:link w:val="1055"/>
    <w:uiPriority w:val="0"/>
    <w:qFormat/>
    <w:rPr>
      <w:rFonts w:ascii="Arial" w:hAnsi="Arial" w:eastAsia="黑体" w:cs="Times New Roman"/>
      <w:sz w:val="24"/>
      <w:szCs w:val="24"/>
    </w:rPr>
  </w:style>
  <w:style w:type="character" w:styleId="1131" w:customStyle="1">
    <w:name w:val="标题 9 Char"/>
    <w:basedOn w:val="1057"/>
    <w:link w:val="1056"/>
    <w:uiPriority w:val="0"/>
    <w:qFormat/>
    <w:rPr>
      <w:rFonts w:ascii="Arial" w:hAnsi="Arial" w:eastAsia="黑体" w:cs="Times New Roman"/>
      <w:szCs w:val="21"/>
    </w:rPr>
  </w:style>
  <w:style w:type="character" w:styleId="1132" w:customStyle="1">
    <w:name w:val="Char Char17"/>
    <w:uiPriority w:val="0"/>
    <w:qFormat/>
    <w:rPr>
      <w:rFonts w:ascii="宋体" w:hAnsi="Courier New"/>
      <w:sz w:val="21"/>
      <w:szCs w:val="21"/>
    </w:rPr>
  </w:style>
  <w:style w:type="character" w:styleId="1133" w:customStyle="1">
    <w:name w:val="18"/>
    <w:uiPriority w:val="0"/>
    <w:qFormat/>
    <w:rPr>
      <w:rFonts w:hint="eastAsia" w:ascii="宋体" w:hAnsi="宋体" w:eastAsia="宋体" w:cs="宋体"/>
      <w:color w:val="000000"/>
      <w:sz w:val="20"/>
      <w:szCs w:val="20"/>
    </w:rPr>
  </w:style>
  <w:style w:type="character" w:styleId="1134" w:customStyle="1">
    <w:name w:val="小四 段落 宋体 Char Char Char1"/>
    <w:uiPriority w:val="0"/>
    <w:qFormat/>
    <w:rPr>
      <w:rFonts w:ascii="宋体" w:hAnsi="宋体" w:eastAsia="宋体"/>
      <w:sz w:val="24"/>
      <w:szCs w:val="24"/>
      <w:lang w:val="en-US" w:eastAsia="zh-CN" w:bidi="ar-SA"/>
    </w:rPr>
  </w:style>
  <w:style w:type="character" w:styleId="1135" w:customStyle="1">
    <w:name w:val="param-value"/>
    <w:basedOn w:val="1057"/>
    <w:uiPriority w:val="0"/>
    <w:qFormat/>
  </w:style>
  <w:style w:type="character" w:styleId="1136" w:customStyle="1">
    <w:name w:val="3zw"/>
    <w:basedOn w:val="1057"/>
    <w:uiPriority w:val="0"/>
    <w:qFormat/>
  </w:style>
  <w:style w:type="character" w:styleId="1137" w:customStyle="1">
    <w:name w:val="15"/>
    <w:uiPriority w:val="0"/>
    <w:qFormat/>
    <w:rPr>
      <w:rFonts w:hint="eastAsia" w:ascii="宋体" w:hAnsi="宋体" w:eastAsia="宋体" w:cs="宋体"/>
      <w:b/>
      <w:color w:val="000000"/>
      <w:sz w:val="20"/>
      <w:szCs w:val="20"/>
    </w:rPr>
  </w:style>
  <w:style w:type="character" w:styleId="1138" w:customStyle="1">
    <w:name w:val="16"/>
    <w:uiPriority w:val="0"/>
    <w:qFormat/>
    <w:rPr>
      <w:rFonts w:hint="eastAsia" w:ascii="宋体" w:hAnsi="宋体" w:eastAsia="宋体" w:cs="宋体"/>
      <w:b/>
      <w:color w:val="000000"/>
      <w:sz w:val="20"/>
      <w:szCs w:val="20"/>
    </w:rPr>
  </w:style>
  <w:style w:type="character" w:styleId="1139" w:customStyle="1">
    <w:name w:val="style13"/>
    <w:uiPriority w:val="0"/>
    <w:qFormat/>
    <w:rPr>
      <w:sz w:val="18"/>
      <w:szCs w:val="18"/>
    </w:rPr>
  </w:style>
  <w:style w:type="character" w:styleId="1140" w:customStyle="1">
    <w:name w:val="Char Char21"/>
    <w:uiPriority w:val="0"/>
    <w:qFormat/>
    <w:rPr>
      <w:rFonts w:ascii="Arial" w:hAnsi="Arial" w:eastAsia="黑体"/>
      <w:sz w:val="24"/>
      <w:szCs w:val="24"/>
    </w:rPr>
  </w:style>
  <w:style w:type="character" w:styleId="1141" w:customStyle="1">
    <w:name w:val="新图表正文 Char Char"/>
    <w:link w:val="1142"/>
    <w:uiPriority w:val="0"/>
    <w:qFormat/>
    <w:rPr>
      <w:rFonts w:ascii="宋体" w:hAnsi="宋体"/>
      <w:sz w:val="18"/>
      <w:szCs w:val="21"/>
    </w:rPr>
  </w:style>
  <w:style w:type="paragraph" w:styleId="1142" w:customStyle="1">
    <w:name w:val="新图表正文"/>
    <w:link w:val="1141"/>
    <w:uiPriority w:val="0"/>
    <w:qFormat/>
    <w:pPr>
      <w:jc w:val="both"/>
    </w:pPr>
    <w:rPr>
      <w:rFonts w:ascii="宋体" w:hAnsi="宋体" w:eastAsiaTheme="minorEastAsia" w:cstheme="minorBidi"/>
      <w:sz w:val="18"/>
      <w:szCs w:val="21"/>
      <w:lang w:val="en-US" w:eastAsia="zh-CN" w:bidi="ar-SA"/>
    </w:rPr>
  </w:style>
  <w:style w:type="character" w:styleId="1143" w:customStyle="1">
    <w:name w:val="Char Char25"/>
    <w:uiPriority w:val="0"/>
    <w:qFormat/>
    <w:rPr>
      <w:rFonts w:ascii="Arial" w:hAnsi="Arial" w:eastAsia="黑体"/>
      <w:b/>
      <w:sz w:val="28"/>
    </w:rPr>
  </w:style>
  <w:style w:type="character" w:styleId="1144" w:customStyle="1">
    <w:name w:val="不明显参考1"/>
    <w:uiPriority w:val="0"/>
    <w:qFormat/>
    <w:rPr>
      <w:smallCaps/>
    </w:rPr>
  </w:style>
  <w:style w:type="character" w:styleId="1145" w:customStyle="1">
    <w:name w:val="小四 段落 宋体 Char Char Char Char Char Char"/>
    <w:uiPriority w:val="0"/>
    <w:qFormat/>
    <w:rPr>
      <w:rFonts w:eastAsia="宋体"/>
      <w:sz w:val="24"/>
      <w:szCs w:val="24"/>
      <w:lang w:val="en-US" w:eastAsia="zh-CN" w:bidi="ar-SA"/>
    </w:rPr>
  </w:style>
  <w:style w:type="character" w:styleId="1146" w:customStyle="1">
    <w:name w:val="标题 Char"/>
    <w:link w:val="1104"/>
    <w:uiPriority w:val="0"/>
    <w:qFormat/>
    <w:rPr>
      <w:rFonts w:eastAsia="黑体"/>
      <w:b/>
      <w:sz w:val="28"/>
      <w:lang w:val="en-GB"/>
    </w:rPr>
  </w:style>
  <w:style w:type="character" w:styleId="1147" w:customStyle="1">
    <w:name w:val="2nd level Char"/>
    <w:uiPriority w:val="0"/>
    <w:qFormat/>
    <w:rPr>
      <w:rFonts w:ascii="Arial" w:hAnsi="Arial" w:eastAsia="黑体"/>
      <w:b/>
      <w:bCs/>
      <w:sz w:val="32"/>
      <w:szCs w:val="32"/>
      <w:lang w:val="en-US" w:eastAsia="zh-CN" w:bidi="ar-SA"/>
    </w:rPr>
  </w:style>
  <w:style w:type="character" w:styleId="1148" w:customStyle="1">
    <w:name w:val="Char Char22"/>
    <w:uiPriority w:val="0"/>
    <w:qFormat/>
    <w:rPr>
      <w:b/>
      <w:bCs/>
      <w:sz w:val="24"/>
      <w:szCs w:val="24"/>
    </w:rPr>
  </w:style>
  <w:style w:type="character" w:styleId="1149" w:customStyle="1">
    <w:name w:val="样式 宋体 小四"/>
    <w:uiPriority w:val="0"/>
    <w:qFormat/>
    <w:rPr>
      <w:rFonts w:ascii="宋体" w:hAnsi="宋体"/>
      <w:sz w:val="24"/>
    </w:rPr>
  </w:style>
  <w:style w:type="character" w:styleId="1150" w:customStyle="1">
    <w:name w:val="t1"/>
    <w:uiPriority w:val="0"/>
    <w:qFormat/>
  </w:style>
  <w:style w:type="character" w:styleId="1151" w:customStyle="1">
    <w:name w:val="Char Char28"/>
    <w:uiPriority w:val="0"/>
    <w:qFormat/>
    <w:rPr>
      <w:rFonts w:ascii="Arial" w:hAnsi="Arial" w:eastAsia="黑体" w:cs="Arial"/>
      <w:b/>
      <w:bCs/>
      <w:sz w:val="32"/>
      <w:szCs w:val="32"/>
    </w:rPr>
  </w:style>
  <w:style w:type="character" w:styleId="1152" w:customStyle="1">
    <w:name w:val="标准文本 Char Char"/>
    <w:uiPriority w:val="0"/>
    <w:qFormat/>
    <w:rPr>
      <w:rFonts w:eastAsia="宋体" w:cs="宋体"/>
      <w:sz w:val="24"/>
      <w:szCs w:val="24"/>
      <w:lang w:val="en-US" w:eastAsia="zh-CN" w:bidi="ar-SA"/>
    </w:rPr>
  </w:style>
  <w:style w:type="character" w:styleId="1153" w:customStyle="1">
    <w:name w:val="表格抬头 Char"/>
    <w:link w:val="1154"/>
    <w:uiPriority w:val="0"/>
    <w:qFormat/>
    <w:rPr>
      <w:rFonts w:ascii="黑体" w:eastAsia="黑体"/>
      <w:b/>
    </w:rPr>
  </w:style>
  <w:style w:type="paragraph" w:styleId="1154" w:customStyle="1">
    <w:name w:val="表格抬头"/>
    <w:basedOn w:val="1047"/>
    <w:link w:val="1153"/>
    <w:uiPriority w:val="0"/>
    <w:qFormat/>
    <w:pPr>
      <w:jc w:val="center"/>
    </w:pPr>
    <w:rPr>
      <w:rFonts w:ascii="黑体" w:eastAsia="黑体" w:hAnsiTheme="minorHAnsi" w:cstheme="minorBidi"/>
      <w:b/>
      <w:sz w:val="21"/>
      <w:szCs w:val="22"/>
      <w:lang w:val="en-US"/>
    </w:rPr>
  </w:style>
  <w:style w:type="character" w:styleId="1155" w:customStyle="1">
    <w:name w:val="para_small"/>
    <w:basedOn w:val="1057"/>
    <w:uiPriority w:val="0"/>
    <w:qFormat/>
  </w:style>
  <w:style w:type="character" w:styleId="1156" w:customStyle="1">
    <w:name w:val="Title1 Char"/>
    <w:uiPriority w:val="0"/>
    <w:qFormat/>
    <w:rPr>
      <w:rFonts w:eastAsia="宋体"/>
      <w:b/>
      <w:bCs/>
      <w:sz w:val="44"/>
      <w:szCs w:val="44"/>
      <w:lang w:val="en-US" w:eastAsia="zh-CN" w:bidi="ar-SA"/>
    </w:rPr>
  </w:style>
  <w:style w:type="character" w:styleId="1157" w:customStyle="1">
    <w:name w:val="h Char Char"/>
    <w:uiPriority w:val="0"/>
    <w:qFormat/>
    <w:rPr>
      <w:rFonts w:eastAsia="宋体"/>
      <w:sz w:val="18"/>
      <w:szCs w:val="18"/>
      <w:lang w:val="en-US" w:eastAsia="zh-CN" w:bidi="ar-SA"/>
    </w:rPr>
  </w:style>
  <w:style w:type="character" w:styleId="1158" w:customStyle="1">
    <w:name w:val="Char Char23"/>
    <w:uiPriority w:val="0"/>
    <w:qFormat/>
    <w:rPr>
      <w:rFonts w:ascii="Arial" w:hAnsi="Arial" w:eastAsia="黑体"/>
      <w:b/>
      <w:bCs/>
      <w:sz w:val="24"/>
      <w:szCs w:val="24"/>
    </w:rPr>
  </w:style>
  <w:style w:type="character" w:styleId="1159" w:customStyle="1">
    <w:name w:val="Char Char20"/>
    <w:uiPriority w:val="0"/>
    <w:qFormat/>
    <w:rPr>
      <w:rFonts w:ascii="Arial" w:hAnsi="Arial" w:eastAsia="黑体"/>
      <w:sz w:val="21"/>
      <w:szCs w:val="21"/>
    </w:rPr>
  </w:style>
  <w:style w:type="character" w:styleId="1160" w:customStyle="1">
    <w:name w:val="A2"/>
    <w:uiPriority w:val="0"/>
    <w:qFormat/>
    <w:rPr>
      <w:rFonts w:cs="Helvetica"/>
      <w:color w:val="000000"/>
      <w:sz w:val="18"/>
      <w:szCs w:val="18"/>
    </w:rPr>
  </w:style>
  <w:style w:type="character" w:styleId="1161" w:customStyle="1">
    <w:name w:val="编号，小四 Char"/>
    <w:link w:val="1162"/>
    <w:uiPriority w:val="0"/>
    <w:qFormat/>
    <w:rPr>
      <w:rFonts w:ascii="Arial" w:hAnsi="Arial" w:cs="宋体"/>
      <w:sz w:val="24"/>
    </w:rPr>
  </w:style>
  <w:style w:type="paragraph" w:styleId="1162" w:customStyle="1">
    <w:name w:val="编号，小四"/>
    <w:basedOn w:val="1047"/>
    <w:link w:val="1161"/>
    <w:uiPriority w:val="0"/>
    <w:qFormat/>
    <w:pPr>
      <w:numPr>
        <w:ilvl w:val="0"/>
        <w:numId w:val="2"/>
      </w:numPr>
      <w:spacing w:line="360" w:lineRule="auto"/>
    </w:pPr>
    <w:rPr>
      <w:rFonts w:ascii="Arial" w:hAnsi="Arial" w:eastAsiaTheme="minorEastAsia"/>
      <w:sz w:val="24"/>
      <w:szCs w:val="22"/>
      <w:lang w:val="en-US"/>
    </w:rPr>
  </w:style>
  <w:style w:type="character" w:styleId="1163" w:customStyle="1">
    <w:name w:val="明显引用 Char"/>
    <w:link w:val="1164"/>
    <w:uiPriority w:val="0"/>
    <w:qFormat/>
    <w:rPr>
      <w:rFonts w:ascii="Calibri" w:hAnsi="Calibri" w:eastAsia="宋体"/>
      <w:b/>
      <w:bCs/>
      <w:i/>
      <w:iCs/>
      <w:sz w:val="22"/>
      <w:lang w:eastAsia="en-US" w:bidi="en-US"/>
    </w:rPr>
  </w:style>
  <w:style w:type="paragraph" w:styleId="1164">
    <w:name w:val="Intense Quote"/>
    <w:basedOn w:val="1047"/>
    <w:next w:val="1047"/>
    <w:link w:val="1163"/>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165" w:customStyle="1">
    <w:name w:val="font01"/>
    <w:uiPriority w:val="0"/>
    <w:qFormat/>
    <w:rPr>
      <w:rFonts w:hint="eastAsia" w:ascii="宋体" w:hAnsi="宋体" w:eastAsia="宋体" w:cs="宋体"/>
      <w:b/>
      <w:color w:val="000000"/>
      <w:sz w:val="20"/>
      <w:szCs w:val="20"/>
      <w:u w:val="none"/>
    </w:rPr>
  </w:style>
  <w:style w:type="character" w:styleId="1166" w:customStyle="1">
    <w:name w:val="不明显强调1"/>
    <w:uiPriority w:val="0"/>
    <w:qFormat/>
    <w:rPr>
      <w:i/>
      <w:iCs/>
    </w:rPr>
  </w:style>
  <w:style w:type="character" w:styleId="1167" w:customStyle="1">
    <w:name w:val="正文文本缩进 2 Char"/>
    <w:link w:val="1080"/>
    <w:uiPriority w:val="0"/>
    <w:qFormat/>
    <w:rPr>
      <w:rFonts w:ascii="Arial" w:hAnsi="Arial" w:eastAsia="仿宋_GB2312"/>
      <w:sz w:val="32"/>
    </w:rPr>
  </w:style>
  <w:style w:type="character" w:styleId="1168" w:customStyle="1">
    <w:name w:val="明显参考1"/>
    <w:uiPriority w:val="0"/>
    <w:qFormat/>
    <w:rPr>
      <w:smallCaps/>
      <w:spacing w:val="5"/>
      <w:u w:val="single"/>
    </w:rPr>
  </w:style>
  <w:style w:type="character" w:styleId="1169" w:customStyle="1">
    <w:name w:val="书籍标题1"/>
    <w:uiPriority w:val="0"/>
    <w:qFormat/>
    <w:rPr>
      <w:i/>
      <w:iCs/>
      <w:smallCaps/>
      <w:spacing w:val="5"/>
    </w:rPr>
  </w:style>
  <w:style w:type="character" w:styleId="1170" w:customStyle="1">
    <w:name w:val="文档结构图 Char"/>
    <w:link w:val="1066"/>
    <w:uiPriority w:val="0"/>
    <w:semiHidden/>
    <w:qFormat/>
    <w:rPr>
      <w:rFonts w:eastAsia="宋体"/>
      <w:shd w:val="clear" w:color="auto" w:fill="000080"/>
    </w:rPr>
  </w:style>
  <w:style w:type="character" w:styleId="1171" w:customStyle="1">
    <w:name w:val="textcontents"/>
    <w:basedOn w:val="1057"/>
    <w:uiPriority w:val="0"/>
    <w:qFormat/>
  </w:style>
  <w:style w:type="character" w:styleId="1172" w:customStyle="1">
    <w:name w:val="标准文本 Char"/>
    <w:uiPriority w:val="0"/>
    <w:qFormat/>
    <w:rPr>
      <w:rFonts w:eastAsia="宋体" w:cs="宋体"/>
      <w:sz w:val="24"/>
      <w:szCs w:val="24"/>
      <w:lang w:val="en-US" w:eastAsia="zh-CN" w:bidi="ar-SA"/>
    </w:rPr>
  </w:style>
  <w:style w:type="character" w:styleId="1173" w:customStyle="1">
    <w:name w:val="10"/>
    <w:uiPriority w:val="0"/>
    <w:qFormat/>
    <w:rPr>
      <w:rFonts w:hint="default" w:ascii="Times New Roman" w:hAnsi="Times New Roman" w:cs="Times New Roman"/>
    </w:rPr>
  </w:style>
  <w:style w:type="character" w:styleId="1174" w:customStyle="1">
    <w:name w:val="批注文字 Char"/>
    <w:uiPriority w:val="99"/>
    <w:qFormat/>
    <w:rPr>
      <w:rFonts w:eastAsia="宋体"/>
      <w:sz w:val="21"/>
      <w:lang w:val="en-US" w:eastAsia="zh-CN" w:bidi="ar-SA"/>
    </w:rPr>
  </w:style>
  <w:style w:type="character" w:styleId="1175" w:customStyle="1">
    <w:name w:val="纯文本 Char Char Char1"/>
    <w:uiPriority w:val="0"/>
    <w:qFormat/>
    <w:rPr>
      <w:rFonts w:ascii="宋体" w:hAnsi="Courier New" w:eastAsia="宋体"/>
      <w:sz w:val="21"/>
      <w:szCs w:val="21"/>
      <w:lang w:val="en-US" w:eastAsia="zh-CN" w:bidi="ar-SA"/>
    </w:rPr>
  </w:style>
  <w:style w:type="character" w:styleId="1176" w:customStyle="1">
    <w:name w:val="subtitle1"/>
    <w:uiPriority w:val="0"/>
    <w:qFormat/>
    <w:rPr>
      <w:rFonts w:hint="default" w:ascii="Georgia" w:hAnsi="Georgia"/>
      <w:b/>
      <w:bCs/>
      <w:color w:val="666666"/>
      <w:sz w:val="18"/>
      <w:szCs w:val="18"/>
    </w:rPr>
  </w:style>
  <w:style w:type="character" w:styleId="1177" w:customStyle="1">
    <w:name w:val="明显强调1"/>
    <w:uiPriority w:val="0"/>
    <w:qFormat/>
    <w:rPr>
      <w:b/>
      <w:bCs/>
    </w:rPr>
  </w:style>
  <w:style w:type="character" w:styleId="1178" w:customStyle="1">
    <w:name w:val="Char Char29"/>
    <w:uiPriority w:val="0"/>
    <w:qFormat/>
    <w:rPr>
      <w:rFonts w:ascii="Times New Roman" w:hAnsi="Times New Roman" w:eastAsia="宋体" w:cs="Times New Roman"/>
      <w:b/>
      <w:bCs/>
      <w:sz w:val="44"/>
      <w:szCs w:val="44"/>
    </w:rPr>
  </w:style>
  <w:style w:type="character" w:styleId="1179" w:customStyle="1">
    <w:name w:val="引用 Char"/>
    <w:link w:val="1180"/>
    <w:uiPriority w:val="0"/>
    <w:qFormat/>
    <w:rPr>
      <w:rFonts w:ascii="Calibri" w:hAnsi="Calibri" w:eastAsia="宋体"/>
      <w:i/>
      <w:iCs/>
      <w:sz w:val="22"/>
      <w:lang w:eastAsia="en-US" w:bidi="en-US"/>
    </w:rPr>
  </w:style>
  <w:style w:type="paragraph" w:styleId="1180">
    <w:name w:val="Quote"/>
    <w:basedOn w:val="1047"/>
    <w:next w:val="1047"/>
    <w:link w:val="1179"/>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81" w:customStyle="1">
    <w:name w:val="Char Char26"/>
    <w:uiPriority w:val="0"/>
    <w:qFormat/>
    <w:rPr>
      <w:b/>
      <w:bCs/>
      <w:sz w:val="32"/>
      <w:szCs w:val="32"/>
    </w:rPr>
  </w:style>
  <w:style w:type="character" w:styleId="1182" w:customStyle="1">
    <w:name w:val="apple-converted-space"/>
    <w:basedOn w:val="1057"/>
    <w:uiPriority w:val="0"/>
    <w:qFormat/>
  </w:style>
  <w:style w:type="character" w:styleId="1183" w:customStyle="1">
    <w:name w:val="普通文字1 Char"/>
    <w:uiPriority w:val="0"/>
    <w:qFormat/>
    <w:rPr>
      <w:rFonts w:ascii="宋体" w:eastAsia="宋体"/>
      <w:sz w:val="21"/>
      <w:szCs w:val="21"/>
      <w:lang w:val="en-US" w:eastAsia="zh-CN" w:bidi="ar-SA"/>
    </w:rPr>
  </w:style>
  <w:style w:type="character" w:styleId="1184" w:customStyle="1">
    <w:name w:val="ih151"/>
    <w:uiPriority w:val="0"/>
    <w:qFormat/>
    <w:rPr>
      <w:color w:val="666666"/>
      <w:sz w:val="18"/>
      <w:szCs w:val="18"/>
      <w:u w:val="none"/>
    </w:rPr>
  </w:style>
  <w:style w:type="character" w:styleId="1185" w:customStyle="1">
    <w:name w:val="小四 段落 宋体 Char Char Char Char1"/>
    <w:uiPriority w:val="0"/>
    <w:qFormat/>
    <w:rPr>
      <w:rFonts w:eastAsia="宋体"/>
      <w:sz w:val="24"/>
      <w:szCs w:val="24"/>
      <w:lang w:val="en-US" w:eastAsia="zh-CN" w:bidi="ar-SA"/>
    </w:rPr>
  </w:style>
  <w:style w:type="character" w:styleId="1186" w:customStyle="1">
    <w:name w:val="纯文本 Char Char"/>
    <w:uiPriority w:val="0"/>
    <w:qFormat/>
    <w:rPr>
      <w:rFonts w:ascii="宋体" w:hAnsi="Courier New" w:eastAsia="宋体"/>
      <w:sz w:val="21"/>
      <w:szCs w:val="21"/>
      <w:lang w:val="en-US" w:eastAsia="zh-CN" w:bidi="ar-SA"/>
    </w:rPr>
  </w:style>
  <w:style w:type="character" w:styleId="1187" w:customStyle="1">
    <w:name w:val="正文 + 宋体 Char"/>
    <w:uiPriority w:val="0"/>
    <w:qFormat/>
    <w:rPr>
      <w:rFonts w:eastAsia="宋体"/>
      <w:sz w:val="21"/>
      <w:szCs w:val="24"/>
      <w:lang w:val="en-US" w:eastAsia="zh-CN" w:bidi="ar-SA"/>
    </w:rPr>
  </w:style>
  <w:style w:type="character" w:styleId="1188" w:customStyle="1">
    <w:name w:val="标题 Char1"/>
    <w:uiPriority w:val="0"/>
    <w:qFormat/>
    <w:rPr>
      <w:rFonts w:ascii="Cambria" w:eastAsia="宋体" w:cs="Times New Roman"/>
      <w:b/>
      <w:bCs/>
      <w:sz w:val="32"/>
      <w:szCs w:val="32"/>
    </w:rPr>
  </w:style>
  <w:style w:type="character" w:styleId="1189" w:customStyle="1">
    <w:name w:val="特点 Char1"/>
    <w:uiPriority w:val="0"/>
    <w:qFormat/>
    <w:rPr>
      <w:rFonts w:eastAsia="宋体"/>
      <w:sz w:val="21"/>
      <w:lang w:val="en-US" w:eastAsia="zh-CN" w:bidi="ar-SA"/>
    </w:rPr>
  </w:style>
  <w:style w:type="character" w:styleId="1190" w:customStyle="1">
    <w:name w:val="HTML 预设格式 Char"/>
    <w:link w:val="1101"/>
    <w:uiPriority w:val="0"/>
    <w:qFormat/>
    <w:rPr>
      <w:rFonts w:ascii="黑体" w:hAnsi="Courier New" w:eastAsia="黑体" w:cs="Courier New"/>
    </w:rPr>
  </w:style>
  <w:style w:type="character" w:styleId="1191" w:customStyle="1">
    <w:name w:val="样式 非加粗"/>
    <w:uiPriority w:val="0"/>
    <w:qFormat/>
    <w:rPr>
      <w:rFonts w:eastAsia="宋体"/>
      <w:sz w:val="28"/>
    </w:rPr>
  </w:style>
  <w:style w:type="character" w:styleId="1192" w:customStyle="1">
    <w:name w:val="小四 段落 宋体 Char Char Char Char Char"/>
    <w:uiPriority w:val="0"/>
    <w:qFormat/>
    <w:rPr>
      <w:rFonts w:eastAsia="宋体"/>
      <w:sz w:val="24"/>
      <w:szCs w:val="24"/>
      <w:lang w:val="en-US" w:eastAsia="zh-CN" w:bidi="ar-SA"/>
    </w:rPr>
  </w:style>
  <w:style w:type="character" w:styleId="1193" w:customStyle="1">
    <w:name w:val="小四 段落 宋体 Char Char Char Char Char Char Char Char"/>
    <w:uiPriority w:val="0"/>
    <w:qFormat/>
    <w:rPr>
      <w:rFonts w:eastAsia="宋体"/>
      <w:sz w:val="24"/>
      <w:szCs w:val="24"/>
      <w:lang w:val="en-US" w:eastAsia="zh-CN" w:bidi="ar-SA"/>
    </w:rPr>
  </w:style>
  <w:style w:type="character" w:styleId="1194" w:customStyle="1">
    <w:name w:val="19"/>
    <w:uiPriority w:val="0"/>
    <w:qFormat/>
    <w:rPr>
      <w:rFonts w:hint="eastAsia" w:ascii="宋体" w:hAnsi="宋体" w:eastAsia="宋体" w:cs="宋体"/>
      <w:color w:val="000000"/>
      <w:sz w:val="20"/>
      <w:szCs w:val="20"/>
    </w:rPr>
  </w:style>
  <w:style w:type="character" w:styleId="1195" w:customStyle="1">
    <w:name w:val="无间隔 Char"/>
    <w:link w:val="1196"/>
    <w:uiPriority w:val="0"/>
    <w:qFormat/>
    <w:rPr>
      <w:rFonts w:eastAsia="微软雅黑"/>
      <w:sz w:val="24"/>
    </w:rPr>
  </w:style>
  <w:style w:type="paragraph" w:styleId="1196">
    <w:name w:val="No Spacing"/>
    <w:link w:val="1195"/>
    <w:uiPriority w:val="0"/>
    <w:qFormat/>
    <w:pPr>
      <w:jc w:val="both"/>
      <w:widowControl w:val="off"/>
    </w:pPr>
    <w:rPr>
      <w:rFonts w:eastAsia="微软雅黑" w:asciiTheme="minorHAnsi" w:hAnsiTheme="minorHAnsi" w:cstheme="minorBidi"/>
      <w:sz w:val="24"/>
      <w:szCs w:val="22"/>
      <w:lang w:val="en-US" w:eastAsia="zh-CN" w:bidi="ar-SA"/>
    </w:rPr>
  </w:style>
  <w:style w:type="character" w:styleId="1197" w:customStyle="1">
    <w:name w:val="title_emph1"/>
    <w:uiPriority w:val="0"/>
    <w:qFormat/>
    <w:rPr>
      <w:rFonts w:ascii="Arial" w:cs="Arial"/>
      <w:b/>
      <w:bCs/>
      <w:sz w:val="18"/>
      <w:szCs w:val="18"/>
    </w:rPr>
  </w:style>
  <w:style w:type="character" w:styleId="1198" w:customStyle="1">
    <w:name w:val="纯文本 Char"/>
    <w:link w:val="1076"/>
    <w:uiPriority w:val="0"/>
    <w:qFormat/>
    <w:rPr>
      <w:rFonts w:ascii="宋体" w:hAnsi="Courier New" w:eastAsia="宋体"/>
    </w:rPr>
  </w:style>
  <w:style w:type="character" w:styleId="1199" w:customStyle="1">
    <w:name w:val="111111 Char"/>
    <w:link w:val="1200"/>
    <w:uiPriority w:val="0"/>
    <w:qFormat/>
    <w:rPr>
      <w:rFonts w:ascii="宋体" w:hAnsi="宋体" w:eastAsia="黑体" w:cs="宋体"/>
      <w:b/>
      <w:bCs/>
      <w:szCs w:val="21"/>
    </w:rPr>
  </w:style>
  <w:style w:type="paragraph" w:styleId="1200" w:customStyle="1">
    <w:name w:val="111111"/>
    <w:basedOn w:val="1047"/>
    <w:link w:val="1199"/>
    <w:uiPriority w:val="0"/>
    <w:qFormat/>
    <w:pPr>
      <w:jc w:val="center"/>
      <w:spacing w:before="120" w:after="120"/>
    </w:pPr>
    <w:rPr>
      <w:rFonts w:ascii="宋体" w:hAnsi="宋体" w:eastAsia="黑体"/>
      <w:b/>
      <w:bCs/>
      <w:sz w:val="21"/>
      <w:szCs w:val="21"/>
      <w:lang w:val="en-US"/>
    </w:rPr>
  </w:style>
  <w:style w:type="character" w:styleId="1201" w:customStyle="1">
    <w:name w:val="font51"/>
    <w:uiPriority w:val="0"/>
    <w:qFormat/>
    <w:rPr>
      <w:rFonts w:hint="eastAsia" w:ascii="宋体" w:hAnsi="宋体" w:eastAsia="宋体" w:cs="宋体"/>
      <w:color w:val="000000"/>
      <w:sz w:val="20"/>
      <w:szCs w:val="20"/>
      <w:u w:val="none"/>
    </w:rPr>
  </w:style>
  <w:style w:type="character" w:styleId="1202" w:customStyle="1">
    <w:name w:val="批注主题 Char"/>
    <w:link w:val="1105"/>
    <w:uiPriority w:val="0"/>
    <w:semiHidden/>
    <w:qFormat/>
    <w:rPr>
      <w:rFonts w:eastAsia="宋体"/>
      <w:b/>
      <w:bCs/>
    </w:rPr>
  </w:style>
  <w:style w:type="character" w:styleId="1203" w:customStyle="1">
    <w:name w:val="Char Char27"/>
    <w:uiPriority w:val="0"/>
    <w:qFormat/>
    <w:rPr>
      <w:b/>
      <w:bCs/>
      <w:sz w:val="44"/>
      <w:szCs w:val="44"/>
    </w:rPr>
  </w:style>
  <w:style w:type="character" w:styleId="1204" w:customStyle="1">
    <w:name w:val="case31"/>
    <w:uiPriority w:val="0"/>
    <w:qFormat/>
    <w:rPr>
      <w:sz w:val="21"/>
      <w:szCs w:val="21"/>
    </w:rPr>
  </w:style>
  <w:style w:type="character" w:styleId="1205" w:customStyle="1">
    <w:name w:val="concon"/>
    <w:uiPriority w:val="0"/>
    <w:qFormat/>
  </w:style>
  <w:style w:type="character" w:styleId="1206" w:customStyle="1">
    <w:name w:val="20"/>
    <w:uiPriority w:val="0"/>
    <w:qFormat/>
    <w:rPr>
      <w:rFonts w:hint="default" w:ascii="Times New Roman" w:hAnsi="Times New Roman" w:cs="Times New Roman"/>
    </w:rPr>
  </w:style>
  <w:style w:type="character" w:styleId="1207" w:customStyle="1">
    <w:name w:val="纯文本 Char1"/>
    <w:uiPriority w:val="0"/>
    <w:qFormat/>
    <w:rPr>
      <w:rFonts w:ascii="宋体" w:hAnsi="Courier New" w:cs="Courier New"/>
      <w:sz w:val="21"/>
      <w:szCs w:val="21"/>
    </w:rPr>
  </w:style>
  <w:style w:type="character" w:styleId="1208" w:customStyle="1">
    <w:name w:val="华宇段落1 Char Char Char"/>
    <w:uiPriority w:val="0"/>
    <w:qFormat/>
    <w:rPr>
      <w:rFonts w:eastAsia="宋体"/>
      <w:bCs/>
      <w:sz w:val="24"/>
      <w:szCs w:val="24"/>
      <w:lang w:val="en-US" w:eastAsia="zh-CN" w:bidi="ar-SA"/>
    </w:rPr>
  </w:style>
  <w:style w:type="character" w:styleId="1209" w:customStyle="1">
    <w:name w:val="正文文本缩进 3 Char"/>
    <w:link w:val="1094"/>
    <w:uiPriority w:val="0"/>
    <w:qFormat/>
    <w:rPr>
      <w:rFonts w:ascii="Arial" w:hAnsi="Arial" w:eastAsia="仿宋_GB2312"/>
      <w:color w:val="ffff00"/>
      <w:sz w:val="32"/>
    </w:rPr>
  </w:style>
  <w:style w:type="character" w:styleId="1210" w:customStyle="1">
    <w:name w:val="style131"/>
    <w:uiPriority w:val="0"/>
    <w:qFormat/>
    <w:rPr>
      <w:rFonts w:cs="Times New Roman"/>
      <w:sz w:val="18"/>
      <w:szCs w:val="18"/>
    </w:rPr>
  </w:style>
  <w:style w:type="character" w:styleId="1211" w:customStyle="1">
    <w:name w:val="正文文本缩进 Char"/>
    <w:link w:val="1072"/>
    <w:uiPriority w:val="0"/>
    <w:qFormat/>
    <w:rPr>
      <w:rFonts w:ascii="楷体_GB2312" w:eastAsia="楷体_GB2312"/>
      <w:sz w:val="32"/>
    </w:rPr>
  </w:style>
  <w:style w:type="character" w:styleId="1212" w:customStyle="1">
    <w:name w:val="纯文本 Char Char Char"/>
    <w:uiPriority w:val="0"/>
    <w:qFormat/>
    <w:rPr>
      <w:rFonts w:ascii="宋体" w:hAnsi="Courier New" w:eastAsia="宋体"/>
      <w:sz w:val="21"/>
      <w:szCs w:val="21"/>
      <w:lang w:val="en-US" w:eastAsia="zh-CN" w:bidi="ar-SA"/>
    </w:rPr>
  </w:style>
  <w:style w:type="character" w:styleId="1213" w:customStyle="1">
    <w:name w:val="font21"/>
    <w:uiPriority w:val="0"/>
    <w:qFormat/>
    <w:rPr>
      <w:rFonts w:hint="eastAsia" w:ascii="宋体" w:hAnsi="宋体" w:eastAsia="宋体" w:cs="宋体"/>
      <w:color w:val="ff0000"/>
      <w:sz w:val="20"/>
      <w:szCs w:val="20"/>
      <w:u w:val="none"/>
    </w:rPr>
  </w:style>
  <w:style w:type="character" w:styleId="1214" w:customStyle="1">
    <w:name w:val="content"/>
    <w:basedOn w:val="1057"/>
    <w:uiPriority w:val="0"/>
    <w:qFormat/>
  </w:style>
  <w:style w:type="character" w:styleId="1215" w:customStyle="1">
    <w:name w:val="font41"/>
    <w:uiPriority w:val="0"/>
    <w:qFormat/>
    <w:rPr>
      <w:rFonts w:hint="eastAsia" w:ascii="宋体" w:hAnsi="宋体" w:eastAsia="宋体" w:cs="宋体"/>
      <w:b/>
      <w:color w:val="000000"/>
      <w:sz w:val="20"/>
      <w:szCs w:val="20"/>
      <w:u w:val="none"/>
    </w:rPr>
  </w:style>
  <w:style w:type="character" w:styleId="1216" w:customStyle="1">
    <w:name w:val="listbenefit"/>
    <w:uiPriority w:val="0"/>
    <w:qFormat/>
  </w:style>
  <w:style w:type="character" w:styleId="1217" w:customStyle="1">
    <w:name w:val="Char Char2"/>
    <w:uiPriority w:val="0"/>
    <w:qFormat/>
    <w:rPr>
      <w:rFonts w:ascii="宋体" w:hAnsi="Courier New" w:eastAsia="宋体"/>
      <w:sz w:val="21"/>
      <w:szCs w:val="21"/>
      <w:lang w:val="en-US" w:eastAsia="zh-CN" w:bidi="ar-SA"/>
    </w:rPr>
  </w:style>
  <w:style w:type="character" w:styleId="1218" w:customStyle="1">
    <w:name w:val="已访问的超链接1"/>
    <w:uiPriority w:val="0"/>
    <w:qFormat/>
    <w:rPr>
      <w:color w:val="auto"/>
      <w:u w:val="none"/>
    </w:rPr>
  </w:style>
  <w:style w:type="character" w:styleId="1219" w:customStyle="1">
    <w:name w:val="标准小四 Char Char"/>
    <w:uiPriority w:val="0"/>
    <w:qFormat/>
    <w:rPr>
      <w:rFonts w:ascii="Arial" w:hAnsi="Arial" w:eastAsia="宋体"/>
      <w:sz w:val="24"/>
      <w:szCs w:val="21"/>
      <w:lang w:val="en-US" w:eastAsia="zh-CN" w:bidi="ar-SA"/>
    </w:rPr>
  </w:style>
  <w:style w:type="character" w:styleId="1220" w:customStyle="1">
    <w:name w:val="样式 首行缩进:  2 字符 Char"/>
    <w:uiPriority w:val="0"/>
    <w:qFormat/>
    <w:rPr>
      <w:rFonts w:eastAsia="宋体" w:cs="宋体"/>
      <w:sz w:val="24"/>
      <w:lang w:val="en-US" w:eastAsia="zh-CN" w:bidi="ar-SA"/>
    </w:rPr>
  </w:style>
  <w:style w:type="character" w:styleId="1221" w:customStyle="1">
    <w:name w:val="华宇段落1 Char Char"/>
    <w:uiPriority w:val="0"/>
    <w:qFormat/>
    <w:rPr>
      <w:rFonts w:eastAsia="宋体"/>
      <w:bCs/>
      <w:sz w:val="24"/>
      <w:szCs w:val="24"/>
      <w:lang w:val="en-US" w:eastAsia="zh-CN" w:bidi="ar-SA"/>
    </w:rPr>
  </w:style>
  <w:style w:type="character" w:styleId="1222" w:customStyle="1">
    <w:name w:val="正文缩进 Char1"/>
    <w:link w:val="1223"/>
    <w:uiPriority w:val="0"/>
    <w:qFormat/>
    <w:rPr>
      <w:rFonts w:eastAsia="宋体"/>
    </w:rPr>
  </w:style>
  <w:style w:type="paragraph" w:styleId="1223" w:customStyle="1">
    <w:name w:val="正文缩进1"/>
    <w:basedOn w:val="1047"/>
    <w:link w:val="1222"/>
    <w:uiPriority w:val="0"/>
    <w:qFormat/>
    <w:pPr>
      <w:ind w:firstLine="420"/>
    </w:pPr>
    <w:rPr>
      <w:rFonts w:eastAsia="宋体" w:asciiTheme="minorHAnsi" w:hAnsiTheme="minorHAnsi" w:cstheme="minorBidi"/>
      <w:sz w:val="21"/>
      <w:szCs w:val="22"/>
      <w:lang w:val="en-US"/>
    </w:rPr>
  </w:style>
  <w:style w:type="character" w:styleId="1224" w:customStyle="1">
    <w:name w:val="小四 段落 宋体 Char1"/>
    <w:uiPriority w:val="0"/>
    <w:qFormat/>
    <w:rPr>
      <w:rFonts w:eastAsia="宋体"/>
      <w:sz w:val="24"/>
      <w:szCs w:val="24"/>
      <w:lang w:val="en-US" w:eastAsia="zh-CN" w:bidi="ar-SA"/>
    </w:rPr>
  </w:style>
  <w:style w:type="character" w:styleId="1225" w:customStyle="1">
    <w:name w:val="标题 3 Char1"/>
    <w:link w:val="1050"/>
    <w:uiPriority w:val="0"/>
    <w:qFormat/>
    <w:rPr>
      <w:rFonts w:ascii="宋体" w:hAnsi="宋体" w:eastAsia="宋体" w:cs="Times New Roman"/>
      <w:b/>
      <w:szCs w:val="21"/>
      <w:shd w:val="clear" w:color="auto" w:fill="ffffff"/>
      <w:lang w:val="zh-CN"/>
    </w:rPr>
  </w:style>
  <w:style w:type="character" w:styleId="1226" w:customStyle="1">
    <w:name w:val="Char Char24"/>
    <w:uiPriority w:val="0"/>
    <w:qFormat/>
    <w:rPr>
      <w:b/>
      <w:bCs/>
      <w:sz w:val="28"/>
      <w:szCs w:val="28"/>
    </w:rPr>
  </w:style>
  <w:style w:type="character" w:styleId="1227" w:customStyle="1">
    <w:name w:val="样式 首行缩进:  2 字符 Char Char"/>
    <w:link w:val="1228"/>
    <w:uiPriority w:val="0"/>
    <w:qFormat/>
    <w:rPr>
      <w:rFonts w:eastAsia="宋体" w:cs="宋体"/>
      <w:sz w:val="24"/>
    </w:rPr>
  </w:style>
  <w:style w:type="paragraph" w:styleId="1228" w:customStyle="1">
    <w:name w:val="样式 首行缩进:  2 字符"/>
    <w:basedOn w:val="1047"/>
    <w:link w:val="1227"/>
    <w:uiPriority w:val="0"/>
    <w:qFormat/>
    <w:pPr>
      <w:ind w:firstLine="480"/>
      <w:spacing w:line="360" w:lineRule="auto"/>
    </w:pPr>
    <w:rPr>
      <w:rFonts w:eastAsia="宋体" w:asciiTheme="minorHAnsi" w:hAnsiTheme="minorHAnsi"/>
      <w:sz w:val="24"/>
      <w:szCs w:val="22"/>
      <w:lang w:val="en-US"/>
    </w:rPr>
  </w:style>
  <w:style w:type="character" w:styleId="1229" w:customStyle="1">
    <w:name w:val="17"/>
    <w:uiPriority w:val="0"/>
    <w:qFormat/>
    <w:rPr>
      <w:rFonts w:hint="eastAsia" w:ascii="宋体" w:hAnsi="宋体" w:eastAsia="宋体" w:cs="宋体"/>
      <w:color w:val="ff0000"/>
      <w:sz w:val="20"/>
      <w:szCs w:val="20"/>
    </w:rPr>
  </w:style>
  <w:style w:type="character" w:styleId="12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1" w:customStyle="1">
    <w:name w:val="content_lineheight1"/>
    <w:basedOn w:val="1057"/>
    <w:uiPriority w:val="0"/>
    <w:qFormat/>
  </w:style>
  <w:style w:type="character" w:styleId="1232" w:customStyle="1">
    <w:name w:val="标题 3 Char Char"/>
    <w:uiPriority w:val="0"/>
    <w:qFormat/>
    <w:rPr>
      <w:rFonts w:eastAsia="仿宋_GB2312"/>
      <w:b/>
      <w:bCs/>
      <w:sz w:val="28"/>
      <w:szCs w:val="32"/>
      <w:lang w:val="en-US" w:eastAsia="zh-CN" w:bidi="ar-SA"/>
    </w:rPr>
  </w:style>
  <w:style w:type="character" w:styleId="1233" w:customStyle="1">
    <w:name w:val="样式 首行缩进:  0 字符 Char"/>
    <w:link w:val="1234"/>
    <w:uiPriority w:val="0"/>
    <w:qFormat/>
    <w:rPr>
      <w:rFonts w:ascii="Verdana" w:hAnsi="Verdana" w:cs="宋体"/>
      <w:sz w:val="24"/>
    </w:rPr>
  </w:style>
  <w:style w:type="paragraph" w:styleId="1234" w:customStyle="1">
    <w:name w:val="样式 首行缩进:  0 字符"/>
    <w:basedOn w:val="1047"/>
    <w:link w:val="1233"/>
    <w:uiPriority w:val="0"/>
    <w:qFormat/>
    <w:pPr>
      <w:ind w:firstLine="200"/>
      <w:jc w:val="left"/>
      <w:spacing w:line="360" w:lineRule="auto"/>
      <w:widowControl/>
    </w:pPr>
    <w:rPr>
      <w:rFonts w:ascii="Verdana" w:hAnsi="Verdana" w:eastAsiaTheme="minorEastAsia"/>
      <w:sz w:val="24"/>
      <w:szCs w:val="22"/>
      <w:lang w:val="en-US"/>
    </w:rPr>
  </w:style>
  <w:style w:type="character" w:styleId="1235" w:customStyle="1">
    <w:name w:val="标准小四 Char"/>
    <w:uiPriority w:val="0"/>
    <w:qFormat/>
    <w:rPr>
      <w:rFonts w:ascii="Arial" w:hAnsi="Arial" w:eastAsia="宋体"/>
      <w:sz w:val="24"/>
      <w:szCs w:val="21"/>
      <w:lang w:val="en-US" w:eastAsia="zh-CN" w:bidi="ar-SA"/>
    </w:rPr>
  </w:style>
  <w:style w:type="character" w:styleId="1236" w:customStyle="1">
    <w:name w:val="point_normal1"/>
    <w:uiPriority w:val="0"/>
    <w:qFormat/>
    <w:rPr>
      <w:rFonts w:hint="default" w:ascii="Arial" w:hAnsi="Arial" w:cs="Arial"/>
      <w:sz w:val="18"/>
      <w:szCs w:val="18"/>
    </w:rPr>
  </w:style>
  <w:style w:type="character" w:styleId="1237" w:customStyle="1">
    <w:name w:val="normalfont1"/>
    <w:uiPriority w:val="0"/>
    <w:qFormat/>
    <w:rPr>
      <w:rFonts w:hint="default" w:ascii="ˎ̥" w:hAnsi="ˎ̥"/>
      <w:sz w:val="18"/>
      <w:szCs w:val="18"/>
      <w:u w:val="none"/>
    </w:rPr>
  </w:style>
  <w:style w:type="character" w:styleId="1238" w:customStyle="1">
    <w:name w:val="页脚 Char"/>
    <w:link w:val="1083"/>
    <w:uiPriority w:val="0"/>
    <w:qFormat/>
    <w:rPr>
      <w:sz w:val="18"/>
    </w:rPr>
  </w:style>
  <w:style w:type="paragraph" w:styleId="1239" w:customStyle="1">
    <w:name w:val="默认段落字体 Para Char"/>
    <w:basedOn w:val="1047"/>
    <w:uiPriority w:val="0"/>
    <w:qFormat/>
    <w:rPr>
      <w:sz w:val="24"/>
      <w:szCs w:val="24"/>
    </w:rPr>
  </w:style>
  <w:style w:type="character" w:styleId="1240" w:customStyle="1">
    <w:name w:val="批注框文本 Char"/>
    <w:basedOn w:val="1057"/>
    <w:link w:val="1082"/>
    <w:uiPriority w:val="0"/>
    <w:semiHidden/>
    <w:qFormat/>
    <w:rPr>
      <w:rFonts w:ascii="Calibri" w:hAnsi="Calibri" w:eastAsia="Calibri" w:cs="宋体"/>
      <w:sz w:val="18"/>
      <w:szCs w:val="18"/>
      <w:lang w:val="zh-CN"/>
    </w:rPr>
  </w:style>
  <w:style w:type="paragraph" w:styleId="1241" w:customStyle="1">
    <w:name w:val="Char Char Char Char Char Char Char Char"/>
    <w:basedOn w:val="1047"/>
    <w:uiPriority w:val="0"/>
    <w:qFormat/>
    <w:rPr>
      <w:rFonts w:ascii="Tahoma" w:hAnsi="Tahoma"/>
      <w:sz w:val="24"/>
    </w:rPr>
  </w:style>
  <w:style w:type="paragraph" w:styleId="1242" w:customStyle="1">
    <w:name w:val="Char Char1 Char"/>
    <w:basedOn w:val="1047"/>
    <w:uiPriority w:val="0"/>
    <w:qFormat/>
    <w:pPr>
      <w:jc w:val="left"/>
      <w:spacing w:after="160" w:line="240" w:lineRule="exact"/>
      <w:widowControl/>
    </w:pPr>
    <w:rPr>
      <w:rFonts w:ascii="Verdana" w:hAnsi="Verdana"/>
      <w:lang w:eastAsia="en-US"/>
    </w:rPr>
  </w:style>
  <w:style w:type="paragraph" w:styleId="1243" w:customStyle="1">
    <w:name w:val="Char Char Char Char Char Char Char Char Char Char Char Char Char"/>
    <w:basedOn w:val="1066"/>
    <w:uiPriority w:val="0"/>
    <w:qFormat/>
    <w:rPr>
      <w:rFonts w:ascii="Tahoma" w:hAnsi="Tahoma"/>
      <w:sz w:val="24"/>
      <w:szCs w:val="24"/>
    </w:rPr>
  </w:style>
  <w:style w:type="character" w:styleId="1244" w:customStyle="1">
    <w:name w:val="正文文本 2 Char"/>
    <w:basedOn w:val="1057"/>
    <w:link w:val="1100"/>
    <w:uiPriority w:val="0"/>
    <w:qFormat/>
    <w:rPr>
      <w:rFonts w:ascii="楷体_GB2312" w:hAnsi="Calibri" w:eastAsia="楷体_GB2312" w:cs="宋体"/>
      <w:sz w:val="28"/>
      <w:szCs w:val="20"/>
      <w:lang w:val="zh-CN"/>
    </w:rPr>
  </w:style>
  <w:style w:type="paragraph" w:styleId="1245" w:customStyle="1">
    <w:name w:val="Table Text Char"/>
    <w:uiPriority w:val="0"/>
    <w:qFormat/>
    <w:pPr>
      <w:spacing w:before="80" w:after="80"/>
    </w:pPr>
    <w:rPr>
      <w:rFonts w:ascii="Arial" w:hAnsi="Arial" w:eastAsia="宋体" w:cs="Arial"/>
      <w:sz w:val="18"/>
      <w:szCs w:val="28"/>
      <w:lang w:val="en-US" w:eastAsia="zh-CN" w:bidi="ar-SA"/>
    </w:rPr>
  </w:style>
  <w:style w:type="paragraph" w:styleId="1246" w:customStyle="1">
    <w:name w:val="Char Char Char Char Char Char Char Char Char Char Char Char Char Char Char Char Char Char Char Char Char"/>
    <w:basedOn w:val="1047"/>
    <w:uiPriority w:val="0"/>
    <w:qFormat/>
    <w:rPr>
      <w:rFonts w:ascii="Tahoma" w:hAnsi="Tahoma" w:cs="Tahoma"/>
      <w:sz w:val="24"/>
    </w:rPr>
  </w:style>
  <w:style w:type="paragraph" w:styleId="1247" w:customStyle="1">
    <w:name w:val="xl38"/>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8" w:customStyle="1">
    <w:name w:val="xl36"/>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49" w:customStyle="1">
    <w:name w:val="段"/>
    <w:uiPriority w:val="0"/>
    <w:qFormat/>
    <w:pPr>
      <w:ind w:firstLine="200"/>
      <w:jc w:val="both"/>
    </w:pPr>
    <w:rPr>
      <w:rFonts w:ascii="宋体" w:hAnsi="Calibri" w:eastAsia="宋体" w:cs="Times New Roman"/>
      <w:sz w:val="21"/>
      <w:lang w:val="en-US" w:eastAsia="zh-CN" w:bidi="ar-SA"/>
    </w:rPr>
  </w:style>
  <w:style w:type="paragraph" w:styleId="1250" w:customStyle="1">
    <w:name w:val="font13"/>
    <w:basedOn w:val="1047"/>
    <w:uiPriority w:val="0"/>
    <w:qFormat/>
    <w:pPr>
      <w:jc w:val="left"/>
      <w:spacing w:before="100" w:beforeAutospacing="1" w:after="100" w:afterAutospacing="1"/>
      <w:widowControl/>
    </w:pPr>
    <w:rPr>
      <w:i/>
      <w:iCs/>
      <w:sz w:val="36"/>
      <w:szCs w:val="36"/>
    </w:rPr>
  </w:style>
  <w:style w:type="paragraph" w:styleId="1251" w:customStyle="1">
    <w:name w:val="符号与编号 Char"/>
    <w:basedOn w:val="1047"/>
    <w:uiPriority w:val="0"/>
    <w:qFormat/>
    <w:pPr>
      <w:ind w:left="720"/>
      <w:spacing w:line="400" w:lineRule="atLeast"/>
      <w:tabs>
        <w:tab w:val="left" w:pos="720" w:leader="none"/>
      </w:tabs>
    </w:pPr>
    <w:rPr>
      <w:sz w:val="24"/>
      <w:szCs w:val="24"/>
    </w:rPr>
  </w:style>
  <w:style w:type="paragraph" w:styleId="1252" w:customStyle="1">
    <w:name w:val="标题2，章节第二层"/>
    <w:basedOn w:val="1047"/>
    <w:next w:val="125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53" w:customStyle="1">
    <w:name w:val="正文格式"/>
    <w:basedOn w:val="1047"/>
    <w:uiPriority w:val="0"/>
    <w:qFormat/>
    <w:pPr>
      <w:ind w:left="178" w:right="44" w:hanging="178"/>
      <w:jc w:val="left"/>
      <w:spacing w:line="360" w:lineRule="auto"/>
      <w:widowControl/>
    </w:pPr>
    <w:rPr>
      <w:rFonts w:ascii="宋体" w:hAnsi="宋体"/>
      <w:bCs/>
      <w:szCs w:val="21"/>
    </w:rPr>
  </w:style>
  <w:style w:type="paragraph" w:styleId="1254" w:customStyle="1">
    <w:name w:val="正文--表格内正文"/>
    <w:basedOn w:val="1047"/>
    <w:uiPriority w:val="0"/>
    <w:qFormat/>
    <w:pPr>
      <w:jc w:val="center"/>
      <w:spacing w:line="0" w:lineRule="atLeast"/>
    </w:pPr>
    <w:rPr>
      <w:rFonts w:ascii="宋体" w:hAnsi="宋体"/>
      <w:color w:val="000000"/>
      <w:sz w:val="24"/>
      <w:szCs w:val="24"/>
    </w:rPr>
  </w:style>
  <w:style w:type="paragraph" w:styleId="1255" w:customStyle="1">
    <w:name w:val="xl34"/>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56" w:customStyle="1">
    <w:name w:val="Char Char Char"/>
    <w:basedOn w:val="1047"/>
    <w:uiPriority w:val="0"/>
    <w:qFormat/>
    <w:rPr>
      <w:rFonts w:ascii="Tahoma" w:hAnsi="Tahoma"/>
      <w:sz w:val="24"/>
    </w:rPr>
  </w:style>
  <w:style w:type="character" w:styleId="1257" w:customStyle="1">
    <w:name w:val="脚注文本 Char"/>
    <w:basedOn w:val="1057"/>
    <w:link w:val="1092"/>
    <w:uiPriority w:val="0"/>
    <w:qFormat/>
    <w:rPr>
      <w:rFonts w:ascii="Calibri" w:hAnsi="Calibri" w:eastAsia="Calibri" w:cs="宋体"/>
      <w:sz w:val="18"/>
      <w:szCs w:val="18"/>
      <w:lang w:val="zh-CN"/>
    </w:rPr>
  </w:style>
  <w:style w:type="paragraph" w:styleId="1258" w:customStyle="1">
    <w:name w:val="默认段落字体 Para Char Char Char Char Char Char Char Char Char1 Char Char Char Char Char Char Char"/>
    <w:basedOn w:val="1066"/>
    <w:uiPriority w:val="0"/>
    <w:qFormat/>
  </w:style>
  <w:style w:type="paragraph" w:styleId="1259" w:customStyle="1">
    <w:name w:val="正文表标题"/>
    <w:next w:val="1249"/>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260" w:customStyle="1">
    <w:name w:val="Char Char Char Char Char Char"/>
    <w:basedOn w:val="1047"/>
    <w:uiPriority w:val="0"/>
    <w:qFormat/>
    <w:rPr>
      <w:rFonts w:ascii="Tahoma" w:hAnsi="Tahoma" w:cs="Tahoma"/>
      <w:sz w:val="24"/>
    </w:rPr>
  </w:style>
  <w:style w:type="character" w:styleId="1261" w:customStyle="1">
    <w:name w:val="纯文本 Char2"/>
    <w:basedOn w:val="1057"/>
    <w:uiPriority w:val="99"/>
    <w:semiHidden/>
    <w:qFormat/>
    <w:rPr>
      <w:rFonts w:ascii="宋体" w:hAnsi="Courier New" w:eastAsia="宋体" w:cs="Courier New"/>
      <w:szCs w:val="21"/>
      <w:lang w:val="zh-CN"/>
    </w:rPr>
  </w:style>
  <w:style w:type="paragraph" w:styleId="1262" w:customStyle="1">
    <w:name w:val="我的正文"/>
    <w:basedOn w:val="1047"/>
    <w:uiPriority w:val="0"/>
    <w:qFormat/>
    <w:pPr>
      <w:ind w:firstLine="420"/>
      <w:jc w:val="left"/>
      <w:spacing w:line="360" w:lineRule="auto"/>
      <w:widowControl/>
    </w:pPr>
    <w:rPr>
      <w:rFonts w:ascii="宋体" w:hAnsi="宋体"/>
      <w:szCs w:val="21"/>
    </w:rPr>
  </w:style>
  <w:style w:type="paragraph" w:styleId="1263" w:customStyle="1">
    <w:name w:val="列出段落1"/>
    <w:basedOn w:val="1047"/>
    <w:uiPriority w:val="0"/>
    <w:qFormat/>
    <w:pPr>
      <w:contextualSpacing/>
      <w:ind w:left="720"/>
      <w:jc w:val="left"/>
      <w:widowControl/>
    </w:pPr>
    <w:rPr>
      <w:rFonts w:ascii="Arial" w:hAnsi="Arial" w:eastAsia="黑体"/>
      <w:sz w:val="24"/>
      <w:szCs w:val="24"/>
      <w:lang w:eastAsia="en-US"/>
    </w:rPr>
  </w:style>
  <w:style w:type="character" w:styleId="1264" w:customStyle="1">
    <w:name w:val="标题 Char2"/>
    <w:basedOn w:val="1057"/>
    <w:uiPriority w:val="10"/>
    <w:qFormat/>
    <w:rPr>
      <w:rFonts w:eastAsia="宋体" w:asciiTheme="majorHAnsi" w:hAnsiTheme="majorHAnsi" w:cstheme="majorBidi"/>
      <w:b/>
      <w:bCs/>
      <w:sz w:val="32"/>
      <w:szCs w:val="32"/>
      <w:lang w:val="zh-CN"/>
    </w:rPr>
  </w:style>
  <w:style w:type="paragraph" w:styleId="126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66" w:customStyle="1">
    <w:name w:val="样式 标题 2第一章 标题 2Heading 2 HiddenHeading 2 CCBSheading 2H2h2..."/>
    <w:basedOn w:val="1049"/>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67" w:customStyle="1">
    <w:name w:val="正文文本缩进 Char1"/>
    <w:basedOn w:val="1057"/>
    <w:uiPriority w:val="99"/>
    <w:semiHidden/>
    <w:qFormat/>
    <w:rPr>
      <w:rFonts w:ascii="Calibri" w:hAnsi="Calibri" w:eastAsia="Calibri" w:cs="宋体"/>
      <w:sz w:val="20"/>
      <w:szCs w:val="20"/>
      <w:lang w:val="zh-CN"/>
    </w:rPr>
  </w:style>
  <w:style w:type="paragraph" w:styleId="1268" w:customStyle="1">
    <w:name w:val="样式 样式 首行缩进:  0.74 厘米 行距: 1.5 倍行距 + 段后: 0.5 行"/>
    <w:basedOn w:val="1047"/>
    <w:uiPriority w:val="0"/>
    <w:qFormat/>
    <w:pPr>
      <w:ind w:firstLine="420"/>
      <w:spacing w:line="360" w:lineRule="auto"/>
    </w:pPr>
    <w:rPr>
      <w:rFonts w:ascii="楷体_GB2312" w:eastAsia="楷体_GB2312"/>
      <w:bCs/>
      <w:sz w:val="24"/>
    </w:rPr>
  </w:style>
  <w:style w:type="paragraph" w:styleId="1269" w:customStyle="1">
    <w:name w:val="Char Char Char Char Char Char Char1 Char"/>
    <w:basedOn w:val="1047"/>
    <w:uiPriority w:val="0"/>
    <w:qFormat/>
    <w:rPr>
      <w:rFonts w:ascii="Tahoma" w:hAnsi="Tahoma" w:cs="Tahoma"/>
      <w:sz w:val="24"/>
    </w:rPr>
  </w:style>
  <w:style w:type="paragraph" w:styleId="1270" w:customStyle="1">
    <w:name w:val="Char Char Char Char Char Char Char"/>
    <w:basedOn w:val="1047"/>
    <w:uiPriority w:val="0"/>
    <w:qFormat/>
    <w:rPr>
      <w:rFonts w:ascii="Tahoma" w:hAnsi="Tahoma"/>
      <w:sz w:val="24"/>
    </w:rPr>
  </w:style>
  <w:style w:type="paragraph" w:styleId="1271" w:customStyle="1">
    <w:name w:val="华宇段落1 Char"/>
    <w:basedOn w:val="1047"/>
    <w:uiPriority w:val="0"/>
    <w:qFormat/>
    <w:pPr>
      <w:ind w:firstLine="200"/>
      <w:spacing w:line="360" w:lineRule="auto"/>
    </w:pPr>
    <w:rPr>
      <w:bCs/>
      <w:sz w:val="24"/>
      <w:szCs w:val="24"/>
    </w:rPr>
  </w:style>
  <w:style w:type="character" w:styleId="1272" w:customStyle="1">
    <w:name w:val="正文文本 Char"/>
    <w:basedOn w:val="1057"/>
    <w:link w:val="1071"/>
    <w:uiPriority w:val="99"/>
    <w:semiHidden/>
    <w:qFormat/>
    <w:rPr>
      <w:rFonts w:ascii="Calibri" w:hAnsi="Calibri" w:eastAsia="Calibri" w:cs="宋体"/>
      <w:sz w:val="20"/>
      <w:szCs w:val="20"/>
      <w:lang w:val="zh-CN"/>
    </w:rPr>
  </w:style>
  <w:style w:type="character" w:styleId="1273" w:customStyle="1">
    <w:name w:val="正文首行缩进 Char"/>
    <w:basedOn w:val="1272"/>
    <w:link w:val="1106"/>
    <w:uiPriority w:val="0"/>
    <w:qFormat/>
    <w:rPr>
      <w:rFonts w:ascii="Times New Roman" w:hAnsi="Times New Roman" w:eastAsia="宋体" w:cs="宋体"/>
      <w:sz w:val="20"/>
      <w:szCs w:val="24"/>
      <w:lang w:val="zh-CN"/>
    </w:rPr>
  </w:style>
  <w:style w:type="paragraph" w:styleId="1274" w:customStyle="1">
    <w:name w:val="Char Char Char Char"/>
    <w:basedOn w:val="1047"/>
    <w:uiPriority w:val="0"/>
    <w:qFormat/>
    <w:pPr>
      <w:jc w:val="center"/>
      <w:spacing w:after="160" w:line="240" w:lineRule="exact"/>
      <w:widowControl/>
    </w:pPr>
    <w:rPr>
      <w:rFonts w:ascii="黑体" w:hAnsi="Verdana" w:eastAsia="黑体"/>
      <w:sz w:val="32"/>
      <w:szCs w:val="32"/>
      <w:lang w:eastAsia="en-US"/>
    </w:rPr>
  </w:style>
  <w:style w:type="character" w:styleId="1275" w:customStyle="1">
    <w:name w:val="正文文本缩进 2 Char1"/>
    <w:basedOn w:val="1057"/>
    <w:uiPriority w:val="99"/>
    <w:semiHidden/>
    <w:qFormat/>
    <w:rPr>
      <w:rFonts w:ascii="Calibri" w:hAnsi="Calibri" w:eastAsia="Calibri" w:cs="宋体"/>
      <w:sz w:val="20"/>
      <w:szCs w:val="20"/>
      <w:lang w:val="zh-CN"/>
    </w:rPr>
  </w:style>
  <w:style w:type="paragraph" w:styleId="1276" w:customStyle="1">
    <w:name w:val="xl25"/>
    <w:basedOn w:val="1047"/>
    <w:uiPriority w:val="0"/>
    <w:qFormat/>
    <w:pPr>
      <w:jc w:val="center"/>
      <w:spacing w:before="100" w:beforeAutospacing="1" w:after="100" w:afterAutospacing="1"/>
      <w:widowControl/>
      <w:pBdr>
        <w:right w:val="single" w:color="auto" w:sz="4" w:space="0"/>
      </w:pBdr>
    </w:pPr>
    <w:rPr>
      <w:szCs w:val="21"/>
    </w:rPr>
  </w:style>
  <w:style w:type="paragraph" w:styleId="1277" w:customStyle="1">
    <w:name w:val="标题6"/>
    <w:basedOn w:val="1052"/>
    <w:uiPriority w:val="0"/>
    <w:qFormat/>
    <w:pPr>
      <w:ind w:left="420" w:hanging="420"/>
      <w:keepLines/>
      <w:tabs>
        <w:tab w:val="left" w:pos="420" w:leader="none"/>
      </w:tabs>
    </w:pPr>
    <w:rPr>
      <w:rFonts w:ascii="Times New Roman"/>
      <w:b w:val="0"/>
      <w:bCs/>
      <w:color w:val="auto"/>
      <w:sz w:val="24"/>
      <w:szCs w:val="28"/>
    </w:rPr>
  </w:style>
  <w:style w:type="paragraph" w:styleId="1278" w:customStyle="1">
    <w:name w:val="content_lineheight"/>
    <w:basedOn w:val="1047"/>
    <w:uiPriority w:val="0"/>
    <w:qFormat/>
    <w:pPr>
      <w:jc w:val="left"/>
      <w:spacing w:before="100" w:beforeAutospacing="1" w:after="100" w:afterAutospacing="1"/>
      <w:widowControl/>
    </w:pPr>
    <w:rPr>
      <w:rFonts w:ascii="宋体" w:hAnsi="宋体"/>
      <w:sz w:val="24"/>
      <w:szCs w:val="24"/>
    </w:rPr>
  </w:style>
  <w:style w:type="paragraph" w:styleId="1279" w:customStyle="1">
    <w:name w:val="Char Char Char Char Char Char Char Char Char Char Char Char Char Char Char Char Char Char Char Char Char Char Char"/>
    <w:basedOn w:val="1047"/>
    <w:uiPriority w:val="0"/>
    <w:qFormat/>
    <w:rPr>
      <w:rFonts w:ascii="Tahoma" w:hAnsi="Tahoma"/>
      <w:sz w:val="24"/>
    </w:rPr>
  </w:style>
  <w:style w:type="paragraph" w:styleId="1280" w:customStyle="1">
    <w:name w:val="font5"/>
    <w:basedOn w:val="1047"/>
    <w:uiPriority w:val="0"/>
    <w:qFormat/>
    <w:pPr>
      <w:jc w:val="left"/>
      <w:spacing w:before="100" w:beforeAutospacing="1" w:after="100" w:afterAutospacing="1"/>
      <w:widowControl/>
    </w:pPr>
    <w:rPr>
      <w:rFonts w:ascii="宋体" w:hAnsi="宋体"/>
      <w:sz w:val="18"/>
      <w:szCs w:val="18"/>
    </w:rPr>
  </w:style>
  <w:style w:type="paragraph" w:styleId="1281" w:customStyle="1">
    <w:name w:val="正文 首行缩进:  2 字符 Char Char"/>
    <w:basedOn w:val="1047"/>
    <w:uiPriority w:val="0"/>
    <w:qFormat/>
    <w:pPr>
      <w:ind w:firstLine="480"/>
      <w:spacing w:line="360" w:lineRule="auto"/>
    </w:pPr>
    <w:rPr>
      <w:rFonts w:ascii="楷体_GB2312" w:eastAsia="楷体_GB2312"/>
      <w:bCs/>
      <w:sz w:val="24"/>
      <w:szCs w:val="24"/>
    </w:rPr>
  </w:style>
  <w:style w:type="paragraph" w:styleId="1282" w:customStyle="1">
    <w:name w:val="xl37"/>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283" w:customStyle="1">
    <w:name w:val="文档结构图 Char1"/>
    <w:basedOn w:val="1057"/>
    <w:uiPriority w:val="99"/>
    <w:semiHidden/>
    <w:qFormat/>
    <w:rPr>
      <w:rFonts w:ascii="宋体" w:hAnsi="Calibri" w:eastAsia="宋体" w:cs="宋体"/>
      <w:sz w:val="18"/>
      <w:szCs w:val="18"/>
      <w:lang w:val="zh-CN"/>
    </w:rPr>
  </w:style>
  <w:style w:type="character" w:styleId="1284" w:customStyle="1">
    <w:name w:val="页脚 Char1"/>
    <w:basedOn w:val="1057"/>
    <w:uiPriority w:val="99"/>
    <w:semiHidden/>
    <w:qFormat/>
    <w:rPr>
      <w:rFonts w:ascii="Calibri" w:hAnsi="Calibri" w:eastAsia="Calibri" w:cs="宋体"/>
      <w:sz w:val="18"/>
      <w:szCs w:val="18"/>
      <w:lang w:val="zh-CN"/>
    </w:rPr>
  </w:style>
  <w:style w:type="paragraph" w:styleId="128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6" w:customStyle="1">
    <w:name w:val="Char1"/>
    <w:basedOn w:val="1047"/>
    <w:uiPriority w:val="0"/>
    <w:qFormat/>
    <w:rPr>
      <w:rFonts w:ascii="仿宋_GB2312" w:hAnsi="宋体" w:eastAsia="仿宋_GB2312"/>
      <w:b/>
      <w:sz w:val="32"/>
      <w:szCs w:val="32"/>
    </w:rPr>
  </w:style>
  <w:style w:type="paragraph" w:styleId="1287" w:customStyle="1">
    <w:name w:val="部分1"/>
    <w:basedOn w:val="1047"/>
    <w:uiPriority w:val="0"/>
    <w:qFormat/>
    <w:pPr>
      <w:jc w:val="center"/>
      <w:keepNext/>
      <w:pageBreakBefore/>
      <w:spacing w:line="360" w:lineRule="auto"/>
      <w:tabs>
        <w:tab w:val="left" w:pos="360" w:leader="none"/>
      </w:tabs>
      <w:outlineLvl w:val="0"/>
    </w:pPr>
    <w:rPr>
      <w:rFonts w:eastAsia="黑体"/>
      <w:b/>
      <w:sz w:val="36"/>
    </w:rPr>
  </w:style>
  <w:style w:type="character" w:styleId="1288" w:customStyle="1">
    <w:name w:val="批注文字 Char1"/>
    <w:basedOn w:val="1057"/>
    <w:link w:val="1067"/>
    <w:uiPriority w:val="99"/>
    <w:semiHidden/>
    <w:qFormat/>
    <w:rPr>
      <w:rFonts w:ascii="Calibri" w:hAnsi="Calibri" w:eastAsia="Calibri" w:cs="宋体"/>
      <w:sz w:val="20"/>
      <w:szCs w:val="20"/>
      <w:lang w:val="zh-CN"/>
    </w:rPr>
  </w:style>
  <w:style w:type="character" w:styleId="1289" w:customStyle="1">
    <w:name w:val="批注主题 Char1"/>
    <w:basedOn w:val="1288"/>
    <w:uiPriority w:val="99"/>
    <w:semiHidden/>
    <w:qFormat/>
    <w:rPr>
      <w:rFonts w:ascii="Calibri" w:hAnsi="Calibri" w:eastAsia="Calibri" w:cs="宋体"/>
      <w:b/>
      <w:bCs/>
      <w:sz w:val="20"/>
      <w:szCs w:val="20"/>
      <w:lang w:val="zh-CN"/>
    </w:rPr>
  </w:style>
  <w:style w:type="character" w:styleId="1290" w:customStyle="1">
    <w:name w:val="HTML 预设格式 Char1"/>
    <w:basedOn w:val="1057"/>
    <w:uiPriority w:val="99"/>
    <w:semiHidden/>
    <w:qFormat/>
    <w:rPr>
      <w:rFonts w:ascii="Courier New" w:hAnsi="Courier New" w:eastAsia="Calibri" w:cs="Courier New"/>
      <w:sz w:val="20"/>
      <w:szCs w:val="20"/>
      <w:lang w:val="zh-CN"/>
    </w:rPr>
  </w:style>
  <w:style w:type="paragraph" w:styleId="1291" w:customStyle="1">
    <w:name w:val="项目符号：一级"/>
    <w:basedOn w:val="1253"/>
    <w:next w:val="1253"/>
    <w:uiPriority w:val="0"/>
    <w:qFormat/>
    <w:pPr>
      <w:ind w:right="-134"/>
    </w:pPr>
    <w:rPr>
      <w:bCs w:val="0"/>
      <w:lang w:val="en-US"/>
    </w:rPr>
  </w:style>
  <w:style w:type="paragraph" w:styleId="1292" w:customStyle="1">
    <w:name w:val="列出段落11"/>
    <w:basedOn w:val="1047"/>
    <w:uiPriority w:val="0"/>
    <w:qFormat/>
    <w:pPr>
      <w:contextualSpacing/>
      <w:ind w:left="720"/>
      <w:jc w:val="left"/>
      <w:widowControl/>
    </w:pPr>
    <w:rPr>
      <w:rFonts w:ascii="Arial" w:hAnsi="Arial" w:eastAsia="黑体"/>
      <w:sz w:val="24"/>
      <w:szCs w:val="24"/>
      <w:lang w:eastAsia="en-US"/>
    </w:rPr>
  </w:style>
  <w:style w:type="paragraph" w:styleId="1293" w:customStyle="1">
    <w:name w:val="Char Char Char Char Char Char Char Char Char Char Char Char Char Char Char Char Char Char Char Char Char1"/>
    <w:basedOn w:val="1047"/>
    <w:uiPriority w:val="0"/>
    <w:qFormat/>
    <w:rPr>
      <w:rFonts w:ascii="Tahoma" w:hAnsi="Tahoma"/>
      <w:sz w:val="24"/>
    </w:rPr>
  </w:style>
  <w:style w:type="paragraph" w:styleId="1294" w:customStyle="1">
    <w:name w:val="font8"/>
    <w:basedOn w:val="1047"/>
    <w:uiPriority w:val="0"/>
    <w:qFormat/>
    <w:pPr>
      <w:jc w:val="left"/>
      <w:spacing w:before="100" w:beforeAutospacing="1" w:after="100" w:afterAutospacing="1"/>
      <w:widowControl/>
    </w:pPr>
    <w:rPr>
      <w:rFonts w:ascii="宋体" w:hAnsi="宋体"/>
      <w:b/>
      <w:bCs/>
      <w:i/>
      <w:iCs/>
    </w:rPr>
  </w:style>
  <w:style w:type="paragraph" w:styleId="1295" w:customStyle="1">
    <w:name w:val="Char Char1 Char Char Char Char1 Char Char Char Char Char Char"/>
    <w:basedOn w:val="1047"/>
    <w:uiPriority w:val="0"/>
    <w:qFormat/>
    <w:rPr>
      <w:rFonts w:ascii="Tahoma" w:hAnsi="Tahoma"/>
      <w:sz w:val="24"/>
    </w:rPr>
  </w:style>
  <w:style w:type="character" w:styleId="1296" w:customStyle="1">
    <w:name w:val="正文文本缩进 3 Char1"/>
    <w:basedOn w:val="1057"/>
    <w:uiPriority w:val="99"/>
    <w:semiHidden/>
    <w:qFormat/>
    <w:rPr>
      <w:rFonts w:ascii="Calibri" w:hAnsi="Calibri" w:eastAsia="Calibri" w:cs="宋体"/>
      <w:sz w:val="16"/>
      <w:szCs w:val="16"/>
      <w:lang w:val="zh-CN"/>
    </w:rPr>
  </w:style>
  <w:style w:type="paragraph" w:styleId="1297" w:customStyle="1">
    <w:name w:val="p0"/>
    <w:basedOn w:val="1047"/>
    <w:uiPriority w:val="0"/>
    <w:qFormat/>
    <w:pPr>
      <w:jc w:val="left"/>
      <w:spacing w:before="100" w:beforeAutospacing="1" w:after="100" w:afterAutospacing="1"/>
      <w:widowControl/>
    </w:pPr>
    <w:rPr>
      <w:rFonts w:ascii="宋体" w:hAnsi="宋体"/>
      <w:sz w:val="24"/>
      <w:szCs w:val="24"/>
    </w:rPr>
  </w:style>
  <w:style w:type="paragraph" w:styleId="1298" w:customStyle="1">
    <w:name w:val="Char Char Char Char Char Char Char Char Char Char Char Char Char Char"/>
    <w:basedOn w:val="1047"/>
    <w:uiPriority w:val="0"/>
    <w:qFormat/>
    <w:rPr>
      <w:rFonts w:ascii="Tahoma" w:hAnsi="Tahoma"/>
      <w:sz w:val="24"/>
    </w:rPr>
  </w:style>
  <w:style w:type="character" w:styleId="1299" w:customStyle="1">
    <w:name w:val="副标题 Char"/>
    <w:basedOn w:val="1057"/>
    <w:link w:val="1091"/>
    <w:uiPriority w:val="0"/>
    <w:qFormat/>
    <w:rPr>
      <w:rFonts w:ascii="Cambria" w:hAnsi="Cambria" w:eastAsia="Calibri" w:cs="宋体"/>
      <w:i/>
      <w:iCs/>
      <w:spacing w:val="13"/>
      <w:sz w:val="24"/>
      <w:szCs w:val="24"/>
      <w:lang w:val="zh-CN" w:eastAsia="en-US" w:bidi="en-US"/>
    </w:rPr>
  </w:style>
  <w:style w:type="paragraph" w:styleId="1300" w:customStyle="1">
    <w:name w:val="xl29"/>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01" w:customStyle="1">
    <w:name w:val="font9"/>
    <w:basedOn w:val="1047"/>
    <w:uiPriority w:val="0"/>
    <w:qFormat/>
    <w:pPr>
      <w:jc w:val="left"/>
      <w:spacing w:before="100" w:beforeAutospacing="1" w:after="100" w:afterAutospacing="1"/>
      <w:widowControl/>
    </w:pPr>
    <w:rPr>
      <w:b/>
      <w:bCs/>
    </w:rPr>
  </w:style>
  <w:style w:type="character" w:styleId="1302" w:customStyle="1">
    <w:name w:val="日期 Char"/>
    <w:basedOn w:val="1057"/>
    <w:link w:val="1079"/>
    <w:uiPriority w:val="0"/>
    <w:qFormat/>
    <w:rPr>
      <w:rFonts w:ascii="Calibri" w:hAnsi="Calibri" w:eastAsia="Calibri" w:cs="宋体"/>
      <w:sz w:val="28"/>
      <w:szCs w:val="20"/>
      <w:lang w:val="zh-CN"/>
    </w:rPr>
  </w:style>
  <w:style w:type="paragraph" w:styleId="1303" w:customStyle="1">
    <w:name w:val="样式 加点正文 + 段前: 0.5 行 段后: 0.5 行1"/>
    <w:basedOn w:val="1047"/>
    <w:uiPriority w:val="0"/>
    <w:qFormat/>
    <w:pPr>
      <w:ind w:left="1268" w:hanging="420"/>
      <w:spacing w:line="300" w:lineRule="auto"/>
      <w:tabs>
        <w:tab w:val="left" w:pos="420" w:leader="none"/>
        <w:tab w:val="left" w:pos="1268" w:leader="none"/>
      </w:tabs>
    </w:pPr>
    <w:rPr>
      <w:sz w:val="24"/>
    </w:rPr>
  </w:style>
  <w:style w:type="paragraph" w:styleId="1304" w:customStyle="1">
    <w:name w:val="Char Char Char Char Char Char Char Char Char Char Char"/>
    <w:basedOn w:val="1047"/>
    <w:uiPriority w:val="0"/>
    <w:qFormat/>
    <w:rPr>
      <w:rFonts w:ascii="Tahoma" w:hAnsi="Tahoma"/>
      <w:sz w:val="24"/>
    </w:rPr>
  </w:style>
  <w:style w:type="paragraph" w:styleId="1305" w:customStyle="1">
    <w:name w:val="font7"/>
    <w:basedOn w:val="1047"/>
    <w:uiPriority w:val="0"/>
    <w:qFormat/>
    <w:pPr>
      <w:jc w:val="left"/>
      <w:spacing w:before="100" w:beforeAutospacing="1" w:after="100" w:afterAutospacing="1"/>
      <w:widowControl/>
    </w:pPr>
    <w:rPr>
      <w:rFonts w:hint="eastAsia" w:ascii="宋体" w:hAnsi="宋体"/>
      <w:b/>
      <w:bCs/>
      <w:sz w:val="24"/>
      <w:szCs w:val="24"/>
    </w:rPr>
  </w:style>
  <w:style w:type="character" w:styleId="1306" w:customStyle="1">
    <w:name w:val="签名 Char"/>
    <w:basedOn w:val="1057"/>
    <w:link w:val="1086"/>
    <w:uiPriority w:val="0"/>
    <w:qFormat/>
    <w:rPr>
      <w:rFonts w:ascii="Calibri" w:hAnsi="Calibri" w:eastAsia="仿宋_GB2312" w:cs="宋体"/>
      <w:sz w:val="24"/>
      <w:szCs w:val="20"/>
      <w:lang w:val="zh-CN"/>
    </w:rPr>
  </w:style>
  <w:style w:type="paragraph" w:styleId="1307" w:customStyle="1">
    <w:name w:val="flName"/>
    <w:basedOn w:val="1308"/>
    <w:uiPriority w:val="0"/>
    <w:qFormat/>
    <w:pPr>
      <w:spacing w:before="0" w:line="113" w:lineRule="atLeast"/>
    </w:pPr>
  </w:style>
  <w:style w:type="paragraph" w:styleId="1308" w:customStyle="1">
    <w:name w:val="flNote"/>
    <w:basedOn w:val="1047"/>
    <w:uiPriority w:val="0"/>
    <w:qFormat/>
    <w:pPr>
      <w:jc w:val="center"/>
      <w:spacing w:before="567" w:line="360" w:lineRule="atLeast"/>
    </w:pPr>
    <w:rPr>
      <w:rFonts w:eastAsia="黑体"/>
      <w:b/>
      <w:sz w:val="24"/>
    </w:rPr>
  </w:style>
  <w:style w:type="paragraph" w:styleId="1309" w:customStyle="1">
    <w:name w:val="插图"/>
    <w:basedOn w:val="1047"/>
    <w:uiPriority w:val="0"/>
    <w:qFormat/>
    <w:pPr>
      <w:jc w:val="center"/>
      <w:tabs>
        <w:tab w:val="left" w:pos="1620" w:leader="none"/>
      </w:tabs>
    </w:pPr>
    <w:rPr>
      <w:bCs/>
      <w:color w:val="000000"/>
      <w:szCs w:val="22"/>
    </w:rPr>
  </w:style>
  <w:style w:type="paragraph" w:styleId="1310" w:customStyle="1">
    <w:name w:val="xl51"/>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311" w:customStyle="1">
    <w:name w:val="Char Char1"/>
    <w:basedOn w:val="1047"/>
    <w:uiPriority w:val="0"/>
    <w:qFormat/>
    <w:rPr>
      <w:rFonts w:ascii="Tahoma" w:hAnsi="Tahoma" w:cs="Tahoma"/>
      <w:sz w:val="24"/>
    </w:rPr>
  </w:style>
  <w:style w:type="paragraph" w:styleId="1312" w:customStyle="1">
    <w:name w:val="xl24"/>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13" w:customStyle="1">
    <w:name w:val="xl56"/>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314" w:customStyle="1">
    <w:name w:val="默认段落字体 Para Char Char Char Char Char Char Char"/>
    <w:basedOn w:val="1047"/>
    <w:uiPriority w:val="0"/>
    <w:qFormat/>
  </w:style>
  <w:style w:type="paragraph" w:styleId="1315" w:customStyle="1">
    <w:name w:val="项目符号，一级"/>
    <w:basedOn w:val="1253"/>
    <w:next w:val="1253"/>
    <w:uiPriority w:val="0"/>
    <w:qFormat/>
    <w:pPr>
      <w:ind w:left="376" w:firstLine="0"/>
      <w:spacing w:line="240" w:lineRule="atLeast"/>
      <w:tabs>
        <w:tab w:val="left" w:pos="1320" w:leader="none"/>
      </w:tabs>
    </w:pPr>
    <w:rPr>
      <w:bCs w:val="0"/>
      <w:color w:val="000000"/>
      <w:szCs w:val="24"/>
    </w:rPr>
  </w:style>
  <w:style w:type="paragraph" w:styleId="1316" w:customStyle="1">
    <w:name w:val="二级条标题"/>
    <w:basedOn w:val="1047"/>
    <w:next w:val="1249"/>
    <w:uiPriority w:val="0"/>
    <w:qFormat/>
    <w:pPr>
      <w:ind w:hanging="420"/>
      <w:widowControl/>
      <w:tabs>
        <w:tab w:val="left" w:pos="2240" w:leader="none"/>
      </w:tabs>
      <w:outlineLvl w:val="3"/>
    </w:pPr>
    <w:rPr>
      <w:rFonts w:eastAsia="黑体"/>
    </w:rPr>
  </w:style>
  <w:style w:type="paragraph" w:styleId="1317" w:customStyle="1">
    <w:name w:val="标题5，章节第五层"/>
    <w:basedOn w:val="1047"/>
    <w:next w:val="104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8" w:customStyle="1">
    <w:name w:val="Char Char Char Char Char Char Char Char1"/>
    <w:basedOn w:val="1047"/>
    <w:uiPriority w:val="0"/>
    <w:qFormat/>
    <w:rPr>
      <w:rFonts w:ascii="Tahoma" w:hAnsi="Tahoma" w:cs="Tahoma"/>
      <w:sz w:val="24"/>
    </w:rPr>
  </w:style>
  <w:style w:type="paragraph" w:styleId="1319" w:customStyle="1">
    <w:name w:val="List Paragraph1"/>
    <w:basedOn w:val="1047"/>
    <w:uiPriority w:val="34"/>
    <w:qFormat/>
    <w:pPr>
      <w:contextualSpacing/>
      <w:ind w:left="720"/>
      <w:jc w:val="left"/>
      <w:spacing w:after="160" w:line="259" w:lineRule="auto"/>
      <w:widowControl/>
    </w:pPr>
    <w:rPr>
      <w:sz w:val="22"/>
    </w:rPr>
  </w:style>
  <w:style w:type="character" w:styleId="1320" w:customStyle="1">
    <w:name w:val="正文文本 3 Char"/>
    <w:basedOn w:val="1057"/>
    <w:link w:val="1070"/>
    <w:uiPriority w:val="0"/>
    <w:qFormat/>
    <w:rPr>
      <w:rFonts w:ascii="仿宋_GB2312" w:hAnsi="Arial" w:eastAsia="仿宋_GB2312" w:cs="宋体"/>
      <w:sz w:val="32"/>
      <w:szCs w:val="20"/>
      <w:lang w:val="zh-CN"/>
    </w:rPr>
  </w:style>
  <w:style w:type="paragraph" w:styleId="1321" w:customStyle="1">
    <w:name w:val="正文1"/>
    <w:basedOn w:val="1047"/>
    <w:uiPriority w:val="0"/>
    <w:qFormat/>
  </w:style>
  <w:style w:type="character" w:styleId="1322" w:customStyle="1">
    <w:name w:val="页眉 Char"/>
    <w:basedOn w:val="1057"/>
    <w:link w:val="1085"/>
    <w:uiPriority w:val="0"/>
    <w:qFormat/>
    <w:rPr>
      <w:rFonts w:ascii="Calibri" w:hAnsi="Calibri" w:eastAsia="Calibri" w:cs="宋体"/>
      <w:sz w:val="18"/>
      <w:szCs w:val="20"/>
      <w:lang w:val="zh-CN"/>
    </w:rPr>
  </w:style>
  <w:style w:type="paragraph" w:styleId="1323" w:customStyle="1">
    <w:name w:val="_Style 42"/>
    <w:basedOn w:val="1047"/>
    <w:next w:val="1071"/>
    <w:uiPriority w:val="0"/>
    <w:qFormat/>
    <w:rPr>
      <w:rFonts w:ascii="楷体_GB2312" w:hAnsi="Arial" w:eastAsia="楷体_GB2312"/>
      <w:sz w:val="28"/>
    </w:rPr>
  </w:style>
  <w:style w:type="paragraph" w:styleId="1324" w:customStyle="1">
    <w:name w:val="xl49"/>
    <w:basedOn w:val="1047"/>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325" w:customStyle="1">
    <w:name w:val="尾注文本 Char"/>
    <w:basedOn w:val="1057"/>
    <w:link w:val="1081"/>
    <w:uiPriority w:val="0"/>
    <w:qFormat/>
    <w:rPr>
      <w:rFonts w:ascii="Calibri" w:hAnsi="Calibri" w:eastAsia="Calibri" w:cs="宋体"/>
      <w:sz w:val="20"/>
      <w:szCs w:val="24"/>
      <w:lang w:val="zh-CN"/>
    </w:rPr>
  </w:style>
  <w:style w:type="paragraph" w:styleId="1326" w:customStyle="1">
    <w:name w:val="Normal1"/>
    <w:basedOn w:val="1047"/>
    <w:uiPriority w:val="0"/>
    <w:qFormat/>
  </w:style>
  <w:style w:type="paragraph" w:styleId="1327" w:customStyle="1">
    <w:name w:val="丁华标题3"/>
    <w:basedOn w:val="1328"/>
    <w:next w:val="132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28" w:customStyle="1">
    <w:name w:val="丁华标题2"/>
    <w:basedOn w:val="1049"/>
    <w:next w:val="1329"/>
    <w:uiPriority w:val="0"/>
    <w:qFormat/>
    <w:pPr>
      <w:numPr>
        <w:ilvl w:val="1"/>
        <w:numId w:val="4"/>
      </w:numPr>
      <w:spacing w:line="415" w:lineRule="auto"/>
    </w:pPr>
    <w:rPr>
      <w:rFonts w:ascii="Arial" w:hAnsi="Arial" w:eastAsia="黑体"/>
      <w:b w:val="0"/>
      <w:sz w:val="28"/>
      <w:szCs w:val="20"/>
    </w:rPr>
  </w:style>
  <w:style w:type="paragraph" w:styleId="1329" w:customStyle="1">
    <w:name w:val="丁华正文"/>
    <w:basedOn w:val="1094"/>
    <w:uiPriority w:val="0"/>
    <w:qFormat/>
    <w:pPr>
      <w:ind w:left="0" w:firstLine="510"/>
      <w:spacing w:line="360" w:lineRule="auto"/>
    </w:pPr>
    <w:rPr>
      <w:rFonts w:ascii="Times New Roman" w:hAnsi="Times New Roman" w:eastAsia="宋体"/>
      <w:color w:val="auto"/>
      <w:sz w:val="24"/>
      <w:szCs w:val="16"/>
    </w:rPr>
  </w:style>
  <w:style w:type="character" w:styleId="1330" w:customStyle="1">
    <w:name w:val="称呼 Char"/>
    <w:basedOn w:val="1057"/>
    <w:link w:val="1069"/>
    <w:uiPriority w:val="0"/>
    <w:qFormat/>
    <w:rPr>
      <w:rFonts w:ascii="仿宋_GB2312" w:hAnsi="Calibri" w:eastAsia="仿宋_GB2312" w:cs="宋体"/>
      <w:sz w:val="28"/>
      <w:szCs w:val="20"/>
      <w:lang w:val="zh-CN"/>
    </w:rPr>
  </w:style>
  <w:style w:type="paragraph" w:styleId="1331" w:customStyle="1">
    <w:name w:val="纯文本1"/>
    <w:basedOn w:val="1047"/>
    <w:uiPriority w:val="0"/>
    <w:qFormat/>
    <w:rPr>
      <w:rFonts w:ascii="宋体" w:hAnsi="宋体" w:eastAsia="楷体_GB2312"/>
      <w:sz w:val="28"/>
    </w:rPr>
  </w:style>
  <w:style w:type="paragraph" w:styleId="1332" w:customStyle="1">
    <w:name w:val="样式"/>
    <w:basedOn w:val="1047"/>
    <w:uiPriority w:val="0"/>
    <w:qFormat/>
    <w:pPr>
      <w:spacing w:before="120" w:after="120" w:line="360" w:lineRule="auto"/>
    </w:pPr>
    <w:rPr>
      <w:rFonts w:ascii="宋体"/>
      <w:sz w:val="24"/>
    </w:rPr>
  </w:style>
  <w:style w:type="paragraph" w:styleId="1333" w:customStyle="1">
    <w:name w:val="样式 段后: 0.5 行 左  0.75 字符"/>
    <w:basedOn w:val="1047"/>
    <w:uiPriority w:val="0"/>
    <w:qFormat/>
    <w:pPr>
      <w:ind w:firstLine="420"/>
      <w:spacing w:line="360" w:lineRule="auto"/>
      <w:widowControl/>
    </w:pPr>
    <w:rPr>
      <w:rFonts w:hAnsi="Arial" w:cs="Arial"/>
      <w:szCs w:val="21"/>
    </w:rPr>
  </w:style>
  <w:style w:type="paragraph" w:styleId="1334" w:customStyle="1">
    <w:name w:val="zw"/>
    <w:basedOn w:val="1047"/>
    <w:uiPriority w:val="0"/>
    <w:qFormat/>
    <w:pPr>
      <w:ind w:firstLine="480"/>
      <w:jc w:val="left"/>
      <w:spacing w:line="360" w:lineRule="auto"/>
      <w:widowControl/>
    </w:pPr>
    <w:rPr>
      <w:rFonts w:ascii="宋体" w:hAnsi="宋体"/>
      <w:bCs/>
      <w:sz w:val="24"/>
    </w:rPr>
  </w:style>
  <w:style w:type="paragraph" w:styleId="1335" w:customStyle="1">
    <w:name w:val="1"/>
    <w:basedOn w:val="1047"/>
    <w:next w:val="1100"/>
    <w:uiPriority w:val="0"/>
    <w:qFormat/>
    <w:pPr>
      <w:spacing w:line="360" w:lineRule="auto"/>
    </w:pPr>
    <w:rPr>
      <w:rFonts w:eastAsia="仿宋_GB2312"/>
      <w:sz w:val="24"/>
      <w:szCs w:val="24"/>
    </w:rPr>
  </w:style>
  <w:style w:type="character" w:styleId="1336" w:customStyle="1">
    <w:name w:val="明显引用 Char1"/>
    <w:basedOn w:val="1057"/>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337" w:customStyle="1">
    <w:name w:val="tableau"/>
    <w:basedOn w:val="1047"/>
    <w:uiPriority w:val="0"/>
    <w:qFormat/>
    <w:pPr>
      <w:jc w:val="center"/>
      <w:spacing w:before="20" w:after="20"/>
      <w:widowControl/>
    </w:pPr>
    <w:rPr>
      <w:rFonts w:ascii="Arial" w:hAnsi="Arial"/>
      <w:sz w:val="16"/>
      <w:lang w:val="en-GB" w:eastAsia="en-US"/>
    </w:rPr>
  </w:style>
  <w:style w:type="paragraph" w:styleId="1338" w:customStyle="1">
    <w:name w:val="Char"/>
    <w:basedOn w:val="1047"/>
    <w:uiPriority w:val="0"/>
    <w:semiHidden/>
    <w:qFormat/>
    <w:rPr>
      <w:rFonts w:ascii="Tahoma" w:hAnsi="Tahoma" w:cs="仿宋_GB2312"/>
      <w:sz w:val="24"/>
      <w:szCs w:val="28"/>
    </w:rPr>
  </w:style>
  <w:style w:type="paragraph" w:styleId="1339" w:customStyle="1">
    <w:name w:val="xl44"/>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340" w:customStyle="1">
    <w:name w:val="xl41"/>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41" w:customStyle="1">
    <w:name w:val="xl62"/>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342" w:customStyle="1">
    <w:name w:val="标准文本"/>
    <w:basedOn w:val="1047"/>
    <w:uiPriority w:val="0"/>
    <w:qFormat/>
    <w:pPr>
      <w:ind w:firstLine="480"/>
      <w:spacing w:line="360" w:lineRule="auto"/>
    </w:pPr>
    <w:rPr>
      <w:sz w:val="24"/>
      <w:szCs w:val="24"/>
    </w:rPr>
  </w:style>
  <w:style w:type="paragraph" w:styleId="1343" w:customStyle="1">
    <w:name w:val="公文正文"/>
    <w:basedOn w:val="1072"/>
    <w:uiPriority w:val="0"/>
    <w:qFormat/>
    <w:pPr>
      <w:ind w:firstLine="200"/>
    </w:pPr>
    <w:rPr>
      <w:rFonts w:ascii="仿宋_GB2312" w:hAnsi="宋体" w:eastAsia="仿宋_GB2312"/>
      <w:sz w:val="28"/>
      <w:szCs w:val="24"/>
    </w:rPr>
  </w:style>
  <w:style w:type="paragraph" w:styleId="1344" w:customStyle="1">
    <w:name w:val="标准小四"/>
    <w:basedOn w:val="1047"/>
    <w:uiPriority w:val="0"/>
    <w:qFormat/>
    <w:pPr>
      <w:ind w:firstLine="480"/>
      <w:spacing w:line="360" w:lineRule="auto"/>
    </w:pPr>
    <w:rPr>
      <w:rFonts w:ascii="Arial" w:hAnsi="Arial"/>
      <w:sz w:val="24"/>
      <w:szCs w:val="21"/>
    </w:rPr>
  </w:style>
  <w:style w:type="paragraph" w:styleId="1345" w:customStyle="1">
    <w:name w:val="xl52"/>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46" w:customStyle="1">
    <w:name w:val="符号与编号"/>
    <w:basedOn w:val="1047"/>
    <w:uiPriority w:val="0"/>
    <w:qFormat/>
    <w:pPr>
      <w:ind w:left="900" w:hanging="420"/>
      <w:spacing w:line="400" w:lineRule="atLeast"/>
      <w:tabs>
        <w:tab w:val="left" w:pos="900" w:leader="none"/>
      </w:tabs>
    </w:pPr>
    <w:rPr>
      <w:sz w:val="24"/>
      <w:szCs w:val="24"/>
    </w:rPr>
  </w:style>
  <w:style w:type="paragraph" w:styleId="1347" w:customStyle="1">
    <w:name w:val="Char Char Char Char Char Char Char Char Char Char Char Char Char Char1"/>
    <w:basedOn w:val="1047"/>
    <w:uiPriority w:val="0"/>
    <w:qFormat/>
    <w:rPr>
      <w:rFonts w:ascii="Tahoma" w:hAnsi="Tahoma" w:cs="Tahoma"/>
      <w:sz w:val="24"/>
    </w:rPr>
  </w:style>
  <w:style w:type="paragraph" w:styleId="1348" w:customStyle="1">
    <w:name w:val="Char Char Char Char Char Char Char Char Char Char Char Char Char Char Char Char Char Char Char Char Char Char Char1"/>
    <w:basedOn w:val="1047"/>
    <w:uiPriority w:val="0"/>
    <w:qFormat/>
    <w:rPr>
      <w:rFonts w:ascii="Tahoma" w:hAnsi="Tahoma" w:cs="Tahoma"/>
      <w:sz w:val="24"/>
    </w:rPr>
  </w:style>
  <w:style w:type="paragraph" w:styleId="1349" w:customStyle="1">
    <w:name w:val="正文 首行缩进:  2 字符 Char"/>
    <w:basedOn w:val="1047"/>
    <w:uiPriority w:val="0"/>
    <w:qFormat/>
    <w:pPr>
      <w:ind w:firstLine="480"/>
      <w:spacing w:line="360" w:lineRule="auto"/>
    </w:pPr>
    <w:rPr>
      <w:sz w:val="24"/>
    </w:rPr>
  </w:style>
  <w:style w:type="paragraph" w:styleId="1350" w:customStyle="1">
    <w:name w:val="xl40"/>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5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35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53" w:customStyle="1">
    <w:name w:val="xl33"/>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54" w:customStyle="1">
    <w:name w:val="Char Char Char Char Char Char Char Char Char"/>
    <w:basedOn w:val="1047"/>
    <w:uiPriority w:val="0"/>
    <w:qFormat/>
    <w:pPr>
      <w:ind w:left="360" w:hanging="360"/>
      <w:tabs>
        <w:tab w:val="left" w:pos="360" w:leader="none"/>
      </w:tabs>
    </w:pPr>
    <w:rPr>
      <w:sz w:val="24"/>
      <w:szCs w:val="24"/>
    </w:rPr>
  </w:style>
  <w:style w:type="paragraph" w:styleId="1355" w:customStyle="1">
    <w:name w:val="Char2"/>
    <w:basedOn w:val="1047"/>
    <w:uiPriority w:val="0"/>
    <w:qFormat/>
    <w:pPr>
      <w:spacing w:line="360" w:lineRule="auto"/>
    </w:pPr>
    <w:rPr>
      <w:rFonts w:ascii="Tahoma" w:hAnsi="Tahoma"/>
      <w:sz w:val="24"/>
    </w:rPr>
  </w:style>
  <w:style w:type="paragraph" w:styleId="1356" w:customStyle="1">
    <w:name w:val="正文文本 21"/>
    <w:basedOn w:val="1047"/>
    <w:uiPriority w:val="0"/>
    <w:qFormat/>
    <w:pPr>
      <w:ind w:left="720" w:hanging="720"/>
      <w:widowControl/>
    </w:pPr>
    <w:rPr>
      <w:sz w:val="24"/>
      <w:lang w:val="en-GB"/>
    </w:rPr>
  </w:style>
  <w:style w:type="paragraph" w:styleId="1357" w:customStyle="1">
    <w:name w:val="Char Char11"/>
    <w:basedOn w:val="1047"/>
    <w:uiPriority w:val="0"/>
    <w:qFormat/>
    <w:rPr>
      <w:rFonts w:ascii="Tahoma" w:hAnsi="Tahoma"/>
      <w:sz w:val="24"/>
    </w:rPr>
  </w:style>
  <w:style w:type="paragraph" w:styleId="1358" w:customStyle="1">
    <w:name w:val="Char Char"/>
    <w:basedOn w:val="1047"/>
    <w:uiPriority w:val="0"/>
    <w:qFormat/>
    <w:rPr>
      <w:rFonts w:ascii="Tahoma" w:hAnsi="Tahoma" w:cs="Tahoma"/>
      <w:sz w:val="24"/>
    </w:rPr>
  </w:style>
  <w:style w:type="paragraph" w:styleId="1359" w:customStyle="1">
    <w:name w:val="a"/>
    <w:basedOn w:val="1047"/>
    <w:uiPriority w:val="0"/>
    <w:qFormat/>
    <w:pPr>
      <w:spacing w:before="100" w:beforeAutospacing="1" w:after="100" w:afterAutospacing="1"/>
      <w:widowControl/>
    </w:pPr>
    <w:rPr>
      <w:rFonts w:ascii="宋体" w:hAnsi="宋体"/>
      <w:sz w:val="24"/>
      <w:szCs w:val="24"/>
    </w:rPr>
  </w:style>
  <w:style w:type="paragraph" w:styleId="1360" w:customStyle="1">
    <w:name w:val="修订1"/>
    <w:uiPriority w:val="0"/>
    <w:semiHidden/>
    <w:qFormat/>
    <w:rPr>
      <w:rFonts w:ascii="Calibri" w:hAnsi="Calibri" w:eastAsia="宋体" w:cs="Times New Roman"/>
      <w:sz w:val="21"/>
      <w:szCs w:val="24"/>
      <w:lang w:val="en-US" w:eastAsia="zh-CN" w:bidi="ar-SA"/>
    </w:rPr>
  </w:style>
  <w:style w:type="paragraph" w:styleId="1361" w:customStyle="1">
    <w:name w:val="文档正文"/>
    <w:basedOn w:val="1047"/>
    <w:uiPriority w:val="0"/>
    <w:qFormat/>
    <w:pPr>
      <w:spacing w:line="360" w:lineRule="auto"/>
    </w:pPr>
    <w:rPr>
      <w:rFonts w:ascii="宋体" w:hAnsi="宋体"/>
      <w:b/>
      <w:bCs/>
      <w:szCs w:val="24"/>
    </w:rPr>
  </w:style>
  <w:style w:type="paragraph" w:styleId="1362" w:customStyle="1">
    <w:name w:val="Default Text"/>
    <w:basedOn w:val="1047"/>
    <w:uiPriority w:val="0"/>
    <w:qFormat/>
    <w:pPr>
      <w:jc w:val="left"/>
      <w:widowControl/>
    </w:pPr>
    <w:rPr>
      <w:sz w:val="24"/>
      <w:lang w:eastAsia="en-US"/>
    </w:rPr>
  </w:style>
  <w:style w:type="paragraph" w:styleId="1363" w:customStyle="1">
    <w:name w:val="正文 + 宋体"/>
    <w:basedOn w:val="1047"/>
    <w:uiPriority w:val="0"/>
    <w:qFormat/>
    <w:pPr>
      <w:ind w:firstLine="420"/>
      <w:spacing w:line="360" w:lineRule="auto"/>
    </w:pPr>
    <w:rPr>
      <w:szCs w:val="24"/>
    </w:rPr>
  </w:style>
  <w:style w:type="paragraph" w:styleId="1364" w:customStyle="1">
    <w:name w:val="正文lzq"/>
    <w:basedOn w:val="1047"/>
    <w:uiPriority w:val="0"/>
    <w:qFormat/>
    <w:pPr>
      <w:ind w:firstLine="480"/>
      <w:spacing w:line="360" w:lineRule="auto"/>
    </w:pPr>
    <w:rPr>
      <w:sz w:val="24"/>
    </w:rPr>
  </w:style>
  <w:style w:type="paragraph" w:styleId="1365" w:customStyle="1">
    <w:name w:val="xl57"/>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366" w:customStyle="1">
    <w:name w:val="Pa5"/>
    <w:basedOn w:val="1047"/>
    <w:next w:val="1047"/>
    <w:uiPriority w:val="0"/>
    <w:qFormat/>
    <w:pPr>
      <w:jc w:val="left"/>
      <w:spacing w:line="241" w:lineRule="atLeast"/>
    </w:pPr>
    <w:rPr>
      <w:rFonts w:ascii="汉仪大黑简" w:eastAsia="汉仪大黑简"/>
      <w:sz w:val="24"/>
      <w:szCs w:val="24"/>
    </w:rPr>
  </w:style>
  <w:style w:type="paragraph" w:styleId="1367" w:customStyle="1">
    <w:name w:val="正文 + Arial Char"/>
    <w:basedOn w:val="1047"/>
    <w:uiPriority w:val="0"/>
    <w:qFormat/>
    <w:pPr>
      <w:ind w:left="315" w:hanging="315"/>
      <w:spacing w:line="300" w:lineRule="auto"/>
      <w:widowControl/>
      <w:tabs>
        <w:tab w:val="left" w:pos="315" w:leader="none"/>
      </w:tabs>
    </w:pPr>
    <w:rPr>
      <w:rFonts w:ascii="Arial" w:hAnsi="Arial" w:cs="Arial"/>
      <w:b/>
      <w:color w:val="000000"/>
    </w:rPr>
  </w:style>
  <w:style w:type="paragraph" w:styleId="1368" w:customStyle="1">
    <w:name w:val="Char Char Char Char Char"/>
    <w:basedOn w:val="1047"/>
    <w:uiPriority w:val="0"/>
    <w:qFormat/>
    <w:rPr>
      <w:rFonts w:ascii="Tahoma" w:hAnsi="Tahoma"/>
      <w:sz w:val="24"/>
    </w:rPr>
  </w:style>
  <w:style w:type="paragraph" w:styleId="1369" w:customStyle="1">
    <w:name w:val="方案正文"/>
    <w:basedOn w:val="1047"/>
    <w:uiPriority w:val="0"/>
    <w:qFormat/>
    <w:pPr>
      <w:ind w:firstLine="359"/>
      <w:jc w:val="left"/>
      <w:spacing w:before="156" w:line="360" w:lineRule="auto"/>
    </w:pPr>
    <w:rPr>
      <w:rFonts w:ascii="Arial" w:hAnsi="Arial"/>
      <w:sz w:val="24"/>
      <w:szCs w:val="21"/>
    </w:rPr>
  </w:style>
  <w:style w:type="paragraph" w:styleId="1370" w:customStyle="1">
    <w:name w:val="xl35"/>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71" w:customStyle="1">
    <w:name w:val="Char Char3"/>
    <w:basedOn w:val="1047"/>
    <w:uiPriority w:val="0"/>
    <w:qFormat/>
    <w:rPr>
      <w:rFonts w:ascii="Tahoma" w:hAnsi="Tahoma"/>
      <w:sz w:val="24"/>
    </w:rPr>
  </w:style>
  <w:style w:type="paragraph" w:styleId="1372" w:customStyle="1">
    <w:name w:val="公文标题 2"/>
    <w:basedOn w:val="1047"/>
    <w:next w:val="1343"/>
    <w:uiPriority w:val="0"/>
    <w:qFormat/>
    <w:pPr>
      <w:outlineLvl w:val="1"/>
    </w:pPr>
    <w:rPr>
      <w:rFonts w:ascii="仿宋_GB2312" w:hAnsi="宋体" w:eastAsia="仿宋_GB2312"/>
      <w:sz w:val="28"/>
      <w:szCs w:val="24"/>
    </w:rPr>
  </w:style>
  <w:style w:type="paragraph" w:styleId="1373" w:customStyle="1">
    <w:name w:val="Char1 Char Char Char"/>
    <w:basedOn w:val="1047"/>
    <w:uiPriority w:val="0"/>
    <w:qFormat/>
    <w:rPr>
      <w:rFonts w:ascii="Tahoma" w:hAnsi="Tahoma" w:cs="Tahoma"/>
      <w:sz w:val="24"/>
    </w:rPr>
  </w:style>
  <w:style w:type="paragraph" w:styleId="1374" w:customStyle="1">
    <w:name w:val="表格内容"/>
    <w:basedOn w:val="1047"/>
    <w:uiPriority w:val="0"/>
    <w:qFormat/>
    <w:pPr>
      <w:jc w:val="center"/>
      <w:spacing w:before="60" w:line="300" w:lineRule="auto"/>
      <w:widowControl/>
    </w:pPr>
  </w:style>
  <w:style w:type="paragraph" w:styleId="1375" w:customStyle="1">
    <w:name w:val="xl43"/>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376" w:customStyle="1">
    <w:name w:val="样式 标题 3H3sect1.2.3BOD 0Heading 3 - oldh3l3CTLevel 3 Head..."/>
    <w:basedOn w:val="1050"/>
    <w:uiPriority w:val="0"/>
    <w:qFormat/>
    <w:pPr>
      <w:jc w:val="left"/>
    </w:pPr>
    <w:rPr>
      <w:rFonts w:cs="宋体"/>
      <w:bCs/>
      <w:sz w:val="30"/>
    </w:rPr>
  </w:style>
  <w:style w:type="paragraph" w:styleId="1377" w:customStyle="1">
    <w:name w:val="Body Text 21"/>
    <w:basedOn w:val="1047"/>
    <w:uiPriority w:val="0"/>
    <w:qFormat/>
    <w:pPr>
      <w:ind w:left="720" w:hanging="720"/>
      <w:widowControl/>
    </w:pPr>
    <w:rPr>
      <w:sz w:val="24"/>
      <w:lang w:val="en-GB"/>
    </w:rPr>
  </w:style>
  <w:style w:type="paragraph" w:styleId="1378" w:customStyle="1">
    <w:name w:val="正文文本 211"/>
    <w:basedOn w:val="1047"/>
    <w:uiPriority w:val="0"/>
    <w:qFormat/>
    <w:pPr>
      <w:ind w:left="720" w:hanging="720"/>
      <w:widowControl/>
    </w:pPr>
    <w:rPr>
      <w:sz w:val="24"/>
      <w:lang w:val="en-GB"/>
    </w:rPr>
  </w:style>
  <w:style w:type="paragraph" w:styleId="1379" w:customStyle="1">
    <w:name w:val="xl50"/>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380" w:customStyle="1">
    <w:name w:val="一级标题"/>
    <w:basedOn w:val="1047"/>
    <w:uiPriority w:val="0"/>
    <w:qFormat/>
    <w:pPr>
      <w:ind w:left="900" w:hanging="420"/>
      <w:spacing w:line="360" w:lineRule="auto"/>
      <w:tabs>
        <w:tab w:val="left" w:pos="903" w:leader="none"/>
      </w:tabs>
    </w:pPr>
    <w:rPr>
      <w:rFonts w:ascii="Arial" w:hAnsi="Arial" w:cs="Arial"/>
      <w:sz w:val="24"/>
    </w:rPr>
  </w:style>
  <w:style w:type="paragraph" w:styleId="1381" w:customStyle="1">
    <w:name w:val="样式 段后: 0.25 行"/>
    <w:basedOn w:val="1047"/>
    <w:uiPriority w:val="0"/>
    <w:qFormat/>
    <w:pPr>
      <w:ind w:firstLine="420"/>
      <w:jc w:val="left"/>
      <w:spacing w:line="300" w:lineRule="auto"/>
      <w:widowControl/>
    </w:pPr>
    <w:rPr>
      <w:rFonts w:ascii="Arial" w:hAnsi="Arial"/>
      <w:sz w:val="22"/>
      <w:lang w:eastAsia="en-US" w:bidi="en-US"/>
    </w:rPr>
  </w:style>
  <w:style w:type="paragraph" w:styleId="1382" w:customStyle="1">
    <w:name w:val="表头_5"/>
    <w:basedOn w:val="1047"/>
    <w:uiPriority w:val="0"/>
    <w:qFormat/>
    <w:pPr>
      <w:spacing w:line="360" w:lineRule="auto"/>
    </w:pPr>
    <w:rPr>
      <w:b/>
      <w:bCs/>
      <w:sz w:val="28"/>
      <w:szCs w:val="21"/>
    </w:rPr>
  </w:style>
  <w:style w:type="paragraph" w:styleId="1383" w:customStyle="1">
    <w:name w:val="Char1 Char Char Char1"/>
    <w:basedOn w:val="1047"/>
    <w:uiPriority w:val="0"/>
    <w:qFormat/>
    <w:rPr>
      <w:rFonts w:ascii="Tahoma" w:hAnsi="Tahoma"/>
      <w:sz w:val="24"/>
    </w:rPr>
  </w:style>
  <w:style w:type="paragraph" w:styleId="1384" w:customStyle="1">
    <w:name w:val="样式3"/>
    <w:basedOn w:val="1047"/>
    <w:next w:val="1047"/>
    <w:uiPriority w:val="0"/>
    <w:qFormat/>
    <w:pPr>
      <w:spacing w:line="360" w:lineRule="auto"/>
    </w:pPr>
  </w:style>
  <w:style w:type="paragraph" w:styleId="1385" w:customStyle="1">
    <w:name w:val="项目符号，二级"/>
    <w:basedOn w:val="1253"/>
    <w:next w:val="125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86" w:customStyle="1">
    <w:name w:val="小四 段落 宋体 Char Char Char Char"/>
    <w:basedOn w:val="1047"/>
    <w:uiPriority w:val="0"/>
    <w:qFormat/>
    <w:pPr>
      <w:ind w:right="-33" w:firstLine="480"/>
      <w:jc w:val="left"/>
      <w:spacing w:line="360" w:lineRule="auto"/>
    </w:pPr>
    <w:rPr>
      <w:sz w:val="24"/>
      <w:szCs w:val="24"/>
    </w:rPr>
  </w:style>
  <w:style w:type="paragraph" w:styleId="1387" w:customStyle="1">
    <w:name w:val="Char Char1 Char Char Char Char"/>
    <w:basedOn w:val="1066"/>
    <w:uiPriority w:val="0"/>
    <w:qFormat/>
    <w:pPr>
      <w:ind w:left="357"/>
      <w:jc w:val="left"/>
      <w:spacing w:line="436" w:lineRule="exact"/>
      <w:outlineLvl w:val="3"/>
    </w:pPr>
    <w:rPr>
      <w:rFonts w:ascii="Tahoma" w:hAnsi="Tahoma" w:cs="Tahoma"/>
      <w:b/>
      <w:sz w:val="24"/>
      <w:szCs w:val="24"/>
    </w:rPr>
  </w:style>
  <w:style w:type="paragraph" w:styleId="1388" w:customStyle="1">
    <w:name w:val="表格内文字"/>
    <w:basedOn w:val="1047"/>
    <w:uiPriority w:val="0"/>
    <w:qFormat/>
    <w:pPr>
      <w:spacing w:line="300" w:lineRule="atLeast"/>
    </w:pPr>
    <w:rPr>
      <w:sz w:val="18"/>
      <w:szCs w:val="24"/>
    </w:rPr>
  </w:style>
  <w:style w:type="paragraph" w:styleId="1389" w:customStyle="1">
    <w:name w:val="章标题"/>
    <w:next w:val="1249"/>
    <w:uiPriority w:val="0"/>
    <w:qFormat/>
    <w:pPr>
      <w:jc w:val="both"/>
      <w:outlineLvl w:val="1"/>
    </w:pPr>
    <w:rPr>
      <w:rFonts w:ascii="Calibri" w:hAnsi="Calibri" w:eastAsia="黑体" w:cs="Times New Roman"/>
      <w:sz w:val="21"/>
      <w:lang w:val="en-US" w:eastAsia="zh-CN" w:bidi="ar-SA"/>
    </w:rPr>
  </w:style>
  <w:style w:type="paragraph" w:styleId="1390" w:customStyle="1">
    <w:name w:val="xl63"/>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91" w:customStyle="1">
    <w:name w:val="7"/>
    <w:basedOn w:val="1047"/>
    <w:next w:val="1102"/>
    <w:uiPriority w:val="0"/>
    <w:qFormat/>
    <w:pPr>
      <w:jc w:val="left"/>
      <w:spacing w:before="100" w:beforeAutospacing="1" w:after="100" w:afterAutospacing="1"/>
      <w:widowControl/>
    </w:pPr>
    <w:rPr>
      <w:rFonts w:ascii="宋体" w:hAnsi="宋体"/>
      <w:sz w:val="24"/>
    </w:rPr>
  </w:style>
  <w:style w:type="paragraph" w:styleId="1392" w:customStyle="1">
    <w:name w:val="font12"/>
    <w:basedOn w:val="1047"/>
    <w:uiPriority w:val="0"/>
    <w:qFormat/>
    <w:pPr>
      <w:jc w:val="left"/>
      <w:spacing w:before="100" w:beforeAutospacing="1" w:after="100" w:afterAutospacing="1"/>
      <w:widowControl/>
    </w:pPr>
    <w:rPr>
      <w:rFonts w:ascii="宋体" w:hAnsi="宋体"/>
      <w:sz w:val="36"/>
      <w:szCs w:val="36"/>
    </w:rPr>
  </w:style>
  <w:style w:type="paragraph" w:styleId="1393" w:customStyle="1">
    <w:name w:val="xl42"/>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94" w:customStyle="1">
    <w:name w:val="正文11"/>
    <w:basedOn w:val="1047"/>
    <w:next w:val="1047"/>
    <w:uiPriority w:val="0"/>
    <w:qFormat/>
    <w:pPr>
      <w:ind w:firstLine="510"/>
      <w:spacing w:before="156" w:line="360" w:lineRule="auto"/>
    </w:pPr>
    <w:rPr>
      <w:sz w:val="24"/>
    </w:rPr>
  </w:style>
  <w:style w:type="paragraph" w:styleId="1395" w:customStyle="1">
    <w:name w:val="小四 段落 宋体 Char Char Char"/>
    <w:basedOn w:val="1064"/>
    <w:uiPriority w:val="0"/>
    <w:qFormat/>
    <w:pPr>
      <w:ind w:left="0" w:right="-33" w:firstLine="545"/>
      <w:jc w:val="left"/>
      <w:spacing w:line="360" w:lineRule="auto"/>
      <w:tabs>
        <w:tab w:val="clear" w:pos="2952" w:leader="none"/>
      </w:tabs>
    </w:pPr>
    <w:rPr>
      <w:sz w:val="24"/>
    </w:rPr>
  </w:style>
  <w:style w:type="paragraph" w:styleId="1396" w:customStyle="1">
    <w:name w:val="font11"/>
    <w:basedOn w:val="1047"/>
    <w:uiPriority w:val="0"/>
    <w:qFormat/>
    <w:pPr>
      <w:jc w:val="left"/>
      <w:spacing w:before="100" w:beforeAutospacing="1" w:after="100" w:afterAutospacing="1"/>
      <w:widowControl/>
    </w:pPr>
    <w:rPr>
      <w:b/>
      <w:bCs/>
      <w:sz w:val="18"/>
      <w:szCs w:val="18"/>
    </w:rPr>
  </w:style>
  <w:style w:type="paragraph" w:styleId="1397" w:customStyle="1">
    <w:name w:val="Test2"/>
    <w:basedOn w:val="1049"/>
    <w:uiPriority w:val="0"/>
    <w:qFormat/>
    <w:pPr>
      <w:jc w:val="center"/>
      <w:spacing w:line="480" w:lineRule="exact"/>
      <w:widowControl/>
    </w:pPr>
    <w:rPr>
      <w:rFonts w:ascii="黑体" w:hAnsi="Arial" w:eastAsia="黑体"/>
      <w:bCs/>
      <w:sz w:val="24"/>
    </w:rPr>
  </w:style>
  <w:style w:type="paragraph" w:styleId="1398" w:customStyle="1">
    <w:name w:val="丁华标题1"/>
    <w:basedOn w:val="1048"/>
    <w:next w:val="132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99" w:customStyle="1">
    <w:name w:val="Char Char Char Char Char Char Char Char Char Char Char1"/>
    <w:basedOn w:val="1047"/>
    <w:uiPriority w:val="0"/>
    <w:qFormat/>
    <w:rPr>
      <w:rFonts w:ascii="Tahoma" w:hAnsi="Tahoma" w:cs="Tahoma"/>
      <w:sz w:val="24"/>
    </w:rPr>
  </w:style>
  <w:style w:type="paragraph" w:styleId="140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401" w:customStyle="1">
    <w:name w:val="font6"/>
    <w:basedOn w:val="1047"/>
    <w:uiPriority w:val="0"/>
    <w:qFormat/>
    <w:pPr>
      <w:jc w:val="left"/>
      <w:spacing w:before="100" w:beforeAutospacing="1" w:after="100" w:afterAutospacing="1"/>
      <w:widowControl/>
    </w:pPr>
    <w:rPr>
      <w:rFonts w:ascii="宋体" w:hAnsi="宋体"/>
      <w:b/>
      <w:bCs/>
    </w:rPr>
  </w:style>
  <w:style w:type="paragraph" w:styleId="1402" w:customStyle="1">
    <w:name w:val="小四 段落 宋体 Char Char"/>
    <w:basedOn w:val="1047"/>
    <w:uiPriority w:val="0"/>
    <w:qFormat/>
    <w:pPr>
      <w:ind w:firstLine="480"/>
      <w:spacing w:line="360" w:lineRule="auto"/>
    </w:pPr>
    <w:rPr>
      <w:rFonts w:ascii="宋体" w:hAnsi="宋体"/>
      <w:sz w:val="24"/>
      <w:szCs w:val="24"/>
    </w:rPr>
  </w:style>
  <w:style w:type="paragraph" w:styleId="1403" w:customStyle="1">
    <w:name w:val="Char Char Char Char Char Char Char Char Char Char Char1 Char Char Char1"/>
    <w:basedOn w:val="1047"/>
    <w:uiPriority w:val="0"/>
    <w:semiHidden/>
    <w:qFormat/>
    <w:pPr>
      <w:ind w:firstLine="200"/>
      <w:jc w:val="left"/>
    </w:pPr>
    <w:rPr>
      <w:rFonts w:ascii="Tahoma" w:hAnsi="Tahoma"/>
      <w:sz w:val="24"/>
      <w:szCs w:val="24"/>
    </w:rPr>
  </w:style>
  <w:style w:type="paragraph" w:styleId="1404" w:customStyle="1">
    <w:name w:val="Char Char Char Char Char Char Char Char Char1"/>
    <w:basedOn w:val="1047"/>
    <w:uiPriority w:val="0"/>
    <w:qFormat/>
    <w:pPr>
      <w:ind w:left="200" w:hanging="200"/>
      <w:tabs>
        <w:tab w:val="left" w:pos="360" w:leader="none"/>
      </w:tabs>
    </w:pPr>
    <w:rPr>
      <w:sz w:val="24"/>
      <w:szCs w:val="24"/>
    </w:rPr>
  </w:style>
  <w:style w:type="paragraph" w:styleId="1405" w:customStyle="1">
    <w:name w:val="马刚标题3"/>
    <w:basedOn w:val="1047"/>
    <w:next w:val="104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06" w:customStyle="1">
    <w:name w:val="xl48"/>
    <w:basedOn w:val="10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407" w:customStyle="1">
    <w:name w:val="标题 4宋体"/>
    <w:basedOn w:val="1051"/>
    <w:uiPriority w:val="0"/>
    <w:qFormat/>
    <w:pPr>
      <w:jc w:val="left"/>
      <w:keepLines w:val="0"/>
      <w:spacing w:before="0" w:after="0" w:line="360" w:lineRule="auto"/>
    </w:pPr>
    <w:rPr>
      <w:rFonts w:ascii="宋体" w:hAnsi="宋体" w:eastAsia="宋体"/>
      <w:bCs/>
      <w:color w:val="000000"/>
      <w:sz w:val="24"/>
    </w:rPr>
  </w:style>
  <w:style w:type="paragraph" w:styleId="1408" w:customStyle="1">
    <w:name w:val="正文 居中"/>
    <w:basedOn w:val="1047"/>
    <w:uiPriority w:val="0"/>
    <w:qFormat/>
    <w:pPr>
      <w:jc w:val="center"/>
      <w:spacing w:line="360" w:lineRule="auto"/>
    </w:pPr>
    <w:rPr>
      <w:sz w:val="24"/>
    </w:rPr>
  </w:style>
  <w:style w:type="paragraph" w:styleId="1409" w:customStyle="1">
    <w:name w:val="马刚标题1"/>
    <w:basedOn w:val="1048"/>
    <w:next w:val="104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10" w:customStyle="1">
    <w:name w:val="font10"/>
    <w:basedOn w:val="1047"/>
    <w:uiPriority w:val="0"/>
    <w:qFormat/>
    <w:pPr>
      <w:jc w:val="left"/>
      <w:spacing w:before="100" w:beforeAutospacing="1" w:after="100" w:afterAutospacing="1"/>
      <w:widowControl/>
    </w:pPr>
    <w:rPr>
      <w:rFonts w:ascii="楷体_GB2312" w:hAnsi="宋体" w:eastAsia="楷体_GB2312"/>
      <w:b/>
      <w:bCs/>
      <w:sz w:val="18"/>
      <w:szCs w:val="18"/>
    </w:rPr>
  </w:style>
  <w:style w:type="paragraph" w:styleId="1411" w:customStyle="1">
    <w:name w:val="xl61"/>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412" w:customStyle="1">
    <w:name w:val="样式 样式 标题 3H3sect1.2.3BOD 0Heading 3 - oldh3l3CTLevel 3 Head... +..."/>
    <w:basedOn w:val="1047"/>
    <w:uiPriority w:val="0"/>
    <w:qFormat/>
    <w:pPr>
      <w:jc w:val="left"/>
      <w:keepLines/>
      <w:keepNext/>
      <w:outlineLvl w:val="2"/>
    </w:pPr>
    <w:rPr>
      <w:b/>
      <w:bCs/>
      <w:sz w:val="24"/>
    </w:rPr>
  </w:style>
  <w:style w:type="paragraph" w:styleId="1413" w:customStyle="1">
    <w:name w:val="大标题"/>
    <w:basedOn w:val="1047"/>
    <w:next w:val="1047"/>
    <w:uiPriority w:val="0"/>
    <w:qFormat/>
    <w:pPr>
      <w:ind w:hanging="420"/>
      <w:pageBreakBefore/>
      <w:spacing w:line="360" w:lineRule="auto"/>
      <w:tabs>
        <w:tab w:val="left" w:pos="420" w:leader="none"/>
      </w:tabs>
      <w:outlineLvl w:val="0"/>
    </w:pPr>
    <w:rPr>
      <w:b/>
      <w:iCs/>
      <w:sz w:val="44"/>
      <w:szCs w:val="24"/>
    </w:rPr>
  </w:style>
  <w:style w:type="paragraph" w:styleId="1414" w:customStyle="1">
    <w:name w:val="xl45"/>
    <w:basedOn w:val="104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415" w:customStyle="1">
    <w:name w:val="标题3"/>
    <w:basedOn w:val="1050"/>
    <w:uiPriority w:val="0"/>
    <w:qFormat/>
    <w:pPr>
      <w:keepLines w:val="0"/>
      <w:keepNext w:val="0"/>
      <w:spacing w:line="360" w:lineRule="auto"/>
    </w:pPr>
    <w:rPr>
      <w:rFonts w:eastAsia="仿宋_GB2312"/>
      <w:b w:val="0"/>
      <w:bCs/>
      <w:sz w:val="30"/>
      <w:szCs w:val="32"/>
    </w:rPr>
  </w:style>
  <w:style w:type="paragraph" w:styleId="1416" w:customStyle="1">
    <w:name w:val="Char Char1 Char Char Char Char Char Char Char"/>
    <w:basedOn w:val="1047"/>
    <w:uiPriority w:val="0"/>
    <w:qFormat/>
    <w:rPr>
      <w:rFonts w:ascii="Tahoma" w:hAnsi="Tahoma" w:cs="Tahoma"/>
      <w:sz w:val="24"/>
    </w:rPr>
  </w:style>
  <w:style w:type="paragraph" w:styleId="1417" w:customStyle="1">
    <w:name w:val="Char Char Char Char1"/>
    <w:basedOn w:val="1066"/>
    <w:uiPriority w:val="0"/>
    <w:qFormat/>
    <w:pPr>
      <w:spacing w:line="360" w:lineRule="auto"/>
    </w:pPr>
    <w:rPr>
      <w:rFonts w:ascii="Tahoma" w:hAnsi="Tahoma"/>
      <w:sz w:val="24"/>
      <w:szCs w:val="24"/>
    </w:rPr>
  </w:style>
  <w:style w:type="paragraph" w:styleId="1418" w:customStyle="1">
    <w:name w:val="Char Char Char Char Char Char Char1"/>
    <w:basedOn w:val="1047"/>
    <w:uiPriority w:val="0"/>
    <w:qFormat/>
    <w:pPr>
      <w:jc w:val="left"/>
    </w:pPr>
    <w:rPr>
      <w:rFonts w:ascii="Tahoma" w:hAnsi="Tahoma"/>
      <w:sz w:val="24"/>
    </w:rPr>
  </w:style>
  <w:style w:type="paragraph" w:styleId="1419" w:customStyle="1">
    <w:name w:val="retrait3"/>
    <w:basedOn w:val="1047"/>
    <w:uiPriority w:val="0"/>
    <w:qFormat/>
    <w:pPr>
      <w:ind w:left="851"/>
      <w:jc w:val="left"/>
      <w:spacing w:before="20" w:after="20"/>
      <w:widowControl/>
    </w:pPr>
    <w:rPr>
      <w:rFonts w:ascii="Arial" w:hAnsi="Arial"/>
      <w:sz w:val="24"/>
      <w:lang w:val="en-GB"/>
    </w:rPr>
  </w:style>
  <w:style w:type="paragraph" w:styleId="1420" w:customStyle="1">
    <w:name w:val="段落"/>
    <w:basedOn w:val="1047"/>
    <w:uiPriority w:val="0"/>
    <w:qFormat/>
    <w:pPr>
      <w:ind w:firstLine="480"/>
      <w:spacing w:line="460" w:lineRule="exact"/>
    </w:pPr>
    <w:rPr>
      <w:sz w:val="24"/>
    </w:rPr>
  </w:style>
  <w:style w:type="paragraph" w:styleId="1421" w:customStyle="1">
    <w:name w:val="xl30"/>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22" w:customStyle="1">
    <w:name w:val="标题4，章节第四层"/>
    <w:basedOn w:val="1047"/>
    <w:next w:val="1047"/>
    <w:uiPriority w:val="0"/>
    <w:qFormat/>
    <w:pPr>
      <w:spacing w:line="360" w:lineRule="auto"/>
      <w:tabs>
        <w:tab w:val="left" w:pos="0" w:leader="none"/>
      </w:tabs>
      <w:outlineLvl w:val="3"/>
    </w:pPr>
    <w:rPr>
      <w:rFonts w:ascii="宋体" w:hAnsi="宋体"/>
      <w:b/>
      <w:sz w:val="24"/>
      <w:szCs w:val="24"/>
    </w:rPr>
  </w:style>
  <w:style w:type="paragraph" w:styleId="1423" w:customStyle="1">
    <w:name w:val="xl39"/>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24" w:customStyle="1">
    <w:name w:val="Char Char Char Char Char Char Char Char Char Char Char Char Char1"/>
    <w:basedOn w:val="1047"/>
    <w:uiPriority w:val="0"/>
    <w:qFormat/>
    <w:pPr>
      <w:jc w:val="left"/>
      <w:spacing w:after="160" w:line="240" w:lineRule="exact"/>
      <w:widowControl/>
    </w:pPr>
    <w:rPr>
      <w:szCs w:val="24"/>
    </w:rPr>
  </w:style>
  <w:style w:type="paragraph" w:styleId="1425" w:customStyle="1">
    <w:name w:val="列表内容"/>
    <w:basedOn w:val="1047"/>
    <w:next w:val="1047"/>
    <w:uiPriority w:val="0"/>
    <w:qFormat/>
    <w:pPr>
      <w:ind w:left="840" w:hanging="420"/>
      <w:jc w:val="left"/>
      <w:widowControl/>
      <w:tabs>
        <w:tab w:val="left" w:pos="840" w:leader="none"/>
      </w:tabs>
    </w:pPr>
    <w:rPr>
      <w:sz w:val="18"/>
      <w:szCs w:val="24"/>
    </w:rPr>
  </w:style>
  <w:style w:type="paragraph" w:styleId="1426" w:customStyle="1">
    <w:name w:val="xl28"/>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27" w:customStyle="1">
    <w:name w:val="小四 段落 宋体 Char"/>
    <w:basedOn w:val="1064"/>
    <w:uiPriority w:val="0"/>
    <w:qFormat/>
    <w:pPr>
      <w:ind w:left="0" w:right="-33" w:firstLine="600"/>
      <w:jc w:val="left"/>
      <w:tabs>
        <w:tab w:val="clear" w:pos="2952" w:leader="none"/>
      </w:tabs>
    </w:pPr>
    <w:rPr>
      <w:rFonts w:ascii="仿宋_GB2312" w:eastAsia="仿宋_GB2312"/>
      <w:sz w:val="30"/>
      <w:szCs w:val="30"/>
    </w:rPr>
  </w:style>
  <w:style w:type="paragraph" w:styleId="1428" w:customStyle="1">
    <w:name w:val="表格文字"/>
    <w:basedOn w:val="1047"/>
    <w:uiPriority w:val="0"/>
    <w:qFormat/>
    <w:pPr>
      <w:ind w:firstLine="200"/>
      <w:jc w:val="left"/>
      <w:spacing w:line="360" w:lineRule="auto"/>
    </w:pPr>
    <w:rPr>
      <w:rFonts w:ascii="Arial" w:hAnsi="Arial"/>
      <w:sz w:val="24"/>
    </w:rPr>
  </w:style>
  <w:style w:type="paragraph" w:styleId="1429" w:customStyle="1">
    <w:name w:val="Pa6"/>
    <w:basedOn w:val="1047"/>
    <w:next w:val="1047"/>
    <w:uiPriority w:val="0"/>
    <w:qFormat/>
    <w:pPr>
      <w:jc w:val="left"/>
      <w:spacing w:line="241" w:lineRule="atLeast"/>
    </w:pPr>
    <w:rPr>
      <w:rFonts w:ascii="汉仪大黑简" w:eastAsia="汉仪大黑简"/>
      <w:sz w:val="24"/>
      <w:szCs w:val="24"/>
    </w:rPr>
  </w:style>
  <w:style w:type="paragraph" w:styleId="1430" w:customStyle="1">
    <w:name w:val="列出段落2"/>
    <w:basedOn w:val="1047"/>
    <w:uiPriority w:val="0"/>
    <w:qFormat/>
    <w:pPr>
      <w:ind w:left="720"/>
      <w:jc w:val="left"/>
      <w:widowControl/>
    </w:pPr>
    <w:rPr>
      <w:rFonts w:ascii="Arial" w:hAnsi="Arial" w:eastAsia="黑体" w:cs="Arial"/>
      <w:sz w:val="24"/>
      <w:szCs w:val="24"/>
      <w:lang w:eastAsia="en-US"/>
    </w:rPr>
  </w:style>
  <w:style w:type="paragraph" w:styleId="1431" w:customStyle="1">
    <w:name w:val="段 Char"/>
    <w:uiPriority w:val="0"/>
    <w:qFormat/>
    <w:pPr>
      <w:ind w:firstLine="200"/>
      <w:jc w:val="both"/>
    </w:pPr>
    <w:rPr>
      <w:rFonts w:ascii="宋体" w:hAnsi="Calibri" w:eastAsia="宋体" w:cs="Times New Roman"/>
      <w:sz w:val="21"/>
      <w:lang w:val="en-US" w:eastAsia="zh-CN" w:bidi="ar-SA"/>
    </w:rPr>
  </w:style>
  <w:style w:type="paragraph" w:styleId="1432" w:customStyle="1">
    <w:name w:val="表蕊"/>
    <w:basedOn w:val="1047"/>
    <w:uiPriority w:val="0"/>
    <w:qFormat/>
    <w:pPr>
      <w:jc w:val="left"/>
      <w:spacing w:line="320" w:lineRule="atLeast"/>
    </w:pPr>
    <w:rPr>
      <w:rFonts w:eastAsia="楷体_GB2312"/>
      <w:spacing w:val="-10"/>
    </w:rPr>
  </w:style>
  <w:style w:type="paragraph" w:styleId="1433" w:customStyle="1">
    <w:name w:val="font14"/>
    <w:basedOn w:val="1047"/>
    <w:uiPriority w:val="0"/>
    <w:qFormat/>
    <w:pPr>
      <w:jc w:val="left"/>
      <w:spacing w:before="100" w:beforeAutospacing="1" w:after="100" w:afterAutospacing="1"/>
      <w:widowControl/>
    </w:pPr>
    <w:rPr>
      <w:sz w:val="36"/>
      <w:szCs w:val="36"/>
    </w:rPr>
  </w:style>
  <w:style w:type="paragraph" w:styleId="1434" w:customStyle="1">
    <w:name w:val="正文2"/>
    <w:basedOn w:val="1047"/>
    <w:uiPriority w:val="0"/>
    <w:qFormat/>
    <w:pPr>
      <w:ind w:firstLine="510"/>
      <w:spacing w:before="156" w:line="360" w:lineRule="auto"/>
    </w:pPr>
    <w:rPr>
      <w:sz w:val="24"/>
    </w:rPr>
  </w:style>
  <w:style w:type="paragraph" w:styleId="1435" w:customStyle="1">
    <w:name w:val="xl31"/>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436" w:customStyle="1">
    <w:name w:val="xl54"/>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437" w:customStyle="1">
    <w:name w:val="Char11"/>
    <w:basedOn w:val="1047"/>
    <w:uiPriority w:val="0"/>
    <w:qFormat/>
    <w:pPr>
      <w:jc w:val="left"/>
      <w:spacing w:after="160" w:line="240" w:lineRule="exact"/>
      <w:widowControl/>
    </w:pPr>
    <w:rPr>
      <w:rFonts w:ascii="Verdana" w:hAnsi="Verdana" w:eastAsia="仿宋_GB2312"/>
      <w:sz w:val="24"/>
      <w:lang w:eastAsia="en-US"/>
    </w:rPr>
  </w:style>
  <w:style w:type="paragraph" w:styleId="1438" w:customStyle="1">
    <w:name w:val="Char Char1 Char1"/>
    <w:basedOn w:val="1047"/>
    <w:uiPriority w:val="0"/>
    <w:qFormat/>
    <w:pPr>
      <w:jc w:val="left"/>
      <w:spacing w:after="160" w:line="240" w:lineRule="exact"/>
      <w:widowControl/>
    </w:pPr>
    <w:rPr>
      <w:rFonts w:ascii="Verdana" w:hAnsi="Verdana"/>
      <w:lang w:eastAsia="en-US"/>
    </w:rPr>
  </w:style>
  <w:style w:type="paragraph" w:styleId="1439" w:customStyle="1">
    <w:name w:val="xl27"/>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40" w:customStyle="1">
    <w:name w:val="标题1，章节第一层"/>
    <w:basedOn w:val="1253"/>
    <w:next w:val="1253"/>
    <w:uiPriority w:val="0"/>
    <w:qFormat/>
    <w:pPr>
      <w:ind w:left="482"/>
      <w:tabs>
        <w:tab w:val="left" w:pos="693" w:leader="none"/>
      </w:tabs>
      <w:outlineLvl w:val="0"/>
    </w:pPr>
    <w:rPr>
      <w:color w:val="000000"/>
      <w:sz w:val="24"/>
      <w:szCs w:val="24"/>
    </w:rPr>
  </w:style>
  <w:style w:type="paragraph" w:styleId="1441" w:customStyle="1">
    <w:name w:val="符号与编号 Char Char"/>
    <w:basedOn w:val="1047"/>
    <w:uiPriority w:val="0"/>
    <w:qFormat/>
    <w:pPr>
      <w:ind w:left="839" w:hanging="419"/>
      <w:spacing w:line="400" w:lineRule="atLeast"/>
      <w:tabs>
        <w:tab w:val="left" w:pos="840" w:leader="none"/>
      </w:tabs>
    </w:pPr>
    <w:rPr>
      <w:sz w:val="24"/>
      <w:szCs w:val="24"/>
    </w:rPr>
  </w:style>
  <w:style w:type="paragraph" w:styleId="1442" w:customStyle="1">
    <w:name w:val="Char Char Char1"/>
    <w:basedOn w:val="1066"/>
    <w:uiPriority w:val="0"/>
    <w:qFormat/>
    <w:pPr>
      <w:spacing w:line="436" w:lineRule="exact"/>
    </w:pPr>
    <w:rPr>
      <w:szCs w:val="24"/>
    </w:rPr>
  </w:style>
  <w:style w:type="paragraph" w:styleId="1443" w:customStyle="1">
    <w:name w:val="正文文本 New New"/>
    <w:basedOn w:val="1047"/>
    <w:uiPriority w:val="0"/>
    <w:qFormat/>
    <w:pPr>
      <w:ind w:firstLine="200"/>
      <w:spacing w:before="60" w:after="60" w:line="360" w:lineRule="auto"/>
      <w:widowControl/>
    </w:pPr>
    <w:rPr>
      <w:rFonts w:eastAsia="华文楷体"/>
      <w:sz w:val="24"/>
      <w:szCs w:val="24"/>
    </w:rPr>
  </w:style>
  <w:style w:type="paragraph" w:styleId="1444" w:customStyle="1">
    <w:name w:val="xl59"/>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445" w:customStyle="1">
    <w:name w:val="中等深浅网格 1 - 强调文字颜色 21"/>
    <w:basedOn w:val="1047"/>
    <w:uiPriority w:val="0"/>
    <w:qFormat/>
    <w:pPr>
      <w:ind w:firstLine="420"/>
    </w:pPr>
    <w:rPr>
      <w:szCs w:val="22"/>
    </w:rPr>
  </w:style>
  <w:style w:type="paragraph" w:styleId="1446" w:customStyle="1">
    <w:name w:val="小四 段落 宋体"/>
    <w:basedOn w:val="1064"/>
    <w:uiPriority w:val="0"/>
    <w:qFormat/>
    <w:pPr>
      <w:ind w:left="113" w:right="113" w:firstLine="425"/>
      <w:jc w:val="left"/>
      <w:spacing w:line="360" w:lineRule="auto"/>
      <w:tabs>
        <w:tab w:val="clear" w:pos="2952" w:leader="none"/>
      </w:tabs>
    </w:pPr>
    <w:rPr>
      <w:sz w:val="24"/>
    </w:rPr>
  </w:style>
  <w:style w:type="paragraph" w:styleId="1447" w:customStyle="1">
    <w:name w:val="正文缩进2字符"/>
    <w:basedOn w:val="1047"/>
    <w:uiPriority w:val="0"/>
    <w:qFormat/>
    <w:pPr>
      <w:ind w:firstLine="200"/>
      <w:spacing w:line="300" w:lineRule="auto"/>
    </w:pPr>
    <w:rPr>
      <w:rFonts w:ascii="仿宋_GB2312" w:eastAsia="仿宋_GB2312"/>
      <w:sz w:val="32"/>
      <w:szCs w:val="32"/>
    </w:rPr>
  </w:style>
  <w:style w:type="paragraph" w:styleId="1448" w:customStyle="1">
    <w:name w:val="xl58"/>
    <w:basedOn w:val="1047"/>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449" w:customStyle="1">
    <w:name w:val="表格"/>
    <w:basedOn w:val="1047"/>
    <w:uiPriority w:val="0"/>
    <w:qFormat/>
    <w:pPr>
      <w:ind w:firstLine="21"/>
    </w:pPr>
    <w:rPr>
      <w:rFonts w:ascii="宋体" w:hAnsi="宋体"/>
    </w:rPr>
  </w:style>
  <w:style w:type="paragraph" w:styleId="145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51" w:customStyle="1">
    <w:name w:val="xl47"/>
    <w:basedOn w:val="10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52" w:customStyle="1">
    <w:name w:val="Bullets L1"/>
    <w:basedOn w:val="1047"/>
    <w:uiPriority w:val="0"/>
    <w:qFormat/>
    <w:pPr>
      <w:numPr>
        <w:ilvl w:val="0"/>
        <w:numId w:val="5"/>
      </w:numPr>
      <w:jc w:val="left"/>
      <w:spacing w:before="60" w:after="60"/>
      <w:widowControl/>
    </w:pPr>
    <w:rPr>
      <w:rFonts w:ascii="Arial" w:hAnsi="Arial"/>
    </w:rPr>
  </w:style>
  <w:style w:type="paragraph" w:styleId="1453" w:customStyle="1">
    <w:name w:val="表格1"/>
    <w:basedOn w:val="1047"/>
    <w:uiPriority w:val="0"/>
    <w:qFormat/>
    <w:rPr>
      <w:rFonts w:ascii="宋体"/>
      <w:szCs w:val="21"/>
    </w:rPr>
  </w:style>
  <w:style w:type="paragraph" w:styleId="1454" w:customStyle="1">
    <w:name w:val="条1"/>
    <w:basedOn w:val="1047"/>
    <w:uiPriority w:val="0"/>
    <w:qFormat/>
    <w:pPr>
      <w:ind w:left="780" w:hanging="360"/>
      <w:spacing w:before="156" w:line="360" w:lineRule="auto"/>
      <w:tabs>
        <w:tab w:val="left" w:pos="780" w:leader="none"/>
      </w:tabs>
    </w:pPr>
    <w:rPr>
      <w:rFonts w:eastAsia="黑体"/>
      <w:sz w:val="24"/>
    </w:rPr>
  </w:style>
  <w:style w:type="paragraph" w:styleId="1455" w:customStyle="1">
    <w:name w:val="样式4 Char"/>
    <w:basedOn w:val="1047"/>
    <w:uiPriority w:val="0"/>
    <w:qFormat/>
    <w:pPr>
      <w:ind w:firstLine="480"/>
      <w:jc w:val="left"/>
      <w:spacing w:line="360" w:lineRule="auto"/>
      <w:widowControl/>
    </w:pPr>
    <w:rPr>
      <w:color w:val="000000"/>
      <w:sz w:val="24"/>
      <w:szCs w:val="24"/>
    </w:rPr>
  </w:style>
  <w:style w:type="paragraph" w:styleId="1456" w:customStyle="1">
    <w:name w:val="马刚标题4"/>
    <w:basedOn w:val="1405"/>
    <w:next w:val="1047"/>
    <w:uiPriority w:val="0"/>
    <w:qFormat/>
    <w:pPr>
      <w:spacing w:before="100" w:after="40"/>
      <w:tabs>
        <w:tab w:val="clear" w:pos="567" w:leader="none"/>
        <w:tab w:val="clear" w:pos="735" w:leader="none"/>
        <w:tab w:val="left" w:pos="1050" w:leader="none"/>
      </w:tabs>
      <w:outlineLvl w:val="3"/>
    </w:pPr>
    <w:rPr>
      <w:b w:val="0"/>
    </w:rPr>
  </w:style>
  <w:style w:type="paragraph" w:styleId="1457" w:customStyle="1">
    <w:name w:val="flType"/>
    <w:basedOn w:val="1307"/>
    <w:uiPriority w:val="0"/>
    <w:qFormat/>
    <w:pPr>
      <w:spacing w:after="284"/>
    </w:pPr>
    <w:rPr>
      <w:rFonts w:eastAsia="宋体"/>
      <w:b w:val="0"/>
    </w:rPr>
  </w:style>
  <w:style w:type="paragraph" w:styleId="1458" w:customStyle="1">
    <w:name w:val="xl26"/>
    <w:basedOn w:val="10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59" w:customStyle="1">
    <w:name w:val="Char Char Char Char Char1"/>
    <w:basedOn w:val="1047"/>
    <w:uiPriority w:val="0"/>
    <w:qFormat/>
    <w:rPr>
      <w:rFonts w:ascii="Tahoma" w:hAnsi="Tahoma" w:cs="Tahoma"/>
      <w:sz w:val="24"/>
    </w:rPr>
  </w:style>
  <w:style w:type="paragraph" w:styleId="1460" w:customStyle="1">
    <w:name w:val="样式 样式 首行缩进:  2 字符 + 行距: 1.5 倍行距"/>
    <w:basedOn w:val="1047"/>
    <w:uiPriority w:val="0"/>
    <w:qFormat/>
    <w:pPr>
      <w:ind w:firstLine="470"/>
      <w:spacing w:line="360" w:lineRule="auto"/>
    </w:pPr>
    <w:rPr>
      <w:sz w:val="24"/>
    </w:rPr>
  </w:style>
  <w:style w:type="paragraph" w:styleId="1461" w:customStyle="1">
    <w:name w:val="a0"/>
    <w:basedOn w:val="1047"/>
    <w:uiPriority w:val="0"/>
    <w:qFormat/>
    <w:pPr>
      <w:spacing w:before="100" w:beforeAutospacing="1" w:after="100" w:afterAutospacing="1"/>
      <w:widowControl/>
    </w:pPr>
    <w:rPr>
      <w:rFonts w:ascii="宋体" w:hAnsi="宋体"/>
      <w:sz w:val="24"/>
      <w:szCs w:val="24"/>
    </w:rPr>
  </w:style>
  <w:style w:type="paragraph" w:styleId="1462" w:customStyle="1">
    <w:name w:val="xl53"/>
    <w:basedOn w:val="10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463" w:customStyle="1">
    <w:name w:val="xl60"/>
    <w:basedOn w:val="10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464" w:customStyle="1">
    <w:name w:val="样式1"/>
    <w:basedOn w:val="1047"/>
    <w:uiPriority w:val="0"/>
    <w:qFormat/>
    <w:pPr>
      <w:ind w:firstLine="480"/>
      <w:spacing w:line="300" w:lineRule="auto"/>
    </w:pPr>
    <w:rPr>
      <w:sz w:val="24"/>
      <w:szCs w:val="24"/>
    </w:rPr>
  </w:style>
  <w:style w:type="paragraph" w:styleId="1465" w:customStyle="1">
    <w:name w:val="论文正文"/>
    <w:basedOn w:val="1080"/>
    <w:uiPriority w:val="0"/>
    <w:qFormat/>
    <w:pPr>
      <w:ind w:left="0" w:firstLine="200"/>
      <w:jc w:val="left"/>
      <w:spacing w:line="360" w:lineRule="auto"/>
    </w:pPr>
    <w:rPr>
      <w:rFonts w:ascii="Times New Roman" w:hAnsi="Times New Roman"/>
      <w:sz w:val="28"/>
      <w:szCs w:val="24"/>
    </w:rPr>
  </w:style>
  <w:style w:type="paragraph" w:styleId="1466" w:customStyle="1">
    <w:name w:val="greytypebeni"/>
    <w:basedOn w:val="1047"/>
    <w:uiPriority w:val="0"/>
    <w:qFormat/>
    <w:pPr>
      <w:jc w:val="left"/>
      <w:widowControl/>
    </w:pPr>
    <w:rPr>
      <w:rFonts w:ascii="宋体" w:hAnsi="宋体"/>
      <w:sz w:val="24"/>
      <w:szCs w:val="24"/>
    </w:rPr>
  </w:style>
  <w:style w:type="paragraph" w:styleId="146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468" w:customStyle="1">
    <w:name w:val="xl55"/>
    <w:basedOn w:val="10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469" w:customStyle="1">
    <w:name w:val="正文文本缩进1"/>
    <w:basedOn w:val="1047"/>
    <w:uiPriority w:val="0"/>
    <w:qFormat/>
    <w:pPr>
      <w:ind w:left="420"/>
      <w:spacing w:after="120"/>
    </w:pPr>
    <w:rPr>
      <w:szCs w:val="24"/>
    </w:rPr>
  </w:style>
  <w:style w:type="paragraph" w:styleId="1470" w:customStyle="1">
    <w:name w:val="xl32"/>
    <w:basedOn w:val="10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471" w:customStyle="1">
    <w:name w:val="引用 Char1"/>
    <w:basedOn w:val="1057"/>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72" w:customStyle="1">
    <w:name w:val="标题3，章节第三层"/>
    <w:basedOn w:val="1047"/>
    <w:next w:val="1253"/>
    <w:uiPriority w:val="0"/>
    <w:qFormat/>
    <w:pPr>
      <w:spacing w:before="78" w:line="300" w:lineRule="auto"/>
      <w:outlineLvl w:val="2"/>
    </w:pPr>
    <w:rPr>
      <w:rFonts w:ascii="Arial" w:hAnsi="Arial" w:eastAsia="华文细黑"/>
      <w:sz w:val="30"/>
      <w:szCs w:val="24"/>
    </w:rPr>
  </w:style>
  <w:style w:type="paragraph" w:styleId="1473" w:customStyle="1">
    <w:name w:val="Char2 Char Char Char Char Char Char1"/>
    <w:basedOn w:val="1047"/>
    <w:uiPriority w:val="0"/>
    <w:qFormat/>
    <w:pPr>
      <w:ind w:hanging="425"/>
      <w:keepNext/>
      <w:spacing w:before="80" w:after="80"/>
      <w:widowControl/>
      <w:tabs>
        <w:tab w:val="left" w:pos="425" w:leader="none"/>
      </w:tabs>
    </w:pPr>
    <w:rPr>
      <w:rFonts w:ascii="Arial" w:hAnsi="Arial" w:cs="Arial"/>
    </w:rPr>
  </w:style>
  <w:style w:type="paragraph" w:styleId="1474" w:customStyle="1">
    <w:name w:val="xl46"/>
    <w:basedOn w:val="104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475" w:customStyle="1">
    <w:name w:val="普通文字"/>
    <w:basedOn w:val="1047"/>
    <w:next w:val="1047"/>
    <w:uiPriority w:val="0"/>
    <w:qFormat/>
    <w:rPr>
      <w:rFonts w:ascii="宋体" w:hAnsi="宋体"/>
      <w:sz w:val="24"/>
    </w:rPr>
  </w:style>
  <w:style w:type="paragraph" w:styleId="1476" w:customStyle="1">
    <w:name w:val="样式2"/>
    <w:basedOn w:val="1047"/>
    <w:uiPriority w:val="0"/>
    <w:qFormat/>
    <w:pPr>
      <w:ind w:left="200"/>
      <w:spacing w:line="360" w:lineRule="auto"/>
    </w:pPr>
    <w:rPr>
      <w:rFonts w:ascii="宋体" w:hAnsi="宋体"/>
      <w:b/>
      <w:sz w:val="24"/>
      <w:szCs w:val="24"/>
    </w:rPr>
  </w:style>
  <w:style w:type="paragraph" w:styleId="1477" w:customStyle="1">
    <w:name w:val="Table Paragraph"/>
    <w:basedOn w:val="1047"/>
    <w:uiPriority w:val="0"/>
    <w:qFormat/>
    <w:rPr>
      <w:rFonts w:cs="Times New Roman"/>
      <w:sz w:val="21"/>
      <w:szCs w:val="24"/>
      <w:lang w:val="en-US"/>
    </w:rPr>
  </w:style>
  <w:style w:type="character" w:styleId="1478" w:customStyle="1">
    <w:name w:val="font31"/>
    <w:basedOn w:val="1057"/>
    <w:uiPriority w:val="0"/>
    <w:qFormat/>
    <w:rPr>
      <w:rFonts w:hint="eastAsia" w:ascii="微软雅黑" w:hAnsi="微软雅黑" w:eastAsia="微软雅黑" w:cs="微软雅黑"/>
      <w:color w:val="000000"/>
      <w:sz w:val="22"/>
      <w:szCs w:val="22"/>
      <w:u w:val="none"/>
    </w:rPr>
  </w:style>
  <w:style w:type="paragraph" w:styleId="1479" w:customStyle="1">
    <w:name w:val="_Style 1"/>
    <w:basedOn w:val="1047"/>
    <w:uiPriority w:val="34"/>
    <w:qFormat/>
    <w:pPr>
      <w:ind w:firstLine="420"/>
    </w:pPr>
    <w:rPr>
      <w:rFonts w:eastAsia="宋体" w:cs="Times New Roman"/>
    </w:rPr>
  </w:style>
  <w:style w:type="paragraph" w:styleId="1480" w:customStyle="1">
    <w:name w:val="正文首行缩进（绿盟科技）"/>
    <w:basedOn w:val="1047"/>
    <w:uiPriority w:val="0"/>
    <w:qFormat/>
    <w:pPr>
      <w:ind w:firstLine="200"/>
      <w:jc w:val="left"/>
      <w:spacing w:after="50" w:line="300" w:lineRule="auto"/>
      <w:widowControl/>
    </w:pPr>
    <w:rPr>
      <w:rFonts w:ascii="Arial" w:hAnsi="Arial"/>
      <w:szCs w:val="21"/>
    </w:rPr>
  </w:style>
  <w:style w:type="paragraph" w:styleId="1481" w:customStyle="1">
    <w:name w:val="KS表格"/>
    <w:basedOn w:val="1047"/>
    <w:uiPriority w:val="0"/>
    <w:qFormat/>
    <w:pPr>
      <w:spacing w:line="300" w:lineRule="auto"/>
    </w:pPr>
  </w:style>
  <w:style w:type="character" w:styleId="1482" w:customStyle="1">
    <w:name w:val="标题 2 Char Char Char"/>
    <w:uiPriority w:val="0"/>
    <w:qFormat/>
    <w:rPr>
      <w:rFonts w:ascii="Arial" w:hAnsi="Arial" w:eastAsia="黑体"/>
      <w:b/>
      <w:bCs/>
      <w:sz w:val="32"/>
      <w:szCs w:val="32"/>
      <w:lang w:val="en-US" w:eastAsia="zh-CN" w:bidi="ar-SA"/>
    </w:rPr>
  </w:style>
  <w:style w:type="paragraph" w:styleId="148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修订2"/>
    <w:hidden/>
    <w:uiPriority w:val="99"/>
    <w:unhideWhenUsed/>
    <w:qFormat/>
    <w:rPr>
      <w:rFonts w:ascii="Calibri" w:hAnsi="Calibri" w:eastAsia="Calibri" w:cs="宋体"/>
      <w:lang w:val="zh-CN" w:eastAsia="zh-CN" w:bidi="ar-SA"/>
    </w:rPr>
  </w:style>
  <w:style w:type="paragraph" w:styleId="1485" w:customStyle="1">
    <w:name w:val="Normal (Web)_b6c36acf-9328-4f98-b6b5-1202afe7ef16"/>
    <w:basedOn w:val="1486"/>
    <w:uiPriority w:val="0"/>
    <w:qFormat/>
    <w:rPr>
      <w:sz w:val="24"/>
    </w:rPr>
  </w:style>
  <w:style w:type="paragraph" w:styleId="1486" w:customStyle="1">
    <w:name w:val="Normal_91b62baf-29d6-4767-8c20-84007608a0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87" w:customStyle="1">
    <w:name w:val="p15"/>
    <w:basedOn w:val="1047"/>
    <w:uiPriority w:val="99"/>
    <w:unhideWhenUsed/>
    <w:qFormat/>
    <w:pPr>
      <w:widowControl/>
    </w:pPr>
    <w:rPr>
      <w:rFonts w:hint="eastAsia" w:ascii="宋体" w:hAnsi="宋体"/>
      <w:b/>
    </w:rPr>
  </w:style>
  <w:style w:type="paragraph" w:styleId="1488" w:customStyle="1">
    <w:name w:val="正文缩进11"/>
    <w:basedOn w:val="1047"/>
    <w:uiPriority w:val="0"/>
    <w:qFormat/>
    <w:pPr>
      <w:ind w:firstLine="420"/>
    </w:pPr>
    <w:rPr>
      <w:b/>
      <w:sz w:val="24"/>
    </w:rPr>
  </w:style>
  <w:style w:type="paragraph" w:styleId="1489" w:customStyle="1">
    <w:name w:val="正文首行缩进1"/>
    <w:basedOn w:val="1490"/>
    <w:uiPriority w:val="0"/>
    <w:qFormat/>
    <w:pPr>
      <w:ind w:firstLine="420"/>
      <w:spacing w:line="360" w:lineRule="auto"/>
    </w:pPr>
    <w:rPr>
      <w:rFonts w:ascii="Times New Roman"/>
      <w:szCs w:val="21"/>
    </w:rPr>
  </w:style>
  <w:style w:type="paragraph" w:styleId="1490" w:customStyle="1">
    <w:name w:val="正文文本1"/>
    <w:basedOn w:val="1047"/>
    <w:next w:val="1047"/>
    <w:uiPriority w:val="0"/>
    <w:qFormat/>
    <w:rPr>
      <w:rFonts w:ascii="宋体"/>
      <w:sz w:val="28"/>
    </w:rPr>
  </w:style>
  <w:style w:type="character" w:styleId="1491" w:customStyle="1">
    <w:name w:val="font61"/>
    <w:basedOn w:val="1057"/>
    <w:uiPriority w:val="0"/>
    <w:qFormat/>
    <w:rPr>
      <w:rFonts w:ascii="宋体" w:hAnsi="宋体" w:eastAsia="宋体" w:cs="宋体"/>
      <w:b/>
      <w:bCs/>
      <w:color w:val="000000"/>
      <w:sz w:val="16"/>
      <w:szCs w:val="16"/>
      <w:u w:val="none"/>
    </w:rPr>
  </w:style>
  <w:style w:type="paragraph" w:styleId="1492" w:customStyle="1">
    <w:name w:val="_Style 9"/>
    <w:basedOn w:val="1047"/>
    <w:next w:val="1120"/>
    <w:uiPriority w:val="34"/>
    <w:qFormat/>
    <w:pPr>
      <w:ind w:firstLine="420"/>
    </w:pPr>
    <w:rPr>
      <w:szCs w:val="22"/>
    </w:rPr>
  </w:style>
  <w:style w:type="paragraph" w:styleId="1493" w:customStyle="1">
    <w:name w:val="正文文本11"/>
    <w:basedOn w:val="1047"/>
    <w:next w:val="1047"/>
    <w:uiPriority w:val="99"/>
    <w:qFormat/>
    <w:rPr>
      <w:rFonts w:ascii="华文中宋" w:eastAsia="华文中宋"/>
      <w:bCs/>
      <w:sz w:val="28"/>
    </w:rPr>
  </w:style>
  <w:style w:type="paragraph" w:styleId="1494" w:customStyle="1">
    <w:name w:val="首行缩进"/>
    <w:basedOn w:val="1047"/>
    <w:uiPriority w:val="0"/>
    <w:qFormat/>
    <w:pPr>
      <w:ind w:firstLine="480"/>
    </w:pPr>
  </w:style>
  <w:style w:type="paragraph" w:styleId="1495" w:customStyle="1">
    <w:name w:val="标题 31"/>
    <w:basedOn w:val="1047"/>
    <w:next w:val="1223"/>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96" w:customStyle="1">
    <w:name w:val="索引 41"/>
    <w:basedOn w:val="1047"/>
    <w:next w:val="1047"/>
    <w:uiPriority w:val="99"/>
    <w:qFormat/>
    <w:pPr>
      <w:ind w:left="600"/>
    </w:pPr>
    <w:rPr>
      <w:szCs w:val="24"/>
    </w:rPr>
  </w:style>
  <w:style w:type="paragraph" w:styleId="1497" w:customStyle="1">
    <w:name w:val="列表段落1"/>
    <w:basedOn w:val="1047"/>
    <w:uiPriority w:val="0"/>
    <w:qFormat/>
    <w:pPr>
      <w:ind w:firstLine="420"/>
      <w:jc w:val="left"/>
      <w:spacing w:after="200"/>
      <w:widowControl/>
    </w:pPr>
    <w:rPr>
      <w:rFonts w:ascii="Tahoma" w:hAnsi="Tahoma" w:eastAsia="微软雅黑"/>
      <w:sz w:val="22"/>
      <w:szCs w:val="22"/>
    </w:rPr>
  </w:style>
  <w:style w:type="paragraph" w:styleId="1498" w:customStyle="1">
    <w:name w:val="_Style 6"/>
    <w:basedOn w:val="1047"/>
    <w:uiPriority w:val="34"/>
    <w:qFormat/>
    <w:pPr>
      <w:ind w:firstLine="420"/>
    </w:pPr>
    <w:rPr>
      <w:szCs w:val="24"/>
    </w:rPr>
  </w:style>
  <w:style w:type="paragraph" w:styleId="1499" w:customStyle="1">
    <w:name w:val="普通(网站)11"/>
    <w:basedOn w:val="1047"/>
    <w:uiPriority w:val="0"/>
    <w:qFormat/>
    <w:pPr>
      <w:jc w:val="left"/>
      <w:spacing w:beforeAutospacing="1" w:afterAutospacing="1"/>
    </w:pPr>
    <w:rPr>
      <w:rFonts w:cs="Times New Roman"/>
      <w:sz w:val="24"/>
    </w:rPr>
  </w:style>
  <w:style w:type="paragraph" w:styleId="1500" w:customStyle="1">
    <w:name w:val="页眉1"/>
    <w:basedOn w:val="1047"/>
    <w:uiPriority w:val="99"/>
    <w:qFormat/>
    <w:pPr>
      <w:jc w:val="center"/>
      <w:tabs>
        <w:tab w:val="center" w:pos="4153" w:leader="none"/>
        <w:tab w:val="right" w:pos="8306" w:leader="none"/>
      </w:tabs>
      <w:pBdr>
        <w:bottom w:val="single" w:color="000000" w:sz="6" w:space="1"/>
      </w:pBdr>
    </w:pPr>
    <w:rPr>
      <w:sz w:val="18"/>
    </w:rPr>
  </w:style>
  <w:style w:type="paragraph" w:styleId="1501" w:customStyle="1">
    <w:name w:val="页眉11"/>
    <w:basedOn w:val="1047"/>
    <w:uiPriority w:val="99"/>
    <w:unhideWhenUsed/>
    <w:qFormat/>
    <w:pPr>
      <w:tabs>
        <w:tab w:val="center" w:pos="7143" w:leader="none"/>
        <w:tab w:val="right" w:pos="14287" w:leader="none"/>
      </w:tabs>
    </w:pPr>
  </w:style>
  <w:style w:type="paragraph" w:styleId="1502" w:customStyle="1">
    <w:name w:val="页脚1"/>
    <w:basedOn w:val="1047"/>
    <w:uiPriority w:val="99"/>
    <w:qFormat/>
    <w:pPr>
      <w:jc w:val="left"/>
      <w:tabs>
        <w:tab w:val="center" w:pos="4153" w:leader="none"/>
        <w:tab w:val="right" w:pos="8306" w:leader="none"/>
      </w:tabs>
    </w:pPr>
    <w:rPr>
      <w:sz w:val="18"/>
    </w:rPr>
  </w:style>
  <w:style w:type="paragraph" w:styleId="1503" w:customStyle="1">
    <w:name w:val="页脚11"/>
    <w:basedOn w:val="1047"/>
    <w:uiPriority w:val="99"/>
    <w:unhideWhenUsed/>
    <w:qFormat/>
    <w:pPr>
      <w:tabs>
        <w:tab w:val="center" w:pos="7143" w:leader="none"/>
        <w:tab w:val="right" w:pos="14287" w:leader="none"/>
      </w:tabs>
    </w:pPr>
  </w:style>
  <w:style w:type="paragraph" w:styleId="1504" w:customStyle="1">
    <w:name w:val="修订3"/>
    <w:hidden/>
    <w:uiPriority w:val="99"/>
    <w:unhideWhenUsed/>
    <w:qFormat/>
    <w:rPr>
      <w:rFonts w:ascii="Calibri" w:hAnsi="Calibri" w:eastAsia="Calibri" w:cs="宋体"/>
      <w:lang w:val="zh-CN" w:eastAsia="zh-CN" w:bidi="ar-SA"/>
    </w:rPr>
  </w:style>
  <w:style w:type="paragraph" w:styleId="1505" w:customStyle="1">
    <w:name w:val="修订4"/>
    <w:hidden/>
    <w:uiPriority w:val="99"/>
    <w:unhideWhenUsed/>
    <w:qFormat/>
    <w:rPr>
      <w:rFonts w:ascii="Calibri" w:hAnsi="Calibri" w:eastAsia="Calibri" w:cs="宋体"/>
      <w:lang w:val="zh-CN" w:eastAsia="zh-CN" w:bidi="ar-SA"/>
    </w:rPr>
  </w:style>
  <w:style w:type="numbering" w:styleId="1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 Id="rId22" Type="http://schemas.openxmlformats.org/officeDocument/2006/relationships/image" Target="media/image2.pn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ABBB90-853D-46F8-8284-279DFCFD46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周翠</cp:lastModifiedBy>
  <cp:revision>35</cp:revision>
  <dcterms:created xsi:type="dcterms:W3CDTF">2025-06-18T06:08:00Z</dcterms:created>
  <dcterms:modified xsi:type="dcterms:W3CDTF">2026-09-08T09:07:54Z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85FC4B2699474EEE83ECF72069033352_13</vt:lpwstr>
  </property>
  <property fmtid="{D5CDD505-2E9C-101B-9397-08002B2CF9AE}" pid="4" name="commondata">
    <vt:lpwstr>eyJoZGlkIjoiYjk5ODM0YmMxOWJiYWQyNDU4MGIzYWRmYTA0ZmI5NDcifQ==</vt:lpwstr>
  </property>
  <property fmtid="{D5CDD505-2E9C-101B-9397-08002B2CF9AE}" pid="5" name="KSOTemplateDocerSaveRecord">
    <vt:lpwstr>eyJoZGlkIjoiNmI5NGJjNWZlMjkyODE5NzU1Nzg2YjEwNDdjNTgzYjQiLCJ1c2VySWQiOiI0NjYxNTMxMjAifQ==</vt:lpwstr>
  </property>
</Properties>
</file>