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D8C5C">
      <w:pPr>
        <w:keepNext w:val="0"/>
        <w:keepLines w:val="0"/>
        <w:pageBreakBefore w:val="0"/>
        <w:widowControl w:val="0"/>
        <w:spacing w:before="145" w:after="145" w:line="240" w:lineRule="auto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highlight w:val="none"/>
          <w:lang w:eastAsia="zh-CN"/>
        </w:rPr>
        <w:t>南京市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highlight w:val="none"/>
        </w:rPr>
        <w:t>政府采购合同（服务）</w:t>
      </w:r>
    </w:p>
    <w:p w14:paraId="5B0E3D20">
      <w:pPr>
        <w:keepNext w:val="0"/>
        <w:keepLines w:val="0"/>
        <w:pageBreakBefore w:val="0"/>
        <w:widowControl w:val="0"/>
        <w:spacing w:before="145" w:after="145" w:line="240" w:lineRule="auto"/>
        <w:jc w:val="left"/>
        <w:outlineLvl w:val="9"/>
        <w:rPr>
          <w:rFonts w:ascii="宋体" w:hAnsi="宋体" w:cs="Courier New"/>
          <w:color w:val="000000"/>
          <w:sz w:val="24"/>
          <w:szCs w:val="24"/>
          <w:highlight w:val="none"/>
        </w:rPr>
      </w:pPr>
      <w:r>
        <w:rPr>
          <w:rFonts w:ascii="宋体" w:hAnsi="宋体" w:cs="Courier New"/>
          <w:color w:val="000000"/>
          <w:sz w:val="24"/>
          <w:szCs w:val="24"/>
          <w:highlight w:val="none"/>
        </w:rPr>
        <w:t>项目名称：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</w:rPr>
        <w:t>玄武区“一网统管”平台适配改造项目</w:t>
      </w:r>
      <w:r>
        <w:rPr>
          <w:rFonts w:ascii="宋体" w:hAnsi="宋体" w:cs="Courier New"/>
          <w:color w:val="000000"/>
          <w:sz w:val="24"/>
          <w:szCs w:val="24"/>
          <w:highlight w:val="none"/>
        </w:rPr>
        <w:t xml:space="preserve">                                       项目编号：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</w:rPr>
        <w:t>JSZC-320100-JZCG-C2026-0276</w:t>
      </w:r>
    </w:p>
    <w:p w14:paraId="1725F39D">
      <w:pPr>
        <w:keepNext w:val="0"/>
        <w:keepLines w:val="0"/>
        <w:pageBreakBefore w:val="0"/>
        <w:widowControl w:val="0"/>
        <w:spacing w:before="145" w:after="145" w:line="240" w:lineRule="auto"/>
        <w:jc w:val="left"/>
        <w:outlineLvl w:val="9"/>
        <w:rPr>
          <w:rFonts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ascii="宋体" w:hAnsi="宋体" w:eastAsia="宋体" w:cs="Courier New"/>
          <w:color w:val="000000"/>
          <w:sz w:val="24"/>
          <w:szCs w:val="24"/>
          <w:highlight w:val="none"/>
        </w:rPr>
        <w:t>甲方（买方）：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南京市玄武区城市数字治理中心</w:t>
      </w:r>
    </w:p>
    <w:p w14:paraId="2A9875AB">
      <w:pPr>
        <w:keepNext w:val="0"/>
        <w:keepLines w:val="0"/>
        <w:pageBreakBefore w:val="0"/>
        <w:widowControl w:val="0"/>
        <w:spacing w:before="145" w:after="145" w:line="240" w:lineRule="auto"/>
        <w:jc w:val="left"/>
        <w:outlineLvl w:val="9"/>
        <w:rPr>
          <w:rFonts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ascii="宋体" w:hAnsi="宋体" w:eastAsia="宋体" w:cs="Courier New"/>
          <w:color w:val="000000"/>
          <w:sz w:val="24"/>
          <w:szCs w:val="24"/>
          <w:highlight w:val="none"/>
        </w:rPr>
        <w:t>乙方（卖方）：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中电鸿信信息科技有限公司</w:t>
      </w:r>
    </w:p>
    <w:p w14:paraId="7B945D52">
      <w:pPr>
        <w:keepNext w:val="0"/>
        <w:keepLines w:val="0"/>
        <w:pageBreakBefore w:val="0"/>
        <w:widowControl w:val="0"/>
        <w:spacing w:before="0" w:after="0" w:line="240" w:lineRule="auto"/>
        <w:rPr>
          <w:rFonts w:ascii="宋体" w:hAnsi="宋体" w:cs="Courier New"/>
          <w:b/>
          <w:color w:val="000000"/>
          <w:sz w:val="24"/>
          <w:szCs w:val="24"/>
          <w:highlight w:val="none"/>
        </w:rPr>
      </w:pPr>
      <w:r>
        <w:rPr>
          <w:rFonts w:ascii="宋体" w:hAnsi="宋体" w:cs="Courier New"/>
          <w:b/>
          <w:color w:val="000000"/>
          <w:sz w:val="24"/>
          <w:szCs w:val="24"/>
          <w:highlight w:val="none"/>
        </w:rPr>
        <w:t xml:space="preserve">   </w:t>
      </w:r>
      <w:r>
        <w:rPr>
          <w:rFonts w:hint="eastAsia" w:ascii="宋体" w:hAnsi="宋体" w:cs="Courier New"/>
          <w:b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宋体" w:hAnsi="宋体" w:cs="Courier New"/>
          <w:color w:val="000000"/>
          <w:sz w:val="24"/>
          <w:szCs w:val="24"/>
          <w:highlight w:val="none"/>
        </w:rPr>
        <w:t>甲、乙双方根据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eastAsia="zh-CN"/>
        </w:rPr>
        <w:t>南京市公共资源交易中心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u w:val="none"/>
          <w:lang w:val="en-US" w:eastAsia="zh-CN"/>
        </w:rPr>
        <w:t>组织的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>__玄武区“一网统管”平台适配改造_</w:t>
      </w:r>
      <w:r>
        <w:rPr>
          <w:rFonts w:ascii="宋体" w:hAnsi="宋体" w:cs="Courier New"/>
          <w:color w:val="000000"/>
          <w:sz w:val="24"/>
          <w:szCs w:val="24"/>
          <w:highlight w:val="none"/>
        </w:rPr>
        <w:t>项目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eastAsia="zh-CN"/>
        </w:rPr>
        <w:t>竞争性磋商</w:t>
      </w:r>
      <w:r>
        <w:rPr>
          <w:rFonts w:ascii="宋体" w:hAnsi="宋体" w:cs="Courier New"/>
          <w:color w:val="000000"/>
          <w:sz w:val="24"/>
          <w:szCs w:val="24"/>
          <w:highlight w:val="none"/>
        </w:rPr>
        <w:t>结果，签署本合同。</w:t>
      </w:r>
    </w:p>
    <w:p w14:paraId="1CAECBE7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一、合同内容</w:t>
      </w:r>
    </w:p>
    <w:p w14:paraId="2052E502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1.1 标的名称：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</w:rPr>
        <w:t>玄武区“一网统管”平台适配改造项目</w:t>
      </w:r>
    </w:p>
    <w:p w14:paraId="592C8E34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1.2 标的质量：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按磋商文件及响应文件执行。</w:t>
      </w:r>
    </w:p>
    <w:p w14:paraId="666FE46D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ascii="宋体" w:hAnsi="宋体" w:eastAsia="宋体" w:cs="Courier New"/>
          <w:color w:val="000000"/>
          <w:sz w:val="24"/>
          <w:szCs w:val="24"/>
          <w:highlight w:val="none"/>
          <w:lang w:val="en-US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.3 标的数量（规模）：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按磋商文件及响应文件执行。</w:t>
      </w:r>
    </w:p>
    <w:p w14:paraId="1D855E13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ascii="宋体" w:hAnsi="宋体" w:eastAsia="宋体" w:cs="Courier New"/>
          <w:color w:val="000000"/>
          <w:sz w:val="24"/>
          <w:szCs w:val="24"/>
          <w:highlight w:val="none"/>
          <w:lang w:val="en-US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.4 履行时间（期限）：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按磋商文件及响应文件执行。</w:t>
      </w:r>
    </w:p>
    <w:p w14:paraId="12ACD049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Courier New"/>
          <w:color w:val="000000"/>
          <w:sz w:val="24"/>
          <w:szCs w:val="24"/>
          <w:highlight w:val="none"/>
          <w:lang w:val="en-US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.5 履行地点：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甲方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指定地点。</w:t>
      </w:r>
    </w:p>
    <w:p w14:paraId="31FCCE9E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ascii="宋体" w:hAnsi="宋体" w:eastAsia="宋体" w:cs="Courier New"/>
          <w:color w:val="000000"/>
          <w:sz w:val="24"/>
          <w:szCs w:val="24"/>
          <w:highlight w:val="none"/>
          <w:lang w:val="en-US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.6 履行方式：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按磋商文件及响应文件执行。</w:t>
      </w:r>
    </w:p>
    <w:p w14:paraId="134637D8">
      <w:pPr>
        <w:keepNext w:val="0"/>
        <w:keepLines w:val="0"/>
        <w:pageBreakBefore w:val="0"/>
        <w:widowControl w:val="0"/>
        <w:spacing w:before="0" w:after="0" w:line="24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Courier New"/>
          <w:color w:val="000000"/>
          <w:sz w:val="24"/>
          <w:szCs w:val="24"/>
          <w:highlight w:val="none"/>
          <w:lang w:val="en-US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.7 包装方式：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按磋商文件及响应文件执行。</w:t>
      </w:r>
    </w:p>
    <w:p w14:paraId="3D39268A">
      <w:pPr>
        <w:keepNext w:val="0"/>
        <w:keepLines w:val="0"/>
        <w:pageBreakBefore w:val="0"/>
        <w:widowControl w:val="0"/>
        <w:spacing w:before="0" w:after="0" w:line="240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1.8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合同组成：关于本项目的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磋商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文件、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响应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文件、工作说明书（如有）、绩效目标考核方法（如有）是本合同的组成部分，本合同未约定的，双方应当按照上述文件履行，如上述文件存在冲突的，以甲方选择的解释顺序为准。</w:t>
      </w:r>
    </w:p>
    <w:p w14:paraId="7147D199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二、合同金额</w:t>
      </w:r>
    </w:p>
    <w:p w14:paraId="2D2B2D92">
      <w:pPr>
        <w:pStyle w:val="4"/>
        <w:keepNext w:val="0"/>
        <w:keepLines w:val="0"/>
        <w:pageBreakBefore w:val="0"/>
        <w:widowControl w:val="0"/>
        <w:spacing w:before="0" w:after="0" w:line="240" w:lineRule="auto"/>
        <w:rPr>
          <w:rFonts w:ascii="宋体" w:hAnsi="宋体" w:cs="Courier New"/>
          <w:color w:val="000000"/>
          <w:sz w:val="24"/>
          <w:szCs w:val="24"/>
          <w:highlight w:val="none"/>
        </w:rPr>
      </w:pPr>
      <w:r>
        <w:rPr>
          <w:rFonts w:ascii="宋体" w:hAnsi="宋体" w:cs="Courier New"/>
          <w:color w:val="000000"/>
          <w:sz w:val="24"/>
          <w:szCs w:val="24"/>
          <w:highlight w:val="none"/>
        </w:rPr>
        <w:t xml:space="preserve">2.1 </w:t>
      </w:r>
      <w:r>
        <w:rPr>
          <w:rFonts w:hint="eastAsia" w:hAnsi="宋体"/>
          <w:color w:val="000000"/>
          <w:sz w:val="24"/>
          <w:szCs w:val="24"/>
          <w:highlight w:val="none"/>
        </w:rPr>
        <w:t>本合同金额为：</w:t>
      </w:r>
      <w:r>
        <w:rPr>
          <w:rFonts w:hint="eastAsia" w:hAnsi="宋体"/>
          <w:color w:val="000000"/>
          <w:sz w:val="24"/>
          <w:szCs w:val="24"/>
          <w:highlight w:val="none"/>
          <w:lang w:val="en-US" w:eastAsia="zh-CN"/>
        </w:rPr>
        <w:t>人民币</w:t>
      </w:r>
      <w:r>
        <w:rPr>
          <w:rFonts w:hint="eastAsia" w:hAnsi="宋体"/>
          <w:color w:val="000000"/>
          <w:sz w:val="24"/>
          <w:szCs w:val="24"/>
          <w:highlight w:val="none"/>
        </w:rPr>
        <w:t>_</w:t>
      </w:r>
      <w:r>
        <w:rPr>
          <w:rFonts w:hint="eastAsia" w:hAnsi="宋体"/>
          <w:color w:val="000000"/>
          <w:sz w:val="24"/>
          <w:szCs w:val="24"/>
          <w:highlight w:val="none"/>
          <w:u w:val="single"/>
        </w:rPr>
        <w:t>_1415000_</w:t>
      </w:r>
      <w:r>
        <w:rPr>
          <w:rFonts w:hint="eastAsia" w:hAnsi="宋体"/>
          <w:color w:val="000000"/>
          <w:sz w:val="24"/>
          <w:szCs w:val="24"/>
          <w:highlight w:val="none"/>
        </w:rPr>
        <w:t>_</w:t>
      </w:r>
      <w:r>
        <w:rPr>
          <w:rFonts w:hint="eastAsia" w:hAnsi="宋体"/>
          <w:color w:val="000000"/>
          <w:sz w:val="24"/>
          <w:szCs w:val="24"/>
          <w:highlight w:val="none"/>
          <w:lang w:val="en-US" w:eastAsia="zh-CN"/>
        </w:rPr>
        <w:t>元</w:t>
      </w:r>
      <w:r>
        <w:rPr>
          <w:rFonts w:hint="eastAsia" w:hAnsi="宋体"/>
          <w:color w:val="000000"/>
          <w:sz w:val="24"/>
          <w:szCs w:val="24"/>
          <w:highlight w:val="none"/>
        </w:rPr>
        <w:t>，（</w:t>
      </w:r>
      <w:r>
        <w:rPr>
          <w:rFonts w:hint="eastAsia" w:hAnsi="宋体"/>
          <w:color w:val="000000"/>
          <w:sz w:val="24"/>
          <w:szCs w:val="24"/>
          <w:highlight w:val="none"/>
          <w:lang w:val="en-US" w:eastAsia="zh-CN"/>
        </w:rPr>
        <w:t>大</w:t>
      </w:r>
      <w:r>
        <w:rPr>
          <w:rFonts w:hint="eastAsia" w:hAnsi="宋体"/>
          <w:color w:val="000000"/>
          <w:sz w:val="24"/>
          <w:szCs w:val="24"/>
          <w:highlight w:val="none"/>
        </w:rPr>
        <w:t>写</w:t>
      </w:r>
      <w:r>
        <w:rPr>
          <w:rFonts w:hint="eastAsia" w:hAnsi="宋体"/>
          <w:color w:val="000000"/>
          <w:sz w:val="24"/>
          <w:szCs w:val="24"/>
          <w:highlight w:val="none"/>
          <w:lang w:eastAsia="zh-CN"/>
        </w:rPr>
        <w:t>：</w:t>
      </w:r>
      <w:r>
        <w:rPr>
          <w:rFonts w:hint="eastAsia" w:hAnsi="宋体"/>
          <w:color w:val="000000"/>
          <w:sz w:val="24"/>
          <w:szCs w:val="24"/>
          <w:highlight w:val="none"/>
          <w:u w:val="none"/>
        </w:rPr>
        <w:t>__</w:t>
      </w:r>
      <w:r>
        <w:rPr>
          <w:rFonts w:hint="eastAsia" w:hAnsi="宋体"/>
          <w:color w:val="000000"/>
          <w:sz w:val="24"/>
          <w:szCs w:val="24"/>
          <w:highlight w:val="none"/>
          <w:u w:val="single"/>
        </w:rPr>
        <w:t>__壹佰肆拾壹万伍仟元整_</w:t>
      </w:r>
      <w:r>
        <w:rPr>
          <w:rFonts w:hint="eastAsia" w:hAnsi="宋体"/>
          <w:color w:val="000000"/>
          <w:sz w:val="24"/>
          <w:szCs w:val="24"/>
          <w:highlight w:val="none"/>
          <w:u w:val="none"/>
        </w:rPr>
        <w:t>___</w:t>
      </w:r>
      <w:r>
        <w:rPr>
          <w:rFonts w:hint="eastAsia" w:hAnsi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>。</w:t>
      </w:r>
    </w:p>
    <w:p w14:paraId="39188BC3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三、技术资料</w:t>
      </w:r>
    </w:p>
    <w:p w14:paraId="050A5757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3.1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乙方应按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磋商文件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规定的时间向甲方提供服务（包含与服务相关的货物）的有关技术资料。</w:t>
      </w:r>
    </w:p>
    <w:p w14:paraId="5AF580EB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3.2 没有甲方事先书面同意，乙方不得将由甲方提供的有关合同或任何合同条文、规格、计划、图纸、样品或资料提供给与履行本合同无关的任何其他人。即使向履行本合同有关的人员提供，也应注意保密并限于履行合同的必需范围。保密期至保密内容按照相关法律法规规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以合法方式和途径将其全部披露或本合同终止后5年为止，以两者孰长为准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eastAsia="zh-CN"/>
        </w:rPr>
        <w:t>。</w:t>
      </w:r>
      <w:r>
        <w:rPr>
          <w:rFonts w:ascii="宋体" w:hAnsi="宋体" w:eastAsia="宋体" w:cs="宋体"/>
          <w:sz w:val="24"/>
          <w:szCs w:val="24"/>
        </w:rPr>
        <w:t>保密义务不因本合同解除、终止而失效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51DE98E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四、知识产权</w:t>
      </w:r>
    </w:p>
    <w:p w14:paraId="6F4EAA89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4.1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乙方应保证甲方在使用、接受本合同服务（包含与服务相关的货物）或其任何一部分时不受第三方提出侵犯其专利权、版权、商标权和工业设计权等知识产权的起诉。一旦出现侵权，由乙方负全部责任。</w:t>
      </w:r>
    </w:p>
    <w:p w14:paraId="17F8B447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五、产权担保</w:t>
      </w:r>
    </w:p>
    <w:p w14:paraId="61BA0BAA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5.1 乙方保证所交付的服务（包含与服务相关的货物）的所有权完全属于乙方且无任何抵押、查封等产权瑕疵。</w:t>
      </w:r>
    </w:p>
    <w:p w14:paraId="51C68C85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六、履约保证金</w:t>
      </w:r>
    </w:p>
    <w:p w14:paraId="18D867E0">
      <w:pPr>
        <w:keepNext w:val="0"/>
        <w:keepLines w:val="0"/>
        <w:pageBreakBefore w:val="0"/>
        <w:widowControl w:val="0"/>
        <w:spacing w:line="240" w:lineRule="auto"/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 xml:space="preserve">6.1 </w:t>
      </w:r>
      <w:r>
        <w:rPr>
          <w:rFonts w:hint="eastAsia" w:ascii="宋体" w:hAnsi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签订合同时，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乙方按照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合同金额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b w:val="0"/>
          <w:bCs w:val="0"/>
          <w:color w:val="000000"/>
          <w:sz w:val="24"/>
          <w:szCs w:val="24"/>
          <w:highlight w:val="none"/>
          <w:u w:val="single"/>
          <w:lang w:val="en-US" w:eastAsia="zh-CN"/>
        </w:rPr>
        <w:t>5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%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缴纳履约保证金。合同履行结束后，甲方按以下约定退还：</w:t>
      </w:r>
    </w:p>
    <w:p w14:paraId="344BE817">
      <w:pPr>
        <w:keepNext w:val="0"/>
        <w:keepLines w:val="0"/>
        <w:pageBreakBefore w:val="0"/>
        <w:widowControl w:val="0"/>
        <w:spacing w:line="240" w:lineRule="auto"/>
        <w:rPr>
          <w:rFonts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6.1.1 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退还时间及条件：验收合格且合同履行期结束后5个工作日内。</w:t>
      </w:r>
    </w:p>
    <w:p w14:paraId="0B80BCAD">
      <w:pPr>
        <w:keepNext w:val="0"/>
        <w:keepLines w:val="0"/>
        <w:pageBreakBefore w:val="0"/>
        <w:widowControl w:val="0"/>
        <w:spacing w:line="240" w:lineRule="auto"/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6.1.2 退还方式：扣除违约费用后一次性无息退还。</w:t>
      </w:r>
    </w:p>
    <w:p w14:paraId="2F01CECB">
      <w:pPr>
        <w:keepNext w:val="0"/>
        <w:keepLines w:val="0"/>
        <w:pageBreakBefore w:val="0"/>
        <w:widowControl w:val="0"/>
        <w:spacing w:line="240" w:lineRule="auto"/>
        <w:rPr>
          <w:rFonts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6.1.3 不予退还的情形：合同约定的交付期内未履约完成、验收不合格、整改不到位等情形。</w:t>
      </w:r>
    </w:p>
    <w:p w14:paraId="331F867B">
      <w:pPr>
        <w:keepNext w:val="0"/>
        <w:keepLines w:val="0"/>
        <w:pageBreakBefore w:val="0"/>
        <w:widowControl w:val="0"/>
        <w:spacing w:line="240" w:lineRule="auto"/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6.1.4 逾期退还履约保证金责任：甲方逾期退还履约保证金的，除应当退还履约保证金本金外，还应当按照每日万分之五的利率支付逾期利息，但因乙方自身原因导致无法及时退还的除外。</w:t>
      </w:r>
    </w:p>
    <w:p w14:paraId="77920A1C">
      <w:pPr>
        <w:keepNext w:val="0"/>
        <w:keepLines w:val="0"/>
        <w:pageBreakBefore w:val="0"/>
        <w:widowControl w:val="0"/>
        <w:spacing w:line="264" w:lineRule="auto"/>
        <w:outlineLvl w:val="9"/>
        <w:rPr>
          <w:rFonts w:ascii="宋体" w:hAnsi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宋体" w:hAnsi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6.2 乙方</w:t>
      </w:r>
      <w:r>
        <w:rPr>
          <w:rFonts w:hint="eastAsia" w:ascii="宋体" w:hAnsi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可以采用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银行、</w:t>
      </w:r>
      <w:r>
        <w:rPr>
          <w:rFonts w:hint="eastAsia" w:ascii="宋体" w:hAnsi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保险公司、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担保公司等</w:t>
      </w:r>
      <w:r>
        <w:rPr>
          <w:rFonts w:hint="eastAsia" w:ascii="宋体" w:hAnsi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第三方机构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出具的</w:t>
      </w:r>
      <w:r>
        <w:rPr>
          <w:rFonts w:hint="eastAsia" w:ascii="宋体" w:hAnsi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履约保函（保险）代替缴纳履约保证金，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保函（保险）有效期届满且担保人按照约定履行了担保责任后自动失效</w:t>
      </w:r>
      <w:r>
        <w:rPr>
          <w:rFonts w:hint="eastAsia" w:ascii="宋体" w:hAnsi="宋体" w:cs="Courier New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。如乙方未按要求履行合同义务，由担保人按照合同约定对甲方承担赔偿责任</w:t>
      </w:r>
      <w:r>
        <w:rPr>
          <w:rFonts w:hint="eastAsia" w:ascii="宋体" w:hAnsi="宋体" w:eastAsia="宋体" w:cs="Courier New"/>
          <w:b w:val="0"/>
          <w:bCs w:val="0"/>
          <w:color w:val="000000"/>
          <w:sz w:val="24"/>
          <w:szCs w:val="24"/>
          <w:highlight w:val="none"/>
          <w:lang w:val="en-US" w:eastAsia="zh-CN"/>
        </w:rPr>
        <w:t>。</w:t>
      </w:r>
    </w:p>
    <w:p w14:paraId="1AC7E8A5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七、合同转包或分包</w:t>
      </w:r>
    </w:p>
    <w:p w14:paraId="38C34F4D">
      <w:pPr>
        <w:keepNext w:val="0"/>
        <w:keepLines w:val="0"/>
        <w:pageBreakBefore w:val="0"/>
        <w:widowControl w:val="0"/>
        <w:spacing w:before="0" w:after="0" w:line="264" w:lineRule="auto"/>
        <w:outlineLvl w:val="9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7.1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乙方不得将合同标的转包给他人履行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val="en-US" w:eastAsia="zh-CN"/>
        </w:rPr>
        <w:t>否则甲方有权终止合同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。</w:t>
      </w:r>
    </w:p>
    <w:p w14:paraId="37B20465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7.2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除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磋商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文件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允许的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分包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情况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外，乙方不得将合同标的分包给他人履行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val="en-US" w:eastAsia="zh-CN"/>
        </w:rPr>
        <w:t>否则甲方有权终止合同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。</w:t>
      </w:r>
    </w:p>
    <w:p w14:paraId="0E1A1C1C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八、合同款项支付</w:t>
      </w:r>
    </w:p>
    <w:p w14:paraId="2DB76636">
      <w:pPr>
        <w:pStyle w:val="4"/>
        <w:keepNext w:val="0"/>
        <w:keepLines w:val="0"/>
        <w:pageBreakBefore w:val="0"/>
        <w:widowControl w:val="0"/>
        <w:spacing w:before="0" w:after="0" w:line="240" w:lineRule="auto"/>
        <w:outlineLvl w:val="2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8.1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合同款项的支付方式及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时间</w:t>
      </w:r>
    </w:p>
    <w:p w14:paraId="0DCFFAFC">
      <w:pPr>
        <w:pStyle w:val="4"/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8.1.1 合同签订且服务团队人员到位后，甲方支付合同总价款的40%作为预付款。</w:t>
      </w:r>
    </w:p>
    <w:p w14:paraId="6EB2E6A8">
      <w:pPr>
        <w:pStyle w:val="4"/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8.1.2 项目初验后，甲方支付合同总价款的30%；</w:t>
      </w:r>
    </w:p>
    <w:p w14:paraId="180730FE">
      <w:pPr>
        <w:pStyle w:val="4"/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8.1.3 项目终验后，甲方支付合同总价款的30%。</w:t>
      </w:r>
    </w:p>
    <w:p w14:paraId="2A2A71C0">
      <w:pPr>
        <w:pStyle w:val="4"/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8.1.</w:t>
      </w:r>
      <w:r>
        <w:rPr>
          <w:rFonts w:hint="eastAsia" w:hAnsi="宋体" w:cs="Courier New"/>
          <w:color w:val="00000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满足合同约定支付条件的，甲方收到乙方发票后10个工作日内，将资金支付到合同约定的乙方账户。 </w:t>
      </w:r>
    </w:p>
    <w:p w14:paraId="6300924C">
      <w:pPr>
        <w:pStyle w:val="4"/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8.2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根据</w:t>
      </w:r>
      <w:r>
        <w:rPr>
          <w:rFonts w:hint="eastAsia" w:ascii="宋体" w:hAnsi="宋体" w:eastAsia="宋体" w:cs="Courier New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highlight w:val="none"/>
          <w:shd w:val="clear" w:color="auto" w:fill="auto"/>
          <w:vertAlign w:val="baseline"/>
        </w:rPr>
        <w:t>《保障中小企业款项支付条例》</w:t>
      </w:r>
      <w:r>
        <w:rPr>
          <w:rFonts w:hint="eastAsia" w:ascii="宋体" w:hAnsi="宋体" w:eastAsia="宋体" w:cs="Courier New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highlight w:val="none"/>
          <w:shd w:val="clear" w:color="auto" w:fill="auto"/>
          <w:vertAlign w:val="baseline"/>
          <w:lang w:val="en-US" w:eastAsia="zh-CN"/>
        </w:rPr>
        <w:t>规定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甲方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未按合同约定支付款项的，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乙方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可以向有关部门投诉。</w:t>
      </w:r>
    </w:p>
    <w:p w14:paraId="0520C93A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九、税费</w:t>
      </w:r>
    </w:p>
    <w:p w14:paraId="554AFAE8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9.1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本合同执行中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相关税费均由乙方负担。</w:t>
      </w:r>
    </w:p>
    <w:p w14:paraId="4C3A537A">
      <w:pPr>
        <w:keepNext w:val="0"/>
        <w:keepLines w:val="0"/>
        <w:pageBreakBefore w:val="0"/>
        <w:widowControl w:val="0"/>
        <w:spacing w:before="0" w:after="0" w:line="240" w:lineRule="auto"/>
        <w:ind w:left="0" w:firstLine="0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十、项目验收</w:t>
      </w:r>
    </w:p>
    <w:p w14:paraId="25C86CFF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10.1 甲方依法组织履约验收工作。</w:t>
      </w:r>
    </w:p>
    <w:p w14:paraId="01F5A98B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10.2 甲方在组织履约验收前，将根据项目特点制定验收方案，明确验收的时间、方式、程序等内容，并可根据项目特点对服务期内的服务实施情况进行分期考核，综合考核情况和服务效果进行验收。乙方应根据验收方案做好相应配合工作。</w:t>
      </w:r>
    </w:p>
    <w:p w14:paraId="4D0AFB6B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10.3 对于实际使用人和甲方分离的项目，甲方邀请实际使用人参与验收。</w:t>
      </w:r>
    </w:p>
    <w:p w14:paraId="539C8E39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10.4 如有必要，甲方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可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邀请参加本项目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磋商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的其他供应商或第三方专业机构及专家参与验收，相关意见将作为验收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结论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的参考。</w:t>
      </w:r>
    </w:p>
    <w:p w14:paraId="4FB935D3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10.5 甲方成立验收小组，按照采购合同约定对乙方的履约情况进行验收。验收时间、验收标准见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磋商文件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。验收时甲方按照采购合同的约定对每一项服务的履约情况进行确认。验收结束后,验收小组出具验收书,列明各项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的验收情况及项目总体评价,由验收双方共同签署。验收结果与采购合同约定的资金支付及履约保证金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退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还挂钩。履约验收的各项资料存档备查。</w:t>
      </w:r>
    </w:p>
    <w:p w14:paraId="4121726E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10.6 验收合格的项目,甲方根据采购合同的约定及时向乙方支付合同款项、退还履约保证金。验收不合格的项目，甲方依法及时处理。采购合同的履行、违约责任和解决争议的方式等适用《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中华人民共和国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民法典》。乙方在履约过程中有政府采购法律法规规定的违法违规情形的,甲方将及时报告本级财政部门。</w:t>
      </w:r>
    </w:p>
    <w:p w14:paraId="72EF7C9B">
      <w:pPr>
        <w:keepNext w:val="0"/>
        <w:keepLines w:val="0"/>
        <w:pageBreakBefore w:val="0"/>
        <w:widowControl w:val="0"/>
        <w:spacing w:before="0" w:after="0" w:line="264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zh-CN" w:eastAsia="zh-CN"/>
        </w:rPr>
        <w:t>10.7 网络安全、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市场准入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zh-CN" w:eastAsia="zh-CN"/>
        </w:rPr>
        <w:t>要求（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如有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zh-CN" w:eastAsia="zh-CN"/>
        </w:rPr>
        <w:t>）：</w:t>
      </w:r>
    </w:p>
    <w:p w14:paraId="474F0435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十一、违约责任</w:t>
      </w:r>
    </w:p>
    <w:p w14:paraId="6EF25D85">
      <w:pPr>
        <w:keepNext w:val="0"/>
        <w:keepLines w:val="0"/>
        <w:pageBreakBefore w:val="0"/>
        <w:widowControl w:val="0"/>
        <w:spacing w:before="0" w:after="0" w:line="240" w:lineRule="auto"/>
        <w:rPr>
          <w:rFonts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11.1 甲方无正当理由拒绝接受乙方提供服务的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，应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向乙方偿付拒绝接受服务合同总额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u w:val="single"/>
          <w:lang w:val="en-US" w:eastAsia="zh-CN"/>
        </w:rPr>
        <w:t>10%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的违约金。</w:t>
      </w:r>
    </w:p>
    <w:p w14:paraId="7D47280B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11.2 甲方无故逾期验收和办理支付手续的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应按逾期付款总额每日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u w:val="single"/>
          <w:lang w:val="en-US" w:eastAsia="zh-CN"/>
        </w:rPr>
        <w:t>0.03%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向乙方支付违约金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eastAsia="zh-CN"/>
        </w:rPr>
        <w:t>，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但违约金最高不得超过合同总价的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  <w:lang w:val="en-US" w:eastAsia="zh-CN"/>
        </w:rPr>
        <w:t xml:space="preserve">10 </w:t>
      </w:r>
      <w:r>
        <w:rPr>
          <w:rFonts w:ascii="宋体" w:hAnsi="宋体" w:eastAsia="宋体" w:cs="宋体"/>
          <w:color w:val="000000"/>
          <w:sz w:val="24"/>
          <w:szCs w:val="24"/>
          <w:highlight w:val="none"/>
        </w:rPr>
        <w:t>%。</w:t>
      </w:r>
    </w:p>
    <w:p w14:paraId="6FDE3B55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cs="Courier New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11.3 乙方逾期提供服务的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应按逾期提供服务合同总额每日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u w:val="single"/>
          <w:lang w:val="en-US" w:eastAsia="zh-CN"/>
        </w:rPr>
        <w:t>0.03%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u w:val="none"/>
          <w:lang w:val="en-US" w:eastAsia="zh-CN"/>
        </w:rPr>
        <w:t>向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甲方支付违约金，由甲方从待付合同款中扣除。超过约定日期10个工作日不能提供服务的，甲方可解除本合同。乙方因逾期提供服务或因其他违约行为导致甲方解除合同的，应向甲方支付合同总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val="en-US" w:eastAsia="zh-CN"/>
        </w:rPr>
        <w:t>额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u w:val="single"/>
          <w:lang w:val="en-US" w:eastAsia="zh-CN"/>
        </w:rPr>
        <w:t>10%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的违约金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eastAsia="zh-CN"/>
        </w:rPr>
        <w:t>。</w:t>
      </w:r>
    </w:p>
    <w:p w14:paraId="45C529F8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11.4 乙方所提供服务的标准不符合合同规定及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磋商文件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规定标准的，甲方有权拒绝接受服务，并可单方面解除合同。</w:t>
      </w:r>
    </w:p>
    <w:p w14:paraId="18689BC1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/>
          <w:color w:val="000000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.5 甲乙双方任何一方违反本合同约定的，除应承担上述违约责任外，违约方还应当赔偿因此给守约方造成的一切直接和间接损失，包括但不限于守约方的实际损失、预期可得利益损失以及为实现债权而产生的费用（包括但不限于诉讼费、保全费、保全担保费、律师费、公证费、鉴定费、差旅费）。</w:t>
      </w:r>
    </w:p>
    <w:p w14:paraId="29BF6F74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十二、不可抗力事件处理</w:t>
      </w:r>
    </w:p>
    <w:p w14:paraId="20DC2FB1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12.1 在合同有效期内，任何一方因不可抗力事件导致不能履行合同，则合同履行期可延长，其延长期与不可抗力影响期相同。</w:t>
      </w:r>
    </w:p>
    <w:p w14:paraId="519FFD4B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12.2 不可抗力事件发生后，应立即通知对方并寄送有关权威机构出具的证明。</w:t>
      </w:r>
    </w:p>
    <w:p w14:paraId="05928290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12.3 不可抗力事件延续120天以上，双方应通过友好协商，确定是否继续履行合同。</w:t>
      </w:r>
    </w:p>
    <w:p w14:paraId="4AD134C6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十三、解决争议的方法</w:t>
      </w:r>
    </w:p>
    <w:p w14:paraId="732CE755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13.1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双方在签订、履行合同中所发生的一切争议，应通过友好协商解决。如协商不成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eastAsia="zh-CN"/>
        </w:rPr>
        <w:t>的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由甲方住所地人民法院管辖。</w:t>
      </w:r>
    </w:p>
    <w:p w14:paraId="726ADFA2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</w:rPr>
        <w:t>十四、合同生效及其</w:t>
      </w: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24"/>
          <w:szCs w:val="24"/>
          <w:highlight w:val="none"/>
          <w:lang w:val="en-US" w:eastAsia="zh-CN"/>
        </w:rPr>
        <w:t>他</w:t>
      </w:r>
    </w:p>
    <w:p w14:paraId="5612C6B8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14.1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Courier New"/>
          <w:color w:val="000000"/>
          <w:sz w:val="24"/>
          <w:szCs w:val="24"/>
          <w:highlight w:val="none"/>
          <w:lang w:val="en-US" w:eastAsia="zh-CN"/>
        </w:rPr>
        <w:t>本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合同经双方加盖单位公章后生效。</w:t>
      </w:r>
    </w:p>
    <w:p w14:paraId="4D99C823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14.2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本合同未尽事宜，遵照《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中华人民共和国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民法典》《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  <w:lang w:val="en-US" w:eastAsia="zh-CN"/>
        </w:rPr>
        <w:t>中华人民共和国</w:t>
      </w: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政府采购法》有关条文执行。</w:t>
      </w:r>
    </w:p>
    <w:p w14:paraId="6A742B6D">
      <w:pPr>
        <w:keepNext w:val="0"/>
        <w:keepLines w:val="0"/>
        <w:pageBreakBefore w:val="0"/>
        <w:widowControl w:val="0"/>
        <w:spacing w:before="0" w:after="0" w:line="240" w:lineRule="auto"/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Courier New"/>
          <w:color w:val="000000"/>
          <w:sz w:val="24"/>
          <w:szCs w:val="24"/>
          <w:highlight w:val="none"/>
        </w:rPr>
        <w:t>14.3 本合同正本一式两份，具有同等法律效力，甲方、乙方各执一份。</w:t>
      </w:r>
    </w:p>
    <w:p w14:paraId="6A988D7E">
      <w:pPr>
        <w:pStyle w:val="4"/>
        <w:keepNext w:val="0"/>
        <w:keepLines w:val="0"/>
        <w:pageBreakBefore w:val="0"/>
        <w:widowControl w:val="0"/>
        <w:spacing w:before="120" w:after="120" w:line="240" w:lineRule="auto"/>
        <w:rPr>
          <w:rFonts w:hint="eastAsia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 </w:t>
      </w:r>
    </w:p>
    <w:p w14:paraId="099FC1EF">
      <w:pPr>
        <w:pStyle w:val="4"/>
        <w:keepNext w:val="0"/>
        <w:keepLines w:val="0"/>
        <w:pageBreakBefore w:val="0"/>
        <w:widowControl w:val="0"/>
        <w:spacing w:before="120" w:after="120" w:line="240" w:lineRule="auto"/>
        <w:rPr>
          <w:rFonts w:hint="eastAsia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 甲方：南京市玄武区城市数字治理中心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val="en-US" w:eastAsia="zh-CN"/>
        </w:rPr>
        <w:t>公章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  乙方：中电鸿信信息科技有限公司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val="en-US" w:eastAsia="zh-CN"/>
        </w:rPr>
        <w:t>公章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 </w:t>
      </w:r>
    </w:p>
    <w:p w14:paraId="16DEC92C">
      <w:pPr>
        <w:pStyle w:val="4"/>
        <w:keepNext w:val="0"/>
        <w:keepLines w:val="0"/>
        <w:pageBreakBefore w:val="0"/>
        <w:widowControl w:val="0"/>
        <w:spacing w:before="120" w:after="120" w:line="240" w:lineRule="auto"/>
        <w:rPr>
          <w:rFonts w:hint="eastAsia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  地址：南京市玄武区珠江路455号          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>地址：南京市</w:t>
      </w:r>
      <w:bookmarkStart w:id="0" w:name="_GoBack"/>
      <w:bookmarkEnd w:id="0"/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汉中路268号 </w:t>
      </w:r>
    </w:p>
    <w:p w14:paraId="0D3735DA">
      <w:pPr>
        <w:pStyle w:val="4"/>
        <w:keepNext w:val="0"/>
        <w:keepLines w:val="0"/>
        <w:pageBreakBefore w:val="0"/>
        <w:widowControl w:val="0"/>
        <w:spacing w:before="120" w:after="120" w:line="240" w:lineRule="auto"/>
        <w:rPr>
          <w:rFonts w:hint="eastAsia" w:hAnsi="宋体" w:eastAsia="宋体" w:cs="Courier New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  法定代表人或授权代表：</w:t>
      </w:r>
      <w:r>
        <w:rPr>
          <w:rFonts w:hint="eastAsia" w:hAnsi="宋体" w:cs="Courier New"/>
          <w:color w:val="000000"/>
          <w:sz w:val="24"/>
          <w:szCs w:val="24"/>
          <w:highlight w:val="none"/>
          <w:lang w:val="en-US" w:eastAsia="zh-CN"/>
        </w:rPr>
        <w:t>徐冰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   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      </w:t>
      </w:r>
      <w:r>
        <w:rPr>
          <w:rFonts w:hint="eastAsia" w:hAnsi="宋体" w:cs="Courier New"/>
          <w:color w:val="000000"/>
          <w:sz w:val="24"/>
          <w:szCs w:val="24"/>
          <w:highlight w:val="none"/>
          <w:lang w:val="en-US" w:eastAsia="zh-CN"/>
        </w:rPr>
        <w:t xml:space="preserve">       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>法定代表人或授权代表：</w:t>
      </w:r>
      <w:r>
        <w:rPr>
          <w:rFonts w:hint="eastAsia" w:hAnsi="宋体" w:cs="Courier New"/>
          <w:color w:val="000000"/>
          <w:sz w:val="24"/>
          <w:szCs w:val="24"/>
          <w:highlight w:val="none"/>
          <w:lang w:val="en-US" w:eastAsia="zh-CN"/>
        </w:rPr>
        <w:t>李婷</w:t>
      </w:r>
    </w:p>
    <w:p w14:paraId="410A23D0">
      <w:pPr>
        <w:pStyle w:val="4"/>
        <w:keepNext w:val="0"/>
        <w:keepLines w:val="0"/>
        <w:pageBreakBefore w:val="0"/>
        <w:widowControl w:val="0"/>
        <w:spacing w:before="120" w:after="120" w:line="240" w:lineRule="auto"/>
        <w:ind w:firstLine="240"/>
        <w:rPr>
          <w:rFonts w:hint="eastAsia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联系电话：025-83601761                    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联系电话：025-86788343          </w:t>
      </w:r>
    </w:p>
    <w:p w14:paraId="02616FFF">
      <w:pPr>
        <w:pStyle w:val="4"/>
        <w:keepNext w:val="0"/>
        <w:keepLines w:val="0"/>
        <w:pageBreakBefore w:val="0"/>
        <w:widowControl w:val="0"/>
        <w:spacing w:before="120" w:after="120" w:line="240" w:lineRule="auto"/>
        <w:rPr>
          <w:rFonts w:hint="eastAsia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 xml:space="preserve">                                          </w:t>
      </w:r>
    </w:p>
    <w:p w14:paraId="44987510">
      <w:pPr>
        <w:pStyle w:val="4"/>
        <w:keepNext w:val="0"/>
        <w:keepLines w:val="0"/>
        <w:pageBreakBefore w:val="0"/>
        <w:widowControl w:val="0"/>
        <w:spacing w:before="120" w:after="120" w:line="240" w:lineRule="auto"/>
        <w:ind w:firstLine="5280"/>
        <w:rPr>
          <w:rFonts w:hint="eastAsia" w:hAnsi="宋体" w:eastAsia="宋体" w:cs="Courier New"/>
          <w:color w:val="000000"/>
          <w:sz w:val="24"/>
          <w:szCs w:val="24"/>
          <w:highlight w:val="none"/>
        </w:rPr>
      </w:pP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>签订日期：</w:t>
      </w:r>
      <w:r>
        <w:rPr>
          <w:rFonts w:hint="eastAsia" w:hAnsi="宋体" w:cs="Courier New"/>
          <w:color w:val="000000"/>
          <w:sz w:val="24"/>
          <w:szCs w:val="24"/>
          <w:highlight w:val="none"/>
          <w:lang w:val="en-US" w:eastAsia="zh-CN"/>
        </w:rPr>
        <w:t>2028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>年</w:t>
      </w:r>
      <w:r>
        <w:rPr>
          <w:rFonts w:hint="eastAsia" w:hAnsi="宋体" w:cs="Courier New"/>
          <w:color w:val="000000"/>
          <w:sz w:val="24"/>
          <w:szCs w:val="24"/>
          <w:highlight w:val="none"/>
          <w:lang w:val="en-US" w:eastAsia="zh-CN"/>
        </w:rPr>
        <w:t>8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>月</w:t>
      </w:r>
      <w:r>
        <w:rPr>
          <w:rFonts w:hint="eastAsia" w:hAnsi="宋体" w:cs="Courier New"/>
          <w:color w:val="000000"/>
          <w:sz w:val="24"/>
          <w:szCs w:val="24"/>
          <w:highlight w:val="none"/>
          <w:lang w:val="en-US" w:eastAsia="zh-CN"/>
        </w:rPr>
        <w:t>31</w:t>
      </w:r>
      <w:r>
        <w:rPr>
          <w:rFonts w:hint="eastAsia" w:hAnsi="宋体" w:eastAsia="宋体" w:cs="Courier New"/>
          <w:color w:val="000000"/>
          <w:sz w:val="24"/>
          <w:szCs w:val="24"/>
          <w:highlight w:val="none"/>
        </w:rPr>
        <w:t>日</w:t>
      </w:r>
    </w:p>
    <w:p w14:paraId="16B58FE9">
      <w:pPr>
        <w:keepNext w:val="0"/>
        <w:keepLines w:val="0"/>
        <w:pageBreakBefore w:val="0"/>
        <w:widowControl w:val="0"/>
        <w:spacing w:before="145" w:after="145" w:line="240" w:lineRule="auto"/>
        <w:jc w:val="center"/>
        <w:outlineLvl w:val="1"/>
        <w:rPr>
          <w:rFonts w:hint="eastAsia" w:ascii="宋体" w:hAnsi="宋体" w:eastAsia="宋体" w:cs="Times New Roman"/>
          <w:b/>
          <w:bCs w:val="0"/>
          <w:color w:val="000000"/>
          <w:sz w:val="30"/>
          <w:szCs w:val="21"/>
          <w:highlight w:val="none"/>
        </w:rPr>
      </w:pPr>
      <w:r>
        <w:rPr>
          <w:rFonts w:hint="eastAsia" w:ascii="宋体" w:hAnsi="宋体" w:eastAsia="宋体" w:cs="Times New Roman"/>
          <w:b/>
          <w:bCs w:val="0"/>
          <w:color w:val="000000"/>
          <w:sz w:val="30"/>
          <w:szCs w:val="21"/>
          <w:highlight w:val="none"/>
        </w:rPr>
        <w:t>（合同附件）</w:t>
      </w:r>
    </w:p>
    <w:tbl>
      <w:tblPr>
        <w:tblStyle w:val="2"/>
        <w:tblW w:w="9961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1240"/>
        <w:gridCol w:w="970"/>
        <w:gridCol w:w="1053"/>
        <w:gridCol w:w="2207"/>
        <w:gridCol w:w="830"/>
        <w:gridCol w:w="820"/>
        <w:gridCol w:w="826"/>
        <w:gridCol w:w="1434"/>
      </w:tblGrid>
      <w:tr w14:paraId="2788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581" w:type="dxa"/>
            <w:vMerge w:val="restart"/>
            <w:noWrap w:val="0"/>
            <w:vAlign w:val="center"/>
          </w:tcPr>
          <w:p w14:paraId="66B8E6B4">
            <w:pPr>
              <w:spacing w:line="360" w:lineRule="auto"/>
              <w:ind w:right="180" w:firstLine="480"/>
              <w:jc w:val="lef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序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序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号</w:t>
            </w:r>
          </w:p>
        </w:tc>
        <w:tc>
          <w:tcPr>
            <w:tcW w:w="1240" w:type="dxa"/>
            <w:noWrap w:val="0"/>
            <w:vAlign w:val="center"/>
          </w:tcPr>
          <w:p w14:paraId="0A4E0E3E">
            <w:pPr>
              <w:spacing w:line="360" w:lineRule="auto"/>
              <w:ind w:right="180" w:firstLine="480"/>
              <w:jc w:val="left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970" w:type="dxa"/>
            <w:noWrap w:val="0"/>
            <w:vAlign w:val="center"/>
          </w:tcPr>
          <w:p w14:paraId="14799EDB">
            <w:pPr>
              <w:spacing w:line="360" w:lineRule="auto"/>
              <w:ind w:right="180" w:firstLine="480"/>
              <w:jc w:val="left"/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53" w:type="dxa"/>
            <w:noWrap w:val="0"/>
            <w:vAlign w:val="center"/>
          </w:tcPr>
          <w:p w14:paraId="58031B15">
            <w:pPr>
              <w:spacing w:line="360" w:lineRule="auto"/>
              <w:ind w:right="180" w:firstLine="480"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207" w:type="dxa"/>
            <w:noWrap w:val="0"/>
            <w:vAlign w:val="center"/>
          </w:tcPr>
          <w:p w14:paraId="52FE86BB">
            <w:pPr>
              <w:spacing w:line="360" w:lineRule="auto"/>
              <w:ind w:right="180" w:firstLine="480"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830" w:type="dxa"/>
            <w:noWrap w:val="0"/>
            <w:vAlign w:val="center"/>
          </w:tcPr>
          <w:p w14:paraId="452FF70E">
            <w:pPr>
              <w:spacing w:line="360" w:lineRule="auto"/>
              <w:ind w:right="180" w:firstLine="480"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820" w:type="dxa"/>
            <w:noWrap w:val="0"/>
            <w:vAlign w:val="center"/>
          </w:tcPr>
          <w:p w14:paraId="1C22948B">
            <w:pPr>
              <w:spacing w:line="360" w:lineRule="auto"/>
              <w:ind w:right="180" w:firstLine="480"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826" w:type="dxa"/>
            <w:noWrap w:val="0"/>
            <w:vAlign w:val="center"/>
          </w:tcPr>
          <w:p w14:paraId="5F3A7BCF">
            <w:pPr>
              <w:spacing w:line="360" w:lineRule="auto"/>
              <w:ind w:right="180" w:firstLine="480"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434" w:type="dxa"/>
            <w:noWrap w:val="0"/>
            <w:vAlign w:val="center"/>
          </w:tcPr>
          <w:p w14:paraId="4863B3F0">
            <w:pPr>
              <w:spacing w:line="360" w:lineRule="auto"/>
              <w:ind w:right="180" w:firstLine="480"/>
              <w:jc w:val="left"/>
              <w:rPr>
                <w:rFonts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</w:tr>
      <w:tr w14:paraId="3C29D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</w:trPr>
        <w:tc>
          <w:tcPr>
            <w:tcW w:w="581" w:type="dxa"/>
            <w:vMerge w:val="continue"/>
            <w:noWrap w:val="0"/>
            <w:vAlign w:val="center"/>
          </w:tcPr>
          <w:p w14:paraId="7970EF83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2BA15C34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分项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970" w:type="dxa"/>
            <w:noWrap w:val="0"/>
            <w:vAlign w:val="center"/>
          </w:tcPr>
          <w:p w14:paraId="4913A626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品牌</w:t>
            </w:r>
          </w:p>
        </w:tc>
        <w:tc>
          <w:tcPr>
            <w:tcW w:w="1053" w:type="dxa"/>
            <w:noWrap w:val="0"/>
            <w:vAlign w:val="center"/>
          </w:tcPr>
          <w:p w14:paraId="2F57CD87"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或型号</w:t>
            </w:r>
          </w:p>
        </w:tc>
        <w:tc>
          <w:tcPr>
            <w:tcW w:w="2207" w:type="dxa"/>
            <w:noWrap w:val="0"/>
            <w:vAlign w:val="center"/>
          </w:tcPr>
          <w:p w14:paraId="0559B2C0"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交付期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天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830" w:type="dxa"/>
            <w:noWrap w:val="0"/>
            <w:vAlign w:val="center"/>
          </w:tcPr>
          <w:p w14:paraId="3323CC6F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820" w:type="dxa"/>
            <w:noWrap w:val="0"/>
            <w:vAlign w:val="center"/>
          </w:tcPr>
          <w:p w14:paraId="43826B4A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826" w:type="dxa"/>
            <w:noWrap w:val="0"/>
            <w:vAlign w:val="center"/>
          </w:tcPr>
          <w:p w14:paraId="07394264">
            <w:pPr>
              <w:spacing w:line="0" w:lineRule="atLeast"/>
              <w:jc w:val="center"/>
              <w:rPr>
                <w:rFonts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单价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元）</w:t>
            </w:r>
          </w:p>
        </w:tc>
        <w:tc>
          <w:tcPr>
            <w:tcW w:w="1434" w:type="dxa"/>
            <w:noWrap w:val="0"/>
            <w:vAlign w:val="center"/>
          </w:tcPr>
          <w:p w14:paraId="704E51EB"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总价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7F465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581" w:type="dxa"/>
            <w:noWrap w:val="0"/>
            <w:vAlign w:val="center"/>
          </w:tcPr>
          <w:p w14:paraId="1C89C084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60FE0A62">
            <w:pPr>
              <w:keepNext w:val="0"/>
              <w:keepLines w:val="0"/>
              <w:pageBreakBefore w:val="0"/>
              <w:widowControl w:val="0"/>
              <w:spacing w:line="264" w:lineRule="auto"/>
              <w:jc w:val="left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</w:rPr>
              <w:t>一网统管平台适配改造</w:t>
            </w:r>
          </w:p>
        </w:tc>
        <w:tc>
          <w:tcPr>
            <w:tcW w:w="970" w:type="dxa"/>
            <w:noWrap w:val="0"/>
            <w:vAlign w:val="center"/>
          </w:tcPr>
          <w:p w14:paraId="4AFEA99D">
            <w:pPr>
              <w:spacing w:line="0" w:lineRule="atLeast"/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鸿信</w:t>
            </w:r>
          </w:p>
        </w:tc>
        <w:tc>
          <w:tcPr>
            <w:tcW w:w="1053" w:type="dxa"/>
            <w:noWrap w:val="0"/>
            <w:vAlign w:val="center"/>
          </w:tcPr>
          <w:p w14:paraId="1FFF6E0A"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定制</w:t>
            </w:r>
          </w:p>
        </w:tc>
        <w:tc>
          <w:tcPr>
            <w:tcW w:w="2207" w:type="dxa"/>
            <w:noWrap w:val="0"/>
            <w:vAlign w:val="center"/>
          </w:tcPr>
          <w:p w14:paraId="2F1CE379">
            <w:pPr>
              <w:spacing w:line="0" w:lineRule="atLeast"/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合同签订之日起575天（自合同签订之日起4个月内完成平台功能开发及部署调试工作，平台试运行3个月，验收通过后提供1年运维服务）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2E15A967">
            <w:pPr>
              <w:spacing w:line="264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0" w:type="dxa"/>
            <w:shd w:val="clear" w:color="auto" w:fill="auto"/>
            <w:noWrap w:val="0"/>
            <w:vAlign w:val="center"/>
          </w:tcPr>
          <w:p w14:paraId="17A8652B">
            <w:pPr>
              <w:spacing w:line="264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26" w:type="dxa"/>
            <w:noWrap w:val="0"/>
            <w:vAlign w:val="center"/>
          </w:tcPr>
          <w:p w14:paraId="5558E630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345200</w:t>
            </w:r>
          </w:p>
        </w:tc>
        <w:tc>
          <w:tcPr>
            <w:tcW w:w="1434" w:type="dxa"/>
            <w:noWrap w:val="0"/>
            <w:vAlign w:val="center"/>
          </w:tcPr>
          <w:p w14:paraId="66E637FA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345200</w:t>
            </w:r>
          </w:p>
        </w:tc>
      </w:tr>
      <w:tr w14:paraId="4310A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581" w:type="dxa"/>
            <w:noWrap w:val="0"/>
            <w:vAlign w:val="center"/>
          </w:tcPr>
          <w:p w14:paraId="11F974F5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4B56051C">
            <w:pPr>
              <w:keepNext w:val="0"/>
              <w:keepLines w:val="0"/>
              <w:pageBreakBefore w:val="0"/>
              <w:widowControl w:val="0"/>
              <w:spacing w:line="264" w:lineRule="auto"/>
              <w:jc w:val="left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</w:rPr>
              <w:t>事件中心平台适配改造</w:t>
            </w:r>
          </w:p>
        </w:tc>
        <w:tc>
          <w:tcPr>
            <w:tcW w:w="970" w:type="dxa"/>
            <w:noWrap w:val="0"/>
            <w:vAlign w:val="center"/>
          </w:tcPr>
          <w:p w14:paraId="11F2F637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鸿信</w:t>
            </w:r>
          </w:p>
        </w:tc>
        <w:tc>
          <w:tcPr>
            <w:tcW w:w="1053" w:type="dxa"/>
            <w:noWrap w:val="0"/>
            <w:vAlign w:val="center"/>
          </w:tcPr>
          <w:p w14:paraId="05EBD103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定制</w:t>
            </w:r>
          </w:p>
        </w:tc>
        <w:tc>
          <w:tcPr>
            <w:tcW w:w="2207" w:type="dxa"/>
            <w:noWrap w:val="0"/>
            <w:vAlign w:val="center"/>
          </w:tcPr>
          <w:p w14:paraId="4843EBD0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合同签订之日起575天（自合同签订之日起4个月内完成平台功能开发及部署调试工作，平台试运行3个月，验收通过后提供1年运维服务）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36053756">
            <w:pPr>
              <w:spacing w:line="264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0" w:type="dxa"/>
            <w:shd w:val="clear" w:color="auto" w:fill="auto"/>
            <w:noWrap w:val="0"/>
            <w:vAlign w:val="center"/>
          </w:tcPr>
          <w:p w14:paraId="260AAAAA">
            <w:pPr>
              <w:spacing w:line="264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26" w:type="dxa"/>
            <w:noWrap w:val="0"/>
            <w:vAlign w:val="center"/>
          </w:tcPr>
          <w:p w14:paraId="2C3FE866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295000</w:t>
            </w:r>
          </w:p>
        </w:tc>
        <w:tc>
          <w:tcPr>
            <w:tcW w:w="1434" w:type="dxa"/>
            <w:noWrap w:val="0"/>
            <w:vAlign w:val="center"/>
          </w:tcPr>
          <w:p w14:paraId="215F81BD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295000</w:t>
            </w:r>
          </w:p>
        </w:tc>
      </w:tr>
      <w:tr w14:paraId="6E459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581" w:type="dxa"/>
            <w:noWrap w:val="0"/>
            <w:vAlign w:val="center"/>
          </w:tcPr>
          <w:p w14:paraId="7E0AADE0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392FA326">
            <w:pPr>
              <w:keepNext w:val="0"/>
              <w:keepLines w:val="0"/>
              <w:pageBreakBefore w:val="0"/>
              <w:widowControl w:val="0"/>
              <w:spacing w:line="264" w:lineRule="auto"/>
              <w:jc w:val="left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</w:rPr>
              <w:t>统一事件推送平台适配改造</w:t>
            </w:r>
          </w:p>
        </w:tc>
        <w:tc>
          <w:tcPr>
            <w:tcW w:w="970" w:type="dxa"/>
            <w:noWrap w:val="0"/>
            <w:vAlign w:val="center"/>
          </w:tcPr>
          <w:p w14:paraId="7528ACA1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鸿信</w:t>
            </w:r>
          </w:p>
        </w:tc>
        <w:tc>
          <w:tcPr>
            <w:tcW w:w="1053" w:type="dxa"/>
            <w:noWrap w:val="0"/>
            <w:vAlign w:val="center"/>
          </w:tcPr>
          <w:p w14:paraId="3D0E1B64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定制</w:t>
            </w:r>
          </w:p>
        </w:tc>
        <w:tc>
          <w:tcPr>
            <w:tcW w:w="2207" w:type="dxa"/>
            <w:noWrap w:val="0"/>
            <w:vAlign w:val="center"/>
          </w:tcPr>
          <w:p w14:paraId="2A143F52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合同签订之日起575天（自合同签订之日起4个月内完成平台功能开发及部署调试工作，平台试运行3个月，验收通过后提供1年运维服务）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47B08549">
            <w:pPr>
              <w:widowControl/>
              <w:spacing w:line="264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0" w:type="dxa"/>
            <w:shd w:val="clear" w:color="auto" w:fill="auto"/>
            <w:noWrap w:val="0"/>
            <w:vAlign w:val="center"/>
          </w:tcPr>
          <w:p w14:paraId="5160F3AE">
            <w:pPr>
              <w:spacing w:line="264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26" w:type="dxa"/>
            <w:noWrap w:val="0"/>
            <w:vAlign w:val="center"/>
          </w:tcPr>
          <w:p w14:paraId="788F74CD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270000</w:t>
            </w:r>
          </w:p>
        </w:tc>
        <w:tc>
          <w:tcPr>
            <w:tcW w:w="1434" w:type="dxa"/>
            <w:noWrap w:val="0"/>
            <w:vAlign w:val="center"/>
          </w:tcPr>
          <w:p w14:paraId="65EE9F82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270000</w:t>
            </w:r>
          </w:p>
        </w:tc>
      </w:tr>
      <w:tr w14:paraId="32A92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581" w:type="dxa"/>
            <w:noWrap w:val="0"/>
            <w:vAlign w:val="center"/>
          </w:tcPr>
          <w:p w14:paraId="771AA1FA"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59A2D312">
            <w:pPr>
              <w:keepNext w:val="0"/>
              <w:keepLines w:val="0"/>
              <w:pageBreakBefore w:val="0"/>
              <w:widowControl w:val="0"/>
              <w:spacing w:line="264" w:lineRule="auto"/>
              <w:jc w:val="left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</w:rPr>
              <w:t>融合通信平台适配改造</w:t>
            </w:r>
          </w:p>
        </w:tc>
        <w:tc>
          <w:tcPr>
            <w:tcW w:w="970" w:type="dxa"/>
            <w:noWrap w:val="0"/>
            <w:vAlign w:val="center"/>
          </w:tcPr>
          <w:p w14:paraId="46653ECE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鸿信</w:t>
            </w:r>
          </w:p>
        </w:tc>
        <w:tc>
          <w:tcPr>
            <w:tcW w:w="1053" w:type="dxa"/>
            <w:noWrap w:val="0"/>
            <w:vAlign w:val="center"/>
          </w:tcPr>
          <w:p w14:paraId="0D56F527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定制</w:t>
            </w:r>
          </w:p>
        </w:tc>
        <w:tc>
          <w:tcPr>
            <w:tcW w:w="2207" w:type="dxa"/>
            <w:noWrap w:val="0"/>
            <w:vAlign w:val="center"/>
          </w:tcPr>
          <w:p w14:paraId="55CBDB9E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合同签订之日起575天（自合同签订之日起4个月内完成平台功能开发及部署调试工作，平台试运行3个月，验收通过后提供1年运维服务）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1615F918">
            <w:pPr>
              <w:widowControl/>
              <w:spacing w:line="264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0" w:type="dxa"/>
            <w:shd w:val="clear" w:color="auto" w:fill="auto"/>
            <w:noWrap w:val="0"/>
            <w:vAlign w:val="center"/>
          </w:tcPr>
          <w:p w14:paraId="633C5E1F">
            <w:pPr>
              <w:spacing w:line="264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26" w:type="dxa"/>
            <w:noWrap w:val="0"/>
            <w:vAlign w:val="center"/>
          </w:tcPr>
          <w:p w14:paraId="0F6EF75E">
            <w:pPr>
              <w:spacing w:line="0" w:lineRule="atLeast"/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99800</w:t>
            </w:r>
          </w:p>
        </w:tc>
        <w:tc>
          <w:tcPr>
            <w:tcW w:w="1434" w:type="dxa"/>
            <w:noWrap w:val="0"/>
            <w:vAlign w:val="center"/>
          </w:tcPr>
          <w:p w14:paraId="7401F236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99800</w:t>
            </w:r>
          </w:p>
        </w:tc>
      </w:tr>
      <w:tr w14:paraId="58634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581" w:type="dxa"/>
            <w:noWrap w:val="0"/>
            <w:vAlign w:val="center"/>
          </w:tcPr>
          <w:p w14:paraId="271EA438"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4D48E4B6">
            <w:pPr>
              <w:keepNext w:val="0"/>
              <w:keepLines w:val="0"/>
              <w:pageBreakBefore w:val="0"/>
              <w:widowControl w:val="0"/>
              <w:spacing w:line="264" w:lineRule="auto"/>
              <w:jc w:val="left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</w:rPr>
              <w:t>流媒体融合加速平台适配改造</w:t>
            </w:r>
          </w:p>
        </w:tc>
        <w:tc>
          <w:tcPr>
            <w:tcW w:w="970" w:type="dxa"/>
            <w:noWrap w:val="0"/>
            <w:vAlign w:val="center"/>
          </w:tcPr>
          <w:p w14:paraId="38F3906A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鸿信</w:t>
            </w:r>
          </w:p>
        </w:tc>
        <w:tc>
          <w:tcPr>
            <w:tcW w:w="1053" w:type="dxa"/>
            <w:noWrap w:val="0"/>
            <w:vAlign w:val="center"/>
          </w:tcPr>
          <w:p w14:paraId="33854002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定制</w:t>
            </w:r>
          </w:p>
        </w:tc>
        <w:tc>
          <w:tcPr>
            <w:tcW w:w="2207" w:type="dxa"/>
            <w:noWrap w:val="0"/>
            <w:vAlign w:val="center"/>
          </w:tcPr>
          <w:p w14:paraId="4435D50B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合同签订之日起575天（自合同签订之日起4个月内完成平台功能开发及部署调试工作，平台试运行3个月，验收通过后提供1年运维服务）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411489A1">
            <w:pPr>
              <w:widowControl/>
              <w:spacing w:line="264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0" w:type="dxa"/>
            <w:shd w:val="clear" w:color="auto" w:fill="auto"/>
            <w:noWrap w:val="0"/>
            <w:vAlign w:val="center"/>
          </w:tcPr>
          <w:p w14:paraId="7920BAE3">
            <w:pPr>
              <w:spacing w:line="264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26" w:type="dxa"/>
            <w:noWrap w:val="0"/>
            <w:vAlign w:val="center"/>
          </w:tcPr>
          <w:p w14:paraId="6E83016C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150000</w:t>
            </w:r>
          </w:p>
        </w:tc>
        <w:tc>
          <w:tcPr>
            <w:tcW w:w="1434" w:type="dxa"/>
            <w:noWrap w:val="0"/>
            <w:vAlign w:val="center"/>
          </w:tcPr>
          <w:p w14:paraId="526F70B3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150000</w:t>
            </w:r>
          </w:p>
        </w:tc>
      </w:tr>
      <w:tr w14:paraId="62177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581" w:type="dxa"/>
            <w:noWrap w:val="0"/>
            <w:vAlign w:val="center"/>
          </w:tcPr>
          <w:p w14:paraId="6DC240E2"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0B56621D">
            <w:pPr>
              <w:keepNext w:val="0"/>
              <w:keepLines w:val="0"/>
              <w:pageBreakBefore w:val="0"/>
              <w:widowControl w:val="0"/>
              <w:spacing w:line="264" w:lineRule="auto"/>
              <w:jc w:val="left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</w:rPr>
              <w:t>网格群助手适配改造</w:t>
            </w:r>
          </w:p>
        </w:tc>
        <w:tc>
          <w:tcPr>
            <w:tcW w:w="970" w:type="dxa"/>
            <w:noWrap w:val="0"/>
            <w:vAlign w:val="center"/>
          </w:tcPr>
          <w:p w14:paraId="63D48FDE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鸿信</w:t>
            </w:r>
          </w:p>
        </w:tc>
        <w:tc>
          <w:tcPr>
            <w:tcW w:w="1053" w:type="dxa"/>
            <w:noWrap w:val="0"/>
            <w:vAlign w:val="center"/>
          </w:tcPr>
          <w:p w14:paraId="04B11340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定制</w:t>
            </w:r>
          </w:p>
        </w:tc>
        <w:tc>
          <w:tcPr>
            <w:tcW w:w="2207" w:type="dxa"/>
            <w:noWrap w:val="0"/>
            <w:vAlign w:val="center"/>
          </w:tcPr>
          <w:p w14:paraId="68D92944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合同签订之日起575天（自合同签订之日起4个月内完成平台功能开发及部署调试工作，平台试运行3个月，验收通过后提供1年运维服务）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51C7CAA2">
            <w:pPr>
              <w:widowControl/>
              <w:spacing w:line="264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0" w:type="dxa"/>
            <w:shd w:val="clear" w:color="auto" w:fill="auto"/>
            <w:noWrap w:val="0"/>
            <w:vAlign w:val="center"/>
          </w:tcPr>
          <w:p w14:paraId="771108AF">
            <w:pPr>
              <w:spacing w:line="264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26" w:type="dxa"/>
            <w:noWrap w:val="0"/>
            <w:vAlign w:val="center"/>
          </w:tcPr>
          <w:p w14:paraId="61936DF4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125000</w:t>
            </w:r>
          </w:p>
        </w:tc>
        <w:tc>
          <w:tcPr>
            <w:tcW w:w="1434" w:type="dxa"/>
            <w:noWrap w:val="0"/>
            <w:vAlign w:val="center"/>
          </w:tcPr>
          <w:p w14:paraId="4F36AC4D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125000</w:t>
            </w:r>
          </w:p>
        </w:tc>
      </w:tr>
      <w:tr w14:paraId="157F5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581" w:type="dxa"/>
            <w:noWrap w:val="0"/>
            <w:vAlign w:val="center"/>
          </w:tcPr>
          <w:p w14:paraId="5CB41FF5">
            <w:pPr>
              <w:spacing w:line="0" w:lineRule="atLeast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40" w:type="dxa"/>
            <w:shd w:val="clear" w:color="auto" w:fill="auto"/>
            <w:noWrap w:val="0"/>
            <w:vAlign w:val="center"/>
          </w:tcPr>
          <w:p w14:paraId="6C057F80">
            <w:pPr>
              <w:keepNext w:val="0"/>
              <w:keepLines w:val="0"/>
              <w:pageBreakBefore w:val="0"/>
              <w:widowControl w:val="0"/>
              <w:spacing w:line="264" w:lineRule="auto"/>
              <w:jc w:val="left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</w:rPr>
              <w:t>历史数据迁移</w:t>
            </w:r>
          </w:p>
        </w:tc>
        <w:tc>
          <w:tcPr>
            <w:tcW w:w="970" w:type="dxa"/>
            <w:noWrap w:val="0"/>
            <w:vAlign w:val="center"/>
          </w:tcPr>
          <w:p w14:paraId="0EB9A3E1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鸿信</w:t>
            </w:r>
          </w:p>
        </w:tc>
        <w:tc>
          <w:tcPr>
            <w:tcW w:w="1053" w:type="dxa"/>
            <w:noWrap w:val="0"/>
            <w:vAlign w:val="center"/>
          </w:tcPr>
          <w:p w14:paraId="4E76AE52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定制</w:t>
            </w:r>
          </w:p>
        </w:tc>
        <w:tc>
          <w:tcPr>
            <w:tcW w:w="2207" w:type="dxa"/>
            <w:noWrap w:val="0"/>
            <w:vAlign w:val="center"/>
          </w:tcPr>
          <w:p w14:paraId="28C0439A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合同签订之日起575天（自合同签订之日起4个月内完成平台功能开发及部署调试工作，平台试运行3个月，验收通过后提供1年运维服务）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7CB0CC2A">
            <w:pPr>
              <w:pStyle w:val="5"/>
              <w:rPr>
                <w:rFonts w:hint="eastAsia" w:ascii="宋体" w:hAnsi="宋体" w:eastAsia="宋体" w:cs="Times New Roman"/>
                <w:bCs/>
                <w:i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i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0" w:type="dxa"/>
            <w:shd w:val="clear" w:color="auto" w:fill="auto"/>
            <w:noWrap w:val="0"/>
            <w:vAlign w:val="center"/>
          </w:tcPr>
          <w:p w14:paraId="0FB3A4DB">
            <w:pPr>
              <w:widowControl/>
              <w:spacing w:line="264" w:lineRule="auto"/>
              <w:ind w:firstLine="240" w:firstLineChars="0"/>
              <w:rPr>
                <w:rFonts w:hint="eastAsia" w:ascii="宋体" w:hAnsi="宋体" w:eastAsia="宋体" w:cs="Times New Roman"/>
                <w:bCs/>
                <w:color w:val="00000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826" w:type="dxa"/>
            <w:noWrap w:val="0"/>
            <w:vAlign w:val="center"/>
          </w:tcPr>
          <w:p w14:paraId="4249C32E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130000</w:t>
            </w:r>
          </w:p>
        </w:tc>
        <w:tc>
          <w:tcPr>
            <w:tcW w:w="1434" w:type="dxa"/>
            <w:noWrap w:val="0"/>
            <w:vAlign w:val="center"/>
          </w:tcPr>
          <w:p w14:paraId="4FEC3084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130000</w:t>
            </w:r>
          </w:p>
        </w:tc>
      </w:tr>
      <w:tr w14:paraId="2D803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581" w:type="dxa"/>
            <w:noWrap w:val="0"/>
            <w:vAlign w:val="center"/>
          </w:tcPr>
          <w:p w14:paraId="3DEF62D4">
            <w:pPr>
              <w:spacing w:line="0" w:lineRule="atLeast"/>
              <w:jc w:val="center"/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…</w:t>
            </w:r>
          </w:p>
        </w:tc>
        <w:tc>
          <w:tcPr>
            <w:tcW w:w="9380" w:type="dxa"/>
            <w:gridSpan w:val="8"/>
            <w:noWrap w:val="0"/>
            <w:vAlign w:val="center"/>
          </w:tcPr>
          <w:p w14:paraId="03C0DB53">
            <w:pPr>
              <w:spacing w:line="0" w:lineRule="atLeast"/>
              <w:jc w:val="both"/>
              <w:rPr>
                <w:rFonts w:hint="default" w:ascii="宋体" w:hAnsi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总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报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价（元）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1415000</w:t>
            </w:r>
          </w:p>
        </w:tc>
      </w:tr>
    </w:tbl>
    <w:p w14:paraId="0642E2C6">
      <w:pPr>
        <w:pStyle w:val="4"/>
        <w:keepNext w:val="0"/>
        <w:keepLines w:val="0"/>
        <w:pageBreakBefore w:val="0"/>
        <w:widowControl w:val="0"/>
        <w:spacing w:before="120" w:after="120" w:line="240" w:lineRule="auto"/>
        <w:rPr>
          <w:rFonts w:hint="eastAsia" w:hAnsi="宋体" w:eastAsia="宋体" w:cs="Courier New"/>
          <w:color w:val="000000"/>
          <w:sz w:val="24"/>
          <w:szCs w:val="24"/>
          <w:highlight w:val="none"/>
        </w:rPr>
      </w:pPr>
    </w:p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23916"/>
    <w:rsid w:val="1FEA3A45"/>
    <w:rsid w:val="2EB012C2"/>
    <w:rsid w:val="42F23916"/>
    <w:rsid w:val="5C5D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纯文本11"/>
    <w:basedOn w:val="1"/>
    <w:qFormat/>
    <w:uiPriority w:val="0"/>
    <w:rPr>
      <w:rFonts w:ascii="宋体" w:hAnsi="Courier New" w:eastAsia="宋体" w:cs="Courier New"/>
      <w:szCs w:val="21"/>
    </w:rPr>
  </w:style>
  <w:style w:type="paragraph" w:customStyle="1" w:styleId="5">
    <w:name w:val="表体"/>
    <w:basedOn w:val="1"/>
    <w:qFormat/>
    <w:uiPriority w:val="0"/>
    <w:pPr>
      <w:spacing w:line="400" w:lineRule="exact"/>
      <w:jc w:val="center"/>
    </w:pPr>
    <w:rPr>
      <w:rFonts w:eastAsia="方正楷体_GBK"/>
      <w:i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3366</Words>
  <Characters>3679</Characters>
  <Lines>0</Lines>
  <Paragraphs>0</Paragraphs>
  <TotalTime>4</TotalTime>
  <ScaleCrop>false</ScaleCrop>
  <LinksUpToDate>false</LinksUpToDate>
  <CharactersWithSpaces>3895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2026-08-27T02:21:00Z</dcterms:created>
  <dc:creator>大C</dc:creator>
  <cp:lastModifiedBy>étoile</cp:lastModifiedBy>
  <dcterms:modified xsi:type="dcterms:W3CDTF">2026-08-30T05:55:18Z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B6F8271F2249463694D02BE5C26FCC59_13</vt:lpwstr>
  </property>
  <property fmtid="{D5CDD505-2E9C-101B-9397-08002B2CF9AE}" pid="4" name="KSOTemplateDocerSaveRecord">
    <vt:lpwstr>eyJoZGlkIjoiZDM4OWJkZTY4YmE3ZDg1OTYxZmFiNWEwOWFjNjQwYjEiLCJ1c2VySWQiOiI0Mzk5NTczNDMifQ==</vt:lpwstr>
  </property>
</Properties>
</file>