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spacing w:line="360" w:lineRule="auto"/>
        <w:rPr>
          <w:b/>
          <w:bCs/>
          <w:color w:val="auto"/>
          <w:sz w:val="60"/>
          <w:szCs w:val="60"/>
          <w:highlight w:val="none"/>
        </w:rPr>
      </w:pPr>
      <w:r>
        <w:rPr>
          <w:b/>
          <w:bCs/>
          <w:color w:val="auto"/>
          <w:sz w:val="60"/>
          <w:szCs w:val="60"/>
          <w:highlight w:val="none"/>
        </w:rPr>
        <w:t xml:space="preserve">常州市政府采购项目</w:t>
      </w:r>
      <w:r/>
    </w:p>
    <w:p>
      <w:pPr>
        <w:jc w:val="center"/>
        <w:spacing w:line="360" w:lineRule="auto"/>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159" w:hanging="1800"/>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常州检验检测标准认证研究院双频激光干涉仪采购</w:t>
      </w:r>
      <w:r/>
    </w:p>
    <w:p>
      <w:pPr>
        <w:ind w:firstLine="360"/>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JSZC-320400-CZRB-G2026-0020</w:t>
      </w:r>
      <w:r/>
    </w:p>
    <w:p>
      <w:pPr>
        <w:ind w:firstLine="360"/>
        <w:jc w:val="left"/>
        <w:spacing w:line="360" w:lineRule="auto"/>
        <w:tabs>
          <w:tab w:val="left" w:pos="3240" w:leader="none"/>
          <w:tab w:val="left" w:pos="3420" w:leader="none"/>
        </w:tabs>
        <w:rPr>
          <w:rFonts w:hint="eastAsia"/>
          <w:bCs/>
          <w:color w:val="auto"/>
          <w:sz w:val="36"/>
          <w:szCs w:val="36"/>
          <w:highlight w:val="none"/>
        </w:rPr>
      </w:pPr>
      <w:r>
        <w:rPr>
          <w:rFonts w:hint="eastAsia" w:ascii="宋体" w:hAnsi="宋体" w:cs="宋体"/>
          <w:bCs/>
          <w:color w:val="auto"/>
          <w:sz w:val="36"/>
          <w:szCs w:val="36"/>
          <w:highlight w:val="none"/>
        </w:rPr>
        <w:t xml:space="preserve">采 购 人：常州检验检测标准认证研究院</w:t>
      </w:r>
      <w:r/>
    </w:p>
    <w:p>
      <w:pPr>
        <w:ind w:firstLine="36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常州润邦招标代理有限公司</w:t>
      </w:r>
      <w:r/>
    </w:p>
    <w:p>
      <w:pPr>
        <w:ind w:firstLine="1446"/>
        <w:jc w:val="center"/>
        <w:spacing w:line="500" w:lineRule="exact"/>
        <w:rPr>
          <w:b/>
          <w:color w:val="auto"/>
          <w:sz w:val="7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Column"/>
          <w:pgSz w:w="11907" w:h="16840" w:orient="portrait"/>
          <w:pgMar w:top="1440" w:right="1800" w:bottom="1440" w:left="1800" w:header="851" w:footer="850" w:gutter="0"/>
          <w:pgNumType w:start="1"/>
          <w:cols w:num="1" w:sep="0" w:space="720" w:equalWidth="1"/>
          <w:docGrid w:linePitch="360"/>
          <w:titlePg/>
        </w:sectPr>
      </w:pPr>
      <w:r>
        <w:rPr>
          <w:b/>
          <w:color w:val="auto"/>
          <w:sz w:val="72"/>
          <w:highlight w:val="none"/>
        </w:rPr>
      </w:r>
      <w:r/>
    </w:p>
    <w:p>
      <w:pPr>
        <w:jc w:val="center"/>
        <w:spacing w:line="360" w:lineRule="auto"/>
        <w:rPr>
          <w:b/>
          <w:color w:val="auto"/>
          <w:sz w:val="44"/>
          <w:szCs w:val="44"/>
          <w:highlight w:val="none"/>
        </w:rPr>
        <w:outlineLvl w:val="0"/>
      </w:pPr>
      <w:r/>
      <w:bookmarkStart w:id="0" w:name="_Toc17344"/>
      <w:r/>
      <w:bookmarkStart w:id="1" w:name="_Toc99301418"/>
      <w:r/>
      <w:bookmarkStart w:id="2" w:name="_Toc8595"/>
      <w:r/>
      <w:bookmarkStart w:id="3" w:name="_Toc2734"/>
      <w:r>
        <w:rPr>
          <w:b/>
          <w:color w:val="auto"/>
          <w:sz w:val="44"/>
          <w:szCs w:val="44"/>
          <w:highlight w:val="none"/>
        </w:rPr>
        <w:t xml:space="preserve">目  录</w:t>
      </w:r>
      <w:bookmarkEnd w:id="0"/>
      <w:r/>
      <w:bookmarkEnd w:id="1"/>
      <w:r/>
      <w:bookmarkEnd w:id="2"/>
      <w:r/>
      <w:bookmarkEnd w:id="3"/>
      <w:r/>
      <w:r/>
    </w:p>
    <w:p>
      <w:pPr>
        <w:pStyle w:val="1032"/>
        <w:spacing w:line="360" w:lineRule="auto"/>
        <w:tabs>
          <w:tab w:val="clear" w:pos="1050" w:leader="none"/>
          <w:tab w:val="right" w:pos="8301" w:leader="dot"/>
          <w:tab w:val="clear" w:pos="8937" w:leader="none"/>
        </w:tabs>
        <w:rPr>
          <w:rFonts w:hint="eastAsia" w:cs="宋体"/>
          <w:color w:val="auto"/>
          <w:sz w:val="32"/>
          <w:szCs w:val="32"/>
          <w:highlight w:val="none"/>
        </w:rPr>
      </w:pPr>
      <w:r>
        <w:rPr>
          <w:rFonts w:hint="eastAsia" w:cs="宋体"/>
          <w:b w:val="0"/>
          <w:color w:val="auto"/>
          <w:sz w:val="32"/>
          <w:szCs w:val="32"/>
          <w:highlight w:val="none"/>
        </w:rPr>
        <w:fldChar w:fldCharType="begin"/>
      </w:r>
      <w:r>
        <w:rPr>
          <w:rFonts w:hint="eastAsia" w:cs="宋体"/>
          <w:b w:val="0"/>
          <w:color w:val="auto"/>
          <w:sz w:val="32"/>
          <w:szCs w:val="32"/>
          <w:highlight w:val="none"/>
        </w:rPr>
        <w:instrText xml:space="preserve"> TOC \o "1-1" \h \z \u </w:instrText>
      </w:r>
      <w:r>
        <w:rPr>
          <w:rFonts w:hint="eastAsia" w:cs="宋体"/>
          <w:b w:val="0"/>
          <w:color w:val="auto"/>
          <w:sz w:val="32"/>
          <w:szCs w:val="32"/>
          <w:highlight w:val="none"/>
        </w:rPr>
        <w:fldChar w:fldCharType="separate"/>
      </w: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_Toc16204 </w:instrText>
      </w:r>
      <w:r>
        <w:rPr>
          <w:rFonts w:hint="eastAsia" w:cs="宋体"/>
          <w:color w:val="auto"/>
          <w:sz w:val="32"/>
          <w:szCs w:val="32"/>
          <w:highlight w:val="none"/>
        </w:rPr>
        <w:fldChar w:fldCharType="separate"/>
      </w:r>
      <w:r>
        <w:rPr>
          <w:rFonts w:hint="eastAsia" w:cs="宋体"/>
          <w:color w:val="auto"/>
          <w:sz w:val="32"/>
          <w:szCs w:val="32"/>
          <w:highlight w:val="none"/>
        </w:rPr>
        <w:t xml:space="preserve">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_Toc16204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032"/>
        <w:spacing w:line="360" w:lineRule="auto"/>
        <w:tabs>
          <w:tab w:val="clear" w:pos="1050" w:leader="none"/>
          <w:tab w:val="right" w:pos="8301" w:leader="dot"/>
          <w:tab w:val="clear" w:pos="8937" w:leader="none"/>
        </w:tabs>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_Toc805 </w:instrText>
      </w:r>
      <w:r>
        <w:rPr>
          <w:rFonts w:hint="eastAsia" w:cs="宋体"/>
          <w:color w:val="auto"/>
          <w:sz w:val="32"/>
          <w:szCs w:val="32"/>
          <w:highlight w:val="none"/>
        </w:rPr>
        <w:fldChar w:fldCharType="separate"/>
      </w:r>
      <w:r>
        <w:rPr>
          <w:rFonts w:hint="eastAsia" w:cs="宋体"/>
          <w:color w:val="auto"/>
          <w:sz w:val="32"/>
          <w:szCs w:val="32"/>
          <w:highlight w:val="none"/>
        </w:rPr>
        <w:t xml:space="preserve">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_Toc805 \h </w:instrText>
      </w:r>
      <w:r>
        <w:rPr>
          <w:rFonts w:hint="eastAsia" w:cs="宋体"/>
          <w:color w:val="auto"/>
          <w:sz w:val="32"/>
          <w:szCs w:val="32"/>
          <w:highlight w:val="none"/>
        </w:rPr>
        <w:fldChar w:fldCharType="separate"/>
      </w:r>
      <w:r>
        <w:rPr>
          <w:rFonts w:hint="eastAsia" w:cs="宋体"/>
          <w:color w:val="auto"/>
          <w:sz w:val="32"/>
          <w:szCs w:val="32"/>
          <w:highlight w:val="none"/>
        </w:rPr>
        <w:t xml:space="preserve">4</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032"/>
        <w:spacing w:line="360" w:lineRule="auto"/>
        <w:tabs>
          <w:tab w:val="clear" w:pos="1050" w:leader="none"/>
          <w:tab w:val="right" w:pos="8301" w:leader="dot"/>
          <w:tab w:val="clear" w:pos="8937" w:leader="none"/>
        </w:tabs>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_Toc31915 </w:instrText>
      </w:r>
      <w:r>
        <w:rPr>
          <w:rFonts w:hint="eastAsia" w:cs="宋体"/>
          <w:color w:val="auto"/>
          <w:sz w:val="32"/>
          <w:szCs w:val="32"/>
          <w:highlight w:val="none"/>
        </w:rPr>
        <w:fldChar w:fldCharType="separate"/>
      </w:r>
      <w:r>
        <w:rPr>
          <w:rFonts w:hint="eastAsia" w:cs="宋体"/>
          <w:color w:val="auto"/>
          <w:sz w:val="32"/>
          <w:szCs w:val="32"/>
          <w:highlight w:val="none"/>
        </w:rPr>
        <w:t xml:space="preserve">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_Toc31915 \h </w:instrText>
      </w:r>
      <w:r>
        <w:rPr>
          <w:rFonts w:hint="eastAsia" w:cs="宋体"/>
          <w:color w:val="auto"/>
          <w:sz w:val="32"/>
          <w:szCs w:val="32"/>
          <w:highlight w:val="none"/>
        </w:rPr>
        <w:fldChar w:fldCharType="separate"/>
      </w:r>
      <w:r>
        <w:rPr>
          <w:rFonts w:hint="eastAsia" w:cs="宋体"/>
          <w:color w:val="auto"/>
          <w:sz w:val="32"/>
          <w:szCs w:val="32"/>
          <w:highlight w:val="none"/>
        </w:rPr>
        <w:t xml:space="preserve">16</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032"/>
        <w:spacing w:line="360" w:lineRule="auto"/>
        <w:tabs>
          <w:tab w:val="clear" w:pos="1050" w:leader="none"/>
          <w:tab w:val="right" w:pos="8301" w:leader="dot"/>
          <w:tab w:val="clear" w:pos="8937" w:leader="none"/>
        </w:tabs>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_Toc16982 </w:instrText>
      </w:r>
      <w:r>
        <w:rPr>
          <w:rFonts w:hint="eastAsia" w:cs="宋体"/>
          <w:color w:val="auto"/>
          <w:sz w:val="32"/>
          <w:szCs w:val="32"/>
          <w:highlight w:val="none"/>
        </w:rPr>
        <w:fldChar w:fldCharType="separate"/>
      </w:r>
      <w:r>
        <w:rPr>
          <w:rFonts w:hint="eastAsia" w:cs="宋体"/>
          <w:color w:val="auto"/>
          <w:sz w:val="32"/>
          <w:szCs w:val="32"/>
          <w:highlight w:val="none"/>
        </w:rPr>
        <w:t xml:space="preserve">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_Toc16982 \h </w:instrText>
      </w:r>
      <w:r>
        <w:rPr>
          <w:rFonts w:hint="eastAsia" w:cs="宋体"/>
          <w:color w:val="auto"/>
          <w:sz w:val="32"/>
          <w:szCs w:val="32"/>
          <w:highlight w:val="none"/>
        </w:rPr>
        <w:fldChar w:fldCharType="separate"/>
      </w:r>
      <w:r>
        <w:rPr>
          <w:rFonts w:hint="eastAsia" w:cs="宋体"/>
          <w:color w:val="auto"/>
          <w:sz w:val="32"/>
          <w:szCs w:val="32"/>
          <w:highlight w:val="none"/>
        </w:rPr>
        <w:t xml:space="preserve">18</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032"/>
        <w:spacing w:line="360" w:lineRule="auto"/>
        <w:tabs>
          <w:tab w:val="clear" w:pos="1050" w:leader="none"/>
          <w:tab w:val="right" w:pos="8301" w:leader="dot"/>
          <w:tab w:val="clear" w:pos="8937" w:leader="none"/>
        </w:tabs>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_Toc5713 </w:instrText>
      </w:r>
      <w:r>
        <w:rPr>
          <w:rFonts w:hint="eastAsia" w:cs="宋体"/>
          <w:color w:val="auto"/>
          <w:sz w:val="32"/>
          <w:szCs w:val="32"/>
          <w:highlight w:val="none"/>
        </w:rPr>
        <w:fldChar w:fldCharType="separate"/>
      </w:r>
      <w:r>
        <w:rPr>
          <w:rFonts w:hint="eastAsia" w:cs="宋体"/>
          <w:color w:val="auto"/>
          <w:sz w:val="32"/>
          <w:szCs w:val="32"/>
          <w:highlight w:val="none"/>
        </w:rPr>
        <w:t xml:space="preserve">第五章   采购需求</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_Toc5713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28</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032"/>
        <w:spacing w:line="360" w:lineRule="auto"/>
        <w:tabs>
          <w:tab w:val="clear" w:pos="1050" w:leader="none"/>
          <w:tab w:val="right" w:pos="8301" w:leader="dot"/>
          <w:tab w:val="clear" w:pos="8937" w:leader="none"/>
        </w:tabs>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_Toc19775 </w:instrText>
      </w:r>
      <w:r>
        <w:rPr>
          <w:rFonts w:hint="eastAsia" w:cs="宋体"/>
          <w:color w:val="auto"/>
          <w:sz w:val="32"/>
          <w:szCs w:val="32"/>
          <w:highlight w:val="none"/>
        </w:rPr>
        <w:fldChar w:fldCharType="separate"/>
      </w:r>
      <w:r>
        <w:rPr>
          <w:rFonts w:hint="eastAsia" w:cs="宋体"/>
          <w:color w:val="auto"/>
          <w:sz w:val="32"/>
          <w:szCs w:val="32"/>
          <w:highlight w:val="none"/>
        </w:rPr>
        <w:t xml:space="preserve">第六章   拟签订的合同文本</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_Toc19775 \h </w:instrText>
      </w:r>
      <w:r>
        <w:rPr>
          <w:rFonts w:hint="eastAsia" w:cs="宋体"/>
          <w:color w:val="auto"/>
          <w:sz w:val="32"/>
          <w:szCs w:val="32"/>
          <w:highlight w:val="none"/>
        </w:rPr>
        <w:fldChar w:fldCharType="separate"/>
      </w:r>
      <w:r>
        <w:rPr>
          <w:rFonts w:hint="eastAsia" w:cs="宋体"/>
          <w:color w:val="auto"/>
          <w:sz w:val="32"/>
          <w:szCs w:val="32"/>
          <w:highlight w:val="none"/>
        </w:rPr>
        <w:t xml:space="preserve">35</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032"/>
        <w:spacing w:line="360" w:lineRule="auto"/>
        <w:tabs>
          <w:tab w:val="clear" w:pos="1050" w:leader="none"/>
          <w:tab w:val="right" w:pos="8301" w:leader="dot"/>
          <w:tab w:val="clear" w:pos="8937" w:leader="none"/>
        </w:tabs>
        <w:rPr>
          <w:rFonts w:hint="eastAsia"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_Toc22909 </w:instrText>
      </w:r>
      <w:r>
        <w:rPr>
          <w:rFonts w:hint="eastAsia" w:cs="宋体"/>
          <w:color w:val="auto"/>
          <w:sz w:val="32"/>
          <w:szCs w:val="32"/>
          <w:highlight w:val="none"/>
        </w:rPr>
        <w:fldChar w:fldCharType="separate"/>
      </w:r>
      <w:r>
        <w:rPr>
          <w:rFonts w:hint="eastAsia" w:cs="宋体"/>
          <w:color w:val="auto"/>
          <w:sz w:val="32"/>
          <w:szCs w:val="32"/>
          <w:highlight w:val="none"/>
        </w:rPr>
        <w:t xml:space="preserve">第七章   投标文件格式</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_Toc22909 \h </w:instrText>
      </w:r>
      <w:r>
        <w:rPr>
          <w:rFonts w:hint="eastAsia" w:cs="宋体"/>
          <w:color w:val="auto"/>
          <w:sz w:val="32"/>
          <w:szCs w:val="32"/>
          <w:highlight w:val="none"/>
        </w:rPr>
        <w:fldChar w:fldCharType="separate"/>
      </w:r>
      <w:r>
        <w:rPr>
          <w:rFonts w:hint="eastAsia" w:cs="宋体"/>
          <w:color w:val="auto"/>
          <w:sz w:val="32"/>
          <w:szCs w:val="32"/>
          <w:highlight w:val="none"/>
        </w:rPr>
        <w:t xml:space="preserve">43</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032"/>
        <w:spacing w:line="360" w:lineRule="auto"/>
        <w:rPr>
          <w:rFonts w:hint="eastAsia" w:cs="宋体"/>
          <w:b w:val="0"/>
          <w:color w:val="auto"/>
          <w:sz w:val="32"/>
          <w:szCs w:val="32"/>
          <w:highlight w:val="none"/>
        </w:rPr>
      </w:pPr>
      <w:r>
        <w:rPr>
          <w:rFonts w:hint="eastAsia" w:cs="宋体"/>
          <w:color w:val="auto"/>
          <w:sz w:val="32"/>
          <w:szCs w:val="32"/>
          <w:highlight w:val="none"/>
        </w:rPr>
        <w:fldChar w:fldCharType="end"/>
      </w:r>
      <w:r/>
    </w:p>
    <w:p>
      <w:pPr>
        <w:jc w:val="center"/>
        <w:spacing w:line="400" w:lineRule="exact"/>
        <w:rPr>
          <w:b/>
          <w:color w:val="auto"/>
          <w:sz w:val="36"/>
          <w:szCs w:val="36"/>
          <w:highlight w:val="none"/>
        </w:rPr>
        <w:outlineLvl w:val="0"/>
      </w:pPr>
      <w:r>
        <w:rPr>
          <w:color w:val="auto"/>
          <w:sz w:val="24"/>
          <w:highlight w:val="none"/>
        </w:rPr>
        <w:br w:type="page" w:clear="all"/>
      </w:r>
      <w:bookmarkStart w:id="4" w:name="_Toc16204"/>
      <w:r>
        <w:rPr>
          <w:b/>
          <w:color w:val="auto"/>
          <w:sz w:val="36"/>
          <w:szCs w:val="36"/>
          <w:highlight w:val="none"/>
        </w:rPr>
        <w:t xml:space="preserve">第一章   投标邀请</w:t>
      </w:r>
      <w:bookmarkEnd w:id="4"/>
      <w:r/>
      <w:r/>
    </w:p>
    <w:p>
      <w:pPr>
        <w:ind w:firstLine="482"/>
        <w:spacing w:line="400" w:lineRule="exact"/>
        <w:rPr>
          <w:rFonts w:ascii="宋体" w:hAnsi="宋体" w:cs="宋体"/>
          <w:b/>
          <w:bCs/>
          <w:color w:val="auto"/>
          <w:sz w:val="24"/>
          <w:highlight w:val="none"/>
        </w:rPr>
      </w:pPr>
      <w:r/>
      <w:bookmarkStart w:id="5" w:name="_Toc35393621"/>
      <w:r/>
      <w:bookmarkStart w:id="6" w:name="_Toc35393790"/>
      <w:r/>
      <w:bookmarkStart w:id="7" w:name="_Toc28359002"/>
      <w:r/>
      <w:bookmarkStart w:id="8" w:name="_Toc28359079"/>
      <w:r/>
      <w:bookmarkStart w:id="9" w:name="_Hlk24379207"/>
      <w:r>
        <w:rPr>
          <w:rFonts w:hint="eastAsia" w:ascii="宋体" w:hAnsi="宋体" w:cs="宋体"/>
          <w:b/>
          <w:bCs/>
          <w:color w:val="auto"/>
          <w:sz w:val="24"/>
          <w:highlight w:val="none"/>
        </w:rPr>
        <w:t xml:space="preserve">一、项目基本情况</w:t>
      </w:r>
      <w:bookmarkEnd w:id="5"/>
      <w:r/>
      <w:bookmarkEnd w:id="6"/>
      <w:r/>
      <w:bookmarkEnd w:id="7"/>
      <w:r/>
      <w:bookmarkEnd w:id="8"/>
      <w:r/>
      <w:r/>
    </w:p>
    <w:p>
      <w:pPr>
        <w:ind w:firstLine="48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1.项目编号/包号：</w:t>
      </w:r>
      <w:r>
        <w:rPr>
          <w:rFonts w:hint="eastAsia" w:ascii="宋体" w:hAnsi="宋体" w:cs="宋体"/>
          <w:color w:val="auto"/>
          <w:sz w:val="24"/>
          <w:highlight w:val="none"/>
          <w:lang w:eastAsia="zh-CN"/>
        </w:rPr>
        <w:t xml:space="preserve">JSZC-320400-CZRB-G2026-0020</w:t>
      </w:r>
      <w:r/>
    </w:p>
    <w:p>
      <w:pPr>
        <w:ind w:firstLine="48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bCs/>
          <w:color w:val="auto"/>
          <w:sz w:val="24"/>
          <w:highlight w:val="none"/>
          <w:lang w:eastAsia="zh-CN"/>
        </w:rPr>
        <w:t xml:space="preserve">常州检验检测标准认证研究院双频激光干涉仪采购</w:t>
      </w:r>
      <w:bookmarkEnd w:id="9"/>
      <w:r/>
      <w:r/>
    </w:p>
    <w:p>
      <w:pPr>
        <w:ind w:firstLine="480"/>
        <w:spacing w:line="400" w:lineRule="exact"/>
        <w:rPr>
          <w:rFonts w:hint="eastAsia" w:ascii="宋体" w:hAnsi="宋体" w:eastAsia="宋体" w:cs="宋体"/>
          <w:color w:val="auto"/>
          <w:sz w:val="24"/>
          <w:highlight w:val="none"/>
          <w:lang w:eastAsia="zh-CN"/>
        </w:rPr>
      </w:pPr>
      <w:r/>
      <w:bookmarkStart w:id="10" w:name="_Toc28359080"/>
      <w:r/>
      <w:bookmarkStart w:id="11" w:name="_Toc28359003"/>
      <w:r/>
      <w:bookmarkStart w:id="12" w:name="_Toc35393791"/>
      <w:r/>
      <w:bookmarkStart w:id="13" w:name="_Toc35393622"/>
      <w:r>
        <w:rPr>
          <w:rFonts w:hint="eastAsia" w:ascii="宋体" w:hAnsi="宋体" w:cs="宋体"/>
          <w:color w:val="auto"/>
          <w:sz w:val="24"/>
          <w:highlight w:val="none"/>
        </w:rPr>
        <w:t xml:space="preserve">3.项目预算金额：</w:t>
      </w:r>
      <w:r>
        <w:rPr>
          <w:rFonts w:hint="eastAsia" w:ascii="宋体" w:hAnsi="宋体" w:cs="宋体"/>
          <w:bCs/>
          <w:color w:val="auto"/>
          <w:sz w:val="24"/>
          <w:highlight w:val="none"/>
          <w:lang w:eastAsia="zh-CN"/>
        </w:rPr>
        <w:t xml:space="preserve">人民币107万元</w:t>
      </w:r>
      <w:r>
        <w:rPr>
          <w:rFonts w:hint="eastAsia" w:ascii="宋体" w:hAnsi="宋体" w:cs="宋体"/>
          <w:bCs/>
          <w:color w:val="auto"/>
          <w:sz w:val="24"/>
          <w:highlight w:val="none"/>
        </w:rPr>
        <w:t xml:space="preserve">、最高限价：</w:t>
      </w:r>
      <w:r>
        <w:rPr>
          <w:rFonts w:hint="eastAsia" w:ascii="宋体" w:hAnsi="宋体" w:cs="宋体"/>
          <w:bCs/>
          <w:color w:val="auto"/>
          <w:sz w:val="24"/>
          <w:highlight w:val="none"/>
          <w:lang w:eastAsia="zh-CN"/>
        </w:rPr>
        <w:t xml:space="preserve">人民币107万元</w:t>
      </w:r>
      <w:r/>
    </w:p>
    <w:p>
      <w:pPr>
        <w:ind w:firstLine="480"/>
        <w:spacing w:line="400" w:lineRule="exact"/>
        <w:rPr>
          <w:rFonts w:ascii="仿宋" w:hAnsi="仿宋" w:cs="仿宋"/>
          <w:color w:val="auto"/>
          <w:sz w:val="24"/>
          <w:highlight w:val="none"/>
        </w:rPr>
      </w:pPr>
      <w:r>
        <w:rPr>
          <w:rFonts w:hint="eastAsia" w:ascii="宋体" w:hAnsi="宋体" w:cs="宋体"/>
          <w:color w:val="auto"/>
          <w:sz w:val="24"/>
          <w:highlight w:val="none"/>
        </w:rPr>
        <w:t xml:space="preserve">4.采购需求：</w:t>
      </w:r>
      <w:r>
        <w:rPr>
          <w:rFonts w:hint="eastAsia" w:ascii="宋体" w:hAnsi="宋体" w:cs="宋体"/>
          <w:bCs/>
          <w:color w:val="auto"/>
          <w:sz w:val="24"/>
          <w:highlight w:val="none"/>
        </w:rPr>
        <w:t xml:space="preserve">本项目为</w:t>
      </w:r>
      <w:r>
        <w:rPr>
          <w:rFonts w:hint="eastAsia" w:ascii="宋体" w:hAnsi="宋体" w:cs="宋体"/>
          <w:bCs/>
          <w:color w:val="auto"/>
          <w:sz w:val="24"/>
          <w:highlight w:val="none"/>
          <w:lang w:eastAsia="zh-CN"/>
        </w:rPr>
        <w:t xml:space="preserve">常州检验检测标准认证研究院双频激光干涉仪采购</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包括但不限于采购文件及其基本技术要求范围内相应产品制造前的准备（包括现场踏勘、技术核对等）、产品、设计、制造、加工、检验、包装、发货、运输、装卸至现场、基础制作、安装、验收、税金、质保期和采购文件所要求的相关服务等全部内容</w:t>
      </w:r>
      <w:r>
        <w:rPr>
          <w:rFonts w:hint="eastAsia" w:ascii="宋体" w:hAnsi="宋体" w:cs="宋体"/>
          <w:bCs/>
          <w:color w:val="auto"/>
          <w:sz w:val="24"/>
          <w:highlight w:val="none"/>
        </w:rPr>
        <w:t xml:space="preserve">。具体要求详见项目需求。</w:t>
      </w:r>
      <w:r/>
    </w:p>
    <w:p>
      <w:pPr>
        <w:ind w:firstLine="480"/>
        <w:spacing w:line="400" w:lineRule="exact"/>
        <w:rPr>
          <w:rFonts w:hint="eastAsia" w:ascii="宋体" w:hAnsi="宋体" w:cs="宋体"/>
          <w:bCs/>
          <w:color w:val="auto"/>
          <w:sz w:val="24"/>
          <w:highlight w:val="none"/>
          <w:lang w:eastAsia="zh-CN"/>
        </w:rPr>
      </w:pPr>
      <w:r>
        <w:rPr>
          <w:rFonts w:hint="eastAsia" w:ascii="宋体" w:hAnsi="宋体" w:cs="宋体"/>
          <w:color w:val="auto"/>
          <w:sz w:val="24"/>
          <w:highlight w:val="none"/>
        </w:rPr>
        <w:t xml:space="preserve">5.合同履行期限：</w:t>
      </w:r>
      <w:r>
        <w:rPr>
          <w:rFonts w:hint="eastAsia" w:ascii="宋体" w:hAnsi="宋体" w:cs="宋体"/>
          <w:bCs/>
          <w:color w:val="auto"/>
          <w:sz w:val="24"/>
          <w:highlight w:val="none"/>
          <w:lang w:eastAsia="zh-CN"/>
        </w:rPr>
        <w:t xml:space="preserve">合同签订生效后120日内将仪器设备运至采购单位，安装调试并经采购人验收合格后方可认为交货完成。</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6.本项目是否接受联合</w:t>
      </w:r>
      <w:bookmarkStart w:id="14" w:name="OLE_LINK80"/>
      <w:r/>
      <w:bookmarkStart w:id="15" w:name="OLE_LINK81"/>
      <w:r>
        <w:rPr>
          <w:rFonts w:hint="eastAsia" w:ascii="宋体" w:hAnsi="宋体" w:cs="宋体"/>
          <w:b/>
          <w:bCs/>
          <w:color w:val="auto"/>
          <w:sz w:val="24"/>
          <w:highlight w:val="none"/>
        </w:rPr>
        <w:t xml:space="preserve">体</w:t>
      </w:r>
      <w:bookmarkStart w:id="16" w:name="OLE_LINK485"/>
      <w:r>
        <w:rPr>
          <w:rFonts w:hint="eastAsia" w:ascii="宋体" w:hAnsi="宋体" w:cs="宋体"/>
          <w:b/>
          <w:bCs/>
          <w:color w:val="auto"/>
          <w:sz w:val="24"/>
          <w:highlight w:val="none"/>
        </w:rPr>
        <w:t xml:space="preserve">：</w:t>
      </w:r>
      <w:bookmarkEnd w:id="16"/>
      <w:r>
        <w:rPr>
          <w:rFonts w:hint="eastAsia" w:ascii="宋体" w:hAnsi="宋体" w:cs="宋体"/>
          <w:b/>
          <w:bCs/>
          <w:color w:val="auto"/>
          <w:sz w:val="24"/>
          <w:highlight w:val="none"/>
        </w:rPr>
        <w:t xml:space="preserve">否。</w:t>
      </w:r>
      <w:bookmarkEnd w:id="14"/>
      <w:r/>
      <w:bookmarkEnd w:id="15"/>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7.本项目是否接受进</w:t>
      </w:r>
      <w:bookmarkStart w:id="17" w:name="OLE_LINK82"/>
      <w:r/>
      <w:bookmarkStart w:id="18" w:name="OLE_LINK83"/>
      <w:r>
        <w:rPr>
          <w:rFonts w:hint="eastAsia" w:ascii="宋体" w:hAnsi="宋体" w:cs="宋体"/>
          <w:b/>
          <w:bCs/>
          <w:color w:val="auto"/>
          <w:sz w:val="24"/>
          <w:highlight w:val="none"/>
        </w:rPr>
        <w:t xml:space="preserve">口产品响应：是。</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二、申请人的资格要求（须同时满足）</w:t>
      </w:r>
      <w:bookmarkEnd w:id="10"/>
      <w:r/>
      <w:bookmarkEnd w:id="11"/>
      <w:r/>
      <w:bookmarkEnd w:id="12"/>
      <w:r/>
      <w:bookmarkEnd w:id="13"/>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1.满足《中华人民共和国政府采购法》第二十二条规定以及下列情形：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1.1未被“信用中国”网站（</w:t>
      </w:r>
      <w:bookmarkEnd w:id="17"/>
      <w:r/>
      <w:bookmarkEnd w:id="18"/>
      <w:r>
        <w:rPr>
          <w:rFonts w:hint="eastAsia" w:ascii="宋体" w:hAnsi="宋体" w:cs="宋体"/>
          <w:color w:val="auto"/>
          <w:sz w:val="24"/>
          <w:highlight w:val="none"/>
        </w:rPr>
        <w:t xml:space="preserve">www.creditchina.gov.cn）或“中国政府采购网”网站（www.ccgp.gov.cn）列入失信被执行人、重大税收违法案件当事人名单、政府采购严重失信行为记录名单；</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400" w:lineRule="exact"/>
        <w:rPr>
          <w:rFonts w:ascii="宋体" w:hAnsi="宋体" w:cs="宋体"/>
          <w:b/>
          <w:bCs/>
          <w:color w:val="auto"/>
          <w:sz w:val="24"/>
          <w:highlight w:val="none"/>
        </w:rPr>
      </w:pPr>
      <w:r/>
      <w:bookmarkStart w:id="19" w:name="_Toc28359081"/>
      <w:r/>
      <w:bookmarkStart w:id="20" w:name="_Toc28359004"/>
      <w:r>
        <w:rPr>
          <w:rFonts w:hint="eastAsia" w:ascii="宋体" w:hAnsi="宋体" w:cs="宋体"/>
          <w:b/>
          <w:bCs/>
          <w:color w:val="auto"/>
          <w:sz w:val="24"/>
          <w:highlight w:val="none"/>
        </w:rPr>
        <w:t xml:space="preserve">2.落实政府采购政策需满足的资格要求：</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2.1中小企业政策：本项目不专门面向中小企业采购。</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2.2其他落实政府采购政策的资格要求（如有）：无。</w:t>
      </w:r>
      <w:r/>
    </w:p>
    <w:p>
      <w:pPr>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3.本项目的特定资格要求：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3.1本项目是否接受分支机构参与投标：否；</w:t>
      </w:r>
      <w:r/>
    </w:p>
    <w:p>
      <w:pPr>
        <w:ind w:firstLine="482"/>
        <w:spacing w:line="400" w:lineRule="exact"/>
        <w:tabs>
          <w:tab w:val="left" w:pos="900" w:leader="none"/>
          <w:tab w:val="left" w:pos="1134" w:leader="none"/>
          <w:tab w:val="left" w:pos="1589" w:leader="none"/>
          <w:tab w:val="left" w:pos="5521" w:leader="none"/>
        </w:tabs>
        <w:rPr>
          <w:rFonts w:hint="eastAsia" w:ascii="宋体" w:hAnsi="宋体"/>
          <w:b/>
          <w:bCs/>
          <w:color w:val="auto"/>
          <w:sz w:val="24"/>
          <w:highlight w:val="none"/>
        </w:rPr>
      </w:pPr>
      <w:r>
        <w:rPr>
          <w:rFonts w:hint="eastAsia" w:ascii="宋体" w:hAnsi="宋体" w:cs="宋体"/>
          <w:b/>
          <w:bCs/>
          <w:color w:val="auto"/>
          <w:sz w:val="24"/>
          <w:highlight w:val="none"/>
        </w:rPr>
        <w:t xml:space="preserve">3.2其他特定资格要求：</w:t>
      </w:r>
      <w:bookmarkEnd w:id="19"/>
      <w:r/>
      <w:bookmarkEnd w:id="20"/>
      <w:r/>
      <w:bookmarkStart w:id="21" w:name="_Toc35393623"/>
      <w:r/>
      <w:bookmarkStart w:id="22" w:name="_Toc35393792"/>
      <w:r/>
      <w:r/>
    </w:p>
    <w:p>
      <w:pPr>
        <w:ind w:left="0" w:firstLine="482"/>
        <w:keepLines w:val="0"/>
        <w:keepNext w:val="0"/>
        <w:pageBreakBefore w:val="0"/>
        <w:spacing w:line="384"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本项目接受进口产品，如所投产品为进口产品的，投标人应提供以下之一的证明材料</w:t>
      </w:r>
      <w:r>
        <w:rPr>
          <w:rFonts w:hint="eastAsia" w:ascii="宋体" w:hAnsi="宋体" w:eastAsia="宋体" w:cs="宋体"/>
          <w:b/>
          <w:bCs/>
          <w:color w:val="auto"/>
          <w:sz w:val="24"/>
          <w:highlight w:val="none"/>
          <w:lang w:val="en-US" w:eastAsia="zh-CN"/>
        </w:rPr>
        <w:t xml:space="preserve">扫描件并加盖投标人公章</w:t>
      </w:r>
      <w:r>
        <w:rPr>
          <w:rFonts w:hint="eastAsia" w:ascii="宋体" w:hAnsi="宋体" w:eastAsia="宋体" w:cs="宋体"/>
          <w:b/>
          <w:bCs/>
          <w:color w:val="auto"/>
          <w:sz w:val="24"/>
          <w:highlight w:val="none"/>
        </w:rPr>
        <w:t xml:space="preserve">：</w:t>
      </w:r>
      <w:r/>
    </w:p>
    <w:p>
      <w:pPr>
        <w:ind w:left="0" w:firstLine="482"/>
        <w:keepLines w:val="0"/>
        <w:keepNext w:val="0"/>
        <w:pageBreakBefore w:val="0"/>
        <w:spacing w:line="384"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eastAsia="宋体" w:cs="宋体"/>
          <w:b/>
          <w:bCs/>
          <w:color w:val="auto"/>
          <w:sz w:val="24"/>
          <w:highlight w:val="none"/>
          <w:lang w:val="en-US" w:eastAsia="zh-CN"/>
        </w:rPr>
        <w:t xml:space="preserve">如投标人为</w:t>
      </w:r>
      <w:r>
        <w:rPr>
          <w:rFonts w:hint="eastAsia" w:ascii="宋体" w:hAnsi="宋体" w:eastAsia="宋体" w:cs="宋体"/>
          <w:b/>
          <w:bCs/>
          <w:color w:val="auto"/>
          <w:sz w:val="24"/>
          <w:highlight w:val="none"/>
        </w:rPr>
        <w:t xml:space="preserve">此设备的本区域的经销（代理）商，必须提供逐级经销（代理）商的证书及有效销售资质；</w:t>
      </w:r>
      <w:r/>
    </w:p>
    <w:p>
      <w:pPr>
        <w:ind w:left="0" w:firstLine="482"/>
        <w:keepLines w:val="0"/>
        <w:keepNext w:val="0"/>
        <w:pageBreakBefore w:val="0"/>
        <w:spacing w:line="384"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w:t>
      </w:r>
      <w:r>
        <w:rPr>
          <w:rFonts w:hint="eastAsia" w:ascii="宋体" w:hAnsi="宋体" w:eastAsia="宋体" w:cs="宋体"/>
          <w:b/>
          <w:bCs/>
          <w:color w:val="auto"/>
          <w:sz w:val="24"/>
          <w:highlight w:val="none"/>
          <w:lang w:val="en-US" w:eastAsia="zh-CN"/>
        </w:rPr>
        <w:t xml:space="preserve">如投标人为</w:t>
      </w:r>
      <w:r>
        <w:rPr>
          <w:rFonts w:hint="eastAsia" w:ascii="宋体" w:hAnsi="宋体" w:eastAsia="宋体" w:cs="宋体"/>
          <w:b/>
          <w:bCs/>
          <w:color w:val="auto"/>
          <w:sz w:val="24"/>
          <w:highlight w:val="none"/>
        </w:rPr>
        <w:t xml:space="preserve">此项目的授权经销商，必须提供本区域经销（代理）商（或生产厂家）对本次采购的项目授权，同时提供逐级经销（代理）商的证书及有效销售资质（外文授权或代理证书的需提供中文译件）。</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21"/>
      <w:r/>
      <w:bookmarkEnd w:id="22"/>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1.时间：自招</w:t>
      </w:r>
      <w:bookmarkStart w:id="23" w:name="OLE_LINK84"/>
      <w:r/>
      <w:bookmarkStart w:id="24" w:name="OLE_LINK86"/>
      <w:r>
        <w:rPr>
          <w:rFonts w:hint="eastAsia" w:ascii="宋体" w:hAnsi="宋体" w:cs="宋体"/>
          <w:color w:val="auto"/>
          <w:sz w:val="24"/>
          <w:highlight w:val="none"/>
        </w:rPr>
        <w:t xml:space="preserve">标文件公告发布之日起5个工作日</w:t>
      </w:r>
      <w:bookmarkEnd w:id="23"/>
      <w:r/>
      <w:bookmarkEnd w:id="24"/>
      <w:r/>
      <w:r/>
    </w:p>
    <w:p>
      <w:pPr>
        <w:ind w:firstLine="480"/>
        <w:spacing w:line="400" w:lineRule="exact"/>
        <w:rPr>
          <w:rFonts w:hint="eastAsia" w:ascii="宋体" w:hAnsi="宋体" w:cs="宋体"/>
          <w:color w:val="auto"/>
          <w:sz w:val="24"/>
          <w:highlight w:val="none"/>
        </w:rPr>
      </w:pPr>
      <w:r/>
      <w:bookmarkStart w:id="25" w:name="_Toc28359082"/>
      <w:r/>
      <w:bookmarkStart w:id="26" w:name="_Toc28359005"/>
      <w:r/>
      <w:bookmarkStart w:id="27" w:name="_Toc35393624"/>
      <w:r/>
      <w:bookmarkStart w:id="28" w:name="_Toc35393793"/>
      <w:r>
        <w:rPr>
          <w:rFonts w:hint="eastAsia" w:ascii="宋体" w:hAnsi="宋体" w:cs="宋体"/>
          <w:color w:val="auto"/>
          <w:sz w:val="24"/>
          <w:highlight w:val="none"/>
        </w:rPr>
        <w:t xml:space="preserve">2.地点：“苏采云”政府采购一体化平台</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3.方式：在“苏采云”政府采购一体化平台自行免费下载</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4.售价：0元</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四、提交投标文件</w:t>
      </w:r>
      <w:bookmarkEnd w:id="25"/>
      <w:r/>
      <w:bookmarkEnd w:id="26"/>
      <w:r>
        <w:rPr>
          <w:rFonts w:hint="eastAsia" w:ascii="宋体" w:hAnsi="宋体" w:cs="宋体"/>
          <w:b/>
          <w:bCs/>
          <w:color w:val="auto"/>
          <w:sz w:val="24"/>
          <w:highlight w:val="none"/>
        </w:rPr>
        <w:t xml:space="preserve">截止时间、开标时间和地点</w:t>
      </w:r>
      <w:bookmarkEnd w:id="27"/>
      <w:r/>
      <w:bookmarkEnd w:id="28"/>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投标截止时间、开标时间：2026年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点00分（北京时间）。</w:t>
      </w:r>
      <w:r/>
    </w:p>
    <w:p>
      <w:pPr>
        <w:ind w:firstLine="480"/>
        <w:spacing w:line="400" w:lineRule="exact"/>
        <w:rPr>
          <w:rFonts w:ascii="宋体" w:hAnsi="宋体" w:cs="宋体"/>
          <w:color w:val="auto"/>
          <w:sz w:val="24"/>
          <w:highlight w:val="none"/>
          <w:lang w:val="zh-TW"/>
        </w:rPr>
      </w:pPr>
      <w:r>
        <w:rPr>
          <w:rFonts w:hint="eastAsia" w:ascii="宋体" w:hAnsi="宋体" w:cs="宋体"/>
          <w:color w:val="auto"/>
          <w:sz w:val="24"/>
          <w:highlight w:val="none"/>
        </w:rPr>
        <w:t xml:space="preserve">地点：“苏采云”政府采购一体化平台</w:t>
      </w:r>
      <w:r/>
    </w:p>
    <w:p>
      <w:pPr>
        <w:ind w:firstLine="482"/>
        <w:spacing w:line="400" w:lineRule="exact"/>
        <w:rPr>
          <w:rFonts w:ascii="宋体" w:hAnsi="宋体" w:cs="宋体"/>
          <w:b/>
          <w:bCs/>
          <w:color w:val="auto"/>
          <w:sz w:val="24"/>
          <w:highlight w:val="none"/>
        </w:rPr>
      </w:pPr>
      <w:r/>
      <w:bookmarkStart w:id="29" w:name="_Toc28359084"/>
      <w:r/>
      <w:bookmarkStart w:id="30" w:name="_Toc28359007"/>
      <w:r/>
      <w:bookmarkStart w:id="31" w:name="_Toc35393794"/>
      <w:r/>
      <w:bookmarkStart w:id="32" w:name="_Toc35393625"/>
      <w:r>
        <w:rPr>
          <w:rFonts w:hint="eastAsia" w:ascii="宋体" w:hAnsi="宋体" w:cs="宋体"/>
          <w:b/>
          <w:bCs/>
          <w:color w:val="auto"/>
          <w:sz w:val="24"/>
          <w:highlight w:val="none"/>
        </w:rPr>
        <w:t xml:space="preserve">五、公告期限</w:t>
      </w:r>
      <w:bookmarkEnd w:id="29"/>
      <w:r/>
      <w:bookmarkEnd w:id="30"/>
      <w:r/>
      <w:bookmarkEnd w:id="31"/>
      <w:r/>
      <w:bookmarkEnd w:id="32"/>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firstLine="482"/>
        <w:spacing w:line="400" w:lineRule="exact"/>
        <w:rPr>
          <w:rFonts w:ascii="宋体" w:hAnsi="宋体" w:cs="宋体"/>
          <w:b/>
          <w:bCs/>
          <w:color w:val="auto"/>
          <w:sz w:val="24"/>
          <w:highlight w:val="none"/>
        </w:rPr>
      </w:pPr>
      <w:r/>
      <w:bookmarkStart w:id="33" w:name="_Toc35393626"/>
      <w:r/>
      <w:bookmarkStart w:id="34" w:name="_Toc35393795"/>
      <w:r>
        <w:rPr>
          <w:rFonts w:hint="eastAsia" w:ascii="宋体" w:hAnsi="宋体" w:cs="宋体"/>
          <w:b/>
          <w:bCs/>
          <w:color w:val="auto"/>
          <w:sz w:val="24"/>
          <w:highlight w:val="none"/>
        </w:rPr>
        <w:t xml:space="preserve">六、其他补充事宜</w:t>
      </w:r>
      <w:bookmarkEnd w:id="33"/>
      <w:r/>
      <w:bookmarkEnd w:id="34"/>
      <w:r/>
      <w:r/>
    </w:p>
    <w:p>
      <w:pPr>
        <w:ind w:firstLine="480"/>
        <w:spacing w:line="390" w:lineRule="exact"/>
        <w:rPr>
          <w:rFonts w:hint="eastAsia" w:ascii="宋体" w:hAnsi="宋体" w:cs="宋体"/>
          <w:color w:val="auto"/>
          <w:sz w:val="24"/>
          <w:highlight w:val="none"/>
        </w:rPr>
      </w:pPr>
      <w:r/>
      <w:bookmarkStart w:id="35" w:name="_Toc28359085"/>
      <w:r/>
      <w:bookmarkStart w:id="36" w:name="_Toc35393796"/>
      <w:r/>
      <w:bookmarkStart w:id="37" w:name="_Toc35393627"/>
      <w:r/>
      <w:bookmarkStart w:id="38" w:name="_Toc28359008"/>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.根据省财政厅《关</w:t>
      </w:r>
      <w:r>
        <w:rPr>
          <w:rFonts w:hint="eastAsia" w:ascii="宋体" w:hAnsi="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39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七、对本次招标提出询问，请按以下方式联系。</w:t>
      </w:r>
      <w:bookmarkEnd w:id="35"/>
      <w:r/>
      <w:bookmarkEnd w:id="36"/>
      <w:r/>
      <w:bookmarkEnd w:id="37"/>
      <w:r/>
      <w:bookmarkEnd w:id="38"/>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00" w:lineRule="exact"/>
        <w:rPr>
          <w:rFonts w:hint="eastAsia" w:ascii="宋体" w:hAnsi="宋体" w:cs="宋体"/>
          <w:color w:val="auto"/>
          <w:sz w:val="24"/>
          <w:highlight w:val="none"/>
        </w:rPr>
      </w:pPr>
      <w:r/>
      <w:bookmarkStart w:id="39" w:name="_Toc28359086"/>
      <w:r/>
      <w:bookmarkStart w:id="40" w:name="_Toc28359009"/>
      <w:r>
        <w:rPr>
          <w:rFonts w:hint="eastAsia" w:ascii="宋体" w:hAnsi="宋体" w:cs="宋体"/>
          <w:color w:val="auto"/>
          <w:sz w:val="24"/>
          <w:highlight w:val="none"/>
        </w:rPr>
        <w:t xml:space="preserve">名称：常州检验检测标准认证研究院</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地址：常州市武进区西湖路2-18号</w:t>
      </w:r>
      <w:r/>
    </w:p>
    <w:p>
      <w:pPr>
        <w:ind w:firstLine="480"/>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val="en-US" w:eastAsia="zh-CN"/>
        </w:rPr>
        <w:t xml:space="preserve">殷</w:t>
      </w:r>
      <w:r>
        <w:rPr>
          <w:rFonts w:hint="eastAsia" w:ascii="宋体" w:hAnsi="宋体" w:cs="宋体"/>
          <w:bCs/>
          <w:color w:val="auto"/>
          <w:sz w:val="24"/>
          <w:highlight w:val="none"/>
        </w:rPr>
        <w:t xml:space="preserve">先生0519-86290019</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9"/>
      <w:r/>
      <w:bookmarkEnd w:id="40"/>
      <w:r/>
      <w:r/>
    </w:p>
    <w:p>
      <w:pPr>
        <w:ind w:firstLine="480"/>
        <w:spacing w:line="400" w:lineRule="exact"/>
        <w:rPr>
          <w:rFonts w:ascii="宋体" w:hAnsi="宋体" w:cs="宋体"/>
          <w:color w:val="auto"/>
          <w:sz w:val="24"/>
          <w:highlight w:val="none"/>
        </w:rPr>
      </w:pPr>
      <w:r/>
      <w:bookmarkStart w:id="41" w:name="_Toc28359010"/>
      <w:r/>
      <w:bookmarkStart w:id="42" w:name="_Toc28359087"/>
      <w:r>
        <w:rPr>
          <w:rFonts w:hint="eastAsia" w:ascii="宋体" w:hAnsi="宋体" w:cs="宋体"/>
          <w:color w:val="auto"/>
          <w:sz w:val="24"/>
          <w:highlight w:val="none"/>
        </w:rPr>
        <w:t xml:space="preserve">名称：常州润邦招标代理有限公司</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地址：常州市飞龙东路108号-304室（翠园世家商业街三楼）</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联系方式：0519-81882993</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bookmarkEnd w:id="41"/>
      <w:r/>
      <w:bookmarkEnd w:id="42"/>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项目联系人：周叶</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电话：0519-81882993</w:t>
      </w:r>
      <w:r/>
    </w:p>
    <w:p>
      <w:pPr>
        <w:jc w:val="center"/>
        <w:spacing w:line="360" w:lineRule="auto"/>
        <w:rPr>
          <w:b/>
          <w:color w:val="auto"/>
          <w:sz w:val="32"/>
          <w:szCs w:val="32"/>
          <w:highlight w:val="none"/>
        </w:rPr>
        <w:outlineLvl w:val="0"/>
      </w:pPr>
      <w:r>
        <w:rPr>
          <w:color w:val="auto"/>
          <w:sz w:val="24"/>
          <w:highlight w:val="none"/>
        </w:rPr>
        <w:br w:type="page" w:clear="all"/>
      </w:r>
      <w:bookmarkStart w:id="43" w:name="_Toc264969275"/>
      <w:r/>
      <w:bookmarkStart w:id="44" w:name="_Toc512937850"/>
      <w:r/>
      <w:bookmarkStart w:id="45" w:name="_Toc805"/>
      <w:r/>
      <w:bookmarkStart w:id="46" w:name="_Toc353873938"/>
      <w:r/>
      <w:bookmarkStart w:id="47" w:name="_Toc150774783"/>
      <w:r/>
      <w:bookmarkStart w:id="48" w:name="_Toc226965856"/>
      <w:r/>
      <w:bookmarkStart w:id="49" w:name="_Toc305158854"/>
      <w:r/>
      <w:bookmarkStart w:id="50" w:name="_Toc265228423"/>
      <w:r/>
      <w:bookmarkStart w:id="51" w:name="_Toc127161488"/>
      <w:r/>
      <w:bookmarkStart w:id="52" w:name="_Toc127151777"/>
      <w:r/>
      <w:bookmarkStart w:id="53" w:name="_Toc305158928"/>
      <w:r/>
      <w:bookmarkStart w:id="54" w:name="_Toc353825548"/>
      <w:r/>
      <w:bookmarkStart w:id="55" w:name="_Toc195842950"/>
      <w:r>
        <w:rPr>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1002"/>
        <w:spacing w:before="0" w:line="360" w:lineRule="auto"/>
        <w:tabs>
          <w:tab w:val="center" w:pos="4592" w:leader="none"/>
          <w:tab w:val="left" w:pos="7860" w:leader="none"/>
        </w:tabs>
        <w:rPr>
          <w:rFonts w:ascii="Times New Roman" w:hAnsi="Times New Roman" w:eastAsia="宋体"/>
          <w:color w:val="auto"/>
          <w:sz w:val="28"/>
          <w:highlight w:val="none"/>
        </w:rPr>
      </w:pPr>
      <w:r/>
      <w:bookmarkStart w:id="56" w:name="_Toc150774619"/>
      <w:r/>
      <w:bookmarkStart w:id="57" w:name="_Toc151190146"/>
      <w:r/>
      <w:bookmarkStart w:id="58" w:name="_Toc195842884"/>
      <w:r/>
      <w:bookmarkStart w:id="59" w:name="_Toc226337215"/>
      <w:r/>
      <w:bookmarkStart w:id="60" w:name="_Toc151193689"/>
      <w:r/>
      <w:bookmarkStart w:id="61" w:name="_Toc149720812"/>
      <w:r/>
      <w:bookmarkStart w:id="62" w:name="_Toc151193617"/>
      <w:r/>
      <w:bookmarkStart w:id="63" w:name="_Toc226965709"/>
      <w:r/>
      <w:bookmarkStart w:id="64" w:name="_Toc127161433"/>
      <w:r/>
      <w:bookmarkStart w:id="65" w:name="_Toc151193907"/>
      <w:r/>
      <w:bookmarkStart w:id="66" w:name="_Toc127151720"/>
      <w:r/>
      <w:bookmarkStart w:id="67" w:name="_Toc226965792"/>
      <w:r/>
      <w:bookmarkStart w:id="68" w:name="_Toc164608633"/>
      <w:r/>
      <w:bookmarkStart w:id="69" w:name="_Toc164229360"/>
      <w:r/>
      <w:bookmarkStart w:id="70" w:name="_Toc142311021"/>
      <w:r/>
      <w:bookmarkStart w:id="71" w:name="_Toc164608788"/>
      <w:r/>
      <w:bookmarkStart w:id="72" w:name="_Toc151193833"/>
      <w:r/>
      <w:bookmarkStart w:id="73" w:name="_Toc150509270"/>
      <w:r/>
      <w:bookmarkStart w:id="74" w:name="_Toc226309763"/>
      <w:r/>
      <w:bookmarkStart w:id="75" w:name="_Toc150480757"/>
      <w:r/>
      <w:bookmarkStart w:id="76" w:name="_Toc164229214"/>
      <w:r/>
      <w:bookmarkStart w:id="77" w:name="_Toc520356144"/>
      <w:r/>
      <w:bookmarkStart w:id="78" w:name="_Toc150774724"/>
      <w:r/>
      <w:bookmarkStart w:id="79" w:name="_Toc164351613"/>
      <w:r/>
      <w:bookmarkStart w:id="80" w:name="_Toc127151519"/>
      <w:r/>
      <w:bookmarkStart w:id="81" w:name="_Toc151193761"/>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1011"/>
        <w:tblW w:w="50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1437"/>
        <w:gridCol w:w="6141"/>
      </w:tblGrid>
      <w:tr>
        <w:trPr>
          <w:jc w:val="center"/>
          <w:trHeight w:val="454"/>
          <w:tblHeader/>
        </w:trPr>
        <w:tc>
          <w:tcPr>
            <w:tcW w:w="622"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830"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3546"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2.2</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rPr>
                <w:rFonts w:hint="eastAsia" w:ascii="宋体" w:hAnsi="宋体" w:cs="宋体"/>
                <w:color w:val="auto"/>
                <w:sz w:val="24"/>
                <w:highlight w:val="none"/>
                <w:u w:val="singl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货物</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2.3</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科研仪器</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是</w:t>
            </w:r>
            <w:r/>
          </w:p>
          <w:p>
            <w:pPr>
              <w:rPr>
                <w:rFonts w:hint="eastAsia"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2.4</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3546" w:type="pct"/>
            <w:vAlign w:val="center"/>
            <w:textDirection w:val="lrTb"/>
            <w:noWrap w:val="false"/>
          </w:tcPr>
          <w:p>
            <w:pPr>
              <w:pStyle w:val="1022"/>
              <w:jc w:val="both"/>
              <w:keepLines w:val="0"/>
              <w:keepNext w:val="0"/>
              <w:pageBreakBefore w:val="0"/>
              <w:shd w:val="clear" w:color="auto" w:fill="auto"/>
              <w:widowControl w:val="off"/>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关于核心产品本项目不适用。</w:t>
            </w:r>
            <w:r/>
          </w:p>
          <w:p>
            <w:pPr>
              <w:pStyle w:val="1022"/>
              <w:jc w:val="both"/>
              <w:keepLines w:val="0"/>
              <w:keepNext w:val="0"/>
              <w:pageBreakBefore w:val="0"/>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■本项目为单一产品采购项目。</w:t>
            </w:r>
            <w:r/>
          </w:p>
          <w:p>
            <w:pPr>
              <w:rPr>
                <w:rFonts w:hint="default" w:ascii="宋体" w:hAnsi="宋体" w:cs="宋体"/>
                <w:color w:val="auto"/>
                <w:sz w:val="24"/>
                <w:highlight w:val="none"/>
                <w:u w:val="single"/>
                <w:lang w:val="en-US"/>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本项目__包为非单一产品采购项目，核心产品为：/</w:t>
            </w:r>
            <w:r/>
          </w:p>
        </w:tc>
      </w:tr>
      <w:tr>
        <w:trPr>
          <w:jc w:val="center"/>
          <w:trHeight w:val="454"/>
        </w:trPr>
        <w:tc>
          <w:tcPr>
            <w:tcW w:w="622" w:type="pct"/>
            <w:vAlign w:val="center"/>
            <w:vMerge w:val="restart"/>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3.1</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3546" w:type="pct"/>
            <w:vAlign w:val="center"/>
            <w:textDirection w:val="lrTb"/>
            <w:noWrap w:val="false"/>
          </w:tcPr>
          <w:p>
            <w:pPr>
              <w:jc w:val="both"/>
              <w:keepLines w:val="0"/>
              <w:keepNext w:val="0"/>
              <w:pageBreakBefore w:val="0"/>
              <w:shd w:val="clear" w:color="auto" w:fill="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不组织</w:t>
            </w:r>
            <w:r/>
          </w:p>
          <w:p>
            <w:pPr>
              <w:jc w:val="both"/>
              <w:keepLines w:val="0"/>
              <w:keepNext w:val="0"/>
              <w:pageBreakBefore w:val="0"/>
              <w:shd w:val="clear" w:color="auto" w:fill="auto"/>
              <w:widowControl w:val="off"/>
              <w:rPr>
                <w:rFonts w:hint="eastAsia" w:ascii="宋体" w:hAnsi="宋体" w:cs="宋体"/>
                <w:bCs/>
                <w:color w:val="auto"/>
                <w:sz w:val="24"/>
                <w:highlight w:val="none"/>
              </w:rPr>
            </w:pPr>
            <w:r>
              <w:rPr>
                <w:rFonts w:hint="eastAsia" w:ascii="宋体" w:hAnsi="宋体" w:cs="宋体"/>
                <w:color w:val="auto"/>
                <w:sz w:val="24"/>
                <w:highlight w:val="none"/>
              </w:rPr>
              <w:t xml:space="preserve">□组织，考察时间：__年_月_日_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ind w:firstLine="480"/>
              <w:rPr>
                <w:rFonts w:hAnsi="宋体" w:cs="宋体"/>
                <w:color w:val="auto"/>
                <w:sz w:val="24"/>
                <w:highlight w:val="none"/>
              </w:rPr>
            </w:pPr>
            <w:r>
              <w:rPr>
                <w:rFonts w:hAnsi="宋体" w:cs="宋体"/>
                <w:color w:val="auto"/>
                <w:sz w:val="24"/>
                <w:szCs w:val="24"/>
                <w:highlight w:val="none"/>
              </w:rPr>
              <w:t xml:space="preserve">考察地点：_____</w:t>
            </w:r>
            <w:r>
              <w:rPr>
                <w:rFonts w:hint="eastAsia" w:hAnsi="宋体" w:cs="宋体"/>
                <w:color w:val="auto"/>
                <w:sz w:val="24"/>
                <w:szCs w:val="24"/>
                <w:highlight w:val="none"/>
                <w:lang w:val="en-US" w:eastAsia="zh-CN"/>
              </w:rPr>
              <w:t xml:space="preserve">/</w:t>
            </w:r>
            <w:r>
              <w:rPr>
                <w:rFonts w:hAnsi="宋体" w:cs="宋体"/>
                <w:color w:val="auto"/>
                <w:sz w:val="24"/>
                <w:szCs w:val="24"/>
                <w:highlight w:val="none"/>
              </w:rPr>
              <w:t xml:space="preserve">_______。</w:t>
            </w:r>
            <w:r/>
          </w:p>
        </w:tc>
      </w:tr>
      <w:tr>
        <w:trPr>
          <w:jc w:val="center"/>
          <w:trHeight w:val="454"/>
        </w:trPr>
        <w:tc>
          <w:tcPr>
            <w:tcW w:w="622" w:type="pct"/>
            <w:vAlign w:val="center"/>
            <w:vMerge w:val="continue"/>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不召开</w:t>
            </w:r>
            <w:r/>
          </w:p>
          <w:p>
            <w:pPr>
              <w:rPr>
                <w:rFonts w:hint="eastAsia" w:ascii="宋体" w:hAnsi="宋体" w:cs="宋体"/>
                <w:color w:val="auto"/>
                <w:sz w:val="24"/>
                <w:highlight w:val="none"/>
              </w:rPr>
            </w:pPr>
            <w:r>
              <w:rPr>
                <w:rFonts w:hint="eastAsia" w:ascii="宋体" w:hAnsi="宋体" w:cs="宋体"/>
                <w:color w:val="auto"/>
                <w:sz w:val="24"/>
                <w:highlight w:val="none"/>
              </w:rPr>
              <w:t xml:space="preserve">□召开，召开时间：__年_月_日_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召开地点：____________。</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4.1</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投标样品递交：</w:t>
            </w:r>
            <w:r/>
          </w:p>
          <w:p>
            <w:pPr>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不需要</w:t>
            </w:r>
            <w:r/>
          </w:p>
          <w:p>
            <w:pPr>
              <w:rPr>
                <w:rFonts w:hint="eastAsia" w:ascii="宋体" w:hAnsi="宋体" w:cs="宋体"/>
                <w:color w:val="auto"/>
                <w:sz w:val="24"/>
                <w:highlight w:val="none"/>
              </w:rPr>
            </w:pPr>
            <w:r>
              <w:rPr>
                <w:rFonts w:hint="eastAsia" w:ascii="宋体" w:hAnsi="宋体" w:cs="宋体"/>
                <w:color w:val="auto"/>
                <w:sz w:val="24"/>
                <w:highlight w:val="none"/>
              </w:rPr>
              <w:t xml:space="preserve">□需要，具体要求如下：</w:t>
            </w:r>
            <w:r/>
          </w:p>
          <w:p>
            <w:pPr>
              <w:rPr>
                <w:rFonts w:hint="eastAsia" w:ascii="宋体" w:hAnsi="宋体" w:cs="宋体"/>
                <w:color w:val="auto"/>
                <w:sz w:val="24"/>
                <w:highlight w:val="none"/>
                <w:u w:val="single"/>
              </w:rPr>
            </w:pPr>
            <w:r>
              <w:rPr>
                <w:rFonts w:hint="eastAsia" w:ascii="宋体" w:hAnsi="宋体" w:cs="宋体"/>
                <w:color w:val="auto"/>
                <w:sz w:val="24"/>
                <w:highlight w:val="none"/>
              </w:rPr>
              <w:t xml:space="preserve">（1）样品制作的标准和要求：_________；</w:t>
            </w:r>
            <w:r/>
          </w:p>
          <w:p>
            <w:pPr>
              <w:rPr>
                <w:rFonts w:hint="eastAsia" w:ascii="宋体" w:hAnsi="宋体" w:cs="宋体"/>
                <w:color w:val="auto"/>
                <w:sz w:val="24"/>
                <w:highlight w:val="none"/>
              </w:rPr>
            </w:pPr>
            <w:r>
              <w:rPr>
                <w:rFonts w:hint="eastAsia" w:ascii="宋体" w:hAnsi="宋体" w:cs="宋体"/>
                <w:color w:val="auto"/>
                <w:sz w:val="24"/>
                <w:highlight w:val="none"/>
              </w:rPr>
              <w:t xml:space="preserve">（2）是否需要随样品提交相关检测报告：</w:t>
            </w:r>
            <w:r/>
          </w:p>
          <w:p>
            <w:pPr>
              <w:ind w:firstLine="600"/>
              <w:rPr>
                <w:rFonts w:hint="eastAsia" w:ascii="宋体" w:hAnsi="宋体" w:cs="宋体"/>
                <w:color w:val="auto"/>
                <w:sz w:val="24"/>
                <w:highlight w:val="none"/>
              </w:rPr>
            </w:pPr>
            <w:r>
              <w:rPr>
                <w:rFonts w:hint="eastAsia" w:ascii="宋体" w:hAnsi="宋体" w:cs="宋体"/>
                <w:color w:val="auto"/>
                <w:sz w:val="24"/>
                <w:highlight w:val="none"/>
              </w:rPr>
              <w:t xml:space="preserve">□不需要</w:t>
            </w:r>
            <w:r/>
          </w:p>
          <w:p>
            <w:pPr>
              <w:ind w:firstLine="600"/>
              <w:rPr>
                <w:rFonts w:hint="eastAsia" w:ascii="宋体" w:hAnsi="宋体" w:cs="宋体"/>
                <w:color w:val="auto"/>
                <w:sz w:val="24"/>
                <w:highlight w:val="none"/>
              </w:rPr>
            </w:pPr>
            <w:r>
              <w:rPr>
                <w:rFonts w:hint="eastAsia" w:ascii="宋体" w:hAnsi="宋体" w:cs="宋体"/>
                <w:color w:val="auto"/>
                <w:sz w:val="24"/>
                <w:highlight w:val="none"/>
              </w:rPr>
              <w:t xml:space="preserve">□需要</w:t>
            </w:r>
            <w:r/>
          </w:p>
          <w:p>
            <w:pPr>
              <w:rPr>
                <w:rFonts w:hint="eastAsia" w:ascii="宋体" w:hAnsi="宋体" w:cs="宋体"/>
                <w:color w:val="auto"/>
                <w:sz w:val="24"/>
                <w:highlight w:val="none"/>
              </w:rPr>
            </w:pPr>
            <w:r>
              <w:rPr>
                <w:rFonts w:hint="eastAsia" w:ascii="宋体" w:hAnsi="宋体" w:cs="宋体"/>
                <w:color w:val="auto"/>
                <w:sz w:val="24"/>
                <w:highlight w:val="none"/>
              </w:rPr>
              <w:t xml:space="preserve">（3）样品递交要求：_________；</w:t>
            </w:r>
            <w:r/>
          </w:p>
          <w:p>
            <w:pPr>
              <w:rPr>
                <w:rFonts w:hint="eastAsia" w:ascii="宋体" w:hAnsi="宋体" w:cs="宋体"/>
                <w:color w:val="auto"/>
                <w:sz w:val="24"/>
                <w:highlight w:val="none"/>
              </w:rPr>
            </w:pPr>
            <w:r>
              <w:rPr>
                <w:rFonts w:hint="eastAsia" w:ascii="宋体" w:hAnsi="宋体" w:cs="宋体"/>
                <w:color w:val="auto"/>
                <w:sz w:val="24"/>
                <w:highlight w:val="none"/>
              </w:rPr>
              <w:t xml:space="preserve">（4）未中标人样品退还：_________；</w:t>
            </w:r>
            <w:r/>
          </w:p>
          <w:p>
            <w:pPr>
              <w:rPr>
                <w:rFonts w:hint="eastAsia" w:ascii="宋体" w:hAnsi="宋体" w:cs="宋体"/>
                <w:color w:val="auto"/>
                <w:sz w:val="24"/>
                <w:highlight w:val="none"/>
                <w:u w:val="single"/>
              </w:rPr>
            </w:pPr>
            <w:r>
              <w:rPr>
                <w:rFonts w:hint="eastAsia" w:ascii="宋体" w:hAnsi="宋体" w:cs="宋体"/>
                <w:color w:val="auto"/>
                <w:sz w:val="24"/>
                <w:highlight w:val="none"/>
              </w:rPr>
              <w:t xml:space="preserve">（5）中标人样品保管、封存及退还：_________；</w:t>
            </w:r>
            <w:r/>
          </w:p>
          <w:p>
            <w:pPr>
              <w:rPr>
                <w:rFonts w:hint="eastAsia" w:ascii="宋体" w:hAnsi="宋体" w:cs="宋体"/>
                <w:color w:val="auto"/>
                <w:sz w:val="24"/>
                <w:highlight w:val="none"/>
              </w:rPr>
            </w:pPr>
            <w:r>
              <w:rPr>
                <w:rFonts w:hint="eastAsia" w:ascii="宋体" w:hAnsi="宋体" w:cs="宋体"/>
                <w:color w:val="auto"/>
                <w:sz w:val="24"/>
                <w:highlight w:val="none"/>
              </w:rPr>
              <w:t xml:space="preserve">（6）其他要求（如有）：_________。</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5.2.5</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w:t>
            </w:r>
            <w:bookmarkStart w:id="82" w:name="OLE_LINK88"/>
            <w:r/>
            <w:bookmarkStart w:id="83" w:name="OLE_LINK87"/>
            <w:r>
              <w:rPr>
                <w:rFonts w:hint="eastAsia" w:ascii="宋体" w:hAnsi="宋体" w:cs="宋体"/>
                <w:color w:val="auto"/>
                <w:sz w:val="24"/>
                <w:highlight w:val="none"/>
              </w:rPr>
              <w:t xml:space="preserve">准所属行业：</w:t>
            </w:r>
            <w:bookmarkStart w:id="84" w:name="OLE_LINK461"/>
            <w:r/>
            <w:bookmarkStart w:id="85" w:name="OLE_LINK462"/>
            <w:r>
              <w:rPr>
                <w:rFonts w:hint="eastAsia" w:ascii="宋体" w:hAnsi="宋体" w:cs="宋体"/>
                <w:b/>
                <w:bCs/>
                <w:color w:val="auto"/>
                <w:sz w:val="24"/>
                <w:highlight w:val="none"/>
                <w:u w:val="single"/>
              </w:rPr>
              <w:t xml:space="preserve">工业</w:t>
            </w:r>
            <w:r>
              <w:rPr>
                <w:rFonts w:hint="eastAsia" w:ascii="宋体" w:hAnsi="宋体" w:cs="宋体"/>
                <w:color w:val="auto"/>
                <w:sz w:val="24"/>
                <w:highlight w:val="none"/>
                <w:u w:val="single"/>
              </w:rPr>
              <w:t xml:space="preserve">（从业人员1000人以下或营业收入40000万元以下的为中小微型企业。其中，从业人员300人及以</w:t>
            </w:r>
            <w:bookmarkEnd w:id="82"/>
            <w:r/>
            <w:bookmarkEnd w:id="83"/>
            <w:r>
              <w:rPr>
                <w:rFonts w:hint="eastAsia" w:ascii="宋体" w:hAnsi="宋体" w:cs="宋体"/>
                <w:color w:val="auto"/>
                <w:sz w:val="24"/>
                <w:highlight w:val="none"/>
                <w:u w:val="single"/>
              </w:rPr>
              <w:t xml:space="preserve">上，且营业收入2000万元及以上的为中型企业；从业人员20人及以上，且营业收入300万元及以上的为小型企业；</w:t>
            </w:r>
            <w:bookmarkStart w:id="86" w:name="OLE_LINK89"/>
            <w:r>
              <w:rPr>
                <w:rFonts w:hint="eastAsia" w:ascii="宋体" w:hAnsi="宋体" w:cs="宋体"/>
                <w:color w:val="auto"/>
                <w:sz w:val="24"/>
                <w:highlight w:val="none"/>
                <w:u w:val="single"/>
              </w:rPr>
              <w:t xml:space="preserve">从业人员20人以下或营业收入300万元以下的为微型企业。）</w:t>
            </w:r>
            <w:bookmarkEnd w:id="84"/>
            <w:r/>
            <w:bookmarkEnd w:id="85"/>
            <w:r/>
            <w:bookmarkEnd w:id="86"/>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11.2</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投标报价的特殊规定：</w:t>
            </w:r>
            <w:r/>
          </w:p>
          <w:p>
            <w:pPr>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无</w:t>
            </w:r>
            <w:r/>
          </w:p>
          <w:p>
            <w:pPr>
              <w:rPr>
                <w:rFonts w:hint="eastAsia"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12</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投标保证金</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13.1</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25.5</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不允许</w:t>
            </w:r>
            <w:r/>
          </w:p>
          <w:p>
            <w:pPr>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（1）可以分包履行的具体内容：_____；</w:t>
            </w:r>
            <w:r/>
          </w:p>
          <w:p>
            <w:pPr>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（2）允许分包的金额或者比例：_____；</w:t>
            </w:r>
            <w:r/>
          </w:p>
          <w:p>
            <w:pPr>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（3）其他要求：_____。</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26.1.1</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询问送达形式：书面形式并加盖公章</w:t>
            </w:r>
            <w:r/>
          </w:p>
        </w:tc>
      </w:tr>
      <w:tr>
        <w:trPr>
          <w:jc w:val="center"/>
          <w:trHeight w:val="454"/>
        </w:trPr>
        <w:tc>
          <w:tcPr>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26.3</w:t>
            </w:r>
            <w:r/>
          </w:p>
        </w:tc>
        <w:tc>
          <w:tcPr>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rPr>
                <w:rFonts w:hint="eastAsia" w:ascii="宋体" w:hAnsi="宋体" w:cs="宋体"/>
                <w:color w:val="auto"/>
                <w:sz w:val="24"/>
                <w:highlight w:val="none"/>
              </w:rPr>
            </w:pPr>
            <w:r>
              <w:rPr>
                <w:rFonts w:hint="eastAsia" w:ascii="宋体" w:hAnsi="宋体" w:cs="宋体"/>
                <w:color w:val="auto"/>
                <w:sz w:val="24"/>
                <w:highlight w:val="none"/>
              </w:rPr>
              <w:t xml:space="preserve">联系部门：常州润邦招标代理有限公司；</w:t>
            </w:r>
            <w:r/>
          </w:p>
          <w:p>
            <w:pPr>
              <w:rPr>
                <w:rFonts w:hint="eastAsia" w:ascii="宋体" w:hAnsi="宋体" w:cs="宋体"/>
                <w:color w:val="auto"/>
                <w:sz w:val="24"/>
                <w:highlight w:val="none"/>
              </w:rPr>
            </w:pPr>
            <w:r>
              <w:rPr>
                <w:rFonts w:hint="eastAsia" w:ascii="宋体" w:hAnsi="宋体" w:cs="宋体"/>
                <w:color w:val="auto"/>
                <w:sz w:val="24"/>
                <w:highlight w:val="none"/>
              </w:rPr>
              <w:t xml:space="preserve">联系电话：0519-81882993；</w:t>
            </w:r>
            <w:r/>
          </w:p>
          <w:p>
            <w:pPr>
              <w:rPr>
                <w:rFonts w:hint="eastAsia" w:ascii="宋体" w:hAnsi="宋体" w:cs="宋体"/>
                <w:color w:val="auto"/>
                <w:sz w:val="24"/>
                <w:highlight w:val="none"/>
              </w:rPr>
            </w:pPr>
            <w:r>
              <w:rPr>
                <w:rFonts w:hint="eastAsia" w:ascii="宋体" w:hAnsi="宋体" w:cs="宋体"/>
                <w:color w:val="auto"/>
                <w:sz w:val="24"/>
                <w:highlight w:val="none"/>
              </w:rPr>
              <w:t xml:space="preserve">地址：常州市飞龙东路108号-304室（翠园世家商业街三楼）</w:t>
            </w:r>
            <w:r/>
          </w:p>
        </w:tc>
      </w:tr>
      <w:tr>
        <w:trPr>
          <w:jc w:val="center"/>
          <w:trHeight w:val="454"/>
        </w:trPr>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收费对象：</w:t>
            </w:r>
            <w:r/>
          </w:p>
          <w:p>
            <w:pPr>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w:t>
            </w:r>
            <w:r/>
          </w:p>
          <w:p>
            <w:pPr>
              <w:rPr>
                <w:rFonts w:hint="eastAsia" w:ascii="宋体" w:hAnsi="宋体" w:cs="宋体"/>
                <w:color w:val="auto"/>
                <w:sz w:val="24"/>
                <w:highlight w:val="none"/>
              </w:rPr>
            </w:pPr>
            <w:r>
              <w:rPr>
                <w:rFonts w:hint="eastAsia" w:ascii="宋体" w:hAnsi="宋体" w:cs="宋体"/>
                <w:color w:val="auto"/>
                <w:sz w:val="24"/>
                <w:highlight w:val="none"/>
              </w:rPr>
              <w:t xml:space="preserve">收费标准：以中标金额为基数，收费比例按差额定率累进法计算。服务费取费基数和费率按下表收费标准*</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0%计算，按下述计算方法不足人民币3000元的，按人民币3000元收取。</w:t>
            </w:r>
            <w:r/>
          </w:p>
          <w:tbl>
            <w:tblPr>
              <w:tblStyle w:val="10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2470"/>
              <w:gridCol w:w="2490"/>
            </w:tblGrid>
            <w:tr>
              <w:trPr>
                <w:jc w:val="center"/>
                <w:trHeight w:val="137"/>
              </w:trPr>
              <w:tc>
                <w:tcPr>
                  <w:tcW w:w="806"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2088"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中标金额（万元）</w:t>
                  </w:r>
                  <w:r/>
                </w:p>
              </w:tc>
              <w:tc>
                <w:tcPr>
                  <w:tcW w:w="210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货物类（费率）</w:t>
                  </w:r>
                  <w:r/>
                </w:p>
              </w:tc>
            </w:tr>
            <w:tr>
              <w:trPr>
                <w:jc w:val="center"/>
                <w:trHeight w:val="255"/>
              </w:trPr>
              <w:tc>
                <w:tcPr>
                  <w:tcW w:w="806" w:type="pct"/>
                  <w:vAlign w:val="top"/>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W w:w="2088"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100以下</w:t>
                  </w:r>
                  <w:r/>
                </w:p>
              </w:tc>
              <w:tc>
                <w:tcPr>
                  <w:tcW w:w="210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1.5%</w:t>
                  </w:r>
                  <w:r/>
                </w:p>
              </w:tc>
            </w:tr>
            <w:tr>
              <w:trPr>
                <w:jc w:val="center"/>
                <w:trHeight w:val="135"/>
              </w:trPr>
              <w:tc>
                <w:tcPr>
                  <w:tcW w:w="806" w:type="pct"/>
                  <w:vAlign w:val="top"/>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W w:w="2088"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100--500</w:t>
                  </w:r>
                  <w:r/>
                </w:p>
              </w:tc>
              <w:tc>
                <w:tcPr>
                  <w:tcW w:w="210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p>
              </w:tc>
            </w:tr>
            <w:tr>
              <w:trPr>
                <w:jc w:val="center"/>
                <w:trHeight w:val="240"/>
              </w:trPr>
              <w:tc>
                <w:tcPr>
                  <w:tcW w:w="806" w:type="pct"/>
                  <w:vAlign w:val="top"/>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W w:w="2088"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500--1000</w:t>
                  </w:r>
                  <w:r/>
                </w:p>
              </w:tc>
              <w:tc>
                <w:tcPr>
                  <w:tcW w:w="210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0.8%</w:t>
                  </w:r>
                  <w:r/>
                </w:p>
              </w:tc>
            </w:tr>
            <w:tr>
              <w:trPr>
                <w:jc w:val="center"/>
                <w:trHeight w:val="240"/>
              </w:trPr>
              <w:tc>
                <w:tcPr>
                  <w:tcW w:w="806" w:type="pct"/>
                  <w:vAlign w:val="top"/>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W w:w="2088" w:type="pct"/>
                  <w:vAlign w:val="center"/>
                  <w:textDirection w:val="lrTb"/>
                  <w:noWrap w:val="false"/>
                </w:tcPr>
                <w:p>
                  <w:pPr>
                    <w:jc w:val="center"/>
                    <w:rPr>
                      <w:rFonts w:hint="eastAsia" w:ascii="宋体" w:hAnsi="宋体" w:cs="宋体"/>
                      <w:bCs/>
                      <w:color w:val="auto"/>
                      <w:sz w:val="24"/>
                      <w:highlight w:val="none"/>
                    </w:rPr>
                  </w:pPr>
                  <w:r/>
                  <w:bookmarkStart w:id="87" w:name="OLE_LINK90"/>
                  <w:r/>
                  <w:bookmarkStart w:id="88" w:name="OLE_LINK91"/>
                  <w:r>
                    <w:rPr>
                      <w:rFonts w:hint="eastAsia" w:ascii="宋体" w:hAnsi="宋体" w:cs="宋体"/>
                      <w:bCs/>
                      <w:color w:val="auto"/>
                      <w:sz w:val="24"/>
                      <w:highlight w:val="none"/>
                    </w:rPr>
                    <w:t xml:space="preserve">1000-5000</w:t>
                  </w:r>
                  <w:bookmarkEnd w:id="87"/>
                  <w:r/>
                  <w:bookmarkEnd w:id="88"/>
                  <w:r/>
                  <w:r/>
                </w:p>
              </w:tc>
              <w:tc>
                <w:tcPr>
                  <w:tcW w:w="2105" w:type="pct"/>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0.5%</w:t>
                  </w:r>
                  <w:r/>
                </w:p>
              </w:tc>
            </w:tr>
          </w:tbl>
          <w:p>
            <w:pPr>
              <w:rPr>
                <w:rFonts w:hint="eastAsia" w:ascii="宋体" w:hAnsi="宋体" w:cs="宋体"/>
                <w:color w:val="auto"/>
                <w:sz w:val="24"/>
                <w:highlight w:val="none"/>
              </w:rPr>
            </w:pPr>
            <w:r>
              <w:rPr>
                <w:rFonts w:hint="eastAsia" w:ascii="宋体" w:hAnsi="宋体" w:cs="宋体"/>
                <w:color w:val="auto"/>
                <w:sz w:val="24"/>
                <w:highlight w:val="none"/>
              </w:rPr>
              <w:t xml:space="preserve">缴纳时间：中标人领取中标通知书前须向采购代理机构足额缴纳采购代理服务费。</w:t>
            </w:r>
            <w:r/>
          </w:p>
          <w:p>
            <w:pPr>
              <w:rPr>
                <w:rFonts w:hint="eastAsia" w:ascii="宋体" w:hAnsi="宋体" w:cs="宋体"/>
                <w:color w:val="auto"/>
                <w:sz w:val="24"/>
                <w:highlight w:val="none"/>
              </w:rPr>
            </w:pPr>
            <w:r>
              <w:rPr>
                <w:rFonts w:hint="eastAsia" w:ascii="宋体" w:hAnsi="宋体" w:cs="宋体"/>
                <w:color w:val="auto"/>
                <w:sz w:val="24"/>
                <w:highlight w:val="none"/>
              </w:rPr>
              <w:t xml:space="preserve">费用缴纳账户信息如下（汇款请备注项目名称或编号）</w:t>
            </w:r>
            <w:r/>
          </w:p>
          <w:p>
            <w:pPr>
              <w:rPr>
                <w:rFonts w:hint="eastAsia" w:ascii="宋体" w:hAnsi="宋体" w:cs="宋体"/>
                <w:color w:val="auto"/>
                <w:sz w:val="24"/>
                <w:highlight w:val="none"/>
              </w:rPr>
            </w:pPr>
            <w:r>
              <w:rPr>
                <w:rFonts w:hint="eastAsia" w:ascii="宋体" w:hAnsi="宋体" w:cs="宋体"/>
                <w:color w:val="auto"/>
                <w:sz w:val="24"/>
                <w:highlight w:val="none"/>
              </w:rPr>
              <w:t xml:space="preserve">户名：常州润邦招标代理有限公司</w:t>
            </w:r>
            <w:r/>
          </w:p>
          <w:p>
            <w:pPr>
              <w:rPr>
                <w:rFonts w:hint="eastAsia" w:ascii="宋体" w:hAnsi="宋体" w:cs="宋体"/>
                <w:color w:val="auto"/>
                <w:sz w:val="24"/>
                <w:highlight w:val="none"/>
              </w:rPr>
            </w:pPr>
            <w:r>
              <w:rPr>
                <w:rFonts w:hint="eastAsia" w:ascii="宋体" w:hAnsi="宋体" w:cs="宋体"/>
                <w:color w:val="auto"/>
                <w:sz w:val="24"/>
                <w:highlight w:val="none"/>
              </w:rPr>
              <w:t xml:space="preserve">开户行：招商银行经开区支行 </w:t>
            </w:r>
            <w:r/>
          </w:p>
          <w:p>
            <w:pPr>
              <w:rPr>
                <w:rFonts w:hint="eastAsia" w:ascii="宋体" w:hAnsi="宋体" w:cs="宋体"/>
                <w:color w:val="auto"/>
                <w:sz w:val="24"/>
                <w:highlight w:val="none"/>
              </w:rPr>
            </w:pPr>
            <w:r>
              <w:rPr>
                <w:rFonts w:hint="eastAsia" w:ascii="宋体" w:hAnsi="宋体" w:cs="宋体"/>
                <w:color w:val="auto"/>
                <w:sz w:val="24"/>
                <w:highlight w:val="none"/>
              </w:rPr>
              <w:t xml:space="preserve">账号：519904296910000 </w:t>
            </w:r>
            <w:r/>
          </w:p>
        </w:tc>
      </w:tr>
      <w:tr>
        <w:trPr>
          <w:jc w:val="center"/>
          <w:trHeight w:val="454"/>
        </w:trPr>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pStyle w:val="1022"/>
              <w:jc w:val="center"/>
              <w:rPr>
                <w:rFonts w:hAnsi="宋体" w:cs="宋体"/>
                <w:color w:val="auto"/>
                <w:sz w:val="24"/>
                <w:szCs w:val="24"/>
                <w:highlight w:val="none"/>
              </w:rPr>
            </w:pPr>
            <w:r>
              <w:rPr>
                <w:rFonts w:hAnsi="宋体" w:cs="宋体"/>
                <w:color w:val="auto"/>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W w:w="83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纸质中标（成交）文件</w:t>
            </w:r>
            <w:r/>
          </w:p>
        </w:tc>
        <w:tc>
          <w:tcPr>
            <w:tcBorders>
              <w:top w:val="single" w:color="auto" w:sz="4" w:space="0"/>
              <w:left w:val="single" w:color="auto" w:sz="4" w:space="0"/>
              <w:bottom w:val="single" w:color="auto" w:sz="4" w:space="0"/>
              <w:right w:val="single" w:color="auto" w:sz="4" w:space="0"/>
            </w:tcBorders>
            <w:tcW w:w="354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中标（成交）单位在签订合同前需递交与电子投标文件内容一致的纸质投标文件2份（需打印清晰，标注目录及页码），作为项目归档使用。（递交方式可采用邮寄或现场送达，采购人1份，招标代理公司1份，联系方式见《第一章 投标邀请》）</w:t>
            </w:r>
            <w:r/>
          </w:p>
        </w:tc>
      </w:tr>
    </w:tbl>
    <w:p>
      <w:pPr>
        <w:jc w:val="both"/>
        <w:spacing w:line="360" w:lineRule="auto"/>
        <w:tabs>
          <w:tab w:val="left" w:pos="5580" w:leader="none"/>
        </w:tabs>
        <w:rPr>
          <w:color w:val="auto"/>
          <w:sz w:val="24"/>
          <w:highlight w:val="none"/>
        </w:rPr>
        <w:sectPr>
          <w:headerReference w:type="first" r:id="rId12"/>
          <w:footerReference w:type="default" r:id="rId16"/>
          <w:footerReference w:type="first" r:id="rId17"/>
          <w:footnotePr/>
          <w:endnotePr/>
          <w:type w:val="nextColumn"/>
          <w:pgSz w:w="11907" w:h="16840" w:orient="portrait"/>
          <w:pgMar w:top="1440" w:right="1803" w:bottom="1440" w:left="1803" w:header="851" w:footer="850" w:gutter="0"/>
          <w:pgNumType w:start="1"/>
          <w:cols w:num="1" w:sep="0" w:space="720" w:equalWidth="1"/>
          <w:docGrid w:linePitch="360"/>
          <w:titlePg/>
        </w:sectPr>
      </w:pPr>
      <w:r>
        <w:rPr>
          <w:color w:val="auto"/>
          <w:sz w:val="24"/>
          <w:highlight w:val="none"/>
        </w:rPr>
      </w:r>
      <w:r/>
    </w:p>
    <w:p>
      <w:pPr>
        <w:jc w:val="center"/>
        <w:spacing w:before="240" w:after="240"/>
        <w:rPr>
          <w:b/>
          <w:color w:val="auto"/>
          <w:sz w:val="28"/>
          <w:szCs w:val="28"/>
          <w:highlight w:val="none"/>
        </w:rPr>
      </w:pPr>
      <w:r/>
      <w:bookmarkStart w:id="89" w:name="_Toc142311019"/>
      <w:r/>
      <w:bookmarkStart w:id="90" w:name="_Toc305158859"/>
      <w:r/>
      <w:bookmarkStart w:id="91" w:name="_Toc195842882"/>
      <w:r/>
      <w:bookmarkStart w:id="92" w:name="_Toc226337213"/>
      <w:r/>
      <w:bookmarkStart w:id="93" w:name="_Toc353873662"/>
      <w:r/>
      <w:bookmarkStart w:id="94" w:name="_Toc265228355"/>
      <w:r/>
      <w:bookmarkStart w:id="95" w:name="_Toc150480755"/>
      <w:r/>
      <w:bookmarkStart w:id="96" w:name="_Toc305158785"/>
      <w:r/>
      <w:bookmarkStart w:id="97" w:name="_Toc150774722"/>
      <w:r/>
      <w:bookmarkStart w:id="98" w:name="_Toc264969207"/>
      <w:r/>
      <w:bookmarkStart w:id="99" w:name="_Toc353873932"/>
      <w:r/>
      <w:bookmarkStart w:id="100" w:name="_Toc226965790"/>
      <w:r/>
      <w:bookmarkStart w:id="101" w:name="_Toc353825542"/>
      <w:r/>
      <w:bookmarkStart w:id="102" w:name="_Toc127151517"/>
      <w:r>
        <w:rPr>
          <w:b/>
          <w:color w:val="auto"/>
          <w:sz w:val="28"/>
          <w:szCs w:val="28"/>
          <w:highlight w:val="none"/>
        </w:rPr>
        <w:t xml:space="preserve">投标人须知</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pStyle w:val="1002"/>
        <w:spacing w:before="0" w:line="360" w:lineRule="auto"/>
        <w:tabs>
          <w:tab w:val="center" w:pos="4592" w:leader="none"/>
          <w:tab w:val="left" w:pos="7860" w:leader="none"/>
        </w:tabs>
        <w:rPr>
          <w:rFonts w:ascii="Times New Roman" w:hAnsi="Times New Roman" w:eastAsia="宋体"/>
          <w:color w:val="auto"/>
          <w:sz w:val="28"/>
          <w:highlight w:val="none"/>
        </w:rPr>
      </w:pPr>
      <w:r/>
      <w:bookmarkStart w:id="103" w:name="_Toc151193906"/>
      <w:r/>
      <w:bookmarkStart w:id="104" w:name="_Toc226965791"/>
      <w:r/>
      <w:bookmarkStart w:id="105" w:name="_Toc151193616"/>
      <w:r/>
      <w:bookmarkStart w:id="106" w:name="_Toc150774618"/>
      <w:r/>
      <w:bookmarkStart w:id="107" w:name="_Toc305158786"/>
      <w:r/>
      <w:bookmarkStart w:id="108" w:name="_Toc151193688"/>
      <w:r/>
      <w:bookmarkStart w:id="109" w:name="_Toc226965708"/>
      <w:r/>
      <w:bookmarkStart w:id="110" w:name="_Toc520356143"/>
      <w:r/>
      <w:bookmarkStart w:id="111" w:name="_Toc150509269"/>
      <w:r/>
      <w:bookmarkStart w:id="112" w:name="_Toc142311020"/>
      <w:r/>
      <w:bookmarkStart w:id="113" w:name="_Toc150480756"/>
      <w:r/>
      <w:bookmarkStart w:id="114" w:name="_Toc151190145"/>
      <w:r/>
      <w:bookmarkStart w:id="115" w:name="_Toc226337214"/>
      <w:r/>
      <w:bookmarkStart w:id="116" w:name="_Toc150774723"/>
      <w:r/>
      <w:bookmarkStart w:id="117" w:name="_Toc264969208"/>
      <w:r/>
      <w:bookmarkStart w:id="118" w:name="_Toc226309762"/>
      <w:r/>
      <w:bookmarkStart w:id="119" w:name="_Toc265228356"/>
      <w:r/>
      <w:bookmarkStart w:id="120" w:name="_Toc151193760"/>
      <w:r/>
      <w:bookmarkStart w:id="121" w:name="_Toc305158860"/>
      <w:r/>
      <w:bookmarkStart w:id="122" w:name="_Toc127151518"/>
      <w:r/>
      <w:bookmarkStart w:id="123" w:name="_Toc195842883"/>
      <w:r/>
      <w:bookmarkStart w:id="124" w:name="_Toc151193832"/>
      <w:r>
        <w:rPr>
          <w:rFonts w:ascii="Times New Roman" w:hAnsi="Times New Roman" w:eastAsia="宋体"/>
          <w:color w:val="auto"/>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numPr>
          <w:ilvl w:val="0"/>
          <w:numId w:val="1"/>
        </w:numPr>
        <w:ind w:left="0" w:firstLine="482"/>
        <w:spacing w:line="400" w:lineRule="exact"/>
        <w:tabs>
          <w:tab w:val="left" w:pos="360" w:leader="none"/>
        </w:tabs>
        <w:rPr>
          <w:rFonts w:ascii="宋体" w:hAnsi="宋体" w:cs="宋体"/>
          <w:b/>
          <w:bCs/>
          <w:color w:val="auto"/>
          <w:sz w:val="24"/>
          <w:highlight w:val="none"/>
        </w:rPr>
      </w:pPr>
      <w:r/>
      <w:bookmarkStart w:id="125" w:name="_Toc305158787"/>
      <w:r/>
      <w:bookmarkStart w:id="126" w:name="_Toc264969209"/>
      <w:r/>
      <w:bookmarkStart w:id="127" w:name="_Toc265228357"/>
      <w:r/>
      <w:bookmarkStart w:id="128" w:name="_Toc305158861"/>
      <w:r/>
      <w:bookmarkStart w:id="129" w:name="OLE_LINK92"/>
      <w:r/>
      <w:bookmarkStart w:id="130" w:name="OLE_LINK93"/>
      <w:r>
        <w:rPr>
          <w:rFonts w:hint="eastAsia" w:ascii="宋体" w:hAnsi="宋体" w:cs="宋体"/>
          <w:b/>
          <w:bCs/>
          <w:color w:val="auto"/>
          <w:sz w:val="24"/>
          <w:highlight w:val="none"/>
        </w:rPr>
        <w:t xml:space="preserve">采购人、采购代理机构、投标人</w:t>
      </w:r>
      <w:bookmarkEnd w:id="125"/>
      <w:r/>
      <w:bookmarkEnd w:id="126"/>
      <w:r/>
      <w:bookmarkEnd w:id="127"/>
      <w:r/>
      <w:bookmarkEnd w:id="128"/>
      <w:r>
        <w:rPr>
          <w:rFonts w:hint="eastAsia" w:ascii="宋体" w:hAnsi="宋体" w:cs="宋体"/>
          <w:b/>
          <w:bCs/>
          <w:color w:val="auto"/>
          <w:sz w:val="24"/>
          <w:highlight w:val="none"/>
        </w:rPr>
        <w:t xml:space="preserve">、联合体</w:t>
      </w:r>
      <w:r/>
    </w:p>
    <w:p>
      <w:pPr>
        <w:numPr>
          <w:ilvl w:val="1"/>
          <w:numId w:val="1"/>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1"/>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bookmarkEnd w:id="129"/>
      <w:r/>
      <w:bookmarkEnd w:id="130"/>
      <w:r/>
      <w:r/>
    </w:p>
    <w:p>
      <w:pPr>
        <w:numPr>
          <w:ilvl w:val="0"/>
          <w:numId w:val="1"/>
        </w:numPr>
        <w:ind w:left="0" w:firstLine="482"/>
        <w:spacing w:line="400" w:lineRule="exact"/>
        <w:tabs>
          <w:tab w:val="left" w:pos="360" w:leader="none"/>
        </w:tabs>
        <w:rPr>
          <w:rFonts w:ascii="宋体" w:hAnsi="宋体" w:cs="宋体"/>
          <w:b/>
          <w:bCs/>
          <w:color w:val="auto"/>
          <w:sz w:val="24"/>
          <w:highlight w:val="none"/>
        </w:rPr>
      </w:pPr>
      <w:r/>
      <w:bookmarkStart w:id="131" w:name="_Toc164229215"/>
      <w:r/>
      <w:bookmarkStart w:id="132" w:name="_Toc151193618"/>
      <w:r/>
      <w:bookmarkStart w:id="133" w:name="_Toc127151520"/>
      <w:r/>
      <w:bookmarkStart w:id="134" w:name="_Toc164608634"/>
      <w:r/>
      <w:bookmarkStart w:id="135" w:name="_Toc151193834"/>
      <w:r/>
      <w:bookmarkStart w:id="136" w:name="_Toc151193762"/>
      <w:r/>
      <w:bookmarkStart w:id="137" w:name="_Toc226337216"/>
      <w:r/>
      <w:bookmarkStart w:id="138" w:name="_Toc149720813"/>
      <w:r/>
      <w:bookmarkStart w:id="139" w:name="_Toc226309764"/>
      <w:r/>
      <w:bookmarkStart w:id="140" w:name="_Toc264969210"/>
      <w:r/>
      <w:bookmarkStart w:id="141" w:name="_Toc305158862"/>
      <w:r/>
      <w:bookmarkStart w:id="142" w:name="_Toc164351614"/>
      <w:r/>
      <w:bookmarkStart w:id="143" w:name="_Toc150509271"/>
      <w:r/>
      <w:bookmarkStart w:id="144" w:name="_Toc127151721"/>
      <w:r/>
      <w:bookmarkStart w:id="145" w:name="_Toc151193908"/>
      <w:r/>
      <w:bookmarkStart w:id="146" w:name="_Toc265228358"/>
      <w:r/>
      <w:bookmarkStart w:id="147" w:name="_Toc226965793"/>
      <w:r/>
      <w:bookmarkStart w:id="148" w:name="_Toc305158788"/>
      <w:r/>
      <w:bookmarkStart w:id="149" w:name="_Toc142311022"/>
      <w:r/>
      <w:bookmarkStart w:id="150" w:name="_Toc195842885"/>
      <w:r/>
      <w:bookmarkStart w:id="151" w:name="_Toc164229361"/>
      <w:r/>
      <w:bookmarkStart w:id="152" w:name="_Toc151190147"/>
      <w:r/>
      <w:bookmarkStart w:id="153" w:name="_Toc150774620"/>
      <w:r/>
      <w:bookmarkStart w:id="154" w:name="_Toc164608789"/>
      <w:r/>
      <w:bookmarkStart w:id="155" w:name="_Toc150774725"/>
      <w:r/>
      <w:bookmarkStart w:id="156" w:name="_Toc150480758"/>
      <w:r/>
      <w:bookmarkStart w:id="157" w:name="_Toc151193690"/>
      <w:r/>
      <w:bookmarkStart w:id="158" w:name="_Toc127161434"/>
      <w:r/>
      <w:bookmarkStart w:id="159" w:name="_Toc226965710"/>
      <w:r/>
      <w:bookmarkStart w:id="160" w:name="OLE_LINK94"/>
      <w:r>
        <w:rPr>
          <w:rFonts w:hint="eastAsia" w:ascii="宋体" w:hAnsi="宋体" w:cs="宋体"/>
          <w:b/>
          <w:bCs/>
          <w:color w:val="auto"/>
          <w:sz w:val="24"/>
          <w:highlight w:val="none"/>
        </w:rPr>
        <w:t xml:space="preserve">资金来源</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b/>
          <w:bCs/>
          <w:color w:val="auto"/>
          <w:sz w:val="24"/>
          <w:highlight w:val="none"/>
        </w:rPr>
        <w:t xml:space="preserve">、项目属性、科研仪器设备采购、核心产品</w:t>
      </w:r>
      <w:bookmarkEnd w:id="160"/>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1"/>
        </w:numPr>
        <w:ind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1"/>
        </w:numPr>
        <w:ind w:left="0" w:firstLine="482"/>
        <w:spacing w:line="400" w:lineRule="exact"/>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现场考察、开标前答疑会</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61" w:name="_Toc127151522"/>
      <w:r/>
      <w:bookmarkStart w:id="162" w:name="_Toc195842887"/>
      <w:r/>
      <w:bookmarkStart w:id="163" w:name="_Toc520356146"/>
      <w:r/>
      <w:bookmarkStart w:id="164" w:name="_Toc264969212"/>
      <w:r/>
      <w:bookmarkStart w:id="165" w:name="_Toc142311024"/>
      <w:r/>
      <w:bookmarkStart w:id="166" w:name="_Toc151190149"/>
      <w:r/>
      <w:bookmarkStart w:id="167" w:name="_Toc226965712"/>
      <w:r/>
      <w:bookmarkStart w:id="168" w:name="_Toc305158790"/>
      <w:r/>
      <w:bookmarkStart w:id="169" w:name="_Toc151193764"/>
      <w:r/>
      <w:bookmarkStart w:id="170" w:name="_Toc150774727"/>
      <w:r/>
      <w:bookmarkStart w:id="171" w:name="_Toc150774622"/>
      <w:r/>
      <w:bookmarkStart w:id="172" w:name="_Toc151193692"/>
      <w:r/>
      <w:bookmarkStart w:id="173" w:name="_Toc226965795"/>
      <w:r/>
      <w:bookmarkStart w:id="174" w:name="_Toc151193836"/>
      <w:r/>
      <w:bookmarkStart w:id="175" w:name="_Toc305158864"/>
      <w:r/>
      <w:bookmarkStart w:id="176" w:name="_Toc226337218"/>
      <w:r/>
      <w:bookmarkStart w:id="177" w:name="_Toc150509273"/>
      <w:r/>
      <w:bookmarkStart w:id="178" w:name="_Toc226309766"/>
      <w:r/>
      <w:bookmarkStart w:id="179" w:name="_Toc265228360"/>
      <w:r/>
      <w:bookmarkStart w:id="180" w:name="_Toc151193910"/>
      <w:r/>
      <w:bookmarkStart w:id="181" w:name="_Toc151193620"/>
      <w:r/>
      <w:bookmarkStart w:id="182" w:name="_Toc150480760"/>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0" w:firstLine="482"/>
        <w:spacing w:line="400" w:lineRule="exact"/>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样品</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1"/>
        </w:numPr>
        <w:ind w:left="0" w:firstLine="482"/>
        <w:spacing w:line="400" w:lineRule="exact"/>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政府采购政策（包括但不限于下列具体政策要求）</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w:t>
      </w:r>
      <w:bookmarkStart w:id="183" w:name="OLE_LINK95"/>
      <w:r>
        <w:rPr>
          <w:rFonts w:hint="eastAsia" w:ascii="宋体" w:hAnsi="宋体" w:cs="宋体"/>
          <w:color w:val="auto"/>
          <w:sz w:val="24"/>
          <w:highlight w:val="none"/>
        </w:rPr>
        <w:t xml:space="preserve">产品</w:t>
      </w:r>
      <w:r/>
    </w:p>
    <w:p>
      <w:pPr>
        <w:numPr>
          <w:ilvl w:val="2"/>
          <w:numId w:val="1"/>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w:t>
      </w:r>
      <w:bookmarkEnd w:id="183"/>
      <w:r>
        <w:rPr>
          <w:rFonts w:hint="eastAsia" w:ascii="宋体" w:hAnsi="宋体" w:cs="宋体"/>
          <w:color w:val="auto"/>
          <w:sz w:val="24"/>
          <w:highlight w:val="none"/>
        </w:rPr>
        <w:t xml:space="preserve">《关于政府采购进口产品管理有关问题的通知》（财办库〔2008〕248号文）。</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1"/>
        </w:numPr>
        <w:ind w:firstLine="480"/>
        <w:spacing w:line="400" w:lineRule="exact"/>
        <w:rPr>
          <w:rFonts w:ascii="宋体" w:hAnsi="宋体" w:cs="宋体"/>
          <w:vanish/>
          <w:color w:val="auto"/>
          <w:sz w:val="24"/>
          <w:highlight w:val="none"/>
        </w:rPr>
      </w:pPr>
      <w:r>
        <w:rPr>
          <w:rFonts w:hint="eastAsia" w:ascii="宋体" w:hAnsi="宋体" w:cs="宋体"/>
          <w:color w:val="auto"/>
          <w:sz w:val="24"/>
          <w:highlight w:val="none"/>
        </w:rPr>
        <w:t xml:space="preserve">中小企业定义：</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5.2.1.1中小企业是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5.2.1.2供应商提供的货物、工程或者服务符合下列情形的，享受中小企业扶持政策：</w:t>
      </w:r>
      <w:r/>
    </w:p>
    <w:p>
      <w:pPr>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5.2.1.3在货物采购项目中，供应商提供的货物既有中小企业制造货物，也有大型企业制造货物的，不享受中小企业扶持政策。</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5.2.1.4以联合体形式参加政府采购活动，联合体各方均为中小企业的，联合体视同中小企业。其中，联合体各方均为小微企业的，联合体视同小微企业。</w:t>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ind w:firstLine="480"/>
        <w:spacing w:line="400" w:lineRule="exact"/>
        <w:rPr>
          <w:rFonts w:ascii="宋体" w:hAnsi="宋体" w:cs="宋体"/>
          <w:vanish/>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5.2.3.1安置的残疾人占本单位在职职工人数的比例不低于25%（含25%），并且安置的残疾人人数不少于10 人（含10 人）；</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5.2.3.2依法与安置的每位残疾人签订了一年以上（含一年）的劳动合同或服务协议；</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5.2.3.3为安置的每位残疾人按月足额缴纳了基本养老保险、基本医疗保险、失业保险、工伤保险和生育保险等社会保险费；</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5.2.3.4通过银行等金融机构向安置的每位残疾人，按月支付了不低于单位所在区县适用的经省级人民政府批准的月最低工资标准的工资；</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w:t>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w:t>
      </w:r>
      <w:bookmarkStart w:id="184" w:name="OLE_LINK98"/>
      <w:r/>
      <w:bookmarkStart w:id="185" w:name="OLE_LINK99"/>
      <w:r>
        <w:rPr>
          <w:rFonts w:hint="eastAsia" w:ascii="宋体" w:hAnsi="宋体" w:cs="宋体"/>
          <w:color w:val="auto"/>
          <w:sz w:val="24"/>
          <w:highlight w:val="none"/>
        </w:rPr>
        <w:t xml:space="preserve">品政府采购执行机制的通知》（财库〔2019〕9号）。 </w:t>
      </w:r>
      <w:r/>
    </w:p>
    <w:p>
      <w:pPr>
        <w:numPr>
          <w:ilvl w:val="2"/>
          <w:numId w:val="1"/>
        </w:numPr>
        <w:ind w:firstLine="482"/>
        <w:spacing w:line="400" w:lineRule="exact"/>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如本项目采</w:t>
      </w:r>
      <w:bookmarkStart w:id="186" w:name="OLE_LINK96"/>
      <w:r/>
      <w:bookmarkStart w:id="187" w:name="OLE_LINK97"/>
      <w:r>
        <w:rPr>
          <w:rFonts w:hint="eastAsia" w:ascii="宋体" w:hAnsi="宋体" w:cs="宋体"/>
          <w:b/>
          <w:bCs/>
          <w:color w:val="auto"/>
          <w:sz w:val="24"/>
          <w:highlight w:val="none"/>
          <w:u w:val="single"/>
        </w:rPr>
        <w:t xml:space="preserve">购</w:t>
      </w:r>
      <w:bookmarkStart w:id="188" w:name="OLE_LINK486"/>
      <w:r>
        <w:rPr>
          <w:rFonts w:hint="eastAsia" w:ascii="宋体" w:hAnsi="宋体" w:cs="宋体"/>
          <w:b/>
          <w:bCs/>
          <w:color w:val="auto"/>
          <w:sz w:val="24"/>
          <w:highlight w:val="none"/>
          <w:u w:val="single"/>
        </w:rPr>
        <w:t xml:space="preserve">产品属于实施政府强制采购品目清单范围的节能产品，则投标人所报产品必须获得国家确定的认证机构出具的、处于</w:t>
      </w:r>
      <w:bookmarkEnd w:id="186"/>
      <w:r/>
      <w:bookmarkEnd w:id="187"/>
      <w:r>
        <w:rPr>
          <w:rFonts w:hint="eastAsia" w:ascii="宋体" w:hAnsi="宋体" w:cs="宋体"/>
          <w:b/>
          <w:bCs/>
          <w:color w:val="auto"/>
          <w:sz w:val="24"/>
          <w:highlight w:val="none"/>
          <w:u w:val="single"/>
        </w:rPr>
        <w:t xml:space="preserve">有效期之内的节能产品认证证书，</w:t>
      </w:r>
      <w:r>
        <w:rPr>
          <w:rFonts w:hint="eastAsia" w:ascii="宋体" w:hAnsi="宋体" w:cs="宋体"/>
          <w:b/>
          <w:bCs/>
          <w:color w:val="auto"/>
          <w:sz w:val="24"/>
          <w:highlight w:val="none"/>
          <w:u w:val="single"/>
        </w:rPr>
        <w:t xml:space="preserve">否则投标无效</w:t>
      </w:r>
      <w:r>
        <w:rPr>
          <w:rFonts w:hint="eastAsia" w:ascii="宋体" w:hAnsi="宋体" w:cs="宋体"/>
          <w:b/>
          <w:bCs/>
          <w:color w:val="auto"/>
          <w:sz w:val="24"/>
          <w:highlight w:val="none"/>
          <w:u w:val="single"/>
        </w:rPr>
        <w:t xml:space="preserve">；</w:t>
      </w:r>
      <w:bookmarkEnd w:id="184"/>
      <w:r/>
      <w:bookmarkEnd w:id="185"/>
      <w:r/>
      <w:bookmarkEnd w:id="188"/>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w:t>
      </w:r>
      <w:r/>
    </w:p>
    <w:p>
      <w:pPr>
        <w:numPr>
          <w:ilvl w:val="2"/>
          <w:numId w:val="1"/>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w:t>
      </w:r>
      <w:r/>
    </w:p>
    <w:p>
      <w:pPr>
        <w:numPr>
          <w:ilvl w:val="2"/>
          <w:numId w:val="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w:t>
      </w:r>
      <w:r/>
    </w:p>
    <w:p>
      <w:pPr>
        <w:numPr>
          <w:ilvl w:val="2"/>
          <w:numId w:val="1"/>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numPr>
          <w:ilvl w:val="1"/>
          <w:numId w:val="1"/>
        </w:numPr>
        <w:ind w:firstLine="480"/>
        <w:spacing w:line="400" w:lineRule="exact"/>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绿色采购政策</w:t>
      </w:r>
      <w:r/>
    </w:p>
    <w:p>
      <w:pPr>
        <w:numPr>
          <w:ilvl w:val="2"/>
          <w:numId w:val="1"/>
        </w:numPr>
        <w:ind w:firstLine="480"/>
        <w:spacing w:line="400" w:lineRule="exact"/>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依据《绿色数据中心政府采购需求标准（试行）》（财办库〔2023〕7号）文件精神，采购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1"/>
        </w:numPr>
        <w:ind w:left="0" w:firstLine="482"/>
        <w:spacing w:line="400" w:lineRule="exact"/>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投标费用</w:t>
      </w:r>
      <w:r/>
    </w:p>
    <w:p>
      <w:pPr>
        <w:numPr>
          <w:ilvl w:val="1"/>
          <w:numId w:val="1"/>
        </w:num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rPr>
          <w:color w:val="auto"/>
          <w:highlight w:val="none"/>
        </w:rPr>
      </w:pPr>
      <w:r>
        <w:rPr>
          <w:color w:val="auto"/>
          <w:highlight w:val="none"/>
        </w:rPr>
      </w:r>
      <w:r/>
    </w:p>
    <w:p>
      <w:pPr>
        <w:pStyle w:val="1002"/>
        <w:spacing w:before="0" w:line="400" w:lineRule="exact"/>
        <w:rPr>
          <w:rFonts w:ascii="Times New Roman" w:hAnsi="Times New Roman" w:eastAsia="宋体"/>
          <w:color w:val="auto"/>
          <w:sz w:val="28"/>
          <w:highlight w:val="none"/>
        </w:rPr>
      </w:pPr>
      <w:r/>
      <w:bookmarkStart w:id="189" w:name="_1.8_计量单位"/>
      <w:r/>
      <w:bookmarkEnd w:id="189"/>
      <w:r>
        <w:rPr>
          <w:rFonts w:ascii="Times New Roman" w:hAnsi="Times New Roman" w:eastAsia="宋体"/>
          <w:color w:val="auto"/>
          <w:sz w:val="28"/>
          <w:highlight w:val="none"/>
        </w:rPr>
        <w:t xml:space="preserve">二   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2"/>
        <w:spacing w:line="400" w:lineRule="exact"/>
        <w:rPr>
          <w:rFonts w:ascii="宋体" w:hAnsi="宋体" w:cs="宋体"/>
          <w:b/>
          <w:bCs/>
          <w:color w:val="auto"/>
          <w:sz w:val="24"/>
          <w:highlight w:val="none"/>
        </w:rPr>
      </w:pPr>
      <w:r/>
      <w:bookmarkStart w:id="190" w:name="_Toc516367020"/>
      <w:r/>
      <w:bookmarkStart w:id="191" w:name="_Toc127151526"/>
      <w:r/>
      <w:bookmarkStart w:id="192" w:name="_Toc226337222"/>
      <w:r/>
      <w:bookmarkStart w:id="193" w:name="_Toc142311028"/>
      <w:r/>
      <w:bookmarkStart w:id="194" w:name="_Toc150509277"/>
      <w:r/>
      <w:bookmarkStart w:id="195" w:name="_Toc150774731"/>
      <w:r/>
      <w:bookmarkStart w:id="196" w:name="_Toc520356150"/>
      <w:r/>
      <w:bookmarkStart w:id="197" w:name="_Toc150480764"/>
      <w:r/>
      <w:bookmarkStart w:id="198" w:name="_Toc226965716"/>
      <w:r/>
      <w:bookmarkStart w:id="199" w:name="_Toc305158868"/>
      <w:r/>
      <w:bookmarkStart w:id="200" w:name="_Toc150774626"/>
      <w:r/>
      <w:bookmarkStart w:id="201" w:name="_Toc226309770"/>
      <w:r/>
      <w:bookmarkStart w:id="202" w:name="_Toc151193696"/>
      <w:r/>
      <w:bookmarkStart w:id="203" w:name="_Toc151193624"/>
      <w:r/>
      <w:bookmarkStart w:id="204" w:name="_Toc305158794"/>
      <w:r/>
      <w:bookmarkStart w:id="205" w:name="_Toc195842891"/>
      <w:r/>
      <w:bookmarkStart w:id="206" w:name="_Toc151193914"/>
      <w:r/>
      <w:bookmarkStart w:id="207" w:name="_Toc151190153"/>
      <w:r/>
      <w:bookmarkStart w:id="208" w:name="_Toc226965799"/>
      <w:r/>
      <w:bookmarkStart w:id="209" w:name="_Toc265228364"/>
      <w:r/>
      <w:bookmarkStart w:id="210" w:name="_Toc264969216"/>
      <w:r/>
      <w:bookmarkStart w:id="211" w:name="_Toc151193768"/>
      <w:r/>
      <w:bookmarkStart w:id="212" w:name="_Toc151193840"/>
      <w:r>
        <w:rPr>
          <w:rFonts w:hint="eastAsia" w:ascii="宋体" w:hAnsi="宋体" w:cs="宋体"/>
          <w:b/>
          <w:bCs/>
          <w:color w:val="auto"/>
          <w:sz w:val="24"/>
          <w:highlight w:val="none"/>
        </w:rPr>
        <w:t xml:space="preserve">7招标文件构成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7.1招标文件包括以下部分：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第三章  资格审查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第四章  评标程序、评标方法和评标标准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第五章  采购需求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第六章  拟签订的合同文本</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第七章  投标文件格式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7.2投标人应认真阅读招标文件的全部内容。投标人应按照招标文件要求提交投标文件并保证所提供的全部资料的真实性，并对招标文件做出实质性响应，否则投标无效。</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8对招标文件的澄清或修改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firstLine="560"/>
        <w:spacing w:line="400" w:lineRule="exact"/>
        <w:tabs>
          <w:tab w:val="left" w:pos="1080" w:leader="none"/>
          <w:tab w:val="left" w:pos="1561" w:leader="none"/>
        </w:tabs>
        <w:rPr>
          <w:color w:val="auto"/>
          <w:sz w:val="28"/>
          <w:highlight w:val="none"/>
        </w:rPr>
      </w:pPr>
      <w:r>
        <w:rPr>
          <w:color w:val="auto"/>
          <w:sz w:val="28"/>
          <w:highlight w:val="none"/>
        </w:rPr>
      </w:r>
      <w:r/>
    </w:p>
    <w:p>
      <w:pPr>
        <w:pStyle w:val="1002"/>
        <w:spacing w:before="0" w:line="400" w:lineRule="exact"/>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0"/>
      <w:r>
        <w:rPr>
          <w:rFonts w:ascii="Times New Roman" w:hAnsi="Times New Roman" w:eastAsia="宋体"/>
          <w:color w:val="auto"/>
          <w:sz w:val="28"/>
          <w:highlight w:val="none"/>
        </w:rPr>
        <w:t xml:space="preserve">的编制</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firstLine="482"/>
        <w:spacing w:line="400" w:lineRule="exact"/>
        <w:rPr>
          <w:rFonts w:ascii="宋体" w:hAnsi="宋体" w:cs="宋体"/>
          <w:b/>
          <w:bCs/>
          <w:color w:val="auto"/>
          <w:sz w:val="24"/>
          <w:highlight w:val="none"/>
        </w:rPr>
      </w:pPr>
      <w:r/>
      <w:bookmarkStart w:id="213" w:name="_Toc151193776"/>
      <w:r/>
      <w:bookmarkStart w:id="214" w:name="_Toc150774634"/>
      <w:r/>
      <w:bookmarkStart w:id="215" w:name="_Toc265228372"/>
      <w:r/>
      <w:bookmarkStart w:id="216" w:name="_Toc151193922"/>
      <w:r/>
      <w:bookmarkStart w:id="217" w:name="_Toc520356159"/>
      <w:r/>
      <w:bookmarkStart w:id="218" w:name="_Toc127151534"/>
      <w:r/>
      <w:bookmarkStart w:id="219" w:name="_Toc226965807"/>
      <w:r/>
      <w:bookmarkStart w:id="220" w:name="_Toc150509285"/>
      <w:r/>
      <w:bookmarkStart w:id="221" w:name="_Toc151193848"/>
      <w:r/>
      <w:bookmarkStart w:id="222" w:name="_Toc150480772"/>
      <w:r/>
      <w:bookmarkStart w:id="223" w:name="_Toc264969224"/>
      <w:r/>
      <w:bookmarkStart w:id="224" w:name="_Toc226337230"/>
      <w:r/>
      <w:bookmarkStart w:id="225" w:name="_Toc226309778"/>
      <w:r/>
      <w:bookmarkStart w:id="226" w:name="_Toc142311036"/>
      <w:r/>
      <w:bookmarkStart w:id="227" w:name="_Toc195842899"/>
      <w:r/>
      <w:bookmarkStart w:id="228" w:name="_Toc151193704"/>
      <w:r/>
      <w:bookmarkStart w:id="229" w:name="_Toc151193632"/>
      <w:r/>
      <w:bookmarkStart w:id="230" w:name="_Toc305158876"/>
      <w:r/>
      <w:bookmarkStart w:id="231" w:name="_Toc305158802"/>
      <w:r/>
      <w:bookmarkStart w:id="232" w:name="_Toc150774739"/>
      <w:r/>
      <w:bookmarkStart w:id="233" w:name="_Toc151190161"/>
      <w:r/>
      <w:bookmarkStart w:id="234" w:name="_Toc226965724"/>
      <w:r>
        <w:rPr>
          <w:rFonts w:hint="eastAsia" w:ascii="宋体" w:hAnsi="宋体" w:cs="宋体"/>
          <w:b/>
          <w:bCs/>
          <w:color w:val="auto"/>
          <w:sz w:val="24"/>
          <w:highlight w:val="none"/>
        </w:rPr>
        <w:t xml:space="preserve">9投标范围、投标文件中计量单位的使用及投标语言</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9.2除招标文件有特殊要求外，本项目投标所使用的计量单位，应采用中华人民共和国法定计量单位。</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10.1投标人应当按照招标文件的要求编制投标文件。投标文件应由《资格证明文件》、《商务技术文件》两部分构成。投标文件的部分格式要求，见第七章《投标文件格式》。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10.2对于招标文件中标记了“</w:t>
      </w:r>
      <w:r>
        <w:rPr>
          <w:rFonts w:hint="eastAsia" w:ascii="宋体" w:hAnsi="宋体" w:cs="宋体"/>
          <w:b/>
          <w:bCs/>
          <w:color w:val="auto"/>
          <w:sz w:val="24"/>
          <w:highlight w:val="none"/>
        </w:rPr>
        <w:t xml:space="preserve">实质性格式</w:t>
      </w:r>
      <w:r>
        <w:rPr>
          <w:rFonts w:hint="eastAsia" w:ascii="宋体" w:hAnsi="宋体" w:cs="宋体"/>
          <w:color w:val="auto"/>
          <w:sz w:val="24"/>
          <w:highlight w:val="none"/>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10.3第四章《评标程序、评标方法和评标标准》中涉及的证明文件。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10.5投标人认为应附的其他材料。</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11投标报价</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11.1所有投标均以人民币报价。</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11.2.2按照招标文件要求完成本项目的全部相关服务费用。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11.3采购人不得向供应商索要或者接受其给予的赠品、回扣或者与采购无关的其他商品、服务。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11.4投标人不能提供任何有选择性或可调整的报价，否则其投标无效。</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12投标保证金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根据江苏省和常州市的相关文件规定，免收投标保证金。</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13投标有效期</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13.1投标文件应在本招标文件《投标人须知资料表》中规定的投标有效期内保持有效，投标有效期少于招标文件规定期限的，其投标无效。</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14投标文件的签署、加盖公章</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14.2招标文件要求加盖公章的内容，一般通过投标文件编制工具加盖电子签章。</w:t>
      </w:r>
      <w:r/>
    </w:p>
    <w:p>
      <w:pPr>
        <w:rPr>
          <w:color w:val="auto"/>
          <w:highlight w:val="none"/>
        </w:rPr>
      </w:pPr>
      <w:r>
        <w:rPr>
          <w:color w:val="auto"/>
          <w:highlight w:val="none"/>
        </w:rPr>
      </w:r>
      <w:r/>
    </w:p>
    <w:p>
      <w:pPr>
        <w:pStyle w:val="1002"/>
        <w:spacing w:before="0" w:line="400" w:lineRule="exact"/>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15投标文件的提交</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15.1本项目使用“苏采云”政府采购一体化平台。投标人根据招标文件及“苏采云”政府采购一体化平台供应商操作手册要求编制、生成并提交电子投标文件。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15.2采购人及采购代理机构拒绝接受通过“苏采云”政府采购一体化平台以外任何形式提交的投标文件。</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16投标截止时间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16.1投标人应在招标文件要求提交投标文件截止时间前，将电子投标文件提交至“苏采云”政府采购一体化平台。</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17投标文件的修改与撤回</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17.1投标截止时间前，投标人可以通过“苏采云”政府采购一体化平台对所提交的投标文件进行补充、修改或者撤回。</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17.2投标人对投标文件的补充、修改的内容应当按照招标文件要求签署、加盖公章，作为投标文件的组成部分</w:t>
      </w:r>
      <w:r/>
    </w:p>
    <w:p>
      <w:pPr>
        <w:ind w:firstLine="480"/>
        <w:spacing w:line="400" w:lineRule="exact"/>
        <w:rPr>
          <w:color w:val="auto"/>
          <w:sz w:val="24"/>
          <w:highlight w:val="none"/>
        </w:rPr>
      </w:pPr>
      <w:r>
        <w:rPr>
          <w:color w:val="auto"/>
          <w:sz w:val="24"/>
          <w:highlight w:val="none"/>
        </w:rPr>
      </w:r>
      <w:r/>
    </w:p>
    <w:p>
      <w:pPr>
        <w:pStyle w:val="1002"/>
        <w:spacing w:before="0" w:line="400" w:lineRule="exact"/>
        <w:rPr>
          <w:rFonts w:ascii="Times New Roman" w:hAnsi="Times New Roman" w:eastAsia="宋体"/>
          <w:color w:val="auto"/>
          <w:sz w:val="28"/>
          <w:highlight w:val="none"/>
        </w:rPr>
      </w:pPr>
      <w:r/>
      <w:bookmarkStart w:id="235" w:name="_Toc265228376"/>
      <w:r/>
      <w:bookmarkStart w:id="236" w:name="_Toc305158880"/>
      <w:r/>
      <w:bookmarkStart w:id="237" w:name="_Toc226337234"/>
      <w:r/>
      <w:bookmarkStart w:id="238" w:name="_Toc226965728"/>
      <w:r/>
      <w:bookmarkStart w:id="239" w:name="_Toc520356163"/>
      <w:r/>
      <w:bookmarkStart w:id="240" w:name="_Toc150509289"/>
      <w:r/>
      <w:bookmarkStart w:id="241" w:name="_Toc150480776"/>
      <w:r/>
      <w:bookmarkStart w:id="242" w:name="_Toc151193780"/>
      <w:r/>
      <w:bookmarkStart w:id="243" w:name="_Toc151193636"/>
      <w:r/>
      <w:bookmarkStart w:id="244" w:name="_Toc264969228"/>
      <w:r/>
      <w:bookmarkStart w:id="245" w:name="_Toc226309782"/>
      <w:r/>
      <w:bookmarkStart w:id="246" w:name="_Toc150774638"/>
      <w:r/>
      <w:bookmarkStart w:id="247" w:name="_Toc151193852"/>
      <w:r/>
      <w:bookmarkStart w:id="248" w:name="_Toc150774743"/>
      <w:r/>
      <w:bookmarkStart w:id="249" w:name="_Toc127151538"/>
      <w:r/>
      <w:bookmarkStart w:id="250" w:name="_Toc151193926"/>
      <w:r/>
      <w:bookmarkStart w:id="251" w:name="_Toc151190165"/>
      <w:r/>
      <w:bookmarkStart w:id="252" w:name="_Toc226965811"/>
      <w:r/>
      <w:bookmarkStart w:id="253" w:name="_Toc151193708"/>
      <w:r/>
      <w:bookmarkStart w:id="254" w:name="_Toc142311040"/>
      <w:r/>
      <w:bookmarkStart w:id="255" w:name="_Toc195842903"/>
      <w:r/>
      <w:bookmarkStart w:id="256" w:name="_Toc305158806"/>
      <w:r>
        <w:rPr>
          <w:rFonts w:ascii="Times New Roman" w:hAnsi="Times New Roman" w:eastAsia="宋体"/>
          <w:color w:val="auto"/>
          <w:sz w:val="28"/>
          <w:highlight w:val="none"/>
        </w:rPr>
        <w:t xml:space="preserve">五   开标、资格审查及评标</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482"/>
        <w:spacing w:line="400" w:lineRule="exact"/>
        <w:rPr>
          <w:rFonts w:ascii="宋体" w:hAnsi="宋体" w:cs="宋体"/>
          <w:b/>
          <w:bCs/>
          <w:color w:val="auto"/>
          <w:sz w:val="24"/>
          <w:highlight w:val="none"/>
        </w:rPr>
      </w:pPr>
      <w:r/>
      <w:bookmarkStart w:id="257" w:name="_Toc520356169"/>
      <w:r>
        <w:rPr>
          <w:rFonts w:hint="eastAsia" w:ascii="宋体" w:hAnsi="宋体" w:cs="宋体"/>
          <w:b/>
          <w:bCs/>
          <w:color w:val="auto"/>
          <w:sz w:val="24"/>
          <w:highlight w:val="none"/>
        </w:rPr>
        <w:t xml:space="preserve">18开标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18.1采购人或采购代理机构将按招标文件的规定，在投标截止时间的同一时间和招标文件预先确定的地点组织开标。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18.2本项目开标采用不见面招投标模式，使用“苏采云”政府采购一体化平台在线进行开标。投标人应在规定的时间内对投标文件进行解密，因非系统原因导致的解密失败，视为投标无效。</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18.5投标人不足3家的，不予开标。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1)平台系统发生故障而无法登录访问的；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19资格审查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19.1见第三章《资格审查》。</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20评标委员会</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20.1评标委员会根据政府采购有关规定和本次招标采购项目的特点进行组建，并负责具体评标事务，独立履行职责。</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21评标程序、评标方法和评标标准</w:t>
      </w:r>
      <w:r/>
    </w:p>
    <w:p>
      <w:pPr>
        <w:ind w:firstLine="480"/>
        <w:spacing w:line="400" w:lineRule="exact"/>
        <w:rPr>
          <w:color w:val="auto"/>
          <w:sz w:val="24"/>
          <w:highlight w:val="none"/>
        </w:rPr>
      </w:pPr>
      <w:r>
        <w:rPr>
          <w:rFonts w:hint="eastAsia" w:ascii="宋体" w:hAnsi="宋体" w:cs="宋体"/>
          <w:color w:val="auto"/>
          <w:sz w:val="24"/>
          <w:highlight w:val="none"/>
        </w:rPr>
        <w:t xml:space="preserve">21.1见第四章《评标程序、评标方法和评标标准》。</w:t>
      </w:r>
      <w:r/>
    </w:p>
    <w:p>
      <w:pPr>
        <w:ind w:left="1080"/>
        <w:spacing w:line="400" w:lineRule="exact"/>
        <w:tabs>
          <w:tab w:val="left" w:pos="360" w:leader="none"/>
          <w:tab w:val="left" w:pos="1080" w:leader="none"/>
        </w:tabs>
        <w:rPr>
          <w:color w:val="auto"/>
          <w:sz w:val="24"/>
          <w:highlight w:val="none"/>
        </w:rPr>
      </w:pPr>
      <w:r>
        <w:rPr>
          <w:color w:val="auto"/>
          <w:sz w:val="24"/>
          <w:highlight w:val="none"/>
        </w:rPr>
      </w:r>
      <w:r/>
    </w:p>
    <w:p>
      <w:pPr>
        <w:pStyle w:val="1002"/>
        <w:spacing w:before="0" w:line="400" w:lineRule="exact"/>
        <w:rPr>
          <w:rFonts w:ascii="Times New Roman" w:hAnsi="Times New Roman" w:eastAsia="宋体"/>
          <w:color w:val="auto"/>
          <w:sz w:val="28"/>
          <w:highlight w:val="none"/>
        </w:rPr>
      </w:pPr>
      <w:r/>
      <w:bookmarkStart w:id="258" w:name="_Toc151193859"/>
      <w:r/>
      <w:bookmarkStart w:id="259" w:name="_Toc150774750"/>
      <w:r/>
      <w:bookmarkStart w:id="260" w:name="_Toc127151545"/>
      <w:r/>
      <w:bookmarkStart w:id="261" w:name="_Toc150480783"/>
      <w:r/>
      <w:bookmarkStart w:id="262" w:name="_Toc151193787"/>
      <w:r/>
      <w:bookmarkStart w:id="263" w:name="_Toc226965818"/>
      <w:r/>
      <w:bookmarkStart w:id="264" w:name="_Toc151193643"/>
      <w:r/>
      <w:bookmarkStart w:id="265" w:name="_Toc151193715"/>
      <w:r/>
      <w:bookmarkStart w:id="266" w:name="_Toc151190172"/>
      <w:r/>
      <w:bookmarkStart w:id="267" w:name="_Toc226965735"/>
      <w:r/>
      <w:bookmarkStart w:id="268" w:name="_Toc305158887"/>
      <w:r/>
      <w:bookmarkStart w:id="269" w:name="_Toc150774645"/>
      <w:r/>
      <w:bookmarkStart w:id="270" w:name="_Toc264969235"/>
      <w:r/>
      <w:bookmarkStart w:id="271" w:name="_Toc142311047"/>
      <w:r/>
      <w:bookmarkStart w:id="272" w:name="_Toc150509296"/>
      <w:r/>
      <w:bookmarkStart w:id="273" w:name="_Toc195842910"/>
      <w:r/>
      <w:bookmarkStart w:id="274" w:name="_Toc226309789"/>
      <w:r/>
      <w:bookmarkStart w:id="275" w:name="_Toc151193933"/>
      <w:r/>
      <w:bookmarkStart w:id="276" w:name="_Toc265228383"/>
      <w:r/>
      <w:bookmarkStart w:id="277" w:name="_Toc226337241"/>
      <w:r/>
      <w:bookmarkStart w:id="278" w:name="_Toc305158813"/>
      <w:r>
        <w:rPr>
          <w:rFonts w:ascii="Times New Roman" w:hAnsi="Times New Roman" w:eastAsia="宋体"/>
          <w:color w:val="auto"/>
          <w:sz w:val="28"/>
          <w:highlight w:val="none"/>
        </w:rPr>
        <w:t xml:space="preserve">六   </w:t>
      </w:r>
      <w:bookmarkEnd w:id="257"/>
      <w:r>
        <w:rPr>
          <w:rFonts w:ascii="Times New Roman" w:hAnsi="Times New Roman" w:eastAsia="宋体"/>
          <w:color w:val="auto"/>
          <w:sz w:val="28"/>
          <w:highlight w:val="none"/>
        </w:rPr>
        <w:t xml:space="preserve">确定中标</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279" w:name="_Toc150774752"/>
      <w:r/>
      <w:bookmarkStart w:id="280" w:name="_Toc265228385"/>
      <w:r/>
      <w:bookmarkStart w:id="281" w:name="_Toc151193789"/>
      <w:r/>
      <w:bookmarkStart w:id="282" w:name="_Toc264969237"/>
      <w:r/>
      <w:bookmarkStart w:id="283" w:name="_Toc226309791"/>
      <w:r/>
      <w:bookmarkStart w:id="284" w:name="_Toc164229388"/>
      <w:r/>
      <w:bookmarkStart w:id="285" w:name="_Toc151193861"/>
      <w:r/>
      <w:bookmarkStart w:id="286" w:name="_Toc164229242"/>
      <w:r/>
      <w:bookmarkStart w:id="287" w:name="_Toc127151748"/>
      <w:r/>
      <w:bookmarkStart w:id="288" w:name="_Toc305158815"/>
      <w:r/>
      <w:bookmarkStart w:id="289" w:name="_Toc151193935"/>
      <w:r/>
      <w:bookmarkStart w:id="290" w:name="_Toc151193717"/>
      <w:r/>
      <w:bookmarkStart w:id="291" w:name="_Toc149720840"/>
      <w:r/>
      <w:bookmarkStart w:id="292" w:name="_Toc226965820"/>
      <w:r/>
      <w:bookmarkStart w:id="293" w:name="_Toc226337243"/>
      <w:r/>
      <w:bookmarkStart w:id="294" w:name="_Toc164608816"/>
      <w:r/>
      <w:bookmarkStart w:id="295" w:name="_Toc305158889"/>
      <w:r/>
      <w:bookmarkStart w:id="296" w:name="_Toc150509298"/>
      <w:r/>
      <w:bookmarkStart w:id="297" w:name="_Toc127151547"/>
      <w:r/>
      <w:bookmarkStart w:id="298" w:name="_Toc127161461"/>
      <w:r/>
      <w:bookmarkStart w:id="299" w:name="_Toc164608661"/>
      <w:r/>
      <w:bookmarkStart w:id="300" w:name="_Toc151193645"/>
      <w:r/>
      <w:bookmarkStart w:id="301" w:name="_Toc150774647"/>
      <w:r/>
      <w:bookmarkStart w:id="302" w:name="_Toc150480785"/>
      <w:r/>
      <w:bookmarkStart w:id="303" w:name="_Toc164351641"/>
      <w:r/>
      <w:bookmarkStart w:id="304" w:name="_Toc195842912"/>
      <w:r/>
      <w:bookmarkStart w:id="305" w:name="_Toc226965737"/>
      <w:r/>
      <w:bookmarkStart w:id="306" w:name="_Toc142311049"/>
      <w:r/>
      <w:bookmarkStart w:id="307" w:name="_Toc151190174"/>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22确定中标人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22.1采购人将在评标报告确定的中标候选人名单中按顺序确定中标人，中标候选人并列的，由采购人依法确定。</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23中标公告与中标通知书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23.1采购人或采购代理机构自中标人确定之日起2个工作日内，在常州市政府采购网公告中标结果，同时向中标人发出中标通知书，中标公告期限为1个工作日。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23.2中标通知书对采购人和中标供应商均具有法律效力。中标通知书发出后，采购人改变中标结果的，或者中标供应商放弃中标项目的，应当依法承担法律责任。</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24废标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24.1在招标采购中，出现下列情形之一的，应予废标：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24.1.1符合专业条件的供应商或者对招标文件作实质响应的供应商不足三家的；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24.1.2出现影响采购公正的违法、违规行为的；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24.1.3投标人的报价均超过了采购预算，采购人不能支付的；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24.1.4因重大变故，采购任务取消的。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24.1.5平台系统出现序号18.8的所述情形，情况严重且影响采购活动公平、公正性的。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24.2废标后，采购人将废标理由通知所有投标人。</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25签订合同</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25.2中标人拒绝与采购人签订合同的，采购人可以按照评标报告推荐的中标候选人名单排序，确定下一候选人为中标人，也可以重新开展政府采购活动。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25.3联合体中标的，联合体各方应当共同与采购人签订合同，就中标项目向采购人承担连带责任。</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25.4政府采购合同不能转包。</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26询问与质疑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26.1询问</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26.1.1投标人对政府采购活动事项有疑问的，可依法提出询问，并按《投标人须知资料表》载明的形式送达采购人或采购代理机构。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26.1.2采购人或采购代理机构对供应商依法提出的询问，在3个工作日内作出答复，但答复的内容不得涉及商业秘密。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26.2质疑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26.2.2招标文件中采购需求以及相关部分（第四章、第五章以及投标人资格要求）由采购人负责制定和管理，对该部分内容有询问或者质疑的，投标人应当向采购人书面提出。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26.2.3质疑函须使用财政部制定的范本文件。（下载网址：http://gKs.mof.gov.cn/ztztz/zhengfucaigouguanli/201802/t20180201_2804589.htm）</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26.2.4投标人为自然人的，应当由本人签字；投标人为法人或者其他组织的，应当由法定代表人、主要负责人，或者其授权代表签字或者加盖公章，并加盖公章。</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26.3接收询问和质疑的联系部门、联系电话和地址见《投标人须知资料表》。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27代理费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27.1收费对象、收费标准及缴纳时间见《投标人须知资料表》。由中标人支付的，中标人须一次性向采购代理机构缴纳代理费，投标报价应包含代理费用。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308" w:name="_Toc305158896"/>
      <w:r/>
      <w:bookmarkStart w:id="309" w:name="_Toc305158822"/>
      <w:r/>
      <w:bookmarkStart w:id="310" w:name="_Toc353873934"/>
      <w:r/>
      <w:bookmarkStart w:id="311" w:name="_Toc127151554"/>
      <w:r/>
      <w:bookmarkStart w:id="312" w:name="_Toc226337250"/>
      <w:r/>
      <w:bookmarkStart w:id="313" w:name="_Toc226965827"/>
      <w:r/>
      <w:bookmarkStart w:id="314" w:name="_Toc264969244"/>
      <w:r/>
      <w:bookmarkStart w:id="315" w:name="_Toc150774759"/>
      <w:r/>
      <w:bookmarkStart w:id="316" w:name="_Toc265228392"/>
      <w:r/>
      <w:bookmarkStart w:id="317" w:name="_Toc150480792"/>
      <w:r/>
      <w:bookmarkStart w:id="318" w:name="_Toc353873664"/>
      <w:r/>
      <w:bookmarkStart w:id="319" w:name="_Toc353825544"/>
      <w:r/>
      <w:bookmarkStart w:id="320" w:name="_Toc142311056"/>
      <w:r>
        <w:rPr>
          <w:color w:val="auto"/>
          <w:sz w:val="24"/>
          <w:highlight w:val="none"/>
        </w:rPr>
        <w:br w:type="page" w:clear="all"/>
      </w:r>
      <w:bookmarkStart w:id="321" w:name="_Toc31915"/>
      <w:r>
        <w:rPr>
          <w:b/>
          <w:color w:val="auto"/>
          <w:sz w:val="36"/>
          <w:szCs w:val="36"/>
          <w:highlight w:val="none"/>
        </w:rPr>
        <w:t xml:space="preserve">第三章   </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b/>
          <w:color w:val="auto"/>
          <w:sz w:val="36"/>
          <w:szCs w:val="36"/>
          <w:highlight w:val="none"/>
        </w:rPr>
        <w:t xml:space="preserve">资格审查</w:t>
      </w:r>
      <w:bookmarkEnd w:id="321"/>
      <w:r/>
      <w:bookmarkStart w:id="322" w:name="_Toc487900382"/>
      <w:r/>
      <w:r/>
    </w:p>
    <w:p>
      <w:pPr>
        <w:jc w:val="center"/>
        <w:spacing w:line="400" w:lineRule="exact"/>
        <w:tabs>
          <w:tab w:val="left" w:pos="360" w:leader="none"/>
          <w:tab w:val="left" w:pos="900" w:leader="none"/>
        </w:tabs>
        <w:rPr>
          <w:b/>
          <w:color w:val="auto"/>
          <w:sz w:val="24"/>
          <w:highlight w:val="none"/>
        </w:rPr>
        <w:outlineLvl w:val="1"/>
      </w:pPr>
      <w:r/>
      <w:bookmarkStart w:id="323" w:name="_Toc99301422"/>
      <w:r>
        <w:rPr>
          <w:b/>
          <w:color w:val="auto"/>
          <w:sz w:val="24"/>
          <w:highlight w:val="none"/>
        </w:rPr>
        <w:t xml:space="preserve">一、资格审查程序</w:t>
      </w:r>
      <w:bookmarkEnd w:id="323"/>
      <w:r/>
      <w:r/>
    </w:p>
    <w:p>
      <w:pPr>
        <w:numPr>
          <w:ilvl w:val="0"/>
          <w:numId w:val="2"/>
        </w:numPr>
        <w:ind w:left="0" w:firstLine="480"/>
        <w:spacing w:line="400" w:lineRule="exact"/>
        <w:tabs>
          <w:tab w:val="left" w:pos="426" w:leader="none"/>
          <w:tab w:val="left" w:pos="851"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2"/>
        </w:numPr>
        <w:ind w:left="0" w:firstLine="480"/>
        <w:spacing w:line="400" w:lineRule="exact"/>
        <w:tabs>
          <w:tab w:val="left" w:pos="426" w:leader="none"/>
          <w:tab w:val="left" w:pos="851"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2"/>
        </w:numPr>
        <w:ind w:left="0" w:firstLine="480"/>
        <w:spacing w:line="400" w:lineRule="exact"/>
        <w:tabs>
          <w:tab w:val="left" w:pos="426" w:leader="none"/>
          <w:tab w:val="left" w:pos="851"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2"/>
        </w:numPr>
        <w:ind w:left="0" w:firstLine="480"/>
        <w:spacing w:line="400" w:lineRule="exact"/>
        <w:tabs>
          <w:tab w:val="left" w:pos="426" w:leader="none"/>
          <w:tab w:val="left" w:pos="851" w:leader="none"/>
          <w:tab w:val="clear" w:pos="900" w:leader="none"/>
        </w:tabs>
        <w:rPr>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center"/>
        <w:spacing w:line="400" w:lineRule="exact"/>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101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19"/>
        <w:gridCol w:w="4323"/>
        <w:gridCol w:w="1604"/>
      </w:tblGrid>
      <w:tr>
        <w:trPr>
          <w:cantSplit/>
          <w:jc w:val="center"/>
          <w:trHeight w:val="468"/>
          <w:tblHeader/>
        </w:trPr>
        <w:tc>
          <w:tcPr>
            <w:tcW w:w="455" w:type="pct"/>
            <w:vAlign w:val="center"/>
            <w:textDirection w:val="lrTb"/>
            <w:noWrap w:val="false"/>
          </w:tcPr>
          <w:p>
            <w:pPr>
              <w:jc w:val="center"/>
              <w:tabs>
                <w:tab w:val="left" w:pos="1080" w:leader="none"/>
              </w:tabs>
              <w:rPr>
                <w:rFonts w:ascii="宋体" w:hAnsi="宋体" w:cs="宋体"/>
                <w:b/>
                <w:color w:val="auto"/>
                <w:sz w:val="24"/>
                <w:highlight w:val="none"/>
              </w:rPr>
            </w:pPr>
            <w:r/>
            <w:bookmarkStart w:id="324" w:name="_Hlt487972895"/>
            <w:r/>
            <w:bookmarkEnd w:id="324"/>
            <w:r>
              <w:rPr>
                <w:rFonts w:hint="eastAsia" w:ascii="宋体" w:hAnsi="宋体" w:cs="宋体"/>
                <w:b/>
                <w:color w:val="auto"/>
                <w:sz w:val="24"/>
                <w:highlight w:val="none"/>
              </w:rPr>
              <w:t xml:space="preserve">序号</w:t>
            </w:r>
            <w:r/>
          </w:p>
        </w:tc>
        <w:tc>
          <w:tcPr>
            <w:tcW w:w="1067"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35"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941"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67"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941" w:type="pct"/>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color w:val="auto"/>
                <w:sz w:val="24"/>
                <w:highlight w:val="none"/>
              </w:rPr>
            </w:pPr>
            <w:r/>
            <w:bookmarkStart w:id="325" w:name="OLE_LINK101"/>
            <w:r/>
            <w:bookmarkStart w:id="326" w:name="OLE_LINK102"/>
            <w:r/>
            <w:bookmarkStart w:id="327" w:name="OLE_LINK103"/>
            <w:r/>
            <w:bookmarkStart w:id="328" w:name="_Hlk223810030"/>
            <w:r/>
            <w:bookmarkStart w:id="329" w:name="OLE_LINK100"/>
            <w:r>
              <w:rPr>
                <w:rFonts w:hint="eastAsia" w:ascii="宋体" w:hAnsi="宋体" w:cs="宋体"/>
                <w:color w:val="auto"/>
                <w:sz w:val="24"/>
                <w:highlight w:val="none"/>
              </w:rPr>
              <w:t xml:space="preserve">1-1</w:t>
            </w:r>
            <w:r/>
          </w:p>
        </w:tc>
        <w:tc>
          <w:tcPr>
            <w:tcW w:w="1067"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35"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941"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067"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35"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t>
            </w:r>
            <w:r/>
          </w:p>
          <w:p>
            <w:pPr>
              <w:tabs>
                <w:tab w:val="left" w:pos="1080" w:leader="none"/>
              </w:tabs>
              <w:rPr>
                <w:color w:val="auto"/>
                <w:highlight w:val="none"/>
              </w:rPr>
            </w:pPr>
            <w:r>
              <w:rPr>
                <w:rFonts w:hint="eastAsia" w:ascii="宋体" w:hAnsi="宋体" w:cs="宋体"/>
                <w:color w:val="auto"/>
                <w:sz w:val="24"/>
                <w:highlight w:val="none"/>
              </w:rPr>
              <w:t xml:space="preserve">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941"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无须投标人提供，由采购人查询。</w:t>
            </w:r>
            <w:bookmarkEnd w:id="325"/>
            <w:r/>
            <w:bookmarkEnd w:id="326"/>
            <w:r/>
            <w:bookmarkEnd w:id="327"/>
            <w:r/>
            <w:bookmarkEnd w:id="328"/>
            <w:r/>
            <w:bookmarkEnd w:id="329"/>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67"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35"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941" w:type="pct"/>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67"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35"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941" w:type="pct"/>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Height w:val="460"/>
        </w:trPr>
        <w:tc>
          <w:tcPr>
            <w:tcW w:w="455" w:type="pct"/>
            <w:vAlign w:val="center"/>
            <w:textDirection w:val="lrTb"/>
            <w:noWrap w:val="false"/>
          </w:tcPr>
          <w:p>
            <w:pPr>
              <w:jc w:val="center"/>
              <w:tabs>
                <w:tab w:val="left" w:pos="1080" w:leader="none"/>
              </w:tabs>
              <w:rPr>
                <w:rFonts w:ascii="宋体" w:hAnsi="宋体" w:cs="宋体"/>
                <w:color w:val="auto"/>
                <w:sz w:val="24"/>
                <w:highlight w:val="none"/>
              </w:rPr>
            </w:pPr>
            <w:r/>
            <w:bookmarkStart w:id="330" w:name="_Toc127161490"/>
            <w:r/>
            <w:bookmarkStart w:id="331" w:name="_Toc127151779"/>
            <w:r/>
            <w:bookmarkStart w:id="332" w:name="_Toc353825550"/>
            <w:r/>
            <w:bookmarkStart w:id="333" w:name="_Toc226965858"/>
            <w:r/>
            <w:bookmarkStart w:id="334" w:name="_Toc353873940"/>
            <w:r>
              <w:rPr>
                <w:rFonts w:hint="eastAsia" w:ascii="宋体" w:hAnsi="宋体" w:cs="宋体"/>
                <w:color w:val="auto"/>
                <w:sz w:val="24"/>
                <w:highlight w:val="none"/>
              </w:rPr>
              <w:t xml:space="preserve">4</w:t>
            </w:r>
            <w:r/>
          </w:p>
        </w:tc>
        <w:tc>
          <w:tcPr>
            <w:tcW w:w="1067"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营业执照</w:t>
            </w:r>
            <w:r/>
          </w:p>
        </w:tc>
        <w:tc>
          <w:tcPr>
            <w:tcW w:w="2535"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有效期内的营业执照</w:t>
            </w:r>
            <w:r/>
          </w:p>
        </w:tc>
        <w:tc>
          <w:tcPr>
            <w:tcW w:w="941" w:type="pct"/>
            <w:vAlign w:val="center"/>
            <w:textDirection w:val="lrTb"/>
            <w:noWrap w:val="false"/>
          </w:tcPr>
          <w:p>
            <w:pPr>
              <w:jc w:val="center"/>
              <w:tabs>
                <w:tab w:val="left" w:pos="1080" w:leader="none"/>
              </w:tabs>
              <w:rPr>
                <w:rFonts w:ascii="宋体" w:hAnsi="宋体" w:cs="宋体"/>
                <w:color w:val="auto"/>
                <w:sz w:val="24"/>
                <w:highlight w:val="none"/>
              </w:rPr>
            </w:pPr>
            <w:r>
              <w:rPr>
                <w:color w:val="auto"/>
                <w:sz w:val="24"/>
                <w:highlight w:val="none"/>
              </w:rPr>
              <w:t xml:space="preserve">提供证明文件的电子件或电子证照</w:t>
            </w:r>
            <w:r>
              <w:rPr>
                <w:rFonts w:hint="eastAsia"/>
                <w:color w:val="auto"/>
                <w:sz w:val="24"/>
                <w:highlight w:val="none"/>
              </w:rPr>
              <w:t xml:space="preserve">并</w:t>
            </w:r>
            <w:r>
              <w:rPr>
                <w:rFonts w:hint="eastAsia" w:ascii="宋体" w:hAnsi="宋体" w:cs="宋体"/>
                <w:color w:val="auto"/>
                <w:sz w:val="24"/>
                <w:highlight w:val="none"/>
              </w:rPr>
              <w:t xml:space="preserve">加盖投标人公章</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322"/>
            <w:r/>
            <w:r/>
          </w:p>
        </w:tc>
      </w:tr>
    </w:tbl>
    <w:p>
      <w:pPr>
        <w:jc w:val="left"/>
        <w:widowControl/>
        <w:rPr>
          <w:color w:val="auto"/>
          <w:sz w:val="24"/>
          <w:highlight w:val="none"/>
        </w:rPr>
      </w:pPr>
      <w:r>
        <w:rPr>
          <w:color w:val="auto"/>
          <w:sz w:val="24"/>
          <w:highlight w:val="none"/>
        </w:rPr>
        <w:br w:type="page" w:clear="all"/>
      </w:r>
      <w:r/>
    </w:p>
    <w:p>
      <w:pPr>
        <w:jc w:val="center"/>
        <w:spacing w:line="360" w:lineRule="auto"/>
        <w:rPr>
          <w:b/>
          <w:color w:val="auto"/>
          <w:sz w:val="36"/>
          <w:szCs w:val="36"/>
          <w:highlight w:val="none"/>
        </w:rPr>
        <w:outlineLvl w:val="0"/>
      </w:pPr>
      <w:r/>
      <w:bookmarkStart w:id="335" w:name="_Toc16982"/>
      <w:r>
        <w:rPr>
          <w:b/>
          <w:color w:val="auto"/>
          <w:sz w:val="36"/>
          <w:szCs w:val="36"/>
          <w:highlight w:val="none"/>
        </w:rPr>
        <w:t xml:space="preserve">第四章   </w:t>
      </w:r>
      <w:bookmarkEnd w:id="330"/>
      <w:r/>
      <w:bookmarkEnd w:id="331"/>
      <w:r/>
      <w:bookmarkEnd w:id="332"/>
      <w:r/>
      <w:bookmarkEnd w:id="333"/>
      <w:r/>
      <w:bookmarkEnd w:id="334"/>
      <w:r/>
      <w:bookmarkStart w:id="336" w:name="_Hlt164229061"/>
      <w:r/>
      <w:bookmarkEnd w:id="336"/>
      <w:r>
        <w:rPr>
          <w:b/>
          <w:color w:val="auto"/>
          <w:sz w:val="36"/>
          <w:szCs w:val="36"/>
          <w:highlight w:val="none"/>
        </w:rPr>
        <w:t xml:space="preserve">评标程序、评标方法和评标标准</w:t>
      </w:r>
      <w:bookmarkEnd w:id="3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3"/>
        </w:numPr>
        <w:ind w:left="0" w:firstLine="480"/>
        <w:spacing w:line="400" w:lineRule="exact"/>
        <w:tabs>
          <w:tab w:val="left" w:pos="360" w:leader="none"/>
        </w:tabs>
        <w:rPr>
          <w:rFonts w:ascii="宋体" w:hAnsi="宋体" w:cs="宋体"/>
          <w:color w:val="auto"/>
          <w:sz w:val="24"/>
          <w:highlight w:val="none"/>
        </w:rPr>
      </w:pPr>
      <w:r/>
      <w:bookmarkStart w:id="337" w:name="_Toc305158809"/>
      <w:r/>
      <w:bookmarkStart w:id="338" w:name="_Toc151193929"/>
      <w:r/>
      <w:bookmarkStart w:id="339" w:name="_Toc164229236"/>
      <w:r/>
      <w:bookmarkStart w:id="340" w:name="_Toc164608810"/>
      <w:r/>
      <w:bookmarkStart w:id="341" w:name="_Toc226309785"/>
      <w:r/>
      <w:bookmarkStart w:id="342" w:name="_Toc150774641"/>
      <w:r/>
      <w:bookmarkStart w:id="343" w:name="_Toc150774746"/>
      <w:r/>
      <w:bookmarkStart w:id="344" w:name="_Toc150509292"/>
      <w:r/>
      <w:bookmarkStart w:id="345" w:name="_Toc164608655"/>
      <w:r/>
      <w:bookmarkStart w:id="346" w:name="_Toc151193639"/>
      <w:r/>
      <w:bookmarkStart w:id="347" w:name="_Toc195842906"/>
      <w:r/>
      <w:bookmarkStart w:id="348" w:name="_Toc226337237"/>
      <w:r/>
      <w:bookmarkStart w:id="349" w:name="_Toc151193711"/>
      <w:r/>
      <w:bookmarkStart w:id="350" w:name="_Toc127151541"/>
      <w:r/>
      <w:bookmarkStart w:id="351" w:name="_Toc150480779"/>
      <w:r/>
      <w:bookmarkStart w:id="352" w:name="_Toc149720834"/>
      <w:r/>
      <w:bookmarkStart w:id="353" w:name="_Toc264969231"/>
      <w:r/>
      <w:bookmarkStart w:id="354" w:name="_Toc151190168"/>
      <w:r/>
      <w:bookmarkStart w:id="355" w:name="_Toc265228379"/>
      <w:r/>
      <w:bookmarkStart w:id="356" w:name="_Toc127151742"/>
      <w:r/>
      <w:bookmarkStart w:id="357" w:name="_Toc305158883"/>
      <w:r/>
      <w:bookmarkStart w:id="358" w:name="_Toc142311043"/>
      <w:r/>
      <w:bookmarkStart w:id="359" w:name="_Toc226965814"/>
      <w:r/>
      <w:bookmarkStart w:id="360" w:name="_Toc226965731"/>
      <w:r/>
      <w:bookmarkStart w:id="361" w:name="_Toc164351635"/>
      <w:r/>
      <w:bookmarkStart w:id="362" w:name="_Toc164229382"/>
      <w:r/>
      <w:bookmarkStart w:id="363" w:name="_Toc151193855"/>
      <w:r/>
      <w:bookmarkStart w:id="364" w:name="_Toc151193783"/>
      <w:r/>
      <w:bookmarkStart w:id="365" w:name="_Toc127161455"/>
      <w:r/>
      <w:bookmarkStart w:id="366" w:name="_Toc353825551"/>
      <w:r/>
      <w:bookmarkStart w:id="367" w:name="_Toc353873941"/>
      <w:r/>
      <w:bookmarkStart w:id="368" w:name="_Toc265228393"/>
      <w:r/>
      <w:bookmarkStart w:id="369" w:name="_Toc150480793"/>
      <w:r/>
      <w:bookmarkStart w:id="370" w:name="_Toc150774760"/>
      <w:r/>
      <w:bookmarkStart w:id="371" w:name="_Toc142311057"/>
      <w:r/>
      <w:bookmarkStart w:id="372" w:name="_Toc226965828"/>
      <w:r/>
      <w:bookmarkStart w:id="373" w:name="_Toc305158897"/>
      <w:r/>
      <w:bookmarkStart w:id="374" w:name="_Toc127151555"/>
      <w:r/>
      <w:bookmarkStart w:id="375" w:name="_Toc264969245"/>
      <w:r/>
      <w:bookmarkStart w:id="376" w:name="_Toc305158823"/>
      <w:r/>
      <w:bookmarkStart w:id="377" w:name="_Toc353825545"/>
      <w:r/>
      <w:bookmarkStart w:id="378" w:name="_Toc195842920"/>
      <w:r/>
      <w:bookmarkStart w:id="379" w:name="_Toc353873665"/>
      <w:r/>
      <w:bookmarkStart w:id="380" w:name="_Toc226337251"/>
      <w:r/>
      <w:bookmarkStart w:id="381" w:name="_Toc353873935"/>
      <w:r>
        <w:rPr>
          <w:rFonts w:hint="eastAsia" w:ascii="宋体" w:hAnsi="宋体" w:cs="宋体"/>
          <w:color w:val="auto"/>
          <w:sz w:val="24"/>
          <w:highlight w:val="none"/>
        </w:rPr>
        <w:t xml:space="preserve">投标文件的符合性审查</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382" w:name="_Toc520356167"/>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82"/>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1011"/>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680"/>
        <w:gridCol w:w="6298"/>
      </w:tblGrid>
      <w:tr>
        <w:trPr>
          <w:jc w:val="center"/>
          <w:trHeight w:val="283"/>
          <w:tblHeader/>
        </w:trPr>
        <w:tc>
          <w:tcPr>
            <w:tcW w:w="459"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956"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584"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bookmarkStart w:id="383" w:name="OLE_LINK106"/>
            <w:r/>
            <w:bookmarkStart w:id="384" w:name="OLE_LINK105"/>
            <w:r/>
            <w:bookmarkStart w:id="385" w:name="OLE_LINK104"/>
            <w:r/>
            <w:bookmarkStart w:id="386" w:name="_Hlk223810040"/>
            <w:r>
              <w:rPr>
                <w:rFonts w:hint="eastAsia" w:ascii="宋体" w:hAnsi="宋体" w:cs="宋体"/>
                <w:color w:val="auto"/>
                <w:sz w:val="24"/>
                <w:highlight w:val="none"/>
              </w:rPr>
              <w:t xml:space="preserve">1</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投标函、</w:t>
            </w:r>
            <w:r>
              <w:rPr>
                <w:rFonts w:hint="eastAsia" w:ascii="宋体" w:hAnsi="宋体" w:cs="宋体"/>
                <w:color w:val="auto"/>
                <w:sz w:val="24"/>
                <w:highlight w:val="none"/>
              </w:rPr>
              <w:t xml:space="preserve">法定代表人资格证明书（或授权委托书）和政府采购供应商信用承诺书</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按招标文件要求提供投标函、</w:t>
            </w:r>
            <w:r>
              <w:rPr>
                <w:rFonts w:hint="eastAsia" w:ascii="宋体" w:hAnsi="宋体" w:cs="宋体"/>
                <w:color w:val="auto"/>
                <w:sz w:val="24"/>
                <w:highlight w:val="none"/>
              </w:rPr>
              <w:t xml:space="preserve">法定代表人资格证明书（或授权委托书）和政府采购供应商信用承诺书</w:t>
            </w:r>
            <w:r>
              <w:rPr>
                <w:rFonts w:hint="eastAsia" w:ascii="宋体" w:hAnsi="宋体" w:cs="宋体"/>
                <w:color w:val="auto"/>
                <w:sz w:val="24"/>
                <w:highlight w:val="none"/>
              </w:rPr>
              <w:t xml:space="preserve">；</w:t>
            </w:r>
            <w:r>
              <w:rPr>
                <w:rFonts w:ascii="宋体" w:hAnsi="宋体"/>
                <w:b/>
                <w:bCs/>
                <w:color w:val="auto"/>
                <w:sz w:val="24"/>
                <w:highlight w:val="none"/>
              </w:rPr>
              <w:t xml:space="preserve">格式见《投标文件格式》</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rPr>
                <w:rFonts w:hint="eastAsia" w:ascii="宋体" w:hAnsi="宋体"/>
                <w:b/>
                <w:bCs/>
                <w:color w:val="auto"/>
                <w:sz w:val="24"/>
                <w:highlight w:val="none"/>
              </w:rPr>
              <w:t xml:space="preserve">（由评委审查，无需投标人提供材料）</w:t>
            </w:r>
            <w:r/>
          </w:p>
        </w:tc>
      </w:tr>
      <w:tr>
        <w:trPr>
          <w:jc w:val="center"/>
          <w:trHeight w:val="714"/>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投标报价未</w:t>
            </w:r>
            <w:r>
              <w:rPr>
                <w:rFonts w:hint="eastAsia" w:ascii="宋体" w:hAnsi="宋体" w:cs="宋体"/>
                <w:color w:val="auto"/>
                <w:sz w:val="24"/>
                <w:highlight w:val="none"/>
              </w:rPr>
              <w:t xml:space="preserve">超过招标文件中规定的项目/采购包预算金额或者项目/采购包最高限价</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提供</w:t>
            </w:r>
            <w:r>
              <w:rPr>
                <w:rFonts w:ascii="宋体" w:hAnsi="宋体"/>
                <w:b/>
                <w:bCs/>
                <w:color w:val="auto"/>
                <w:sz w:val="24"/>
                <w:highlight w:val="none"/>
              </w:rPr>
              <w:t xml:space="preserve">《</w:t>
            </w:r>
            <w:r>
              <w:rPr>
                <w:rFonts w:hint="eastAsia" w:ascii="宋体" w:hAnsi="宋体"/>
                <w:b/>
                <w:bCs/>
                <w:color w:val="auto"/>
                <w:sz w:val="24"/>
                <w:highlight w:val="none"/>
              </w:rPr>
              <w:t xml:space="preserve">开标一览表</w:t>
            </w:r>
            <w:r>
              <w:rPr>
                <w:rFonts w:ascii="宋体" w:hAnsi="宋体"/>
                <w:b/>
                <w:bCs/>
                <w:color w:val="auto"/>
                <w:sz w:val="24"/>
                <w:highlight w:val="none"/>
              </w:rPr>
              <w:t xml:space="preserve">》</w:t>
            </w:r>
            <w:r>
              <w:rPr>
                <w:rFonts w:hint="eastAsia" w:ascii="宋体" w:hAnsi="宋体"/>
                <w:b/>
                <w:bCs/>
                <w:color w:val="auto"/>
                <w:sz w:val="24"/>
                <w:highlight w:val="none"/>
              </w:rPr>
              <w:t xml:space="preserve">、《投标分项报价表》，</w:t>
            </w:r>
            <w:r>
              <w:rPr>
                <w:rFonts w:hint="eastAsia" w:ascii="宋体" w:hAnsi="宋体"/>
                <w:b/>
                <w:bCs/>
                <w:color w:val="auto"/>
                <w:sz w:val="24"/>
                <w:highlight w:val="none"/>
              </w:rPr>
              <w:t xml:space="preserve">格式见</w:t>
            </w:r>
            <w:r>
              <w:rPr>
                <w:rFonts w:ascii="宋体" w:hAnsi="宋体"/>
                <w:b/>
                <w:bCs/>
                <w:color w:val="auto"/>
                <w:sz w:val="24"/>
                <w:highlight w:val="none"/>
              </w:rPr>
              <w:t xml:space="preserve">《投标文件格式》</w:t>
            </w:r>
            <w:r>
              <w:rPr>
                <w:rFonts w:hint="eastAsia" w:ascii="宋体" w:hAnsi="宋体" w:cs="宋体"/>
                <w:b/>
                <w:bCs/>
                <w:color w:val="auto"/>
                <w:sz w:val="24"/>
                <w:highlight w:val="none"/>
              </w:rPr>
              <w:t xml:space="preserve">）</w:t>
            </w:r>
            <w:bookmarkEnd w:id="383"/>
            <w:r/>
            <w:bookmarkEnd w:id="384"/>
            <w:r/>
            <w:bookmarkEnd w:id="385"/>
            <w:r/>
            <w:bookmarkEnd w:id="386"/>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投标文件未</w:t>
            </w:r>
            <w:r>
              <w:rPr>
                <w:rFonts w:hint="eastAsia" w:ascii="宋体" w:hAnsi="宋体" w:cs="宋体"/>
                <w:color w:val="auto"/>
                <w:sz w:val="24"/>
                <w:highlight w:val="none"/>
              </w:rPr>
              <w:t xml:space="preserve">出现可选择性或可调整的报价（招标文件另有规定的除外）</w:t>
            </w:r>
            <w:r>
              <w:rPr>
                <w:rFonts w:hint="eastAsia" w:ascii="宋体" w:hAnsi="宋体" w:cs="宋体"/>
                <w:color w:val="auto"/>
                <w:sz w:val="24"/>
                <w:highlight w:val="none"/>
              </w:rPr>
              <w:t xml:space="preserve">；</w:t>
            </w:r>
            <w:r>
              <w:rPr>
                <w:rFonts w:hint="eastAsia" w:ascii="宋体" w:hAnsi="宋体"/>
                <w:b/>
                <w:bCs/>
                <w:color w:val="auto"/>
                <w:sz w:val="24"/>
                <w:highlight w:val="none"/>
              </w:rPr>
              <w:t xml:space="preserve">（由评委审查，无需投标人提供材料）</w:t>
            </w:r>
            <w:r/>
          </w:p>
        </w:tc>
      </w:tr>
      <w:tr>
        <w:trPr>
          <w:jc w:val="center"/>
          <w:trHeight w:val="628"/>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584" w:type="pct"/>
            <w:vAlign w:val="center"/>
            <w:textDirection w:val="lrTb"/>
            <w:noWrap w:val="false"/>
          </w:tcPr>
          <w:p>
            <w:pPr>
              <w:widowControl/>
              <w:rPr>
                <w:rFonts w:ascii="宋体" w:hAnsi="宋体" w:cs="宋体"/>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rPr>
                <w:rFonts w:hint="eastAsia"/>
                <w:b/>
                <w:bCs/>
                <w:color w:val="auto"/>
                <w:sz w:val="24"/>
                <w:highlight w:val="none"/>
              </w:rPr>
              <w:t xml:space="preserve">（</w:t>
            </w:r>
            <w:r>
              <w:rPr>
                <w:rFonts w:hint="eastAsia" w:ascii="宋体" w:hAnsi="宋体"/>
                <w:b/>
                <w:bCs/>
                <w:color w:val="auto"/>
                <w:sz w:val="24"/>
                <w:highlight w:val="none"/>
              </w:rPr>
              <w:t xml:space="preserve">除前面已提供的实质性格式文件以外，还需提供：合同条款偏离表，采购需求偏离表；</w:t>
            </w:r>
            <w:r>
              <w:rPr>
                <w:rFonts w:ascii="宋体" w:hAnsi="宋体"/>
                <w:b/>
                <w:bCs/>
                <w:color w:val="auto"/>
                <w:sz w:val="24"/>
                <w:highlight w:val="none"/>
              </w:rPr>
              <w:t xml:space="preserve">格式见《投标文件格式》</w:t>
            </w:r>
            <w:r>
              <w:rPr>
                <w:rFonts w:hint="eastAsia"/>
                <w:b/>
                <w:bCs/>
                <w:color w:val="auto"/>
                <w:sz w:val="24"/>
                <w:highlight w:val="none"/>
              </w:rPr>
              <w:t xml:space="preserve">）</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bookmarkStart w:id="387" w:name="OLE_LINK108"/>
            <w:r/>
            <w:bookmarkStart w:id="388" w:name="_Hlk223810043"/>
            <w:r/>
            <w:bookmarkStart w:id="389" w:name="OLE_LINK107"/>
            <w:r>
              <w:rPr>
                <w:rFonts w:hint="eastAsia" w:ascii="宋体" w:hAnsi="宋体" w:cs="宋体"/>
                <w:color w:val="auto"/>
                <w:sz w:val="24"/>
                <w:highlight w:val="none"/>
              </w:rPr>
              <w:t xml:space="preserve">8</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58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rPr>
                <w:rFonts w:hint="eastAsia" w:ascii="宋体" w:hAnsi="宋体"/>
                <w:b/>
                <w:color w:val="auto"/>
                <w:sz w:val="24"/>
                <w:highlight w:val="none"/>
              </w:rPr>
              <w:t xml:space="preserve">如有的，根据文件列出的★号条款，按照序号逐项提供相关证明材料。</w:t>
            </w:r>
            <w:bookmarkEnd w:id="387"/>
            <w:r/>
            <w:bookmarkEnd w:id="388"/>
            <w:r/>
            <w:bookmarkEnd w:id="389"/>
            <w:r/>
            <w:r/>
          </w:p>
        </w:tc>
      </w:tr>
      <w:tr>
        <w:trPr>
          <w:jc w:val="center"/>
          <w:trHeight w:val="378"/>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1252"/>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584"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报价合理，或</w:t>
            </w:r>
            <w:r>
              <w:rPr>
                <w:rFonts w:hint="eastAsia" w:ascii="宋体" w:hAnsi="宋体" w:cs="宋体"/>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sz w:val="24"/>
                <w:highlight w:val="none"/>
              </w:rPr>
              <w:t xml:space="preserve">；</w:t>
            </w:r>
            <w:bookmarkStart w:id="390" w:name="OLE_LINK109"/>
            <w:r/>
            <w:bookmarkStart w:id="391" w:name="OLE_LINK111"/>
            <w:r/>
            <w:bookmarkStart w:id="392" w:name="OLE_LINK110"/>
            <w:r/>
            <w:r/>
          </w:p>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根据苏财购〔2026〕36号文件规定，</w:t>
            </w:r>
            <w:r>
              <w:rPr>
                <w:rFonts w:hint="eastAsia" w:ascii="宋体" w:hAnsi="宋体" w:cs="宋体"/>
                <w:b/>
                <w:bCs/>
                <w:color w:val="auto"/>
                <w:sz w:val="24"/>
                <w:highlight w:val="none"/>
              </w:rPr>
              <w:t xml:space="preserve">评审过程中出现下列情形之一的，评审委员会应当启动异常低价投标（响应）审查程序： </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w:t>
            </w:r>
            <w:bookmarkEnd w:id="390"/>
            <w:r/>
            <w:bookmarkEnd w:id="391"/>
            <w:r/>
            <w:bookmarkEnd w:id="392"/>
            <w:r>
              <w:rPr>
                <w:rFonts w:hint="eastAsia" w:ascii="宋体" w:hAnsi="宋体" w:cs="宋体"/>
                <w:color w:val="auto"/>
                <w:sz w:val="24"/>
                <w:highlight w:val="none"/>
              </w:rPr>
              <w:t xml:space="preserve">过符合性审查供应商投标（响应）报价平均值50%的，即投标（响应）报价&lt;全部通过符合性审查供应商投标（响应）报价平均值×50%；</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异常低价投标（响应）审查的启动原因、审查意见和审查结果将在评审报告中记录，并随供应商提供的相关书面说明及证明材料，以及评审委员会有关互联网浏览、查询历史一并归档。</w:t>
            </w:r>
            <w:r/>
          </w:p>
        </w:tc>
      </w:tr>
      <w:tr>
        <w:trPr>
          <w:jc w:val="center"/>
          <w:trHeight w:val="285"/>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进口产品</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接受进口产品投标</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3584"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w:t>
            </w:r>
            <w:r>
              <w:rPr>
                <w:rFonts w:hint="eastAsia" w:ascii="宋体" w:hAnsi="宋体"/>
                <w:b/>
                <w:color w:val="auto"/>
                <w:sz w:val="24"/>
                <w:highlight w:val="none"/>
              </w:rPr>
              <w:t xml:space="preserve">如有下列情形的，</w:t>
            </w:r>
            <w:r>
              <w:rPr>
                <w:rFonts w:ascii="宋体" w:hAnsi="宋体"/>
                <w:b/>
                <w:color w:val="auto"/>
                <w:sz w:val="24"/>
                <w:highlight w:val="none"/>
              </w:rPr>
              <w:t xml:space="preserve">投标人的投标产品</w:t>
            </w:r>
            <w:r>
              <w:rPr>
                <w:rFonts w:hint="eastAsia" w:ascii="宋体" w:hAnsi="宋体"/>
                <w:b/>
                <w:color w:val="auto"/>
                <w:sz w:val="24"/>
                <w:highlight w:val="none"/>
              </w:rPr>
              <w:t xml:space="preserve">应</w:t>
            </w:r>
            <w:r>
              <w:rPr>
                <w:rFonts w:ascii="宋体" w:hAnsi="宋体"/>
                <w:b/>
                <w:color w:val="auto"/>
                <w:sz w:val="24"/>
                <w:highlight w:val="none"/>
              </w:rPr>
              <w:t xml:space="preserve">符合相应规定或要求</w:t>
            </w:r>
            <w:r>
              <w:rPr>
                <w:rFonts w:hint="eastAsia" w:ascii="宋体" w:hAnsi="宋体"/>
                <w:b/>
                <w:color w:val="auto"/>
                <w:sz w:val="24"/>
                <w:highlight w:val="none"/>
              </w:rPr>
              <w:t xml:space="preserve">，并提供证明文件电子件</w:t>
            </w:r>
            <w:r>
              <w:rPr>
                <w:rFonts w:hint="eastAsia"/>
                <w:color w:val="auto"/>
                <w:sz w:val="24"/>
                <w:highlight w:val="none"/>
              </w:rPr>
              <w:t xml:space="preserve">：</w:t>
            </w:r>
            <w:r/>
          </w:p>
          <w:p>
            <w:pPr>
              <w:widowControl/>
              <w:rPr>
                <w:rFonts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widowControl/>
              <w:rPr>
                <w:rFonts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p>
          <w:p>
            <w:pPr>
              <w:widowControl/>
              <w:rPr>
                <w:rFonts w:ascii="宋体" w:hAnsi="宋体" w:cs="宋体"/>
                <w:color w:val="auto"/>
                <w:sz w:val="24"/>
                <w:highlight w:val="none"/>
              </w:rPr>
            </w:pPr>
            <w:r>
              <w:rPr>
                <w:rFonts w:hint="eastAsia" w:ascii="宋体" w:hAnsi="宋体" w:cs="宋体"/>
                <w:color w:val="auto"/>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color w:val="auto"/>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串通投标</w:t>
            </w:r>
            <w:r/>
          </w:p>
        </w:tc>
        <w:tc>
          <w:tcPr>
            <w:tcW w:w="3584" w:type="pct"/>
            <w:vAlign w:val="center"/>
            <w:textDirection w:val="lrTb"/>
            <w:noWrap w:val="false"/>
          </w:tcPr>
          <w:p>
            <w:pPr>
              <w:widowControl/>
              <w:rPr>
                <w:rFonts w:ascii="宋体" w:hAnsi="宋体" w:cs="宋体"/>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 xml:space="preserve">；</w:t>
            </w:r>
            <w:r>
              <w:rPr>
                <w:rFonts w:hint="eastAsia" w:ascii="宋体" w:hAnsi="宋体"/>
                <w:b/>
                <w:bCs/>
                <w:color w:val="auto"/>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rPr>
                <w:rFonts w:hint="eastAsia" w:ascii="宋体" w:hAnsi="宋体"/>
                <w:b/>
                <w:bCs/>
                <w:color w:val="auto"/>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w:t>
            </w:r>
            <w:r/>
          </w:p>
        </w:tc>
        <w:tc>
          <w:tcPr>
            <w:tcW w:w="9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58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rPr>
                <w:rFonts w:hint="eastAsia" w:ascii="宋体" w:hAnsi="宋体"/>
                <w:b/>
                <w:bCs/>
                <w:color w:val="auto"/>
                <w:sz w:val="24"/>
                <w:highlight w:val="none"/>
              </w:rPr>
              <w:t xml:space="preserve">（由评委审查，无需投标人提供材料）</w:t>
            </w:r>
            <w:r/>
          </w:p>
        </w:tc>
      </w:tr>
    </w:tbl>
    <w:p>
      <w:pPr>
        <w:numPr>
          <w:ilvl w:val="0"/>
          <w:numId w:val="3"/>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投标文件有关事项的澄清或者说明</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3"/>
        </w:num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□有，具体规定为：______________</w:t>
      </w:r>
      <w:r/>
    </w:p>
    <w:p>
      <w:p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3"/>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3"/>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3"/>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3"/>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3"/>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3"/>
        </w:num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b/>
          <w:bCs/>
          <w:color w:val="auto"/>
          <w:sz w:val="24"/>
          <w:highlight w:val="none"/>
          <w:u w:val="single"/>
        </w:rPr>
        <w:t xml:space="preserve">20</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的扣除，用扣除后的价格参加评审。</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bookmarkStart w:id="393" w:name="OLE_LINK112"/>
      <w:r/>
      <w:bookmarkStart w:id="394" w:name="OLE_LINK113"/>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bookmarkEnd w:id="393"/>
      <w:r/>
      <w:bookmarkEnd w:id="394"/>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组成联合体或者接受分</w:t>
      </w:r>
      <w:bookmarkStart w:id="395" w:name="OLE_LINK3"/>
      <w:r/>
      <w:bookmarkStart w:id="396" w:name="OLE_LINK4"/>
      <w:r>
        <w:rPr>
          <w:rFonts w:hint="eastAsia" w:ascii="宋体" w:hAnsi="宋体" w:cs="宋体"/>
          <w:color w:val="auto"/>
          <w:sz w:val="24"/>
          <w:highlight w:val="none"/>
        </w:rPr>
        <w:t xml:space="preserve">包的小微企</w:t>
      </w:r>
      <w:bookmarkEnd w:id="395"/>
      <w:r/>
      <w:bookmarkEnd w:id="396"/>
      <w:r>
        <w:rPr>
          <w:rFonts w:hint="eastAsia" w:ascii="宋体" w:hAnsi="宋体" w:cs="宋体"/>
          <w:color w:val="auto"/>
          <w:sz w:val="24"/>
          <w:highlight w:val="none"/>
        </w:rPr>
        <w:t xml:space="preserve">业与联合体内其他企业、分包企业之间存在直接控股、管理关系的，不享受价格扣除优惠政策。</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2"/>
          <w:numId w:val="3"/>
        </w:numPr>
        <w:ind w:firstLine="480"/>
        <w:spacing w:line="400" w:lineRule="exact"/>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3"/>
        </w:numPr>
        <w:ind w:left="0" w:firstLine="480"/>
        <w:spacing w:line="400" w:lineRule="exact"/>
        <w:tabs>
          <w:tab w:val="left" w:pos="1080" w:leader="none"/>
        </w:tabs>
        <w:rPr>
          <w:rFonts w:hint="eastAsia" w:ascii="宋体" w:hAnsi="宋体" w:cs="宋体"/>
          <w:color w:val="auto"/>
          <w:sz w:val="24"/>
          <w:highlight w:val="none"/>
        </w:rPr>
      </w:pPr>
      <w:r/>
      <w:bookmarkStart w:id="397" w:name="OLE_LINK6"/>
      <w:r/>
      <w:bookmarkStart w:id="398" w:name="OLE_LINK5"/>
      <w:r>
        <w:rPr>
          <w:rFonts w:hint="eastAsia" w:ascii="宋体" w:hAnsi="宋体" w:cs="宋体"/>
          <w:color w:val="auto"/>
          <w:sz w:val="24"/>
          <w:highlight w:val="none"/>
        </w:rPr>
        <w:t xml:space="preserve">采购本国产品的支持政策</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本项目政府采购活动中既有本国产品又有非本国产品参与竞争的，依法对本国产品给予价格评审优惠，</w:t>
      </w:r>
      <w:bookmarkStart w:id="399" w:name="OLE_LINK114"/>
      <w:r>
        <w:rPr>
          <w:rFonts w:hint="eastAsia" w:ascii="宋体" w:hAnsi="宋体" w:cs="宋体"/>
          <w:color w:val="auto"/>
          <w:sz w:val="24"/>
          <w:highlight w:val="none"/>
        </w:rPr>
        <w:t xml:space="preserve">对本国产品的报价给予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的价格扣除，用扣除后的价格参与评审。</w:t>
      </w:r>
      <w:bookmarkEnd w:id="399"/>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当采购项目或者采购包中含有多种产品，供应商为该采购项目或者采购包提供的符合本国产品标准的产品</w:t>
      </w:r>
      <w:bookmarkStart w:id="400" w:name="OLE_LINK115"/>
      <w:r>
        <w:rPr>
          <w:rFonts w:hint="eastAsia" w:ascii="宋体" w:hAnsi="宋体" w:cs="宋体"/>
          <w:color w:val="auto"/>
          <w:sz w:val="24"/>
          <w:highlight w:val="none"/>
        </w:rPr>
        <w:t xml:space="preserve">成本之和占该供应商提供的全部产品成本之和的比例达到</w:t>
      </w:r>
      <w:r>
        <w:rPr>
          <w:rFonts w:hint="eastAsia" w:ascii="宋体" w:hAnsi="宋体" w:cs="宋体"/>
          <w:color w:val="auto"/>
          <w:sz w:val="24"/>
          <w:highlight w:val="none"/>
          <w:u w:val="single"/>
        </w:rPr>
        <w:t xml:space="preserve">80%</w:t>
      </w:r>
      <w:r>
        <w:rPr>
          <w:rFonts w:hint="eastAsia" w:ascii="宋体" w:hAnsi="宋体" w:cs="宋体"/>
          <w:color w:val="auto"/>
          <w:sz w:val="24"/>
          <w:highlight w:val="none"/>
        </w:rPr>
        <w:t xml:space="preserve">以上时（供应商需在“第六章 投标文件格式”的“附件</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 投标分项报价表”中填写比例数值），依法对该供应商提供的全部产品给予价格评审优惠，即对该供应商提供的全部产品的总报价给予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的价格扣除，</w:t>
      </w:r>
      <w:bookmarkEnd w:id="400"/>
      <w:r>
        <w:rPr>
          <w:rFonts w:hint="eastAsia" w:ascii="宋体" w:hAnsi="宋体" w:cs="宋体"/>
          <w:color w:val="auto"/>
          <w:sz w:val="24"/>
          <w:highlight w:val="none"/>
        </w:rPr>
        <w:t xml:space="preserve">用扣除后的价格参与评审。供应商未填写比例数值，或比例数值未达到80%的，将不享受本国产品价格评审优惠。</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 供应商需按照招标文件的要求提供《关于符合本国产品标准的声明函》（以下简称《声明函》），如不提供将不享受本国产品价格评审优惠。</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397"/>
      <w:r/>
      <w:bookmarkEnd w:id="398"/>
      <w:r/>
      <w:r/>
    </w:p>
    <w:p>
      <w:pPr>
        <w:numPr>
          <w:ilvl w:val="0"/>
          <w:numId w:val="3"/>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投标文件的比较和评价</w:t>
      </w:r>
      <w:bookmarkEnd w:id="366"/>
      <w:r/>
      <w:bookmarkEnd w:id="367"/>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firstLine="480"/>
        <w:spacing w:line="400" w:lineRule="exact"/>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400" w:lineRule="exact"/>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400" w:lineRule="exact"/>
        <w:tabs>
          <w:tab w:val="left" w:pos="1080" w:leader="none"/>
          <w:tab w:val="left" w:pos="1589" w:leader="none"/>
          <w:tab w:val="left" w:pos="2035" w:leader="none"/>
        </w:tabs>
        <w:rPr>
          <w:rFonts w:ascii="宋体" w:hAnsi="宋体" w:cs="宋体"/>
          <w:color w:val="auto"/>
          <w:sz w:val="24"/>
          <w:highlight w:val="none"/>
          <w:u w:val="single"/>
        </w:rPr>
      </w:pPr>
      <w:r>
        <w:rPr>
          <w:rFonts w:hint="eastAsia" w:ascii="宋体" w:hAnsi="宋体" w:cs="宋体"/>
          <w:color w:val="auto"/>
          <w:sz w:val="24"/>
          <w:highlight w:val="none"/>
        </w:rPr>
        <w:t xml:space="preserve">□其他方式，具体要求：__/___</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3"/>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关于无线局域网认证产品政府采购清单中的产品，优先采购的具体规定（如涉及）__/__。</w:t>
      </w:r>
      <w:r/>
    </w:p>
    <w:p>
      <w:pPr>
        <w:numPr>
          <w:ilvl w:val="0"/>
          <w:numId w:val="3"/>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Start w:id="401" w:name="_Toc127161460"/>
      <w:r/>
      <w:bookmarkStart w:id="402" w:name="_Toc151190173"/>
      <w:r/>
      <w:bookmarkStart w:id="403" w:name="_Toc150774751"/>
      <w:r/>
      <w:bookmarkStart w:id="404" w:name="_Toc164229387"/>
      <w:r/>
      <w:bookmarkStart w:id="405" w:name="_Toc305158888"/>
      <w:r/>
      <w:bookmarkStart w:id="406" w:name="_Toc305158814"/>
      <w:r/>
      <w:bookmarkStart w:id="407" w:name="_Toc127151747"/>
      <w:r/>
      <w:bookmarkStart w:id="408" w:name="_Toc264969236"/>
      <w:r/>
      <w:bookmarkStart w:id="409" w:name="_Toc164608815"/>
      <w:r/>
      <w:bookmarkStart w:id="410" w:name="_Toc195842911"/>
      <w:r/>
      <w:bookmarkStart w:id="411" w:name="_Toc150480784"/>
      <w:r/>
      <w:bookmarkStart w:id="412" w:name="_Toc151193788"/>
      <w:r/>
      <w:bookmarkStart w:id="413" w:name="_Toc226337242"/>
      <w:r/>
      <w:bookmarkStart w:id="414" w:name="_Toc226965819"/>
      <w:r/>
      <w:bookmarkStart w:id="415" w:name="_Toc164351640"/>
      <w:r/>
      <w:bookmarkStart w:id="416" w:name="_Toc127151546"/>
      <w:r/>
      <w:bookmarkStart w:id="417" w:name="_Toc151193716"/>
      <w:r/>
      <w:bookmarkStart w:id="418" w:name="_Toc164608660"/>
      <w:r/>
      <w:bookmarkStart w:id="419" w:name="_Toc151193644"/>
      <w:r/>
      <w:bookmarkStart w:id="420" w:name="_Toc226965736"/>
      <w:r/>
      <w:bookmarkStart w:id="421" w:name="_Toc150509297"/>
      <w:r/>
      <w:bookmarkStart w:id="422" w:name="_Toc520356170"/>
      <w:r/>
      <w:bookmarkStart w:id="423" w:name="_Toc142311048"/>
      <w:r/>
      <w:bookmarkStart w:id="424" w:name="_Toc226309790"/>
      <w:r/>
      <w:bookmarkStart w:id="425" w:name="_Toc265228384"/>
      <w:r/>
      <w:bookmarkStart w:id="426" w:name="_Ref467307010"/>
      <w:r/>
      <w:bookmarkStart w:id="427" w:name="_Toc150774646"/>
      <w:r/>
      <w:bookmarkStart w:id="428" w:name="_Toc164229241"/>
      <w:r/>
      <w:bookmarkStart w:id="429" w:name="_Toc149720839"/>
      <w:r/>
      <w:bookmarkStart w:id="430" w:name="_Toc151193860"/>
      <w:r/>
      <w:bookmarkStart w:id="431" w:name="_Toc151193934"/>
      <w:r>
        <w:rPr>
          <w:rFonts w:hint="eastAsia" w:ascii="宋体" w:hAnsi="宋体" w:cs="宋体"/>
          <w:color w:val="auto"/>
          <w:sz w:val="24"/>
          <w:highlight w:val="none"/>
        </w:rPr>
        <w:t xml:space="preserve">中标候选人名单</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22"/>
        <w:ind w:firstLine="480"/>
        <w:spacing w:line="400" w:lineRule="exact"/>
        <w:tabs>
          <w:tab w:val="left" w:pos="900" w:leader="none"/>
          <w:tab w:val="left" w:pos="2127" w:leader="none"/>
        </w:tabs>
        <w:rPr>
          <w:rFonts w:hint="default" w:hAnsi="宋体" w:cs="宋体"/>
          <w:color w:val="auto"/>
          <w:sz w:val="24"/>
          <w:szCs w:val="24"/>
          <w:highlight w:val="none"/>
        </w:rPr>
      </w:pPr>
      <w:r>
        <w:rPr>
          <w:rFonts w:hAnsi="宋体" w:cs="宋体"/>
          <w:color w:val="auto"/>
          <w:sz w:val="24"/>
          <w:szCs w:val="24"/>
          <w:highlight w:val="none"/>
        </w:rPr>
        <w:t xml:space="preserve">■随机抽取</w:t>
      </w:r>
      <w:r/>
    </w:p>
    <w:p>
      <w:pPr>
        <w:pStyle w:val="1022"/>
        <w:ind w:firstLine="480"/>
        <w:spacing w:line="400" w:lineRule="exact"/>
        <w:tabs>
          <w:tab w:val="left" w:pos="900" w:leader="none"/>
          <w:tab w:val="left" w:pos="2127" w:leader="none"/>
        </w:tabs>
        <w:rPr>
          <w:rFonts w:hint="default" w:hAnsi="宋体" w:cs="宋体"/>
          <w:color w:val="auto"/>
          <w:sz w:val="24"/>
          <w:szCs w:val="24"/>
          <w:highlight w:val="none"/>
        </w:rPr>
      </w:pPr>
      <w:r>
        <w:rPr>
          <w:rFonts w:hAnsi="宋体" w:cs="宋体"/>
          <w:color w:val="auto"/>
          <w:sz w:val="24"/>
          <w:szCs w:val="24"/>
          <w:highlight w:val="none"/>
        </w:rPr>
        <w:t xml:space="preserve">□其他方式，具体要求：_____</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评标委员会将根据各投标人的评标排序，依次推荐本项目的中标候选人，起草并签署评标报告。本项目评标委员会共推荐1名中标候选人。</w:t>
      </w:r>
      <w:r/>
    </w:p>
    <w:p>
      <w:pPr>
        <w:numPr>
          <w:ilvl w:val="0"/>
          <w:numId w:val="3"/>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报告违法行为</w:t>
      </w:r>
      <w:r/>
    </w:p>
    <w:p>
      <w:pPr>
        <w:numPr>
          <w:ilvl w:val="1"/>
          <w:numId w:val="3"/>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b/>
          <w:color w:val="auto"/>
          <w:sz w:val="24"/>
          <w:highlight w:val="none"/>
        </w:rPr>
        <w:outlineLvl w:val="1"/>
      </w:pPr>
      <w:r>
        <w:rPr>
          <w:b/>
          <w:color w:val="auto"/>
          <w:sz w:val="24"/>
          <w:highlight w:val="none"/>
        </w:rPr>
        <w:br w:type="page" w:clear="all"/>
      </w:r>
      <w:r>
        <w:rPr>
          <w:rFonts w:hint="eastAsia"/>
          <w:b/>
          <w:color w:val="auto"/>
          <w:sz w:val="24"/>
          <w:highlight w:val="none"/>
        </w:rPr>
        <w:t xml:space="preserve">二、评标标准</w:t>
      </w:r>
      <w:r/>
    </w:p>
    <w:tbl>
      <w:tblPr>
        <w:tblStyle w:val="1011"/>
        <w:tblW w:w="53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318"/>
        <w:gridCol w:w="888"/>
        <w:gridCol w:w="6024"/>
      </w:tblGrid>
      <w:tr>
        <w:trPr>
          <w:jc w:val="center"/>
          <w:trHeight w:val="386"/>
          <w:tblHeader/>
        </w:trPr>
        <w:tc>
          <w:tcPr>
            <w:tcW w:w="459"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27"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评分项目</w:t>
            </w:r>
            <w:r/>
          </w:p>
        </w:tc>
        <w:tc>
          <w:tcPr>
            <w:tcW w:w="490"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3322"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90"/>
        </w:trPr>
        <w:tc>
          <w:tcPr>
            <w:tcW w:w="459"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bookmarkStart w:id="432" w:name="OLE_LINK389"/>
            <w:r/>
            <w:bookmarkStart w:id="433" w:name="OLE_LINK392"/>
            <w:r/>
            <w:bookmarkStart w:id="434" w:name="OLE_LINK388"/>
            <w:r/>
            <w:bookmarkStart w:id="435" w:name="OLE_LINK391"/>
            <w:r/>
            <w:bookmarkStart w:id="436" w:name="OLE_LINK390"/>
            <w:r/>
            <w:bookmarkStart w:id="437" w:name="OLE_LINK387"/>
            <w:r/>
            <w:bookmarkStart w:id="438" w:name="_Hlk223814120"/>
            <w:r>
              <w:rPr>
                <w:rFonts w:hint="eastAsia" w:ascii="宋体" w:hAnsi="宋体" w:eastAsia="宋体" w:cs="宋体"/>
                <w:b/>
                <w:bCs/>
                <w:color w:val="auto"/>
                <w:sz w:val="24"/>
                <w:szCs w:val="24"/>
                <w:highlight w:val="none"/>
              </w:rPr>
              <w:t xml:space="preserve">1</w:t>
            </w:r>
            <w:r/>
          </w:p>
        </w:tc>
        <w:tc>
          <w:tcPr>
            <w:tcW w:w="727"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价格分</w:t>
            </w:r>
            <w:r/>
          </w:p>
        </w:tc>
        <w:tc>
          <w:tcPr>
            <w:tcW w:w="490"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w:t>
            </w:r>
            <w:r/>
          </w:p>
        </w:tc>
        <w:tc>
          <w:tcPr>
            <w:tcW w:w="3322" w:type="pct"/>
            <w:vAlign w:val="center"/>
            <w:textDirection w:val="lrTb"/>
            <w:noWrap w:val="false"/>
          </w:tcPr>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满足招标文件要求且报价最低的投标报价为评标基准价，其价格分</w:t>
            </w:r>
            <w:bookmarkStart w:id="439" w:name="OLE_LINK343"/>
            <w:r/>
            <w:bookmarkStart w:id="440" w:name="OLE_LINK342"/>
            <w:r>
              <w:rPr>
                <w:rFonts w:hint="eastAsia" w:ascii="宋体" w:hAnsi="宋体" w:eastAsia="宋体" w:cs="宋体"/>
                <w:color w:val="auto"/>
                <w:sz w:val="24"/>
                <w:szCs w:val="24"/>
                <w:highlight w:val="none"/>
              </w:rPr>
              <w:t xml:space="preserve">为</w:t>
            </w:r>
            <w:bookmarkEnd w:id="439"/>
            <w:r/>
            <w:bookmarkEnd w:id="440"/>
            <w:r>
              <w:rPr>
                <w:rFonts w:hint="eastAsia" w:ascii="宋体" w:hAnsi="宋体" w:eastAsia="宋体" w:cs="宋体"/>
                <w:color w:val="auto"/>
                <w:sz w:val="24"/>
                <w:szCs w:val="24"/>
                <w:highlight w:val="none"/>
              </w:rPr>
              <w:t xml:space="preserve">满分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分。其他投标人的价格分统一按照下列公式计算（计算结果四舍五入保留两位小数）：投标报价得分=（评标基准价/投标报价）×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0%×100。</w:t>
            </w:r>
            <w:r>
              <w:rPr>
                <w:rFonts w:hint="eastAsia" w:ascii="宋体" w:hAnsi="宋体" w:eastAsia="宋体" w:cs="宋体"/>
                <w:b/>
                <w:bCs/>
                <w:color w:val="auto"/>
                <w:sz w:val="24"/>
                <w:szCs w:val="24"/>
                <w:highlight w:val="none"/>
              </w:rPr>
              <w:t xml:space="preserve">此处投标报价指经过报价修正，及因落实政府采购政策进行价格调整后的报价，详见第四章《评标方法和评标标准》</w:t>
            </w:r>
            <w:bookmarkEnd w:id="432"/>
            <w:r/>
            <w:bookmarkEnd w:id="433"/>
            <w:r/>
            <w:bookmarkEnd w:id="434"/>
            <w:r/>
            <w:bookmarkEnd w:id="435"/>
            <w:r/>
            <w:bookmarkEnd w:id="436"/>
            <w:r/>
            <w:bookmarkEnd w:id="437"/>
            <w:r/>
            <w:bookmarkEnd w:id="438"/>
            <w:r/>
            <w:r/>
          </w:p>
        </w:tc>
      </w:tr>
      <w:tr>
        <w:trPr>
          <w:jc w:val="center"/>
          <w:trHeight w:val="428"/>
        </w:trPr>
        <w:tc>
          <w:tcPr>
            <w:tcW w:w="459"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727"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主观分</w:t>
            </w:r>
            <w:r/>
          </w:p>
        </w:tc>
        <w:tc>
          <w:tcPr>
            <w:tcW w:w="490"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w:t>
            </w:r>
            <w:r/>
          </w:p>
        </w:tc>
        <w:tc>
          <w:tcPr>
            <w:tcW w:w="3322" w:type="pct"/>
            <w:vAlign w:val="center"/>
            <w:textDirection w:val="lrTb"/>
            <w:noWrap w:val="false"/>
          </w:tcPr>
          <w:p>
            <w:pP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90"/>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bookmarkStart w:id="441" w:name="OLE_LINK396"/>
            <w:r/>
            <w:bookmarkStart w:id="442" w:name="OLE_LINK397"/>
            <w:r/>
            <w:bookmarkStart w:id="443" w:name="_Hlk223814136"/>
            <w:r>
              <w:rPr>
                <w:rFonts w:hint="eastAsia" w:ascii="宋体" w:hAnsi="宋体" w:eastAsia="宋体" w:cs="宋体"/>
                <w:color w:val="auto"/>
                <w:sz w:val="24"/>
                <w:szCs w:val="24"/>
                <w:highlight w:val="none"/>
              </w:rPr>
              <w:t xml:space="preserve">2.1</w:t>
            </w:r>
            <w:r/>
          </w:p>
        </w:tc>
        <w:tc>
          <w:tcPr>
            <w:shd w:val="clear" w:color="auto" w:fill="auto"/>
            <w:tcW w:w="727"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使用成本</w:t>
            </w:r>
            <w:r/>
          </w:p>
        </w:tc>
        <w:tc>
          <w:tcPr>
            <w:shd w:val="clear" w:color="auto" w:fill="auto"/>
            <w:tcW w:w="490"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5分</w:t>
            </w:r>
            <w:r/>
          </w:p>
        </w:tc>
        <w:tc>
          <w:tcPr>
            <w:shd w:val="clear" w:color="auto" w:fill="auto"/>
            <w:tcW w:w="3322" w:type="pct"/>
            <w:vAlign w:val="center"/>
            <w:textDirection w:val="lrTb"/>
            <w:noWrap w:val="false"/>
          </w:tcPr>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根据投标人提供的成本测算方案（包括但不限于成本构成、测算依据、取值来源、参考数据等），进行综合评审：</w:t>
            </w:r>
            <w:r/>
          </w:p>
          <w:p>
            <w:pPr>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使用成本测算合理、因素齐全，使用成本有明显优势的得5分；使用成本测算较为合理、因素较为齐全，高于行业平均水平，并且有一定优势的得4分；</w:t>
            </w:r>
            <w:r/>
          </w:p>
          <w:p>
            <w:pPr>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使用成本测算结果高于行业平均水平，并且结果有一定可信度的得3分；</w:t>
            </w:r>
            <w:r/>
          </w:p>
          <w:p>
            <w:pPr>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使用成本测算结果达到行业平均水平，并且结果基本可信的得2分；</w:t>
            </w:r>
            <w:r/>
          </w:p>
          <w:p>
            <w:pPr>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使用成本测算合理、因素齐全，结果未达到行业平均水平的得1分；</w:t>
            </w:r>
            <w:r/>
          </w:p>
          <w:p>
            <w:pPr>
              <w:jc w:val="both"/>
              <w:rPr>
                <w:rFonts w:hint="eastAsia" w:ascii="宋体" w:hAnsi="宋体" w:eastAsia="宋体" w:cs="宋体"/>
                <w:b/>
                <w:bCs/>
                <w:color w:val="auto"/>
                <w:sz w:val="24"/>
                <w:szCs w:val="24"/>
                <w:lang w:val="zh-CN" w:eastAsia="zh-CN" w:bidi="ar-SA"/>
              </w:rPr>
            </w:pPr>
            <w:r>
              <w:rPr>
                <w:rFonts w:hint="eastAsia" w:ascii="宋体" w:hAnsi="宋体" w:eastAsia="宋体" w:cs="宋体"/>
                <w:color w:val="auto"/>
                <w:sz w:val="24"/>
                <w:szCs w:val="24"/>
                <w:lang w:val="zh-CN"/>
              </w:rPr>
              <w:t xml:space="preserve">投标文件中没有提供成本测算，或测算结果显著低于平均水平的不得分。</w:t>
            </w:r>
            <w:bookmarkEnd w:id="441"/>
            <w:r/>
            <w:bookmarkEnd w:id="442"/>
            <w:r/>
            <w:bookmarkEnd w:id="443"/>
            <w:r/>
            <w:r/>
          </w:p>
        </w:tc>
      </w:tr>
      <w:tr>
        <w:trPr>
          <w:jc w:val="center"/>
          <w:trHeight w:val="178"/>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shd w:val="clear" w:color="auto" w:fill="auto"/>
            <w:tcW w:w="727"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项目建设方案、实施计划及验收方案的完整性</w:t>
            </w:r>
            <w:r/>
          </w:p>
        </w:tc>
        <w:tc>
          <w:tcPr>
            <w:shd w:val="clear" w:color="auto" w:fill="auto"/>
            <w:tcW w:w="490"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20分</w:t>
            </w:r>
            <w:r/>
          </w:p>
        </w:tc>
        <w:tc>
          <w:tcPr>
            <w:shd w:val="clear" w:color="auto" w:fill="auto"/>
            <w:tcW w:w="3322" w:type="pct"/>
            <w:vAlign w:val="center"/>
            <w:textDirection w:val="lrTb"/>
            <w:noWrap w:val="false"/>
          </w:tcPr>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根据</w:t>
            </w:r>
            <w:r>
              <w:rPr>
                <w:rFonts w:hint="eastAsia" w:ascii="宋体" w:hAnsi="宋体" w:cs="宋体"/>
                <w:b/>
                <w:bCs/>
                <w:color w:val="auto"/>
                <w:sz w:val="24"/>
                <w:szCs w:val="24"/>
                <w:lang w:val="en-US" w:eastAsia="zh-CN"/>
              </w:rPr>
              <w:t xml:space="preserve">投标人</w:t>
            </w:r>
            <w:r>
              <w:rPr>
                <w:rFonts w:hint="eastAsia" w:ascii="宋体" w:hAnsi="宋体" w:eastAsia="宋体" w:cs="宋体"/>
                <w:b/>
                <w:bCs/>
                <w:color w:val="auto"/>
                <w:sz w:val="24"/>
                <w:szCs w:val="24"/>
              </w:rPr>
              <w:t xml:space="preserve">提供的项目建设方案、实施计划及验收方案（包括但不限于方案设计、供货计划、供货周期安排、项目验收方案等）的完整性、先进性进行综合评审：</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内容完整、逻辑清晰、组织合理、具备可操作性，具备可扩展性及二次开发能力；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w:t>
            </w:r>
            <w:r>
              <w:rPr>
                <w:rStyle w:val="1046"/>
                <w:rFonts w:hint="eastAsia" w:ascii="宋体" w:hAnsi="宋体" w:eastAsia="宋体" w:cs="宋体"/>
                <w:b w:val="0"/>
                <w:color w:val="auto"/>
                <w:sz w:val="24"/>
                <w:szCs w:val="24"/>
              </w:rPr>
              <w:t xml:space="preserve">20分</w:t>
            </w:r>
            <w:r>
              <w:rPr>
                <w:rFonts w:hint="eastAsia" w:ascii="宋体" w:hAnsi="宋体" w:eastAsia="宋体" w:cs="宋体"/>
                <w:color w:val="auto"/>
                <w:sz w:val="24"/>
                <w:szCs w:val="24"/>
              </w:rPr>
              <w:t xml:space="preserve">。</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内容较完整、逻辑较清晰、组织较合理、具备可操作性，具备可扩展性及二次开发能力；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w:t>
            </w:r>
            <w:r>
              <w:rPr>
                <w:rStyle w:val="1046"/>
                <w:rFonts w:hint="eastAsia" w:ascii="宋体" w:hAnsi="宋体" w:eastAsia="宋体" w:cs="宋体"/>
                <w:b w:val="0"/>
                <w:color w:val="auto"/>
                <w:sz w:val="24"/>
                <w:szCs w:val="24"/>
              </w:rPr>
              <w:t xml:space="preserve">14分</w:t>
            </w:r>
            <w:r>
              <w:rPr>
                <w:rFonts w:hint="eastAsia" w:ascii="宋体" w:hAnsi="宋体" w:eastAsia="宋体" w:cs="宋体"/>
                <w:color w:val="auto"/>
                <w:sz w:val="24"/>
                <w:szCs w:val="24"/>
              </w:rPr>
              <w:t xml:space="preserve">。</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实施计划及验收方案要素齐全、框架完整，主要内容均已覆盖，但部分实施细节、时间节点或验收要求未进一步明确细化，方案基本可行的，具备扩展性但不具备二次开发能力，得</w:t>
            </w:r>
            <w:r>
              <w:rPr>
                <w:rStyle w:val="1046"/>
                <w:rFonts w:hint="eastAsia" w:ascii="宋体" w:hAnsi="宋体" w:eastAsia="宋体" w:cs="宋体"/>
                <w:b w:val="0"/>
                <w:color w:val="auto"/>
                <w:sz w:val="24"/>
                <w:szCs w:val="24"/>
              </w:rPr>
              <w:t xml:space="preserve">8分</w:t>
            </w:r>
            <w:r>
              <w:rPr>
                <w:rFonts w:hint="eastAsia" w:ascii="宋体" w:hAnsi="宋体" w:eastAsia="宋体" w:cs="宋体"/>
                <w:color w:val="auto"/>
                <w:sz w:val="24"/>
                <w:szCs w:val="24"/>
              </w:rPr>
              <w:t xml:space="preserve">。</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仅提供框架性、概括性方案，未明确核心实施流程、关键节点或验收具体要求，内容较为简略的，不具备扩展性及二次开发能力，得</w:t>
            </w:r>
            <w:r>
              <w:rPr>
                <w:rStyle w:val="1046"/>
                <w:rFonts w:hint="eastAsia" w:ascii="宋体" w:hAnsi="宋体" w:eastAsia="宋体" w:cs="宋体"/>
                <w:b w:val="0"/>
                <w:color w:val="auto"/>
                <w:sz w:val="24"/>
                <w:szCs w:val="24"/>
              </w:rPr>
              <w:t xml:space="preserve">2分</w:t>
            </w:r>
            <w:r>
              <w:rPr>
                <w:rFonts w:hint="eastAsia" w:ascii="宋体" w:hAnsi="宋体" w:eastAsia="宋体" w:cs="宋体"/>
                <w:color w:val="auto"/>
                <w:sz w:val="24"/>
                <w:szCs w:val="24"/>
              </w:rPr>
              <w:t xml:space="preserve">。</w:t>
            </w:r>
            <w:r/>
          </w:p>
          <w:p>
            <w:pPr>
              <w:jc w:val="both"/>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rPr>
              <w:t xml:space="preserve">未提供方案或方案不符合项目要求不得分。        </w:t>
            </w:r>
            <w:r/>
          </w:p>
        </w:tc>
      </w:tr>
      <w:tr>
        <w:trPr>
          <w:jc w:val="center"/>
          <w:trHeight w:val="178"/>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shd w:val="clear" w:color="auto" w:fill="auto"/>
            <w:tcW w:w="727"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培训方案</w:t>
            </w:r>
            <w:r/>
          </w:p>
        </w:tc>
        <w:tc>
          <w:tcPr>
            <w:shd w:val="clear" w:color="auto" w:fill="auto"/>
            <w:tcW w:w="490"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3分</w:t>
            </w:r>
            <w:r/>
          </w:p>
        </w:tc>
        <w:tc>
          <w:tcPr>
            <w:shd w:val="clear" w:color="auto" w:fill="auto"/>
            <w:tcW w:w="3322" w:type="pct"/>
            <w:vAlign w:val="center"/>
            <w:textDirection w:val="lrTb"/>
            <w:noWrap w:val="false"/>
          </w:tcPr>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根据投标人提供的培训方案（包括但不限于培训内容、培训方式、培训人员、培训课时及考核方式等）进行综合评审：</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培训计划内容完整、安排合理，培训对象与内容针对性强，培训流程具备连续性与可操作性，得</w:t>
            </w:r>
            <w:r>
              <w:rPr>
                <w:rStyle w:val="1046"/>
                <w:rFonts w:hint="eastAsia" w:ascii="宋体" w:hAnsi="宋体" w:eastAsia="宋体" w:cs="宋体"/>
                <w:b w:val="0"/>
                <w:color w:val="auto"/>
                <w:sz w:val="24"/>
                <w:szCs w:val="24"/>
              </w:rPr>
              <w:t xml:space="preserve">3分</w:t>
            </w:r>
            <w:r>
              <w:rPr>
                <w:rFonts w:hint="eastAsia" w:ascii="宋体" w:hAnsi="宋体" w:eastAsia="宋体" w:cs="宋体"/>
                <w:color w:val="auto"/>
                <w:sz w:val="24"/>
                <w:szCs w:val="24"/>
              </w:rPr>
              <w:t xml:space="preserve">；</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培训计划要素基本齐全，培训内容、时间、地点、人员安排较为合理，针对性与完整性一般，得</w:t>
            </w:r>
            <w:r>
              <w:rPr>
                <w:rStyle w:val="1046"/>
                <w:rFonts w:hint="eastAsia" w:ascii="宋体" w:hAnsi="宋体" w:eastAsia="宋体" w:cs="宋体"/>
                <w:b w:val="0"/>
                <w:color w:val="auto"/>
                <w:sz w:val="24"/>
                <w:szCs w:val="24"/>
              </w:rPr>
              <w:t xml:space="preserve">2分</w:t>
            </w:r>
            <w:r>
              <w:rPr>
                <w:rFonts w:hint="eastAsia" w:ascii="宋体" w:hAnsi="宋体" w:eastAsia="宋体" w:cs="宋体"/>
                <w:color w:val="auto"/>
                <w:sz w:val="24"/>
                <w:szCs w:val="24"/>
              </w:rPr>
              <w:t xml:space="preserve">；</w:t>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培训计划要素缺失较多，内容简单，缺乏针对性与完整性，可操作性较差，得</w:t>
            </w:r>
            <w:r>
              <w:rPr>
                <w:rStyle w:val="1046"/>
                <w:rFonts w:hint="eastAsia" w:ascii="宋体" w:hAnsi="宋体" w:eastAsia="宋体" w:cs="宋体"/>
                <w:b w:val="0"/>
                <w:color w:val="auto"/>
                <w:sz w:val="24"/>
                <w:szCs w:val="24"/>
              </w:rPr>
              <w:t xml:space="preserve">1分</w:t>
            </w:r>
            <w:r>
              <w:rPr>
                <w:rFonts w:hint="eastAsia" w:ascii="宋体" w:hAnsi="宋体" w:eastAsia="宋体" w:cs="宋体"/>
                <w:color w:val="auto"/>
                <w:sz w:val="24"/>
                <w:szCs w:val="24"/>
              </w:rPr>
              <w:t xml:space="preserve">；</w:t>
            </w:r>
            <w:r/>
          </w:p>
          <w:p>
            <w:pPr>
              <w:jc w:val="both"/>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 xml:space="preserve">未提供方案或方案不符合项目要求不得分。</w:t>
            </w:r>
            <w:r/>
          </w:p>
        </w:tc>
      </w:tr>
      <w:tr>
        <w:trPr>
          <w:jc w:val="center"/>
          <w:trHeight w:val="178"/>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shd w:val="clear" w:color="auto" w:fill="auto"/>
            <w:tcW w:w="727"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售后服务方案</w:t>
            </w:r>
            <w:r/>
          </w:p>
        </w:tc>
        <w:tc>
          <w:tcPr>
            <w:shd w:val="clear" w:color="auto" w:fill="auto"/>
            <w:tcW w:w="490"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2分</w:t>
            </w:r>
            <w:r/>
          </w:p>
        </w:tc>
        <w:tc>
          <w:tcPr>
            <w:shd w:val="clear" w:color="auto" w:fill="auto"/>
            <w:tcW w:w="3322" w:type="pct"/>
            <w:vAlign w:val="center"/>
            <w:textDirection w:val="lrTb"/>
            <w:noWrap w:val="false"/>
          </w:tcPr>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根据投标人提供的售后服务方案（包括但不限于故障解决流程、后期设备维保、耗材、易损件等备品备件及主要维修部件优惠折扣力度、售后服务体系及承诺等）进行综合评审：</w:t>
            </w:r>
            <w:r/>
          </w:p>
          <w:p>
            <w:pPr>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2分；</w:t>
            </w:r>
            <w:r/>
          </w:p>
          <w:p>
            <w:pPr>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1分；</w:t>
            </w:r>
            <w:r/>
          </w:p>
          <w:p>
            <w:pPr>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售后服务方案内容简略，服务承诺不够完整、可行性一般，对售后服务体系、行业服务经验仅作简单描述，缺乏具体流程、备品备件等核心内容，仅简单表述优惠意愿，未明确具体折扣率或优惠力度较弱，得0.5分；</w:t>
            </w:r>
            <w:r/>
          </w:p>
          <w:p>
            <w:pPr>
              <w:jc w:val="both"/>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未提供售后服务方案的不得分。</w:t>
            </w:r>
            <w:r/>
          </w:p>
          <w:p>
            <w:pPr>
              <w:jc w:val="both"/>
              <w:rPr>
                <w:rFonts w:hint="eastAsia" w:ascii="宋体" w:hAnsi="宋体" w:eastAsia="宋体" w:cs="宋体"/>
                <w:b/>
                <w:bCs/>
                <w:color w:val="auto"/>
                <w:sz w:val="24"/>
                <w:szCs w:val="24"/>
                <w:lang w:val="en-US" w:eastAsia="zh-CN" w:bidi="ar-SA"/>
              </w:rPr>
            </w:pPr>
            <w:r>
              <w:rPr>
                <w:rFonts w:hint="eastAsia" w:ascii="宋体" w:hAnsi="宋体" w:eastAsia="宋体" w:cs="宋体"/>
                <w:b/>
                <w:color w:val="auto"/>
                <w:sz w:val="24"/>
                <w:szCs w:val="24"/>
              </w:rPr>
              <w:t xml:space="preserve">注：</w:t>
            </w:r>
            <w:r>
              <w:rPr>
                <w:rFonts w:hint="eastAsia" w:ascii="宋体" w:hAnsi="宋体" w:eastAsia="宋体" w:cs="宋体"/>
                <w:b/>
                <w:bCs/>
                <w:color w:val="auto"/>
                <w:sz w:val="24"/>
                <w:szCs w:val="24"/>
              </w:rPr>
              <w:t xml:space="preserve">投标文件中提供服务承诺函（格式自拟）并加盖投标人公章。</w:t>
            </w:r>
            <w:r/>
          </w:p>
        </w:tc>
      </w:tr>
      <w:tr>
        <w:trPr>
          <w:jc w:val="center"/>
          <w:trHeight w:val="428"/>
        </w:trPr>
        <w:tc>
          <w:tcPr>
            <w:tcW w:w="459"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tcW w:w="727"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客观分</w:t>
            </w:r>
            <w:r/>
          </w:p>
        </w:tc>
        <w:tc>
          <w:tcPr>
            <w:tcW w:w="490" w:type="pct"/>
            <w:vAlign w:val="center"/>
            <w:textDirection w:val="lrTb"/>
            <w:noWrap w:val="false"/>
          </w:tcPr>
          <w:p>
            <w:pPr>
              <w:jc w:val="center"/>
              <w:keepLines w:val="0"/>
              <w:keepNext w:val="0"/>
              <w:pageBreakBefore w:val="0"/>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40</w:t>
            </w:r>
            <w:r/>
          </w:p>
        </w:tc>
        <w:tc>
          <w:tcPr>
            <w:tcW w:w="3322" w:type="pct"/>
            <w:vAlign w:val="center"/>
            <w:textDirection w:val="lrTb"/>
            <w:noWrap w:val="false"/>
          </w:tcPr>
          <w:p>
            <w:pPr>
              <w:keepLines w:val="0"/>
              <w:keepNext w:val="0"/>
              <w:pageBreakBefore w:val="0"/>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tc>
      </w:tr>
      <w:tr>
        <w:trPr>
          <w:jc w:val="center"/>
          <w:trHeight w:val="1382"/>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72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技术要求的符合性</w:t>
            </w:r>
            <w:r/>
          </w:p>
        </w:tc>
        <w:tc>
          <w:tcPr>
            <w:tcW w:w="490"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3322" w:type="pct"/>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投标人所投产品技术参数完全符合采购文件技术要求的得基本分30分。</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技术要求中带“★”参数为实质性参数，未提供或负偏离将作无效响应处理；</w:t>
            </w:r>
            <w:r>
              <w:rPr>
                <w:rFonts w:hint="eastAsia" w:ascii="宋体" w:hAnsi="宋体" w:eastAsia="宋体" w:cs="宋体"/>
                <w:color w:val="auto"/>
                <w:sz w:val="24"/>
                <w:szCs w:val="24"/>
                <w:highlight w:val="none"/>
              </w:rPr>
              <w:t xml:space="preserve">带“▲”参数为重要参数，每有一项负偏离的，扣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分；其他参数为一般参数，每有一项负偏离的，扣1分；扣完为止。</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带“★”、“▲”号的技术参数条款必须在《偏离表》中逐一列明并提供证明材料（包括但不限于彩页、检测报告、专利文献、原厂技术规格、软件界面、计量证书等）标注证明材料对应页码。采购需求中对证明材料有要求的，以需求描述为准；</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②其他参数如有偏离，必须在《偏离表》中列明，除《偏离表》所列明的偏离外，均视作投标人已对之理解和响应。</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③证明材料的有效性由评标委员会综合判断是否认可。</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④项目验收时采购人将逐条验证技术指标，如发现投标人虚假应标，采购人无条件退货。</w:t>
            </w:r>
            <w:r/>
          </w:p>
        </w:tc>
      </w:tr>
      <w:tr>
        <w:trPr>
          <w:jc w:val="center"/>
          <w:trHeight w:val="428"/>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72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业绩评价</w:t>
            </w:r>
            <w:r/>
          </w:p>
        </w:tc>
        <w:tc>
          <w:tcPr>
            <w:tcW w:w="490"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3322" w:type="pct"/>
            <w:vAlign w:val="center"/>
            <w:textDirection w:val="lrTb"/>
            <w:noWrap w:val="false"/>
          </w:tcPr>
          <w:p>
            <w:pPr>
              <w:keepLines w:val="0"/>
              <w:keepNext w:val="0"/>
              <w:pageBreakBefore w:val="0"/>
              <w:widowControl/>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投标人提供自本项目采购公告发布之日的前36个月内（含当月）承担过的与所投产品相关，即双频激光干涉仪应用于大长度计量装置的业绩证明材料（以合同签订时间为准），每提供一份有效业绩合同得1分，本项最高得5分。</w:t>
            </w:r>
            <w:r/>
          </w:p>
          <w:p>
            <w:pPr>
              <w:keepLines w:val="0"/>
              <w:keepNext w:val="0"/>
              <w:pageBreakBefore w:val="0"/>
              <w:widowControl/>
              <w:rPr>
                <w:rFonts w:hint="eastAsia" w:ascii="宋体" w:hAnsi="宋体" w:eastAsia="宋体" w:cs="宋体"/>
                <w:b/>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投标文件中提供上述有效业绩</w:t>
            </w:r>
            <w:r>
              <w:rPr>
                <w:rFonts w:hint="eastAsia" w:ascii="宋体" w:hAnsi="宋体" w:cs="宋体"/>
                <w:b w:val="0"/>
                <w:bCs/>
                <w:color w:val="auto"/>
                <w:spacing w:val="-4"/>
                <w:sz w:val="24"/>
                <w:szCs w:val="24"/>
                <w:highlight w:val="none"/>
                <w:lang w:val="en-US" w:eastAsia="zh-CN"/>
              </w:rPr>
              <w:t xml:space="preserve">及</w:t>
            </w:r>
            <w:r>
              <w:rPr>
                <w:rFonts w:hint="eastAsia" w:ascii="宋体" w:hAnsi="宋体" w:eastAsia="宋体" w:cs="宋体"/>
                <w:b w:val="0"/>
                <w:bCs/>
                <w:color w:val="auto"/>
                <w:spacing w:val="-4"/>
                <w:sz w:val="24"/>
                <w:szCs w:val="24"/>
                <w:highlight w:val="none"/>
              </w:rPr>
              <w:t xml:space="preserve">（验收合格报告或者计量测试证书）完整合同复印件并加盖投标人公章。</w:t>
            </w:r>
            <w:r>
              <w:rPr>
                <w:rFonts w:hint="eastAsia" w:ascii="宋体" w:hAnsi="宋体" w:eastAsia="宋体" w:cs="宋体"/>
                <w:b/>
                <w:color w:val="auto"/>
                <w:spacing w:val="-4"/>
                <w:sz w:val="24"/>
                <w:szCs w:val="24"/>
                <w:highlight w:val="none"/>
              </w:rPr>
              <w:t xml:space="preserve">投标人签订合同时须携带上述材料原件核查，不能提供或与投标文件中提供的复印件不一致的取消其成交资格。</w:t>
            </w:r>
            <w:r/>
          </w:p>
        </w:tc>
      </w:tr>
      <w:tr>
        <w:trPr>
          <w:jc w:val="center"/>
          <w:trHeight w:val="428"/>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W w:w="72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W w:w="490"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3322" w:type="pct"/>
            <w:vAlign w:val="center"/>
            <w:textDirection w:val="lrTb"/>
            <w:noWrap w:val="false"/>
          </w:tcPr>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投标人所投产品在质保期1年的基础上承诺每延长一年免费质保得1分，本项最高得3分。注：投标文件中提供承诺函（格式自拟）并加盖投标人公章。</w:t>
            </w:r>
            <w:r/>
          </w:p>
        </w:tc>
      </w:tr>
      <w:tr>
        <w:trPr>
          <w:jc w:val="center"/>
          <w:trHeight w:val="428"/>
        </w:trPr>
        <w:tc>
          <w:tcPr>
            <w:tcW w:w="459"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bookmarkStart w:id="444" w:name="OLE_LINK497"/>
            <w:r/>
            <w:bookmarkStart w:id="445" w:name="OLE_LINK498"/>
            <w:r/>
            <w:bookmarkStart w:id="446" w:name="_Hlk224916210"/>
            <w:r>
              <w:rPr>
                <w:rFonts w:hint="eastAsia" w:ascii="宋体" w:hAnsi="宋体" w:eastAsia="宋体" w:cs="宋体"/>
                <w:color w:val="auto"/>
                <w:sz w:val="24"/>
                <w:szCs w:val="24"/>
                <w:highlight w:val="none"/>
              </w:rPr>
              <w:t xml:space="preserve">3.4</w:t>
            </w:r>
            <w:r/>
          </w:p>
        </w:tc>
        <w:tc>
          <w:tcPr>
            <w:shd w:val="clear" w:color="auto" w:fill="auto"/>
            <w:tcW w:w="72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响应时效</w:t>
            </w:r>
            <w:r/>
          </w:p>
        </w:tc>
        <w:tc>
          <w:tcPr>
            <w:shd w:val="clear" w:color="auto" w:fill="auto"/>
            <w:tcW w:w="490"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p>
        </w:tc>
        <w:tc>
          <w:tcPr>
            <w:shd w:val="clear" w:color="auto" w:fill="auto"/>
            <w:tcW w:w="3322" w:type="pct"/>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为保障项目售后故障快速响应、及时上门，投标人承诺在接到采购人电话后1小时响应，8小时到达现场，得2分；接到采购人电话后2小时响应，12小时到达现场，得1分，其余不得分。</w:t>
            </w:r>
            <w:r/>
          </w:p>
          <w:p>
            <w:pPr>
              <w:jc w:val="both"/>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注：投标文件中提供服务承诺函（格式自拟）并加盖投标人公章。</w:t>
            </w:r>
            <w:bookmarkEnd w:id="444"/>
            <w:r/>
            <w:bookmarkEnd w:id="445"/>
            <w:r/>
            <w:bookmarkEnd w:id="446"/>
            <w:r/>
            <w:r/>
          </w:p>
        </w:tc>
      </w:tr>
    </w:tbl>
    <w:p>
      <w:pPr>
        <w:ind w:firstLine="482"/>
        <w:jc w:val="left"/>
        <w:spacing w:line="36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1.评分细则中要求提供的证明文件及资料等在投标文件中提供电子扫描件，并加盖电子签章。</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ind w:firstLine="480"/>
        <w:jc w:val="left"/>
        <w:spacing w:line="400" w:lineRule="exact"/>
        <w:widowControl/>
        <w:rPr>
          <w:rFonts w:ascii="宋体" w:hAnsi="宋体"/>
          <w:b/>
          <w:color w:val="auto"/>
          <w:sz w:val="36"/>
          <w:szCs w:val="36"/>
          <w:highlight w:val="none"/>
        </w:rPr>
      </w:pPr>
      <w:r>
        <w:rPr>
          <w:rFonts w:hint="eastAsia" w:ascii="宋体" w:hAnsi="宋体" w:cs="宋体"/>
          <w:bCs/>
          <w:color w:val="auto"/>
          <w:sz w:val="24"/>
          <w:highlight w:val="none"/>
        </w:rPr>
        <w:t xml:space="preserve">3.便于评审，请投标人在偏离表中逐条列出技术参数证明材料所在页码，因未列明所在页码而造成的后果由投标人自行承担。</w:t>
      </w:r>
      <w:r/>
    </w:p>
    <w:p>
      <w:pPr>
        <w:jc w:val="center"/>
        <w:spacing w:line="360" w:lineRule="auto"/>
        <w:rPr>
          <w:color w:val="auto"/>
          <w:sz w:val="24"/>
          <w:highlight w:val="none"/>
        </w:rPr>
        <w:outlineLvl w:val="0"/>
      </w:pPr>
      <w:r>
        <w:rPr>
          <w:b/>
          <w:color w:val="auto"/>
          <w:sz w:val="36"/>
          <w:szCs w:val="36"/>
          <w:highlight w:val="none"/>
        </w:rPr>
        <w:br w:type="page" w:clear="all"/>
      </w:r>
      <w:bookmarkStart w:id="447" w:name="_Toc5713"/>
      <w:r>
        <w:rPr>
          <w:b/>
          <w:color w:val="auto"/>
          <w:sz w:val="36"/>
          <w:szCs w:val="36"/>
          <w:highlight w:val="none"/>
        </w:rPr>
        <w:t xml:space="preserve">第五章   采购需求</w:t>
      </w:r>
      <w:bookmarkEnd w:id="447"/>
      <w:r/>
      <w:r/>
    </w:p>
    <w:p>
      <w:pPr>
        <w:ind w:firstLine="482"/>
        <w:spacing w:line="400" w:lineRule="exact"/>
        <w:rPr>
          <w:rFonts w:ascii="宋体" w:hAnsi="宋体" w:cs="宋体"/>
          <w:b/>
          <w:color w:val="auto"/>
          <w:sz w:val="24"/>
          <w:highlight w:val="none"/>
        </w:rPr>
        <w:outlineLvl w:val="0"/>
      </w:pPr>
      <w:r/>
      <w:bookmarkStart w:id="448" w:name="_Toc14421"/>
      <w:r>
        <w:rPr>
          <w:rFonts w:hint="eastAsia" w:ascii="宋体" w:hAnsi="宋体" w:cs="宋体"/>
          <w:b/>
          <w:color w:val="auto"/>
          <w:sz w:val="24"/>
          <w:highlight w:val="none"/>
        </w:rPr>
        <w:t xml:space="preserve">一、项目概况</w:t>
      </w:r>
      <w:bookmarkEnd w:id="448"/>
      <w:r/>
      <w:r/>
    </w:p>
    <w:p>
      <w:pPr>
        <w:ind w:firstLine="482"/>
        <w:spacing w:line="400" w:lineRule="exact"/>
        <w:rPr>
          <w:rFonts w:ascii="宋体" w:hAnsi="宋体" w:cs="宋体"/>
          <w:b/>
          <w:color w:val="auto"/>
          <w:sz w:val="24"/>
          <w:highlight w:val="none"/>
        </w:rPr>
      </w:pPr>
      <w:r>
        <w:rPr>
          <w:rFonts w:hint="eastAsia" w:ascii="宋体" w:hAnsi="宋体" w:cs="宋体"/>
          <w:b/>
          <w:bCs/>
          <w:color w:val="auto"/>
          <w:sz w:val="24"/>
          <w:highlight w:val="none"/>
        </w:rPr>
        <w:t xml:space="preserve">1.采购内容：</w:t>
      </w:r>
      <w:r>
        <w:rPr>
          <w:rFonts w:hint="eastAsia" w:ascii="宋体" w:hAnsi="宋体" w:cs="宋体"/>
          <w:bCs/>
          <w:color w:val="auto"/>
          <w:sz w:val="24"/>
          <w:highlight w:val="none"/>
        </w:rPr>
        <w:t xml:space="preserve">本项目为</w:t>
      </w:r>
      <w:r>
        <w:rPr>
          <w:rFonts w:hint="eastAsia" w:ascii="宋体" w:hAnsi="宋体" w:cs="宋体"/>
          <w:bCs/>
          <w:color w:val="auto"/>
          <w:sz w:val="24"/>
          <w:highlight w:val="none"/>
          <w:lang w:eastAsia="zh-CN"/>
        </w:rPr>
        <w:t xml:space="preserve">常州检验检测标准认证研究院双频激光干涉仪采购</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包括但不限于采购文件及其基本技术要求范围内相应产品制造前的准备（包括现场踏勘、技术核对等）、产品、设计、制造、加工、检验、包装、发货、运输、装卸至现场、基础制作、安装、验收、税金、质保期和采购文件所要求的相关服务等全部内容</w:t>
      </w:r>
      <w:r>
        <w:rPr>
          <w:rFonts w:hint="eastAsia" w:ascii="宋体" w:hAnsi="宋体" w:cs="宋体"/>
          <w:bCs/>
          <w:color w:val="auto"/>
          <w:sz w:val="24"/>
          <w:highlight w:val="none"/>
        </w:rPr>
        <w:t xml:space="preserve">。</w:t>
      </w:r>
      <w:r/>
    </w:p>
    <w:p>
      <w:pPr>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2.采购项目清单</w:t>
      </w:r>
      <w:r/>
    </w:p>
    <w:tbl>
      <w:tblPr>
        <w:tblStyle w:val="1011"/>
        <w:tblW w:w="52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3685"/>
        <w:gridCol w:w="953"/>
        <w:gridCol w:w="3302"/>
      </w:tblGrid>
      <w:tr>
        <w:trPr>
          <w:jc w:val="center"/>
          <w:trHeight w:val="485"/>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69"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仪器设备名称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85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color w:val="auto"/>
                <w:sz w:val="24"/>
                <w:highlight w:val="none"/>
              </w:rPr>
            </w:pPr>
            <w:r/>
            <w:bookmarkStart w:id="449" w:name="OLE_LINK501"/>
            <w:r/>
            <w:bookmarkStart w:id="450" w:name="OLE_LINK532"/>
            <w:r/>
            <w:bookmarkStart w:id="451" w:name="OLE_LINK499"/>
            <w:r/>
            <w:bookmarkStart w:id="452" w:name="OLE_LINK116"/>
            <w:r/>
            <w:bookmarkStart w:id="453" w:name="OLE_LINK322"/>
            <w:r/>
            <w:bookmarkStart w:id="454" w:name="OLE_LINK502"/>
            <w:r/>
            <w:bookmarkStart w:id="455" w:name="OLE_LINK533"/>
            <w:r/>
            <w:bookmarkStart w:id="456" w:name="OLE_LINK117"/>
            <w:r/>
            <w:bookmarkStart w:id="457" w:name="OLE_LINK530"/>
            <w:r/>
            <w:bookmarkStart w:id="458" w:name="_Hlk223810145"/>
            <w:r/>
            <w:bookmarkStart w:id="459" w:name="OLE_LINK500"/>
            <w:r/>
            <w:bookmarkStart w:id="460" w:name="OLE_LINK321"/>
            <w:r/>
            <w:bookmarkStart w:id="461" w:name="OLE_LINK531"/>
            <w:r/>
            <w:bookmarkStart w:id="462" w:name="_Hlk223812794"/>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6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双频激光干涉仪</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85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tc>
      </w:tr>
    </w:tbl>
    <w:p>
      <w:pPr>
        <w:ind w:firstLine="482"/>
        <w:spacing w:line="400" w:lineRule="exact"/>
        <w:rPr>
          <w:rFonts w:hint="eastAsia" w:ascii="宋体" w:hAnsi="宋体" w:cs="宋体"/>
          <w:b/>
          <w:color w:val="auto"/>
          <w:sz w:val="24"/>
          <w:highlight w:val="none"/>
        </w:rPr>
        <w:outlineLvl w:val="0"/>
      </w:pPr>
      <w:r/>
      <w:bookmarkStart w:id="463" w:name="_Toc4509"/>
      <w:r>
        <w:rPr>
          <w:rFonts w:hint="eastAsia" w:ascii="宋体" w:hAnsi="宋体" w:cs="宋体"/>
          <w:b/>
          <w:color w:val="auto"/>
          <w:sz w:val="24"/>
          <w:highlight w:val="none"/>
        </w:rPr>
        <w:t xml:space="preserve">二、政府采购中实施本国产品标准及相关政策</w:t>
      </w:r>
      <w:bookmarkEnd w:id="463"/>
      <w:r/>
      <w:r/>
    </w:p>
    <w:p>
      <w:pPr>
        <w:contextualSpacing/>
        <w:ind w:firstLine="480"/>
        <w:spacing w:line="400" w:lineRule="exact"/>
        <w:rPr>
          <w:rFonts w:hint="eastAsia" w:ascii="宋体" w:hAnsi="宋体" w:cs="宋体"/>
          <w:bCs/>
          <w:color w:val="auto"/>
          <w:sz w:val="24"/>
          <w:highlight w:val="none"/>
        </w:rPr>
      </w:pPr>
      <w:r/>
      <w:bookmarkStart w:id="464" w:name="OLE_LINK324"/>
      <w:r/>
      <w:bookmarkStart w:id="465" w:name="OLE_LINK323"/>
      <w:r>
        <w:rPr>
          <w:rFonts w:hint="eastAsia" w:ascii="宋体" w:hAnsi="宋体" w:cs="宋体"/>
          <w:bCs/>
          <w:color w:val="auto"/>
          <w:sz w:val="24"/>
          <w:highlight w:val="none"/>
        </w:rPr>
        <w:t xml:space="preserve">1.本项目对采购本国产品给予政策支持，具体内容见招标文件“第四章 评标方法和评标标准”。</w:t>
      </w:r>
      <w:bookmarkEnd w:id="464"/>
      <w:r/>
      <w:bookmarkEnd w:id="465"/>
      <w:r/>
      <w:r/>
    </w:p>
    <w:p>
      <w:pPr>
        <w:contextualSpacing/>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00" w:lineRule="exact"/>
        <w:rPr>
          <w:rFonts w:hint="eastAsia" w:ascii="宋体" w:hAnsi="宋体" w:cs="宋体"/>
          <w:b/>
          <w:color w:val="auto"/>
          <w:sz w:val="24"/>
          <w:highlight w:val="none"/>
        </w:rPr>
        <w:outlineLvl w:val="0"/>
      </w:pPr>
      <w:r/>
      <w:bookmarkStart w:id="466" w:name="_Toc15423"/>
      <w:r>
        <w:rPr>
          <w:rFonts w:hint="eastAsia" w:ascii="宋体" w:hAnsi="宋体" w:cs="宋体"/>
          <w:b/>
          <w:color w:val="auto"/>
          <w:sz w:val="24"/>
          <w:highlight w:val="none"/>
        </w:rPr>
        <w:t xml:space="preserve">三、商务要求</w:t>
      </w:r>
      <w:bookmarkEnd w:id="466"/>
      <w:r/>
      <w:r/>
    </w:p>
    <w:p>
      <w:pPr>
        <w:ind w:firstLine="482"/>
        <w:spacing w:line="400" w:lineRule="exact"/>
        <w:rPr>
          <w:rFonts w:hint="eastAsia" w:ascii="宋体" w:hAnsi="宋体" w:cs="宋体"/>
          <w:b/>
          <w:color w:val="auto"/>
          <w:sz w:val="24"/>
          <w:highlight w:val="none"/>
        </w:rPr>
        <w:outlineLvl w:val="0"/>
      </w:pPr>
      <w:r/>
      <w:bookmarkStart w:id="467" w:name="_Toc31645"/>
      <w:r>
        <w:rPr>
          <w:rFonts w:hint="eastAsia" w:ascii="宋体" w:hAnsi="宋体" w:cs="宋体"/>
          <w:b/>
          <w:color w:val="auto"/>
          <w:sz w:val="24"/>
          <w:highlight w:val="none"/>
        </w:rPr>
        <w:t xml:space="preserve">（一）交付（实</w:t>
      </w:r>
      <w:bookmarkStart w:id="468" w:name="OLE_LINK136"/>
      <w:r/>
      <w:bookmarkStart w:id="469" w:name="OLE_LINK135"/>
      <w:r>
        <w:rPr>
          <w:rFonts w:hint="eastAsia" w:ascii="宋体" w:hAnsi="宋体" w:cs="宋体"/>
          <w:b/>
          <w:color w:val="auto"/>
          <w:sz w:val="24"/>
          <w:highlight w:val="none"/>
        </w:rPr>
        <w:t xml:space="preserve">施）的时间（期限）、地点（范围）和要求</w:t>
      </w:r>
      <w:bookmarkEnd w:id="467"/>
      <w:r/>
      <w:bookmarkEnd w:id="468"/>
      <w:r/>
      <w:bookmarkEnd w:id="469"/>
      <w:r/>
      <w:r/>
    </w:p>
    <w:p>
      <w:pPr>
        <w:ind w:firstLine="480"/>
        <w:spacing w:line="400" w:lineRule="exact"/>
        <w:rPr>
          <w:rFonts w:hint="eastAsia" w:ascii="宋体" w:hAnsi="宋体" w:cs="宋体"/>
          <w:bCs/>
          <w:color w:val="auto"/>
          <w:sz w:val="24"/>
          <w:highlight w:val="none"/>
          <w:lang w:eastAsia="zh-CN"/>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交货日期：</w:t>
      </w:r>
      <w:r>
        <w:rPr>
          <w:rFonts w:hint="eastAsia" w:ascii="宋体" w:hAnsi="宋体" w:cs="宋体"/>
          <w:bCs/>
          <w:color w:val="auto"/>
          <w:sz w:val="24"/>
          <w:highlight w:val="none"/>
          <w:lang w:eastAsia="zh-CN"/>
        </w:rPr>
        <w:t xml:space="preserve">合同签订生效后120日内将仪器设备运至采购单位，安装调试并经采购人验收合格后方可认为交货完成。</w:t>
      </w:r>
      <w:r/>
    </w:p>
    <w:p>
      <w:pPr>
        <w:ind w:firstLine="480"/>
        <w:spacing w:line="400" w:lineRule="exact"/>
        <w:rPr>
          <w:rFonts w:hint="eastAsia"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交货地点：</w:t>
      </w:r>
      <w:bookmarkStart w:id="470" w:name="OLE_LINK45"/>
      <w:r/>
      <w:bookmarkStart w:id="471" w:name="OLE_LINK46"/>
      <w:r>
        <w:rPr>
          <w:rFonts w:hint="eastAsia" w:ascii="宋体" w:hAnsi="宋体" w:cs="宋体"/>
          <w:bCs/>
          <w:color w:val="auto"/>
          <w:sz w:val="24"/>
          <w:highlight w:val="none"/>
        </w:rPr>
        <w:t xml:space="preserve">采购人指</w:t>
      </w:r>
      <w:bookmarkEnd w:id="470"/>
      <w:r/>
      <w:bookmarkEnd w:id="471"/>
      <w:r>
        <w:rPr>
          <w:rFonts w:hint="eastAsia" w:ascii="宋体" w:hAnsi="宋体" w:cs="宋体"/>
          <w:bCs/>
          <w:color w:val="auto"/>
          <w:sz w:val="24"/>
          <w:highlight w:val="none"/>
        </w:rPr>
        <w:t xml:space="preserve">定地点。</w:t>
      </w:r>
      <w:r/>
    </w:p>
    <w:p>
      <w:pPr>
        <w:ind w:firstLine="480"/>
        <w:spacing w:line="400" w:lineRule="exact"/>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交货要求：中标人应按照合同签订的时间要求将仪器设备运至采购单位，安装调试并经采购人验收合格后方可认为交货完成。</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4.投标人在交付设备的同时向采购人提供货物全套随机资料一套（包括但不限于质量检验合格证、装箱单、产品安装使用说明书等相关资料）。根据采购人要求免费提供并安装设备操作及应用软件。</w:t>
      </w:r>
      <w:r/>
    </w:p>
    <w:p>
      <w:pPr>
        <w:ind w:firstLine="482"/>
        <w:spacing w:line="400" w:lineRule="exact"/>
        <w:rPr>
          <w:rFonts w:hint="eastAsia" w:ascii="宋体" w:hAnsi="宋体" w:cs="宋体"/>
          <w:b/>
          <w:color w:val="auto"/>
          <w:sz w:val="24"/>
          <w:highlight w:val="none"/>
        </w:rPr>
        <w:outlineLvl w:val="0"/>
      </w:pPr>
      <w:r/>
      <w:bookmarkStart w:id="472" w:name="_Toc6050"/>
      <w:r>
        <w:rPr>
          <w:rFonts w:hint="eastAsia" w:ascii="宋体" w:hAnsi="宋体" w:cs="宋体"/>
          <w:b/>
          <w:color w:val="auto"/>
          <w:sz w:val="24"/>
          <w:highlight w:val="none"/>
        </w:rPr>
        <w:t xml:space="preserve">（二）付款条件（进度和方式）</w:t>
      </w:r>
      <w:bookmarkEnd w:id="472"/>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1.合同签订后，中</w:t>
      </w:r>
      <w:bookmarkStart w:id="473" w:name="OLE_LINK10"/>
      <w:r/>
      <w:bookmarkStart w:id="474" w:name="OLE_LINK9"/>
      <w:r>
        <w:rPr>
          <w:rFonts w:hint="eastAsia" w:ascii="宋体" w:hAnsi="宋体" w:cs="宋体"/>
          <w:bCs/>
          <w:color w:val="auto"/>
          <w:sz w:val="24"/>
          <w:highlight w:val="none"/>
        </w:rPr>
        <w:t xml:space="preserve">标供应商必须编制系统集成定制</w:t>
      </w:r>
      <w:bookmarkEnd w:id="473"/>
      <w:r/>
      <w:bookmarkEnd w:id="474"/>
      <w:r>
        <w:rPr>
          <w:rFonts w:hint="eastAsia" w:ascii="宋体" w:hAnsi="宋体" w:cs="宋体"/>
          <w:bCs/>
          <w:color w:val="auto"/>
          <w:sz w:val="24"/>
          <w:highlight w:val="none"/>
        </w:rPr>
        <w:t xml:space="preserve">化实施方案，明确项目实施流程、关键节点、验收标准及保障措施，方案经采购人审核通过后正式启动项目实施。</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2.项</w:t>
      </w:r>
      <w:bookmarkStart w:id="475" w:name="OLE_LINK11"/>
      <w:r/>
      <w:bookmarkStart w:id="476" w:name="OLE_LINK12"/>
      <w:r>
        <w:rPr>
          <w:rFonts w:hint="eastAsia" w:ascii="宋体" w:hAnsi="宋体" w:cs="宋体"/>
          <w:bCs/>
          <w:color w:val="auto"/>
          <w:sz w:val="24"/>
          <w:highlight w:val="none"/>
        </w:rPr>
        <w:t xml:space="preserve">目实施按既定关键节点推</w:t>
      </w:r>
      <w:bookmarkEnd w:id="475"/>
      <w:r/>
      <w:bookmarkEnd w:id="476"/>
      <w:r>
        <w:rPr>
          <w:rFonts w:hint="eastAsia" w:ascii="宋体" w:hAnsi="宋体" w:cs="宋体"/>
          <w:bCs/>
          <w:color w:val="auto"/>
          <w:sz w:val="24"/>
          <w:highlight w:val="none"/>
        </w:rPr>
        <w:t xml:space="preserve">进，每一关键节点完成后，中标供应商须向采购人提交阶段</w:t>
      </w:r>
      <w:bookmarkStart w:id="477" w:name="OLE_LINK13"/>
      <w:r/>
      <w:bookmarkStart w:id="478" w:name="OLE_LINK14"/>
      <w:r>
        <w:rPr>
          <w:rFonts w:hint="eastAsia" w:ascii="宋体" w:hAnsi="宋体" w:cs="宋体"/>
          <w:bCs/>
          <w:color w:val="auto"/>
          <w:sz w:val="24"/>
          <w:highlight w:val="none"/>
        </w:rPr>
        <w:t xml:space="preserve">验收申</w:t>
      </w:r>
      <w:bookmarkEnd w:id="477"/>
      <w:r/>
      <w:bookmarkEnd w:id="478"/>
      <w:r>
        <w:rPr>
          <w:rFonts w:hint="eastAsia" w:ascii="宋体" w:hAnsi="宋体" w:cs="宋体"/>
          <w:bCs/>
          <w:color w:val="auto"/>
          <w:sz w:val="24"/>
          <w:highlight w:val="none"/>
        </w:rPr>
        <w:t xml:space="preserve">请，</w:t>
      </w:r>
      <w:bookmarkStart w:id="479" w:name="OLE_LINK17"/>
      <w:r/>
      <w:bookmarkStart w:id="480" w:name="OLE_LINK16"/>
      <w:r/>
      <w:bookmarkStart w:id="481" w:name="OLE_LINK15"/>
      <w:r>
        <w:rPr>
          <w:rFonts w:hint="eastAsia" w:ascii="宋体" w:hAnsi="宋体" w:cs="宋体"/>
          <w:bCs/>
          <w:color w:val="auto"/>
          <w:sz w:val="24"/>
          <w:highlight w:val="none"/>
        </w:rPr>
        <w:t xml:space="preserve">并附到货设备清单、安装调试记录等佐</w:t>
      </w:r>
      <w:bookmarkEnd w:id="479"/>
      <w:r/>
      <w:bookmarkEnd w:id="480"/>
      <w:r/>
      <w:bookmarkEnd w:id="481"/>
      <w:r>
        <w:rPr>
          <w:rFonts w:hint="eastAsia" w:ascii="宋体" w:hAnsi="宋体" w:cs="宋体"/>
          <w:bCs/>
          <w:color w:val="auto"/>
          <w:sz w:val="24"/>
          <w:highlight w:val="none"/>
        </w:rPr>
        <w:t xml:space="preserve">证材料。采购人依据合同约定组织阶段验收，验收合格后，向中标供应商支付对应分项合同价款的30%。</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3.整套系统全部安装调试完毕，经采购人组织最终验收合格、整体性能达到验收标准后，采购人一次性支付合同剩余尾款。</w:t>
      </w:r>
      <w:r/>
    </w:p>
    <w:p>
      <w:pPr>
        <w:ind w:firstLine="48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4.中标供应商须在每次申请付款前，向采购方提供符合国家财税制度的合法有效的增值税专用发票，采购人在收到发票后完成付款。</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5.涉及到进口产品，中标供应商必须协助采购人办理免税或者退税手续，所产生的费用由中标供应商承担。</w:t>
      </w:r>
      <w:r/>
    </w:p>
    <w:p>
      <w:pPr>
        <w:ind w:firstLine="482"/>
        <w:spacing w:line="400" w:lineRule="exact"/>
        <w:rPr>
          <w:rFonts w:hint="eastAsia" w:ascii="宋体" w:hAnsi="宋体" w:cs="宋体"/>
          <w:b/>
          <w:color w:val="auto"/>
          <w:sz w:val="24"/>
          <w:highlight w:val="none"/>
        </w:rPr>
        <w:outlineLvl w:val="0"/>
      </w:pPr>
      <w:r/>
      <w:bookmarkStart w:id="482" w:name="_Toc11619"/>
      <w:r>
        <w:rPr>
          <w:rFonts w:hint="eastAsia" w:ascii="宋体" w:hAnsi="宋体" w:cs="宋体"/>
          <w:b/>
          <w:color w:val="auto"/>
          <w:sz w:val="24"/>
          <w:highlight w:val="none"/>
        </w:rPr>
        <w:t xml:space="preserve">（三）包装和运输</w:t>
      </w:r>
      <w:bookmarkEnd w:id="482"/>
      <w:r/>
      <w:r/>
    </w:p>
    <w:p>
      <w:pPr>
        <w:numPr>
          <w:ilvl w:val="0"/>
          <w:numId w:val="4"/>
        </w:numPr>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必</w:t>
      </w:r>
      <w:bookmarkStart w:id="483" w:name="OLE_LINK141"/>
      <w:r/>
      <w:bookmarkStart w:id="484" w:name="OLE_LINK142"/>
      <w:r>
        <w:rPr>
          <w:rFonts w:hint="eastAsia" w:ascii="宋体" w:hAnsi="宋体" w:cs="宋体"/>
          <w:color w:val="auto"/>
          <w:sz w:val="24"/>
          <w:highlight w:val="none"/>
        </w:rPr>
        <w:t xml:space="preserve">须要求满足《关于印发〈商品包装政府采购需求标准（试行）〉、〈快递包装政府采购需求标准（试行）〉的通知》（财办库﹝2020﹞123号））的规定。</w:t>
      </w:r>
      <w:bookmarkEnd w:id="483"/>
      <w:r/>
      <w:bookmarkEnd w:id="484"/>
      <w:r/>
      <w:r/>
    </w:p>
    <w:p>
      <w:pPr>
        <w:numPr>
          <w:ilvl w:val="0"/>
          <w:numId w:val="4"/>
        </w:numPr>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不接受快递物流送货，拒绝拆改。</w:t>
      </w:r>
      <w:r/>
    </w:p>
    <w:p>
      <w:pPr>
        <w:numPr>
          <w:ilvl w:val="0"/>
          <w:numId w:val="4"/>
        </w:numPr>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供应商提供的全部货物应按国家或专业标准保护措施进行包装，包装应适应于远距离运输、防潮、防震、防锈和防野蛮装卸，以确保货物安全无损运抵指定地点。由于包装不善所引起的货物损失均由中标供应商承担。</w:t>
      </w:r>
      <w:r/>
    </w:p>
    <w:p>
      <w:pPr>
        <w:numPr>
          <w:ilvl w:val="0"/>
          <w:numId w:val="4"/>
        </w:numPr>
        <w:contextualSpacing/>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中标供应商应保证货物不存在危及人身及财产安全的产品缺陷，否则应承担全部法律责任。</w:t>
      </w:r>
      <w:r/>
    </w:p>
    <w:p>
      <w:pPr>
        <w:ind w:firstLine="482"/>
        <w:spacing w:line="400" w:lineRule="exact"/>
        <w:rPr>
          <w:rFonts w:hint="eastAsia" w:ascii="宋体" w:hAnsi="宋体" w:cs="宋体"/>
          <w:b/>
          <w:color w:val="auto"/>
          <w:sz w:val="24"/>
          <w:highlight w:val="none"/>
        </w:rPr>
        <w:outlineLvl w:val="0"/>
      </w:pPr>
      <w:r/>
      <w:bookmarkStart w:id="485" w:name="_Toc1570"/>
      <w:r>
        <w:rPr>
          <w:rFonts w:hint="eastAsia" w:ascii="宋体" w:hAnsi="宋体" w:cs="宋体"/>
          <w:b/>
          <w:color w:val="auto"/>
          <w:sz w:val="24"/>
          <w:highlight w:val="none"/>
        </w:rPr>
        <w:t xml:space="preserve">四、技术要求</w:t>
      </w:r>
      <w:bookmarkEnd w:id="485"/>
      <w:r/>
      <w:r/>
    </w:p>
    <w:p>
      <w:pPr>
        <w:contextualSpacing/>
        <w:ind w:firstLine="480"/>
        <w:jc w:val="left"/>
        <w:spacing w:line="400" w:lineRule="exact"/>
        <w:shd w:val="clear" w:color="auto"/>
        <w:rPr>
          <w:rFonts w:hint="eastAsia" w:ascii="宋体" w:hAnsi="宋体" w:cs="宋体"/>
          <w:b w:val="0"/>
          <w:bCs w:val="0"/>
          <w:color w:val="auto"/>
          <w:sz w:val="24"/>
          <w:highlight w:val="none"/>
          <w:u w:val="none"/>
          <w:shd w:val="clear" w:color="auto" w:fill="auto"/>
        </w:rPr>
      </w:pPr>
      <w:r/>
      <w:bookmarkStart w:id="486" w:name="_Toc24314"/>
      <w:r>
        <w:rPr>
          <w:rFonts w:hint="eastAsia" w:ascii="宋体" w:hAnsi="宋体" w:cs="宋体"/>
          <w:b w:val="0"/>
          <w:bCs w:val="0"/>
          <w:color w:val="auto"/>
          <w:sz w:val="24"/>
          <w:highlight w:val="none"/>
          <w:u w:val="none"/>
          <w:shd w:val="clear" w:color="auto" w:fill="auto"/>
        </w:rPr>
        <w:t xml:space="preserve">▲1、包括3套双频激光器主机、3套长距离选件、3套激光器线缆（每套≥7m）、3套光电处理模块、3套线性干涉镜、6套线性反射镜、1套三脚架、1台高性能干涉仪工作站等。</w:t>
      </w:r>
      <w:r/>
    </w:p>
    <w:p>
      <w:pPr>
        <w:contextualSpacing/>
        <w:ind w:firstLine="482"/>
        <w:jc w:val="left"/>
        <w:spacing w:line="400" w:lineRule="exact"/>
        <w:shd w:val="clear" w:color="auto"/>
        <w:rPr>
          <w:rFonts w:hint="eastAsia" w:ascii="宋体" w:hAnsi="宋体" w:cs="宋体"/>
          <w:b/>
          <w:bCs/>
          <w:color w:val="auto"/>
          <w:sz w:val="24"/>
          <w:highlight w:val="none"/>
          <w:u w:val="single"/>
          <w:shd w:val="clear" w:color="auto" w:fill="auto"/>
        </w:rPr>
      </w:pPr>
      <w:r>
        <w:rPr>
          <w:rFonts w:hint="eastAsia" w:ascii="宋体" w:hAnsi="宋体" w:cs="宋体"/>
          <w:b/>
          <w:bCs/>
          <w:color w:val="auto"/>
          <w:sz w:val="24"/>
          <w:highlight w:val="none"/>
          <w:u w:val="single"/>
          <w:shd w:val="clear" w:color="auto" w:fill="auto"/>
        </w:rPr>
        <w:t xml:space="preserve">★2、激光波长的相对扩展不确定度应符合1×10-7(k=3)。</w:t>
      </w:r>
      <w:r/>
    </w:p>
    <w:p>
      <w:pPr>
        <w:contextualSpacing/>
        <w:ind w:firstLine="482"/>
        <w:jc w:val="left"/>
        <w:spacing w:line="400" w:lineRule="exact"/>
        <w:shd w:val="clear" w:color="auto"/>
        <w:rPr>
          <w:rFonts w:hint="eastAsia" w:ascii="宋体" w:hAnsi="宋体" w:cs="宋体"/>
          <w:b/>
          <w:bCs/>
          <w:color w:val="auto"/>
          <w:sz w:val="24"/>
          <w:highlight w:val="none"/>
          <w:u w:val="single"/>
          <w:shd w:val="clear" w:color="auto" w:fill="auto"/>
        </w:rPr>
      </w:pPr>
      <w:r>
        <w:rPr>
          <w:rFonts w:hint="eastAsia" w:ascii="宋体" w:hAnsi="宋体" w:cs="宋体"/>
          <w:b/>
          <w:bCs/>
          <w:color w:val="auto"/>
          <w:sz w:val="24"/>
          <w:highlight w:val="none"/>
          <w:u w:val="single"/>
          <w:shd w:val="clear" w:color="auto" w:fill="auto"/>
        </w:rPr>
        <w:t xml:space="preserve">★3、标准条件下的位移测量的最大允许示值误差不低于±(0.03+0.5L)μm，L为测量长度，单位m。</w:t>
      </w:r>
      <w:r/>
    </w:p>
    <w:p>
      <w:pPr>
        <w:contextualSpacing/>
        <w:ind w:firstLine="480"/>
        <w:jc w:val="left"/>
        <w:spacing w:line="400" w:lineRule="exact"/>
        <w:shd w:val="clear" w:color="auto"/>
        <w:rPr>
          <w:rFonts w:hint="eastAsia" w:ascii="宋体" w:hAnsi="宋体" w:cs="宋体"/>
          <w:b w:val="0"/>
          <w:bCs w:val="0"/>
          <w:color w:val="auto"/>
          <w:sz w:val="24"/>
          <w:highlight w:val="none"/>
          <w:u w:val="none"/>
          <w:shd w:val="clear" w:color="auto" w:fill="auto"/>
        </w:rPr>
      </w:pPr>
      <w:r>
        <w:rPr>
          <w:rFonts w:hint="eastAsia" w:ascii="宋体" w:hAnsi="宋体" w:cs="宋体"/>
          <w:b w:val="0"/>
          <w:bCs w:val="0"/>
          <w:color w:val="auto"/>
          <w:sz w:val="24"/>
          <w:highlight w:val="none"/>
          <w:u w:val="none"/>
          <w:shd w:val="clear" w:color="auto" w:fill="auto"/>
        </w:rPr>
        <w:t xml:space="preserve">▲4、分辨率优于2nm的激光干涉仪的非线性应不大于0.02μm。</w:t>
      </w:r>
      <w:r/>
    </w:p>
    <w:p>
      <w:pPr>
        <w:contextualSpacing/>
        <w:ind w:firstLine="480"/>
        <w:jc w:val="left"/>
        <w:spacing w:line="400" w:lineRule="exact"/>
        <w:shd w:val="clear" w:color="auto"/>
        <w:rPr>
          <w:rFonts w:hint="eastAsia" w:ascii="宋体" w:hAnsi="宋体" w:cs="宋体"/>
          <w:b w:val="0"/>
          <w:bCs w:val="0"/>
          <w:color w:val="auto"/>
          <w:sz w:val="24"/>
          <w:highlight w:val="none"/>
          <w:u w:val="none"/>
          <w:shd w:val="clear" w:color="auto" w:fill="auto"/>
        </w:rPr>
      </w:pPr>
      <w:r>
        <w:rPr>
          <w:rFonts w:hint="eastAsia" w:ascii="宋体" w:hAnsi="宋体" w:cs="宋体"/>
          <w:b w:val="0"/>
          <w:bCs w:val="0"/>
          <w:color w:val="auto"/>
          <w:sz w:val="24"/>
          <w:highlight w:val="none"/>
          <w:u w:val="none"/>
          <w:shd w:val="clear" w:color="auto" w:fill="auto"/>
        </w:rPr>
        <w:t xml:space="preserve">▲5、双频激光干涉仪采用双频氦-氖双频激光器，测量范围≥(0～50)m。 </w:t>
      </w:r>
      <w:r/>
    </w:p>
    <w:p>
      <w:pPr>
        <w:contextualSpacing/>
        <w:ind w:firstLine="480"/>
        <w:jc w:val="left"/>
        <w:spacing w:line="400" w:lineRule="exact"/>
        <w:shd w:val="clear" w:color="auto"/>
        <w:rPr>
          <w:rFonts w:hint="eastAsia" w:ascii="宋体" w:hAnsi="宋体" w:cs="宋体"/>
          <w:b w:val="0"/>
          <w:bCs w:val="0"/>
          <w:color w:val="auto"/>
          <w:sz w:val="24"/>
          <w:highlight w:val="none"/>
          <w:u w:val="none"/>
          <w:shd w:val="clear" w:color="auto" w:fill="auto"/>
        </w:rPr>
      </w:pPr>
      <w:r>
        <w:rPr>
          <w:rFonts w:hint="eastAsia" w:ascii="宋体" w:hAnsi="宋体" w:cs="宋体"/>
          <w:b w:val="0"/>
          <w:bCs w:val="0"/>
          <w:color w:val="auto"/>
          <w:sz w:val="24"/>
          <w:highlight w:val="none"/>
          <w:u w:val="none"/>
          <w:shd w:val="clear" w:color="auto" w:fill="auto"/>
        </w:rPr>
        <w:t xml:space="preserve">6、准确度等级/MPE优于0.5ppm/m；分辨力/分度值需要优于1nm；稳定性需要优于0.05ppm。双频激光干涉仪双频频差优于3 MHz；带宽优于10 kHz；镜组材质需要不锈钢包裹外壳；光束直径大于6mm；预热时间小于10min。</w:t>
      </w:r>
      <w:r/>
    </w:p>
    <w:p>
      <w:pPr>
        <w:contextualSpacing/>
        <w:ind w:firstLine="482"/>
        <w:jc w:val="left"/>
        <w:spacing w:line="400" w:lineRule="exact"/>
        <w:shd w:val="clear" w:color="auto"/>
        <w:rPr>
          <w:rFonts w:hint="eastAsia" w:ascii="宋体" w:hAnsi="宋体" w:cs="宋体"/>
          <w:b/>
          <w:bCs/>
          <w:color w:val="auto"/>
          <w:sz w:val="24"/>
          <w:highlight w:val="none"/>
          <w:u w:val="single"/>
          <w:shd w:val="clear" w:color="auto" w:fill="auto"/>
        </w:rPr>
      </w:pPr>
      <w:r>
        <w:rPr>
          <w:rFonts w:hint="eastAsia" w:ascii="宋体" w:hAnsi="宋体" w:cs="宋体"/>
          <w:b/>
          <w:bCs/>
          <w:color w:val="auto"/>
          <w:sz w:val="24"/>
          <w:highlight w:val="none"/>
          <w:u w:val="single"/>
          <w:shd w:val="clear" w:color="auto" w:fill="auto"/>
        </w:rPr>
        <w:t xml:space="preserve">★7、仪器设备通讯要求</w:t>
      </w:r>
      <w:r>
        <w:rPr>
          <w:rFonts w:hint="eastAsia" w:ascii="宋体" w:hAnsi="宋体" w:cs="宋体"/>
          <w:b/>
          <w:bCs/>
          <w:color w:val="auto"/>
          <w:sz w:val="24"/>
          <w:highlight w:val="none"/>
          <w:u w:val="single"/>
          <w:shd w:val="clear" w:color="auto" w:fill="auto"/>
          <w:lang w:eastAsia="zh-CN"/>
        </w:rPr>
        <w:t xml:space="preserve">：</w:t>
      </w:r>
      <w:r>
        <w:rPr>
          <w:rFonts w:hint="eastAsia" w:ascii="宋体" w:hAnsi="宋体" w:cs="宋体"/>
          <w:b/>
          <w:bCs/>
          <w:color w:val="auto"/>
          <w:sz w:val="24"/>
          <w:highlight w:val="none"/>
          <w:u w:val="single"/>
          <w:shd w:val="clear" w:color="auto" w:fill="auto"/>
        </w:rPr>
        <w:t xml:space="preserve">所提供的仪器设备如有涉及测量数据输出到实验室信息管理系统（LIMS）功能，均应开放授权并提供数据传输协议、软硬件接口文档和数据库链接接口。（本项为实质性响应条款，投标文件中提供承诺并加盖投标人公章，未按要求提供的，投标文件将作为无效响应处理。）</w:t>
      </w:r>
      <w:r/>
    </w:p>
    <w:p>
      <w:pPr>
        <w:contextualSpacing/>
        <w:ind w:firstLine="480"/>
        <w:jc w:val="left"/>
        <w:spacing w:line="400" w:lineRule="exact"/>
        <w:shd w:val="clear" w:color="auto"/>
        <w:rPr>
          <w:rFonts w:hint="eastAsia" w:ascii="宋体" w:hAnsi="宋体" w:cs="宋体"/>
          <w:b w:val="0"/>
          <w:bCs w:val="0"/>
          <w:color w:val="auto"/>
          <w:sz w:val="24"/>
          <w:highlight w:val="none"/>
          <w:u w:val="none"/>
          <w:shd w:val="clear" w:color="auto" w:fill="auto"/>
        </w:rPr>
      </w:pPr>
      <w:r>
        <w:rPr>
          <w:rFonts w:hint="eastAsia" w:ascii="宋体" w:hAnsi="宋体" w:cs="宋体"/>
          <w:b w:val="0"/>
          <w:bCs w:val="0"/>
          <w:color w:val="auto"/>
          <w:sz w:val="24"/>
          <w:highlight w:val="none"/>
          <w:u w:val="none"/>
          <w:shd w:val="clear" w:color="auto" w:fill="auto"/>
        </w:rPr>
        <w:t xml:space="preserve">8、溯源要求： 按照JJG739-2005《激光干涉仪检定规程》和JJG 353-2006 《633nm稳频激光器》进行检定。（注：需注明检定（校准）依据、溯源参数及范围等信息）</w:t>
      </w:r>
      <w:r/>
    </w:p>
    <w:p>
      <w:pPr>
        <w:contextualSpacing/>
        <w:ind w:firstLine="482"/>
        <w:jc w:val="left"/>
        <w:spacing w:line="400" w:lineRule="exact"/>
        <w:shd w:val="clear" w:color="auto"/>
        <w:rPr>
          <w:rFonts w:hint="eastAsia" w:ascii="宋体" w:hAnsi="宋体" w:cs="宋体"/>
          <w:b/>
          <w:bCs/>
          <w:color w:val="auto"/>
          <w:sz w:val="24"/>
          <w:highlight w:val="none"/>
          <w:u w:val="single"/>
          <w:shd w:val="clear" w:color="auto" w:fill="auto"/>
        </w:rPr>
      </w:pPr>
      <w:r>
        <w:rPr>
          <w:rFonts w:hint="eastAsia" w:ascii="宋体" w:hAnsi="宋体" w:cs="宋体"/>
          <w:b/>
          <w:bCs/>
          <w:color w:val="auto"/>
          <w:sz w:val="24"/>
          <w:highlight w:val="none"/>
          <w:u w:val="single"/>
          <w:shd w:val="clear" w:color="auto" w:fill="auto"/>
        </w:rPr>
        <w:t xml:space="preserve">注：以上技术要求中打“★”项为实质性响应参数，如有负偏离，投标文件将作为无效投标处理；其他参数如有负偏离将会引起扣分，具体要求详见“评标标准”。</w:t>
      </w:r>
      <w:r/>
    </w:p>
    <w:p>
      <w:pPr>
        <w:ind w:firstLine="482"/>
        <w:spacing w:line="40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五、其他要求</w:t>
      </w:r>
      <w:bookmarkEnd w:id="486"/>
      <w:r/>
      <w:r/>
    </w:p>
    <w:p>
      <w:pPr>
        <w:ind w:firstLine="482"/>
        <w:spacing w:line="400" w:lineRule="exact"/>
        <w:rPr>
          <w:rFonts w:hint="eastAsia" w:ascii="宋体" w:hAnsi="宋体" w:cs="宋体"/>
          <w:b/>
          <w:color w:val="auto"/>
          <w:sz w:val="24"/>
          <w:highlight w:val="none"/>
        </w:rPr>
        <w:outlineLvl w:val="0"/>
      </w:pPr>
      <w:r/>
      <w:bookmarkStart w:id="487" w:name="_Toc30588"/>
      <w:r>
        <w:rPr>
          <w:rFonts w:hint="eastAsia" w:ascii="宋体" w:hAnsi="宋体" w:cs="宋体"/>
          <w:b/>
          <w:color w:val="auto"/>
          <w:sz w:val="24"/>
          <w:highlight w:val="none"/>
        </w:rPr>
        <w:t xml:space="preserve">（一）基本要求</w:t>
      </w:r>
      <w:bookmarkEnd w:id="487"/>
      <w:r/>
      <w:r/>
    </w:p>
    <w:p>
      <w:pPr>
        <w:ind w:firstLine="480"/>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中标人必须按照合同签订的时间要求将仪器设备运至采购单位，安装调试并经采购人验收合格后方可认为交货完成。中标人提供的设备必须是新的和未使用过的设备。仪器设备到达安装现场后，中标人应提供详细发货清单，由采购人打开包装验货、检查货物数量。验收中发现设备无法正常运行或设备硬件、软件问题由厂家免费更换。设备经三次验收未通过，采购人有权要求退货，解除合同，给采购人造成损失的，应赔偿相应损失（合同金额的10%）。无正当理由延期交付的，中标人将承担相应赔偿。</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必须能保证所提供设备涉及到的知识产权和所提供的软件、技术资料是合法取得，享有完整的知识产权，不会因为采购人的使用被责令停止使用、追偿或要求赔偿损失，如出现此情况，一切经济和法律责任均由中标人承担。</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所有设备和附配件必须为合格产品，质量符合国际或国家通用标准，应符合其规定的性能、无瑕疵和缺陷，必须有质量检验合格证、装箱单、产品安装使用说明书等相关资料。如产品出现质量问题或系假冒伪劣产品，中标人负责包退、包换，发生的费用由中标人负责。</w:t>
      </w:r>
      <w:r/>
    </w:p>
    <w:p>
      <w:pPr>
        <w:ind w:firstLine="482"/>
        <w:spacing w:line="400" w:lineRule="exact"/>
        <w:rPr>
          <w:rFonts w:hint="eastAsia" w:ascii="宋体" w:hAnsi="宋体" w:cs="宋体"/>
          <w:b/>
          <w:color w:val="auto"/>
          <w:sz w:val="24"/>
          <w:highlight w:val="none"/>
        </w:rPr>
        <w:outlineLvl w:val="0"/>
      </w:pPr>
      <w:r/>
      <w:bookmarkStart w:id="488" w:name="_Toc22282"/>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）设备供货要求</w:t>
      </w:r>
      <w:bookmarkEnd w:id="488"/>
      <w:r/>
      <w:r/>
    </w:p>
    <w:p>
      <w:pPr>
        <w:ind w:firstLine="480"/>
        <w:spacing w:line="400" w:lineRule="exact"/>
        <w:rPr>
          <w:rFonts w:hint="eastAsia" w:ascii="宋体" w:hAnsi="宋体" w:cs="宋体"/>
          <w:b w:val="0"/>
          <w:bCs/>
          <w:color w:val="auto"/>
          <w:sz w:val="24"/>
          <w:highlight w:val="none"/>
        </w:rPr>
        <w:outlineLvl w:val="0"/>
      </w:pPr>
      <w:r/>
      <w:bookmarkStart w:id="489" w:name="_Toc10347"/>
      <w:r>
        <w:rPr>
          <w:rFonts w:hint="eastAsia" w:ascii="宋体" w:hAnsi="宋体" w:cs="宋体"/>
          <w:b w:val="0"/>
          <w:bCs/>
          <w:color w:val="auto"/>
          <w:sz w:val="24"/>
          <w:highlight w:val="none"/>
        </w:rPr>
        <w:t xml:space="preserve">1 在合同签订生效后（120日内）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三个月以内），采购人有权要求退货，解除合同，给采购人造成损失的，应赔偿相应损失（合同金额的10%）。无正当理由延期交付的，中标人将承担相应赔偿。</w:t>
      </w:r>
      <w:r/>
    </w:p>
    <w:p>
      <w:pPr>
        <w:ind w:firstLine="480"/>
        <w:spacing w:line="400" w:lineRule="exact"/>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2 应能保证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p>
    <w:p>
      <w:pPr>
        <w:ind w:firstLine="480"/>
        <w:spacing w:line="400" w:lineRule="exact"/>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3 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p>
    <w:p>
      <w:pPr>
        <w:ind w:firstLine="482"/>
        <w:spacing w:line="400" w:lineRule="exact"/>
        <w:rPr>
          <w:rFonts w:hint="default" w:ascii="宋体" w:hAnsi="宋体" w:eastAsia="宋体" w:cs="宋体"/>
          <w:b/>
          <w:bCs w:val="0"/>
          <w:color w:val="auto"/>
          <w:sz w:val="24"/>
          <w:highlight w:val="none"/>
          <w:lang w:val="en-US" w:eastAsia="zh-CN"/>
        </w:rPr>
        <w:outlineLvl w:val="0"/>
      </w:pP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三</w:t>
      </w: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安装要求</w:t>
      </w:r>
      <w:r/>
    </w:p>
    <w:p>
      <w:pPr>
        <w:ind w:firstLine="480"/>
        <w:spacing w:line="400" w:lineRule="exact"/>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采购人负责提供设备安装所需场地、基础供电点位、网络接入点位等现场基础条件。投标人须充分踏勘现场，结合设备技术参数自行核实电源规格、网络接口类型、点位距离等现场工况，统筹完成全部配套实施工作：包含但不限于设备接口适配、配套线缆采购、线缆敷设、端接接线、线路整理、链路连通测试、设备上电调试等所有相关工作。</w:t>
      </w:r>
      <w:r/>
    </w:p>
    <w:p>
      <w:pPr>
        <w:ind w:firstLine="480"/>
        <w:spacing w:line="400" w:lineRule="exact"/>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凡实现设备正常安装、通电、联网运行所需的接口转换配件、延长线缆、接头、理线辅材等物料及人工，均由投标人自行承担，相关费用全部包含在投标总价中，采购人不另行支付任何新增费用。投标人应充分评估现场接口、布线条件存在的各类风险，相关配套解决方案由投标人自行落实。</w:t>
      </w:r>
      <w:r/>
    </w:p>
    <w:p>
      <w:pPr>
        <w:ind w:firstLine="482"/>
        <w:spacing w:line="400" w:lineRule="exact"/>
        <w:rPr>
          <w:rFonts w:ascii="宋体" w:hAnsi="宋体" w:cs="宋体"/>
          <w:b/>
          <w:bCs w:val="0"/>
          <w:color w:val="auto"/>
          <w:sz w:val="24"/>
          <w:highlight w:val="none"/>
        </w:rPr>
        <w:outlineLvl w:val="0"/>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四</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安全要求</w:t>
      </w:r>
      <w:bookmarkEnd w:id="489"/>
      <w:r/>
      <w:r/>
    </w:p>
    <w:p>
      <w:pPr>
        <w:ind w:firstLine="480"/>
        <w:spacing w:line="400" w:lineRule="exact"/>
        <w:rPr>
          <w:rFonts w:ascii="宋体" w:hAnsi="宋体" w:cs="宋体"/>
          <w:color w:val="auto"/>
          <w:sz w:val="24"/>
          <w:highlight w:val="none"/>
        </w:rPr>
      </w:pPr>
      <w:r/>
      <w:bookmarkStart w:id="490" w:name="OLE_LINK311"/>
      <w:r/>
      <w:bookmarkStart w:id="491" w:name="OLE_LINK310"/>
      <w:r/>
      <w:bookmarkStart w:id="492" w:name="OLE_LINK309"/>
      <w:r>
        <w:rPr>
          <w:rFonts w:hint="eastAsia" w:ascii="宋体" w:hAnsi="宋体" w:cs="宋体"/>
          <w:color w:val="auto"/>
          <w:sz w:val="24"/>
          <w:highlight w:val="none"/>
        </w:rPr>
        <w:t xml:space="preserve">1.中标人应保证设备及系统不存在危及人身及财产安全的产品缺陷，否则应承担全部法律责任。</w:t>
      </w:r>
      <w:r/>
    </w:p>
    <w:p>
      <w:pPr>
        <w:ind w:firstLine="480"/>
        <w:spacing w:line="400" w:lineRule="exact"/>
        <w:rPr>
          <w:rFonts w:hint="eastAsia" w:ascii="宋体" w:hAnsi="宋体" w:cs="宋体"/>
          <w:b/>
          <w:color w:val="auto"/>
          <w:sz w:val="24"/>
          <w:highlight w:val="none"/>
        </w:rPr>
      </w:pPr>
      <w:r>
        <w:rPr>
          <w:rFonts w:hint="eastAsia" w:ascii="宋体" w:hAnsi="宋体" w:cs="宋体"/>
          <w:color w:val="auto"/>
          <w:sz w:val="24"/>
          <w:highlight w:val="none"/>
        </w:rPr>
        <w:t xml:space="preserve">2.在货物安装、运输过程中产生的一切安全责任事故由中标人承担，采购人不承担由此带来的一切经济、法律责任。</w:t>
      </w:r>
      <w:bookmarkEnd w:id="490"/>
      <w:r/>
      <w:bookmarkEnd w:id="491"/>
      <w:r/>
      <w:bookmarkEnd w:id="492"/>
      <w:r/>
      <w:r/>
    </w:p>
    <w:p>
      <w:pPr>
        <w:ind w:firstLine="482"/>
        <w:spacing w:line="400" w:lineRule="exact"/>
        <w:rPr>
          <w:rFonts w:hint="eastAsia" w:ascii="宋体" w:hAnsi="宋体" w:cs="宋体"/>
          <w:b/>
          <w:color w:val="auto"/>
          <w:sz w:val="24"/>
          <w:highlight w:val="none"/>
        </w:rPr>
        <w:outlineLvl w:val="0"/>
      </w:pPr>
      <w:r/>
      <w:bookmarkStart w:id="493" w:name="_Toc2890"/>
      <w:r>
        <w:rPr>
          <w:rFonts w:hint="eastAsia" w:ascii="宋体" w:hAnsi="宋体" w:cs="宋体"/>
          <w:b/>
          <w:color w:val="auto"/>
          <w:sz w:val="24"/>
          <w:highlight w:val="none"/>
        </w:rPr>
        <w:t xml:space="preserve">六、技术验收</w:t>
      </w:r>
      <w:bookmarkEnd w:id="493"/>
      <w:r/>
      <w:r/>
    </w:p>
    <w:p>
      <w:pPr>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技术指标验收</w:t>
      </w:r>
      <w:r/>
    </w:p>
    <w:p>
      <w:pPr>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设备完成安装调试后，</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须委托获法定计量技术机构，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p>
    <w:p>
      <w:pPr>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功能性指标验收</w:t>
      </w:r>
      <w:r/>
    </w:p>
    <w:p>
      <w:pPr>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设备安装调试完成后，由</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通过现场实操演示方式，逐项验证设备各项功能指标，确保完全满足采购文件需求。</w:t>
      </w:r>
      <w:r/>
    </w:p>
    <w:p>
      <w:pPr>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其他资料验收</w:t>
      </w:r>
      <w:r/>
    </w:p>
    <w:p>
      <w:pPr>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如为进口设备，验收时还须提供货物报关单，以及关税、进口环节增值税、进口环节消费税等完税凭证或免税凭证。</w:t>
      </w:r>
      <w:r/>
    </w:p>
    <w:p>
      <w:pPr>
        <w:ind w:firstLine="482"/>
        <w:spacing w:line="400" w:lineRule="exact"/>
        <w:rPr>
          <w:rFonts w:hint="eastAsia" w:ascii="宋体" w:hAnsi="宋体" w:cs="宋体"/>
          <w:b/>
          <w:color w:val="auto"/>
          <w:sz w:val="24"/>
          <w:highlight w:val="none"/>
        </w:rPr>
        <w:outlineLvl w:val="0"/>
      </w:pPr>
      <w:r/>
      <w:bookmarkStart w:id="494" w:name="_Toc11891"/>
      <w:r>
        <w:rPr>
          <w:rFonts w:hint="eastAsia" w:ascii="宋体" w:hAnsi="宋体" w:cs="宋体"/>
          <w:b/>
          <w:color w:val="auto"/>
          <w:sz w:val="24"/>
          <w:highlight w:val="none"/>
        </w:rPr>
        <w:t xml:space="preserve">七、质量保证及售后服务要求</w:t>
      </w:r>
      <w:bookmarkEnd w:id="494"/>
      <w:r/>
      <w:r/>
    </w:p>
    <w:p>
      <w:pPr>
        <w:ind w:firstLine="482"/>
        <w:spacing w:line="400" w:lineRule="exact"/>
        <w:rPr>
          <w:rFonts w:hint="eastAsia" w:ascii="宋体" w:hAnsi="宋体" w:cs="宋体"/>
          <w:b/>
          <w:bCs/>
          <w:color w:val="auto"/>
          <w:sz w:val="24"/>
          <w:highlight w:val="none"/>
          <w:u w:val="single"/>
        </w:rPr>
      </w:pPr>
      <w:r/>
      <w:bookmarkStart w:id="495" w:name="OLE_LINK464"/>
      <w:r/>
      <w:bookmarkStart w:id="496" w:name="OLE_LINK463"/>
      <w:r>
        <w:rPr>
          <w:rFonts w:hint="eastAsia" w:ascii="宋体" w:hAnsi="宋体" w:cs="宋体"/>
          <w:b/>
          <w:bCs/>
          <w:color w:val="auto"/>
          <w:sz w:val="24"/>
          <w:highlight w:val="none"/>
          <w:u w:val="single"/>
        </w:rPr>
        <w:t xml:space="preserve">★</w:t>
      </w:r>
      <w:bookmarkEnd w:id="495"/>
      <w:r/>
      <w:bookmarkEnd w:id="496"/>
      <w:r>
        <w:rPr>
          <w:rFonts w:hint="eastAsia" w:ascii="宋体" w:hAnsi="宋体" w:cs="宋体"/>
          <w:b/>
          <w:bCs/>
          <w:color w:val="auto"/>
          <w:sz w:val="24"/>
          <w:highlight w:val="none"/>
          <w:u w:val="single"/>
          <w:lang w:val="en-US" w:eastAsia="zh-CN"/>
        </w:rPr>
        <w:t xml:space="preserve">1.</w:t>
      </w:r>
      <w:r>
        <w:rPr>
          <w:rFonts w:hint="eastAsia" w:ascii="宋体" w:hAnsi="宋体" w:cs="宋体"/>
          <w:b/>
          <w:bCs/>
          <w:color w:val="auto"/>
          <w:sz w:val="24"/>
          <w:highlight w:val="none"/>
          <w:u w:val="single"/>
        </w:rPr>
        <w:t xml:space="preserve">免费质保要求</w:t>
      </w:r>
      <w:bookmarkStart w:id="497" w:name="OLE_LINK466"/>
      <w:r/>
      <w:bookmarkStart w:id="498" w:name="OLE_LINK465"/>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bookmarkEnd w:id="497"/>
      <w:r/>
      <w:bookmarkEnd w:id="498"/>
      <w:r/>
      <w:r/>
    </w:p>
    <w:p>
      <w:pPr>
        <w:ind w:firstLine="482"/>
        <w:spacing w:line="4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2．售后服务要求</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（1）负责免费安装和调试，对产品承担1年保修期，终身维护；</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（2）对用户进行登记造册存档，以备提供相应用户服务；</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（3）提供7*24小时电话咨询服务。对于用户的报修，应在2小时内电话回复，如电话不能解决问题，应在24小时内到达现场，予以解决；</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（4）例行维护保养：</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投标人应为采购人提供例行维护保养服务，提供仪器设备的例行维护保养项目清单和具体服务内容（包含但不限于上门巡检频次、设备运行状态检测、清洁除尘、部件润滑、精度调试校准等）。</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对于可由仪器操作人员自主完成的维保项目，投标人须组织专项操作培训，确保使用人员具备独立操作及基础维护的能力；</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投标人应明确免费保修保养期届满后维保服务的收费模式（如按次、按年、按工时收费等），出具包含耗材费、人工费的详细维护保养收费清单，并承诺后续维保服务的优惠折扣率，折扣有效期。</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（5）易损件供应服务</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投标人应明确所供应仪器设备是否包含平均使用寿命≤3年的密封件、易损耗部件。如包含则中标人须承诺长期稳定供应，保障供货及时性。</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投标人应制定易损件供应优惠方案，提供易损件详细清单（含各部件平均使用寿命、原厂售价），并明确后续采购的优惠折扣率，折扣有效期。</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投标人须保证所供易损件均为原厂正品，同时提供对应的质量合格证明文件，若供应非原厂正品，采购人有权终止采购合同并追究违约责任。</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（6）维修件供应及维修服务</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在仪器设备设计使用寿命期内，中标人须保证采购人能够采购到原厂正品维修件，保障设备正常运行。</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中标人应提供故障报修响应服务，自接到报修通知起2小时内响应，24小时内到达现场开展维修工作；若因特殊情况无法按时到场，须提前向采购人说明并提供应急解决方案。</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免费保修保养期届满后，中标人应按承诺的优惠折扣率及约定收费模式（如按次、按年、按工时收费等）收取维修费用，同时配备专业维修工程师团队，保障维修服务效率与质量。</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中标人须出具维修服务收费标准清单、主要维修备件价格清单，并明确维修优惠折扣率。</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（7）使用成本说明</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能源消耗方面，中标人应提供设备正常运行状态下的水、电、气单位时间消耗数据，并附设备铭牌参数或第三方检测报告佐证。</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 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中标人应公开成本计算方法及依据，确保使用成本透明化；针对试剂、试块、耗材的长期供应，须制定专项优惠方案，出具包含批量采购折扣的详细价格表，批量采购折扣梯度需清晰明确。</w:t>
      </w:r>
      <w:r/>
    </w:p>
    <w:p>
      <w:pPr>
        <w:ind w:firstLine="482"/>
        <w:spacing w:line="4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3.技术服务与技术培训要求</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（1）技术服务要求</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中标人应配备专业技术团队，为采购人提供7×24小时技术咨询服务，解答与仪器相关的标准解读、分析原理、操作应用等问题，协助解决实际样品分析及设备使用过程中的技术难题。</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 中标人应持续对仪器硬件及软件进行迭代升级，为采购人免费提供软件更新升级服务，免费升级期限与设备保修期一致；硬件升级需提供成本明细及优惠方案供采购人选择。</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（2）技术培训要求</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培训效果验收标准：参训人员独立完成仪器设备各功能的使用且能独立完成设备日常清洁、参数校准等基础维护操作，视为培训达标。未达标的，中标人须免费提供二次培训。</w:t>
      </w:r>
      <w:r/>
    </w:p>
    <w:p>
      <w:pPr>
        <w:ind w:firstLine="482"/>
        <w:spacing w:line="400" w:lineRule="exact"/>
        <w:widowControl/>
        <w:rPr>
          <w:rFonts w:hint="eastAsia" w:ascii="宋体" w:hAnsi="宋体" w:cs="宋体"/>
          <w:b/>
          <w:bCs/>
          <w:color w:val="auto"/>
          <w:sz w:val="24"/>
          <w:highlight w:val="none"/>
        </w:rPr>
      </w:pPr>
      <w:r/>
      <w:bookmarkStart w:id="499" w:name="_Toc2802"/>
      <w:r>
        <w:rPr>
          <w:rFonts w:hint="eastAsia" w:ascii="宋体" w:hAnsi="宋体" w:cs="宋体"/>
          <w:b/>
          <w:bCs/>
          <w:color w:val="auto"/>
          <w:sz w:val="24"/>
          <w:highlight w:val="none"/>
        </w:rPr>
        <w:t xml:space="preserve">八、报价要求</w:t>
      </w:r>
      <w:bookmarkEnd w:id="499"/>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本项目报价应包括但不限于采购</w:t>
      </w:r>
      <w:r>
        <w:rPr>
          <w:rFonts w:hint="eastAsia" w:ascii="宋体" w:hAnsi="宋体" w:cs="宋体"/>
          <w:b w:val="0"/>
          <w:bCs w:val="0"/>
          <w:color w:val="auto"/>
          <w:sz w:val="24"/>
          <w:highlight w:val="none"/>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p>
    <w:p>
      <w:pPr>
        <w:ind w:firstLine="482"/>
        <w:spacing w:line="4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、付款方式</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合同签订并生效后，收到</w:t>
      </w:r>
      <w:r>
        <w:rPr>
          <w:rFonts w:hint="eastAsia" w:ascii="宋体" w:hAnsi="宋体" w:cs="宋体"/>
          <w:b w:val="0"/>
          <w:bCs w:val="0"/>
          <w:color w:val="auto"/>
          <w:sz w:val="24"/>
          <w:highlight w:val="none"/>
          <w:lang w:eastAsia="zh-CN"/>
        </w:rPr>
        <w:t xml:space="preserve">中标人</w:t>
      </w:r>
      <w:r>
        <w:rPr>
          <w:rFonts w:hint="eastAsia" w:ascii="宋体" w:hAnsi="宋体" w:cs="宋体"/>
          <w:b w:val="0"/>
          <w:bCs w:val="0"/>
          <w:color w:val="auto"/>
          <w:sz w:val="24"/>
          <w:highlight w:val="none"/>
        </w:rPr>
        <w:t xml:space="preserve">开具的合规增值税发票后支付合同款项的30%。待设备到场和收到第三方计量检测报告证书后即设备验收合格，并收到</w:t>
      </w:r>
      <w:r>
        <w:rPr>
          <w:rFonts w:hint="eastAsia" w:ascii="宋体" w:hAnsi="宋体" w:cs="宋体"/>
          <w:b w:val="0"/>
          <w:bCs w:val="0"/>
          <w:color w:val="auto"/>
          <w:sz w:val="24"/>
          <w:highlight w:val="none"/>
          <w:lang w:eastAsia="zh-CN"/>
        </w:rPr>
        <w:t xml:space="preserve">中标人</w:t>
      </w:r>
      <w:r>
        <w:rPr>
          <w:rFonts w:hint="eastAsia" w:ascii="宋体" w:hAnsi="宋体" w:cs="宋体"/>
          <w:b w:val="0"/>
          <w:bCs w:val="0"/>
          <w:color w:val="auto"/>
          <w:sz w:val="24"/>
          <w:highlight w:val="none"/>
        </w:rPr>
        <w:t xml:space="preserve">开具的合规增值税发票后支付合同款项的70%。</w:t>
      </w:r>
      <w:r/>
    </w:p>
    <w:p>
      <w:pPr>
        <w:ind w:firstLine="482"/>
        <w:spacing w:line="4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、服务要求</w:t>
      </w:r>
      <w:r/>
    </w:p>
    <w:p>
      <w:pPr>
        <w:ind w:firstLine="480"/>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中标人需承担装卸、运输、调试等工作，在验收合格前出现的一切安全事故由中标人承担。</w:t>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500" w:name="_Toc19775"/>
      <w:r>
        <w:rPr>
          <w:b/>
          <w:color w:val="auto"/>
          <w:sz w:val="36"/>
          <w:szCs w:val="36"/>
          <w:highlight w:val="none"/>
        </w:rPr>
        <w:t xml:space="preserve">第六章   拟签订的合同文本</w:t>
      </w:r>
      <w:bookmarkEnd w:id="500"/>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招标人（甲方）：                          合同编号：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中标人（乙方）：                          签订地点：</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依据《中华人民共和国民法典》以及有关法律法规的规定，甲方、乙方经协商一致订立本合同。</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根据采购编号为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（以下简称：“本项目”）的采购结果，</w:t>
      </w:r>
      <w:r>
        <w:rPr>
          <w:rFonts w:hint="eastAsia" w:asciiTheme="minorEastAsia" w:hAnsiTheme="minorEastAsia" w:eastAsiaTheme="minorEastAsia" w:cstheme="minorEastAsia"/>
          <w:color w:val="auto"/>
          <w:sz w:val="24"/>
          <w:highlight w:val="none"/>
          <w:lang w:val="en-US" w:eastAsia="zh-CN"/>
        </w:rPr>
        <w:t xml:space="preserve">中标人</w:t>
      </w:r>
      <w:r>
        <w:rPr>
          <w:rFonts w:hint="eastAsia" w:asciiTheme="minorEastAsia" w:hAnsiTheme="minorEastAsia" w:eastAsiaTheme="minorEastAsia" w:cstheme="minorEastAsia"/>
          <w:color w:val="auto"/>
          <w:sz w:val="24"/>
          <w:highlight w:val="none"/>
        </w:rPr>
        <w:t xml:space="preserve">为乙方。</w:t>
      </w:r>
      <w:r/>
    </w:p>
    <w:p>
      <w:pPr>
        <w:ind w:firstLine="482"/>
        <w:spacing w:line="400" w:lineRule="exact"/>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采购文件是构成本合同不可分割的部分：</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一、采购文件</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1.与本项目相关的采购过程中的相关文件是构成本合同不可分割的部分：</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采购文件；</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（2）乙方提交的</w:t>
      </w:r>
      <w:r>
        <w:rPr>
          <w:rFonts w:hint="eastAsia" w:asciiTheme="minorEastAsia" w:hAnsiTheme="minorEastAsia" w:eastAsiaTheme="minorEastAsia" w:cstheme="minorEastAsia"/>
          <w:color w:val="auto"/>
          <w:sz w:val="24"/>
          <w:highlight w:val="none"/>
          <w:lang w:val="en-US" w:eastAsia="zh-CN"/>
        </w:rPr>
        <w:t xml:space="preserve">投标</w:t>
      </w:r>
      <w:r>
        <w:rPr>
          <w:rFonts w:hint="eastAsia" w:asciiTheme="minorEastAsia" w:hAnsiTheme="minorEastAsia" w:eastAsiaTheme="minorEastAsia" w:cstheme="minorEastAsia"/>
          <w:color w:val="auto"/>
          <w:sz w:val="24"/>
          <w:highlight w:val="none"/>
        </w:rPr>
        <w:t xml:space="preserve">文件及相关资料。</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二、合同标的型号、规格、数量、技术要求和金额</w:t>
      </w:r>
      <w:r/>
    </w:p>
    <w:p>
      <w:pPr>
        <w:ind w:firstLine="47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详见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采购文件。</w:t>
      </w:r>
      <w:r/>
    </w:p>
    <w:tbl>
      <w:tblPr>
        <w:tblStyle w:val="101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1239"/>
        <w:gridCol w:w="755"/>
        <w:gridCol w:w="731"/>
        <w:gridCol w:w="755"/>
        <w:gridCol w:w="1102"/>
        <w:gridCol w:w="1237"/>
        <w:gridCol w:w="1434"/>
      </w:tblGrid>
      <w:tr>
        <w:trPr>
          <w:jc w:val="center"/>
        </w:trPr>
        <w:tc>
          <w:tcPr>
            <w:tcW w:w="743"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设备名称</w:t>
            </w:r>
            <w:r/>
          </w:p>
        </w:tc>
        <w:tc>
          <w:tcPr>
            <w:tcW w:w="727"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规格型号</w:t>
            </w:r>
            <w:r/>
          </w:p>
        </w:tc>
        <w:tc>
          <w:tcPr>
            <w:tcW w:w="443"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产地</w:t>
            </w:r>
            <w:r/>
          </w:p>
        </w:tc>
        <w:tc>
          <w:tcPr>
            <w:tcW w:w="429"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品牌</w:t>
            </w:r>
            <w:r/>
          </w:p>
        </w:tc>
        <w:tc>
          <w:tcPr>
            <w:tcW w:w="443"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单位</w:t>
            </w:r>
            <w:r/>
          </w:p>
        </w:tc>
        <w:tc>
          <w:tcPr>
            <w:tcW w:w="647"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数量</w:t>
            </w:r>
            <w:r/>
          </w:p>
        </w:tc>
        <w:tc>
          <w:tcPr>
            <w:tcW w:w="726"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单价（元）</w:t>
            </w:r>
            <w:r/>
          </w:p>
        </w:tc>
        <w:tc>
          <w:tcPr>
            <w:tcW w:w="838"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成交总金额含税价（元）</w:t>
            </w:r>
            <w:r/>
          </w:p>
        </w:tc>
      </w:tr>
      <w:tr>
        <w:trPr>
          <w:jc w:val="center"/>
          <w:trHeight w:val="454"/>
        </w:trPr>
        <w:tc>
          <w:tcPr>
            <w:tcW w:w="743" w:type="pct"/>
            <w:vAlign w:val="center"/>
            <w:textDirection w:val="lrTb"/>
            <w:noWrap w:val="false"/>
          </w:tcPr>
          <w:p>
            <w:pP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727" w:type="pct"/>
            <w:vAlign w:val="center"/>
            <w:textDirection w:val="lrTb"/>
            <w:noWrap w:val="false"/>
          </w:tcPr>
          <w:p>
            <w:pP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443"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429"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443"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647"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726"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838"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r>
      <w:tr>
        <w:trPr>
          <w:jc w:val="center"/>
          <w:trHeight w:val="454"/>
        </w:trPr>
        <w:tc>
          <w:tcPr>
            <w:tcW w:w="743" w:type="pct"/>
            <w:vAlign w:val="center"/>
            <w:textDirection w:val="lrTb"/>
            <w:noWrap w:val="false"/>
          </w:tcPr>
          <w:p>
            <w:pP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727" w:type="pct"/>
            <w:vAlign w:val="center"/>
            <w:textDirection w:val="lrTb"/>
            <w:noWrap w:val="false"/>
          </w:tcPr>
          <w:p>
            <w:pP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443"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429"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443"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647"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726"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c>
          <w:tcPr>
            <w:tcW w:w="838" w:type="pct"/>
            <w:vAlign w:val="center"/>
            <w:textDirection w:val="lrTb"/>
            <w:noWrap w:val="false"/>
          </w:tcPr>
          <w:p>
            <w:pPr>
              <w:jc w:val="center"/>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tc>
      </w:tr>
      <w:tr>
        <w:trPr>
          <w:jc w:val="center"/>
          <w:trHeight w:val="536"/>
        </w:trPr>
        <w:tc>
          <w:tcPr>
            <w:gridSpan w:val="8"/>
            <w:tcW w:w="5000" w:type="pct"/>
            <w:vAlign w:val="center"/>
            <w:textDirection w:val="lrTb"/>
            <w:noWrap w:val="false"/>
          </w:tcPr>
          <w:p>
            <w:pPr>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【合计金额】人民币大写：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元整（小写: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w:t>
            </w:r>
            <w:r/>
          </w:p>
        </w:tc>
      </w:tr>
    </w:tbl>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三、交货和验收</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1.在合同签订生效后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日内将仪器设备运至甲方，安装调试并经甲方验收合格后方可认为交货完成。</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仪器设备到达安装现场后，乙方应提供详细发货清单，由甲方打开包装验货、检查货物数量。验收中发现设备无法正常运行或设备硬件、软件问题由厂家免费更换和维修。设备经三次验收未通过（三个月以内），甲方有权要求退货，解除合同，给甲方造成损失的，应赔偿相应损失（合同金额的10%）。无正当理由延期交付的，乙方将承担相应赔偿。</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乙方应保证所提供设备涉及的知识产权和所提供的软件、技术资料是合法取得，并享有完整的知识产权，不会因为甲方的使用而被责令停止使用、追偿或要求赔偿损失，如出现此情况，一切经济和法律责任均由乙方承担。乙方提供的所有硬件设备必须为合格产品，质量符合国际或国家通用标准，如硬件出现质量问题或系假冒伪劣产品，乙方负责包退、包换，发生的费用由乙方负责。</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4.乙方提供的所有设备和附配件名称均应符合其规定的性能、无瑕疵和缺陷，必须有质量检验合格证、装箱单、产品安装使用说明书等相关资料，在交货时必须原包装现场拆封验收。</w:t>
      </w:r>
      <w:r>
        <w:rPr>
          <w:rFonts w:hint="eastAsia" w:asciiTheme="minorEastAsia" w:hAnsiTheme="minorEastAsia" w:eastAsiaTheme="minorEastAsia" w:cstheme="minorEastAsia"/>
          <w:color w:val="auto"/>
          <w:sz w:val="24"/>
          <w:highlight w:val="none"/>
          <w:lang w:val="en-US" w:eastAsia="zh-CN"/>
        </w:rPr>
        <w:t xml:space="preserve">乙方</w:t>
      </w:r>
      <w:r>
        <w:rPr>
          <w:rFonts w:hint="eastAsia" w:asciiTheme="minorEastAsia" w:hAnsiTheme="minorEastAsia" w:eastAsiaTheme="minorEastAsia" w:cstheme="minorEastAsia"/>
          <w:color w:val="auto"/>
          <w:sz w:val="24"/>
          <w:highlight w:val="none"/>
        </w:rPr>
        <w:t xml:space="preserve">对质量问题负责包退、包换、包修，因此发生的费用由</w:t>
      </w:r>
      <w:r>
        <w:rPr>
          <w:rFonts w:hint="eastAsia" w:asciiTheme="minorEastAsia" w:hAnsiTheme="minorEastAsia" w:eastAsiaTheme="minorEastAsia" w:cstheme="minorEastAsia"/>
          <w:color w:val="auto"/>
          <w:sz w:val="24"/>
          <w:highlight w:val="none"/>
          <w:lang w:val="en-US" w:eastAsia="zh-CN"/>
        </w:rPr>
        <w:t xml:space="preserve">乙方</w:t>
      </w:r>
      <w:r>
        <w:rPr>
          <w:rFonts w:hint="eastAsia" w:asciiTheme="minorEastAsia" w:hAnsiTheme="minorEastAsia" w:eastAsiaTheme="minorEastAsia" w:cstheme="minorEastAsia"/>
          <w:color w:val="auto"/>
          <w:sz w:val="24"/>
          <w:highlight w:val="none"/>
        </w:rPr>
        <w:t xml:space="preserve">负责。</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四、质量保证及售后服务要求</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 质保期：</w:t>
      </w:r>
      <w:r/>
    </w:p>
    <w:p>
      <w:pPr>
        <w:ind w:firstLine="482"/>
        <w:spacing w:line="4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
          <w:bCs w:val="0"/>
          <w:color w:val="auto"/>
          <w:sz w:val="24"/>
          <w:highlight w:val="none"/>
        </w:rPr>
        <w:t xml:space="preserve">免费质保期</w:t>
      </w:r>
      <w:r>
        <w:rPr>
          <w:rFonts w:hint="eastAsia" w:asciiTheme="minorEastAsia" w:hAnsiTheme="minorEastAsia" w:eastAsiaTheme="minorEastAsia" w:cstheme="minorEastAsia"/>
          <w:b/>
          <w:bCs w:val="0"/>
          <w:color w:val="auto"/>
          <w:sz w:val="24"/>
          <w:highlight w:val="none"/>
          <w:u w:val="single"/>
        </w:rPr>
        <w:t xml:space="preserve">     </w:t>
      </w:r>
      <w:r>
        <w:rPr>
          <w:rFonts w:hint="eastAsia" w:asciiTheme="minorEastAsia" w:hAnsiTheme="minorEastAsia" w:eastAsiaTheme="minorEastAsia" w:cstheme="minorEastAsia"/>
          <w:b/>
          <w:bCs w:val="0"/>
          <w:color w:val="auto"/>
          <w:sz w:val="24"/>
          <w:highlight w:val="none"/>
        </w:rPr>
        <w:t xml:space="preserve">年（自设备验收合格之日起计算）</w:t>
      </w:r>
      <w:r>
        <w:rPr>
          <w:rFonts w:hint="eastAsia" w:asciiTheme="minorEastAsia" w:hAnsiTheme="minorEastAsia" w:eastAsiaTheme="minorEastAsia" w:cstheme="minorEastAsia"/>
          <w:bCs/>
          <w:color w:val="auto"/>
          <w:sz w:val="24"/>
          <w:highlight w:val="none"/>
        </w:rPr>
        <w:t xml:space="preserve">。在质保期内，对于非人为损坏的所有器件包括进口器件，均免费更换，对于非人为因素出现的任何仪器故障均免费维修。</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 售后服务</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售后服务按照采购文件中的承诺进行。</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3.技术服务与技术培训</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技术服务与技术培训按照采购文件中的承诺进行。</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五、货款的支付</w:t>
      </w:r>
      <w:r/>
    </w:p>
    <w:p>
      <w:pPr>
        <w:ind w:firstLine="480"/>
        <w:spacing w:line="40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合同签订并生效后，收到</w:t>
      </w:r>
      <w:r>
        <w:rPr>
          <w:rFonts w:hint="eastAsia" w:asciiTheme="minorEastAsia" w:hAnsiTheme="minorEastAsia" w:eastAsiaTheme="minorEastAsia" w:cstheme="minorEastAsia"/>
          <w:color w:val="auto"/>
          <w:sz w:val="24"/>
          <w:highlight w:val="none"/>
          <w:lang w:val="en-US" w:eastAsia="zh-CN"/>
        </w:rPr>
        <w:t xml:space="preserve">乙方</w:t>
      </w:r>
      <w:r>
        <w:rPr>
          <w:rFonts w:hint="eastAsia" w:asciiTheme="minorEastAsia" w:hAnsiTheme="minorEastAsia" w:eastAsiaTheme="minorEastAsia" w:cstheme="minorEastAsia"/>
          <w:color w:val="auto"/>
          <w:sz w:val="24"/>
          <w:highlight w:val="none"/>
        </w:rPr>
        <w:t xml:space="preserve">开具的合规增值税发票后支付合同款项的30%。待设备到场、安装调试完毕且经验收合格，收到</w:t>
      </w:r>
      <w:r>
        <w:rPr>
          <w:rFonts w:hint="eastAsia" w:asciiTheme="minorEastAsia" w:hAnsiTheme="minorEastAsia" w:eastAsiaTheme="minorEastAsia" w:cstheme="minorEastAsia"/>
          <w:color w:val="auto"/>
          <w:sz w:val="24"/>
          <w:highlight w:val="none"/>
          <w:lang w:val="en-US" w:eastAsia="zh-CN"/>
        </w:rPr>
        <w:t xml:space="preserve">乙方</w:t>
      </w:r>
      <w:r>
        <w:rPr>
          <w:rFonts w:hint="eastAsia" w:asciiTheme="minorEastAsia" w:hAnsiTheme="minorEastAsia" w:eastAsiaTheme="minorEastAsia" w:cstheme="minorEastAsia"/>
          <w:color w:val="auto"/>
          <w:sz w:val="24"/>
          <w:highlight w:val="none"/>
        </w:rPr>
        <w:t xml:space="preserve">开具的合规增值税发票后支付合同款项的70%。</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六、知识产权</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1.乙方保证销售本合同项下的产品和服务未侵害任何第三方的知识产权，否则由乙方按甲方要求妥善处理好相关问题，并承担由此导致的法律责任，甲方实际承担法律责任产生损失的，有权向乙方全额追偿。</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乙方保证对本合同所交易的产品具有完整的所有权或者经过合法的授权进行处分，甲方是善意地购买该产品及安装和相应的服务，任何第三方对该产品主张权利，均由乙方按甲方要求妥善处理好相关问题，并承担由此导致的法律责任，甲方实际承担法律责任产生损失的，有权向乙方全额追偿。</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3.如乙方所交付的产品是按照甲方提供的技术图纸、技术标准、规格、样品等生产的，则甲方提供的技术图纸、技术标准、规格等属于甲方的知识产权，仅限用于乙方提供给甲方的产品上，不得用于其他目的。</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七、保密义务</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合同各方对本合同及相关内容，在签订、履行本合同过程中获悉对方的技术参数、制造工艺、产品图纸、技术诀窍、技术经验、价格方案以及其他具有经济价值的技术信息、经营信息等信息，均应当予以保密，并不得超出本合同目的范围利用对方该等信息。</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2.各方对对方的保密义务不受合同履行期限的限制，合同履行完毕、合同终止、解除均不免除其保密义务。 </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八、违约责任</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乙方逾期交付产品、完成安装调试的，每逾期一日，乙方应按合同总价的万分之三(不足500元的，按500元计)向甲方承担迟延履行违约金。若乙方逾期超过30日的，甲方有权单方解除本合同。如甲方逾期提货的每逾期一日，甲方应按合同总价的万分之三(不足500元的，按500元计)向乙方承担迟延履行违约金。若甲方逾期超过30日的，乙方有权单方解除本合同。（因甲方场地不具备提货条件导致无法按期提货的，不视为甲方逾期提货,相应交货/提货期限顺延)</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2.若产品不符合合同约定或存在质量问题的，甲方有权选择以下处理方式：</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2.1退货：甲方要求退货的，乙方应在收到甲方发出的退货要求后5个工作日内将退货产品提走并返还甲方已支付的退货产品货款。如乙方未按照约定的期限处理退货的，视为乙方放弃该批产品的所有权，甲方有权自行处置，处置后所得款项不足以弥补甲方已支付款项的，甲方有权继续向乙方主张剩余款项。</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2.2换货或返修：甲方要求换货或返修的，乙方应当在收到甲方通知要求后5日内更换或返修完成，同时自甲方通知之日至乙方更换或返修重新交付之日止，按照本合同8.1条约定向甲方承担逾期交付违约责任。</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3.如乙方相同规格产品累计出现3次相同质量问题，甲方有权单方解除本合同。</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w:t>
      </w:r>
      <w:r>
        <w:rPr>
          <w:rFonts w:hint="eastAsia" w:asciiTheme="minorEastAsia" w:hAnsiTheme="minorEastAsia" w:eastAsiaTheme="minorEastAsia" w:cstheme="minorEastAsia"/>
          <w:bCs/>
          <w:color w:val="auto"/>
          <w:sz w:val="24"/>
          <w:highlight w:val="none"/>
          <w:lang w:val="en-US" w:eastAsia="zh-CN"/>
        </w:rPr>
        <w:t xml:space="preserve">.</w:t>
      </w:r>
      <w:r>
        <w:rPr>
          <w:rFonts w:hint="eastAsia" w:asciiTheme="minorEastAsia" w:hAnsiTheme="minorEastAsia" w:eastAsiaTheme="minorEastAsia" w:cstheme="minorEastAsia"/>
          <w:bCs/>
          <w:color w:val="auto"/>
          <w:sz w:val="24"/>
          <w:highlight w:val="none"/>
        </w:rPr>
        <w:t xml:space="preserve">乙方违反本合同第六条、第七条约定的，乙方应赔偿给甲方造成的所有损失，并另行向甲方承担合同总价5%的惩罚性违约金。 </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5</w:t>
      </w:r>
      <w:r>
        <w:rPr>
          <w:rFonts w:hint="eastAsia" w:asciiTheme="minorEastAsia" w:hAnsiTheme="minorEastAsia" w:eastAsiaTheme="minorEastAsia" w:cstheme="minorEastAsia"/>
          <w:bCs/>
          <w:color w:val="auto"/>
          <w:sz w:val="24"/>
          <w:highlight w:val="none"/>
          <w:lang w:val="en-US" w:eastAsia="zh-CN"/>
        </w:rPr>
        <w:t xml:space="preserve">.</w:t>
      </w:r>
      <w:r>
        <w:rPr>
          <w:rFonts w:hint="eastAsia" w:asciiTheme="minorEastAsia" w:hAnsiTheme="minorEastAsia" w:eastAsiaTheme="minorEastAsia" w:cstheme="minorEastAsia"/>
          <w:bCs/>
          <w:color w:val="auto"/>
          <w:sz w:val="24"/>
          <w:highlight w:val="none"/>
        </w:rPr>
        <w:t xml:space="preserve">甲方依照本合同约定单方解除合同的，乙方应在5个工作日内返还甲方已支付的所有费用，并向甲方承担合同总价5%的违约金。</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6</w:t>
      </w:r>
      <w:r>
        <w:rPr>
          <w:rFonts w:hint="eastAsia" w:asciiTheme="minorEastAsia" w:hAnsiTheme="minorEastAsia" w:eastAsiaTheme="minorEastAsia" w:cstheme="minorEastAsia"/>
          <w:bCs/>
          <w:color w:val="auto"/>
          <w:sz w:val="24"/>
          <w:highlight w:val="none"/>
          <w:lang w:val="en-US" w:eastAsia="zh-CN"/>
        </w:rPr>
        <w:t xml:space="preserve">.</w:t>
      </w:r>
      <w:r>
        <w:rPr>
          <w:rFonts w:hint="eastAsia" w:asciiTheme="minorEastAsia" w:hAnsiTheme="minorEastAsia" w:eastAsiaTheme="minorEastAsia" w:cstheme="minorEastAsia"/>
          <w:bCs/>
          <w:color w:val="auto"/>
          <w:sz w:val="24"/>
          <w:highlight w:val="none"/>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p>
    <w:p>
      <w:pPr>
        <w:ind w:firstLine="480"/>
        <w:spacing w:line="400" w:lineRule="exac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7.甲方有权从应付乙方款项中直接扣除乙方应承担的违约金、损失赔偿等费用。</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九、解决纠纷的方式</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1.甲、乙双方协商解决。</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2.若协商解决不成，则通过向甲方所在地人民法院提起诉讼解决。</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十、合同生效</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本合同自甲乙双方盖章之日起生效。</w:t>
      </w:r>
      <w:r/>
    </w:p>
    <w:p>
      <w:pPr>
        <w:ind w:firstLine="482"/>
        <w:spacing w:line="400" w:lineRule="exact"/>
        <w:widowControl/>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十一、合同份数</w:t>
      </w:r>
      <w:r/>
    </w:p>
    <w:p>
      <w:pPr>
        <w:ind w:firstLine="480"/>
        <w:spacing w:line="400" w:lineRule="exac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本合同一式</w:t>
      </w:r>
      <w:r>
        <w:rPr>
          <w:rFonts w:hint="eastAsia" w:asciiTheme="minorEastAsia" w:hAnsiTheme="minorEastAsia" w:eastAsiaTheme="minorEastAsia" w:cstheme="minorEastAsia"/>
          <w:b/>
          <w:bCs/>
          <w:color w:val="auto"/>
          <w:sz w:val="24"/>
          <w:highlight w:val="none"/>
        </w:rPr>
        <w:t xml:space="preserve">伍</w:t>
      </w:r>
      <w:r>
        <w:rPr>
          <w:rFonts w:hint="eastAsia" w:asciiTheme="minorEastAsia" w:hAnsiTheme="minorEastAsia" w:eastAsiaTheme="minorEastAsia" w:cstheme="minorEastAsia"/>
          <w:color w:val="auto"/>
          <w:sz w:val="24"/>
          <w:highlight w:val="none"/>
        </w:rPr>
        <w:t xml:space="preserve">份。甲、乙双方各执</w:t>
      </w:r>
      <w:r>
        <w:rPr>
          <w:rFonts w:hint="eastAsia" w:asciiTheme="minorEastAsia" w:hAnsiTheme="minorEastAsia" w:eastAsiaTheme="minorEastAsia" w:cstheme="minorEastAsia"/>
          <w:b/>
          <w:bCs/>
          <w:color w:val="auto"/>
          <w:sz w:val="24"/>
          <w:highlight w:val="none"/>
        </w:rPr>
        <w:t xml:space="preserve">贰</w:t>
      </w:r>
      <w:r>
        <w:rPr>
          <w:rFonts w:hint="eastAsia" w:asciiTheme="minorEastAsia" w:hAnsiTheme="minorEastAsia" w:eastAsiaTheme="minorEastAsia" w:cstheme="minorEastAsia"/>
          <w:color w:val="auto"/>
          <w:sz w:val="24"/>
          <w:highlight w:val="none"/>
        </w:rPr>
        <w:t xml:space="preserve">份，采购代理机构执</w:t>
      </w:r>
      <w:r>
        <w:rPr>
          <w:rFonts w:hint="eastAsia" w:asciiTheme="minorEastAsia" w:hAnsiTheme="minorEastAsia" w:eastAsiaTheme="minorEastAsia" w:cstheme="minorEastAsia"/>
          <w:b/>
          <w:bCs/>
          <w:color w:val="auto"/>
          <w:sz w:val="24"/>
          <w:highlight w:val="none"/>
        </w:rPr>
        <w:t xml:space="preserve">壹</w:t>
      </w:r>
      <w:r>
        <w:rPr>
          <w:rFonts w:hint="eastAsia" w:asciiTheme="minorEastAsia" w:hAnsiTheme="minorEastAsia" w:eastAsiaTheme="minorEastAsia" w:cstheme="minorEastAsia"/>
          <w:color w:val="auto"/>
          <w:sz w:val="24"/>
          <w:highlight w:val="none"/>
        </w:rPr>
        <w:t xml:space="preserve">份。</w:t>
      </w:r>
      <w:r/>
    </w:p>
    <w:p>
      <w:pPr>
        <w:ind w:firstLine="420"/>
        <w:spacing w:line="360" w:lineRule="auto"/>
        <w:rPr>
          <w:color w:val="auto"/>
          <w:highlight w:val="none"/>
        </w:rPr>
      </w:pPr>
      <w:r>
        <w:rPr>
          <w:color w:val="auto"/>
          <w:highlight w:val="none"/>
        </w:rPr>
      </w:r>
      <w:r/>
    </w:p>
    <w:tbl>
      <w:tblPr>
        <w:tblStyle w:val="1011"/>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56"/>
        <w:gridCol w:w="4265"/>
      </w:tblGrid>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甲方（盖章）：  </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乙方（盖章）：</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单位地址：</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单位地址：</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法定代表人：</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法定代表人：</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或授权代理人：</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或授权代理人：</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电话：</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电话：</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传真：</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传真：</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开户银行：</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开户银行：</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银行账号：</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银行账号：</w:t>
            </w:r>
            <w:r/>
          </w:p>
        </w:tc>
      </w:tr>
      <w:tr>
        <w:trPr>
          <w:jc w:val="center"/>
        </w:trPr>
        <w:tc>
          <w:tcPr>
            <w:tcW w:w="2497"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签订日期：  年  月   日</w:t>
            </w:r>
            <w:r/>
          </w:p>
        </w:tc>
        <w:tc>
          <w:tcPr>
            <w:tcW w:w="2502" w:type="pct"/>
            <w:vAlign w:val="center"/>
            <w:textDirection w:val="lrTb"/>
            <w:noWrap w:val="false"/>
          </w:tcPr>
          <w:p>
            <w:pPr>
              <w:spacing w:line="360" w:lineRule="auto"/>
              <w:rPr>
                <w:color w:val="auto"/>
                <w:sz w:val="24"/>
                <w:highlight w:val="none"/>
              </w:rPr>
            </w:pPr>
            <w:r>
              <w:rPr>
                <w:rFonts w:hint="eastAsia"/>
                <w:color w:val="auto"/>
                <w:sz w:val="24"/>
                <w:highlight w:val="none"/>
              </w:rPr>
              <w:t xml:space="preserve">签订日期：  年  月   日</w:t>
            </w:r>
            <w:r/>
          </w:p>
        </w:tc>
      </w:tr>
    </w:tbl>
    <w:p>
      <w:pPr>
        <w:ind w:firstLine="422"/>
        <w:rPr>
          <w:b/>
          <w:bCs/>
          <w:color w:val="auto"/>
          <w:highlight w:val="none"/>
        </w:rPr>
      </w:pPr>
      <w:r>
        <w:rPr>
          <w:b/>
          <w:bCs/>
          <w:color w:val="auto"/>
          <w:highlight w:val="none"/>
        </w:rPr>
      </w:r>
      <w:r/>
    </w:p>
    <w:p>
      <w:pPr>
        <w:ind w:firstLine="482"/>
        <w:spacing w:line="400" w:lineRule="exact"/>
        <w:widowControl/>
        <w:rPr>
          <w:rFonts w:hint="eastAsia"/>
          <w:b/>
          <w:bCs/>
          <w:color w:val="auto"/>
          <w:sz w:val="24"/>
          <w:highlight w:val="none"/>
        </w:rPr>
      </w:pPr>
      <w:r>
        <w:rPr>
          <w:rFonts w:hint="eastAsia"/>
          <w:b/>
          <w:bCs/>
          <w:color w:val="auto"/>
          <w:sz w:val="24"/>
          <w:highlight w:val="none"/>
        </w:rPr>
      </w:r>
      <w:r/>
    </w:p>
    <w:p>
      <w:pPr>
        <w:pStyle w:val="1080"/>
        <w:spacing w:line="360" w:lineRule="auto"/>
        <w:rPr>
          <w:rFonts w:hAnsi="宋体" w:cs="Times New Roman"/>
          <w:color w:val="auto"/>
        </w:rPr>
      </w:pPr>
      <w:r>
        <w:rPr>
          <w:rFonts w:hint="eastAsia" w:hAnsi="宋体" w:cs="Times New Roman"/>
          <w:color w:val="auto"/>
        </w:rPr>
        <w:t xml:space="preserve">采购代理机构（见证方盖公章）：</w:t>
      </w:r>
      <w:r/>
    </w:p>
    <w:p>
      <w:pPr>
        <w:pStyle w:val="1080"/>
        <w:spacing w:line="360" w:lineRule="auto"/>
        <w:rPr>
          <w:rFonts w:hAnsi="宋体" w:cs="Times New Roman"/>
          <w:color w:val="auto"/>
        </w:rPr>
      </w:pPr>
      <w:r>
        <w:rPr>
          <w:rFonts w:hint="eastAsia" w:hAnsi="宋体" w:cs="Times New Roman"/>
          <w:color w:val="auto"/>
        </w:rPr>
        <w:t xml:space="preserve">单位地址：</w:t>
      </w:r>
      <w:r/>
    </w:p>
    <w:p>
      <w:pPr>
        <w:pStyle w:val="1080"/>
        <w:spacing w:line="360" w:lineRule="auto"/>
        <w:rPr>
          <w:rFonts w:hAnsi="宋体" w:cs="Times New Roman"/>
          <w:color w:val="auto"/>
        </w:rPr>
      </w:pPr>
      <w:r>
        <w:rPr>
          <w:rFonts w:hint="eastAsia" w:hAnsi="宋体" w:cs="Times New Roman"/>
          <w:color w:val="auto"/>
        </w:rPr>
        <w:t xml:space="preserve">法定代表人：</w:t>
      </w:r>
      <w:r/>
    </w:p>
    <w:p>
      <w:pPr>
        <w:pStyle w:val="1080"/>
        <w:spacing w:line="360" w:lineRule="auto"/>
        <w:rPr>
          <w:rFonts w:hAnsi="宋体" w:cs="Times New Roman"/>
          <w:color w:val="auto"/>
        </w:rPr>
      </w:pPr>
      <w:r>
        <w:rPr>
          <w:rFonts w:hint="eastAsia" w:hAnsi="宋体" w:cs="Times New Roman"/>
          <w:color w:val="auto"/>
        </w:rPr>
        <w:t xml:space="preserve">代理人：</w:t>
      </w:r>
      <w:r/>
    </w:p>
    <w:p>
      <w:pPr>
        <w:ind w:firstLine="482"/>
        <w:spacing w:line="400" w:lineRule="exact"/>
        <w:widowControl/>
        <w:rPr>
          <w:rFonts w:hint="eastAsia"/>
          <w:b/>
          <w:bCs/>
          <w:color w:val="auto"/>
          <w:sz w:val="24"/>
          <w:highlight w:val="none"/>
        </w:rPr>
      </w:pPr>
      <w:r>
        <w:rPr>
          <w:rFonts w:hint="eastAsia"/>
          <w:b/>
          <w:bCs/>
          <w:color w:val="auto"/>
          <w:sz w:val="24"/>
          <w:highlight w:val="none"/>
        </w:rPr>
      </w:r>
      <w:r/>
    </w:p>
    <w:p>
      <w:pPr>
        <w:ind w:firstLine="482"/>
        <w:spacing w:line="400" w:lineRule="exact"/>
        <w:widowControl/>
        <w:rPr>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是合同的简易模板，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rPr>
          <w:rFonts w:hint="eastAsia" w:ascii="宋体" w:hAnsi="宋体" w:eastAsia="宋体"/>
          <w:color w:val="auto"/>
          <w:spacing w:val="23"/>
          <w:sz w:val="24"/>
          <w:szCs w:val="24"/>
          <w:highlight w:val="none"/>
        </w:rPr>
      </w:pPr>
      <w:r>
        <w:rPr>
          <w:rFonts w:hint="eastAsia" w:ascii="宋体" w:hAnsi="宋体" w:eastAsia="宋体"/>
          <w:color w:val="auto"/>
          <w:spacing w:val="23"/>
          <w:sz w:val="24"/>
          <w:szCs w:val="24"/>
          <w:highlight w:val="none"/>
        </w:rPr>
        <w:br w:type="page" w:clear="all"/>
      </w:r>
      <w:r/>
    </w:p>
    <w:p>
      <w:pPr>
        <w:rPr>
          <w:rFonts w:hint="eastAsia" w:ascii="宋体" w:hAnsi="宋体" w:eastAsia="宋体"/>
          <w:color w:val="auto"/>
          <w:spacing w:val="23"/>
          <w:sz w:val="24"/>
          <w:szCs w:val="24"/>
          <w:highlight w:val="none"/>
        </w:rPr>
      </w:pPr>
      <w:r>
        <w:rPr>
          <w:rFonts w:hint="eastAsia" w:ascii="宋体" w:hAnsi="宋体" w:eastAsia="宋体"/>
          <w:color w:val="auto"/>
          <w:spacing w:val="23"/>
          <w:sz w:val="24"/>
          <w:szCs w:val="24"/>
          <w:highlight w:val="none"/>
          <w:lang w:val="en-US" w:eastAsia="zh-CN"/>
        </w:rPr>
        <w:t xml:space="preserve">附件：配置清单</w:t>
      </w:r>
      <w:r>
        <w:rPr>
          <w:rFonts w:hint="eastAsia" w:ascii="宋体" w:hAnsi="宋体" w:eastAsia="宋体"/>
          <w:color w:val="auto"/>
          <w:spacing w:val="23"/>
          <w:sz w:val="24"/>
          <w:szCs w:val="24"/>
          <w:highlight w:val="none"/>
        </w:rPr>
        <w:br w:type="page" w:clear="all"/>
      </w:r>
      <w:r/>
    </w:p>
    <w:p>
      <w:pPr>
        <w:rPr>
          <w:rFonts w:hint="eastAsia" w:ascii="宋体" w:hAnsi="宋体" w:eastAsia="宋体"/>
          <w:color w:val="auto"/>
          <w:spacing w:val="23"/>
          <w:sz w:val="24"/>
          <w:szCs w:val="24"/>
          <w:highlight w:val="none"/>
        </w:rPr>
      </w:pPr>
      <w:r>
        <w:rPr>
          <w:rFonts w:hint="eastAsia" w:ascii="宋体" w:hAnsi="宋体" w:eastAsia="宋体"/>
          <w:color w:val="auto"/>
          <w:spacing w:val="23"/>
          <w:sz w:val="24"/>
          <w:szCs w:val="24"/>
          <w:highlight w:val="none"/>
        </w:rPr>
      </w:r>
      <w:r/>
    </w:p>
    <w:p>
      <w:pPr>
        <w:pStyle w:val="1001"/>
        <w:spacing w:before="0" w:after="0"/>
        <w:widowControl/>
        <w:rPr>
          <w:rFonts w:hint="eastAsia" w:eastAsia="黑体"/>
          <w:b w:val="0"/>
          <w:color w:val="auto"/>
          <w:sz w:val="28"/>
          <w:szCs w:val="28"/>
          <w:highlight w:val="none"/>
        </w:rPr>
      </w:pPr>
      <w:r>
        <w:rPr>
          <w:rFonts w:hint="eastAsia" w:eastAsia="黑体"/>
          <w:b w:val="0"/>
          <w:color w:val="auto"/>
          <w:sz w:val="28"/>
          <w:szCs w:val="28"/>
          <w:highlight w:val="none"/>
        </w:rPr>
        <w:t xml:space="preserve">廉政责任书</w:t>
      </w:r>
      <w:r/>
    </w:p>
    <w:p>
      <w:pPr>
        <w:ind w:firstLine="480"/>
        <w:spacing w:before="100" w:beforeAutospacing="1" w:after="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招标单位（甲方）：                      中标单位（乙方）：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为规范双方的各项活动，防止发生谋取不正当利益的违法违纪行为，根据有关法律法规和廉政建设责任规定，特订立本廉政责任书：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本协议所称“关系人”是指近亲属、其他关系密切的亲属、朋友等自然人，有股权等经济联系的法人或其他组织。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1、甲乙双方在业务交往中，不论是单位或业务经办人员，均不得以任何形式（如现钞、有价证券、实物等）向对方人员或其他关系人、指定人行贿索贿或给付其他不正当利益。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2、甲乙双方均有责任教育本单位人员，禁止在业务活动中索贿、行贿、受贿，并拒绝对方人员的索贿、行贿行为。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3、在经济交往中，甲乙双方任何一方给予对方让利（返利）、回扣（佣金）、奖励等，均应在主合同中清楚列明，或以书面形式通知对方，并通过双方财务部门收付结算。</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7、本责任书作为合同的附件，与合同具有同等法律效力。本责任书自双方签署后立即生效。</w:t>
      </w:r>
      <w:r/>
    </w:p>
    <w:p>
      <w:pPr>
        <w:ind w:firstLine="72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720"/>
        <w:rPr>
          <w:rFonts w:hint="eastAsia" w:ascii="宋体" w:hAnsi="宋体" w:cs="宋体"/>
          <w:bCs/>
          <w:color w:val="auto"/>
          <w:sz w:val="24"/>
          <w:highlight w:val="none"/>
        </w:rPr>
      </w:pPr>
      <w:r>
        <w:rPr>
          <w:rFonts w:hint="eastAsia" w:ascii="宋体" w:hAnsi="宋体" w:cs="宋体"/>
          <w:bCs/>
          <w:color w:val="auto"/>
          <w:sz w:val="24"/>
          <w:highlight w:val="none"/>
        </w:rPr>
        <w:t xml:space="preserve">甲方（盖章）：                          乙方（盖章）：</w:t>
      </w:r>
      <w:r/>
    </w:p>
    <w:p>
      <w:pPr>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1920"/>
        <w:rPr>
          <w:rFonts w:hint="eastAsia" w:ascii="宋体" w:hAnsi="宋体" w:cs="宋体"/>
          <w:bCs/>
          <w:color w:val="auto"/>
          <w:sz w:val="24"/>
          <w:highlight w:val="none"/>
        </w:rPr>
      </w:pPr>
      <w:r>
        <w:rPr>
          <w:rFonts w:hint="eastAsia" w:ascii="宋体" w:hAnsi="宋体" w:cs="宋体"/>
          <w:bCs/>
          <w:color w:val="auto"/>
          <w:sz w:val="24"/>
          <w:highlight w:val="none"/>
        </w:rPr>
        <w:t xml:space="preserve">年   月   日                            年   月   日</w:t>
      </w:r>
      <w:r/>
    </w:p>
    <w:p>
      <w:pPr>
        <w:pStyle w:val="1001"/>
        <w:spacing w:before="0" w:after="0"/>
        <w:widowControl/>
        <w:rPr>
          <w:rFonts w:eastAsia="黑体"/>
          <w:b w:val="0"/>
          <w:color w:val="auto"/>
          <w:sz w:val="44"/>
          <w:szCs w:val="44"/>
          <w:highlight w:val="none"/>
        </w:rPr>
      </w:pPr>
      <w:r>
        <w:rPr>
          <w:rFonts w:hint="eastAsia" w:hAnsi="宋体" w:cs="宋体"/>
          <w:bCs/>
          <w:color w:val="auto"/>
          <w:sz w:val="24"/>
          <w:highlight w:val="none"/>
        </w:rPr>
        <w:br w:type="page" w:clear="all"/>
      </w:r>
      <w:r>
        <w:rPr>
          <w:rFonts w:eastAsia="黑体"/>
          <w:b w:val="0"/>
          <w:color w:val="auto"/>
          <w:sz w:val="28"/>
          <w:szCs w:val="28"/>
          <w:highlight w:val="none"/>
        </w:rPr>
        <w:t xml:space="preserve">安全协议书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p>
    <w:p>
      <w:pPr>
        <w:ind w:firstLine="480"/>
        <w:spacing w:line="360" w:lineRule="auto"/>
        <w:rPr>
          <w:color w:val="auto"/>
          <w:sz w:val="24"/>
          <w:highlight w:val="none"/>
        </w:rPr>
      </w:pPr>
      <w:r>
        <w:rPr>
          <w:rFonts w:ascii="宋体" w:hAnsi="宋体" w:cs="宋体"/>
          <w:color w:val="auto"/>
          <w:sz w:val="24"/>
          <w:highlight w:val="none"/>
          <w:lang w:bidi="ar"/>
        </w:rPr>
        <w:t xml:space="preserve">为了加强对项目安全的管理，明确甲乙双方的责任和义务，按照 “安全第一、预防为主” 的方针，结合项目现场大楼</w:t>
      </w:r>
      <w:r>
        <w:rPr>
          <w:rFonts w:hint="eastAsia" w:ascii="宋体" w:hAnsi="宋体" w:cs="宋体"/>
          <w:color w:val="auto"/>
          <w:sz w:val="24"/>
          <w:highlight w:val="none"/>
          <w:lang w:bidi="ar"/>
        </w:rPr>
        <w:t xml:space="preserve">结构安全、安全文明生产、治安、消防、成品保护等</w:t>
      </w:r>
      <w:r>
        <w:rPr>
          <w:rFonts w:ascii="宋体" w:hAnsi="宋体" w:cs="宋体"/>
          <w:color w:val="auto"/>
          <w:sz w:val="24"/>
          <w:highlight w:val="none"/>
          <w:lang w:bidi="ar"/>
        </w:rPr>
        <w:t xml:space="preserve">管理要求，特签订本安全责任协议，以资共同遵守。</w:t>
      </w:r>
      <w:r/>
    </w:p>
    <w:p>
      <w:pPr>
        <w:ind w:firstLine="480"/>
        <w:spacing w:line="360" w:lineRule="auto"/>
        <w:rPr>
          <w:color w:val="auto"/>
          <w:sz w:val="24"/>
          <w:highlight w:val="none"/>
        </w:rPr>
      </w:pPr>
      <w:r>
        <w:rPr>
          <w:rFonts w:ascii="宋体" w:hAnsi="宋体" w:cs="宋体"/>
          <w:color w:val="auto"/>
          <w:sz w:val="24"/>
          <w:highlight w:val="none"/>
          <w:lang w:bidi="ar"/>
        </w:rPr>
        <w:t xml:space="preserve">一、甲乙双方均严格遵守国家有关安全生产的法律法规规定，认真执行合同中的有关安全要求。乙方承诺项目实施期间无条件配合甲方开展安全监督管理工作，项目实施期间乙方发生的一切安全事故，均由乙方承担全部责任。</w:t>
      </w:r>
      <w:r/>
    </w:p>
    <w:p>
      <w:pPr>
        <w:ind w:firstLine="480"/>
        <w:spacing w:line="360" w:lineRule="auto"/>
        <w:rPr>
          <w:color w:val="auto"/>
          <w:sz w:val="24"/>
          <w:highlight w:val="none"/>
        </w:rPr>
      </w:pPr>
      <w:r>
        <w:rPr>
          <w:rFonts w:ascii="宋体" w:hAnsi="宋体" w:cs="宋体"/>
          <w:color w:val="auto"/>
          <w:sz w:val="24"/>
          <w:highlight w:val="none"/>
          <w:lang w:bidi="ar"/>
        </w:rPr>
        <w:t xml:space="preserve">二、乙方安全负责人为：</w:t>
      </w:r>
      <w:r>
        <w:rPr>
          <w:rFonts w:hint="eastAsia" w:ascii="宋体" w:hAnsi="宋体" w:cs="宋体"/>
          <w:color w:val="auto"/>
          <w:sz w:val="24"/>
          <w:highlight w:val="none"/>
          <w:lang w:bidi="ar"/>
        </w:rPr>
        <w:t xml:space="preserve">    </w:t>
      </w:r>
      <w:r>
        <w:rPr>
          <w:rFonts w:ascii="宋体" w:hAnsi="宋体" w:cs="宋体"/>
          <w:color w:val="auto"/>
          <w:sz w:val="24"/>
          <w:highlight w:val="none"/>
          <w:lang w:bidi="ar"/>
        </w:rPr>
        <w:t xml:space="preserve">，联系方式：</w:t>
      </w:r>
      <w:r>
        <w:rPr>
          <w:rFonts w:hint="eastAsia" w:ascii="宋体" w:hAnsi="宋体" w:cs="宋体"/>
          <w:color w:val="auto"/>
          <w:sz w:val="24"/>
          <w:highlight w:val="none"/>
          <w:lang w:bidi="ar"/>
        </w:rPr>
        <w:t xml:space="preserve">   </w:t>
      </w:r>
      <w:r>
        <w:rPr>
          <w:rFonts w:ascii="宋体" w:hAnsi="宋体" w:cs="宋体"/>
          <w:color w:val="auto"/>
          <w:sz w:val="24"/>
          <w:highlight w:val="none"/>
          <w:lang w:bidi="ar"/>
        </w:rPr>
        <w:t xml:space="preserve">，如该人员或联系方式发生变动，乙方须第一时间书面通知甲方，未及时通知造成的一切后果由乙方承担。</w:t>
      </w:r>
      <w:r/>
    </w:p>
    <w:p>
      <w:pPr>
        <w:ind w:firstLine="480"/>
        <w:spacing w:line="360" w:lineRule="auto"/>
        <w:rPr>
          <w:rFonts w:hint="eastAsia"/>
          <w:color w:val="auto"/>
          <w:sz w:val="24"/>
          <w:highlight w:val="none"/>
        </w:rPr>
      </w:pPr>
      <w:r>
        <w:rPr>
          <w:rFonts w:hint="eastAsia"/>
          <w:color w:val="auto"/>
          <w:sz w:val="24"/>
          <w:highlight w:val="none"/>
        </w:rPr>
        <w:t xml:space="preserve">三、若项目涉施工，乙方须安排专业人员提前到项目现场进行全面勘察，结合甲方提供的参数，充分评估设备、材料进场、运输、安装等全流程的安全风险，制定符合现场实际的安全施工方案和应急处置预案，确保施工行为符合要求。因乙方未进行现场勘察、未评估风险、施工方案不合理等原因，引发的设备倾倒、结构损坏、人员伤亡等一切安全事故及财产损失，均由乙方承担全部责任。</w:t>
      </w:r>
      <w:r/>
    </w:p>
    <w:p>
      <w:pPr>
        <w:ind w:firstLine="480"/>
        <w:spacing w:line="360" w:lineRule="auto"/>
        <w:rPr>
          <w:rFonts w:hint="eastAsia"/>
          <w:color w:val="auto"/>
          <w:sz w:val="24"/>
          <w:highlight w:val="none"/>
        </w:rPr>
      </w:pPr>
      <w:r>
        <w:rPr>
          <w:rFonts w:hint="eastAsia"/>
          <w:color w:val="auto"/>
          <w:sz w:val="24"/>
          <w:highlight w:val="none"/>
        </w:rPr>
        <w:t xml:space="preserve">四、若项目涉及动火、高空、临时用电、有限空间等特殊作业，乙方须按照国家及行业规定事先办理审批手续，采取相应的消防安全及作业防护措施，完成备案并取得相关许可后，方可开展作业。如因违法违规作业造成损失，由乙方自行承担。</w:t>
      </w:r>
      <w:r/>
    </w:p>
    <w:p>
      <w:pPr>
        <w:ind w:firstLine="480"/>
        <w:spacing w:line="360" w:lineRule="auto"/>
        <w:rPr>
          <w:rFonts w:hint="eastAsia"/>
          <w:color w:val="auto"/>
          <w:sz w:val="24"/>
          <w:highlight w:val="none"/>
        </w:rPr>
      </w:pPr>
      <w:r>
        <w:rPr>
          <w:rFonts w:hint="eastAsia"/>
          <w:color w:val="auto"/>
          <w:sz w:val="24"/>
          <w:highlight w:val="none"/>
        </w:rPr>
        <w:t xml:space="preserve">五、乙方应确保合法用工，相关用工证件齐全有效；乙方须对所有工作人员进行安全生产教育培训，确保工作人员具备相应的安全知识和操作技能，特种作业人员必须持证上岗；并采取各种合理的预防措施，防止其员工发生任何违法、违禁、暴力或妨碍治安的行为。</w:t>
      </w:r>
      <w:r/>
    </w:p>
    <w:p>
      <w:pPr>
        <w:ind w:firstLine="480"/>
        <w:spacing w:line="360" w:lineRule="auto"/>
        <w:rPr>
          <w:rFonts w:hint="eastAsia"/>
          <w:color w:val="auto"/>
          <w:sz w:val="24"/>
          <w:highlight w:val="none"/>
        </w:rPr>
      </w:pPr>
      <w:r>
        <w:rPr>
          <w:rFonts w:hint="eastAsia"/>
          <w:color w:val="auto"/>
          <w:sz w:val="24"/>
          <w:highlight w:val="none"/>
        </w:rPr>
        <w:t xml:space="preserve">六、乙方应为现场所有工作人员配备合格的劳动保护用品（如安全帽、安全带、绝缘手套、防护鞋等），并监督工作人员正确佩戴和使用。所有施工机具设备、高空作业设备及辅助设施均应定期检查、维护、保养，并有专职安全员的签字记录，保证其经常处于完好使用状态；不合格的机具、设备和劳动保护用品严禁进入施工现场和投入使用。</w:t>
      </w:r>
      <w:r/>
    </w:p>
    <w:p>
      <w:pPr>
        <w:ind w:firstLine="480"/>
        <w:spacing w:line="360" w:lineRule="auto"/>
        <w:rPr>
          <w:rFonts w:hint="eastAsia"/>
          <w:color w:val="auto"/>
          <w:sz w:val="24"/>
          <w:highlight w:val="none"/>
        </w:rPr>
      </w:pPr>
      <w:r>
        <w:rPr>
          <w:rFonts w:hint="eastAsia"/>
          <w:color w:val="auto"/>
          <w:sz w:val="24"/>
          <w:highlight w:val="none"/>
        </w:rPr>
        <w:t xml:space="preserve">七、乙方应在施工现场关键位置设置明显、规范的安全警示标志，对危险区域（如高空作业区、设备吊装区、临时通道等）采取有效的安全防护措施，如设置围栏、防护网、警示灯带等，安排专人现场值守，防止无关人员进入危险区域。</w:t>
      </w:r>
      <w:r/>
    </w:p>
    <w:p>
      <w:pPr>
        <w:ind w:firstLine="480"/>
        <w:spacing w:line="360" w:lineRule="auto"/>
        <w:rPr>
          <w:rFonts w:hint="eastAsia"/>
          <w:color w:val="auto"/>
          <w:sz w:val="24"/>
          <w:highlight w:val="none"/>
        </w:rPr>
      </w:pPr>
      <w:r>
        <w:rPr>
          <w:rFonts w:hint="eastAsia"/>
          <w:color w:val="auto"/>
          <w:sz w:val="24"/>
          <w:highlight w:val="none"/>
        </w:rPr>
        <w:t xml:space="preserve">八、乙方应按规范自行配备合格的临时用电配电箱、灭火器等；施工中使用电器设备、电气线路必须符合消防安全要求以及符合相关电气规范，严格做好防火、防触电等措施；大楼内凡配备的消防设施（水枪、水带、灭火器等）非火警不准擅自动用，水电接驳位置需经甲方同意才能使用，未经甲方同意的水电接驳位置不得擅自使用；大楼内禁止吸烟以及在非受监管状态下使用明火。</w:t>
      </w:r>
      <w:r/>
    </w:p>
    <w:p>
      <w:pPr>
        <w:ind w:firstLine="480"/>
        <w:spacing w:line="360" w:lineRule="auto"/>
        <w:rPr>
          <w:rFonts w:hint="eastAsia"/>
          <w:color w:val="auto"/>
          <w:sz w:val="24"/>
          <w:highlight w:val="none"/>
        </w:rPr>
      </w:pPr>
      <w:r>
        <w:rPr>
          <w:rFonts w:hint="eastAsia"/>
          <w:color w:val="auto"/>
          <w:sz w:val="24"/>
          <w:highlight w:val="none"/>
        </w:rPr>
        <w:t xml:space="preserve">九、乙方应做好施工现场的成品保护工作，不得污染和损坏原有建筑装饰、设备、设施及公共区域，否则需及时进行清理、恢复原样或据实赔偿，直至达到甲方满意。若项目实施过程中因乙方原因造成甲方设施、设备损坏的，乙方应照价赔偿；因乙方违规操作、管理疏漏等导致安全事故，造成人员伤亡或第三方财产损失的，由乙方承担全部事故责任和经济赔偿责任。</w:t>
      </w:r>
      <w:r/>
    </w:p>
    <w:p>
      <w:pPr>
        <w:ind w:firstLine="480"/>
        <w:spacing w:line="360" w:lineRule="auto"/>
        <w:rPr>
          <w:rFonts w:hint="eastAsia"/>
          <w:color w:val="auto"/>
          <w:sz w:val="24"/>
          <w:highlight w:val="none"/>
        </w:rPr>
      </w:pPr>
      <w:r>
        <w:rPr>
          <w:rFonts w:hint="eastAsia"/>
          <w:color w:val="auto"/>
          <w:sz w:val="24"/>
          <w:highlight w:val="none"/>
        </w:rPr>
        <w:t xml:space="preserve">十、乙方自行落实安防制度，提高自防能力，负责保管好自己的建材、设备等。在竣工验收合格并办理交接手续前如有遗失，由乙方自行承担。</w:t>
      </w:r>
      <w:r/>
    </w:p>
    <w:p>
      <w:pPr>
        <w:ind w:firstLine="480"/>
        <w:spacing w:line="360" w:lineRule="auto"/>
        <w:rPr>
          <w:rFonts w:hint="eastAsia"/>
          <w:color w:val="auto"/>
          <w:sz w:val="24"/>
          <w:highlight w:val="none"/>
        </w:rPr>
      </w:pPr>
      <w:r>
        <w:rPr>
          <w:rFonts w:hint="eastAsia"/>
          <w:color w:val="auto"/>
          <w:sz w:val="24"/>
          <w:highlight w:val="none"/>
        </w:rPr>
        <w:t xml:space="preserve">十一、若乙方违反本协议约定的安全责任，或未按国家安全操作规程、甲方安全管理要求及乙方既定施工方案实施作业的，甲方有权要求乙方限期整改，乙方须按甲方要求按时完成整改并书面回复；逾期未整改或整改不合格的，甲方有权扣除相应的工程款项；若因此发生安全事故，乙方除承担全部事故责任外，还应赔偿甲方因此遭受的全部直接和间接损失。</w:t>
      </w:r>
      <w:r/>
    </w:p>
    <w:p>
      <w:pPr>
        <w:ind w:firstLine="480"/>
        <w:spacing w:line="360" w:lineRule="auto"/>
        <w:rPr>
          <w:rFonts w:hint="eastAsia"/>
          <w:color w:val="auto"/>
          <w:sz w:val="24"/>
          <w:highlight w:val="none"/>
        </w:rPr>
      </w:pPr>
      <w:r>
        <w:rPr>
          <w:rFonts w:hint="eastAsia"/>
          <w:color w:val="auto"/>
          <w:sz w:val="24"/>
          <w:highlight w:val="none"/>
        </w:rPr>
        <w:t xml:space="preserve">十二、甲方对乙方在项目现场的一切安全施工行为具有监督、检查、指导的权利，对于甲方提出的安全整改意见，乙方必须在规定期限内完成整改；若乙方拒不整改、多次整改不合格或存在重大安全隐患的，甲方有权单方解除本协议及相关施工合同，并不承担任何违约责任，由此造成的一切工期延误、经济损失等后果均由乙方负责。</w:t>
      </w:r>
      <w:r/>
    </w:p>
    <w:p>
      <w:pPr>
        <w:ind w:firstLine="480"/>
        <w:spacing w:line="360" w:lineRule="auto"/>
        <w:rPr>
          <w:rFonts w:hint="eastAsia"/>
          <w:color w:val="auto"/>
          <w:sz w:val="24"/>
          <w:highlight w:val="none"/>
        </w:rPr>
      </w:pPr>
      <w:r>
        <w:rPr>
          <w:rFonts w:hint="eastAsia"/>
          <w:color w:val="auto"/>
          <w:sz w:val="24"/>
          <w:highlight w:val="none"/>
        </w:rPr>
        <w:t xml:space="preserve">十三、本协议书作为甲乙双方签订的项目施工合同的附件，与施工合同具有同等法律效力，未尽事宜可由双方另行协商签订补充协议，补充协议与本协议书具有同等法律效力。</w:t>
      </w:r>
      <w:r/>
    </w:p>
    <w:p>
      <w:pPr>
        <w:ind w:firstLine="480"/>
        <w:spacing w:line="360" w:lineRule="auto"/>
        <w:rPr>
          <w:color w:val="auto"/>
          <w:sz w:val="24"/>
          <w:highlight w:val="none"/>
        </w:rPr>
      </w:pPr>
      <w:r>
        <w:rPr>
          <w:rFonts w:hint="eastAsia"/>
          <w:color w:val="auto"/>
          <w:sz w:val="24"/>
          <w:highlight w:val="none"/>
        </w:rPr>
        <w:t xml:space="preserve">十四、本协议书自甲乙双方签字并加盖公章后立即生效，项目竣工验收合格、乙方清理完施工现场并撤离全部人员及设备后自动终止。协议书一式两份，甲方、乙方各执一份，具有同等法律效力。</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甲方：（</w:t>
      </w:r>
      <w:r>
        <w:rPr>
          <w:rFonts w:hint="eastAsia" w:ascii="宋体" w:hAnsi="宋体"/>
          <w:color w:val="auto"/>
          <w:sz w:val="24"/>
          <w:highlight w:val="none"/>
          <w:lang w:eastAsia="zh-CN"/>
        </w:rPr>
        <w:t xml:space="preserve">盖章</w:t>
      </w:r>
      <w:r>
        <w:rPr>
          <w:rFonts w:hint="eastAsia" w:ascii="宋体" w:hAnsi="宋体"/>
          <w:color w:val="auto"/>
          <w:sz w:val="24"/>
          <w:highlight w:val="none"/>
        </w:rPr>
        <w:t xml:space="preserve">）                       乙方：（</w:t>
      </w:r>
      <w:r>
        <w:rPr>
          <w:rFonts w:hint="eastAsia" w:ascii="宋体" w:hAnsi="宋体"/>
          <w:color w:val="auto"/>
          <w:sz w:val="24"/>
          <w:highlight w:val="none"/>
          <w:lang w:eastAsia="zh-CN"/>
        </w:rPr>
        <w:t xml:space="preserve">盖章</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法定代表人  </w:t>
      </w:r>
      <w:r/>
    </w:p>
    <w:p>
      <w:pPr>
        <w:spacing w:line="360" w:lineRule="auto"/>
        <w:rPr>
          <w:rFonts w:ascii="宋体" w:hAnsi="宋体"/>
          <w:color w:val="auto"/>
          <w:sz w:val="24"/>
          <w:highlight w:val="none"/>
        </w:rPr>
      </w:pPr>
      <w:r>
        <w:rPr>
          <w:rFonts w:hint="eastAsia" w:ascii="宋体" w:hAnsi="宋体"/>
          <w:color w:val="auto"/>
          <w:sz w:val="24"/>
          <w:highlight w:val="none"/>
        </w:rPr>
        <w:t xml:space="preserve">或其授权的代理人（签名）：</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或其授权的代理人（签名）：</w:t>
      </w:r>
      <w:r/>
    </w:p>
    <w:p>
      <w:pPr>
        <w:spacing w:line="360" w:lineRule="auto"/>
        <w:rPr>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月   日                日期：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 </w:t>
      </w:r>
      <w:r/>
    </w:p>
    <w:p>
      <w:pPr>
        <w:spacing w:line="360" w:lineRule="auto"/>
        <w:rPr>
          <w:color w:val="auto"/>
          <w:sz w:val="24"/>
          <w:highlight w:val="none"/>
        </w:rPr>
      </w:pPr>
      <w:r>
        <w:rPr>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b/>
          <w:color w:val="auto"/>
          <w:sz w:val="36"/>
          <w:szCs w:val="36"/>
          <w:highlight w:val="none"/>
        </w:rPr>
        <w:outlineLvl w:val="0"/>
      </w:pPr>
      <w:r>
        <w:rPr>
          <w:rFonts w:hint="eastAsia"/>
          <w:b/>
          <w:color w:val="auto"/>
          <w:highlight w:val="none"/>
        </w:rPr>
        <w:br w:type="page" w:clear="all"/>
      </w:r>
      <w:bookmarkStart w:id="501" w:name="_Toc22909"/>
      <w:r>
        <w:rPr>
          <w:b/>
          <w:color w:val="auto"/>
          <w:sz w:val="36"/>
          <w:szCs w:val="36"/>
          <w:highlight w:val="none"/>
        </w:rPr>
        <w:t xml:space="preserve">第七章   投标文件格式</w:t>
      </w:r>
      <w:bookmarkEnd w:id="501"/>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b/>
          <w:color w:val="auto"/>
          <w:sz w:val="24"/>
          <w:highlight w:val="none"/>
        </w:rPr>
        <w:t xml:space="preserve">投标人编制文件须知</w:t>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3、全部声明和问题的回答及所附材料必须是真实的、准确的和完整的。</w:t>
      </w:r>
      <w:r/>
    </w:p>
    <w:p>
      <w:pPr>
        <w:jc w:val="left"/>
        <w:widowControl/>
        <w:rPr>
          <w:color w:val="auto"/>
          <w:sz w:val="24"/>
          <w:highlight w:val="none"/>
        </w:rPr>
      </w:pPr>
      <w:r>
        <w:rPr>
          <w:color w:val="auto"/>
          <w:sz w:val="24"/>
          <w:highlight w:val="none"/>
        </w:rPr>
        <w:br w:type="page" w:clear="all"/>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jc w:val="left"/>
        <w:keepLines/>
        <w:keepNext/>
        <w:spacing w:before="120" w:line="300" w:lineRule="auto"/>
        <w:rPr>
          <w:b/>
          <w:color w:val="auto"/>
          <w:sz w:val="30"/>
          <w:szCs w:val="20"/>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rPr>
          <w:rFonts w:ascii="宋体" w:hAnsi="宋体"/>
          <w:b/>
          <w:color w:val="auto"/>
          <w:sz w:val="36"/>
          <w:highlight w:val="none"/>
        </w:rPr>
      </w:pPr>
      <w:r>
        <w:rPr>
          <w:rFonts w:hint="eastAsia" w:ascii="宋体" w:hAnsi="宋体"/>
          <w:b/>
          <w:color w:val="auto"/>
          <w:sz w:val="36"/>
          <w:highlight w:val="none"/>
        </w:rPr>
        <w:t xml:space="preserve">项 目 名 称：</w:t>
      </w:r>
      <w:r/>
    </w:p>
    <w:p>
      <w:pPr>
        <w:rPr>
          <w:rFonts w:hint="eastAsia" w:ascii="宋体" w:hAnsi="宋体"/>
          <w:b/>
          <w:color w:val="auto"/>
          <w:sz w:val="36"/>
          <w:highlight w:val="none"/>
        </w:rPr>
      </w:pPr>
      <w:r>
        <w:rPr>
          <w:rFonts w:hint="eastAsia" w:ascii="宋体" w:hAnsi="宋体"/>
          <w:b/>
          <w:color w:val="auto"/>
          <w:sz w:val="36"/>
          <w:highlight w:val="none"/>
        </w:rPr>
        <w:t xml:space="preserve">项 目 编 号：</w:t>
      </w:r>
      <w:r/>
    </w:p>
    <w:p>
      <w:pPr>
        <w:rPr>
          <w:rFonts w:hint="eastAsia" w:ascii="宋体" w:hAnsi="宋体"/>
          <w:b/>
          <w:color w:val="auto"/>
          <w:sz w:val="36"/>
          <w:highlight w:val="none"/>
        </w:rPr>
      </w:pPr>
      <w:r>
        <w:rPr>
          <w:rFonts w:hint="eastAsia" w:ascii="宋体" w:hAnsi="宋体"/>
          <w:b/>
          <w:color w:val="auto"/>
          <w:sz w:val="36"/>
          <w:highlight w:val="none"/>
        </w:rPr>
        <w:t xml:space="preserve">投标人名称 ：</w:t>
      </w:r>
      <w:r/>
    </w:p>
    <w:p>
      <w:pPr>
        <w:rPr>
          <w:rFonts w:hint="eastAsia" w:ascii="宋体" w:hAnsi="宋体"/>
          <w:b/>
          <w:color w:val="auto"/>
          <w:sz w:val="36"/>
          <w:highlight w:val="none"/>
        </w:rPr>
      </w:pPr>
      <w:r>
        <w:rPr>
          <w:rFonts w:hint="eastAsia" w:ascii="宋体" w:hAnsi="宋体"/>
          <w:b/>
          <w:color w:val="auto"/>
          <w:sz w:val="36"/>
          <w:highlight w:val="none"/>
        </w:rPr>
        <w:t xml:space="preserve">日       期：</w:t>
      </w:r>
      <w:r/>
    </w:p>
    <w:p>
      <w:pPr>
        <w:jc w:val="center"/>
        <w:rPr>
          <w:b/>
          <w:color w:val="auto"/>
          <w:sz w:val="32"/>
          <w:szCs w:val="32"/>
          <w:highlight w:val="none"/>
        </w:rPr>
      </w:pPr>
      <w:r>
        <w:rPr>
          <w:b/>
          <w:color w:val="auto"/>
          <w:sz w:val="32"/>
          <w:szCs w:val="32"/>
          <w:highlight w:val="none"/>
        </w:rPr>
      </w:r>
      <w:r/>
    </w:p>
    <w:p>
      <w:pPr>
        <w:jc w:val="left"/>
        <w:keepLines/>
        <w:keepNext/>
        <w:spacing w:before="120" w:line="300" w:lineRule="auto"/>
        <w:rPr>
          <w:rFonts w:ascii="宋体" w:hAnsi="宋体"/>
          <w:b/>
          <w:color w:val="auto"/>
          <w:sz w:val="32"/>
          <w:szCs w:val="32"/>
          <w:highlight w:val="none"/>
        </w:rPr>
        <w:outlineLvl w:val="1"/>
      </w:pPr>
      <w:r>
        <w:rPr>
          <w:b/>
          <w:color w:val="auto"/>
          <w:spacing w:val="20"/>
          <w:sz w:val="32"/>
          <w:szCs w:val="32"/>
          <w:highlight w:val="none"/>
        </w:rPr>
        <w:br w:type="page" w:clear="all"/>
      </w:r>
      <w:r>
        <w:rPr>
          <w:rFonts w:hint="eastAsia"/>
          <w:b/>
          <w:color w:val="auto"/>
          <w:spacing w:val="20"/>
          <w:sz w:val="24"/>
          <w:highlight w:val="none"/>
        </w:rPr>
        <w:t xml:space="preserve">一、资格证明文件</w:t>
      </w:r>
      <w:r/>
    </w:p>
    <w:p>
      <w:pPr>
        <w:rPr>
          <w:b/>
          <w:color w:val="auto"/>
          <w:highlight w:val="none"/>
        </w:rPr>
      </w:pPr>
      <w:r>
        <w:rPr>
          <w:b/>
          <w:color w:val="auto"/>
          <w:highlight w:val="none"/>
        </w:rPr>
      </w:r>
      <w:r/>
    </w:p>
    <w:p>
      <w:pPr>
        <w:spacing w:line="400" w:lineRule="exact"/>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rPr>
          <w:rFonts w:hint="eastAsia"/>
          <w:color w:val="auto"/>
          <w:highlight w:val="none"/>
        </w:rPr>
      </w:pPr>
      <w:r>
        <w:rPr>
          <w:rFonts w:hint="eastAsia"/>
          <w:color w:val="auto"/>
          <w:highlight w:val="none"/>
        </w:rPr>
      </w:r>
      <w:r/>
    </w:p>
    <w:p>
      <w:pPr>
        <w:pStyle w:val="1003"/>
        <w:rPr>
          <w:rFonts w:hint="eastAsia"/>
          <w:color w:val="auto"/>
          <w:highlight w:val="none"/>
        </w:rPr>
      </w:pPr>
      <w:r>
        <w:rPr>
          <w:rFonts w:hint="eastAsia"/>
          <w:color w:val="auto"/>
          <w:highlight w:val="none"/>
        </w:rPr>
        <w:t xml:space="preserve">1-1 投标人资格声明函（实质性格式）</w:t>
      </w:r>
      <w:r/>
    </w:p>
    <w:p>
      <w:pPr>
        <w:jc w:val="center"/>
        <w:spacing w:before="120" w:line="360" w:lineRule="auto"/>
        <w:widowControl/>
        <w:rPr>
          <w:rFonts w:ascii="宋体" w:hAnsi="宋体" w:cs="宋体"/>
          <w:color w:val="auto"/>
          <w:sz w:val="36"/>
          <w:szCs w:val="36"/>
          <w:highlight w:val="none"/>
        </w:rPr>
      </w:pPr>
      <w:r>
        <w:rPr>
          <w:rFonts w:hint="eastAsia" w:ascii="宋体" w:hAnsi="宋体" w:cs="宋体"/>
          <w:b/>
          <w:color w:val="auto"/>
          <w:sz w:val="36"/>
          <w:szCs w:val="36"/>
          <w:highlight w:val="none"/>
        </w:rPr>
        <w:t xml:space="preserve">投标人资格声明函</w:t>
      </w:r>
      <w:r/>
    </w:p>
    <w:p>
      <w:pPr>
        <w:pStyle w:val="1012"/>
        <w:ind w:firstLine="480"/>
        <w:spacing w:line="460" w:lineRule="exact"/>
        <w:rPr>
          <w:color w:val="auto"/>
          <w:highlight w:val="none"/>
        </w:rPr>
      </w:pPr>
      <w:r>
        <w:rPr>
          <w:color w:val="auto"/>
          <w:highlight w:val="none"/>
        </w:rPr>
      </w:r>
      <w:r/>
    </w:p>
    <w:p>
      <w:pPr>
        <w:pStyle w:val="1012"/>
        <w:ind w:firstLine="480"/>
        <w:spacing w:line="400" w:lineRule="exact"/>
        <w:rPr>
          <w:color w:val="auto"/>
          <w:highlight w:val="none"/>
        </w:rPr>
      </w:pPr>
      <w:r>
        <w:rPr>
          <w:rFonts w:hint="eastAsia"/>
          <w:color w:val="auto"/>
          <w:highlight w:val="none"/>
        </w:rPr>
        <w:t xml:space="preserve">致：常州润邦招标代理有限公司</w:t>
      </w:r>
      <w:r/>
    </w:p>
    <w:p>
      <w:pPr>
        <w:pStyle w:val="1012"/>
        <w:ind w:firstLine="960"/>
        <w:spacing w:line="400" w:lineRule="exact"/>
        <w:rPr>
          <w:color w:val="auto"/>
          <w:highlight w:val="none"/>
          <w:u w:val="single"/>
        </w:rPr>
      </w:pPr>
      <w:r>
        <w:rPr>
          <w:rFonts w:hint="eastAsia"/>
          <w:color w:val="auto"/>
          <w:highlight w:val="none"/>
          <w:u w:val="single"/>
        </w:rPr>
        <w:t xml:space="preserve">（采购人名称）</w:t>
      </w:r>
      <w:r/>
    </w:p>
    <w:p>
      <w:pPr>
        <w:pStyle w:val="1012"/>
        <w:ind w:firstLine="480"/>
        <w:spacing w:line="400" w:lineRule="exact"/>
        <w:rPr>
          <w:color w:val="auto"/>
          <w:highlight w:val="none"/>
        </w:rPr>
      </w:pPr>
      <w:r>
        <w:rPr>
          <w:color w:val="auto"/>
          <w:highlight w:val="none"/>
        </w:rPr>
      </w:r>
      <w:r/>
    </w:p>
    <w:p>
      <w:pPr>
        <w:pStyle w:val="1012"/>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012"/>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12"/>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012"/>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012"/>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12"/>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12"/>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12"/>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2"/>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012"/>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012"/>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12"/>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12"/>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12"/>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012"/>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012"/>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12"/>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12"/>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12"/>
        <w:ind w:firstLine="480"/>
        <w:spacing w:line="400" w:lineRule="exact"/>
        <w:rPr>
          <w:color w:val="auto"/>
          <w:highlight w:val="none"/>
        </w:rPr>
      </w:pPr>
      <w:r>
        <w:rPr>
          <w:color w:val="auto"/>
          <w:highlight w:val="none"/>
        </w:rPr>
      </w:r>
      <w:r/>
    </w:p>
    <w:p>
      <w:pPr>
        <w:pStyle w:val="1012"/>
        <w:ind w:firstLine="480"/>
        <w:spacing w:line="40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12"/>
        <w:ind w:firstLine="480"/>
        <w:spacing w:line="400" w:lineRule="exact"/>
        <w:rPr>
          <w:color w:val="auto"/>
          <w:highlight w:val="none"/>
        </w:rPr>
      </w:pPr>
      <w:r>
        <w:rPr>
          <w:color w:val="auto"/>
          <w:highlight w:val="none"/>
        </w:rPr>
      </w:r>
      <w:r/>
    </w:p>
    <w:p>
      <w:pPr>
        <w:pStyle w:val="1012"/>
        <w:ind w:firstLine="480"/>
        <w:spacing w:line="400" w:lineRule="exact"/>
        <w:rPr>
          <w:color w:val="auto"/>
          <w:highlight w:val="none"/>
        </w:rPr>
      </w:pPr>
      <w:r>
        <w:rPr>
          <w:color w:val="auto"/>
          <w:highlight w:val="none"/>
        </w:rPr>
      </w:r>
      <w:r/>
    </w:p>
    <w:p>
      <w:pPr>
        <w:pStyle w:val="1012"/>
        <w:ind w:firstLine="480"/>
        <w:spacing w:line="400" w:lineRule="exact"/>
        <w:rPr>
          <w:color w:val="auto"/>
          <w:highlight w:val="none"/>
        </w:rPr>
      </w:pPr>
      <w:r>
        <w:rPr>
          <w:rFonts w:hint="eastAsia"/>
          <w:color w:val="auto"/>
          <w:highlight w:val="none"/>
        </w:rPr>
        <w:t xml:space="preserve">                                   投标人：（加盖公章）</w:t>
      </w:r>
      <w:r/>
    </w:p>
    <w:p>
      <w:pPr>
        <w:pStyle w:val="1012"/>
        <w:ind w:firstLine="480"/>
        <w:spacing w:line="400" w:lineRule="exact"/>
        <w:rPr>
          <w:color w:val="auto"/>
          <w:highlight w:val="none"/>
        </w:rPr>
      </w:pPr>
      <w:r>
        <w:rPr>
          <w:rFonts w:hint="eastAsia"/>
          <w:color w:val="auto"/>
          <w:highlight w:val="none"/>
        </w:rPr>
        <w:t xml:space="preserve">                                   法定代表人（或单位负责人）签字或盖章：</w:t>
      </w:r>
      <w:r/>
    </w:p>
    <w:p>
      <w:pPr>
        <w:pStyle w:val="1012"/>
        <w:ind w:firstLine="4920"/>
        <w:spacing w:line="400" w:lineRule="exact"/>
        <w:rPr>
          <w:color w:val="auto"/>
          <w:highlight w:val="none"/>
        </w:rPr>
      </w:pPr>
      <w:r>
        <w:rPr>
          <w:rFonts w:hint="eastAsia"/>
          <w:color w:val="auto"/>
          <w:highlight w:val="none"/>
        </w:rPr>
        <w:t xml:space="preserve">日期：    年    月    日</w:t>
      </w:r>
      <w:r/>
    </w:p>
    <w:p>
      <w:pPr>
        <w:spacing w:line="400" w:lineRule="exact"/>
        <w:rPr>
          <w:color w:val="auto"/>
          <w:sz w:val="24"/>
          <w:highlight w:val="none"/>
        </w:rPr>
      </w:pPr>
      <w:r>
        <w:rPr>
          <w:color w:val="auto"/>
          <w:sz w:val="24"/>
          <w:highlight w:val="none"/>
        </w:rPr>
      </w:r>
      <w:r/>
    </w:p>
    <w:p>
      <w:pPr>
        <w:spacing w:line="400" w:lineRule="exact"/>
        <w:rPr>
          <w:color w:val="auto"/>
          <w:sz w:val="24"/>
          <w:highlight w:val="none"/>
        </w:rPr>
      </w:pPr>
      <w:r>
        <w:rPr>
          <w:color w:val="auto"/>
          <w:sz w:val="24"/>
          <w:highlight w:val="none"/>
        </w:rPr>
      </w:r>
      <w:r/>
    </w:p>
    <w:p>
      <w:pPr>
        <w:spacing w:line="400" w:lineRule="exact"/>
        <w:rPr>
          <w:color w:val="auto"/>
          <w:sz w:val="24"/>
          <w:highlight w:val="none"/>
        </w:rPr>
      </w:pPr>
      <w:r>
        <w:rPr>
          <w:color w:val="auto"/>
          <w:sz w:val="24"/>
          <w:highlight w:val="none"/>
        </w:rPr>
      </w:r>
      <w:r/>
    </w:p>
    <w:p>
      <w:pPr>
        <w:spacing w:line="400" w:lineRule="exact"/>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400" w:lineRule="exact"/>
        <w:tabs>
          <w:tab w:val="left" w:pos="5580" w:leader="none"/>
        </w:tabs>
        <w:rPr>
          <w:color w:val="auto"/>
          <w:sz w:val="24"/>
          <w:highlight w:val="none"/>
        </w:rPr>
        <w:sectPr>
          <w:footnotePr/>
          <w:endnotePr/>
          <w:type w:val="nextPage"/>
          <w:pgSz w:w="11907" w:h="16840" w:orient="portrait"/>
          <w:pgMar w:top="1440" w:right="1800" w:bottom="1440" w:left="1800" w:header="851" w:footer="850" w:gutter="0"/>
          <w:cols w:num="1" w:sep="0" w:space="720" w:equalWidth="1"/>
          <w:docGrid w:linePitch="360"/>
          <w:titlePg/>
        </w:sectPr>
      </w:pPr>
      <w:r>
        <w:rPr>
          <w:color w:val="auto"/>
          <w:sz w:val="24"/>
          <w:highlight w:val="none"/>
        </w:rPr>
      </w:r>
      <w:r/>
    </w:p>
    <w:p>
      <w:pPr>
        <w:pStyle w:val="1003"/>
        <w:rPr>
          <w:color w:val="auto"/>
          <w:highlight w:val="none"/>
        </w:rPr>
      </w:pPr>
      <w:r>
        <w:rPr>
          <w:color w:val="auto"/>
          <w:highlight w:val="none"/>
        </w:rPr>
        <w:t xml:space="preserve">2 落实政府采购政策需满足的资格要求（如有）</w:t>
      </w:r>
      <w:r/>
    </w:p>
    <w:p>
      <w:pPr>
        <w:spacing w:line="400" w:lineRule="exact"/>
        <w:rPr>
          <w:rFonts w:ascii="宋体" w:hAnsi="宋体"/>
          <w:b/>
          <w:color w:val="auto"/>
          <w:sz w:val="24"/>
          <w:szCs w:val="20"/>
          <w:highlight w:val="none"/>
        </w:rPr>
        <w:outlineLvl w:val="2"/>
      </w:pP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1</w:t>
      </w:r>
      <w:r>
        <w:rPr>
          <w:rFonts w:ascii="宋体" w:hAnsi="宋体"/>
          <w:b/>
          <w:color w:val="auto"/>
          <w:sz w:val="24"/>
          <w:szCs w:val="20"/>
          <w:highlight w:val="none"/>
        </w:rPr>
        <w:t xml:space="preserve"> </w:t>
      </w:r>
      <w:r>
        <w:rPr>
          <w:rFonts w:hint="eastAsia" w:ascii="宋体" w:hAnsi="宋体"/>
          <w:b/>
          <w:color w:val="auto"/>
          <w:sz w:val="24"/>
          <w:highlight w:val="none"/>
        </w:rPr>
        <w:t xml:space="preserve">其他</w:t>
      </w:r>
      <w:r>
        <w:rPr>
          <w:rFonts w:ascii="宋体" w:hAnsi="宋体"/>
          <w:b/>
          <w:color w:val="auto"/>
          <w:sz w:val="24"/>
          <w:highlight w:val="none"/>
        </w:rPr>
        <w:t xml:space="preserve">落实政府采购政策的资格要求</w:t>
      </w:r>
      <w:r>
        <w:rPr>
          <w:rFonts w:ascii="宋体" w:hAnsi="宋体"/>
          <w:b/>
          <w:color w:val="auto"/>
          <w:sz w:val="24"/>
          <w:szCs w:val="20"/>
          <w:highlight w:val="none"/>
        </w:rPr>
        <w:t xml:space="preserve">（如有）</w:t>
      </w:r>
      <w:r/>
    </w:p>
    <w:p>
      <w:pPr>
        <w:pStyle w:val="1003"/>
        <w:rPr>
          <w:rFonts w:hint="eastAsia"/>
          <w:color w:val="auto"/>
          <w:highlight w:val="none"/>
        </w:rPr>
      </w:pPr>
      <w:r>
        <w:rPr>
          <w:color w:val="auto"/>
          <w:highlight w:val="none"/>
        </w:rPr>
        <w:t xml:space="preserve">3 本项目的特定资格要求：</w:t>
      </w:r>
      <w:bookmarkStart w:id="602" w:name="_GoBack"/>
      <w:r/>
      <w:bookmarkEnd w:id="602"/>
      <w:r/>
      <w:r/>
    </w:p>
    <w:p>
      <w:pPr>
        <w:ind w:left="0" w:firstLine="482"/>
        <w:keepLines w:val="0"/>
        <w:keepNext w:val="0"/>
        <w:pageBreakBefore w:val="0"/>
        <w:spacing w:line="384"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本项目接受进口产品，如所投产品为进口产品的，投标人应提供以下之一的证明材料</w:t>
      </w:r>
      <w:r>
        <w:rPr>
          <w:rFonts w:hint="eastAsia" w:ascii="宋体" w:hAnsi="宋体" w:eastAsia="宋体" w:cs="宋体"/>
          <w:b/>
          <w:bCs/>
          <w:color w:val="auto"/>
          <w:sz w:val="24"/>
          <w:highlight w:val="none"/>
          <w:lang w:val="en-US" w:eastAsia="zh-CN"/>
        </w:rPr>
        <w:t xml:space="preserve">扫描件并加盖投标人公章</w:t>
      </w:r>
      <w:r>
        <w:rPr>
          <w:rFonts w:hint="eastAsia" w:ascii="宋体" w:hAnsi="宋体" w:eastAsia="宋体" w:cs="宋体"/>
          <w:b/>
          <w:bCs/>
          <w:color w:val="auto"/>
          <w:sz w:val="24"/>
          <w:highlight w:val="none"/>
        </w:rPr>
        <w:t xml:space="preserve">：</w:t>
      </w:r>
      <w:r/>
    </w:p>
    <w:p>
      <w:pPr>
        <w:ind w:left="0" w:firstLine="482"/>
        <w:keepLines w:val="0"/>
        <w:keepNext w:val="0"/>
        <w:pageBreakBefore w:val="0"/>
        <w:spacing w:line="384"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eastAsia="宋体" w:cs="宋体"/>
          <w:b/>
          <w:bCs/>
          <w:color w:val="auto"/>
          <w:sz w:val="24"/>
          <w:highlight w:val="none"/>
          <w:lang w:val="en-US" w:eastAsia="zh-CN"/>
        </w:rPr>
        <w:t xml:space="preserve">如投标人为</w:t>
      </w:r>
      <w:r>
        <w:rPr>
          <w:rFonts w:hint="eastAsia" w:ascii="宋体" w:hAnsi="宋体" w:eastAsia="宋体" w:cs="宋体"/>
          <w:b/>
          <w:bCs/>
          <w:color w:val="auto"/>
          <w:sz w:val="24"/>
          <w:highlight w:val="none"/>
        </w:rPr>
        <w:t xml:space="preserve">此设备的本区域的经销（代理）商，必须提供逐级经销（代理）商的证书及有效销售资质；</w:t>
      </w:r>
      <w:r/>
    </w:p>
    <w:p>
      <w:pPr>
        <w:ind w:left="0" w:firstLine="482"/>
        <w:keepLines w:val="0"/>
        <w:keepNext w:val="0"/>
        <w:pageBreakBefore w:val="0"/>
        <w:spacing w:line="384"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w:t>
      </w:r>
      <w:r>
        <w:rPr>
          <w:rFonts w:hint="eastAsia" w:ascii="宋体" w:hAnsi="宋体" w:eastAsia="宋体" w:cs="宋体"/>
          <w:b/>
          <w:bCs/>
          <w:color w:val="auto"/>
          <w:sz w:val="24"/>
          <w:highlight w:val="none"/>
          <w:lang w:val="en-US" w:eastAsia="zh-CN"/>
        </w:rPr>
        <w:t xml:space="preserve">如投标人为</w:t>
      </w:r>
      <w:r>
        <w:rPr>
          <w:rFonts w:hint="eastAsia" w:ascii="宋体" w:hAnsi="宋体" w:eastAsia="宋体" w:cs="宋体"/>
          <w:b/>
          <w:bCs/>
          <w:color w:val="auto"/>
          <w:sz w:val="24"/>
          <w:highlight w:val="none"/>
        </w:rPr>
        <w:t xml:space="preserve">此项目的授权经销商，必须提供本区域经销（代理）商（或生产厂家）对本次采购的项目授权，同时提供逐级经销（代理）商的证书及有效销售资质（外文授权或代理证书的需提供中文译件）。</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hint="eastAsia" w:ascii="宋体" w:hAnsi="宋体" w:cs="宋体"/>
          <w:b/>
          <w:bCs/>
          <w:color w:val="auto"/>
          <w:sz w:val="24"/>
          <w:szCs w:val="20"/>
          <w:highlight w:val="none"/>
        </w:rPr>
        <w:t xml:space="preserve">4 营业执照</w:t>
      </w:r>
      <w:r/>
    </w:p>
    <w:p>
      <w:pPr>
        <w:jc w:val="left"/>
        <w:widowControl/>
        <w:rPr>
          <w:color w:val="auto"/>
          <w:sz w:val="24"/>
          <w:highlight w:val="none"/>
        </w:rPr>
      </w:pPr>
      <w:r>
        <w:rPr>
          <w:color w:val="auto"/>
          <w:sz w:val="24"/>
          <w:highlight w:val="none"/>
        </w:rPr>
      </w:r>
      <w:r/>
    </w:p>
    <w:p>
      <w:pPr>
        <w:rPr>
          <w:rFonts w:ascii="宋体" w:hAnsi="宋体"/>
          <w:b/>
          <w:color w:val="auto"/>
          <w:sz w:val="32"/>
          <w:szCs w:val="32"/>
          <w:highlight w:val="none"/>
        </w:rPr>
      </w:pPr>
      <w:r>
        <w:rPr>
          <w:color w:val="auto"/>
          <w:sz w:val="24"/>
          <w:szCs w:val="20"/>
          <w:highlight w:val="none"/>
        </w:rPr>
        <w:br w:type="page" w:clear="all"/>
      </w:r>
      <w:r>
        <w:rPr>
          <w:b/>
          <w:color w:val="auto"/>
          <w:spacing w:val="20"/>
          <w:sz w:val="24"/>
          <w:highlight w:val="none"/>
        </w:rPr>
        <w:t xml:space="preserve">二、商务技术文件格式</w:t>
      </w:r>
      <w:bookmarkStart w:id="502" w:name="_Toc127151556"/>
      <w:r/>
      <w:bookmarkStart w:id="503" w:name="_Toc150774761"/>
      <w:r/>
      <w:bookmarkStart w:id="504" w:name="_Toc226309800"/>
      <w:r/>
      <w:bookmarkStart w:id="505" w:name="_Toc226965746"/>
      <w:r/>
      <w:bookmarkStart w:id="506" w:name="_Ref467988698"/>
      <w:r/>
      <w:bookmarkStart w:id="507" w:name="_Toc226965829"/>
      <w:r/>
      <w:bookmarkStart w:id="508" w:name="_Toc520356217"/>
      <w:r/>
      <w:bookmarkStart w:id="509" w:name="_Toc150480794"/>
      <w:r/>
      <w:bookmarkStart w:id="510" w:name="_Toc195842921"/>
      <w:r/>
      <w:bookmarkStart w:id="511" w:name="_Toc226337252"/>
      <w:r/>
      <w:bookmarkStart w:id="512" w:name="_Toc142311058"/>
      <w:r/>
      <w:bookmarkStart w:id="513" w:name="_Toc480942349"/>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03"/>
        <w:rPr>
          <w:rFonts w:hint="eastAsia"/>
          <w:color w:val="auto"/>
          <w:highlight w:val="none"/>
        </w:rPr>
      </w:pPr>
      <w:r>
        <w:rPr>
          <w:rFonts w:hint="eastAsia"/>
          <w:color w:val="auto"/>
          <w:highlight w:val="none"/>
        </w:rPr>
        <w:t xml:space="preserve">1 投标</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color w:val="auto"/>
          <w:highlight w:val="none"/>
        </w:rPr>
        <w:t xml:space="preserve">函（实质性格式）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400" w:lineRule="exact"/>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（采购人或采购代理机构）</w:t>
      </w:r>
      <w:r/>
    </w:p>
    <w:p>
      <w:pPr>
        <w:spacing w:line="400" w:lineRule="exact"/>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firstLine="408"/>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我方参加你方就___________（项目名称，项目编号/包号）组织的招标活动，并对此项目进行投标。</w:t>
      </w:r>
      <w:r/>
    </w:p>
    <w:p>
      <w:pPr>
        <w:ind w:firstLine="48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1.我方</w:t>
      </w:r>
      <w:r>
        <w:rPr>
          <w:rFonts w:hint="eastAsia" w:ascii="宋体" w:hAnsi="宋体" w:cs="宋体"/>
          <w:color w:val="auto"/>
          <w:sz w:val="24"/>
          <w:highlight w:val="none"/>
        </w:rPr>
        <w:t xml:space="preserve">已详细审查全部招标文件</w:t>
      </w:r>
      <w:r>
        <w:rPr>
          <w:rFonts w:hint="eastAsia" w:ascii="宋体" w:hAnsi="宋体" w:cs="宋体"/>
          <w:color w:val="auto"/>
          <w:sz w:val="24"/>
          <w:szCs w:val="20"/>
          <w:highlight w:val="none"/>
        </w:rPr>
        <w:t xml:space="preserve">，自愿参与投标并承诺如下：</w:t>
      </w:r>
      <w:r/>
    </w:p>
    <w:p>
      <w:pPr>
        <w:ind w:firstLine="480"/>
        <w:spacing w:line="400" w:lineRule="exact"/>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（1）本投标有效期为自提交投标文件的截止之日起</w:t>
      </w:r>
      <w:r>
        <w:rPr>
          <w:rFonts w:hint="eastAsia" w:ascii="宋体" w:hAnsi="宋体" w:cs="宋体"/>
          <w:color w:val="auto"/>
          <w:sz w:val="24"/>
          <w:highlight w:val="none"/>
        </w:rPr>
        <w:t xml:space="preserve">60</w:t>
      </w:r>
      <w:r>
        <w:rPr>
          <w:rFonts w:hint="eastAsia" w:ascii="宋体" w:hAnsi="宋体" w:cs="宋体"/>
          <w:color w:val="auto"/>
          <w:sz w:val="24"/>
          <w:szCs w:val="20"/>
          <w:highlight w:val="none"/>
        </w:rPr>
        <w:t xml:space="preserve">个日历日。</w:t>
      </w:r>
      <w:r/>
    </w:p>
    <w:p>
      <w:pPr>
        <w:ind w:firstLine="480"/>
        <w:spacing w:line="400" w:lineRule="exact"/>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（2）除合同条款及采购需求偏离表列出的偏离外，我方响应招标文件的全部要求。</w:t>
      </w:r>
      <w:r/>
    </w:p>
    <w:p>
      <w:pPr>
        <w:ind w:firstLine="48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（3）我方已提供的全部文件资料是真实、准确的，并对此承担一切法律后果。</w:t>
      </w:r>
      <w:r/>
    </w:p>
    <w:p>
      <w:pPr>
        <w:ind w:firstLine="480"/>
        <w:spacing w:line="400" w:lineRule="exact"/>
        <w:tabs>
          <w:tab w:val="left" w:pos="5580" w:leader="none"/>
        </w:tabs>
        <w:rPr>
          <w:rFonts w:ascii="宋体" w:hAnsi="宋体" w:cs="宋体"/>
          <w:color w:val="auto"/>
          <w:sz w:val="24"/>
          <w:highlight w:val="none"/>
        </w:rPr>
      </w:pPr>
      <w:r>
        <w:rPr>
          <w:rFonts w:hint="eastAsia" w:ascii="宋体" w:hAnsi="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2.其他补充条款（如有）：</w:t>
      </w:r>
      <w:r>
        <w:rPr>
          <w:rFonts w:hint="eastAsia" w:ascii="宋体" w:hAnsi="宋体" w:cs="宋体"/>
          <w:color w:val="auto"/>
          <w:sz w:val="24"/>
          <w:szCs w:val="20"/>
          <w:highlight w:val="none"/>
        </w:rPr>
        <w:t xml:space="preserve">___________</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与本投标有关的一切正式往来信函请寄：</w:t>
      </w:r>
      <w:r/>
    </w:p>
    <w:p>
      <w:pPr>
        <w:ind w:left="420"/>
        <w:spacing w:line="400" w:lineRule="exact"/>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left="420"/>
        <w:spacing w:line="400" w:lineRule="exact"/>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400" w:lineRule="exact"/>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400" w:lineRule="exact"/>
        <w:tabs>
          <w:tab w:val="left" w:pos="5580" w:leader="none"/>
        </w:tabs>
        <w:rPr>
          <w:color w:val="auto"/>
          <w:sz w:val="24"/>
          <w:szCs w:val="20"/>
          <w:highlight w:val="none"/>
        </w:rPr>
      </w:pPr>
      <w:r>
        <w:rPr>
          <w:color w:val="auto"/>
          <w:sz w:val="24"/>
          <w:szCs w:val="20"/>
          <w:highlight w:val="none"/>
        </w:rPr>
      </w:r>
      <w:r/>
    </w:p>
    <w:p>
      <w:pPr>
        <w:ind w:left="420"/>
        <w:spacing w:line="400" w:lineRule="exact"/>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400" w:lineRule="exact"/>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514" w:name="_Hlt520356243"/>
      <w:r/>
      <w:bookmarkEnd w:id="514"/>
      <w:r/>
      <w:bookmarkStart w:id="515" w:name="_Hlt520355938"/>
      <w:r/>
      <w:bookmarkEnd w:id="515"/>
      <w:r>
        <w:rPr>
          <w:color w:val="auto"/>
          <w:sz w:val="24"/>
          <w:highlight w:val="none"/>
        </w:rPr>
        <w:br w:type="page" w:clear="all"/>
      </w:r>
      <w:r/>
    </w:p>
    <w:p>
      <w:pPr>
        <w:pStyle w:val="1003"/>
        <w:rPr>
          <w:rFonts w:hint="eastAsia"/>
          <w:color w:val="auto"/>
          <w:highlight w:val="none"/>
        </w:rPr>
      </w:pPr>
      <w:r>
        <w:rPr>
          <w:rFonts w:hint="eastAsia"/>
          <w:color w:val="auto"/>
          <w:highlight w:val="none"/>
        </w:rPr>
        <w:t xml:space="preserve">2 法定代表人资格证明书（实质性格式）</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法定代表人（单位负责人）资格证明书</w:t>
      </w:r>
      <w:r/>
    </w:p>
    <w:p>
      <w:pPr>
        <w:spacing w:line="40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40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40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40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的法定代表人（单位负责人）。为参与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40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18"/>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101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7"/>
      </w:tblGrid>
      <w:tr>
        <w:trPr>
          <w:jc w:val="center"/>
          <w:trHeight w:val="2885"/>
        </w:trPr>
        <w:tc>
          <w:tcPr>
            <w:tcW w:w="2537" w:type="pct"/>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2462" w:type="pct"/>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400" w:lineRule="exact"/>
        <w:rPr>
          <w:rFonts w:ascii="宋体" w:hAnsi="宋体"/>
          <w:color w:val="auto"/>
          <w:sz w:val="24"/>
          <w:highlight w:val="none"/>
        </w:rPr>
      </w:pPr>
      <w:r>
        <w:rPr>
          <w:rFonts w:hint="eastAsia" w:ascii="宋体" w:hAnsi="宋体"/>
          <w:color w:val="auto"/>
          <w:sz w:val="24"/>
          <w:highlight w:val="none"/>
        </w:rPr>
        <w:t xml:space="preserve">                     投标人名称：（加盖公章）</w:t>
      </w:r>
      <w:r/>
    </w:p>
    <w:p>
      <w:pPr>
        <w:spacing w:line="40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40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spacing w:line="400" w:lineRule="exact"/>
        <w:widowControl/>
        <w:rPr>
          <w:color w:val="auto"/>
          <w:sz w:val="24"/>
          <w:highlight w:val="none"/>
        </w:rPr>
      </w:pPr>
      <w:r>
        <w:rPr>
          <w:color w:val="auto"/>
          <w:sz w:val="24"/>
          <w:highlight w:val="none"/>
        </w:rPr>
      </w:r>
      <w:r/>
    </w:p>
    <w:p>
      <w:pPr>
        <w:jc w:val="left"/>
        <w:spacing w:line="400" w:lineRule="exact"/>
        <w:widowControl/>
        <w:rPr>
          <w:color w:val="auto"/>
          <w:sz w:val="24"/>
          <w:highlight w:val="none"/>
        </w:rPr>
      </w:pPr>
      <w:r>
        <w:rPr>
          <w:color w:val="auto"/>
          <w:sz w:val="24"/>
          <w:highlight w:val="none"/>
        </w:rPr>
      </w:r>
      <w:r/>
    </w:p>
    <w:p>
      <w:pPr>
        <w:jc w:val="left"/>
        <w:spacing w:line="400" w:lineRule="exact"/>
        <w:widowControl/>
        <w:rPr>
          <w:color w:val="auto"/>
          <w:sz w:val="24"/>
          <w:highlight w:val="none"/>
        </w:rPr>
      </w:pPr>
      <w:r>
        <w:rPr>
          <w:color w:val="auto"/>
          <w:sz w:val="24"/>
          <w:highlight w:val="none"/>
        </w:rPr>
      </w:r>
      <w:r/>
    </w:p>
    <w:p>
      <w:pPr>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pStyle w:val="1003"/>
        <w:rPr>
          <w:color w:val="auto"/>
          <w:highlight w:val="none"/>
        </w:rPr>
      </w:pPr>
      <w:r>
        <w:rPr>
          <w:rFonts w:hint="eastAsia"/>
          <w:color w:val="auto"/>
          <w:highlight w:val="none"/>
        </w:rPr>
        <w:br w:type="page" w:clear="all"/>
      </w:r>
      <w:r>
        <w:rPr>
          <w:rFonts w:hint="eastAsia"/>
          <w:color w:val="auto"/>
          <w:highlight w:val="none"/>
        </w:rPr>
        <w:t xml:space="preserve">3  政府采购供应商信用承诺书（实质性格式）</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政府采购供应商信用承诺书</w:t>
      </w:r>
      <w:r/>
    </w:p>
    <w:p>
      <w:pPr>
        <w:ind w:firstLine="640"/>
        <w:rPr>
          <w:color w:val="auto"/>
          <w:highlight w:val="none"/>
        </w:rPr>
      </w:pPr>
      <w:r>
        <w:rPr>
          <w:color w:val="auto"/>
          <w:highlight w:val="none"/>
        </w:rPr>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06"/>
        <w:ind w:right="1050" w:firstLine="2880"/>
        <w:jc w:val="both"/>
        <w:spacing w:line="400" w:lineRule="exact"/>
        <w:rPr>
          <w:rFonts w:ascii="宋体" w:hAnsi="宋体" w:eastAsia="宋体"/>
          <w:color w:val="auto"/>
          <w:sz w:val="24"/>
          <w:szCs w:val="22"/>
          <w:highlight w:val="none"/>
        </w:rPr>
      </w:pPr>
      <w:r>
        <w:rPr>
          <w:rFonts w:ascii="宋体" w:hAnsi="宋体" w:eastAsia="宋体"/>
          <w:color w:val="auto"/>
          <w:sz w:val="24"/>
          <w:szCs w:val="22"/>
          <w:highlight w:val="none"/>
        </w:rPr>
      </w:r>
      <w:r/>
    </w:p>
    <w:p>
      <w:pPr>
        <w:spacing w:line="400" w:lineRule="exact"/>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line="400" w:lineRule="exact"/>
        <w:rPr>
          <w:color w:val="auto"/>
          <w:sz w:val="24"/>
          <w:highlight w:val="none"/>
          <w:lang w:val="zh-CN"/>
        </w:rPr>
      </w:pPr>
      <w:r>
        <w:rPr>
          <w:color w:val="auto"/>
          <w:sz w:val="24"/>
          <w:szCs w:val="20"/>
          <w:highlight w:val="none"/>
        </w:rPr>
        <w:t xml:space="preserve">日期：_____年______月______日   </w:t>
      </w:r>
      <w:r/>
    </w:p>
    <w:p>
      <w:pPr>
        <w:pStyle w:val="1003"/>
        <w:rPr>
          <w:rFonts w:hint="eastAsia"/>
          <w:color w:val="auto"/>
          <w:highlight w:val="none"/>
        </w:rPr>
      </w:pPr>
      <w:r/>
      <w:bookmarkStart w:id="516" w:name="_Hlt520274407"/>
      <w:r/>
      <w:bookmarkEnd w:id="516"/>
      <w:r/>
      <w:bookmarkStart w:id="517" w:name="_Hlt520271212"/>
      <w:r/>
      <w:bookmarkEnd w:id="517"/>
      <w:r/>
      <w:bookmarkStart w:id="518" w:name="_Hlt520350918"/>
      <w:r/>
      <w:bookmarkEnd w:id="518"/>
      <w:r/>
      <w:bookmarkStart w:id="519" w:name="_Hlt520273711"/>
      <w:r/>
      <w:bookmarkEnd w:id="519"/>
      <w:r/>
      <w:bookmarkStart w:id="520" w:name="_Hlt520274393"/>
      <w:r/>
      <w:bookmarkEnd w:id="520"/>
      <w:r/>
      <w:bookmarkStart w:id="521" w:name="_Hlt520274065"/>
      <w:r/>
      <w:bookmarkEnd w:id="521"/>
      <w:r/>
      <w:bookmarkStart w:id="522" w:name="_Hlt520343000"/>
      <w:r/>
      <w:bookmarkEnd w:id="522"/>
      <w:r/>
      <w:bookmarkStart w:id="523" w:name="_Hlt520343392"/>
      <w:r/>
      <w:bookmarkEnd w:id="523"/>
      <w:r/>
      <w:bookmarkStart w:id="524" w:name="_Hlt520355504"/>
      <w:r/>
      <w:bookmarkEnd w:id="524"/>
      <w:r/>
      <w:bookmarkStart w:id="525" w:name="_Hlt520274121"/>
      <w:r/>
      <w:bookmarkEnd w:id="525"/>
      <w:r/>
      <w:bookmarkStart w:id="526" w:name="_Toc520356218"/>
      <w:r/>
      <w:bookmarkStart w:id="527" w:name="_Toc150774762"/>
      <w:r/>
      <w:bookmarkStart w:id="528" w:name="_Toc265228395"/>
      <w:r/>
      <w:bookmarkStart w:id="529" w:name="_Toc226965830"/>
      <w:r/>
      <w:bookmarkStart w:id="530" w:name="_Toc264969247"/>
      <w:r/>
      <w:bookmarkStart w:id="531" w:name="_Toc480942350"/>
      <w:r/>
      <w:bookmarkStart w:id="532" w:name="_Toc305158899"/>
      <w:r/>
      <w:bookmarkStart w:id="533" w:name="_Toc142311059"/>
      <w:r/>
      <w:bookmarkStart w:id="534" w:name="_Toc305158825"/>
      <w:r/>
      <w:bookmarkStart w:id="535" w:name="_Toc226309801"/>
      <w:r/>
      <w:bookmarkStart w:id="536" w:name="_Toc226337253"/>
      <w:r/>
      <w:bookmarkStart w:id="537" w:name="_Toc226965747"/>
      <w:r/>
      <w:bookmarkStart w:id="538" w:name="_Ref467988705"/>
      <w:r/>
      <w:bookmarkStart w:id="539" w:name="_Toc195842922"/>
      <w:r/>
      <w:bookmarkStart w:id="540" w:name="_Toc150480795"/>
      <w:r/>
      <w:bookmarkStart w:id="541" w:name="_Toc127151557"/>
      <w:r>
        <w:rPr>
          <w:color w:val="auto"/>
          <w:highlight w:val="none"/>
        </w:rPr>
        <w:br w:type="page" w:clear="all"/>
      </w:r>
      <w:r>
        <w:rPr>
          <w:rFonts w:hint="eastAsia"/>
          <w:color w:val="auto"/>
          <w:highlight w:val="none"/>
        </w:rPr>
        <w:t xml:space="preserve">4 供应商管理关系或控股关系信息情况表（实质性格式）</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t xml:space="preserve">供应商管理关系或控股关系信息情况表</w:t>
      </w:r>
      <w:r/>
    </w:p>
    <w:p>
      <w:pPr>
        <w:ind w:firstLine="480"/>
        <w:spacing w:before="156"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10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4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4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4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4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spacing w:line="420" w:lineRule="exac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p>
          <w:p>
            <w:pPr>
              <w:jc w:val="left"/>
              <w:spacing w:line="420" w:lineRule="exac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5"/>
              </w:numPr>
              <w:ind w:firstLine="561"/>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5"/>
              </w:numPr>
              <w:ind w:firstLine="561"/>
              <w:jc w:val="left"/>
              <w:spacing w:line="420" w:lineRule="exact"/>
              <w:rPr>
                <w:rFonts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pStyle w:val="1003"/>
        <w:rPr>
          <w:color w:val="auto"/>
          <w:highlight w:val="none"/>
        </w:rPr>
      </w:pPr>
      <w:r>
        <w:rPr>
          <w:rFonts w:hint="eastAsia"/>
          <w:color w:val="auto"/>
          <w:highlight w:val="none"/>
        </w:rPr>
        <w:br w:type="page" w:clear="all"/>
      </w:r>
      <w:r>
        <w:rPr>
          <w:rFonts w:hint="eastAsia"/>
          <w:color w:val="auto"/>
          <w:highlight w:val="none"/>
        </w:rPr>
        <w:t xml:space="preserve">5 开标一览表</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color w:val="auto"/>
          <w:highlight w:val="none"/>
        </w:rPr>
        <w:t xml:space="preserve">（实质性格式）</w:t>
      </w:r>
      <w:r/>
    </w:p>
    <w:p>
      <w:pPr>
        <w:jc w:val="center"/>
        <w:spacing w:line="360" w:lineRule="auto"/>
        <w:rPr>
          <w:b/>
          <w:color w:val="auto"/>
          <w:sz w:val="36"/>
          <w:szCs w:val="36"/>
          <w:highlight w:val="none"/>
        </w:rPr>
      </w:pPr>
      <w:r/>
      <w:bookmarkStart w:id="542" w:name="_Toc164608827"/>
      <w:r/>
      <w:bookmarkStart w:id="543" w:name="_Toc305158900"/>
      <w:r/>
      <w:bookmarkStart w:id="544" w:name="_Toc264969248"/>
      <w:r/>
      <w:bookmarkStart w:id="545" w:name="_Toc195842923"/>
      <w:r/>
      <w:bookmarkStart w:id="546" w:name="_Toc226965748"/>
      <w:r/>
      <w:bookmarkStart w:id="547" w:name="_Toc305158826"/>
      <w:r/>
      <w:bookmarkStart w:id="548" w:name="_Toc164608672"/>
      <w:r/>
      <w:bookmarkStart w:id="549" w:name="_Toc226309802"/>
      <w:r/>
      <w:bookmarkStart w:id="550" w:name="_Toc265228396"/>
      <w:r/>
      <w:bookmarkStart w:id="551" w:name="_Toc226965831"/>
      <w:r/>
      <w:bookmarkStart w:id="552" w:name="_Toc226337254"/>
      <w:r>
        <w:rPr>
          <w:rFonts w:hint="eastAsia"/>
          <w:b/>
          <w:color w:val="auto"/>
          <w:sz w:val="36"/>
          <w:szCs w:val="36"/>
          <w:highlight w:val="none"/>
        </w:rPr>
        <w:t xml:space="preserve">开标一览表</w:t>
      </w:r>
      <w:bookmarkEnd w:id="542"/>
      <w:r/>
      <w:bookmarkEnd w:id="543"/>
      <w:r/>
      <w:bookmarkEnd w:id="544"/>
      <w:r/>
      <w:bookmarkEnd w:id="545"/>
      <w:r/>
      <w:bookmarkEnd w:id="546"/>
      <w:r/>
      <w:bookmarkEnd w:id="547"/>
      <w:r/>
      <w:bookmarkEnd w:id="548"/>
      <w:r/>
      <w:bookmarkEnd w:id="549"/>
      <w:r/>
      <w:bookmarkEnd w:id="550"/>
      <w:r/>
      <w:bookmarkEnd w:id="551"/>
      <w:r/>
      <w:bookmarkEnd w:id="552"/>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p>
    <w:p>
      <w:pPr>
        <w:ind w:firstLine="6240"/>
        <w:spacing w:line="360" w:lineRule="auto"/>
        <w:tabs>
          <w:tab w:val="left" w:pos="1800" w:leader="none"/>
          <w:tab w:val="left" w:pos="5580" w:leader="none"/>
        </w:tabs>
        <w:rPr>
          <w:color w:val="auto"/>
          <w:sz w:val="24"/>
          <w:highlight w:val="none"/>
          <w:u w:val="single"/>
        </w:rPr>
      </w:pPr>
      <w:r>
        <w:rPr>
          <w:color w:val="auto"/>
          <w:sz w:val="24"/>
          <w:highlight w:val="none"/>
        </w:rPr>
        <w:t xml:space="preserve">报价单位：人民币元</w:t>
      </w:r>
      <w:r/>
    </w:p>
    <w:tbl>
      <w:tblPr>
        <w:tblStyle w:val="101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6474"/>
      </w:tblGrid>
      <w:tr>
        <w:trPr>
          <w:jc w:val="center"/>
          <w:trHeight w:val="1130"/>
        </w:trPr>
        <w:tc>
          <w:tcPr>
            <w:tcW w:w="120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投标报价</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（人民币：元）</w:t>
            </w:r>
            <w:r/>
          </w:p>
        </w:tc>
        <w:tc>
          <w:tcPr>
            <w:tcW w:w="379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大写：人民币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jc w:val="center"/>
          <w:trHeight w:val="1303"/>
        </w:trPr>
        <w:tc>
          <w:tcPr>
            <w:tcW w:w="120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供货期</w:t>
            </w:r>
            <w:r/>
          </w:p>
        </w:tc>
        <w:tc>
          <w:tcPr>
            <w:tcW w:w="379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26"/>
        </w:trPr>
        <w:tc>
          <w:tcPr>
            <w:tcW w:w="1201" w:type="pct"/>
            <w:vAlign w:val="center"/>
            <w:textDirection w:val="lrTb"/>
            <w:noWrap w:val="false"/>
          </w:tcPr>
          <w:p>
            <w:pPr>
              <w:pStyle w:val="1043"/>
              <w:ind w:left="0" w:firstLine="0"/>
              <w:jc w:val="center"/>
              <w:spacing w:after="0" w:line="400" w:lineRule="exact"/>
              <w:rPr>
                <w:rFonts w:hint="eastAsia" w:ascii="宋体" w:hAnsi="宋体" w:cs="宋体"/>
                <w:color w:val="auto"/>
                <w:szCs w:val="24"/>
                <w:highlight w:val="none"/>
              </w:rPr>
            </w:pPr>
            <w:r>
              <w:rPr>
                <w:rFonts w:hint="eastAsia" w:ascii="宋体" w:hAnsi="宋体" w:cs="宋体"/>
                <w:b/>
                <w:bCs/>
                <w:color w:val="auto"/>
                <w:szCs w:val="24"/>
                <w:highlight w:val="none"/>
              </w:rPr>
              <w:t xml:space="preserve">免费质保期</w:t>
            </w:r>
            <w:r/>
          </w:p>
        </w:tc>
        <w:tc>
          <w:tcPr>
            <w:tcW w:w="379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rPr>
          <w:color w:val="auto"/>
          <w:sz w:val="24"/>
          <w:highlight w:val="none"/>
        </w:rPr>
      </w:pPr>
      <w:r>
        <w:rPr>
          <w:color w:val="auto"/>
          <w:sz w:val="24"/>
          <w:highlight w:val="none"/>
        </w:rPr>
      </w:r>
      <w:r/>
    </w:p>
    <w:p>
      <w:pPr>
        <w:jc w:val="left"/>
        <w:spacing w:line="400" w:lineRule="exact"/>
        <w:rPr>
          <w:rFonts w:ascii="宋体" w:hAnsi="宋体" w:cs="宋体"/>
          <w:color w:val="auto"/>
          <w:sz w:val="24"/>
          <w:szCs w:val="20"/>
          <w:highlight w:val="none"/>
        </w:rPr>
      </w:pPr>
      <w:r>
        <w:rPr>
          <w:rFonts w:hint="eastAsia" w:ascii="宋体" w:hAnsi="宋体" w:cs="宋体"/>
          <w:color w:val="auto"/>
          <w:sz w:val="24"/>
          <w:highlight w:val="none"/>
        </w:rPr>
        <w:t xml:space="preserve">注：1</w:t>
      </w:r>
      <w:r>
        <w:rPr>
          <w:rFonts w:hint="eastAsia" w:ascii="宋体" w:hAnsi="宋体" w:cs="宋体"/>
          <w:color w:val="auto"/>
          <w:sz w:val="24"/>
          <w:szCs w:val="20"/>
          <w:highlight w:val="none"/>
        </w:rPr>
        <w:t xml:space="preserve">.此表中，每包的投标报价应和《投标分项报价表》中的总价相一致。</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pStyle w:val="1003"/>
        <w:rPr>
          <w:color w:val="auto"/>
          <w:highlight w:val="none"/>
        </w:rPr>
      </w:pPr>
      <w:r/>
      <w:bookmarkStart w:id="553" w:name="_Toc264969249"/>
      <w:r/>
      <w:bookmarkStart w:id="554" w:name="_Toc150774763"/>
      <w:r/>
      <w:bookmarkStart w:id="555" w:name="_Toc150480796"/>
      <w:r/>
      <w:bookmarkStart w:id="556" w:name="_Toc265228397"/>
      <w:r/>
      <w:bookmarkStart w:id="557" w:name="_Toc226309803"/>
      <w:r/>
      <w:bookmarkStart w:id="558" w:name="_Toc305158901"/>
      <w:r/>
      <w:bookmarkStart w:id="559" w:name="_Toc142311060"/>
      <w:r/>
      <w:bookmarkStart w:id="560" w:name="_Toc305158827"/>
      <w:r/>
      <w:bookmarkStart w:id="561" w:name="_Toc226965749"/>
      <w:r/>
      <w:bookmarkStart w:id="562" w:name="_Toc226337255"/>
      <w:r/>
      <w:bookmarkStart w:id="563" w:name="_Toc226965832"/>
      <w:r/>
      <w:bookmarkStart w:id="564" w:name="_Toc195842924"/>
      <w:r/>
      <w:bookmarkStart w:id="565" w:name="_Toc127151558"/>
      <w:r>
        <w:rPr>
          <w:color w:val="auto"/>
          <w:highlight w:val="none"/>
        </w:rPr>
        <w:br w:type="page" w:clear="all"/>
      </w:r>
      <w:r>
        <w:rPr>
          <w:rFonts w:hint="eastAsia"/>
          <w:color w:val="auto"/>
          <w:highlight w:val="none"/>
        </w:rPr>
        <w:t xml:space="preserve">6 投标分项报价表（实质性格式）</w:t>
      </w:r>
      <w:r/>
    </w:p>
    <w:p>
      <w:pPr>
        <w:jc w:val="center"/>
        <w:spacing w:line="360" w:lineRule="auto"/>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 项目名称：__________报价单位：人民币元</w:t>
      </w:r>
      <w:r/>
    </w:p>
    <w:tbl>
      <w:tblPr>
        <w:tblStyle w:val="101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373"/>
        <w:gridCol w:w="646"/>
        <w:gridCol w:w="720"/>
        <w:gridCol w:w="606"/>
        <w:gridCol w:w="606"/>
        <w:gridCol w:w="698"/>
        <w:gridCol w:w="698"/>
        <w:gridCol w:w="644"/>
        <w:gridCol w:w="649"/>
        <w:gridCol w:w="1261"/>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361" w:type="pct"/>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06" w:type="pct"/>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379" w:type="pct"/>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品牌型号</w:t>
            </w:r>
            <w:r/>
          </w:p>
        </w:tc>
        <w:tc>
          <w:tcPr>
            <w:tcBorders>
              <w:top w:val="single" w:color="auto" w:sz="4" w:space="0"/>
              <w:left w:val="single" w:color="auto" w:sz="4" w:space="0"/>
              <w:right w:val="single" w:color="auto" w:sz="4" w:space="0"/>
            </w:tcBorders>
            <w:tcW w:w="423" w:type="pct"/>
            <w:vAlign w:val="center"/>
            <w:vMerge w:val="restart"/>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制造商名称</w:t>
            </w:r>
            <w:r/>
          </w:p>
        </w:tc>
        <w:tc>
          <w:tcPr>
            <w:tcBorders>
              <w:top w:val="single" w:color="auto" w:sz="4" w:space="0"/>
              <w:left w:val="single" w:color="auto" w:sz="4" w:space="0"/>
              <w:right w:val="single" w:color="auto" w:sz="4" w:space="0"/>
            </w:tcBorders>
            <w:tcW w:w="356" w:type="pct"/>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Borders>
              <w:top w:val="single" w:color="auto" w:sz="4" w:space="0"/>
              <w:left w:val="single" w:color="auto" w:sz="4" w:space="0"/>
              <w:bottom w:val="single" w:color="auto" w:sz="4" w:space="0"/>
              <w:right w:val="single" w:color="auto" w:sz="4" w:space="0"/>
            </w:tcBorders>
            <w:tcW w:w="356" w:type="pct"/>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技术参数</w:t>
            </w:r>
            <w:r/>
          </w:p>
        </w:tc>
        <w:tc>
          <w:tcPr>
            <w:tcBorders>
              <w:top w:val="single" w:color="auto" w:sz="4" w:space="0"/>
              <w:left w:val="single" w:color="auto" w:sz="4" w:space="0"/>
              <w:right w:val="single" w:color="auto" w:sz="4" w:space="0"/>
            </w:tcBorders>
            <w:tcW w:w="410" w:type="pct"/>
            <w:vAlign w:val="center"/>
            <w:vMerge w:val="restart"/>
            <w:textDirection w:val="lrTb"/>
            <w:noWrap w:val="false"/>
          </w:tcPr>
          <w:p>
            <w:pPr>
              <w:jc w:val="center"/>
              <w:widowControl/>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410" w:type="pct"/>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gridSpan w:val="2"/>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投标价格（元）</w:t>
            </w:r>
            <w:r/>
          </w:p>
        </w:tc>
        <w:tc>
          <w:tcPr>
            <w:tcBorders>
              <w:top w:val="single" w:color="auto" w:sz="4" w:space="0"/>
              <w:left w:val="single" w:color="auto" w:sz="4" w:space="0"/>
              <w:right w:val="single" w:color="auto" w:sz="4" w:space="0"/>
            </w:tcBorders>
            <w:tcW w:w="735" w:type="pct"/>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cantSplit/>
          <w:jc w:val="center"/>
          <w:trHeight w:val="567"/>
          <w:tblHeader/>
        </w:trPr>
        <w:tc>
          <w:tcPr>
            <w:tcBorders>
              <w:top w:val="single" w:color="auto" w:sz="4" w:space="0"/>
              <w:left w:val="single" w:color="auto" w:sz="4" w:space="0"/>
              <w:bottom w:val="single" w:color="auto" w:sz="4" w:space="0"/>
              <w:right w:val="single" w:color="auto" w:sz="4" w:space="0"/>
            </w:tcBorders>
            <w:tcW w:w="361"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6"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423"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356"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410"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合价</w:t>
            </w:r>
            <w:r/>
          </w:p>
        </w:tc>
        <w:tc>
          <w:tcPr>
            <w:tcBorders>
              <w:left w:val="single" w:color="auto" w:sz="4" w:space="0"/>
              <w:bottom w:val="single" w:color="auto" w:sz="4" w:space="0"/>
              <w:right w:val="single" w:color="auto" w:sz="4" w:space="0"/>
            </w:tcBorders>
            <w:tcW w:w="735" w:type="pct"/>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eastAsia" w:ascii="宋体" w:hAnsi="宋体" w:cs="宋体"/>
                <w:color w:val="auto"/>
                <w:sz w:val="24"/>
                <w:highlight w:val="none"/>
              </w:rPr>
            </w:pPr>
            <w:r/>
            <w:bookmarkStart w:id="566" w:name="OLE_LINK437"/>
            <w:r/>
            <w:bookmarkStart w:id="567" w:name="OLE_LINK438"/>
            <w:r/>
            <w:bookmarkStart w:id="568" w:name="_Hlk224918472"/>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bookmarkEnd w:id="566"/>
            <w:r/>
            <w:bookmarkEnd w:id="567"/>
            <w:r/>
            <w:bookmarkEnd w:id="568"/>
            <w:r/>
            <w:r/>
          </w:p>
        </w:tc>
      </w:tr>
      <w:tr>
        <w:trPr>
          <w:jc w:val="center"/>
          <w:trHeight w:val="56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合计</w:t>
            </w:r>
            <w:r/>
          </w:p>
        </w:tc>
        <w:tc>
          <w:tcPr>
            <w:gridSpan w:val="9"/>
            <w:tcBorders>
              <w:top w:val="single" w:color="auto" w:sz="4" w:space="0"/>
              <w:left w:val="single" w:color="auto" w:sz="4" w:space="0"/>
              <w:bottom w:val="single" w:color="auto" w:sz="4" w:space="0"/>
              <w:right w:val="single" w:color="auto" w:sz="4" w:space="0"/>
            </w:tcBorders>
            <w:tcW w:w="3832"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大写：               人民币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jc w:val="center"/>
          <w:trHeight w:val="567"/>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本采购包中提供的符合本国产品标准的产品成本之和占该采购包提供的全部产品成本之和的比例为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tc>
      </w:tr>
    </w:tbl>
    <w:p>
      <w:pPr>
        <w:jc w:val="left"/>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注：1.，本表应按包分别填写。</w:t>
      </w:r>
      <w:r/>
    </w:p>
    <w:p>
      <w:pPr>
        <w:ind w:firstLine="422"/>
        <w:tabs>
          <w:tab w:val="left" w:pos="1800" w:leader="none"/>
          <w:tab w:val="left" w:pos="5580" w:leader="none"/>
        </w:tabs>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2.如果不提供分项报价将视为没有实质性响应招标文件。</w:t>
      </w:r>
      <w:r/>
    </w:p>
    <w:p>
      <w:pPr>
        <w:ind w:firstLine="422"/>
        <w:tabs>
          <w:tab w:val="left" w:pos="1800" w:leader="none"/>
          <w:tab w:val="left" w:pos="5580" w:leader="none"/>
        </w:tabs>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3.本表可以按照项目配置情况增加分项内容。</w:t>
      </w:r>
      <w:r/>
    </w:p>
    <w:p>
      <w:pPr>
        <w:ind w:firstLine="420"/>
        <w:tabs>
          <w:tab w:val="left" w:pos="1800" w:leader="none"/>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4.上述各项的详细规格、技术参数如表格中填写不下的，可以逐项另页描述。</w:t>
      </w:r>
      <w:r/>
    </w:p>
    <w:p>
      <w:pPr>
        <w:ind w:firstLine="420"/>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00" w:lineRule="exact"/>
        <w:rPr>
          <w:color w:val="auto"/>
          <w:sz w:val="24"/>
          <w:highlight w:val="none"/>
        </w:rPr>
      </w:pPr>
      <w:r>
        <w:rPr>
          <w:color w:val="auto"/>
          <w:sz w:val="24"/>
          <w:highlight w:val="none"/>
        </w:rPr>
      </w:r>
      <w:r/>
    </w:p>
    <w:p>
      <w:pPr>
        <w:spacing w:line="400" w:lineRule="exact"/>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line="400" w:lineRule="exact"/>
        <w:rPr>
          <w:color w:val="auto"/>
          <w:sz w:val="24"/>
          <w:highlight w:val="none"/>
          <w:lang w:val="zh-CN"/>
        </w:rPr>
      </w:pPr>
      <w:r>
        <w:rPr>
          <w:color w:val="auto"/>
          <w:sz w:val="24"/>
          <w:szCs w:val="20"/>
          <w:highlight w:val="none"/>
        </w:rPr>
        <w:t xml:space="preserve">日期：_____年______月______日   </w:t>
      </w:r>
      <w:r/>
    </w:p>
    <w:p>
      <w:pPr>
        <w:pStyle w:val="1003"/>
        <w:rPr>
          <w:color w:val="auto"/>
          <w:sz w:val="24"/>
          <w:szCs w:val="20"/>
          <w:highlight w:val="none"/>
        </w:rPr>
      </w:pPr>
      <w:r>
        <w:rPr>
          <w:color w:val="auto"/>
          <w:highlight w:val="none"/>
        </w:rPr>
        <w:br w:type="page" w:clear="all"/>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Start w:id="569" w:name="_Toc226309806"/>
      <w:r/>
      <w:bookmarkStart w:id="570" w:name="_Toc142311062"/>
      <w:r/>
      <w:bookmarkStart w:id="571" w:name="_Toc150774765"/>
      <w:r/>
      <w:bookmarkStart w:id="572" w:name="_Toc127151562"/>
      <w:r/>
      <w:bookmarkStart w:id="573" w:name="_Toc195842927"/>
      <w:r/>
      <w:bookmarkStart w:id="574" w:name="_Toc264969252"/>
      <w:r/>
      <w:bookmarkStart w:id="575" w:name="_Toc305158830"/>
      <w:r/>
      <w:bookmarkStart w:id="576" w:name="_Toc226337258"/>
      <w:r/>
      <w:bookmarkStart w:id="577" w:name="_Toc226965752"/>
      <w:r/>
      <w:bookmarkStart w:id="578" w:name="_Toc305158904"/>
      <w:r/>
      <w:bookmarkStart w:id="579" w:name="_Toc150480798"/>
      <w:r/>
      <w:bookmarkStart w:id="580" w:name="_Toc265228400"/>
      <w:r/>
      <w:bookmarkStart w:id="581" w:name="_Toc226965835"/>
      <w:r/>
      <w:bookmarkStart w:id="582" w:name="_Toc305158903"/>
      <w:r/>
      <w:bookmarkStart w:id="583" w:name="_Toc226337257"/>
      <w:r/>
      <w:bookmarkStart w:id="584" w:name="_Toc195842926"/>
      <w:r/>
      <w:bookmarkStart w:id="585" w:name="_Toc127151561"/>
      <w:r/>
      <w:bookmarkStart w:id="586" w:name="_Toc305158829"/>
      <w:r/>
      <w:bookmarkStart w:id="587" w:name="_Toc142311061"/>
      <w:r/>
      <w:bookmarkStart w:id="588" w:name="_Toc150480797"/>
      <w:r/>
      <w:bookmarkStart w:id="589" w:name="_Toc226965751"/>
      <w:r/>
      <w:bookmarkStart w:id="590" w:name="_Toc226309805"/>
      <w:r/>
      <w:bookmarkStart w:id="591" w:name="_Toc265228399"/>
      <w:r/>
      <w:bookmarkStart w:id="592" w:name="_Toc150774764"/>
      <w:r/>
      <w:bookmarkStart w:id="593" w:name="_Toc226965834"/>
      <w:r/>
      <w:bookmarkStart w:id="594" w:name="_Toc264969251"/>
      <w:r>
        <w:rPr>
          <w:rFonts w:hint="eastAsia"/>
          <w:color w:val="auto"/>
          <w:highlight w:val="none"/>
          <w:lang w:val="en-US" w:eastAsia="zh-CN"/>
        </w:rPr>
        <w:t xml:space="preserve">7</w:t>
      </w:r>
      <w:r>
        <w:rPr>
          <w:rFonts w:hint="eastAsia"/>
          <w:color w:val="auto"/>
          <w:highlight w:val="none"/>
        </w:rPr>
        <w:t xml:space="preserve"> 合同条款偏离表</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hint="eastAsia"/>
          <w:color w:val="auto"/>
          <w:highlight w:val="none"/>
        </w:rPr>
        <w:t xml:space="preserve">（实质性格式）</w:t>
      </w:r>
      <w:r/>
    </w:p>
    <w:p>
      <w:pPr>
        <w:jc w:val="center"/>
        <w:spacing w:line="360" w:lineRule="auto"/>
        <w:rPr>
          <w:b/>
          <w:color w:val="auto"/>
          <w:sz w:val="36"/>
          <w:szCs w:val="36"/>
          <w:highlight w:val="none"/>
        </w:rPr>
      </w:pPr>
      <w:r>
        <w:rPr>
          <w:rFonts w:hint="eastAsia"/>
          <w:b/>
          <w:color w:val="auto"/>
          <w:sz w:val="36"/>
          <w:szCs w:val="36"/>
          <w:highlight w:val="none"/>
        </w:rPr>
        <w:t xml:space="preserve">合同条款偏离表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0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214"/>
        <w:gridCol w:w="1785"/>
        <w:gridCol w:w="1786"/>
        <w:gridCol w:w="2172"/>
        <w:gridCol w:w="755"/>
      </w:tblGrid>
      <w:tr>
        <w:trPr>
          <w:jc w:val="center"/>
          <w:trHeight w:val="930"/>
        </w:trPr>
        <w:tc>
          <w:tcPr>
            <w:gridSpan w:val="6"/>
            <w:tcW w:w="5000" w:type="pct"/>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对本项目合同条款的偏离情况（请进行勾选）：</w:t>
            </w:r>
            <w:r/>
          </w:p>
          <w:p>
            <w:pPr>
              <w:jc w:val="left"/>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p>
        </w:tc>
      </w:tr>
      <w:tr>
        <w:trPr>
          <w:jc w:val="center"/>
          <w:trHeight w:val="930"/>
        </w:trPr>
        <w:tc>
          <w:tcPr>
            <w:tcW w:w="47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712"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条目号（页码）</w:t>
            </w:r>
            <w:r/>
          </w:p>
        </w:tc>
        <w:tc>
          <w:tcPr>
            <w:tcW w:w="104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p>
        </w:tc>
        <w:tc>
          <w:tcPr>
            <w:tcW w:w="1048"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127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438"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Height w:val="930"/>
        </w:trPr>
        <w:tc>
          <w:tcPr>
            <w:tcW w:w="47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1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7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7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1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7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7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1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7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7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W w:w="71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7"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7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3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对合同条款中的所有要求，除本表所列明的所有偏离外，均视作供应商已对之理解和响应。</w:t>
      </w:r>
      <w:r/>
    </w:p>
    <w:p>
      <w:pPr>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 “偏离情况”列应据实填写“正偏离”、“负偏离”或“无偏离”。</w:t>
      </w:r>
      <w:r/>
    </w:p>
    <w:p>
      <w:pPr>
        <w:spacing w:line="400" w:lineRule="exact"/>
        <w:rPr>
          <w:rFonts w:ascii="宋体" w:hAnsi="宋体" w:cs="宋体"/>
          <w:color w:val="auto"/>
          <w:sz w:val="24"/>
          <w:szCs w:val="20"/>
          <w:highlight w:val="none"/>
        </w:rPr>
      </w:pPr>
      <w:r>
        <w:rPr>
          <w:rFonts w:ascii="宋体" w:hAnsi="宋体" w:cs="宋体"/>
          <w:color w:val="auto"/>
          <w:sz w:val="24"/>
          <w:szCs w:val="20"/>
          <w:highlight w:val="none"/>
        </w:rPr>
      </w:r>
      <w:r/>
    </w:p>
    <w:p>
      <w:pPr>
        <w:spacing w:line="40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spacing w:line="400" w:lineRule="exact"/>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pStyle w:val="1003"/>
        <w:rPr>
          <w:color w:val="auto"/>
          <w:highlight w:val="none"/>
        </w:rPr>
      </w:pPr>
      <w:r>
        <w:rPr>
          <w:color w:val="auto"/>
          <w:highlight w:val="none"/>
        </w:rPr>
        <w:br w:type="page" w:clear="all"/>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hint="eastAsia"/>
          <w:color w:val="auto"/>
          <w:highlight w:val="none"/>
          <w:lang w:val="en-US" w:eastAsia="zh-CN"/>
        </w:rPr>
        <w:t xml:space="preserve">8</w:t>
      </w:r>
      <w:r>
        <w:rPr>
          <w:rFonts w:hint="eastAsia"/>
          <w:color w:val="auto"/>
          <w:highlight w:val="none"/>
        </w:rPr>
        <w:t xml:space="preserve"> 采购需求偏离表（实质性格式）</w:t>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w:t>
      </w:r>
      <w:r/>
    </w:p>
    <w:tbl>
      <w:tblPr>
        <w:tblStyle w:val="10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976"/>
        <w:gridCol w:w="3353"/>
        <w:gridCol w:w="1535"/>
        <w:gridCol w:w="871"/>
        <w:gridCol w:w="1122"/>
      </w:tblGrid>
      <w:tr>
        <w:trPr>
          <w:jc w:val="center"/>
          <w:trHeight w:val="454"/>
          <w:tblHeader/>
        </w:trPr>
        <w:tc>
          <w:tcPr>
            <w:tcW w:w="389"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573"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W w:w="1968"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招标文件要求</w:t>
            </w:r>
            <w:r/>
          </w:p>
        </w:tc>
        <w:tc>
          <w:tcPr>
            <w:tcW w:w="90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投标响应内容</w:t>
            </w:r>
            <w:r/>
          </w:p>
        </w:tc>
        <w:tc>
          <w:tcPr>
            <w:tcW w:w="51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偏离情况</w:t>
            </w:r>
            <w:r/>
          </w:p>
        </w:tc>
        <w:tc>
          <w:tcPr>
            <w:tcW w:w="65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必要的证明材料所在页码</w:t>
            </w:r>
            <w:r/>
          </w:p>
        </w:tc>
      </w:tr>
      <w:tr>
        <w:trPr>
          <w:jc w:val="center"/>
          <w:trHeight w:val="454"/>
        </w:trPr>
        <w:tc>
          <w:tcPr>
            <w:gridSpan w:val="6"/>
            <w:tcW w:w="5000"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t xml:space="preserve">”条款</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（实质性响应条款，如有负偏离，投标文件将作为无效投标处理）</w:t>
            </w:r>
            <w:r/>
          </w:p>
        </w:tc>
      </w:tr>
      <w:tr>
        <w:trPr>
          <w:jc w:val="center"/>
          <w:trHeight w:val="454"/>
        </w:trPr>
        <w:tc>
          <w:tcPr>
            <w:tcW w:w="389"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57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68"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51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65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454"/>
        </w:trPr>
        <w:tc>
          <w:tcPr>
            <w:tcW w:w="389"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W w:w="573" w:type="pct"/>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r>
            <w:r/>
          </w:p>
        </w:tc>
        <w:tc>
          <w:tcPr>
            <w:tcW w:w="1968"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51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65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454"/>
        </w:trPr>
        <w:tc>
          <w:tcPr>
            <w:gridSpan w:val="6"/>
            <w:tcW w:w="5000"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”技术参数条款</w:t>
            </w:r>
            <w:r/>
          </w:p>
        </w:tc>
      </w:tr>
      <w:tr>
        <w:trPr>
          <w:jc w:val="center"/>
          <w:trHeight w:val="454"/>
        </w:trPr>
        <w:tc>
          <w:tcPr>
            <w:tcW w:w="38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7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68" w:type="pct"/>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5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4"/>
        </w:trPr>
        <w:tc>
          <w:tcPr>
            <w:tcW w:w="38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7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68"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5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4"/>
        </w:trPr>
        <w:tc>
          <w:tcPr>
            <w:tcW w:w="38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7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68"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5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4"/>
        </w:trPr>
        <w:tc>
          <w:tcPr>
            <w:gridSpan w:val="6"/>
            <w:tcW w:w="500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未标注符号的技术参数（如有偏离，请将偏离情况逐一列出）</w:t>
            </w:r>
            <w:r/>
          </w:p>
        </w:tc>
      </w:tr>
      <w:tr>
        <w:trPr>
          <w:jc w:val="center"/>
          <w:trHeight w:val="454"/>
        </w:trPr>
        <w:tc>
          <w:tcPr>
            <w:tcW w:w="38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73" w:type="pct"/>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r>
            <w:r/>
          </w:p>
        </w:tc>
        <w:tc>
          <w:tcPr>
            <w:tcW w:w="1968"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5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4"/>
        </w:trPr>
        <w:tc>
          <w:tcPr>
            <w:tcW w:w="38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73" w:type="pct"/>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r>
            <w:r/>
          </w:p>
        </w:tc>
        <w:tc>
          <w:tcPr>
            <w:tcW w:w="1968"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5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4"/>
        </w:trPr>
        <w:tc>
          <w:tcPr>
            <w:tcW w:w="389"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W w:w="573" w:type="pct"/>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r>
            <w:r/>
          </w:p>
        </w:tc>
        <w:tc>
          <w:tcPr>
            <w:tcW w:w="1968"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90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5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spacing w:line="400" w:lineRule="exact"/>
        <w:tabs>
          <w:tab w:val="left" w:pos="1800" w:leader="none"/>
          <w:tab w:val="left" w:pos="55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jc w:val="left"/>
        <w:spacing w:line="400" w:lineRule="exact"/>
        <w:tabs>
          <w:tab w:val="left" w:pos="1800" w:leader="none"/>
          <w:tab w:val="left" w:pos="55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1.对招标文件中的所有商务、技术要求，除本表所列明的所有偏离外，均视作供应商已对之理解和响应。</w:t>
      </w:r>
      <w:r/>
    </w:p>
    <w:p>
      <w:pPr>
        <w:jc w:val="left"/>
        <w:spacing w:line="400" w:lineRule="exact"/>
        <w:tabs>
          <w:tab w:val="left" w:pos="1800" w:leader="none"/>
          <w:tab w:val="left" w:pos="55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2.偏离包括正、负偏离，正偏离指供应商的响应高于招标文件要求，负偏离指供应商的响应低于招标文件要求。</w:t>
      </w:r>
      <w:r/>
    </w:p>
    <w:p>
      <w:pPr>
        <w:jc w:val="left"/>
        <w:spacing w:line="400" w:lineRule="exact"/>
        <w:tabs>
          <w:tab w:val="left" w:pos="1800" w:leader="none"/>
          <w:tab w:val="left" w:pos="55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3.证明材料的有效性由评标小组综合判断是否认可。若投标人未根据自身产品实际情况进行响应，而是简单复制粘贴招标文件中所有技术参数，可视为‌缺乏实质性内容‌或‌虚假响应‌，投标文件将作为无效投标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spacing w:line="400" w:lineRule="exact"/>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pStyle w:val="1003"/>
        <w:rPr>
          <w:color w:val="auto"/>
          <w:highlight w:val="none"/>
        </w:rPr>
      </w:pPr>
      <w:r>
        <w:rPr>
          <w:rFonts w:hint="eastAsia"/>
          <w:color w:val="auto"/>
          <w:highlight w:val="none"/>
        </w:rPr>
        <w:br w:type="page" w:clear="all"/>
      </w:r>
      <w:r>
        <w:rPr>
          <w:rFonts w:hint="eastAsia"/>
          <w:color w:val="auto"/>
          <w:highlight w:val="none"/>
          <w:lang w:val="en-US" w:eastAsia="zh-CN"/>
        </w:rPr>
        <w:t xml:space="preserve">9</w:t>
      </w:r>
      <w:r>
        <w:rPr>
          <w:rFonts w:hint="eastAsia"/>
          <w:color w:val="auto"/>
          <w:highlight w:val="none"/>
        </w:rPr>
        <w:t xml:space="preserve"> 中小企业声明函</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bookmarkStart w:id="595" w:name="OLE_LINK427"/>
      <w:r/>
      <w:bookmarkStart w:id="596" w:name="OLE_LINK428"/>
      <w:r>
        <w:rPr>
          <w:rFonts w:hint="eastAsia" w:ascii="宋体" w:hAnsi="宋体" w:cs="宋体"/>
          <w:color w:val="auto"/>
          <w:sz w:val="24"/>
          <w:highlight w:val="none"/>
        </w:rPr>
        <w:t xml:space="preserve">https://baosong.miit.gov.cn/ScaleTest</w:t>
      </w:r>
      <w:bookmarkEnd w:id="595"/>
      <w:r/>
      <w:bookmarkEnd w:id="596"/>
      <w:r>
        <w:rPr>
          <w:rFonts w:hint="eastAsia" w:ascii="宋体" w:hAnsi="宋体" w:cs="宋体"/>
          <w:color w:val="auto"/>
          <w:sz w:val="24"/>
          <w:highlight w:val="none"/>
        </w:rPr>
        <w:t xml:space="preserve">）</w:t>
      </w:r>
      <w:r/>
    </w:p>
    <w:p>
      <w:pPr>
        <w:spacing w:line="360" w:lineRule="auto"/>
        <w:tabs>
          <w:tab w:val="left" w:pos="5580" w:leader="none"/>
        </w:tabs>
        <w:rPr>
          <w:rFonts w:ascii="宋体" w:hAnsi="宋体" w:cs="宋体"/>
          <w:b/>
          <w:color w:val="auto"/>
          <w:sz w:val="24"/>
          <w:highlight w:val="none"/>
        </w:rPr>
      </w:pPr>
      <w:r>
        <w:rPr>
          <w:rFonts w:hint="eastAsia" w:ascii="宋体" w:hAnsi="宋体" w:cs="宋体"/>
          <w:color w:val="auto"/>
          <w:sz w:val="24"/>
          <w:highlight w:val="none"/>
        </w:rPr>
        <w:t xml:space="preserve">6）</w:t>
      </w:r>
      <w:r>
        <w:rPr>
          <w:rFonts w:hint="eastAsia" w:ascii="宋体" w:hAnsi="宋体" w:cs="宋体"/>
          <w:b/>
          <w:color w:val="auto"/>
          <w:sz w:val="24"/>
          <w:highlight w:val="none"/>
        </w:rPr>
        <w:t xml:space="preserve">在货物采购项目中，供应商提供的货物既有中型企业制造货物，也有小微企业制造货物的，不享受小微企业扶持政策，不予价格扣除。</w:t>
      </w:r>
      <w:r/>
    </w:p>
    <w:p>
      <w:pPr>
        <w:spacing w:line="360" w:lineRule="auto"/>
        <w:tabs>
          <w:tab w:val="left" w:pos="5580" w:leader="none"/>
        </w:tabs>
        <w:rPr>
          <w:rFonts w:ascii="宋体" w:hAnsi="宋体" w:cs="宋体"/>
          <w:b/>
          <w:color w:val="auto"/>
          <w:sz w:val="24"/>
          <w:highlight w:val="none"/>
        </w:rPr>
      </w:pPr>
      <w:r>
        <w:rPr>
          <w:rFonts w:hint="eastAsia" w:ascii="宋体" w:hAnsi="宋体" w:cs="宋体"/>
          <w:b/>
          <w:color w:val="auto"/>
          <w:sz w:val="24"/>
          <w:highlight w:val="none"/>
        </w:rPr>
        <w:t xml:space="preserve">7）小微企业未提供声明函的，价格分评审将不予价格扣除。</w:t>
      </w:r>
      <w:r/>
    </w:p>
    <w:p>
      <w:pPr>
        <w:jc w:val="left"/>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8）填写请参考“常州市政府采购中心关于规范填写《中小企业声明函》的温馨提示”（网址：</w:t>
      </w:r>
      <w:bookmarkStart w:id="597" w:name="OLE_LINK414"/>
      <w:r>
        <w:rPr>
          <w:rFonts w:hint="eastAsia" w:ascii="宋体" w:hAnsi="宋体"/>
          <w:b/>
          <w:color w:val="auto"/>
          <w:sz w:val="24"/>
          <w:highlight w:val="none"/>
        </w:rPr>
        <w:t xml:space="preserve">http://zfcg.changzhou.gov.cn/html/ns/tzgg/980332060316367.html</w:t>
      </w:r>
      <w:bookmarkEnd w:id="597"/>
      <w:r>
        <w:rPr>
          <w:rFonts w:hint="eastAsia" w:ascii="宋体" w:hAnsi="宋体"/>
          <w:b/>
          <w:color w:val="auto"/>
          <w:sz w:val="24"/>
          <w:highlight w:val="none"/>
        </w:rPr>
        <w:t xml:space="preserve">）</w:t>
      </w:r>
      <w:r/>
    </w:p>
    <w:p>
      <w:pPr>
        <w:jc w:val="left"/>
        <w:widowControl/>
        <w:rPr>
          <w:b/>
          <w:bCs/>
          <w:color w:val="auto"/>
          <w:sz w:val="24"/>
          <w:highlight w:val="none"/>
        </w:rPr>
      </w:pPr>
      <w:r>
        <w:rPr>
          <w:b/>
          <w:bCs/>
          <w:color w:val="auto"/>
          <w:sz w:val="24"/>
          <w:highlight w:val="none"/>
        </w:rPr>
        <w:br w:type="page" w:clear="all"/>
      </w:r>
      <w:r/>
    </w:p>
    <w:p>
      <w:pPr>
        <w:jc w:val="center"/>
        <w:spacing w:before="240" w:after="240" w:line="360" w:lineRule="auto"/>
        <w:rPr>
          <w:b/>
          <w:color w:val="auto"/>
          <w:sz w:val="36"/>
          <w:szCs w:val="36"/>
          <w:highlight w:val="none"/>
        </w:rPr>
      </w:pPr>
      <w:r>
        <w:rPr>
          <w:b/>
          <w:bCs/>
          <w:color w:val="auto"/>
          <w:sz w:val="36"/>
          <w:szCs w:val="36"/>
          <w:highlight w:val="none"/>
        </w:rPr>
        <w:t xml:space="preserve">中小企业声明函（货物）格式</w:t>
      </w:r>
      <w:r/>
    </w:p>
    <w:p>
      <w:pPr>
        <w:ind w:left="220" w:right="415" w:firstLine="64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w:t>
      </w:r>
      <w:bookmarkStart w:id="598" w:name="OLE_LINK355"/>
      <w:r/>
      <w:bookmarkStart w:id="599" w:name="OLE_LINK413"/>
      <w:r>
        <w:rPr>
          <w:rFonts w:hint="eastAsia" w:ascii="宋体" w:hAnsi="宋体" w:cs="宋体"/>
          <w:color w:val="auto"/>
          <w:sz w:val="24"/>
          <w:highlight w:val="none"/>
        </w:rPr>
        <w:t xml:space="preserve">（联合体</w:t>
      </w:r>
      <w:bookmarkEnd w:id="598"/>
      <w:r/>
      <w:bookmarkEnd w:id="599"/>
      <w:r>
        <w:rPr>
          <w:rFonts w:hint="eastAsia" w:ascii="宋体" w:hAnsi="宋体" w:cs="宋体"/>
          <w:color w:val="auto"/>
          <w:sz w:val="24"/>
          <w:highlight w:val="none"/>
        </w:rPr>
        <w:t xml:space="preserve">）参加</w:t>
      </w:r>
      <w:r>
        <w:rPr>
          <w:rFonts w:hint="eastAsia" w:ascii="宋体" w:hAnsi="宋体" w:cs="宋体"/>
          <w:i/>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i/>
          <w:color w:val="auto"/>
          <w:sz w:val="24"/>
          <w:highlight w:val="none"/>
          <w:u w:val="single"/>
        </w:rPr>
        <w:t xml:space="preserve">（项目名称）</w:t>
      </w:r>
      <w:r>
        <w:rPr>
          <w:rFonts w:hint="eastAsia" w:ascii="宋体" w:hAnsi="宋体" w:cs="宋体"/>
          <w:color w:val="auto"/>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6"/>
        </w:numPr>
        <w:ind w:right="169" w:firstLine="646"/>
        <w:jc w:val="left"/>
        <w:spacing w:line="360" w:lineRule="auto"/>
        <w:tabs>
          <w:tab w:val="left" w:pos="1183" w:leader="none"/>
          <w:tab w:val="left" w:pos="1484" w:leader="none"/>
          <w:tab w:val="left" w:pos="4662" w:leader="none"/>
          <w:tab w:val="left" w:pos="6903" w:leader="none"/>
        </w:tabs>
        <w:rPr>
          <w:rFonts w:ascii="宋体" w:hAnsi="宋体" w:cs="宋体"/>
          <w:color w:val="auto"/>
          <w:sz w:val="24"/>
          <w:highlight w:val="none"/>
        </w:rPr>
      </w:pP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rPr>
        <w:t xml:space="preserve">（</w:t>
      </w:r>
      <w:r>
        <w:rPr>
          <w:rFonts w:hint="eastAsia" w:ascii="宋体" w:hAnsi="宋体" w:cs="宋体"/>
          <w:i/>
          <w:color w:val="auto"/>
          <w:sz w:val="24"/>
          <w:highlight w:val="none"/>
          <w:u w:val="single"/>
        </w:rPr>
        <w:t xml:space="preserve">采购文件中明确的所属行业）行业</w:t>
      </w:r>
      <w:r>
        <w:rPr>
          <w:rFonts w:hint="eastAsia" w:ascii="宋体" w:hAnsi="宋体" w:cs="宋体"/>
          <w:color w:val="auto"/>
          <w:sz w:val="24"/>
          <w:highlight w:val="none"/>
        </w:rPr>
        <w:t xml:space="preserve">；制造商为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numPr>
          <w:ilvl w:val="0"/>
          <w:numId w:val="6"/>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color w:val="auto"/>
          <w:sz w:val="24"/>
          <w:highlight w:val="none"/>
        </w:rPr>
      </w:pP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rPr>
        <w:t xml:space="preserve">（</w:t>
      </w:r>
      <w:r>
        <w:rPr>
          <w:rFonts w:hint="eastAsia" w:ascii="宋体" w:hAnsi="宋体" w:cs="宋体"/>
          <w:i/>
          <w:color w:val="auto"/>
          <w:sz w:val="24"/>
          <w:highlight w:val="none"/>
          <w:u w:val="single"/>
        </w:rPr>
        <w:t xml:space="preserve">采购文件中明确的所属行业）行业</w:t>
      </w:r>
      <w:r>
        <w:rPr>
          <w:rFonts w:hint="eastAsia" w:ascii="宋体" w:hAnsi="宋体" w:cs="宋体"/>
          <w:color w:val="auto"/>
          <w:sz w:val="24"/>
          <w:highlight w:val="none"/>
        </w:rPr>
        <w:t xml:space="preserve">；制造商为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left="8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left="220" w:right="417" w:firstLine="645"/>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color w:val="auto"/>
          <w:sz w:val="24"/>
          <w:highlight w:val="none"/>
        </w:rPr>
      </w:pPr>
      <w:r>
        <w:rPr>
          <w:rFonts w:hint="eastAsia" w:ascii="宋体" w:hAnsi="宋体" w:cs="宋体"/>
          <w:color w:val="auto"/>
          <w:sz w:val="24"/>
          <w:highlight w:val="none"/>
        </w:rPr>
        <w:t xml:space="preserve">本企业对上述声明内容的真实性负责。如有虚</w:t>
      </w:r>
      <w:r>
        <w:rPr>
          <w:color w:val="auto"/>
          <w:sz w:val="24"/>
          <w:highlight w:val="none"/>
        </w:rPr>
        <w:t xml:space="preserve">假，将依法承担相应责任。</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tbl>
      <w:tblPr>
        <w:tblStyle w:val="101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ind w:firstLine="420"/>
        <w:jc w:val="left"/>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jc w:val="center"/>
        <w:spacing w:before="240" w:after="240" w:line="360" w:lineRule="auto"/>
        <w:rPr>
          <w:rFonts w:ascii="宋体" w:hAnsi="宋体" w:cs="宋体"/>
          <w:b/>
          <w:color w:val="auto"/>
          <w:sz w:val="36"/>
          <w:szCs w:val="36"/>
          <w:highlight w:val="none"/>
        </w:rPr>
      </w:pPr>
      <w:r>
        <w:rPr>
          <w:color w:val="auto"/>
          <w:sz w:val="24"/>
          <w:highlight w:val="none"/>
        </w:rPr>
        <w:br w:type="page" w:clear="all"/>
      </w:r>
      <w:r>
        <w:rPr>
          <w:rFonts w:hint="eastAsia" w:ascii="宋体" w:hAnsi="宋体" w:cs="宋体"/>
          <w:b/>
          <w:bCs/>
          <w:color w:val="auto"/>
          <w:sz w:val="36"/>
          <w:szCs w:val="36"/>
          <w:highlight w:val="none"/>
        </w:rPr>
        <w:t xml:space="preserve">残疾人福利性单位声明函格式</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w:t>
      </w:r>
      <w:r>
        <w:rPr>
          <w:rFonts w:hint="eastAsia" w:ascii="宋体" w:hAnsi="宋体" w:cs="宋体"/>
          <w:b/>
          <w:color w:val="auto"/>
          <w:sz w:val="24"/>
          <w:highlight w:val="none"/>
        </w:rPr>
        <w:t xml:space="preserve">（请进行勾选）</w:t>
      </w:r>
      <w:r>
        <w:rPr>
          <w:rFonts w:hint="eastAsia" w:ascii="宋体" w:hAnsi="宋体" w:cs="宋体"/>
          <w:color w:val="auto"/>
          <w:spacing w:val="6"/>
          <w:sz w:val="24"/>
          <w:highlight w:val="none"/>
        </w:rPr>
        <w:t xml:space="preserve">：</w:t>
      </w:r>
      <w:r/>
    </w:p>
    <w:p>
      <w:pPr>
        <w:ind w:firstLine="482"/>
        <w:spacing w:line="588" w:lineRule="exact"/>
        <w:rPr>
          <w:rFonts w:ascii="宋体" w:hAnsi="宋体" w:cs="宋体"/>
          <w:b/>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不属于符合条件的残疾人福利性单位。</w:t>
      </w:r>
      <w:r/>
    </w:p>
    <w:p>
      <w:pPr>
        <w:ind w:firstLine="482"/>
        <w:spacing w:line="588" w:lineRule="exact"/>
        <w:rPr>
          <w:rFonts w:ascii="宋体" w:hAnsi="宋体" w:cs="宋体"/>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属于符合条件的残疾人福利性单位，</w:t>
      </w:r>
      <w:r>
        <w:rPr>
          <w:rFonts w:hint="eastAsia" w:ascii="宋体" w:hAnsi="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auto"/>
          <w:spacing w:val="6"/>
          <w:sz w:val="24"/>
          <w:highlight w:val="none"/>
        </w:rPr>
      </w:pPr>
      <w:r>
        <w:rPr>
          <w:rFonts w:hint="eastAsia" w:ascii="宋体" w:hAnsi="宋体" w:cs="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ind w:right="1560" w:firstLine="504"/>
        <w:jc w:val="center"/>
        <w:spacing w:line="588" w:lineRule="exact"/>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ind w:right="1560" w:firstLine="504"/>
        <w:jc w:val="center"/>
        <w:spacing w:line="588" w:lineRule="exact"/>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rPr>
          <w:color w:val="auto"/>
          <w:highlight w:val="none"/>
        </w:rPr>
      </w:pPr>
      <w:r>
        <w:rPr>
          <w:color w:val="auto"/>
          <w:highlight w:val="none"/>
        </w:rPr>
        <w:br w:type="page" w:clear="all"/>
      </w:r>
      <w:r/>
    </w:p>
    <w:p>
      <w:pPr>
        <w:pStyle w:val="1003"/>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0</w:t>
      </w:r>
      <w:r>
        <w:rPr>
          <w:rFonts w:hint="eastAsia"/>
          <w:color w:val="auto"/>
          <w:highlight w:val="none"/>
        </w:rPr>
        <w:t xml:space="preserve"> 关于符合本国产品标准的声明函</w:t>
      </w:r>
      <w:r/>
    </w:p>
    <w:p>
      <w:pPr>
        <w:pStyle w:val="103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39"/>
        <w:jc w:val="center"/>
        <w:spacing w:before="0" w:beforeAutospacing="0" w:after="0" w:afterAutospacing="0" w:line="0" w:lineRule="atLeast"/>
        <w:rPr>
          <w:rFonts w:hint="eastAsia"/>
          <w:b/>
          <w:bCs/>
          <w:color w:val="auto"/>
          <w:sz w:val="36"/>
          <w:szCs w:val="36"/>
          <w:highlight w:val="none"/>
        </w:rPr>
      </w:pPr>
      <w:r>
        <w:rPr>
          <w:rFonts w:hint="eastAsia"/>
          <w:b/>
          <w:bCs/>
          <w:color w:val="auto"/>
          <w:sz w:val="36"/>
          <w:szCs w:val="36"/>
          <w:highlight w:val="none"/>
        </w:rPr>
        <w:t xml:space="preserve">关于符合本国产品标准的声明函</w:t>
      </w:r>
      <w:r/>
    </w:p>
    <w:p>
      <w:pPr>
        <w:rPr>
          <w:rFonts w:hint="eastAsia"/>
          <w:color w:val="auto"/>
          <w:highlight w:val="none"/>
        </w:rPr>
      </w:pPr>
      <w:r>
        <w:rPr>
          <w:rFonts w:hint="eastAsia"/>
          <w:color w:val="auto"/>
          <w:highlight w:val="none"/>
        </w:rPr>
      </w:r>
      <w:r/>
    </w:p>
    <w:p>
      <w:pPr>
        <w:pStyle w:val="1039"/>
        <w:ind w:firstLine="420"/>
        <w:spacing w:before="0" w:beforeAutospacing="0" w:after="0" w:afterAutospacing="0" w:line="400" w:lineRule="exac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9"/>
        <w:ind w:firstLine="420"/>
        <w:spacing w:before="30" w:beforeAutospacing="0" w:after="30" w:afterAutospacing="0" w:line="4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4689475</wp:posOffset>
                </wp:positionH>
                <wp:positionV relativeFrom="paragraph">
                  <wp:posOffset>121285</wp:posOffset>
                </wp:positionV>
                <wp:extent cx="577215" cy="92075"/>
                <wp:effectExtent l="635" t="4445" r="12700" b="17780"/>
                <wp:wrapNone/>
                <wp:docPr id="7" name="自选图形 1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69.2pt;mso-position-horizontal:absolute;mso-position-vertical-relative:text;margin-top:9.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2860040</wp:posOffset>
                </wp:positionH>
                <wp:positionV relativeFrom="paragraph">
                  <wp:posOffset>359410</wp:posOffset>
                </wp:positionV>
                <wp:extent cx="816610" cy="103505"/>
                <wp:effectExtent l="635" t="4445" r="1905" b="6350"/>
                <wp:wrapNone/>
                <wp:docPr id="8" name="自选图形 1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25.2pt;mso-position-horizontal:absolute;mso-position-vertical-relative:text;margin-top:2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2055495</wp:posOffset>
                </wp:positionH>
                <wp:positionV relativeFrom="paragraph">
                  <wp:posOffset>582930</wp:posOffset>
                </wp:positionV>
                <wp:extent cx="816610" cy="147320"/>
                <wp:effectExtent l="635" t="4445" r="1905" b="19685"/>
                <wp:wrapNone/>
                <wp:docPr id="9" name="自选图形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161.8pt;mso-position-horizontal:absolute;mso-position-vertical-relative:text;margin-top:45.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4099560</wp:posOffset>
                </wp:positionH>
                <wp:positionV relativeFrom="paragraph">
                  <wp:posOffset>342265</wp:posOffset>
                </wp:positionV>
                <wp:extent cx="565785" cy="130810"/>
                <wp:effectExtent l="1270" t="4445" r="4445" b="17145"/>
                <wp:wrapNone/>
                <wp:docPr id="10" name="自选图形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22.8pt;mso-position-horizontal:absolute;mso-position-vertical-relative:text;margin-top:26.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62230</wp:posOffset>
                </wp:positionH>
                <wp:positionV relativeFrom="paragraph">
                  <wp:posOffset>597535</wp:posOffset>
                </wp:positionV>
                <wp:extent cx="816610" cy="76200"/>
                <wp:effectExtent l="635" t="4445" r="1905" b="14604"/>
                <wp:wrapNone/>
                <wp:docPr id="11" name="自选图形 1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4.9pt;mso-position-horizontal:absolute;mso-position-vertical-relative:text;margin-top:47.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3156585</wp:posOffset>
                </wp:positionH>
                <wp:positionV relativeFrom="paragraph">
                  <wp:posOffset>601980</wp:posOffset>
                </wp:positionV>
                <wp:extent cx="876300" cy="120015"/>
                <wp:effectExtent l="635" t="4445" r="18415" b="8890"/>
                <wp:wrapNone/>
                <wp:docPr id="12" name="自选图形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48.5pt;mso-position-horizontal:absolute;mso-position-vertical-relative:text;margin-top:47.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shd w:val="clear" w:color="auto" w:fill="ffffff"/>
        </w:rPr>
        <w:t xml:space="preserve">1.</w:t>
      </w:r>
      <w:r>
        <w:rPr>
          <w:rStyle w:val="1049"/>
          <w:rFonts w:hint="eastAsia"/>
          <w:color w:val="auto"/>
          <w:highlight w:val="none"/>
          <w:u w:val="single"/>
          <w:shd w:val="clear" w:color="auto" w:fill="ffffff"/>
        </w:rPr>
        <w:t xml:space="preserve">（产品名称1）</w:t>
      </w:r>
      <w:r>
        <w:rPr>
          <w:rStyle w:val="1049"/>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1049"/>
          <w:rFonts w:hint="eastAsia"/>
          <w:color w:val="auto"/>
          <w:highlight w:val="none"/>
          <w:u w:val="single"/>
          <w:shd w:val="clear" w:color="auto" w:fill="ffffff"/>
        </w:rPr>
        <w:t xml:space="preserve">（厂名）</w:t>
      </w:r>
      <w:r>
        <w:rPr>
          <w:rStyle w:val="1049"/>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1049"/>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49"/>
          <w:rFonts w:hint="eastAsia"/>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1049"/>
          <w:rFonts w:hint="eastAsia"/>
          <w:color w:val="auto"/>
          <w:highlight w:val="none"/>
          <w:u w:val="single"/>
          <w:shd w:val="clear" w:color="auto" w:fill="ffffff"/>
        </w:rPr>
        <w:t xml:space="preserve">（规定比例）</w:t>
      </w:r>
      <w:r>
        <w:rPr>
          <w:rStyle w:val="1049"/>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10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049"/>
          <w:rFonts w:hint="eastAsia"/>
          <w:color w:val="auto"/>
          <w:highlight w:val="none"/>
          <w:u w:val="single"/>
          <w:shd w:val="clear" w:color="auto" w:fill="ffffff"/>
        </w:rPr>
        <w:t xml:space="preserve">（关键组件）</w:t>
      </w:r>
      <w:r>
        <w:rPr>
          <w:rStyle w:val="1049"/>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10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049"/>
          <w:rFonts w:hint="eastAsia"/>
          <w:color w:val="auto"/>
          <w:highlight w:val="none"/>
          <w:u w:val="single"/>
          <w:shd w:val="clear" w:color="auto" w:fill="ffffff"/>
        </w:rPr>
        <w:t xml:space="preserve">（关键工序）</w:t>
      </w:r>
      <w:r>
        <w:rPr>
          <w:rStyle w:val="1049"/>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1039"/>
        <w:ind w:firstLine="420"/>
        <w:spacing w:before="30" w:beforeAutospacing="0" w:after="30" w:afterAutospacing="0" w:line="4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2791460</wp:posOffset>
                </wp:positionH>
                <wp:positionV relativeFrom="paragraph">
                  <wp:posOffset>579755</wp:posOffset>
                </wp:positionV>
                <wp:extent cx="908685" cy="140970"/>
                <wp:effectExtent l="635" t="4445" r="5080" b="6985"/>
                <wp:wrapNone/>
                <wp:docPr id="13" name="自选图形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19.8pt;mso-position-horizontal:absolute;mso-position-vertical-relative:text;margin-top:45.6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1898015</wp:posOffset>
                </wp:positionH>
                <wp:positionV relativeFrom="paragraph">
                  <wp:posOffset>570865</wp:posOffset>
                </wp:positionV>
                <wp:extent cx="821690" cy="102870"/>
                <wp:effectExtent l="635" t="4445" r="15875" b="6985"/>
                <wp:wrapNone/>
                <wp:docPr id="14" name="自选图形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49.4pt;mso-position-horizontal:absolute;mso-position-vertical-relative:text;margin-top:44.9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2663825</wp:posOffset>
                </wp:positionH>
                <wp:positionV relativeFrom="paragraph">
                  <wp:posOffset>349250</wp:posOffset>
                </wp:positionV>
                <wp:extent cx="816610" cy="103505"/>
                <wp:effectExtent l="635" t="4445" r="1905" b="635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9.8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3707130</wp:posOffset>
                </wp:positionH>
                <wp:positionV relativeFrom="paragraph">
                  <wp:posOffset>357505</wp:posOffset>
                </wp:positionV>
                <wp:extent cx="849630" cy="120015"/>
                <wp:effectExtent l="635" t="4445" r="6985" b="8890"/>
                <wp:wrapNone/>
                <wp:docPr id="16" name="自选图形 2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91.9pt;mso-position-horizontal:absolute;mso-position-vertical-relative:text;margin-top:28.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-74930</wp:posOffset>
                </wp:positionH>
                <wp:positionV relativeFrom="paragraph">
                  <wp:posOffset>577215</wp:posOffset>
                </wp:positionV>
                <wp:extent cx="843915" cy="125730"/>
                <wp:effectExtent l="635" t="4445" r="12700" b="22225"/>
                <wp:wrapNone/>
                <wp:docPr id="17" name="自选图形 2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5.9pt;mso-position-horizontal:absolute;mso-position-vertical-relative:text;margin-top:45.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4552315</wp:posOffset>
                </wp:positionH>
                <wp:positionV relativeFrom="paragraph">
                  <wp:posOffset>102235</wp:posOffset>
                </wp:positionV>
                <wp:extent cx="718185" cy="97790"/>
                <wp:effectExtent l="635" t="4445" r="5080" b="12065"/>
                <wp:wrapNone/>
                <wp:docPr id="18" name="自选图形 2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shd w:val="clear" w:color="auto" w:fill="ffffff"/>
        </w:rPr>
        <w:t xml:space="preserve">2.</w:t>
      </w:r>
      <w:r>
        <w:rPr>
          <w:rStyle w:val="10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1049"/>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049"/>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10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1049"/>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104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1049"/>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104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049"/>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1039"/>
        <w:ind w:firstLine="420"/>
        <w:spacing w:before="30" w:beforeAutospacing="0" w:after="30" w:afterAutospacing="0" w:line="400" w:lineRule="exact"/>
        <w:rPr>
          <w:rFonts w:hint="eastAsia"/>
          <w:color w:val="auto"/>
          <w:highlight w:val="none"/>
        </w:rPr>
      </w:pPr>
      <w:r>
        <w:rPr>
          <w:rFonts w:hint="eastAsia"/>
          <w:color w:val="auto"/>
          <w:highlight w:val="none"/>
          <w:shd w:val="clear" w:color="auto" w:fill="ffffff"/>
        </w:rPr>
        <w:t xml:space="preserve">……</w:t>
      </w:r>
      <w:r/>
    </w:p>
    <w:p>
      <w:pPr>
        <w:pStyle w:val="1039"/>
        <w:ind w:firstLine="420"/>
        <w:spacing w:before="30" w:beforeAutospacing="0" w:after="30" w:afterAutospacing="0" w:line="400" w:lineRule="exac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1039"/>
        <w:spacing w:before="30" w:beforeAutospacing="0" w:after="30" w:afterAutospacing="0" w:line="400" w:lineRule="exact"/>
        <w:rPr>
          <w:rFonts w:hint="eastAsia"/>
          <w:color w:val="auto"/>
          <w:highlight w:val="none"/>
        </w:rPr>
      </w:pPr>
      <w:r>
        <w:rPr>
          <w:rFonts w:hint="eastAsia"/>
          <w:color w:val="auto"/>
          <w:highlight w:val="none"/>
        </w:rPr>
      </w:r>
      <w:r/>
    </w:p>
    <w:p>
      <w:pPr>
        <w:pStyle w:val="1039"/>
        <w:ind w:right="480" w:firstLine="3720"/>
        <w:spacing w:before="30" w:beforeAutospacing="0" w:after="30" w:afterAutospacing="0" w:line="400" w:lineRule="exact"/>
        <w:rPr>
          <w:rFonts w:hint="eastAsia"/>
          <w:color w:val="auto"/>
          <w:highlight w:val="none"/>
        </w:rPr>
      </w:pPr>
      <w:r>
        <w:rPr>
          <w:rFonts w:hint="eastAsia"/>
          <w:color w:val="auto"/>
          <w:highlight w:val="none"/>
          <w:shd w:val="clear" w:color="auto" w:fill="ffffff"/>
        </w:rPr>
        <w:t xml:space="preserve">公司（单位）名称（盖章）：　        </w:t>
      </w:r>
      <w:r/>
    </w:p>
    <w:p>
      <w:pPr>
        <w:pStyle w:val="1039"/>
        <w:jc w:val="center"/>
        <w:spacing w:before="30" w:beforeAutospacing="0" w:after="30" w:afterAutospacing="0" w:line="400" w:lineRule="exact"/>
        <w:rPr>
          <w:rFonts w:hint="eastAsia"/>
          <w:color w:val="auto"/>
          <w:highlight w:val="none"/>
        </w:rPr>
      </w:pPr>
      <w:r>
        <w:rPr>
          <w:rFonts w:hint="eastAsia"/>
          <w:color w:val="auto"/>
          <w:highlight w:val="none"/>
          <w:shd w:val="clear" w:color="auto" w:fill="ffffff"/>
        </w:rPr>
        <w:t xml:space="preserve">                                日期：　   年　  月　  日         </w:t>
      </w:r>
      <w:r/>
    </w:p>
    <w:p>
      <w:pPr>
        <w:pStyle w:val="1039"/>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1039"/>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039"/>
        <w:spacing w:before="30" w:beforeAutospacing="0" w:after="30" w:afterAutospacing="0" w:line="0" w:lineRule="atLeast"/>
        <w:rPr>
          <w:rFonts w:hint="eastAsia" w:ascii="方正魏碑_GBK" w:hAnsi="方正魏碑_GBK" w:eastAsia="方正魏碑_GBK" w:cs="方正魏碑_GBK"/>
          <w:b/>
          <w:bCs/>
          <w:color w:val="auto"/>
          <w:sz w:val="22"/>
          <w:highlight w:val="none"/>
        </w:rPr>
      </w:pPr>
      <w:r>
        <w:rPr>
          <w:rFonts w:hint="eastAsia" w:ascii="方正魏碑_GBK" w:hAnsi="方正魏碑_GBK" w:eastAsia="方正魏碑_GBK" w:cs="方正魏碑_GBK"/>
          <w:b/>
          <w:bCs/>
          <w:color w:val="auto"/>
          <w:sz w:val="22"/>
          <w:highlight w:val="none"/>
          <w:shd w:val="clear" w:color="auto" w:fill="ffffff"/>
        </w:rPr>
        <w:t xml:space="preserve">1.产品如有型号，请在“产品名称”栏一并填写。</w:t>
      </w:r>
      <w:r/>
    </w:p>
    <w:p>
      <w:pPr>
        <w:pStyle w:val="1039"/>
        <w:spacing w:before="30" w:beforeAutospacing="0" w:after="30" w:afterAutospacing="0" w:line="0" w:lineRule="atLeast"/>
        <w:rPr>
          <w:rFonts w:hint="eastAsia" w:ascii="方正魏碑_GBK" w:hAnsi="方正魏碑_GBK" w:eastAsia="方正魏碑_GBK" w:cs="方正魏碑_GBK"/>
          <w:b/>
          <w:bCs/>
          <w:color w:val="auto"/>
          <w:sz w:val="22"/>
          <w:highlight w:val="none"/>
        </w:rPr>
      </w:pPr>
      <w:r>
        <w:rPr>
          <w:rFonts w:hint="eastAsia" w:ascii="方正魏碑_GBK" w:hAnsi="方正魏碑_GBK" w:eastAsia="方正魏碑_GBK" w:cs="方正魏碑_GBK"/>
          <w:b/>
          <w:bCs/>
          <w:color w:val="auto"/>
          <w:sz w:val="22"/>
          <w:highlight w:val="none"/>
          <w:shd w:val="clear" w:color="auto" w:fill="ffffff"/>
        </w:rPr>
        <w:t xml:space="preserve">2.生产厂名与厂址应与生产厂营业执照载明的相关信息保持一致。</w:t>
      </w:r>
      <w:r/>
    </w:p>
    <w:p>
      <w:pPr>
        <w:pStyle w:val="1039"/>
        <w:spacing w:before="30" w:beforeAutospacing="0" w:after="30" w:afterAutospacing="0" w:line="0" w:lineRule="atLeast"/>
        <w:rPr>
          <w:rFonts w:hint="eastAsia" w:ascii="方正魏碑_GBK" w:hAnsi="方正魏碑_GBK" w:eastAsia="方正魏碑_GBK" w:cs="方正魏碑_GBK"/>
          <w:b/>
          <w:bCs/>
          <w:color w:val="auto"/>
          <w:sz w:val="22"/>
          <w:highlight w:val="none"/>
        </w:rPr>
      </w:pPr>
      <w:r>
        <w:rPr>
          <w:rFonts w:hint="eastAsia" w:ascii="方正魏碑_GBK" w:hAnsi="方正魏碑_GBK" w:eastAsia="方正魏碑_GBK" w:cs="方正魏碑_GBK"/>
          <w:b/>
          <w:bCs/>
          <w:color w:val="auto"/>
          <w:sz w:val="22"/>
          <w:highlight w:val="none"/>
          <w:shd w:val="clear" w:color="auto" w:fill="ffffff"/>
        </w:rPr>
        <w:t xml:space="preserve">3.该产品的中国境内生产的组件成本占比相关要求实施前，“规定比例”栏可不填，下同。</w:t>
      </w:r>
      <w:r/>
    </w:p>
    <w:p>
      <w:pPr>
        <w:pStyle w:val="1039"/>
        <w:spacing w:before="30" w:beforeAutospacing="0" w:after="30" w:afterAutospacing="0" w:line="0" w:lineRule="atLeast"/>
        <w:rPr>
          <w:rFonts w:hint="eastAsia" w:ascii="方正魏碑_GBK" w:hAnsi="方正魏碑_GBK" w:eastAsia="方正魏碑_GBK" w:cs="方正魏碑_GBK"/>
          <w:b/>
          <w:bCs/>
          <w:color w:val="auto"/>
          <w:sz w:val="22"/>
          <w:highlight w:val="none"/>
        </w:rPr>
      </w:pPr>
      <w:r>
        <w:rPr>
          <w:rFonts w:hint="eastAsia" w:ascii="方正魏碑_GBK" w:hAnsi="方正魏碑_GBK" w:eastAsia="方正魏碑_GBK" w:cs="方正魏碑_GBK"/>
          <w:b/>
          <w:bCs/>
          <w:color w:val="auto"/>
          <w:sz w:val="22"/>
          <w:highlight w:val="none"/>
          <w:shd w:val="clear" w:color="auto" w:fill="ffffff"/>
        </w:rPr>
        <w:t xml:space="preserve">4.该产品的关键组件要求实施前，“关键组件”栏可不填，下同。</w:t>
      </w:r>
      <w:r/>
    </w:p>
    <w:p>
      <w:pPr>
        <w:pStyle w:val="1039"/>
        <w:spacing w:before="30" w:beforeAutospacing="0" w:after="30" w:afterAutospacing="0" w:line="0" w:lineRule="atLeast"/>
        <w:rPr>
          <w:rFonts w:ascii="方正魏碑_GBK" w:hAnsi="方正魏碑_GBK" w:eastAsia="方正魏碑_GBK" w:cs="方正魏碑_GBK"/>
          <w:b/>
          <w:bCs/>
          <w:color w:val="auto"/>
          <w:sz w:val="22"/>
          <w:highlight w:val="none"/>
          <w:shd w:val="clear" w:color="auto" w:fill="ffffff"/>
        </w:rPr>
      </w:pPr>
      <w:r>
        <w:rPr>
          <w:rFonts w:hint="eastAsia" w:ascii="方正魏碑_GBK" w:hAnsi="方正魏碑_GBK" w:eastAsia="方正魏碑_GBK" w:cs="方正魏碑_GBK"/>
          <w:b/>
          <w:bCs/>
          <w:color w:val="auto"/>
          <w:sz w:val="22"/>
          <w:highlight w:val="none"/>
          <w:shd w:val="clear" w:color="auto" w:fill="ffffff"/>
        </w:rPr>
        <w:t xml:space="preserve">5.该产品的关键工序要求实施前，“关键工序”栏可不填，下同。</w:t>
      </w:r>
      <w:r/>
    </w:p>
    <w:p>
      <w:pPr>
        <w:pStyle w:val="1039"/>
        <w:spacing w:before="30" w:beforeAutospacing="0" w:after="30" w:afterAutospacing="0" w:line="0" w:lineRule="atLeast"/>
        <w:rPr>
          <w:rFonts w:ascii="方正魏碑_GBK" w:hAnsi="方正魏碑_GBK" w:eastAsia="方正魏碑_GBK" w:cs="方正魏碑_GBK"/>
          <w:b/>
          <w:bCs/>
          <w:color w:val="auto"/>
          <w:sz w:val="22"/>
          <w:highlight w:val="none"/>
          <w:shd w:val="clear" w:color="auto" w:fill="ffffff"/>
        </w:rPr>
      </w:pPr>
      <w:r>
        <w:rPr>
          <w:rFonts w:hint="eastAsia" w:ascii="方正魏碑_GBK" w:hAnsi="方正魏碑_GBK" w:eastAsia="方正魏碑_GBK" w:cs="方正魏碑_GBK"/>
          <w:b/>
          <w:bCs/>
          <w:color w:val="auto"/>
          <w:sz w:val="22"/>
          <w:highlight w:val="none"/>
          <w:shd w:val="clear" w:color="auto" w:fill="ffffff"/>
        </w:rPr>
        <w:t xml:space="preserve">6.用斜线划除的地方无需填写。</w:t>
      </w:r>
      <w:r/>
    </w:p>
    <w:p>
      <w:pPr>
        <w:rPr>
          <w:rFonts w:hint="eastAsia"/>
          <w:color w:val="auto"/>
          <w:highlight w:val="none"/>
        </w:rPr>
      </w:pPr>
      <w:r>
        <w:rPr>
          <w:rFonts w:hint="eastAsia"/>
          <w:color w:val="auto"/>
          <w:highlight w:val="none"/>
        </w:rPr>
        <w:br w:type="page" w:clear="all"/>
      </w:r>
      <w:r/>
    </w:p>
    <w:p>
      <w:pPr>
        <w:pStyle w:val="1003"/>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 参加本项目人员一览表</w:t>
      </w:r>
      <w:r/>
    </w:p>
    <w:p>
      <w:pPr>
        <w:rPr>
          <w:color w:val="auto"/>
        </w:rPr>
      </w:pPr>
      <w:r>
        <w:rPr>
          <w:color w:val="auto"/>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参加本项目人员一览表</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01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
        <w:gridCol w:w="852"/>
        <w:gridCol w:w="852"/>
        <w:gridCol w:w="852"/>
        <w:gridCol w:w="852"/>
        <w:gridCol w:w="852"/>
        <w:gridCol w:w="852"/>
        <w:gridCol w:w="852"/>
        <w:gridCol w:w="852"/>
        <w:gridCol w:w="852"/>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责任</w:t>
            </w:r>
            <w:r/>
          </w:p>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项目经历或主要工作</w:t>
            </w:r>
            <w:r/>
          </w:p>
          <w:p>
            <w:pPr>
              <w:jc w:val="center"/>
              <w:tabs>
                <w:tab w:val="left" w:pos="976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2"/>
          <w:highlight w:val="none"/>
        </w:rPr>
      </w:pPr>
      <w:r>
        <w:rPr>
          <w:color w:val="auto"/>
          <w:sz w:val="22"/>
          <w:highlight w:val="none"/>
        </w:rPr>
        <w:br w:type="page" w:clear="all"/>
      </w:r>
      <w:bookmarkStart w:id="600" w:name="_Toc288738839"/>
      <w:r/>
      <w:bookmarkStart w:id="601" w:name="_Toc288738397"/>
      <w:r/>
      <w:r/>
    </w:p>
    <w:p>
      <w:pPr>
        <w:pStyle w:val="1003"/>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2 </w:t>
      </w:r>
      <w:r>
        <w:rPr>
          <w:rFonts w:hint="eastAsia"/>
          <w:color w:val="auto"/>
          <w:highlight w:val="none"/>
        </w:rPr>
        <w:t xml:space="preserve">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6"/>
          <w:szCs w:val="36"/>
          <w:highlight w:val="none"/>
        </w:rPr>
      </w:pPr>
      <w:r>
        <w:rPr>
          <w:rFonts w:hint="eastAsia" w:ascii="宋体" w:hAnsi="宋体"/>
          <w:b/>
          <w:color w:val="auto"/>
          <w:sz w:val="36"/>
          <w:szCs w:val="36"/>
          <w:highlight w:val="none"/>
        </w:rPr>
        <w:t xml:space="preserve">相关业绩案例一览表</w:t>
      </w:r>
      <w:bookmarkEnd w:id="600"/>
      <w:r/>
      <w:bookmarkEnd w:id="601"/>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01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214"/>
        <w:gridCol w:w="1589"/>
        <w:gridCol w:w="1437"/>
        <w:gridCol w:w="1132"/>
        <w:gridCol w:w="1637"/>
        <w:gridCol w:w="1511"/>
      </w:tblGrid>
      <w:tr>
        <w:trPr>
          <w:jc w:val="center"/>
          <w:trHeight w:val="498"/>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03"/>
        <w:rPr>
          <w:rFonts w:hint="eastAsia"/>
          <w:color w:val="auto"/>
          <w:highlight w:val="none"/>
        </w:rPr>
      </w:pPr>
      <w:r>
        <w:rPr>
          <w:rFonts w:hint="eastAsia"/>
          <w:color w:val="auto"/>
          <w:highlight w:val="none"/>
        </w:rPr>
        <w:br w:type="page" w:clear="all"/>
      </w: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 项目实施方案等，按照采购需求和评分标准编制</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t xml:space="preserve">1</w:t>
      </w:r>
      <w:r>
        <w:rPr>
          <w:rFonts w:hint="eastAsia" w:ascii="宋体" w:hAnsi="宋体" w:cs="宋体"/>
          <w:b/>
          <w:bCs/>
          <w:color w:val="auto"/>
          <w:sz w:val="24"/>
          <w:szCs w:val="20"/>
          <w:highlight w:val="none"/>
          <w:lang w:val="en-US" w:eastAsia="zh-CN"/>
        </w:rPr>
        <w:t xml:space="preserve">4</w:t>
      </w:r>
      <w:r>
        <w:rPr>
          <w:rFonts w:hint="eastAsia" w:ascii="宋体" w:hAnsi="宋体" w:cs="宋体"/>
          <w:b/>
          <w:bCs/>
          <w:color w:val="auto"/>
          <w:sz w:val="24"/>
          <w:szCs w:val="20"/>
          <w:highlight w:val="none"/>
        </w:rPr>
        <w:t xml:space="preserve"> 招标文件要求提供或投标人认为应附的其他材料</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footnotePr/>
      <w:endnotePr/>
      <w:type w:val="nextPage"/>
      <w:pgSz w:w="11907" w:h="16840" w:orient="portrait"/>
      <w:pgMar w:top="1440" w:right="1800" w:bottom="1440" w:left="1800"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right="360"/>
      <w:rPr>
        <w:rStyle w:val="1047"/>
      </w:rPr>
      <w:framePr w:wrap="around" w:vAnchor="text" w:hAnchor="margin" w:y="1"/>
    </w:pPr>
    <w:r/>
    <w:r/>
  </w:p>
  <w:p>
    <w:pPr>
      <w:pStyle w:val="1030"/>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47"/>
      </w:rPr>
      <w:framePr w:wrap="around" w:vAnchor="text" w:hAnchor="margin" w:xAlign="center" w:y="1"/>
    </w:pPr>
    <w:r>
      <w:fldChar w:fldCharType="begin"/>
    </w:r>
    <w:r>
      <w:rPr>
        <w:rStyle w:val="1047"/>
      </w:rPr>
      <w:instrText xml:space="preserve">PAGE  </w:instrText>
    </w:r>
    <w:r>
      <w:fldChar w:fldCharType="end"/>
    </w:r>
    <w:r/>
  </w:p>
  <w:p>
    <w:pPr>
      <w:pStyle w:val="103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47"/>
      </w:rPr>
      <w:framePr w:wrap="around" w:vAnchor="text" w:hAnchor="margin" w:xAlign="right" w:y="1"/>
    </w:pPr>
    <w:r/>
    <w:r/>
  </w:p>
  <w:p>
    <w:pPr>
      <w:pStyle w:val="1030"/>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40005</wp:posOffset>
              </wp:positionH>
              <wp:positionV relativeFrom="margin">
                <wp:posOffset>2564765</wp:posOffset>
              </wp:positionV>
              <wp:extent cx="5274310" cy="3369310"/>
              <wp:effectExtent l="0" t="0" r="2540" b="2540"/>
              <wp:wrapNone/>
              <wp:docPr id="1"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3.1pt;mso-position-horizontal:absolute;mso-position-vertical-relative:margin;margin-top:201.9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2"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posOffset>-119380</wp:posOffset>
              </wp:positionH>
              <wp:positionV relativeFrom="margin">
                <wp:posOffset>3041015</wp:posOffset>
              </wp:positionV>
              <wp:extent cx="5274310" cy="3369310"/>
              <wp:effectExtent l="0" t="0" r="2540" b="2540"/>
              <wp:wrapNone/>
              <wp:docPr id="3"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9.4pt;mso-position-horizontal:absolute;mso-position-vertical-relative:margin;margin-top:239.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4"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sz w:val="24"/>
        <w:szCs w:val="24"/>
      </w:rPr>
    </w:lvl>
    <w:lvl w:ilvl="1">
      <w:start w:val="1"/>
      <w:numFmt w:val="decimal"/>
      <w:isLgl w:val="false"/>
      <w:suff w:val="nothing"/>
      <w:lvlText w:val="%1.%2"/>
      <w:lvlJc w:val="left"/>
      <w:pPr>
        <w:ind w:left="0" w:firstLine="0"/>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default" w:ascii="宋体" w:hAnsi="宋体" w:eastAsia="宋体" w:cs="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10"/>
    <w:link w:val="1001"/>
    <w:uiPriority w:val="9"/>
    <w:rPr>
      <w:rFonts w:ascii="Arial" w:hAnsi="Arial" w:eastAsia="Arial" w:cs="Arial"/>
      <w:sz w:val="40"/>
      <w:szCs w:val="40"/>
    </w:rPr>
  </w:style>
  <w:style w:type="character" w:styleId="849">
    <w:name w:val="Heading 2 Char"/>
    <w:basedOn w:val="1010"/>
    <w:link w:val="1002"/>
    <w:uiPriority w:val="9"/>
    <w:rPr>
      <w:rFonts w:ascii="Arial" w:hAnsi="Arial" w:eastAsia="Arial" w:cs="Arial"/>
      <w:sz w:val="34"/>
    </w:rPr>
  </w:style>
  <w:style w:type="character" w:styleId="850">
    <w:name w:val="Heading 3 Char"/>
    <w:basedOn w:val="1010"/>
    <w:link w:val="1003"/>
    <w:uiPriority w:val="9"/>
    <w:rPr>
      <w:rFonts w:ascii="Arial" w:hAnsi="Arial" w:eastAsia="Arial" w:cs="Arial"/>
      <w:sz w:val="30"/>
      <w:szCs w:val="30"/>
    </w:rPr>
  </w:style>
  <w:style w:type="character" w:styleId="851">
    <w:name w:val="Heading 4 Char"/>
    <w:basedOn w:val="1010"/>
    <w:link w:val="1004"/>
    <w:uiPriority w:val="9"/>
    <w:rPr>
      <w:rFonts w:ascii="Arial" w:hAnsi="Arial" w:eastAsia="Arial" w:cs="Arial"/>
      <w:b/>
      <w:bCs/>
      <w:sz w:val="26"/>
      <w:szCs w:val="26"/>
    </w:rPr>
  </w:style>
  <w:style w:type="character" w:styleId="852">
    <w:name w:val="Heading 5 Char"/>
    <w:basedOn w:val="1010"/>
    <w:link w:val="1005"/>
    <w:uiPriority w:val="9"/>
    <w:rPr>
      <w:rFonts w:ascii="Arial" w:hAnsi="Arial" w:eastAsia="Arial" w:cs="Arial"/>
      <w:b/>
      <w:bCs/>
      <w:sz w:val="24"/>
      <w:szCs w:val="24"/>
    </w:rPr>
  </w:style>
  <w:style w:type="character" w:styleId="853">
    <w:name w:val="Heading 6 Char"/>
    <w:basedOn w:val="1010"/>
    <w:link w:val="1006"/>
    <w:uiPriority w:val="9"/>
    <w:rPr>
      <w:rFonts w:ascii="Arial" w:hAnsi="Arial" w:eastAsia="Arial" w:cs="Arial"/>
      <w:b/>
      <w:bCs/>
      <w:sz w:val="22"/>
      <w:szCs w:val="22"/>
    </w:rPr>
  </w:style>
  <w:style w:type="character" w:styleId="854">
    <w:name w:val="Heading 7 Char"/>
    <w:basedOn w:val="1010"/>
    <w:link w:val="1007"/>
    <w:uiPriority w:val="9"/>
    <w:rPr>
      <w:rFonts w:ascii="Arial" w:hAnsi="Arial" w:eastAsia="Arial" w:cs="Arial"/>
      <w:b/>
      <w:bCs/>
      <w:i/>
      <w:iCs/>
      <w:sz w:val="22"/>
      <w:szCs w:val="22"/>
    </w:rPr>
  </w:style>
  <w:style w:type="character" w:styleId="855">
    <w:name w:val="Heading 8 Char"/>
    <w:basedOn w:val="1010"/>
    <w:link w:val="1008"/>
    <w:uiPriority w:val="9"/>
    <w:rPr>
      <w:rFonts w:ascii="Arial" w:hAnsi="Arial" w:eastAsia="Arial" w:cs="Arial"/>
      <w:i/>
      <w:iCs/>
      <w:sz w:val="22"/>
      <w:szCs w:val="22"/>
    </w:rPr>
  </w:style>
  <w:style w:type="character" w:styleId="856">
    <w:name w:val="Heading 9 Char"/>
    <w:basedOn w:val="1010"/>
    <w:link w:val="1009"/>
    <w:uiPriority w:val="9"/>
    <w:rPr>
      <w:rFonts w:ascii="Arial" w:hAnsi="Arial" w:eastAsia="Arial" w:cs="Arial"/>
      <w:i/>
      <w:iCs/>
      <w:sz w:val="21"/>
      <w:szCs w:val="21"/>
    </w:rPr>
  </w:style>
  <w:style w:type="character" w:styleId="857">
    <w:name w:val="Title Char"/>
    <w:basedOn w:val="1010"/>
    <w:link w:val="1041"/>
    <w:uiPriority w:val="10"/>
    <w:rPr>
      <w:sz w:val="48"/>
      <w:szCs w:val="48"/>
    </w:rPr>
  </w:style>
  <w:style w:type="paragraph" w:styleId="858">
    <w:name w:val="Subtitle"/>
    <w:basedOn w:val="1000"/>
    <w:next w:val="1000"/>
    <w:link w:val="859"/>
    <w:uiPriority w:val="11"/>
    <w:qFormat/>
    <w:pPr>
      <w:spacing w:before="200" w:after="200"/>
    </w:pPr>
    <w:rPr>
      <w:sz w:val="24"/>
      <w:szCs w:val="24"/>
    </w:rPr>
  </w:style>
  <w:style w:type="character" w:styleId="859">
    <w:name w:val="Subtitle Char"/>
    <w:basedOn w:val="1010"/>
    <w:link w:val="858"/>
    <w:uiPriority w:val="11"/>
    <w:rPr>
      <w:sz w:val="24"/>
      <w:szCs w:val="24"/>
    </w:rPr>
  </w:style>
  <w:style w:type="paragraph" w:styleId="860">
    <w:name w:val="Quote"/>
    <w:basedOn w:val="1000"/>
    <w:next w:val="1000"/>
    <w:link w:val="861"/>
    <w:uiPriority w:val="29"/>
    <w:qFormat/>
    <w:pPr>
      <w:ind w:left="720" w:right="720"/>
    </w:pPr>
    <w:rPr>
      <w:i/>
    </w:rPr>
  </w:style>
  <w:style w:type="character" w:styleId="861">
    <w:name w:val="Quote Char"/>
    <w:link w:val="860"/>
    <w:uiPriority w:val="29"/>
    <w:rPr>
      <w:i/>
    </w:rPr>
  </w:style>
  <w:style w:type="paragraph" w:styleId="862">
    <w:name w:val="Intense Quote"/>
    <w:basedOn w:val="1000"/>
    <w:next w:val="1000"/>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character" w:styleId="864">
    <w:name w:val="Header Char"/>
    <w:basedOn w:val="1010"/>
    <w:link w:val="1031"/>
    <w:uiPriority w:val="99"/>
  </w:style>
  <w:style w:type="character" w:styleId="865">
    <w:name w:val="Footer Char"/>
    <w:basedOn w:val="1010"/>
    <w:link w:val="1030"/>
    <w:uiPriority w:val="99"/>
  </w:style>
  <w:style w:type="character" w:styleId="866">
    <w:name w:val="Caption Char"/>
    <w:basedOn w:val="1014"/>
    <w:link w:val="1030"/>
    <w:uiPriority w:val="99"/>
  </w:style>
  <w:style w:type="table" w:styleId="867">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2">
    <w:name w:val="footnote text"/>
    <w:basedOn w:val="1000"/>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basedOn w:val="1010"/>
    <w:uiPriority w:val="99"/>
    <w:unhideWhenUsed/>
    <w:rPr>
      <w:vertAlign w:val="superscript"/>
    </w:rPr>
  </w:style>
  <w:style w:type="paragraph" w:styleId="995">
    <w:name w:val="endnote text"/>
    <w:basedOn w:val="1000"/>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basedOn w:val="1010"/>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01">
    <w:name w:val="Heading 1"/>
    <w:basedOn w:val="1000"/>
    <w:next w:val="1000"/>
    <w:link w:val="1053"/>
    <w:uiPriority w:val="0"/>
    <w:qFormat/>
    <w:pPr>
      <w:jc w:val="center"/>
      <w:keepLines/>
      <w:keepNext/>
      <w:spacing w:before="240" w:after="120" w:line="300" w:lineRule="auto"/>
      <w:outlineLvl w:val="0"/>
    </w:pPr>
    <w:rPr>
      <w:rFonts w:ascii="宋体"/>
      <w:b/>
      <w:sz w:val="32"/>
      <w:szCs w:val="20"/>
    </w:rPr>
  </w:style>
  <w:style w:type="paragraph" w:styleId="1002">
    <w:name w:val="Heading 2"/>
    <w:basedOn w:val="1000"/>
    <w:next w:val="1012"/>
    <w:link w:val="1054"/>
    <w:uiPriority w:val="0"/>
    <w:qFormat/>
    <w:pPr>
      <w:jc w:val="center"/>
      <w:keepLines/>
      <w:keepNext/>
      <w:spacing w:before="120" w:line="300" w:lineRule="auto"/>
      <w:outlineLvl w:val="1"/>
    </w:pPr>
    <w:rPr>
      <w:rFonts w:ascii="Arial" w:hAnsi="Arial" w:eastAsia="黑体"/>
      <w:b/>
      <w:sz w:val="30"/>
      <w:szCs w:val="20"/>
    </w:rPr>
  </w:style>
  <w:style w:type="paragraph" w:styleId="1003">
    <w:name w:val="Heading 3"/>
    <w:basedOn w:val="1000"/>
    <w:next w:val="1000"/>
    <w:link w:val="1056"/>
    <w:uiPriority w:val="0"/>
    <w:qFormat/>
    <w:pPr>
      <w:spacing w:line="360" w:lineRule="auto"/>
      <w:outlineLvl w:val="2"/>
    </w:pPr>
    <w:rPr>
      <w:rFonts w:ascii="宋体" w:hAnsi="宋体" w:eastAsia="宋体" w:cs="宋体"/>
      <w:b/>
      <w:bCs/>
      <w:color w:val="000000"/>
      <w:sz w:val="24"/>
      <w:szCs w:val="20"/>
      <w:highlight w:val="none"/>
    </w:rPr>
  </w:style>
  <w:style w:type="paragraph" w:styleId="1004">
    <w:name w:val="Heading 4"/>
    <w:basedOn w:val="1000"/>
    <w:next w:val="1000"/>
    <w:link w:val="1057"/>
    <w:uiPriority w:val="0"/>
    <w:qFormat/>
    <w:pPr>
      <w:keepLines/>
      <w:keepNext/>
      <w:spacing w:before="280" w:after="290" w:line="376" w:lineRule="atLeast"/>
      <w:outlineLvl w:val="3"/>
    </w:pPr>
    <w:rPr>
      <w:rFonts w:ascii="Arial" w:hAnsi="Arial" w:eastAsia="黑体"/>
      <w:b/>
      <w:sz w:val="28"/>
      <w:szCs w:val="20"/>
    </w:rPr>
  </w:style>
  <w:style w:type="paragraph" w:styleId="1005">
    <w:name w:val="Heading 5"/>
    <w:basedOn w:val="1000"/>
    <w:next w:val="1000"/>
    <w:link w:val="1058"/>
    <w:uiPriority w:val="0"/>
    <w:qFormat/>
    <w:pPr>
      <w:keepLines/>
      <w:keepNext/>
      <w:spacing w:before="280" w:after="290" w:line="376" w:lineRule="atLeast"/>
      <w:outlineLvl w:val="4"/>
    </w:pPr>
    <w:rPr>
      <w:b/>
      <w:sz w:val="28"/>
      <w:szCs w:val="20"/>
    </w:rPr>
  </w:style>
  <w:style w:type="paragraph" w:styleId="1006">
    <w:name w:val="Heading 6"/>
    <w:basedOn w:val="1000"/>
    <w:next w:val="1000"/>
    <w:link w:val="1059"/>
    <w:uiPriority w:val="0"/>
    <w:qFormat/>
    <w:pPr>
      <w:keepLines/>
      <w:keepNext/>
      <w:spacing w:before="240" w:after="64" w:line="320" w:lineRule="atLeast"/>
      <w:outlineLvl w:val="5"/>
    </w:pPr>
    <w:rPr>
      <w:rFonts w:ascii="Arial" w:hAnsi="Arial" w:eastAsia="黑体"/>
      <w:b/>
      <w:sz w:val="24"/>
      <w:szCs w:val="20"/>
    </w:rPr>
  </w:style>
  <w:style w:type="paragraph" w:styleId="1007">
    <w:name w:val="Heading 7"/>
    <w:basedOn w:val="1000"/>
    <w:next w:val="1000"/>
    <w:link w:val="1060"/>
    <w:uiPriority w:val="0"/>
    <w:qFormat/>
    <w:pPr>
      <w:keepLines/>
      <w:keepNext/>
      <w:spacing w:before="240" w:after="64" w:line="320" w:lineRule="atLeast"/>
      <w:outlineLvl w:val="6"/>
    </w:pPr>
    <w:rPr>
      <w:b/>
      <w:sz w:val="24"/>
      <w:szCs w:val="20"/>
    </w:rPr>
  </w:style>
  <w:style w:type="paragraph" w:styleId="1008">
    <w:name w:val="Heading 8"/>
    <w:basedOn w:val="1000"/>
    <w:next w:val="1000"/>
    <w:link w:val="1061"/>
    <w:uiPriority w:val="0"/>
    <w:qFormat/>
    <w:pPr>
      <w:keepLines/>
      <w:keepNext/>
      <w:spacing w:before="240" w:after="64" w:line="320" w:lineRule="atLeast"/>
      <w:outlineLvl w:val="7"/>
    </w:pPr>
    <w:rPr>
      <w:rFonts w:ascii="Arial" w:hAnsi="Arial" w:eastAsia="黑体"/>
      <w:sz w:val="24"/>
      <w:szCs w:val="20"/>
    </w:rPr>
  </w:style>
  <w:style w:type="paragraph" w:styleId="1009">
    <w:name w:val="Heading 9"/>
    <w:basedOn w:val="1000"/>
    <w:next w:val="1000"/>
    <w:link w:val="1062"/>
    <w:uiPriority w:val="0"/>
    <w:qFormat/>
    <w:pPr>
      <w:keepLines/>
      <w:keepNext/>
      <w:spacing w:before="240" w:after="64" w:line="320" w:lineRule="atLeast"/>
      <w:outlineLvl w:val="8"/>
    </w:pPr>
    <w:rPr>
      <w:rFonts w:ascii="Arial" w:hAnsi="Arial" w:eastAsia="黑体"/>
      <w:szCs w:val="20"/>
    </w:rPr>
  </w:style>
  <w:style w:type="character" w:styleId="1010" w:default="1">
    <w:name w:val="Default Paragraph Font"/>
    <w:uiPriority w:val="1"/>
    <w:unhideWhenUsed/>
    <w:qFormat/>
  </w:style>
  <w:style w:type="table" w:styleId="1011" w:default="1">
    <w:name w:val="Normal Table"/>
    <w:uiPriority w:val="99"/>
    <w:unhideWhenUsed/>
    <w:qFormat/>
    <w:tblPr>
      <w:tblCellMar>
        <w:left w:w="108" w:type="dxa"/>
        <w:top w:w="0" w:type="dxa"/>
        <w:right w:w="108" w:type="dxa"/>
        <w:bottom w:w="0" w:type="dxa"/>
      </w:tblCellMar>
    </w:tblPr>
  </w:style>
  <w:style w:type="paragraph" w:styleId="1012">
    <w:name w:val="Normal Indent"/>
    <w:basedOn w:val="1000"/>
    <w:next w:val="1000"/>
    <w:link w:val="1055"/>
    <w:uiPriority w:val="0"/>
    <w:qFormat/>
    <w:pPr>
      <w:ind w:firstLine="420"/>
      <w:jc w:val="left"/>
    </w:pPr>
    <w:rPr>
      <w:rFonts w:ascii="宋体"/>
      <w:sz w:val="24"/>
    </w:rPr>
  </w:style>
  <w:style w:type="paragraph" w:styleId="1013">
    <w:name w:val="toc 7"/>
    <w:basedOn w:val="1000"/>
    <w:next w:val="1000"/>
    <w:uiPriority w:val="0"/>
    <w:qFormat/>
    <w:pPr>
      <w:ind w:left="2520"/>
    </w:pPr>
  </w:style>
  <w:style w:type="paragraph" w:styleId="1014">
    <w:name w:val="Caption"/>
    <w:basedOn w:val="1000"/>
    <w:next w:val="1000"/>
    <w:uiPriority w:val="0"/>
    <w:qFormat/>
    <w:pPr>
      <w:spacing w:line="480" w:lineRule="auto"/>
    </w:pPr>
    <w:rPr>
      <w:rFonts w:ascii="华文中宋" w:hAnsi="华文中宋" w:eastAsia="华文中宋"/>
      <w:sz w:val="36"/>
      <w:szCs w:val="20"/>
    </w:rPr>
  </w:style>
  <w:style w:type="paragraph" w:styleId="1015">
    <w:name w:val="Document Map"/>
    <w:basedOn w:val="1000"/>
    <w:link w:val="1063"/>
    <w:uiPriority w:val="0"/>
    <w:qFormat/>
    <w:pPr>
      <w:shd w:val="clear" w:color="auto" w:fill="000080"/>
    </w:pPr>
  </w:style>
  <w:style w:type="paragraph" w:styleId="1016">
    <w:name w:val="annotation text"/>
    <w:basedOn w:val="1000"/>
    <w:link w:val="1064"/>
    <w:uiPriority w:val="99"/>
    <w:qFormat/>
    <w:pPr>
      <w:jc w:val="left"/>
    </w:pPr>
  </w:style>
  <w:style w:type="paragraph" w:styleId="1017">
    <w:name w:val="Body Text 3"/>
    <w:basedOn w:val="1000"/>
    <w:link w:val="1065"/>
    <w:uiPriority w:val="0"/>
    <w:qFormat/>
    <w:pPr>
      <w:spacing w:after="120"/>
    </w:pPr>
    <w:rPr>
      <w:sz w:val="16"/>
      <w:szCs w:val="16"/>
    </w:rPr>
  </w:style>
  <w:style w:type="paragraph" w:styleId="1018">
    <w:name w:val="Body Text"/>
    <w:basedOn w:val="1000"/>
    <w:next w:val="1000"/>
    <w:link w:val="1066"/>
    <w:uiPriority w:val="0"/>
    <w:qFormat/>
    <w:pPr>
      <w:spacing w:before="120" w:line="22" w:lineRule="atLeast"/>
      <w:tabs>
        <w:tab w:val="left" w:pos="567" w:leader="none"/>
      </w:tabs>
    </w:pPr>
    <w:rPr>
      <w:rFonts w:ascii="宋体" w:hAnsi="宋体"/>
      <w:sz w:val="24"/>
    </w:rPr>
  </w:style>
  <w:style w:type="paragraph" w:styleId="1019">
    <w:name w:val="Body Text Indent"/>
    <w:basedOn w:val="1000"/>
    <w:next w:val="1020"/>
    <w:link w:val="1067"/>
    <w:uiPriority w:val="0"/>
    <w:qFormat/>
    <w:pPr>
      <w:ind w:firstLine="570"/>
      <w:spacing w:line="360" w:lineRule="auto"/>
    </w:pPr>
    <w:rPr>
      <w:sz w:val="24"/>
    </w:rPr>
  </w:style>
  <w:style w:type="paragraph" w:styleId="1020">
    <w:name w:val="envelope return"/>
    <w:basedOn w:val="1000"/>
    <w:uiPriority w:val="99"/>
    <w:unhideWhenUsed/>
    <w:qFormat/>
    <w:rPr>
      <w:rFonts w:ascii="Arial" w:hAnsi="Arial"/>
    </w:rPr>
  </w:style>
  <w:style w:type="paragraph" w:styleId="1021">
    <w:name w:val="List 2"/>
    <w:basedOn w:val="1000"/>
    <w:next w:val="1022"/>
    <w:uiPriority w:val="0"/>
    <w:qFormat/>
    <w:pPr>
      <w:ind w:left="100" w:hanging="200"/>
    </w:pPr>
  </w:style>
  <w:style w:type="paragraph" w:styleId="1022">
    <w:name w:val="Plain Text"/>
    <w:basedOn w:val="1000"/>
    <w:next w:val="1012"/>
    <w:link w:val="1068"/>
    <w:uiPriority w:val="0"/>
    <w:qFormat/>
    <w:rPr>
      <w:rFonts w:hint="eastAsia" w:ascii="宋体" w:hAnsi="Courier New"/>
      <w:szCs w:val="20"/>
    </w:rPr>
  </w:style>
  <w:style w:type="paragraph" w:styleId="1023">
    <w:name w:val="Block Text"/>
    <w:basedOn w:val="1000"/>
    <w:uiPriority w:val="0"/>
    <w:qFormat/>
    <w:pPr>
      <w:ind w:left="480" w:right="-341" w:firstLine="513"/>
      <w:widowControl/>
    </w:pPr>
    <w:rPr>
      <w:sz w:val="24"/>
      <w:szCs w:val="20"/>
    </w:rPr>
  </w:style>
  <w:style w:type="paragraph" w:styleId="1024">
    <w:name w:val="toc 5"/>
    <w:basedOn w:val="1000"/>
    <w:next w:val="1000"/>
    <w:uiPriority w:val="0"/>
    <w:qFormat/>
    <w:pPr>
      <w:ind w:left="1680"/>
    </w:pPr>
  </w:style>
  <w:style w:type="paragraph" w:styleId="1025">
    <w:name w:val="toc 3"/>
    <w:basedOn w:val="1000"/>
    <w:next w:val="1000"/>
    <w:uiPriority w:val="39"/>
    <w:qFormat/>
    <w:pPr>
      <w:ind w:left="840"/>
    </w:pPr>
  </w:style>
  <w:style w:type="paragraph" w:styleId="1026">
    <w:name w:val="toc 8"/>
    <w:basedOn w:val="1000"/>
    <w:next w:val="1000"/>
    <w:uiPriority w:val="0"/>
    <w:qFormat/>
    <w:pPr>
      <w:ind w:left="2940"/>
    </w:pPr>
  </w:style>
  <w:style w:type="paragraph" w:styleId="1027">
    <w:name w:val="Date"/>
    <w:basedOn w:val="1000"/>
    <w:next w:val="1000"/>
    <w:link w:val="1069"/>
    <w:uiPriority w:val="0"/>
    <w:qFormat/>
    <w:pPr>
      <w:ind w:left="100"/>
    </w:pPr>
    <w:rPr>
      <w:rFonts w:ascii="仿宋_GB2312" w:hAnsi="宋体" w:eastAsia="仿宋_GB2312"/>
      <w:color w:val="000000"/>
      <w:sz w:val="24"/>
    </w:rPr>
  </w:style>
  <w:style w:type="paragraph" w:styleId="1028">
    <w:name w:val="Body Text Indent 2"/>
    <w:basedOn w:val="1000"/>
    <w:link w:val="1070"/>
    <w:uiPriority w:val="0"/>
    <w:qFormat/>
    <w:pPr>
      <w:ind w:firstLine="480"/>
    </w:pPr>
    <w:rPr>
      <w:rFonts w:ascii="仿宋_GB2312" w:eastAsia="仿宋_GB2312"/>
      <w:sz w:val="24"/>
    </w:rPr>
  </w:style>
  <w:style w:type="paragraph" w:styleId="1029">
    <w:name w:val="Balloon Text"/>
    <w:basedOn w:val="1000"/>
    <w:link w:val="1071"/>
    <w:uiPriority w:val="0"/>
    <w:qFormat/>
    <w:rPr>
      <w:sz w:val="18"/>
      <w:szCs w:val="18"/>
    </w:rPr>
  </w:style>
  <w:style w:type="paragraph" w:styleId="1030">
    <w:name w:val="Footer"/>
    <w:basedOn w:val="1000"/>
    <w:link w:val="1072"/>
    <w:uiPriority w:val="99"/>
    <w:qFormat/>
    <w:pPr>
      <w:jc w:val="left"/>
      <w:tabs>
        <w:tab w:val="center" w:pos="4153" w:leader="none"/>
        <w:tab w:val="right" w:pos="8306" w:leader="none"/>
      </w:tabs>
    </w:pPr>
    <w:rPr>
      <w:rFonts w:ascii="宋体"/>
      <w:sz w:val="18"/>
      <w:szCs w:val="20"/>
    </w:rPr>
  </w:style>
  <w:style w:type="paragraph" w:styleId="1031">
    <w:name w:val="Header"/>
    <w:basedOn w:val="1000"/>
    <w:link w:val="1073"/>
    <w:uiPriority w:val="0"/>
    <w:qFormat/>
    <w:pPr>
      <w:jc w:val="center"/>
      <w:tabs>
        <w:tab w:val="center" w:pos="4153" w:leader="none"/>
        <w:tab w:val="right" w:pos="8306" w:leader="none"/>
      </w:tabs>
      <w:pBdr>
        <w:bottom w:val="single" w:color="auto" w:sz="6" w:space="1"/>
      </w:pBdr>
    </w:pPr>
    <w:rPr>
      <w:sz w:val="18"/>
      <w:szCs w:val="18"/>
    </w:rPr>
  </w:style>
  <w:style w:type="paragraph" w:styleId="1032">
    <w:name w:val="toc 1"/>
    <w:basedOn w:val="1000"/>
    <w:next w:val="1000"/>
    <w:uiPriority w:val="39"/>
    <w:qFormat/>
    <w:pPr>
      <w:spacing w:line="300" w:lineRule="auto"/>
      <w:tabs>
        <w:tab w:val="left" w:pos="1050" w:leader="none"/>
        <w:tab w:val="right" w:pos="8937" w:leader="dot"/>
      </w:tabs>
    </w:pPr>
    <w:rPr>
      <w:rFonts w:ascii="宋体" w:hAnsi="宋体"/>
      <w:b/>
      <w:sz w:val="24"/>
    </w:rPr>
  </w:style>
  <w:style w:type="paragraph" w:styleId="1033">
    <w:name w:val="toc 4"/>
    <w:basedOn w:val="1000"/>
    <w:next w:val="1000"/>
    <w:uiPriority w:val="0"/>
    <w:qFormat/>
    <w:pPr>
      <w:ind w:left="1260"/>
    </w:pPr>
  </w:style>
  <w:style w:type="paragraph" w:styleId="1034">
    <w:name w:val="toc 6"/>
    <w:basedOn w:val="1000"/>
    <w:next w:val="1000"/>
    <w:uiPriority w:val="0"/>
    <w:qFormat/>
    <w:pPr>
      <w:ind w:left="2100"/>
    </w:pPr>
  </w:style>
  <w:style w:type="paragraph" w:styleId="1035">
    <w:name w:val="Body Text Indent 3"/>
    <w:basedOn w:val="1000"/>
    <w:link w:val="1074"/>
    <w:uiPriority w:val="0"/>
    <w:qFormat/>
    <w:pPr>
      <w:ind w:left="720" w:firstLine="480"/>
      <w:jc w:val="left"/>
      <w:spacing w:before="120" w:line="22" w:lineRule="atLeast"/>
    </w:pPr>
    <w:rPr>
      <w:rFonts w:ascii="宋体"/>
      <w:sz w:val="24"/>
      <w:szCs w:val="20"/>
    </w:rPr>
  </w:style>
  <w:style w:type="paragraph" w:styleId="1036">
    <w:name w:val="toc 2"/>
    <w:basedOn w:val="1000"/>
    <w:next w:val="1000"/>
    <w:uiPriority w:val="39"/>
    <w:qFormat/>
    <w:pPr>
      <w:ind w:left="420"/>
      <w:spacing w:line="312" w:lineRule="auto"/>
      <w:tabs>
        <w:tab w:val="right" w:pos="8937" w:leader="dot"/>
      </w:tabs>
    </w:pPr>
  </w:style>
  <w:style w:type="paragraph" w:styleId="1037">
    <w:name w:val="toc 9"/>
    <w:basedOn w:val="1000"/>
    <w:next w:val="1000"/>
    <w:uiPriority w:val="0"/>
    <w:qFormat/>
    <w:pPr>
      <w:ind w:left="3360"/>
    </w:pPr>
  </w:style>
  <w:style w:type="paragraph" w:styleId="1038">
    <w:name w:val="HTML Preformatted"/>
    <w:basedOn w:val="1000"/>
    <w:link w:val="10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39">
    <w:name w:val="Normal (Web)"/>
    <w:basedOn w:val="1000"/>
    <w:uiPriority w:val="99"/>
    <w:unhideWhenUsed/>
    <w:qFormat/>
    <w:pPr>
      <w:jc w:val="left"/>
      <w:spacing w:before="100" w:beforeAutospacing="1" w:after="100" w:afterAutospacing="1"/>
      <w:widowControl/>
    </w:pPr>
    <w:rPr>
      <w:rFonts w:ascii="宋体" w:hAnsi="宋体" w:cs="宋体"/>
      <w:sz w:val="24"/>
    </w:rPr>
  </w:style>
  <w:style w:type="paragraph" w:styleId="1040">
    <w:name w:val="index 1"/>
    <w:basedOn w:val="1000"/>
    <w:next w:val="1000"/>
    <w:uiPriority w:val="0"/>
    <w:qFormat/>
    <w:rPr>
      <w:szCs w:val="20"/>
    </w:rPr>
  </w:style>
  <w:style w:type="paragraph" w:styleId="1041">
    <w:name w:val="Title"/>
    <w:basedOn w:val="1021"/>
    <w:next w:val="1000"/>
    <w:link w:val="1076"/>
    <w:uiPriority w:val="0"/>
    <w:qFormat/>
    <w:pPr>
      <w:jc w:val="center"/>
      <w:outlineLvl w:val="0"/>
    </w:pPr>
    <w:rPr>
      <w:b/>
      <w:sz w:val="32"/>
      <w:szCs w:val="20"/>
    </w:rPr>
  </w:style>
  <w:style w:type="paragraph" w:styleId="1042">
    <w:name w:val="annotation subject"/>
    <w:basedOn w:val="1016"/>
    <w:next w:val="1016"/>
    <w:link w:val="1077"/>
    <w:uiPriority w:val="0"/>
    <w:qFormat/>
    <w:rPr>
      <w:b/>
      <w:bCs/>
    </w:rPr>
  </w:style>
  <w:style w:type="paragraph" w:styleId="1043">
    <w:name w:val="Body Text First Indent 2"/>
    <w:basedOn w:val="1019"/>
    <w:next w:val="1000"/>
    <w:link w:val="1078"/>
    <w:uiPriority w:val="0"/>
    <w:qFormat/>
    <w:pPr>
      <w:ind w:left="420" w:firstLine="420"/>
      <w:spacing w:after="120" w:line="480" w:lineRule="exact"/>
    </w:pPr>
    <w:rPr>
      <w:szCs w:val="20"/>
    </w:rPr>
  </w:style>
  <w:style w:type="table" w:styleId="1044">
    <w:name w:val="Table Grid"/>
    <w:basedOn w:val="10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5">
    <w:name w:val="Medium Grid 1 Accent 2"/>
    <w:basedOn w:val="101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6">
    <w:name w:val="Strong"/>
    <w:uiPriority w:val="0"/>
    <w:qFormat/>
    <w:rPr>
      <w:b/>
      <w:bCs/>
    </w:rPr>
  </w:style>
  <w:style w:type="character" w:styleId="1047">
    <w:name w:val="page number"/>
    <w:uiPriority w:val="0"/>
    <w:qFormat/>
  </w:style>
  <w:style w:type="character" w:styleId="1048">
    <w:name w:val="FollowedHyperlink"/>
    <w:uiPriority w:val="0"/>
    <w:qFormat/>
    <w:rPr>
      <w:color w:val="800080"/>
      <w:u w:val="single"/>
    </w:rPr>
  </w:style>
  <w:style w:type="character" w:styleId="1049">
    <w:name w:val="Emphasis"/>
    <w:uiPriority w:val="0"/>
    <w:qFormat/>
    <w:rPr>
      <w:color w:val="cc0033"/>
    </w:rPr>
  </w:style>
  <w:style w:type="character" w:styleId="1050">
    <w:name w:val="Hyperlink"/>
    <w:uiPriority w:val="99"/>
    <w:qFormat/>
    <w:rPr>
      <w:color w:val="0000ff"/>
      <w:u w:val="single"/>
    </w:rPr>
  </w:style>
  <w:style w:type="character" w:styleId="1051">
    <w:name w:val="annotation reference"/>
    <w:uiPriority w:val="99"/>
    <w:qFormat/>
    <w:rPr>
      <w:sz w:val="21"/>
      <w:szCs w:val="21"/>
    </w:rPr>
  </w:style>
  <w:style w:type="character" w:styleId="1052">
    <w:name w:val="HTML Cite"/>
    <w:uiPriority w:val="0"/>
    <w:qFormat/>
    <w:rPr>
      <w:i/>
      <w:iCs/>
    </w:rPr>
  </w:style>
  <w:style w:type="character" w:styleId="1053" w:customStyle="1">
    <w:name w:val="标题 1 Char"/>
    <w:link w:val="1001"/>
    <w:uiPriority w:val="0"/>
    <w:qFormat/>
    <w:rPr>
      <w:rFonts w:ascii="宋体"/>
      <w:b/>
      <w:sz w:val="32"/>
    </w:rPr>
  </w:style>
  <w:style w:type="character" w:styleId="1054" w:customStyle="1">
    <w:name w:val="标题 2 Char1"/>
    <w:link w:val="1002"/>
    <w:uiPriority w:val="0"/>
    <w:qFormat/>
    <w:rPr>
      <w:rFonts w:ascii="Arial" w:hAnsi="Arial" w:eastAsia="黑体"/>
      <w:b/>
      <w:sz w:val="30"/>
      <w:lang w:val="en-US" w:eastAsia="zh-CN" w:bidi="ar-SA"/>
    </w:rPr>
  </w:style>
  <w:style w:type="character" w:styleId="1055" w:customStyle="1">
    <w:name w:val="正文缩进 Char1"/>
    <w:link w:val="1012"/>
    <w:uiPriority w:val="0"/>
    <w:qFormat/>
    <w:rPr>
      <w:rFonts w:ascii="宋体" w:eastAsia="宋体"/>
      <w:sz w:val="24"/>
      <w:szCs w:val="24"/>
      <w:lang w:val="en-US" w:eastAsia="zh-CN" w:bidi="ar-SA"/>
    </w:rPr>
  </w:style>
  <w:style w:type="character" w:styleId="1056" w:customStyle="1">
    <w:name w:val="标题 3 Char1"/>
    <w:link w:val="1003"/>
    <w:uiPriority w:val="0"/>
    <w:qFormat/>
    <w:rPr>
      <w:rFonts w:ascii="宋体" w:hAnsi="宋体" w:eastAsia="宋体" w:cs="宋体"/>
      <w:b/>
      <w:bCs/>
      <w:color w:val="000000"/>
      <w:sz w:val="24"/>
      <w:szCs w:val="20"/>
      <w:highlight w:val="none"/>
      <w:lang w:val="en-US" w:eastAsia="zh-CN" w:bidi="ar-SA"/>
    </w:rPr>
  </w:style>
  <w:style w:type="character" w:styleId="1057" w:customStyle="1">
    <w:name w:val="标题 4 Char"/>
    <w:link w:val="1004"/>
    <w:uiPriority w:val="0"/>
    <w:qFormat/>
    <w:rPr>
      <w:rFonts w:ascii="Arial" w:hAnsi="Arial" w:eastAsia="黑体"/>
      <w:b/>
      <w:sz w:val="28"/>
    </w:rPr>
  </w:style>
  <w:style w:type="character" w:styleId="1058" w:customStyle="1">
    <w:name w:val="标题 5 Char"/>
    <w:link w:val="1005"/>
    <w:uiPriority w:val="0"/>
    <w:qFormat/>
    <w:rPr>
      <w:b/>
      <w:sz w:val="28"/>
    </w:rPr>
  </w:style>
  <w:style w:type="character" w:styleId="1059" w:customStyle="1">
    <w:name w:val="标题 6 Char"/>
    <w:link w:val="1006"/>
    <w:uiPriority w:val="0"/>
    <w:qFormat/>
    <w:rPr>
      <w:rFonts w:ascii="Arial" w:hAnsi="Arial" w:eastAsia="黑体"/>
      <w:b/>
      <w:sz w:val="24"/>
    </w:rPr>
  </w:style>
  <w:style w:type="character" w:styleId="1060" w:customStyle="1">
    <w:name w:val="标题 7 Char"/>
    <w:link w:val="1007"/>
    <w:uiPriority w:val="0"/>
    <w:qFormat/>
    <w:rPr>
      <w:b/>
      <w:sz w:val="24"/>
    </w:rPr>
  </w:style>
  <w:style w:type="character" w:styleId="1061" w:customStyle="1">
    <w:name w:val="标题 8 Char"/>
    <w:link w:val="1008"/>
    <w:uiPriority w:val="0"/>
    <w:qFormat/>
    <w:rPr>
      <w:rFonts w:ascii="Arial" w:hAnsi="Arial" w:eastAsia="黑体"/>
      <w:sz w:val="24"/>
    </w:rPr>
  </w:style>
  <w:style w:type="character" w:styleId="1062" w:customStyle="1">
    <w:name w:val="标题 9 Char"/>
    <w:link w:val="1009"/>
    <w:uiPriority w:val="0"/>
    <w:qFormat/>
    <w:rPr>
      <w:rFonts w:ascii="Arial" w:hAnsi="Arial" w:eastAsia="黑体"/>
      <w:sz w:val="21"/>
    </w:rPr>
  </w:style>
  <w:style w:type="character" w:styleId="1063" w:customStyle="1">
    <w:name w:val="文档结构图 Char"/>
    <w:link w:val="1015"/>
    <w:uiPriority w:val="0"/>
    <w:qFormat/>
    <w:rPr>
      <w:sz w:val="21"/>
      <w:szCs w:val="24"/>
      <w:shd w:val="clear" w:color="auto" w:fill="000080"/>
    </w:rPr>
  </w:style>
  <w:style w:type="character" w:styleId="1064" w:customStyle="1">
    <w:name w:val="批注文字 Char1"/>
    <w:link w:val="1016"/>
    <w:uiPriority w:val="99"/>
    <w:qFormat/>
    <w:rPr>
      <w:sz w:val="21"/>
      <w:szCs w:val="24"/>
    </w:rPr>
  </w:style>
  <w:style w:type="character" w:styleId="1065" w:customStyle="1">
    <w:name w:val="正文文本 3 Char"/>
    <w:link w:val="1017"/>
    <w:uiPriority w:val="0"/>
    <w:qFormat/>
    <w:rPr>
      <w:sz w:val="16"/>
      <w:szCs w:val="16"/>
    </w:rPr>
  </w:style>
  <w:style w:type="character" w:styleId="1066" w:customStyle="1">
    <w:name w:val="正文文本 Char"/>
    <w:link w:val="1018"/>
    <w:uiPriority w:val="0"/>
    <w:qFormat/>
    <w:rPr>
      <w:rFonts w:ascii="宋体" w:hAnsi="宋体"/>
      <w:sz w:val="24"/>
      <w:szCs w:val="24"/>
    </w:rPr>
  </w:style>
  <w:style w:type="character" w:styleId="1067" w:customStyle="1">
    <w:name w:val="正文文本缩进 Char2"/>
    <w:link w:val="1019"/>
    <w:uiPriority w:val="0"/>
    <w:qFormat/>
    <w:rPr>
      <w:rFonts w:eastAsia="宋体"/>
      <w:sz w:val="24"/>
      <w:szCs w:val="24"/>
      <w:lang w:val="en-US" w:eastAsia="zh-CN" w:bidi="ar-SA"/>
    </w:rPr>
  </w:style>
  <w:style w:type="character" w:styleId="1068" w:customStyle="1">
    <w:name w:val="纯文本 Char"/>
    <w:link w:val="1022"/>
    <w:uiPriority w:val="0"/>
    <w:qFormat/>
    <w:rPr>
      <w:rFonts w:hint="eastAsia" w:ascii="宋体" w:hAnsi="Courier New" w:eastAsia="宋体" w:cs="宋体"/>
      <w:sz w:val="21"/>
    </w:rPr>
  </w:style>
  <w:style w:type="character" w:styleId="1069" w:customStyle="1">
    <w:name w:val="日期 Char"/>
    <w:link w:val="1027"/>
    <w:uiPriority w:val="0"/>
    <w:qFormat/>
    <w:rPr>
      <w:rFonts w:ascii="仿宋_GB2312" w:hAnsi="宋体" w:eastAsia="仿宋_GB2312"/>
      <w:color w:val="000000"/>
      <w:sz w:val="24"/>
      <w:szCs w:val="24"/>
    </w:rPr>
  </w:style>
  <w:style w:type="character" w:styleId="1070" w:customStyle="1">
    <w:name w:val="正文文本缩进 2 Char"/>
    <w:link w:val="1028"/>
    <w:uiPriority w:val="0"/>
    <w:qFormat/>
    <w:rPr>
      <w:rFonts w:ascii="仿宋_GB2312" w:eastAsia="仿宋_GB2312"/>
      <w:sz w:val="24"/>
      <w:szCs w:val="24"/>
    </w:rPr>
  </w:style>
  <w:style w:type="character" w:styleId="1071" w:customStyle="1">
    <w:name w:val="批注框文本 Char"/>
    <w:link w:val="1029"/>
    <w:uiPriority w:val="0"/>
    <w:qFormat/>
    <w:rPr>
      <w:sz w:val="18"/>
      <w:szCs w:val="18"/>
    </w:rPr>
  </w:style>
  <w:style w:type="character" w:styleId="1072" w:customStyle="1">
    <w:name w:val="页脚 Char1"/>
    <w:link w:val="1030"/>
    <w:uiPriority w:val="99"/>
    <w:qFormat/>
    <w:rPr>
      <w:rFonts w:ascii="宋体" w:eastAsia="宋体"/>
      <w:sz w:val="18"/>
      <w:lang w:val="en-US" w:eastAsia="zh-CN" w:bidi="ar-SA"/>
    </w:rPr>
  </w:style>
  <w:style w:type="character" w:styleId="1073" w:customStyle="1">
    <w:name w:val="页眉 Char1"/>
    <w:link w:val="1031"/>
    <w:uiPriority w:val="0"/>
    <w:qFormat/>
    <w:rPr>
      <w:rFonts w:eastAsia="宋体"/>
      <w:sz w:val="18"/>
      <w:szCs w:val="18"/>
      <w:lang w:val="en-US" w:eastAsia="zh-CN" w:bidi="ar-SA"/>
    </w:rPr>
  </w:style>
  <w:style w:type="character" w:styleId="1074" w:customStyle="1">
    <w:name w:val="正文文本缩进 3 Char"/>
    <w:link w:val="1035"/>
    <w:uiPriority w:val="0"/>
    <w:qFormat/>
    <w:rPr>
      <w:rFonts w:ascii="宋体"/>
      <w:sz w:val="24"/>
    </w:rPr>
  </w:style>
  <w:style w:type="character" w:styleId="1075" w:customStyle="1">
    <w:name w:val="HTML 预设格式 Char"/>
    <w:link w:val="1038"/>
    <w:uiPriority w:val="0"/>
    <w:qFormat/>
    <w:rPr>
      <w:rFonts w:ascii="宋体" w:hAnsi="宋体" w:cs="宋体"/>
      <w:sz w:val="24"/>
      <w:szCs w:val="24"/>
    </w:rPr>
  </w:style>
  <w:style w:type="character" w:styleId="1076" w:customStyle="1">
    <w:name w:val="标题 Char1"/>
    <w:link w:val="1041"/>
    <w:uiPriority w:val="0"/>
    <w:qFormat/>
    <w:rPr>
      <w:b/>
      <w:sz w:val="32"/>
    </w:rPr>
  </w:style>
  <w:style w:type="character" w:styleId="1077" w:customStyle="1">
    <w:name w:val="批注主题 Char"/>
    <w:link w:val="1042"/>
    <w:uiPriority w:val="0"/>
    <w:qFormat/>
    <w:rPr>
      <w:rFonts w:ascii="Times New Roman" w:hAnsi="Times New Roman" w:eastAsia="宋体" w:cs="Times New Roman"/>
      <w:b/>
      <w:bCs/>
      <w:sz w:val="21"/>
      <w:szCs w:val="24"/>
      <w:lang w:val="en-US" w:eastAsia="zh-CN" w:bidi="ar-SA"/>
    </w:rPr>
  </w:style>
  <w:style w:type="character" w:styleId="1078" w:customStyle="1">
    <w:name w:val="正文首行缩进 2 Char"/>
    <w:link w:val="1043"/>
    <w:uiPriority w:val="0"/>
    <w:qFormat/>
    <w:rPr>
      <w:rFonts w:eastAsia="宋体"/>
      <w:sz w:val="24"/>
      <w:szCs w:val="24"/>
      <w:lang w:val="en-US" w:eastAsia="zh-CN" w:bidi="ar-SA"/>
    </w:rPr>
  </w:style>
  <w:style w:type="character" w:styleId="1079" w:customStyle="1">
    <w:name w:val="标题 2 Char"/>
    <w:uiPriority w:val="0"/>
    <w:qFormat/>
    <w:rPr>
      <w:rFonts w:ascii="Arial" w:hAnsi="Arial" w:eastAsia="黑体"/>
      <w:b/>
      <w:sz w:val="30"/>
      <w:lang w:val="en-US" w:eastAsia="zh-CN" w:bidi="ar-SA"/>
    </w:rPr>
  </w:style>
  <w:style w:type="paragraph" w:styleId="1080"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081" w:customStyle="1">
    <w:name w:val="批注文字 字符"/>
    <w:uiPriority w:val="99"/>
    <w:qFormat/>
    <w:rPr>
      <w:rFonts w:ascii="Times New Roman" w:hAnsi="Times New Roman" w:eastAsia="宋体" w:cs="Times New Roman"/>
      <w:sz w:val="24"/>
      <w:lang w:val="en-US" w:eastAsia="zh-CN" w:bidi="ar-SA"/>
    </w:rPr>
  </w:style>
  <w:style w:type="character" w:styleId="1082" w:customStyle="1">
    <w:name w:val="列出段落 Char"/>
    <w:uiPriority w:val="0"/>
    <w:qFormat/>
    <w:rPr>
      <w:rFonts w:ascii="Calibri" w:hAnsi="Calibri" w:eastAsia="宋体"/>
      <w:sz w:val="21"/>
      <w:szCs w:val="22"/>
      <w:lang w:val="en-US" w:eastAsia="zh-CN" w:bidi="ar-SA"/>
    </w:rPr>
  </w:style>
  <w:style w:type="character" w:styleId="1083" w:customStyle="1">
    <w:name w:val="txt"/>
    <w:uiPriority w:val="0"/>
    <w:qFormat/>
  </w:style>
  <w:style w:type="character" w:styleId="1084" w:customStyle="1">
    <w:name w:val="title4"/>
    <w:uiPriority w:val="0"/>
    <w:qFormat/>
    <w:rPr>
      <w:b/>
      <w:bCs/>
      <w:color w:val="1d87b3"/>
      <w:sz w:val="15"/>
      <w:szCs w:val="15"/>
    </w:rPr>
  </w:style>
  <w:style w:type="character" w:styleId="1085" w:customStyle="1">
    <w:name w:val="apple-style-span"/>
    <w:uiPriority w:val="0"/>
    <w:qFormat/>
    <w:rPr>
      <w:rFonts w:cs="Times New Roman"/>
    </w:rPr>
  </w:style>
  <w:style w:type="character" w:styleId="1086" w:customStyle="1">
    <w:name w:val="正文大标题 Char"/>
    <w:link w:val="1087"/>
    <w:uiPriority w:val="0"/>
    <w:qFormat/>
    <w:rPr>
      <w:rFonts w:ascii="宋体" w:hAnsi="宋体"/>
      <w:b/>
      <w:color w:val="000000"/>
      <w:sz w:val="28"/>
      <w:szCs w:val="21"/>
    </w:rPr>
  </w:style>
  <w:style w:type="paragraph" w:styleId="1087" w:customStyle="1">
    <w:name w:val="正文大标题"/>
    <w:basedOn w:val="1088"/>
    <w:next w:val="1012"/>
    <w:link w:val="1086"/>
    <w:uiPriority w:val="0"/>
    <w:qFormat/>
    <w:pPr>
      <w:jc w:val="center"/>
    </w:pPr>
    <w:rPr>
      <w:i w:val="0"/>
      <w:color w:val="000000"/>
      <w:sz w:val="28"/>
      <w:szCs w:val="21"/>
    </w:rPr>
  </w:style>
  <w:style w:type="paragraph" w:styleId="1088" w:customStyle="1">
    <w:name w:val="正文小标题"/>
    <w:basedOn w:val="1000"/>
    <w:next w:val="1012"/>
    <w:link w:val="1089"/>
    <w:uiPriority w:val="0"/>
    <w:qFormat/>
    <w:pPr>
      <w:ind w:firstLine="482"/>
      <w:jc w:val="left"/>
    </w:pPr>
    <w:rPr>
      <w:rFonts w:ascii="宋体" w:hAnsi="宋体"/>
      <w:b/>
      <w:i/>
      <w:color w:val="ff0000"/>
      <w:sz w:val="24"/>
      <w:szCs w:val="20"/>
    </w:rPr>
  </w:style>
  <w:style w:type="character" w:styleId="1089" w:customStyle="1">
    <w:name w:val="正文小标题 Char"/>
    <w:link w:val="1088"/>
    <w:uiPriority w:val="0"/>
    <w:qFormat/>
    <w:rPr>
      <w:rFonts w:ascii="宋体" w:hAnsi="宋体"/>
      <w:b/>
      <w:i/>
      <w:color w:val="ff0000"/>
      <w:sz w:val="24"/>
    </w:rPr>
  </w:style>
  <w:style w:type="character" w:styleId="1090" w:customStyle="1">
    <w:name w:val="中等深浅网格 1 - 强调文字颜色 2 Char"/>
    <w:link w:val="1091"/>
    <w:uiPriority w:val="0"/>
    <w:qFormat/>
    <w:rPr>
      <w:sz w:val="21"/>
      <w:szCs w:val="24"/>
      <w:lang w:val="zh-CN" w:eastAsia="zh-CN" w:bidi="ar-SA"/>
    </w:rPr>
  </w:style>
  <w:style w:type="paragraph" w:styleId="1091" w:customStyle="1">
    <w:name w:val="1"/>
    <w:link w:val="1090"/>
    <w:uiPriority w:val="0"/>
    <w:qFormat/>
    <w:rPr>
      <w:rFonts w:ascii="Times New Roman" w:hAnsi="Times New Roman" w:eastAsia="宋体" w:cs="Times New Roman"/>
      <w:sz w:val="21"/>
      <w:szCs w:val="24"/>
      <w:lang w:val="zh-CN" w:eastAsia="zh-CN" w:bidi="ar-SA"/>
    </w:rPr>
  </w:style>
  <w:style w:type="character" w:styleId="1092" w:customStyle="1">
    <w:name w:val="正文重点 Char"/>
    <w:link w:val="1093"/>
    <w:uiPriority w:val="0"/>
    <w:qFormat/>
    <w:rPr>
      <w:b/>
      <w:sz w:val="24"/>
    </w:rPr>
  </w:style>
  <w:style w:type="paragraph" w:styleId="1093" w:customStyle="1">
    <w:name w:val="正文重点"/>
    <w:basedOn w:val="1000"/>
    <w:link w:val="1092"/>
    <w:uiPriority w:val="0"/>
    <w:qFormat/>
    <w:pPr>
      <w:ind w:firstLine="482"/>
      <w:jc w:val="left"/>
      <w:spacing w:line="360" w:lineRule="auto"/>
    </w:pPr>
    <w:rPr>
      <w:b/>
      <w:sz w:val="24"/>
      <w:szCs w:val="20"/>
    </w:rPr>
  </w:style>
  <w:style w:type="character" w:styleId="1094" w:customStyle="1">
    <w:name w:val="正文缩进 Char"/>
    <w:uiPriority w:val="0"/>
    <w:qFormat/>
    <w:rPr>
      <w:rFonts w:ascii="宋体" w:eastAsia="宋体"/>
      <w:sz w:val="24"/>
      <w:szCs w:val="24"/>
      <w:lang w:val="en-US" w:eastAsia="zh-CN" w:bidi="ar-SA"/>
    </w:rPr>
  </w:style>
  <w:style w:type="character" w:styleId="1095" w:customStyle="1">
    <w:name w:val="标题 3 Char"/>
    <w:uiPriority w:val="0"/>
    <w:qFormat/>
    <w:rPr>
      <w:rFonts w:ascii="宋体" w:eastAsia="宋体"/>
      <w:b/>
      <w:sz w:val="24"/>
      <w:u w:val="single"/>
      <w:lang w:val="en-US" w:eastAsia="zh-CN" w:bidi="ar-SA"/>
    </w:rPr>
  </w:style>
  <w:style w:type="character" w:styleId="1096" w:customStyle="1">
    <w:name w:val="纯文本 字符1"/>
    <w:uiPriority w:val="0"/>
    <w:qFormat/>
    <w:rPr>
      <w:rFonts w:ascii="宋体" w:hAnsi="Courier New"/>
    </w:rPr>
  </w:style>
  <w:style w:type="character" w:styleId="1097" w:customStyle="1">
    <w:name w:val="标题 2 Char Char"/>
    <w:uiPriority w:val="0"/>
    <w:qFormat/>
    <w:rPr>
      <w:rFonts w:ascii="Arial" w:hAnsi="Arial" w:eastAsia="黑体"/>
      <w:b/>
      <w:bCs/>
      <w:sz w:val="32"/>
      <w:szCs w:val="32"/>
      <w:lang w:val="en-US" w:eastAsia="zh-CN" w:bidi="ar-SA"/>
    </w:rPr>
  </w:style>
  <w:style w:type="character" w:styleId="1098" w:customStyle="1">
    <w:name w:val="纯文本 Char1"/>
    <w:uiPriority w:val="0"/>
    <w:qFormat/>
    <w:rPr>
      <w:rFonts w:ascii="宋体" w:hAnsi="Courier New" w:eastAsia="宋体"/>
      <w:sz w:val="21"/>
      <w:lang w:val="en-US" w:eastAsia="zh-CN" w:bidi="ar-SA"/>
    </w:rPr>
  </w:style>
  <w:style w:type="character" w:styleId="1099" w:customStyle="1">
    <w:name w:val="Char Char11"/>
    <w:uiPriority w:val="0"/>
    <w:qFormat/>
    <w:rPr>
      <w:rFonts w:ascii="宋体" w:eastAsia="宋体"/>
      <w:b/>
      <w:sz w:val="24"/>
      <w:u w:val="single"/>
      <w:lang w:val="en-US" w:eastAsia="zh-CN" w:bidi="ar-SA"/>
    </w:rPr>
  </w:style>
  <w:style w:type="character" w:styleId="1100" w:customStyle="1">
    <w:name w:val="标题 Char"/>
    <w:uiPriority w:val="0"/>
    <w:qFormat/>
    <w:rPr>
      <w:b/>
      <w:sz w:val="32"/>
    </w:rPr>
  </w:style>
  <w:style w:type="character" w:styleId="1101" w:customStyle="1">
    <w:name w:val="正文文本缩进 Char"/>
    <w:uiPriority w:val="0"/>
    <w:qFormat/>
    <w:rPr>
      <w:rFonts w:eastAsia="宋体"/>
      <w:sz w:val="24"/>
      <w:szCs w:val="24"/>
      <w:lang w:val="en-US" w:eastAsia="zh-CN" w:bidi="ar-SA"/>
    </w:rPr>
  </w:style>
  <w:style w:type="character" w:styleId="1102" w:customStyle="1">
    <w:name w:val="street-address"/>
    <w:uiPriority w:val="0"/>
    <w:qFormat/>
  </w:style>
  <w:style w:type="character" w:styleId="1103" w:customStyle="1">
    <w:name w:val="段1 Char"/>
    <w:uiPriority w:val="0"/>
    <w:qFormat/>
    <w:rPr>
      <w:rFonts w:ascii="宋体" w:eastAsia="宋体"/>
      <w:sz w:val="24"/>
      <w:lang w:val="en-US" w:eastAsia="zh-CN" w:bidi="ar-SA"/>
    </w:rPr>
  </w:style>
  <w:style w:type="character" w:styleId="1104" w:customStyle="1">
    <w:name w:val="Char Char111"/>
    <w:uiPriority w:val="0"/>
    <w:qFormat/>
    <w:rPr>
      <w:rFonts w:ascii="宋体" w:eastAsia="宋体"/>
      <w:b/>
      <w:sz w:val="24"/>
      <w:u w:val="single"/>
      <w:lang w:val="en-US" w:eastAsia="zh-CN" w:bidi="ar-SA"/>
    </w:rPr>
  </w:style>
  <w:style w:type="character" w:styleId="1105" w:customStyle="1">
    <w:name w:val="成文日期 Char"/>
    <w:link w:val="1106"/>
    <w:uiPriority w:val="0"/>
    <w:qFormat/>
    <w:rPr>
      <w:rFonts w:ascii="仿宋_GB2312" w:eastAsia="仿宋_GB2312"/>
      <w:sz w:val="32"/>
    </w:rPr>
  </w:style>
  <w:style w:type="paragraph" w:styleId="1106" w:customStyle="1">
    <w:name w:val="成文日期"/>
    <w:basedOn w:val="1000"/>
    <w:link w:val="1105"/>
    <w:uiPriority w:val="0"/>
    <w:qFormat/>
    <w:pPr>
      <w:ind w:right="400" w:firstLine="200"/>
      <w:jc w:val="right"/>
      <w:spacing w:line="570" w:lineRule="exact"/>
    </w:pPr>
    <w:rPr>
      <w:rFonts w:ascii="仿宋_GB2312" w:eastAsia="仿宋_GB2312"/>
      <w:sz w:val="32"/>
      <w:szCs w:val="20"/>
    </w:rPr>
  </w:style>
  <w:style w:type="character" w:styleId="1107" w:customStyle="1">
    <w:name w:val="locality"/>
    <w:uiPriority w:val="0"/>
    <w:qFormat/>
  </w:style>
  <w:style w:type="character" w:styleId="1108" w:customStyle="1">
    <w:name w:val="页眉 Char"/>
    <w:uiPriority w:val="0"/>
    <w:qFormat/>
    <w:rPr>
      <w:rFonts w:eastAsia="宋体"/>
      <w:sz w:val="18"/>
      <w:szCs w:val="18"/>
      <w:lang w:val="en-US" w:eastAsia="zh-CN" w:bidi="ar-SA"/>
    </w:rPr>
  </w:style>
  <w:style w:type="character" w:styleId="1109" w:customStyle="1">
    <w:name w:val="标题 3 Char Char"/>
    <w:uiPriority w:val="0"/>
    <w:qFormat/>
    <w:rPr>
      <w:rFonts w:eastAsia="宋体"/>
      <w:b/>
      <w:bCs/>
      <w:sz w:val="32"/>
      <w:szCs w:val="32"/>
      <w:lang w:val="en-US" w:eastAsia="zh-CN" w:bidi="ar-SA"/>
    </w:rPr>
  </w:style>
  <w:style w:type="character" w:styleId="1110" w:customStyle="1">
    <w:name w:val="chanpin1"/>
    <w:uiPriority w:val="0"/>
    <w:qFormat/>
    <w:rPr>
      <w:rFonts w:hint="default" w:ascii="ˎ̥" w:hAnsi="ˎ̥"/>
      <w:color w:val="000000"/>
      <w:sz w:val="20"/>
      <w:szCs w:val="20"/>
      <w:u w:val="none"/>
    </w:rPr>
  </w:style>
  <w:style w:type="character" w:styleId="1111" w:customStyle="1">
    <w:name w:val="正文文本缩进 Char1"/>
    <w:link w:val="1112"/>
    <w:uiPriority w:val="0"/>
    <w:qFormat/>
    <w:rPr>
      <w:rFonts w:ascii="宋体" w:hAnsi="宋体" w:eastAsia="宋体"/>
      <w:sz w:val="24"/>
      <w:szCs w:val="24"/>
      <w:lang w:bidi="ar-SA"/>
    </w:rPr>
  </w:style>
  <w:style w:type="paragraph" w:styleId="1112" w:customStyle="1">
    <w:name w:val="正文文本缩进1"/>
    <w:basedOn w:val="1000"/>
    <w:link w:val="1111"/>
    <w:uiPriority w:val="0"/>
    <w:qFormat/>
    <w:pPr>
      <w:ind w:firstLine="480"/>
      <w:spacing w:line="480" w:lineRule="exact"/>
    </w:pPr>
    <w:rPr>
      <w:rFonts w:ascii="宋体" w:hAnsi="宋体"/>
      <w:sz w:val="24"/>
    </w:rPr>
  </w:style>
  <w:style w:type="character" w:styleId="1113" w:customStyle="1">
    <w:name w:val="正文缩进 Char Char"/>
    <w:link w:val="1114"/>
    <w:uiPriority w:val="0"/>
    <w:qFormat/>
    <w:rPr>
      <w:rFonts w:ascii="宋体" w:eastAsia="宋体"/>
      <w:color w:val="000000"/>
      <w:sz w:val="28"/>
      <w:lang w:bidi="ar-SA"/>
    </w:rPr>
  </w:style>
  <w:style w:type="paragraph" w:styleId="1114" w:customStyle="1">
    <w:name w:val="正文缩进1"/>
    <w:basedOn w:val="1000"/>
    <w:link w:val="1113"/>
    <w:uiPriority w:val="0"/>
    <w:qFormat/>
    <w:pPr>
      <w:ind w:firstLine="567"/>
      <w:spacing w:line="480" w:lineRule="exact"/>
      <w:widowControl/>
    </w:pPr>
    <w:rPr>
      <w:rFonts w:ascii="宋体"/>
      <w:color w:val="000000"/>
      <w:sz w:val="28"/>
      <w:szCs w:val="20"/>
    </w:rPr>
  </w:style>
  <w:style w:type="character" w:styleId="1115" w:customStyle="1">
    <w:name w:val="正文表格 Char"/>
    <w:link w:val="1116"/>
    <w:uiPriority w:val="0"/>
    <w:qFormat/>
    <w:rPr>
      <w:rFonts w:ascii="宋体" w:hAnsi="宋体"/>
      <w:color w:val="000000"/>
      <w:sz w:val="21"/>
      <w:szCs w:val="21"/>
    </w:rPr>
  </w:style>
  <w:style w:type="paragraph" w:styleId="1116" w:customStyle="1">
    <w:name w:val="正文表格"/>
    <w:basedOn w:val="1000"/>
    <w:link w:val="1115"/>
    <w:uiPriority w:val="0"/>
    <w:qFormat/>
    <w:pPr>
      <w:jc w:val="left"/>
    </w:pPr>
    <w:rPr>
      <w:rFonts w:ascii="宋体" w:hAnsi="宋体"/>
      <w:color w:val="000000"/>
      <w:szCs w:val="21"/>
    </w:rPr>
  </w:style>
  <w:style w:type="character" w:styleId="1117" w:customStyle="1">
    <w:name w:val="普通文字1 Char1"/>
    <w:uiPriority w:val="0"/>
    <w:qFormat/>
    <w:rPr>
      <w:rFonts w:ascii="宋体" w:hAnsi="Courier New" w:eastAsia="宋体"/>
      <w:sz w:val="21"/>
      <w:lang w:val="en-US" w:eastAsia="zh-CN" w:bidi="ar-SA"/>
    </w:rPr>
  </w:style>
  <w:style w:type="character" w:styleId="1118" w:customStyle="1">
    <w:name w:val="c21"/>
    <w:uiPriority w:val="0"/>
    <w:qFormat/>
    <w:rPr>
      <w:rFonts w:hint="default" w:ascii="ˎ̥" w:hAnsi="ˎ̥"/>
      <w:color w:val="000000"/>
      <w:sz w:val="20"/>
      <w:szCs w:val="20"/>
      <w:u w:val="none"/>
    </w:rPr>
  </w:style>
  <w:style w:type="character" w:styleId="1119" w:customStyle="1">
    <w:name w:val="页脚 Char"/>
    <w:uiPriority w:val="0"/>
    <w:qFormat/>
    <w:rPr>
      <w:rFonts w:ascii="宋体" w:eastAsia="宋体"/>
      <w:sz w:val="18"/>
      <w:lang w:val="en-US" w:eastAsia="zh-CN" w:bidi="ar-SA"/>
    </w:rPr>
  </w:style>
  <w:style w:type="character" w:styleId="1120" w:customStyle="1">
    <w:name w:val="black1"/>
    <w:uiPriority w:val="0"/>
    <w:qFormat/>
    <w:rPr>
      <w:color w:val="000000"/>
    </w:rPr>
  </w:style>
  <w:style w:type="character" w:styleId="1121" w:customStyle="1">
    <w:name w:val="列出段落 Char1"/>
    <w:link w:val="1122"/>
    <w:uiPriority w:val="34"/>
    <w:qFormat/>
    <w:rPr>
      <w:rFonts w:ascii="Calibri" w:hAnsi="Calibri" w:eastAsia="宋体"/>
      <w:sz w:val="21"/>
      <w:szCs w:val="22"/>
      <w:lang w:val="en-US" w:eastAsia="zh-CN" w:bidi="ar-SA"/>
    </w:rPr>
  </w:style>
  <w:style w:type="paragraph" w:styleId="1122">
    <w:name w:val="List Paragraph"/>
    <w:basedOn w:val="1000"/>
    <w:link w:val="1121"/>
    <w:uiPriority w:val="34"/>
    <w:qFormat/>
    <w:pPr>
      <w:ind w:firstLine="420"/>
    </w:pPr>
    <w:rPr>
      <w:rFonts w:ascii="Calibri" w:hAnsi="Calibri"/>
      <w:szCs w:val="22"/>
    </w:rPr>
  </w:style>
  <w:style w:type="character" w:styleId="1123" w:customStyle="1">
    <w:name w:val="chanpin拷贝"/>
    <w:uiPriority w:val="0"/>
    <w:qFormat/>
  </w:style>
  <w:style w:type="character" w:styleId="1124" w:customStyle="1">
    <w:name w:val="注释 Char"/>
    <w:link w:val="1125"/>
    <w:uiPriority w:val="0"/>
    <w:qFormat/>
    <w:rPr>
      <w:rFonts w:ascii="宋体" w:hAnsi="宋体"/>
      <w:sz w:val="21"/>
      <w:szCs w:val="21"/>
    </w:rPr>
  </w:style>
  <w:style w:type="paragraph" w:styleId="1125" w:customStyle="1">
    <w:name w:val="注释"/>
    <w:basedOn w:val="1000"/>
    <w:link w:val="1124"/>
    <w:uiPriority w:val="0"/>
    <w:qFormat/>
    <w:pPr>
      <w:ind w:left="420" w:hanging="420"/>
      <w:jc w:val="left"/>
    </w:pPr>
    <w:rPr>
      <w:rFonts w:ascii="宋体" w:hAnsi="宋体"/>
      <w:szCs w:val="21"/>
    </w:rPr>
  </w:style>
  <w:style w:type="character" w:styleId="1126" w:customStyle="1">
    <w:name w:val="纯文本 字符"/>
    <w:uiPriority w:val="99"/>
    <w:qFormat/>
    <w:rPr>
      <w:rFonts w:ascii="宋体" w:hAnsi="Courier New" w:eastAsia="宋体" w:cs="Times New Roman"/>
      <w:sz w:val="21"/>
      <w:szCs w:val="21"/>
      <w:lang w:val="en-US" w:eastAsia="zh-CN" w:bidi="ar-SA"/>
    </w:rPr>
  </w:style>
  <w:style w:type="character" w:styleId="1127" w:customStyle="1">
    <w:name w:val="bjh-p"/>
    <w:uiPriority w:val="0"/>
    <w:qFormat/>
  </w:style>
  <w:style w:type="character" w:styleId="1128" w:customStyle="1">
    <w:name w:val="正文格式 Char"/>
    <w:link w:val="1129"/>
    <w:uiPriority w:val="0"/>
    <w:qFormat/>
    <w:rPr>
      <w:rFonts w:ascii="宋体" w:hAnsi="宋体"/>
      <w:sz w:val="24"/>
      <w:szCs w:val="24"/>
      <w:lang w:val="en-GB"/>
    </w:rPr>
  </w:style>
  <w:style w:type="paragraph" w:styleId="1129" w:customStyle="1">
    <w:name w:val="正文格式"/>
    <w:basedOn w:val="1000"/>
    <w:link w:val="1128"/>
    <w:uiPriority w:val="0"/>
    <w:qFormat/>
    <w:pPr>
      <w:ind w:firstLine="480"/>
      <w:spacing w:line="360" w:lineRule="auto"/>
    </w:pPr>
    <w:rPr>
      <w:rFonts w:ascii="宋体" w:hAnsi="宋体"/>
      <w:sz w:val="24"/>
      <w:lang w:val="en-GB"/>
    </w:rPr>
  </w:style>
  <w:style w:type="character" w:styleId="1130" w:customStyle="1">
    <w:name w:val="批注文字 Char"/>
    <w:uiPriority w:val="99"/>
    <w:qFormat/>
    <w:rPr>
      <w:sz w:val="21"/>
      <w:szCs w:val="24"/>
    </w:rPr>
  </w:style>
  <w:style w:type="paragraph" w:styleId="1131" w:customStyle="1">
    <w:name w:val="字元 字元1"/>
    <w:basedOn w:val="1000"/>
    <w:uiPriority w:val="0"/>
    <w:qFormat/>
    <w:rPr>
      <w:rFonts w:ascii="Tahoma" w:hAnsi="Tahoma"/>
      <w:sz w:val="24"/>
      <w:szCs w:val="20"/>
    </w:rPr>
  </w:style>
  <w:style w:type="paragraph" w:styleId="1132" w:customStyle="1">
    <w:name w:val="1名"/>
    <w:basedOn w:val="1000"/>
    <w:uiPriority w:val="0"/>
    <w:qFormat/>
    <w:pPr>
      <w:ind w:left="360" w:hanging="360"/>
      <w:spacing w:before="120"/>
      <w:tabs>
        <w:tab w:val="left" w:pos="360" w:leader="none"/>
      </w:tabs>
    </w:pPr>
    <w:rPr>
      <w:rFonts w:ascii="宋体"/>
      <w:sz w:val="28"/>
      <w:szCs w:val="20"/>
    </w:rPr>
  </w:style>
  <w:style w:type="paragraph" w:styleId="1133" w:customStyle="1">
    <w:name w:val="Char3 Char Char Char"/>
    <w:basedOn w:val="1000"/>
    <w:uiPriority w:val="0"/>
    <w:qFormat/>
    <w:rPr>
      <w:rFonts w:ascii="Tahoma" w:hAnsi="Tahoma"/>
      <w:sz w:val="24"/>
      <w:szCs w:val="20"/>
    </w:rPr>
  </w:style>
  <w:style w:type="paragraph" w:styleId="1134" w:customStyle="1">
    <w:name w:val="文档正文"/>
    <w:basedOn w:val="1000"/>
    <w:uiPriority w:val="0"/>
    <w:qFormat/>
    <w:pPr>
      <w:spacing w:before="120" w:after="120" w:line="180" w:lineRule="auto"/>
    </w:pPr>
    <w:rPr>
      <w:rFonts w:ascii="Arial" w:hAnsi="Arial"/>
      <w:szCs w:val="20"/>
    </w:rPr>
  </w:style>
  <w:style w:type="paragraph" w:styleId="1135" w:customStyle="1">
    <w:name w:val="Char Char Char Char Char Char Char Char Char Char1"/>
    <w:basedOn w:val="1000"/>
    <w:uiPriority w:val="0"/>
    <w:qFormat/>
    <w:rPr>
      <w:rFonts w:ascii="宋体" w:hAnsi="宋体" w:cs="Courier New"/>
      <w:sz w:val="32"/>
      <w:szCs w:val="32"/>
    </w:rPr>
  </w:style>
  <w:style w:type="paragraph" w:styleId="1136" w:customStyle="1">
    <w:name w:val="Char22"/>
    <w:basedOn w:val="1000"/>
    <w:uiPriority w:val="0"/>
    <w:qFormat/>
    <w:rPr>
      <w:rFonts w:ascii="Tahoma" w:hAnsi="Tahoma"/>
      <w:sz w:val="24"/>
      <w:szCs w:val="20"/>
    </w:rPr>
  </w:style>
  <w:style w:type="paragraph" w:styleId="1137" w:customStyle="1">
    <w:name w:val="Char Char Char1"/>
    <w:basedOn w:val="1000"/>
    <w:uiPriority w:val="0"/>
    <w:qFormat/>
    <w:rPr>
      <w:rFonts w:ascii="Tahoma" w:hAnsi="Tahoma"/>
      <w:sz w:val="24"/>
      <w:szCs w:val="20"/>
    </w:rPr>
  </w:style>
  <w:style w:type="paragraph" w:styleId="1138" w:customStyle="1">
    <w:name w:val="xl43"/>
    <w:basedOn w:val="10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9" w:customStyle="1">
    <w:name w:val="Char Char Char"/>
    <w:basedOn w:val="1000"/>
    <w:uiPriority w:val="0"/>
    <w:qFormat/>
    <w:rPr>
      <w:rFonts w:ascii="Tahoma" w:hAnsi="Tahoma"/>
      <w:sz w:val="24"/>
      <w:szCs w:val="20"/>
    </w:rPr>
  </w:style>
  <w:style w:type="paragraph" w:styleId="1140" w:customStyle="1">
    <w:name w:val="font8"/>
    <w:basedOn w:val="1000"/>
    <w:uiPriority w:val="0"/>
    <w:qFormat/>
    <w:pPr>
      <w:jc w:val="left"/>
      <w:spacing w:before="100" w:beforeAutospacing="1" w:after="100" w:afterAutospacing="1"/>
      <w:widowControl/>
    </w:pPr>
    <w:rPr>
      <w:sz w:val="36"/>
      <w:szCs w:val="36"/>
    </w:rPr>
  </w:style>
  <w:style w:type="paragraph" w:styleId="1141" w:customStyle="1">
    <w:name w:val="default"/>
    <w:basedOn w:val="1000"/>
    <w:uiPriority w:val="0"/>
    <w:qFormat/>
    <w:pPr>
      <w:jc w:val="left"/>
      <w:spacing w:before="100" w:beforeAutospacing="1" w:after="100" w:afterAutospacing="1"/>
      <w:widowControl/>
    </w:pPr>
    <w:rPr>
      <w:rFonts w:ascii="宋体" w:hAnsi="宋体" w:cs="宋体"/>
      <w:sz w:val="24"/>
    </w:rPr>
  </w:style>
  <w:style w:type="paragraph" w:styleId="1142" w:customStyle="1">
    <w:name w:val="样式 宋体 五号 行距: 单倍行距"/>
    <w:basedOn w:val="1000"/>
    <w:uiPriority w:val="0"/>
    <w:qFormat/>
    <w:pPr>
      <w:jc w:val="left"/>
    </w:pPr>
    <w:rPr>
      <w:rFonts w:ascii="宋体" w:hAnsi="宋体"/>
      <w:szCs w:val="20"/>
    </w:rPr>
  </w:style>
  <w:style w:type="paragraph" w:styleId="1143" w:customStyle="1">
    <w:name w:val="xl41"/>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4" w:customStyle="1">
    <w:name w:val="缺省文本"/>
    <w:basedOn w:val="1000"/>
    <w:uiPriority w:val="0"/>
    <w:qFormat/>
    <w:pPr>
      <w:jc w:val="left"/>
    </w:pPr>
    <w:rPr>
      <w:sz w:val="24"/>
    </w:rPr>
  </w:style>
  <w:style w:type="paragraph" w:styleId="1145" w:customStyle="1">
    <w:name w:val="Char"/>
    <w:basedOn w:val="1000"/>
    <w:uiPriority w:val="0"/>
    <w:qFormat/>
    <w:pPr>
      <w:tabs>
        <w:tab w:val="left" w:pos="360" w:leader="none"/>
      </w:tabs>
    </w:pPr>
    <w:rPr>
      <w:sz w:val="24"/>
    </w:rPr>
  </w:style>
  <w:style w:type="paragraph" w:styleId="1146" w:customStyle="1">
    <w:name w:val="正文 + 宋体"/>
    <w:basedOn w:val="1000"/>
    <w:uiPriority w:val="0"/>
    <w:qFormat/>
    <w:pPr>
      <w:ind w:left="360" w:hanging="360"/>
      <w:jc w:val="left"/>
      <w:widowControl/>
    </w:pPr>
    <w:rPr>
      <w:rFonts w:ascii="宋体" w:hAnsi="宋体" w:cs="宋体"/>
      <w:b/>
      <w:bCs/>
      <w:color w:val="000000"/>
      <w:sz w:val="18"/>
      <w:szCs w:val="18"/>
    </w:rPr>
  </w:style>
  <w:style w:type="paragraph" w:styleId="1147" w:customStyle="1">
    <w:name w:val="xl52"/>
    <w:basedOn w:val="10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48" w:customStyle="1">
    <w:name w:val="xl36"/>
    <w:basedOn w:val="100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customStyle="1">
    <w:name w:val="Char Char1 Char Char Char Char Char Char"/>
    <w:basedOn w:val="1000"/>
    <w:uiPriority w:val="0"/>
    <w:qFormat/>
    <w:pPr>
      <w:jc w:val="left"/>
      <w:spacing w:after="160" w:line="240" w:lineRule="exact"/>
      <w:widowControl/>
    </w:pPr>
    <w:rPr>
      <w:rFonts w:ascii="Verdana" w:hAnsi="Verdana" w:eastAsia="仿宋_GB2312"/>
      <w:sz w:val="24"/>
      <w:szCs w:val="20"/>
      <w:lang w:eastAsia="en-US"/>
    </w:rPr>
  </w:style>
  <w:style w:type="paragraph" w:styleId="1150" w:customStyle="1">
    <w:name w:val="xl40"/>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1" w:customStyle="1">
    <w:name w:val="xl38"/>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2" w:customStyle="1">
    <w:name w:val="xl39"/>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3" w:customStyle="1">
    <w:name w:val="Char Char Char Char Char Char Char Char Char Char Char Char Char Char Char Char"/>
    <w:basedOn w:val="1000"/>
    <w:uiPriority w:val="0"/>
    <w:qFormat/>
    <w:pPr>
      <w:jc w:val="center"/>
      <w:spacing w:after="160" w:line="240" w:lineRule="exact"/>
      <w:widowControl/>
    </w:pPr>
    <w:rPr>
      <w:rFonts w:ascii="宋体" w:hAnsi="宋体"/>
      <w:b/>
      <w:sz w:val="30"/>
      <w:szCs w:val="30"/>
      <w:lang w:eastAsia="en-US"/>
    </w:rPr>
  </w:style>
  <w:style w:type="paragraph" w:styleId="1154" w:customStyle="1">
    <w:name w:val="项目编号2"/>
    <w:basedOn w:val="1155"/>
    <w:uiPriority w:val="0"/>
    <w:qFormat/>
    <w:pPr>
      <w:numPr>
        <w:ilvl w:val="0"/>
        <w:numId w:val="0"/>
      </w:numPr>
      <w:ind w:left="420" w:hanging="420"/>
    </w:pPr>
  </w:style>
  <w:style w:type="paragraph" w:styleId="1155" w:customStyle="1">
    <w:name w:val="项目编号1"/>
    <w:basedOn w:val="1000"/>
    <w:uiPriority w:val="0"/>
    <w:qFormat/>
    <w:pPr>
      <w:ind w:left="420" w:hanging="420"/>
      <w:spacing w:before="100" w:beforeAutospacing="1" w:after="100" w:afterAutospacing="1" w:line="360" w:lineRule="auto"/>
    </w:pPr>
    <w:rPr>
      <w:sz w:val="24"/>
    </w:rPr>
  </w:style>
  <w:style w:type="paragraph" w:styleId="1156" w:customStyle="1">
    <w:name w:val="xl50"/>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57" w:customStyle="1">
    <w:name w:val="List Paragraph1"/>
    <w:basedOn w:val="1000"/>
    <w:uiPriority w:val="0"/>
    <w:qFormat/>
    <w:pPr>
      <w:ind w:firstLine="420"/>
    </w:pPr>
    <w:rPr>
      <w:rFonts w:ascii="Calibri" w:hAnsi="Calibri"/>
      <w:szCs w:val="22"/>
    </w:rPr>
  </w:style>
  <w:style w:type="paragraph" w:styleId="1158" w:customStyle="1">
    <w:name w:val="列出段落2"/>
    <w:basedOn w:val="1000"/>
    <w:uiPriority w:val="0"/>
    <w:qFormat/>
    <w:pPr>
      <w:ind w:firstLine="420"/>
    </w:pPr>
    <w:rPr>
      <w:rFonts w:ascii="Calibri" w:hAnsi="Calibri"/>
      <w:szCs w:val="22"/>
    </w:rPr>
  </w:style>
  <w:style w:type="paragraph" w:styleId="1159" w:customStyle="1">
    <w:name w:val="xl45"/>
    <w:basedOn w:val="10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0" w:customStyle="1">
    <w:name w:val="font5"/>
    <w:basedOn w:val="1000"/>
    <w:uiPriority w:val="0"/>
    <w:qFormat/>
    <w:pPr>
      <w:jc w:val="left"/>
      <w:spacing w:before="100" w:beforeAutospacing="1" w:after="100" w:afterAutospacing="1"/>
      <w:widowControl/>
    </w:pPr>
    <w:rPr>
      <w:rFonts w:ascii="宋体" w:hAnsi="宋体" w:cs="宋体"/>
      <w:sz w:val="18"/>
      <w:szCs w:val="18"/>
    </w:rPr>
  </w:style>
  <w:style w:type="paragraph" w:styleId="1161" w:customStyle="1">
    <w:name w:val="字元 字元"/>
    <w:basedOn w:val="1000"/>
    <w:uiPriority w:val="0"/>
    <w:qFormat/>
    <w:rPr>
      <w:rFonts w:ascii="Tahoma" w:hAnsi="Tahoma"/>
      <w:sz w:val="24"/>
      <w:szCs w:val="20"/>
    </w:rPr>
  </w:style>
  <w:style w:type="paragraph" w:styleId="1162" w:customStyle="1">
    <w:name w:val="正文列项_字母"/>
    <w:basedOn w:val="1000"/>
    <w:uiPriority w:val="0"/>
    <w:qFormat/>
    <w:pPr>
      <w:ind w:left="480" w:hanging="180"/>
      <w:spacing w:line="460" w:lineRule="exact"/>
      <w:outlineLvl w:val="6"/>
    </w:pPr>
    <w:rPr>
      <w:rFonts w:ascii="宋体"/>
      <w:sz w:val="28"/>
      <w:szCs w:val="20"/>
    </w:rPr>
  </w:style>
  <w:style w:type="paragraph" w:styleId="1163" w:customStyle="1">
    <w:name w:val="font6"/>
    <w:basedOn w:val="1000"/>
    <w:uiPriority w:val="0"/>
    <w:qFormat/>
    <w:pPr>
      <w:jc w:val="left"/>
      <w:spacing w:before="100" w:beforeAutospacing="1" w:after="100" w:afterAutospacing="1"/>
      <w:widowControl/>
    </w:pPr>
    <w:rPr>
      <w:rFonts w:ascii="宋体" w:hAnsi="宋体" w:cs="宋体"/>
      <w:sz w:val="20"/>
      <w:szCs w:val="20"/>
    </w:rPr>
  </w:style>
  <w:style w:type="paragraph" w:styleId="1164" w:customStyle="1">
    <w:name w:val="xl37"/>
    <w:basedOn w:val="10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customStyle="1">
    <w:name w:val="xl26"/>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66" w:customStyle="1">
    <w:name w:val="二级条标题"/>
    <w:basedOn w:val="1167"/>
    <w:next w:val="100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7" w:customStyle="1">
    <w:name w:val="一级条标题"/>
    <w:basedOn w:val="1168"/>
    <w:next w:val="1000"/>
    <w:uiPriority w:val="0"/>
    <w:qFormat/>
    <w:pPr>
      <w:numPr>
        <w:ilvl w:val="0"/>
        <w:numId w:val="0"/>
      </w:numPr>
      <w:ind w:hanging="840"/>
      <w:tabs>
        <w:tab w:val="left" w:pos="360" w:leader="none"/>
        <w:tab w:val="left" w:pos="840" w:leader="none"/>
      </w:tabs>
      <w:outlineLvl w:val="1"/>
    </w:pPr>
  </w:style>
  <w:style w:type="paragraph" w:styleId="1168" w:customStyle="1">
    <w:name w:val="章标题"/>
    <w:next w:val="1000"/>
    <w:uiPriority w:val="0"/>
    <w:qFormat/>
    <w:pPr>
      <w:jc w:val="both"/>
      <w:spacing w:line="460" w:lineRule="exact"/>
      <w:outlineLvl w:val="0"/>
    </w:pPr>
    <w:rPr>
      <w:rFonts w:ascii="黑体" w:hAnsi="Times New Roman" w:eastAsia="黑体" w:cs="Times New Roman"/>
      <w:b/>
      <w:sz w:val="28"/>
      <w:lang w:val="en-US" w:eastAsia="zh-CN" w:bidi="ar-SA"/>
    </w:rPr>
  </w:style>
  <w:style w:type="paragraph" w:styleId="1169" w:customStyle="1">
    <w:name w:val="项目编号3"/>
    <w:basedOn w:val="1170"/>
    <w:uiPriority w:val="0"/>
    <w:qFormat/>
    <w:pPr>
      <w:ind w:left="902" w:hanging="420"/>
    </w:pPr>
  </w:style>
  <w:style w:type="paragraph" w:styleId="1170" w:customStyle="1">
    <w:name w:val="正文文本样式"/>
    <w:basedOn w:val="1000"/>
    <w:uiPriority w:val="0"/>
    <w:qFormat/>
    <w:pPr>
      <w:ind w:firstLine="482"/>
      <w:spacing w:line="360" w:lineRule="auto"/>
    </w:pPr>
    <w:rPr>
      <w:rFonts w:cs="宋体"/>
      <w:sz w:val="24"/>
      <w:szCs w:val="20"/>
    </w:rPr>
  </w:style>
  <w:style w:type="paragraph" w:styleId="1171" w:customStyle="1">
    <w:name w:val="Char1 Char Char Char1"/>
    <w:basedOn w:val="1000"/>
    <w:uiPriority w:val="0"/>
    <w:qFormat/>
    <w:rPr>
      <w:rFonts w:ascii="Tahoma" w:hAnsi="Tahoma" w:cs="仿宋_GB2312"/>
      <w:sz w:val="24"/>
      <w:szCs w:val="28"/>
    </w:rPr>
  </w:style>
  <w:style w:type="paragraph" w:styleId="1172" w:customStyle="1">
    <w:name w:val="_Style 172"/>
    <w:uiPriority w:val="99"/>
    <w:unhideWhenUsed/>
    <w:qFormat/>
    <w:rPr>
      <w:rFonts w:ascii="Times New Roman" w:hAnsi="Times New Roman" w:eastAsia="宋体" w:cs="Times New Roman"/>
      <w:sz w:val="21"/>
      <w:szCs w:val="24"/>
      <w:lang w:val="en-US" w:eastAsia="zh-CN" w:bidi="ar-SA"/>
    </w:rPr>
  </w:style>
  <w:style w:type="paragraph" w:styleId="1173" w:customStyle="1">
    <w:name w:val="Char3 Char Char Char2"/>
    <w:basedOn w:val="1000"/>
    <w:uiPriority w:val="0"/>
    <w:qFormat/>
    <w:rPr>
      <w:rFonts w:ascii="Tahoma" w:hAnsi="Tahoma"/>
      <w:sz w:val="24"/>
      <w:szCs w:val="20"/>
    </w:rPr>
  </w:style>
  <w:style w:type="paragraph" w:styleId="1174" w:customStyle="1">
    <w:name w:val="font7"/>
    <w:basedOn w:val="1000"/>
    <w:uiPriority w:val="0"/>
    <w:qFormat/>
    <w:pPr>
      <w:jc w:val="left"/>
      <w:spacing w:before="100" w:beforeAutospacing="1" w:after="100" w:afterAutospacing="1"/>
      <w:widowControl/>
    </w:pPr>
    <w:rPr>
      <w:rFonts w:eastAsia="Arial Unicode MS"/>
      <w:b/>
      <w:bCs/>
      <w:color w:val="000000"/>
      <w:sz w:val="20"/>
      <w:szCs w:val="20"/>
    </w:rPr>
  </w:style>
  <w:style w:type="paragraph" w:styleId="1175" w:customStyle="1">
    <w:name w:val="图中文字"/>
    <w:basedOn w:val="1000"/>
    <w:uiPriority w:val="0"/>
    <w:qFormat/>
    <w:pPr>
      <w:jc w:val="center"/>
      <w:spacing w:line="0" w:lineRule="atLeast"/>
    </w:pPr>
    <w:rPr>
      <w:sz w:val="24"/>
      <w:szCs w:val="20"/>
    </w:rPr>
  </w:style>
  <w:style w:type="paragraph" w:styleId="1176" w:customStyle="1">
    <w:name w:val="列出段落1"/>
    <w:basedOn w:val="1000"/>
    <w:uiPriority w:val="0"/>
    <w:qFormat/>
    <w:pPr>
      <w:ind w:firstLine="420"/>
    </w:pPr>
    <w:rPr>
      <w:rFonts w:ascii="Calibri" w:hAnsi="Calibri"/>
      <w:szCs w:val="22"/>
    </w:rPr>
  </w:style>
  <w:style w:type="paragraph" w:styleId="1177" w:customStyle="1">
    <w:name w:val="xl46"/>
    <w:basedOn w:val="100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8" w:customStyle="1">
    <w:name w:val="Char Char Char Char Char Char Char Char Char Char2"/>
    <w:basedOn w:val="1000"/>
    <w:uiPriority w:val="0"/>
    <w:qFormat/>
    <w:rPr>
      <w:rFonts w:ascii="宋体" w:hAnsi="宋体" w:cs="Courier New"/>
      <w:sz w:val="32"/>
      <w:szCs w:val="32"/>
    </w:rPr>
  </w:style>
  <w:style w:type="paragraph" w:styleId="1179" w:customStyle="1">
    <w:name w:val="xl25"/>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0" w:customStyle="1">
    <w:name w:val="表格文字"/>
    <w:basedOn w:val="1019"/>
    <w:next w:val="1018"/>
    <w:uiPriority w:val="0"/>
    <w:qFormat/>
    <w:pPr>
      <w:ind w:firstLine="0"/>
      <w:spacing w:before="20" w:after="20" w:line="240" w:lineRule="auto"/>
    </w:pPr>
    <w:rPr>
      <w:rFonts w:ascii="Century Gothic" w:hAnsi="Century Gothic"/>
      <w:sz w:val="20"/>
      <w:szCs w:val="20"/>
    </w:rPr>
  </w:style>
  <w:style w:type="paragraph" w:styleId="1181" w:customStyle="1">
    <w:name w:val="正文须知-2级"/>
    <w:basedOn w:val="1000"/>
    <w:uiPriority w:val="0"/>
    <w:qFormat/>
    <w:pPr>
      <w:ind w:left="851" w:hanging="851"/>
      <w:spacing w:line="300" w:lineRule="auto"/>
    </w:pPr>
    <w:rPr>
      <w:rFonts w:ascii="宋体" w:hAnsi="Calibri"/>
      <w:sz w:val="24"/>
      <w:szCs w:val="21"/>
    </w:rPr>
  </w:style>
  <w:style w:type="paragraph" w:styleId="118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3" w:customStyle="1">
    <w:name w:val="纯文本1"/>
    <w:basedOn w:val="1000"/>
    <w:uiPriority w:val="0"/>
    <w:qFormat/>
    <w:rPr>
      <w:rFonts w:ascii="宋体" w:hAnsi="Courier New" w:cs="Courier New"/>
      <w:sz w:val="24"/>
      <w:szCs w:val="21"/>
    </w:rPr>
  </w:style>
  <w:style w:type="paragraph" w:styleId="1184" w:customStyle="1">
    <w:name w:val="Char2"/>
    <w:basedOn w:val="1000"/>
    <w:uiPriority w:val="0"/>
    <w:qFormat/>
    <w:rPr>
      <w:rFonts w:ascii="Tahoma" w:hAnsi="Tahoma"/>
      <w:sz w:val="24"/>
      <w:szCs w:val="20"/>
    </w:rPr>
  </w:style>
  <w:style w:type="paragraph" w:styleId="1185" w:customStyle="1">
    <w:name w:val="正文须知-3级"/>
    <w:basedOn w:val="1000"/>
    <w:uiPriority w:val="0"/>
    <w:qFormat/>
    <w:pPr>
      <w:ind w:left="851" w:hanging="355"/>
      <w:spacing w:line="300" w:lineRule="auto"/>
    </w:pPr>
    <w:rPr>
      <w:rFonts w:ascii="宋体" w:hAnsi="Calibri"/>
      <w:sz w:val="24"/>
      <w:szCs w:val="21"/>
    </w:rPr>
  </w:style>
  <w:style w:type="paragraph" w:styleId="1186" w:customStyle="1">
    <w:name w:val="1 Char Char Char Char"/>
    <w:basedOn w:val="1000"/>
    <w:uiPriority w:val="0"/>
    <w:qFormat/>
    <w:rPr>
      <w:rFonts w:ascii="Tahoma" w:hAnsi="Tahoma"/>
      <w:sz w:val="24"/>
      <w:szCs w:val="20"/>
    </w:rPr>
  </w:style>
  <w:style w:type="paragraph" w:styleId="1187" w:customStyle="1">
    <w:name w:val="xl35"/>
    <w:basedOn w:val="10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customStyle="1">
    <w:name w:val="正文须知-1级"/>
    <w:basedOn w:val="1000"/>
    <w:next w:val="1000"/>
    <w:uiPriority w:val="0"/>
    <w:qFormat/>
    <w:pPr>
      <w:ind w:left="680" w:hanging="680"/>
      <w:spacing w:line="300" w:lineRule="auto"/>
    </w:pPr>
    <w:rPr>
      <w:rFonts w:ascii="宋体" w:hAnsi="Calibri"/>
      <w:sz w:val="24"/>
      <w:szCs w:val="21"/>
    </w:rPr>
  </w:style>
  <w:style w:type="paragraph" w:styleId="1189" w:customStyle="1">
    <w:name w:val="xl49"/>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0" w:customStyle="1">
    <w:name w:val="Char Char Char2"/>
    <w:basedOn w:val="1000"/>
    <w:uiPriority w:val="0"/>
    <w:qFormat/>
    <w:rPr>
      <w:rFonts w:ascii="Tahoma" w:hAnsi="Tahoma"/>
      <w:sz w:val="24"/>
      <w:szCs w:val="20"/>
    </w:rPr>
  </w:style>
  <w:style w:type="paragraph" w:styleId="1191" w:customStyle="1">
    <w:name w:val="无标题条"/>
    <w:next w:val="1000"/>
    <w:uiPriority w:val="0"/>
    <w:qFormat/>
    <w:pPr>
      <w:jc w:val="both"/>
    </w:pPr>
    <w:rPr>
      <w:rFonts w:ascii="Times New Roman" w:hAnsi="Times New Roman" w:eastAsia="宋体" w:cs="Times New Roman"/>
      <w:sz w:val="21"/>
      <w:lang w:val="en-US" w:eastAsia="zh-CN" w:bidi="ar-SA"/>
    </w:rPr>
  </w:style>
  <w:style w:type="paragraph" w:styleId="1192" w:customStyle="1">
    <w:name w:val="Normal_1"/>
    <w:uiPriority w:val="0"/>
    <w:qFormat/>
    <w:rPr>
      <w:rFonts w:ascii="Calibri" w:hAnsi="Calibri" w:eastAsia="宋体" w:cs="Times New Roman"/>
      <w:sz w:val="24"/>
      <w:szCs w:val="24"/>
      <w:lang w:val="en-US" w:eastAsia="zh-CN" w:bidi="ar-SA"/>
    </w:rPr>
  </w:style>
  <w:style w:type="paragraph" w:styleId="1193" w:customStyle="1">
    <w:name w:val="Char Char Char1 Char"/>
    <w:basedOn w:val="1000"/>
    <w:uiPriority w:val="0"/>
    <w:qFormat/>
    <w:rPr>
      <w:rFonts w:ascii="Tahoma" w:hAnsi="Tahoma"/>
      <w:sz w:val="24"/>
      <w:szCs w:val="20"/>
    </w:rPr>
  </w:style>
  <w:style w:type="paragraph" w:styleId="1194" w:customStyle="1">
    <w:name w:val="四级条标题"/>
    <w:basedOn w:val="1195"/>
    <w:next w:val="1000"/>
    <w:uiPriority w:val="0"/>
    <w:qFormat/>
    <w:pPr>
      <w:numPr>
        <w:ilvl w:val="0"/>
        <w:numId w:val="0"/>
      </w:numPr>
      <w:ind w:hanging="840"/>
      <w:tabs>
        <w:tab w:val="left" w:pos="360" w:leader="none"/>
        <w:tab w:val="left" w:pos="840" w:leader="none"/>
      </w:tabs>
      <w:outlineLvl w:val="4"/>
    </w:pPr>
  </w:style>
  <w:style w:type="paragraph" w:styleId="1195" w:customStyle="1">
    <w:name w:val="三级条标题"/>
    <w:basedOn w:val="1166"/>
    <w:next w:val="1000"/>
    <w:uiPriority w:val="0"/>
    <w:qFormat/>
    <w:pPr>
      <w:outlineLvl w:val="3"/>
    </w:pPr>
  </w:style>
  <w:style w:type="paragraph" w:styleId="1196" w:customStyle="1">
    <w:name w:val="默认段落字体 Para Char Char Char Char"/>
    <w:basedOn w:val="1000"/>
    <w:uiPriority w:val="0"/>
    <w:qFormat/>
    <w:rPr>
      <w:rFonts w:ascii="Arial" w:hAnsi="Arial" w:cs="Arial"/>
      <w:szCs w:val="21"/>
    </w:rPr>
  </w:style>
  <w:style w:type="paragraph" w:styleId="1197" w:customStyle="1">
    <w:name w:val="Char Char1 Char Char Char Char Char Char Char Char"/>
    <w:basedOn w:val="1000"/>
    <w:uiPriority w:val="0"/>
    <w:qFormat/>
    <w:pPr>
      <w:jc w:val="left"/>
      <w:spacing w:after="160" w:line="240" w:lineRule="exact"/>
      <w:widowControl/>
    </w:pPr>
    <w:rPr>
      <w:rFonts w:ascii="Verdana" w:hAnsi="Verdana"/>
      <w:sz w:val="20"/>
      <w:szCs w:val="20"/>
      <w:lang w:eastAsia="en-US"/>
    </w:rPr>
  </w:style>
  <w:style w:type="paragraph" w:styleId="1198" w:customStyle="1">
    <w:name w:val="background1"/>
    <w:basedOn w:val="1000"/>
    <w:uiPriority w:val="0"/>
    <w:qFormat/>
    <w:pPr>
      <w:jc w:val="left"/>
      <w:spacing w:before="100" w:beforeAutospacing="1" w:after="100" w:afterAutospacing="1"/>
      <w:widowControl/>
    </w:pPr>
    <w:rPr>
      <w:rFonts w:ascii="宋体" w:hAnsi="宋体" w:cs="宋体"/>
      <w:sz w:val="24"/>
    </w:rPr>
  </w:style>
  <w:style w:type="paragraph" w:styleId="1199" w:customStyle="1">
    <w:name w:val="xl24"/>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0" w:customStyle="1">
    <w:name w:val="Char Char Char Char Char Char Char"/>
    <w:basedOn w:val="1000"/>
    <w:uiPriority w:val="0"/>
    <w:qFormat/>
    <w:pPr>
      <w:ind w:firstLine="200"/>
      <w:spacing w:line="360" w:lineRule="auto"/>
    </w:pPr>
    <w:rPr>
      <w:rFonts w:eastAsia="仿宋_GB2312"/>
      <w:sz w:val="24"/>
    </w:rPr>
  </w:style>
  <w:style w:type="paragraph" w:styleId="1201" w:customStyle="1">
    <w:name w:val="Table Paragraph"/>
    <w:basedOn w:val="1000"/>
    <w:uiPriority w:val="1"/>
    <w:qFormat/>
    <w:pPr>
      <w:jc w:val="left"/>
    </w:pPr>
    <w:rPr>
      <w:rFonts w:ascii="宋体" w:hAnsi="宋体" w:cs="宋体"/>
      <w:sz w:val="22"/>
      <w:szCs w:val="22"/>
      <w:lang w:eastAsia="en-US"/>
    </w:rPr>
  </w:style>
  <w:style w:type="paragraph" w:styleId="1202" w:customStyle="1">
    <w:name w:val="五级条标题"/>
    <w:basedOn w:val="1194"/>
    <w:next w:val="1000"/>
    <w:uiPriority w:val="0"/>
    <w:qFormat/>
    <w:pPr>
      <w:numPr>
        <w:ilvl w:val="5"/>
      </w:numPr>
      <w:ind w:left="0" w:hanging="840"/>
      <w:outlineLvl w:val="5"/>
    </w:pPr>
  </w:style>
  <w:style w:type="paragraph" w:styleId="1203" w:customStyle="1">
    <w:name w:val="正文列项_数字"/>
    <w:basedOn w:val="1000"/>
    <w:uiPriority w:val="0"/>
    <w:qFormat/>
    <w:pPr>
      <w:ind w:left="680" w:hanging="150"/>
      <w:spacing w:line="460" w:lineRule="exact"/>
      <w:outlineLvl w:val="7"/>
    </w:pPr>
    <w:rPr>
      <w:rFonts w:ascii="宋体"/>
      <w:sz w:val="28"/>
      <w:szCs w:val="20"/>
    </w:rPr>
  </w:style>
  <w:style w:type="paragraph" w:styleId="1204" w:customStyle="1">
    <w:name w:val="Char1"/>
    <w:basedOn w:val="1000"/>
    <w:uiPriority w:val="0"/>
    <w:qFormat/>
    <w:pPr>
      <w:tabs>
        <w:tab w:val="left" w:pos="360" w:leader="none"/>
      </w:tabs>
    </w:pPr>
    <w:rPr>
      <w:sz w:val="24"/>
    </w:rPr>
  </w:style>
  <w:style w:type="paragraph" w:styleId="1205" w:customStyle="1">
    <w:name w:val="样式2"/>
    <w:basedOn w:val="1040"/>
    <w:uiPriority w:val="0"/>
    <w:qFormat/>
    <w:pPr>
      <w:jc w:val="center"/>
      <w:spacing w:line="360" w:lineRule="auto"/>
    </w:pPr>
    <w:rPr>
      <w:sz w:val="24"/>
    </w:rPr>
  </w:style>
  <w:style w:type="paragraph" w:styleId="1206" w:customStyle="1">
    <w:name w:val="xl32"/>
    <w:basedOn w:val="10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7" w:customStyle="1">
    <w:name w:val="Char Char1"/>
    <w:basedOn w:val="1015"/>
    <w:uiPriority w:val="0"/>
    <w:qFormat/>
    <w:rPr>
      <w:rFonts w:ascii="Tahoma" w:hAnsi="Tahoma"/>
      <w:sz w:val="24"/>
    </w:rPr>
  </w:style>
  <w:style w:type="paragraph" w:styleId="1208" w:customStyle="1">
    <w:name w:val="xl30"/>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9" w:customStyle="1">
    <w:name w:val="正文文本样式 加粗"/>
    <w:basedOn w:val="1170"/>
    <w:uiPriority w:val="0"/>
    <w:qFormat/>
    <w:rPr>
      <w:b/>
    </w:rPr>
  </w:style>
  <w:style w:type="paragraph" w:styleId="1210" w:customStyle="1">
    <w:name w:val="Char Char4"/>
    <w:basedOn w:val="1000"/>
    <w:uiPriority w:val="0"/>
    <w:qFormat/>
    <w:pPr>
      <w:jc w:val="center"/>
      <w:spacing w:line="400" w:lineRule="exact"/>
      <w:widowControl/>
    </w:pPr>
  </w:style>
  <w:style w:type="paragraph" w:styleId="1211" w:customStyle="1">
    <w:name w:val="样式 标题 2 + 宋体 五号 行距: 单倍行距"/>
    <w:basedOn w:val="1002"/>
    <w:uiPriority w:val="0"/>
    <w:qFormat/>
    <w:pPr>
      <w:ind w:left="1188" w:hanging="360"/>
      <w:jc w:val="left"/>
      <w:spacing w:before="260" w:after="260" w:line="240" w:lineRule="auto"/>
      <w:tabs>
        <w:tab w:val="left" w:pos="1188" w:leader="none"/>
      </w:tabs>
    </w:pPr>
    <w:rPr>
      <w:rFonts w:ascii="宋体" w:hAnsi="宋体" w:eastAsia="宋体"/>
      <w:bCs/>
      <w:sz w:val="21"/>
    </w:rPr>
  </w:style>
  <w:style w:type="paragraph" w:styleId="1212" w:customStyle="1">
    <w:name w:val="表格1"/>
    <w:basedOn w:val="1000"/>
    <w:uiPriority w:val="0"/>
    <w:qFormat/>
    <w:pPr>
      <w:ind w:firstLine="480"/>
      <w:jc w:val="center"/>
    </w:pPr>
    <w:rPr>
      <w:sz w:val="24"/>
      <w:szCs w:val="20"/>
    </w:rPr>
  </w:style>
  <w:style w:type="paragraph" w:styleId="1213" w:customStyle="1">
    <w:name w:val="项目符号1"/>
    <w:basedOn w:val="1170"/>
    <w:uiPriority w:val="0"/>
    <w:qFormat/>
    <w:pPr>
      <w:ind w:left="-25" w:firstLine="0"/>
    </w:pPr>
  </w:style>
  <w:style w:type="paragraph" w:styleId="1214" w:customStyle="1">
    <w:name w:val="xl27"/>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5" w:customStyle="1">
    <w:name w:val="字元 字元2"/>
    <w:basedOn w:val="1000"/>
    <w:uiPriority w:val="0"/>
    <w:qFormat/>
    <w:rPr>
      <w:rFonts w:ascii="Tahoma" w:hAnsi="Tahoma"/>
      <w:sz w:val="24"/>
      <w:szCs w:val="20"/>
    </w:rPr>
  </w:style>
  <w:style w:type="paragraph" w:styleId="1216" w:customStyle="1">
    <w:name w:val="图文"/>
    <w:basedOn w:val="1000"/>
    <w:uiPriority w:val="0"/>
    <w:qFormat/>
    <w:pPr>
      <w:spacing w:after="50" w:line="360" w:lineRule="auto"/>
    </w:pPr>
    <w:rPr>
      <w:sz w:val="24"/>
    </w:rPr>
  </w:style>
  <w:style w:type="paragraph" w:styleId="1217" w:customStyle="1">
    <w:name w:val="xl53"/>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8" w:customStyle="1">
    <w:name w:val="22222222222222"/>
    <w:basedOn w:val="1000"/>
    <w:uiPriority w:val="0"/>
    <w:qFormat/>
    <w:pPr>
      <w:ind w:firstLine="480"/>
      <w:jc w:val="left"/>
      <w:spacing w:line="360" w:lineRule="auto"/>
      <w:widowControl/>
    </w:pPr>
    <w:rPr>
      <w:color w:val="ff0000"/>
      <w:sz w:val="24"/>
      <w:szCs w:val="20"/>
    </w:rPr>
  </w:style>
  <w:style w:type="paragraph" w:styleId="1219" w:customStyle="1">
    <w:name w:val="正文缩进11"/>
    <w:basedOn w:val="1000"/>
    <w:uiPriority w:val="99"/>
    <w:qFormat/>
    <w:pPr>
      <w:ind w:firstLine="200"/>
    </w:pPr>
    <w:rPr>
      <w:sz w:val="24"/>
    </w:rPr>
  </w:style>
  <w:style w:type="paragraph" w:styleId="1220" w:customStyle="1">
    <w:name w:val="Char3"/>
    <w:basedOn w:val="1000"/>
    <w:uiPriority w:val="0"/>
    <w:qFormat/>
    <w:pPr>
      <w:tabs>
        <w:tab w:val="left" w:pos="360" w:leader="none"/>
      </w:tabs>
    </w:pPr>
    <w:rPr>
      <w:sz w:val="24"/>
    </w:rPr>
  </w:style>
  <w:style w:type="paragraph" w:styleId="1221" w:customStyle="1">
    <w:name w:val="xl33"/>
    <w:basedOn w:val="10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2" w:customStyle="1">
    <w:name w:val="Char21"/>
    <w:basedOn w:val="1000"/>
    <w:uiPriority w:val="0"/>
    <w:qFormat/>
    <w:rPr>
      <w:rFonts w:ascii="Tahoma" w:hAnsi="Tahoma"/>
      <w:sz w:val="24"/>
      <w:szCs w:val="20"/>
    </w:rPr>
  </w:style>
  <w:style w:type="paragraph" w:styleId="1223" w:customStyle="1">
    <w:name w:val="xl42"/>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24" w:customStyle="1">
    <w:name w:val="Char2 Char Char Char Char Char Char1"/>
    <w:basedOn w:val="1000"/>
    <w:uiPriority w:val="0"/>
    <w:qFormat/>
    <w:pPr>
      <w:jc w:val="center"/>
      <w:spacing w:line="400" w:lineRule="exact"/>
      <w:widowControl/>
    </w:pPr>
  </w:style>
  <w:style w:type="paragraph" w:styleId="1225" w:customStyle="1">
    <w:name w:val="xl44"/>
    <w:basedOn w:val="10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26" w:customStyle="1">
    <w:name w:val="xl34"/>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7" w:customStyle="1">
    <w:name w:val="标题1-附件"/>
    <w:basedOn w:val="1001"/>
    <w:uiPriority w:val="0"/>
    <w:qFormat/>
    <w:pPr>
      <w:jc w:val="left"/>
    </w:pPr>
    <w:rPr>
      <w:sz w:val="24"/>
      <w:szCs w:val="24"/>
    </w:rPr>
  </w:style>
  <w:style w:type="paragraph" w:styleId="1228" w:customStyle="1">
    <w:name w:val="xl51"/>
    <w:basedOn w:val="10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9" w:customStyle="1">
    <w:name w:val="xl48"/>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30" w:customStyle="1">
    <w:name w:val="Char Char1 Char Char Char Char Char Char1"/>
    <w:basedOn w:val="1000"/>
    <w:uiPriority w:val="0"/>
    <w:qFormat/>
    <w:pPr>
      <w:jc w:val="left"/>
      <w:spacing w:after="160" w:line="240" w:lineRule="exact"/>
      <w:widowControl/>
    </w:pPr>
    <w:rPr>
      <w:rFonts w:ascii="Verdana" w:hAnsi="Verdana" w:eastAsia="仿宋_GB2312"/>
      <w:sz w:val="24"/>
      <w:szCs w:val="20"/>
      <w:lang w:eastAsia="en-US"/>
    </w:rPr>
  </w:style>
  <w:style w:type="paragraph" w:styleId="1231" w:customStyle="1">
    <w:name w:val="font9"/>
    <w:basedOn w:val="100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2" w:customStyle="1">
    <w:name w:val="Char Char41"/>
    <w:basedOn w:val="1000"/>
    <w:uiPriority w:val="0"/>
    <w:qFormat/>
    <w:pPr>
      <w:jc w:val="center"/>
      <w:spacing w:line="400" w:lineRule="exact"/>
      <w:widowControl/>
    </w:pPr>
  </w:style>
  <w:style w:type="paragraph" w:styleId="1233" w:customStyle="1">
    <w:name w:val="Char Char Char1 Char1"/>
    <w:basedOn w:val="1000"/>
    <w:uiPriority w:val="0"/>
    <w:qFormat/>
    <w:rPr>
      <w:rFonts w:ascii="Tahoma" w:hAnsi="Tahoma"/>
      <w:sz w:val="24"/>
      <w:szCs w:val="20"/>
    </w:rPr>
  </w:style>
  <w:style w:type="paragraph" w:styleId="1234" w:customStyle="1">
    <w:name w:val="正文文本缩进2"/>
    <w:basedOn w:val="1000"/>
    <w:uiPriority w:val="0"/>
    <w:qFormat/>
    <w:pPr>
      <w:ind w:firstLine="480"/>
      <w:spacing w:line="480" w:lineRule="exact"/>
    </w:pPr>
    <w:rPr>
      <w:rFonts w:ascii="宋体" w:hAnsi="宋体"/>
      <w:sz w:val="24"/>
      <w:lang w:val="zh-CN"/>
    </w:rPr>
  </w:style>
  <w:style w:type="paragraph" w:styleId="1235" w:customStyle="1">
    <w:name w:val="Char Char Char Char Char Char Char Char Char Char"/>
    <w:basedOn w:val="1000"/>
    <w:uiPriority w:val="0"/>
    <w:qFormat/>
  </w:style>
  <w:style w:type="paragraph" w:styleId="123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Char3 Char Char Char1"/>
    <w:basedOn w:val="1000"/>
    <w:uiPriority w:val="0"/>
    <w:qFormat/>
    <w:rPr>
      <w:rFonts w:ascii="Tahoma" w:hAnsi="Tahoma"/>
      <w:sz w:val="24"/>
      <w:szCs w:val="20"/>
    </w:rPr>
  </w:style>
  <w:style w:type="paragraph" w:styleId="1238" w:customStyle="1">
    <w:name w:val="Char Char Char Char Char Char Char2"/>
    <w:basedOn w:val="1000"/>
    <w:uiPriority w:val="0"/>
    <w:qFormat/>
    <w:pPr>
      <w:ind w:firstLine="200"/>
      <w:spacing w:line="360" w:lineRule="auto"/>
    </w:pPr>
    <w:rPr>
      <w:rFonts w:eastAsia="仿宋_GB2312"/>
      <w:sz w:val="24"/>
    </w:rPr>
  </w:style>
  <w:style w:type="paragraph" w:styleId="1239" w:customStyle="1">
    <w:name w:val="xl28"/>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0" w:customStyle="1">
    <w:name w:val="xl47"/>
    <w:basedOn w:val="10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1" w:customStyle="1">
    <w:name w:val="xl31"/>
    <w:basedOn w:val="10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42" w:customStyle="1">
    <w:name w:val="xl23"/>
    <w:basedOn w:val="1000"/>
    <w:uiPriority w:val="0"/>
    <w:qFormat/>
    <w:pPr>
      <w:spacing w:before="100" w:beforeAutospacing="1" w:after="100" w:afterAutospacing="1" w:line="360" w:lineRule="auto"/>
      <w:widowControl/>
    </w:pPr>
    <w:rPr>
      <w:sz w:val="24"/>
      <w:szCs w:val="20"/>
    </w:rPr>
  </w:style>
  <w:style w:type="paragraph" w:styleId="1243" w:customStyle="1">
    <w:name w:val="正文 + 楷体_GB2312"/>
    <w:basedOn w:val="1000"/>
    <w:uiPriority w:val="0"/>
    <w:qFormat/>
    <w:pPr>
      <w:jc w:val="left"/>
      <w:widowControl/>
    </w:pPr>
    <w:rPr>
      <w:rFonts w:ascii="楷体_GB2312" w:eastAsia="楷体_GB2312" w:cs="Arial"/>
      <w:sz w:val="24"/>
    </w:rPr>
  </w:style>
  <w:style w:type="paragraph" w:styleId="1244" w:customStyle="1">
    <w:name w:val="Char Char Char Char Char Char Char Char Char Char Char Char Char Char Char Char1"/>
    <w:basedOn w:val="1000"/>
    <w:uiPriority w:val="0"/>
    <w:qFormat/>
    <w:pPr>
      <w:jc w:val="center"/>
      <w:spacing w:after="160" w:line="240" w:lineRule="exact"/>
      <w:widowControl/>
    </w:pPr>
    <w:rPr>
      <w:rFonts w:ascii="宋体" w:hAnsi="宋体"/>
      <w:b/>
      <w:sz w:val="30"/>
      <w:szCs w:val="30"/>
      <w:lang w:eastAsia="en-US"/>
    </w:rPr>
  </w:style>
  <w:style w:type="paragraph" w:styleId="1245" w:customStyle="1">
    <w:name w:val="Char Char Char Char Char Char Char1"/>
    <w:basedOn w:val="1000"/>
    <w:uiPriority w:val="0"/>
    <w:qFormat/>
    <w:pPr>
      <w:ind w:firstLine="200"/>
      <w:spacing w:line="360" w:lineRule="auto"/>
    </w:pPr>
    <w:rPr>
      <w:rFonts w:eastAsia="仿宋_GB2312"/>
      <w:sz w:val="24"/>
    </w:rPr>
  </w:style>
  <w:style w:type="paragraph" w:styleId="1246" w:customStyle="1">
    <w:name w:val="索引 11"/>
    <w:basedOn w:val="1000"/>
    <w:next w:val="1000"/>
    <w:uiPriority w:val="0"/>
    <w:qFormat/>
    <w:pPr>
      <w:spacing w:line="360" w:lineRule="auto"/>
    </w:pPr>
    <w:rPr>
      <w:rFonts w:ascii="仿宋_GB2312" w:eastAsia="仿宋_GB2312"/>
      <w:sz w:val="24"/>
      <w:szCs w:val="20"/>
    </w:rPr>
  </w:style>
  <w:style w:type="paragraph" w:styleId="1247" w:customStyle="1">
    <w:name w:val="Char Char Char1 Char2"/>
    <w:basedOn w:val="1000"/>
    <w:uiPriority w:val="0"/>
    <w:qFormat/>
    <w:rPr>
      <w:rFonts w:ascii="Tahoma" w:hAnsi="Tahoma"/>
      <w:sz w:val="24"/>
      <w:szCs w:val="20"/>
    </w:rPr>
  </w:style>
  <w:style w:type="paragraph" w:styleId="1248" w:customStyle="1">
    <w:name w:val="xl29"/>
    <w:basedOn w:val="10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9" w:customStyle="1">
    <w:name w:val="图例"/>
    <w:basedOn w:val="1000"/>
    <w:uiPriority w:val="0"/>
    <w:qFormat/>
    <w:pPr>
      <w:jc w:val="center"/>
      <w:spacing w:before="120" w:after="120" w:line="360" w:lineRule="auto"/>
    </w:pPr>
    <w:rPr>
      <w:rFonts w:eastAsia="仿宋_GB2312"/>
      <w:b/>
      <w:sz w:val="24"/>
      <w:szCs w:val="20"/>
    </w:rPr>
  </w:style>
  <w:style w:type="paragraph" w:styleId="1250" w:customStyle="1">
    <w:name w:val="_Style 160"/>
    <w:uiPriority w:val="0"/>
    <w:qFormat/>
    <w:rPr>
      <w:rFonts w:ascii="Times New Roman" w:hAnsi="Times New Roman" w:eastAsia="宋体" w:cs="Times New Roman"/>
      <w:sz w:val="21"/>
      <w:szCs w:val="24"/>
      <w:lang w:val="en-US" w:eastAsia="zh-CN" w:bidi="ar-SA"/>
    </w:rPr>
  </w:style>
  <w:style w:type="paragraph" w:styleId="1251" w:customStyle="1">
    <w:name w:val="p0"/>
    <w:basedOn w:val="1000"/>
    <w:uiPriority w:val="0"/>
    <w:qFormat/>
    <w:pPr>
      <w:widowControl/>
    </w:pPr>
    <w:rPr>
      <w:szCs w:val="21"/>
    </w:rPr>
  </w:style>
  <w:style w:type="paragraph" w:styleId="1252" w:customStyle="1">
    <w:name w:val="Char2 Char Char Char Char Char Char"/>
    <w:basedOn w:val="1000"/>
    <w:uiPriority w:val="0"/>
    <w:qFormat/>
    <w:pPr>
      <w:jc w:val="center"/>
      <w:spacing w:line="400" w:lineRule="exact"/>
      <w:widowControl/>
    </w:pPr>
  </w:style>
  <w:style w:type="paragraph" w:styleId="1253" w:customStyle="1">
    <w:name w:val="正文缩进2"/>
    <w:basedOn w:val="1000"/>
    <w:uiPriority w:val="0"/>
    <w:qFormat/>
    <w:pPr>
      <w:ind w:firstLine="567"/>
      <w:spacing w:line="480" w:lineRule="exact"/>
      <w:widowControl/>
    </w:pPr>
    <w:rPr>
      <w:rFonts w:ascii="宋体"/>
      <w:color w:val="000000"/>
      <w:sz w:val="28"/>
      <w:szCs w:val="20"/>
      <w:lang w:val="zh-CN"/>
    </w:rPr>
  </w:style>
  <w:style w:type="paragraph" w:styleId="1254" w:customStyle="1">
    <w:name w:val="修订1"/>
    <w:uiPriority w:val="0"/>
    <w:qFormat/>
    <w:rPr>
      <w:rFonts w:ascii="Times New Roman" w:hAnsi="Times New Roman" w:eastAsia="宋体" w:cs="Times New Roman"/>
      <w:sz w:val="21"/>
      <w:szCs w:val="24"/>
      <w:lang w:val="en-US" w:eastAsia="zh-CN" w:bidi="ar-SA"/>
    </w:rPr>
  </w:style>
  <w:style w:type="table" w:styleId="1255"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256" w:customStyle="1">
    <w:name w:val="样式1"/>
    <w:basedOn w:val="1002"/>
    <w:uiPriority w:val="0"/>
    <w:qFormat/>
    <w:pPr>
      <w:ind w:right="100"/>
      <w:spacing w:before="100" w:beforeAutospacing="1" w:after="100" w:afterAutospacing="1"/>
    </w:pPr>
    <w:rPr>
      <w:sz w:val="21"/>
    </w:rPr>
  </w:style>
  <w:style w:type="character" w:styleId="1257" w:customStyle="1">
    <w:name w:val="sp"/>
    <w:uiPriority w:val="0"/>
    <w:qFormat/>
    <w:rPr>
      <w:color w:val="ffffff"/>
      <w:shd w:val="clear" w:color="auto" w:fill="dddddd"/>
    </w:rPr>
  </w:style>
  <w:style w:type="character" w:styleId="1258" w:customStyle="1">
    <w:name w:val="disabled"/>
    <w:uiPriority w:val="0"/>
    <w:qFormat/>
    <w:rPr>
      <w:color w:val="38322d"/>
    </w:rPr>
  </w:style>
  <w:style w:type="character" w:styleId="1259" w:customStyle="1">
    <w:name w:val="current"/>
    <w:uiPriority w:val="0"/>
    <w:qFormat/>
    <w:rPr>
      <w:b/>
      <w:bCs/>
      <w:color w:val="ffffff"/>
      <w:shd w:val="clear" w:color="auto" w:fill="38322d"/>
    </w:rPr>
  </w:style>
  <w:style w:type="character" w:styleId="1260" w:customStyle="1">
    <w:name w:val="NormalCharacter"/>
    <w:uiPriority w:val="0"/>
    <w:qFormat/>
    <w:rPr>
      <w:rFonts w:ascii="Times New Roman" w:hAnsi="Times New Roman" w:eastAsia="宋体" w:cs="Times New Roman"/>
      <w:sz w:val="21"/>
      <w:szCs w:val="24"/>
      <w:lang w:val="en-US" w:eastAsia="zh-CN" w:bidi="ar-SA"/>
    </w:rPr>
  </w:style>
  <w:style w:type="paragraph" w:styleId="1261" w:customStyle="1">
    <w:name w:val="普通(网站)1"/>
    <w:basedOn w:val="1000"/>
    <w:uiPriority w:val="99"/>
    <w:unhideWhenUsed/>
    <w:qFormat/>
    <w:pPr>
      <w:jc w:val="left"/>
      <w:spacing w:before="100" w:beforeAutospacing="1" w:after="100" w:afterAutospacing="1"/>
      <w:widowControl/>
    </w:pPr>
    <w:rPr>
      <w:rFonts w:ascii="宋体" w:hAnsi="宋体" w:cs="宋体"/>
      <w:sz w:val="24"/>
    </w:rPr>
  </w:style>
  <w:style w:type="paragraph" w:styleId="1262" w:customStyle="1">
    <w:name w:val="表 靠左"/>
    <w:basedOn w:val="1263"/>
    <w:uiPriority w:val="0"/>
    <w:qFormat/>
    <w:pPr>
      <w:jc w:val="left"/>
    </w:pPr>
    <w:rPr>
      <w:rFonts w:ascii="宋体" w:hAnsi="宋体" w:eastAsia="宋体"/>
    </w:rPr>
  </w:style>
  <w:style w:type="paragraph" w:styleId="1263" w:customStyle="1">
    <w:name w:val="表"/>
    <w:basedOn w:val="1000"/>
    <w:next w:val="1000"/>
    <w:uiPriority w:val="7"/>
    <w:qFormat/>
    <w:pPr>
      <w:ind w:firstLine="0"/>
      <w:jc w:val="center"/>
      <w:spacing w:line="240" w:lineRule="auto"/>
    </w:pPr>
  </w:style>
  <w:style w:type="paragraph" w:styleId="1264" w:customStyle="1">
    <w:name w:val="列表段落1"/>
    <w:basedOn w:val="1000"/>
    <w:uiPriority w:val="34"/>
    <w:qFormat/>
    <w:pPr>
      <w:ind w:firstLine="420"/>
    </w:pPr>
  </w:style>
  <w:style w:type="paragraph" w:styleId="1265" w:customStyle="1">
    <w:name w:val="首行缩进"/>
    <w:basedOn w:val="1000"/>
    <w:uiPriority w:val="0"/>
    <w:qFormat/>
    <w:pPr>
      <w:ind w:firstLine="480"/>
    </w:pPr>
    <w:rPr>
      <w:rFonts w:ascii="宋体" w:hAnsi="宋体" w:cs="宋体"/>
      <w:szCs w:val="22"/>
    </w:rPr>
  </w:style>
  <w:style w:type="paragraph" w:styleId="1266" w:customStyle="1">
    <w:name w:val="0- 正文"/>
    <w:basedOn w:val="1000"/>
    <w:uiPriority w:val="0"/>
    <w:qFormat/>
    <w:pPr>
      <w:ind w:firstLine="482"/>
      <w:jc w:val="left"/>
      <w:spacing w:line="360" w:lineRule="auto"/>
      <w:widowControl/>
    </w:pPr>
    <w:rPr>
      <w:rFonts w:ascii="Calibri" w:hAnsi="Calibri" w:eastAsia="宋体" w:cs="Times New Roman"/>
      <w:sz w:val="24"/>
      <w:szCs w:val="22"/>
    </w:rPr>
  </w:style>
  <w:style w:type="paragraph" w:styleId="1267" w:customStyle="1">
    <w:name w:val="_Style 267"/>
    <w:uiPriority w:val="99"/>
    <w:unhideWhenUsed/>
    <w:qFormat/>
    <w:rPr>
      <w:rFonts w:ascii="Times New Roman" w:hAnsi="Times New Roman" w:eastAsia="宋体" w:cs="Times New Roman"/>
      <w:sz w:val="21"/>
      <w:szCs w:val="24"/>
      <w:lang w:val="en-US" w:eastAsia="zh-CN" w:bidi="ar-SA"/>
    </w:rPr>
  </w:style>
  <w:style w:type="paragraph" w:styleId="1268" w:customStyle="1">
    <w:name w:val="表格正文"/>
    <w:basedOn w:val="1000"/>
    <w:uiPriority w:val="0"/>
    <w:qFormat/>
    <w:pPr>
      <w:ind w:firstLine="480"/>
      <w:jc w:val="left"/>
      <w:spacing w:line="400" w:lineRule="exact"/>
    </w:pPr>
    <w:rPr>
      <w:rFonts w:hint="eastAsia" w:ascii="仿宋_GB2312" w:hAnsi="仿宋_GB2312" w:eastAsia="仿宋_GB2312" w:cs="仿宋_GB2312"/>
      <w:bCs/>
      <w:sz w:val="24"/>
    </w:rPr>
  </w:style>
  <w:style w:type="paragraph" w:styleId="1269" w:customStyle="1">
    <w:name w:val="批注文字1"/>
    <w:basedOn w:val="1000"/>
    <w:uiPriority w:val="99"/>
    <w:qFormat/>
    <w:pPr>
      <w:jc w:val="left"/>
    </w:pPr>
  </w:style>
  <w:style w:type="paragraph" w:styleId="1270" w:customStyle="1">
    <w:name w:val="表内文字居中"/>
    <w:uiPriority w:val="0"/>
    <w:qFormat/>
    <w:pPr>
      <w:jc w:val="center"/>
    </w:pPr>
    <w:rPr>
      <w:rFonts w:ascii="Times New Roman" w:hAnsi="Times New Roman" w:eastAsia="宋体" w:cs="Times New Roman"/>
      <w:sz w:val="24"/>
      <w:szCs w:val="24"/>
      <w:lang w:val="en-US" w:eastAsia="zh-CN" w:bidi="ar-SA"/>
    </w:rPr>
  </w:style>
  <w:style w:type="paragraph" w:styleId="1271" w:customStyle="1">
    <w:name w:val="Style 样式 首行缩进:  2 字符 + Before:  0.5 line"/>
    <w:basedOn w:val="1272"/>
    <w:uiPriority w:val="0"/>
    <w:qFormat/>
    <w:pPr>
      <w:spacing w:before="0" w:line="440" w:lineRule="exact"/>
    </w:pPr>
    <w:rPr>
      <w:rFonts w:cs="Times New Roman"/>
    </w:rPr>
  </w:style>
  <w:style w:type="paragraph" w:styleId="1272" w:customStyle="1">
    <w:name w:val="样式 首行缩进:  2 字符"/>
    <w:basedOn w:val="1000"/>
    <w:uiPriority w:val="0"/>
    <w:qFormat/>
    <w:pPr>
      <w:ind w:firstLine="420"/>
      <w:spacing w:before="50" w:line="360" w:lineRule="auto"/>
    </w:pPr>
    <w:rPr>
      <w:rFonts w:ascii="Times New Roman" w:hAnsi="Times New Roman" w:eastAsia="宋体" w:cs="宋体"/>
      <w:szCs w:val="20"/>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周叶</cp:lastModifiedBy>
  <cp:revision>7</cp:revision>
  <dcterms:created xsi:type="dcterms:W3CDTF">2024-05-10T14:52:00Z</dcterms:created>
  <dcterms:modified xsi:type="dcterms:W3CDTF">2026-08-13T05:53:58Z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D1EF7393C06A48EE9E9570DBC5F11FF4_13</vt:lpwstr>
  </property>
  <property fmtid="{D5CDD505-2E9C-101B-9397-08002B2CF9AE}" pid="4" name="KSOTemplateDocerSaveRecord">
    <vt:lpwstr>eyJoZGlkIjoiN2JmZDhhZDFmMzFiNjE3ODQzZmE1YWM2MDY5MDkxMDIiLCJ1c2VySWQiOiI0NDYxNzY1MTEifQ==</vt:lpwstr>
  </property>
</Properties>
</file>