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B1B27">
      <w:pPr>
        <w:adjustRightInd w:val="0"/>
        <w:snapToGrid w:val="0"/>
        <w:spacing w:line="360" w:lineRule="auto"/>
        <w:jc w:val="left"/>
        <w:rPr>
          <w:rFonts w:ascii="宋体" w:hAnsi="宋体"/>
          <w:sz w:val="24"/>
          <w:szCs w:val="24"/>
        </w:rPr>
      </w:pPr>
    </w:p>
    <w:p w14:paraId="46909C81">
      <w:pPr>
        <w:adjustRightInd w:val="0"/>
        <w:snapToGrid w:val="0"/>
        <w:spacing w:line="360" w:lineRule="auto"/>
        <w:jc w:val="left"/>
        <w:rPr>
          <w:rFonts w:ascii="宋体" w:hAnsi="宋体"/>
          <w:sz w:val="24"/>
          <w:szCs w:val="24"/>
        </w:rPr>
      </w:pPr>
    </w:p>
    <w:p w14:paraId="35D7FDE6">
      <w:pPr>
        <w:adjustRightInd w:val="0"/>
        <w:snapToGrid w:val="0"/>
        <w:spacing w:line="360" w:lineRule="auto"/>
        <w:jc w:val="left"/>
        <w:rPr>
          <w:rFonts w:ascii="宋体" w:hAnsi="宋体"/>
          <w:sz w:val="24"/>
          <w:szCs w:val="24"/>
        </w:rPr>
      </w:pPr>
    </w:p>
    <w:p w14:paraId="5FAB09F8">
      <w:pPr>
        <w:adjustRightInd w:val="0"/>
        <w:snapToGrid w:val="0"/>
        <w:spacing w:line="360" w:lineRule="auto"/>
        <w:jc w:val="left"/>
        <w:rPr>
          <w:rFonts w:ascii="宋体" w:hAnsi="宋体"/>
          <w:sz w:val="24"/>
          <w:szCs w:val="24"/>
        </w:rPr>
      </w:pPr>
    </w:p>
    <w:p w14:paraId="2D708AFE">
      <w:pPr>
        <w:adjustRightInd w:val="0"/>
        <w:snapToGrid w:val="0"/>
        <w:spacing w:line="360" w:lineRule="auto"/>
        <w:jc w:val="left"/>
        <w:rPr>
          <w:rFonts w:ascii="宋体" w:hAnsi="宋体"/>
          <w:sz w:val="24"/>
          <w:szCs w:val="24"/>
        </w:rPr>
      </w:pPr>
    </w:p>
    <w:p w14:paraId="41A9A649">
      <w:pPr>
        <w:adjustRightInd w:val="0"/>
        <w:snapToGrid w:val="0"/>
        <w:spacing w:line="360" w:lineRule="auto"/>
        <w:jc w:val="left"/>
        <w:rPr>
          <w:rFonts w:ascii="宋体" w:hAnsi="宋体"/>
          <w:sz w:val="24"/>
          <w:szCs w:val="24"/>
        </w:rPr>
      </w:pPr>
    </w:p>
    <w:p w14:paraId="50291FC9">
      <w:pPr>
        <w:adjustRightInd w:val="0"/>
        <w:snapToGrid w:val="0"/>
        <w:spacing w:before="120" w:after="120" w:line="360" w:lineRule="auto"/>
        <w:jc w:val="center"/>
        <w:rPr>
          <w:rFonts w:ascii="宋体" w:hAnsi="宋体"/>
          <w:b/>
          <w:bCs/>
          <w:sz w:val="84"/>
          <w:szCs w:val="24"/>
        </w:rPr>
      </w:pPr>
      <w:r>
        <w:rPr>
          <w:rFonts w:hint="eastAsia" w:ascii="宋体" w:hAnsi="宋体"/>
          <w:b/>
          <w:bCs/>
          <w:sz w:val="84"/>
          <w:szCs w:val="24"/>
        </w:rPr>
        <w:t>招　标　文　件</w:t>
      </w:r>
    </w:p>
    <w:p w14:paraId="3FBD6E49">
      <w:pPr>
        <w:adjustRightInd w:val="0"/>
        <w:snapToGrid w:val="0"/>
        <w:spacing w:before="120" w:after="120" w:line="360" w:lineRule="auto"/>
        <w:ind w:firstLine="643" w:firstLineChars="200"/>
        <w:jc w:val="left"/>
        <w:rPr>
          <w:rFonts w:hint="eastAsia" w:ascii="宋体" w:hAnsi="宋体"/>
          <w:b/>
          <w:bCs/>
          <w:sz w:val="32"/>
          <w:szCs w:val="24"/>
        </w:rPr>
      </w:pPr>
      <w:r>
        <w:rPr>
          <w:rFonts w:hint="eastAsia" w:ascii="宋体" w:hAnsi="宋体"/>
          <w:b/>
          <w:bCs/>
          <w:sz w:val="32"/>
          <w:szCs w:val="24"/>
        </w:rPr>
        <w:t>项目名称：</w:t>
      </w:r>
      <w:r>
        <w:rPr>
          <w:rFonts w:hint="eastAsia" w:ascii="宋体" w:hAnsi="宋体"/>
          <w:b/>
          <w:bCs/>
          <w:sz w:val="30"/>
          <w:szCs w:val="30"/>
        </w:rPr>
        <w:t>江苏省交通技师学院虚拟仿真数控技术系统采购项目</w:t>
      </w:r>
    </w:p>
    <w:p w14:paraId="0E3741E8">
      <w:pPr>
        <w:adjustRightInd w:val="0"/>
        <w:snapToGrid w:val="0"/>
        <w:spacing w:before="120" w:after="120" w:line="360" w:lineRule="auto"/>
        <w:ind w:firstLine="643" w:firstLineChars="200"/>
        <w:jc w:val="left"/>
        <w:rPr>
          <w:rFonts w:hint="eastAsia" w:ascii="宋体" w:hAnsi="宋体" w:eastAsia="宋体"/>
          <w:b/>
          <w:bCs/>
          <w:sz w:val="32"/>
          <w:szCs w:val="24"/>
          <w:lang w:eastAsia="zh-CN"/>
        </w:rPr>
      </w:pPr>
      <w:r>
        <w:rPr>
          <w:rFonts w:hint="eastAsia" w:ascii="宋体" w:hAnsi="宋体"/>
          <w:b/>
          <w:bCs/>
          <w:sz w:val="32"/>
          <w:szCs w:val="24"/>
        </w:rPr>
        <w:t>项目编号：</w:t>
      </w:r>
      <w:r>
        <w:rPr>
          <w:rFonts w:hint="eastAsia" w:ascii="宋体" w:hAnsi="宋体"/>
          <w:b/>
          <w:bCs/>
          <w:sz w:val="32"/>
          <w:szCs w:val="24"/>
          <w:lang w:eastAsia="zh-CN"/>
        </w:rPr>
        <w:t>JSZC-320000-JSJW-G2026-0037</w:t>
      </w:r>
    </w:p>
    <w:p w14:paraId="4C007E0A">
      <w:pPr>
        <w:adjustRightInd w:val="0"/>
        <w:snapToGrid w:val="0"/>
        <w:spacing w:line="360" w:lineRule="auto"/>
        <w:ind w:left="2800" w:hanging="2800"/>
        <w:rPr>
          <w:rFonts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 </w:t>
      </w:r>
    </w:p>
    <w:p w14:paraId="4006FF8B">
      <w:pPr>
        <w:adjustRightInd w:val="0"/>
        <w:snapToGrid w:val="0"/>
        <w:spacing w:line="360" w:lineRule="auto"/>
        <w:ind w:left="2295" w:hanging="1560"/>
        <w:rPr>
          <w:rFonts w:ascii="宋体" w:hAnsi="宋体"/>
          <w:b/>
          <w:sz w:val="24"/>
          <w:szCs w:val="24"/>
        </w:rPr>
      </w:pPr>
      <w:r>
        <w:rPr>
          <w:rFonts w:hint="eastAsia" w:ascii="宋体" w:hAnsi="宋体"/>
          <w:b/>
          <w:sz w:val="24"/>
          <w:szCs w:val="24"/>
        </w:rPr>
        <w:t xml:space="preserve"> </w:t>
      </w:r>
    </w:p>
    <w:p w14:paraId="16E34DB5">
      <w:pPr>
        <w:adjustRightInd w:val="0"/>
        <w:snapToGrid w:val="0"/>
        <w:spacing w:line="360" w:lineRule="auto"/>
        <w:jc w:val="left"/>
        <w:rPr>
          <w:rFonts w:ascii="宋体" w:hAnsi="宋体"/>
          <w:sz w:val="24"/>
          <w:szCs w:val="24"/>
        </w:rPr>
      </w:pPr>
    </w:p>
    <w:p w14:paraId="6AB1C444">
      <w:pPr>
        <w:adjustRightInd w:val="0"/>
        <w:snapToGrid w:val="0"/>
        <w:spacing w:line="360" w:lineRule="auto"/>
        <w:jc w:val="left"/>
        <w:rPr>
          <w:rFonts w:ascii="宋体" w:hAnsi="宋体"/>
          <w:sz w:val="24"/>
          <w:szCs w:val="24"/>
        </w:rPr>
      </w:pPr>
    </w:p>
    <w:p w14:paraId="1CCF1F2E">
      <w:pPr>
        <w:adjustRightInd w:val="0"/>
        <w:snapToGrid w:val="0"/>
        <w:spacing w:line="360" w:lineRule="auto"/>
        <w:jc w:val="left"/>
        <w:rPr>
          <w:rFonts w:ascii="宋体" w:hAnsi="宋体"/>
          <w:sz w:val="24"/>
          <w:szCs w:val="24"/>
        </w:rPr>
      </w:pPr>
    </w:p>
    <w:p w14:paraId="234F33DC">
      <w:pPr>
        <w:adjustRightInd w:val="0"/>
        <w:snapToGrid w:val="0"/>
        <w:spacing w:line="360" w:lineRule="auto"/>
        <w:jc w:val="left"/>
        <w:rPr>
          <w:rFonts w:ascii="宋体" w:hAnsi="宋体"/>
          <w:sz w:val="24"/>
          <w:szCs w:val="24"/>
        </w:rPr>
      </w:pPr>
    </w:p>
    <w:p w14:paraId="0D043923">
      <w:pPr>
        <w:adjustRightInd w:val="0"/>
        <w:snapToGrid w:val="0"/>
        <w:spacing w:line="360" w:lineRule="auto"/>
        <w:jc w:val="left"/>
        <w:rPr>
          <w:rFonts w:ascii="宋体" w:hAnsi="宋体"/>
          <w:sz w:val="24"/>
          <w:szCs w:val="24"/>
        </w:rPr>
      </w:pPr>
    </w:p>
    <w:p w14:paraId="51A0CB71">
      <w:pPr>
        <w:adjustRightInd w:val="0"/>
        <w:snapToGrid w:val="0"/>
        <w:spacing w:line="360" w:lineRule="auto"/>
        <w:jc w:val="left"/>
        <w:rPr>
          <w:rFonts w:ascii="宋体" w:hAnsi="宋体"/>
          <w:sz w:val="24"/>
          <w:szCs w:val="24"/>
        </w:rPr>
      </w:pPr>
    </w:p>
    <w:p w14:paraId="051AE75A">
      <w:pPr>
        <w:adjustRightInd w:val="0"/>
        <w:snapToGrid w:val="0"/>
        <w:spacing w:line="360" w:lineRule="auto"/>
        <w:jc w:val="left"/>
        <w:rPr>
          <w:rFonts w:ascii="宋体" w:hAnsi="宋体"/>
          <w:sz w:val="24"/>
          <w:szCs w:val="24"/>
        </w:rPr>
      </w:pPr>
    </w:p>
    <w:p w14:paraId="59000928">
      <w:pPr>
        <w:adjustRightInd w:val="0"/>
        <w:snapToGrid w:val="0"/>
        <w:spacing w:line="360" w:lineRule="auto"/>
        <w:jc w:val="center"/>
        <w:rPr>
          <w:rFonts w:ascii="宋体" w:hAnsi="宋体"/>
          <w:b/>
          <w:sz w:val="36"/>
          <w:szCs w:val="36"/>
        </w:rPr>
      </w:pPr>
      <w:r>
        <w:rPr>
          <w:rFonts w:hint="eastAsia" w:ascii="宋体" w:hAnsi="宋体"/>
          <w:b/>
          <w:sz w:val="36"/>
          <w:szCs w:val="36"/>
        </w:rPr>
        <w:t>采购人：江苏省交通技师学院</w:t>
      </w:r>
    </w:p>
    <w:p w14:paraId="4319D2C4">
      <w:pPr>
        <w:adjustRightInd w:val="0"/>
        <w:snapToGrid w:val="0"/>
        <w:spacing w:line="360" w:lineRule="auto"/>
        <w:jc w:val="center"/>
        <w:rPr>
          <w:rFonts w:ascii="宋体" w:hAnsi="宋体"/>
          <w:b/>
          <w:sz w:val="36"/>
          <w:szCs w:val="36"/>
        </w:rPr>
      </w:pPr>
      <w:r>
        <w:rPr>
          <w:rFonts w:hint="eastAsia" w:ascii="宋体" w:hAnsi="宋体"/>
          <w:b/>
          <w:sz w:val="36"/>
          <w:szCs w:val="36"/>
        </w:rPr>
        <w:t>采购代理机构：江苏建威建设管理有限公司</w:t>
      </w:r>
    </w:p>
    <w:p w14:paraId="2118682E">
      <w:pPr>
        <w:adjustRightInd w:val="0"/>
        <w:snapToGrid w:val="0"/>
        <w:spacing w:line="360" w:lineRule="auto"/>
        <w:jc w:val="center"/>
        <w:rPr>
          <w:rFonts w:ascii="宋体" w:hAnsi="宋体"/>
          <w:b/>
          <w:sz w:val="36"/>
          <w:szCs w:val="36"/>
        </w:rPr>
      </w:pPr>
      <w:r>
        <w:rPr>
          <w:rFonts w:hint="eastAsia" w:ascii="宋体" w:hAnsi="宋体" w:cs="宋体-18030"/>
          <w:b/>
          <w:sz w:val="36"/>
          <w:szCs w:val="36"/>
        </w:rPr>
        <w:t>二〇二六年</w:t>
      </w:r>
      <w:r>
        <w:rPr>
          <w:rFonts w:hint="eastAsia" w:ascii="宋体" w:hAnsi="宋体" w:cs="宋体-18030"/>
          <w:b/>
          <w:sz w:val="36"/>
          <w:szCs w:val="36"/>
          <w:lang w:val="en-US" w:eastAsia="zh-CN"/>
        </w:rPr>
        <w:t>八</w:t>
      </w:r>
      <w:r>
        <w:rPr>
          <w:rFonts w:hint="eastAsia" w:ascii="宋体" w:hAnsi="宋体" w:cs="宋体-18030"/>
          <w:b/>
          <w:sz w:val="36"/>
          <w:szCs w:val="36"/>
        </w:rPr>
        <w:t>月</w:t>
      </w:r>
      <w:r>
        <w:rPr>
          <w:rFonts w:hint="eastAsia" w:ascii="宋体" w:hAnsi="宋体" w:cs="宋体-18030"/>
          <w:b/>
          <w:sz w:val="36"/>
          <w:szCs w:val="36"/>
          <w:lang w:val="en-US" w:eastAsia="zh-CN"/>
        </w:rPr>
        <w:t>五</w:t>
      </w:r>
      <w:r>
        <w:rPr>
          <w:rFonts w:hint="eastAsia" w:ascii="宋体" w:hAnsi="宋体" w:cs="宋体-18030"/>
          <w:b/>
          <w:sz w:val="36"/>
          <w:szCs w:val="36"/>
        </w:rPr>
        <w:t>日</w:t>
      </w:r>
    </w:p>
    <w:p w14:paraId="67EA0D4C">
      <w:pPr>
        <w:spacing w:before="120" w:after="120" w:line="360" w:lineRule="auto"/>
        <w:jc w:val="left"/>
        <w:rPr>
          <w:rFonts w:ascii="宋体" w:hAnsi="宋体"/>
          <w:sz w:val="24"/>
          <w:szCs w:val="24"/>
          <w:u w:val="single"/>
        </w:rPr>
      </w:pPr>
      <w:r>
        <w:rPr>
          <w:rFonts w:hint="eastAsia" w:ascii="宋体" w:hAnsi="宋体"/>
          <w:sz w:val="24"/>
          <w:szCs w:val="24"/>
        </w:rPr>
        <w:t xml:space="preserve">                        </w:t>
      </w:r>
    </w:p>
    <w:p w14:paraId="7944BE3D">
      <w:pPr>
        <w:keepNext/>
        <w:jc w:val="center"/>
        <w:outlineLvl w:val="0"/>
        <w:rPr>
          <w:rFonts w:ascii="宋体" w:hAnsi="宋体"/>
          <w:b/>
          <w:bCs/>
          <w:sz w:val="44"/>
          <w:szCs w:val="44"/>
        </w:rPr>
      </w:pPr>
      <w:bookmarkStart w:id="0" w:name="_Toc120614210"/>
      <w:bookmarkStart w:id="1" w:name="_Toc20823272"/>
      <w:bookmarkStart w:id="2" w:name="_Toc479757206"/>
      <w:bookmarkStart w:id="3" w:name="_Toc16938516"/>
      <w:bookmarkStart w:id="4" w:name="_Toc523127445"/>
      <w:bookmarkStart w:id="5" w:name="_Toc513029200"/>
      <w:r>
        <w:rPr>
          <w:rFonts w:hint="eastAsia" w:ascii="宋体" w:hAnsi="宋体"/>
          <w:b/>
          <w:sz w:val="44"/>
          <w:szCs w:val="44"/>
        </w:rPr>
        <w:t xml:space="preserve">第一章  </w:t>
      </w:r>
      <w:bookmarkEnd w:id="0"/>
      <w:r>
        <w:rPr>
          <w:rFonts w:hint="eastAsia" w:ascii="宋体" w:hAnsi="宋体"/>
          <w:b/>
          <w:sz w:val="44"/>
          <w:szCs w:val="44"/>
        </w:rPr>
        <w:t>投标邀请</w:t>
      </w:r>
    </w:p>
    <w:p w14:paraId="736096CE">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sz w:val="24"/>
          <w:szCs w:val="24"/>
        </w:rPr>
      </w:pPr>
      <w:r>
        <w:rPr>
          <w:rFonts w:hint="eastAsia" w:ascii="宋体" w:hAnsi="宋体"/>
          <w:sz w:val="24"/>
          <w:szCs w:val="24"/>
        </w:rPr>
        <w:t>项目概况</w:t>
      </w:r>
    </w:p>
    <w:p w14:paraId="26826E6C">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sz w:val="24"/>
          <w:szCs w:val="24"/>
        </w:rPr>
      </w:pPr>
      <w:r>
        <w:rPr>
          <w:rFonts w:hint="eastAsia" w:ascii="宋体" w:hAnsi="宋体"/>
          <w:sz w:val="24"/>
          <w:szCs w:val="24"/>
          <w:u w:val="single"/>
          <w:lang w:eastAsia="zh-CN"/>
        </w:rPr>
        <w:t>江苏省交通技师学院虚拟仿真数控技术系统采购项目</w:t>
      </w:r>
      <w:r>
        <w:rPr>
          <w:rFonts w:ascii="宋体" w:hAnsi="宋体"/>
          <w:sz w:val="24"/>
          <w:szCs w:val="24"/>
          <w:u w:val="single"/>
        </w:rPr>
        <w:t>的潜在投标人应在江苏政府采购网“苏采云”系统获取</w:t>
      </w:r>
      <w:r>
        <w:rPr>
          <w:rFonts w:hint="eastAsia" w:ascii="宋体" w:hAnsi="宋体"/>
          <w:sz w:val="24"/>
          <w:szCs w:val="24"/>
          <w:u w:val="single"/>
        </w:rPr>
        <w:t>招标</w:t>
      </w:r>
      <w:r>
        <w:rPr>
          <w:rFonts w:ascii="宋体" w:hAnsi="宋体"/>
          <w:sz w:val="24"/>
          <w:szCs w:val="24"/>
          <w:u w:val="single"/>
        </w:rPr>
        <w:t>文件，并于20</w:t>
      </w:r>
      <w:r>
        <w:rPr>
          <w:rFonts w:hint="eastAsia" w:ascii="宋体" w:hAnsi="宋体"/>
          <w:sz w:val="24"/>
          <w:szCs w:val="24"/>
          <w:u w:val="single"/>
        </w:rPr>
        <w:t>26</w:t>
      </w:r>
      <w:r>
        <w:rPr>
          <w:rFonts w:ascii="宋体" w:hAnsi="宋体"/>
          <w:sz w:val="24"/>
          <w:szCs w:val="24"/>
          <w:u w:val="single"/>
        </w:rPr>
        <w:t>年</w:t>
      </w:r>
      <w:r>
        <w:rPr>
          <w:rFonts w:hint="eastAsia" w:ascii="宋体" w:hAnsi="宋体"/>
          <w:sz w:val="24"/>
          <w:szCs w:val="24"/>
          <w:u w:val="single"/>
          <w:lang w:val="en-US" w:eastAsia="zh-CN"/>
        </w:rPr>
        <w:t>08</w:t>
      </w:r>
      <w:r>
        <w:rPr>
          <w:rFonts w:ascii="宋体" w:hAnsi="宋体"/>
          <w:sz w:val="24"/>
          <w:szCs w:val="24"/>
          <w:u w:val="single"/>
        </w:rPr>
        <w:t>月</w:t>
      </w:r>
      <w:r>
        <w:rPr>
          <w:rFonts w:hint="eastAsia" w:ascii="宋体" w:hAnsi="宋体"/>
          <w:sz w:val="24"/>
          <w:szCs w:val="24"/>
          <w:u w:val="single"/>
          <w:lang w:val="en-US" w:eastAsia="zh-CN"/>
        </w:rPr>
        <w:t>31</w:t>
      </w:r>
      <w:r>
        <w:rPr>
          <w:rFonts w:ascii="宋体" w:hAnsi="宋体"/>
          <w:sz w:val="24"/>
          <w:szCs w:val="24"/>
          <w:u w:val="single"/>
        </w:rPr>
        <w:t>日</w:t>
      </w:r>
      <w:r>
        <w:rPr>
          <w:rFonts w:hint="eastAsia" w:ascii="宋体" w:hAnsi="宋体"/>
          <w:sz w:val="24"/>
          <w:szCs w:val="24"/>
          <w:u w:val="single"/>
        </w:rPr>
        <w:t>14</w:t>
      </w:r>
      <w:r>
        <w:rPr>
          <w:rFonts w:ascii="宋体" w:hAnsi="宋体"/>
          <w:sz w:val="24"/>
          <w:szCs w:val="24"/>
          <w:u w:val="single"/>
        </w:rPr>
        <w:t>：30（北京时间）前递交响应文件。</w:t>
      </w:r>
    </w:p>
    <w:p w14:paraId="4C4661B4">
      <w:pPr>
        <w:keepNext/>
        <w:keepLines/>
        <w:adjustRightInd w:val="0"/>
        <w:snapToGrid w:val="0"/>
        <w:spacing w:before="156" w:after="156" w:line="360" w:lineRule="auto"/>
        <w:ind w:firstLine="496"/>
        <w:outlineLvl w:val="2"/>
        <w:rPr>
          <w:rFonts w:ascii="宋体" w:hAnsi="宋体" w:cs="宋体"/>
          <w:b/>
          <w:bCs/>
          <w:sz w:val="24"/>
          <w:szCs w:val="24"/>
        </w:rPr>
      </w:pPr>
      <w:bookmarkStart w:id="6" w:name="_Toc35393790"/>
      <w:bookmarkStart w:id="7" w:name="_Toc28359079"/>
      <w:bookmarkStart w:id="8" w:name="_Toc28359002"/>
      <w:bookmarkStart w:id="9" w:name="_Toc38985263"/>
      <w:bookmarkStart w:id="10" w:name="_Toc35393621"/>
      <w:bookmarkStart w:id="11" w:name="_Hlk24379207"/>
      <w:r>
        <w:rPr>
          <w:rFonts w:hint="eastAsia" w:ascii="宋体" w:hAnsi="宋体" w:cs="宋体"/>
          <w:b/>
          <w:bCs/>
          <w:sz w:val="24"/>
          <w:szCs w:val="24"/>
        </w:rPr>
        <w:t>一、项目基本情况</w:t>
      </w:r>
      <w:bookmarkEnd w:id="6"/>
      <w:bookmarkEnd w:id="7"/>
      <w:bookmarkEnd w:id="8"/>
      <w:bookmarkEnd w:id="9"/>
      <w:bookmarkEnd w:id="10"/>
    </w:p>
    <w:p w14:paraId="2ACE0A21">
      <w:pPr>
        <w:adjustRightInd w:val="0"/>
        <w:snapToGrid w:val="0"/>
        <w:spacing w:line="360" w:lineRule="auto"/>
        <w:ind w:firstLine="480"/>
        <w:rPr>
          <w:rFonts w:ascii="宋体" w:hAnsi="宋体" w:cs="宋体"/>
          <w:sz w:val="24"/>
          <w:szCs w:val="24"/>
        </w:rPr>
      </w:pPr>
      <w:r>
        <w:rPr>
          <w:rFonts w:hint="eastAsia" w:ascii="宋体" w:hAnsi="宋体" w:cs="宋体"/>
          <w:sz w:val="24"/>
          <w:szCs w:val="24"/>
        </w:rPr>
        <w:t>（一）项目编号：</w:t>
      </w:r>
      <w:r>
        <w:rPr>
          <w:rFonts w:hint="eastAsia" w:ascii="宋体" w:hAnsi="宋体" w:cs="宋体"/>
          <w:sz w:val="24"/>
          <w:szCs w:val="24"/>
          <w:lang w:eastAsia="zh-CN"/>
        </w:rPr>
        <w:t>JSZC-320000-JSJW-G2026-0037</w:t>
      </w:r>
    </w:p>
    <w:p w14:paraId="1F13E449">
      <w:pPr>
        <w:adjustRightInd w:val="0"/>
        <w:snapToGrid w:val="0"/>
        <w:spacing w:line="360" w:lineRule="auto"/>
        <w:ind w:firstLine="480"/>
        <w:rPr>
          <w:rFonts w:hint="eastAsia" w:ascii="宋体" w:hAnsi="宋体" w:eastAsia="宋体" w:cs="宋体"/>
          <w:sz w:val="24"/>
          <w:szCs w:val="24"/>
          <w:lang w:eastAsia="zh-CN"/>
        </w:rPr>
      </w:pPr>
      <w:r>
        <w:rPr>
          <w:rFonts w:hint="eastAsia" w:ascii="宋体" w:hAnsi="宋体" w:cs="宋体"/>
          <w:sz w:val="24"/>
          <w:szCs w:val="24"/>
        </w:rPr>
        <w:t>（二）项目名称：</w:t>
      </w:r>
      <w:r>
        <w:rPr>
          <w:rFonts w:hint="eastAsia" w:ascii="宋体" w:hAnsi="宋体" w:cs="宋体"/>
          <w:sz w:val="24"/>
          <w:szCs w:val="24"/>
          <w:lang w:eastAsia="zh-CN"/>
        </w:rPr>
        <w:t>江苏省交通技师学院虚拟仿真数控技术系统采购项目</w:t>
      </w:r>
      <w:bookmarkStart w:id="126" w:name="_GoBack"/>
      <w:bookmarkEnd w:id="126"/>
    </w:p>
    <w:bookmarkEnd w:id="11"/>
    <w:p w14:paraId="4CE35CA1">
      <w:pPr>
        <w:adjustRightInd w:val="0"/>
        <w:snapToGrid w:val="0"/>
        <w:spacing w:line="360" w:lineRule="auto"/>
        <w:ind w:firstLine="480"/>
        <w:rPr>
          <w:rFonts w:ascii="宋体" w:hAnsi="宋体" w:cs="宋体"/>
          <w:sz w:val="24"/>
          <w:szCs w:val="24"/>
        </w:rPr>
      </w:pPr>
      <w:r>
        <w:rPr>
          <w:rFonts w:hint="eastAsia" w:ascii="宋体" w:hAnsi="宋体" w:cs="宋体"/>
          <w:sz w:val="24"/>
          <w:szCs w:val="24"/>
        </w:rPr>
        <w:t>（三）预算金额：</w:t>
      </w:r>
      <w:r>
        <w:rPr>
          <w:rFonts w:ascii="宋体" w:hAnsi="宋体" w:cs="宋体"/>
          <w:sz w:val="24"/>
          <w:szCs w:val="24"/>
        </w:rPr>
        <w:t>140</w:t>
      </w:r>
      <w:r>
        <w:rPr>
          <w:rFonts w:hint="eastAsia" w:ascii="宋体" w:hAnsi="宋体" w:cs="宋体"/>
          <w:sz w:val="24"/>
          <w:szCs w:val="24"/>
        </w:rPr>
        <w:t>万元</w:t>
      </w:r>
    </w:p>
    <w:p w14:paraId="1AD099AB">
      <w:pPr>
        <w:adjustRightInd w:val="0"/>
        <w:snapToGrid w:val="0"/>
        <w:spacing w:line="360" w:lineRule="auto"/>
        <w:ind w:firstLine="480"/>
        <w:rPr>
          <w:rFonts w:ascii="宋体" w:hAnsi="宋体" w:cs="宋体"/>
          <w:sz w:val="24"/>
          <w:szCs w:val="24"/>
        </w:rPr>
      </w:pPr>
      <w:r>
        <w:rPr>
          <w:rFonts w:hint="eastAsia" w:ascii="宋体" w:hAnsi="宋体" w:cs="宋体"/>
          <w:sz w:val="24"/>
          <w:szCs w:val="24"/>
        </w:rPr>
        <w:t>（四）最高限价：</w:t>
      </w:r>
      <w:r>
        <w:rPr>
          <w:rFonts w:ascii="宋体" w:hAnsi="宋体" w:cs="宋体"/>
          <w:sz w:val="24"/>
          <w:szCs w:val="24"/>
        </w:rPr>
        <w:t>140</w:t>
      </w:r>
      <w:r>
        <w:rPr>
          <w:rFonts w:hint="eastAsia" w:ascii="宋体" w:hAnsi="宋体" w:cs="宋体"/>
          <w:sz w:val="24"/>
          <w:szCs w:val="24"/>
        </w:rPr>
        <w:t>万元，</w:t>
      </w:r>
      <w:bookmarkStart w:id="12" w:name="_Hlk192262911"/>
      <w:r>
        <w:rPr>
          <w:rFonts w:hint="eastAsia" w:ascii="宋体" w:hAnsi="宋体" w:cs="宋体"/>
          <w:bCs/>
          <w:sz w:val="24"/>
        </w:rPr>
        <w:t>投标人的报价超过最高限价的视为无效投标</w:t>
      </w:r>
      <w:bookmarkEnd w:id="12"/>
      <w:r>
        <w:rPr>
          <w:rFonts w:hint="eastAsia" w:ascii="宋体" w:hAnsi="宋体" w:cs="宋体"/>
          <w:bCs/>
          <w:sz w:val="24"/>
        </w:rPr>
        <w:t>。</w:t>
      </w:r>
    </w:p>
    <w:p w14:paraId="5043FA0D">
      <w:pPr>
        <w:adjustRightInd w:val="0"/>
        <w:snapToGrid w:val="0"/>
        <w:spacing w:line="360" w:lineRule="auto"/>
        <w:ind w:firstLine="480"/>
        <w:rPr>
          <w:rFonts w:ascii="宋体" w:hAnsi="宋体" w:cs="宋体"/>
          <w:sz w:val="24"/>
        </w:rPr>
      </w:pPr>
      <w:r>
        <w:rPr>
          <w:rFonts w:hint="eastAsia" w:ascii="宋体" w:hAnsi="宋体" w:cs="宋体"/>
          <w:sz w:val="24"/>
        </w:rPr>
        <w:t>（五）</w:t>
      </w:r>
      <w:r>
        <w:rPr>
          <w:rFonts w:ascii="宋体" w:hAnsi="宋体" w:cs="宋体"/>
          <w:sz w:val="24"/>
        </w:rPr>
        <w:t>采购需求：</w:t>
      </w:r>
    </w:p>
    <w:p w14:paraId="669A89C5">
      <w:pPr>
        <w:adjustRightInd w:val="0"/>
        <w:snapToGrid w:val="0"/>
        <w:spacing w:line="360" w:lineRule="auto"/>
        <w:ind w:firstLine="480"/>
        <w:rPr>
          <w:rFonts w:ascii="宋体" w:hAnsi="宋体" w:cs="宋体"/>
          <w:sz w:val="24"/>
        </w:rPr>
      </w:pPr>
      <w:bookmarkStart w:id="13" w:name="OLE_LINK1"/>
      <w:bookmarkStart w:id="14" w:name="OLE_LINK2"/>
      <w:r>
        <w:rPr>
          <w:rFonts w:hint="eastAsia" w:ascii="宋体" w:hAnsi="宋体" w:cs="宋体"/>
          <w:sz w:val="24"/>
        </w:rPr>
        <w:t>我院现有沈阳CAK系列数控车床（数控系统：FANUC 0i Mate-TD）1</w:t>
      </w:r>
      <w:r>
        <w:rPr>
          <w:rFonts w:ascii="宋体" w:hAnsi="宋体" w:cs="宋体"/>
          <w:sz w:val="24"/>
        </w:rPr>
        <w:t>5</w:t>
      </w:r>
      <w:r>
        <w:rPr>
          <w:rFonts w:hint="eastAsia" w:ascii="宋体" w:hAnsi="宋体" w:cs="宋体"/>
          <w:sz w:val="24"/>
        </w:rPr>
        <w:t>台，立式加工中心（</w:t>
      </w:r>
      <w:r>
        <w:rPr>
          <w:rFonts w:ascii="宋体" w:hAnsi="宋体" w:cs="宋体"/>
          <w:sz w:val="24"/>
        </w:rPr>
        <w:t>数控系统：FANUC 0i Mate-MD</w:t>
      </w:r>
      <w:r>
        <w:rPr>
          <w:rFonts w:hint="eastAsia" w:ascii="宋体" w:hAnsi="宋体" w:cs="宋体"/>
          <w:sz w:val="24"/>
        </w:rPr>
        <w:t>）</w:t>
      </w:r>
      <w:r>
        <w:rPr>
          <w:rFonts w:ascii="宋体" w:hAnsi="宋体" w:cs="宋体"/>
          <w:sz w:val="24"/>
        </w:rPr>
        <w:t>4</w:t>
      </w:r>
      <w:r>
        <w:rPr>
          <w:rFonts w:hint="eastAsia" w:ascii="宋体" w:hAnsi="宋体" w:cs="宋体"/>
          <w:sz w:val="24"/>
        </w:rPr>
        <w:t>台，现需建设数控虚拟仿真实训室，建设完成后，可优化数控机床实训场地，提高实训效率及实训安全系数。</w:t>
      </w:r>
      <w:bookmarkEnd w:id="13"/>
      <w:bookmarkEnd w:id="14"/>
      <w:r>
        <w:rPr>
          <w:rFonts w:hint="eastAsia" w:ascii="宋体" w:hAnsi="宋体" w:cs="宋体"/>
          <w:sz w:val="24"/>
        </w:rPr>
        <w:t>项目采购内容主要包括</w:t>
      </w:r>
      <w:r>
        <w:rPr>
          <w:rFonts w:ascii="宋体" w:hAnsi="宋体" w:cs="宋体"/>
          <w:sz w:val="24"/>
        </w:rPr>
        <w:t>：</w:t>
      </w:r>
      <w:r>
        <w:rPr>
          <w:rFonts w:hint="eastAsia" w:ascii="宋体" w:hAnsi="宋体" w:cs="宋体"/>
          <w:sz w:val="24"/>
        </w:rPr>
        <w:t>包含数控车床操作面板、加工中心操作面板、数控编程面板、数控车床仿真系统及加工中心仿真系统在内的数控机床操作、仿真系统，数据中心，图形工作站，桌椅，场地改造等。</w:t>
      </w:r>
    </w:p>
    <w:p w14:paraId="48B4EAC3">
      <w:pPr>
        <w:adjustRightInd w:val="0"/>
        <w:snapToGrid w:val="0"/>
        <w:spacing w:line="360" w:lineRule="auto"/>
        <w:ind w:firstLine="480"/>
        <w:rPr>
          <w:rFonts w:ascii="宋体" w:hAnsi="宋体" w:cs="宋体"/>
          <w:sz w:val="24"/>
        </w:rPr>
      </w:pPr>
      <w:r>
        <w:rPr>
          <w:rFonts w:hint="eastAsia" w:ascii="宋体" w:hAnsi="宋体" w:cs="宋体"/>
          <w:sz w:val="24"/>
          <w:szCs w:val="24"/>
        </w:rPr>
        <w:t>（六）合同履行期：合同签订之日起</w:t>
      </w:r>
      <w:r>
        <w:rPr>
          <w:rFonts w:ascii="宋体" w:hAnsi="宋体" w:cs="宋体"/>
          <w:sz w:val="24"/>
          <w:szCs w:val="24"/>
        </w:rPr>
        <w:t>40</w:t>
      </w:r>
      <w:r>
        <w:rPr>
          <w:rFonts w:hint="eastAsia" w:ascii="宋体" w:hAnsi="宋体" w:cs="宋体"/>
          <w:sz w:val="24"/>
          <w:szCs w:val="24"/>
        </w:rPr>
        <w:t>日历天内完成</w:t>
      </w:r>
      <w:r>
        <w:rPr>
          <w:rFonts w:hint="eastAsia" w:ascii="宋体" w:hAnsi="宋体" w:cs="宋体"/>
          <w:sz w:val="24"/>
        </w:rPr>
        <w:t>所有设备安装调试和场地改造工作。</w:t>
      </w:r>
    </w:p>
    <w:p w14:paraId="0F9F1203">
      <w:pPr>
        <w:adjustRightInd w:val="0"/>
        <w:snapToGrid w:val="0"/>
        <w:spacing w:line="360" w:lineRule="auto"/>
        <w:ind w:firstLine="480"/>
        <w:rPr>
          <w:rFonts w:ascii="宋体" w:hAnsi="宋体" w:cs="宋体"/>
          <w:sz w:val="24"/>
          <w:szCs w:val="24"/>
          <w:u w:val="single"/>
        </w:rPr>
      </w:pPr>
      <w:r>
        <w:rPr>
          <w:rFonts w:hint="eastAsia" w:ascii="宋体" w:hAnsi="宋体" w:cs="宋体"/>
          <w:bCs/>
          <w:sz w:val="24"/>
        </w:rPr>
        <w:t>（七）</w:t>
      </w:r>
      <w:r>
        <w:rPr>
          <w:rFonts w:hint="eastAsia" w:ascii="宋体" w:hAnsi="宋体" w:cs="宋体"/>
          <w:sz w:val="24"/>
        </w:rPr>
        <w:t>本项目不接受联合体参与投标。</w:t>
      </w:r>
    </w:p>
    <w:p w14:paraId="44499351">
      <w:pPr>
        <w:keepNext/>
        <w:keepLines/>
        <w:adjustRightInd w:val="0"/>
        <w:snapToGrid w:val="0"/>
        <w:spacing w:before="156" w:after="156" w:line="360" w:lineRule="auto"/>
        <w:ind w:firstLine="496"/>
        <w:outlineLvl w:val="2"/>
        <w:rPr>
          <w:rFonts w:ascii="宋体" w:hAnsi="宋体" w:cs="宋体"/>
          <w:b/>
          <w:bCs/>
          <w:sz w:val="24"/>
          <w:szCs w:val="24"/>
        </w:rPr>
      </w:pPr>
      <w:bookmarkStart w:id="15" w:name="_Toc28359080"/>
      <w:bookmarkStart w:id="16" w:name="_Toc35393791"/>
      <w:bookmarkStart w:id="17" w:name="_Toc38985264"/>
      <w:bookmarkStart w:id="18" w:name="_Toc35393622"/>
      <w:bookmarkStart w:id="19" w:name="_Toc28359003"/>
      <w:r>
        <w:rPr>
          <w:rFonts w:hint="eastAsia" w:ascii="宋体" w:hAnsi="宋体" w:cs="宋体"/>
          <w:b/>
          <w:bCs/>
          <w:sz w:val="24"/>
          <w:szCs w:val="24"/>
        </w:rPr>
        <w:t>二、申请人的资格要求</w:t>
      </w:r>
      <w:bookmarkEnd w:id="15"/>
      <w:bookmarkEnd w:id="16"/>
      <w:bookmarkEnd w:id="17"/>
      <w:bookmarkEnd w:id="18"/>
      <w:bookmarkEnd w:id="19"/>
    </w:p>
    <w:p w14:paraId="4B8FB02F">
      <w:pPr>
        <w:adjustRightInd w:val="0"/>
        <w:snapToGrid w:val="0"/>
        <w:spacing w:line="360" w:lineRule="auto"/>
        <w:ind w:firstLine="480"/>
        <w:rPr>
          <w:rFonts w:ascii="宋体" w:hAnsi="宋体" w:cs="宋体"/>
          <w:sz w:val="24"/>
        </w:rPr>
      </w:pPr>
      <w:bookmarkStart w:id="20" w:name="_Toc28359004"/>
      <w:bookmarkStart w:id="21" w:name="_Toc35393792"/>
      <w:bookmarkStart w:id="22" w:name="_Toc35393623"/>
      <w:bookmarkStart w:id="23" w:name="_Toc38985265"/>
      <w:bookmarkStart w:id="24" w:name="_Toc28359081"/>
      <w:r>
        <w:rPr>
          <w:rFonts w:hint="eastAsia" w:ascii="宋体" w:hAnsi="宋体" w:cs="宋体"/>
          <w:sz w:val="24"/>
        </w:rPr>
        <w:t>（一）满足《中华人民共和国政府采购法》第二十二条规定：</w:t>
      </w:r>
    </w:p>
    <w:p w14:paraId="085641FF">
      <w:pPr>
        <w:adjustRightInd w:val="0"/>
        <w:snapToGrid w:val="0"/>
        <w:spacing w:line="360" w:lineRule="auto"/>
        <w:ind w:firstLine="480"/>
        <w:rPr>
          <w:rFonts w:ascii="宋体" w:hAnsi="宋体" w:cs="宋体"/>
          <w:sz w:val="24"/>
        </w:rPr>
      </w:pPr>
      <w:r>
        <w:rPr>
          <w:rFonts w:hint="eastAsia" w:ascii="宋体" w:hAnsi="宋体" w:cs="宋体"/>
          <w:sz w:val="24"/>
        </w:rPr>
        <w:t>1、提供</w:t>
      </w:r>
      <w:r>
        <w:rPr>
          <w:rFonts w:ascii="宋体" w:hAnsi="宋体" w:cs="宋体"/>
          <w:sz w:val="24"/>
        </w:rPr>
        <w:t>法人或者其他组织的营业执照等证明文件，</w:t>
      </w:r>
      <w:r>
        <w:rPr>
          <w:rFonts w:hint="eastAsia" w:ascii="宋体" w:hAnsi="宋体" w:cs="宋体"/>
          <w:sz w:val="24"/>
        </w:rPr>
        <w:t>如投标人为</w:t>
      </w:r>
      <w:r>
        <w:rPr>
          <w:rFonts w:ascii="宋体" w:hAnsi="宋体" w:cs="宋体"/>
          <w:sz w:val="24"/>
        </w:rPr>
        <w:t>自然人</w:t>
      </w:r>
      <w:r>
        <w:rPr>
          <w:rFonts w:hint="eastAsia" w:ascii="宋体" w:hAnsi="宋体" w:cs="宋体"/>
          <w:sz w:val="24"/>
        </w:rPr>
        <w:t>的，提供其</w:t>
      </w:r>
      <w:r>
        <w:rPr>
          <w:rFonts w:ascii="宋体" w:hAnsi="宋体" w:cs="宋体"/>
          <w:sz w:val="24"/>
        </w:rPr>
        <w:t xml:space="preserve">身份证明； </w:t>
      </w:r>
    </w:p>
    <w:p w14:paraId="363C757E">
      <w:pPr>
        <w:adjustRightInd w:val="0"/>
        <w:snapToGrid w:val="0"/>
        <w:spacing w:line="360" w:lineRule="auto"/>
        <w:ind w:firstLine="480"/>
        <w:rPr>
          <w:rFonts w:ascii="宋体" w:hAnsi="宋体" w:cs="宋体"/>
          <w:sz w:val="24"/>
        </w:rPr>
      </w:pPr>
      <w:r>
        <w:rPr>
          <w:rFonts w:hint="eastAsia" w:ascii="宋体" w:hAnsi="宋体" w:cs="宋体"/>
          <w:sz w:val="24"/>
        </w:rPr>
        <w:t>2、提供2024年度财务状况报告，</w:t>
      </w:r>
      <w:bookmarkStart w:id="25" w:name="_Hlk108015803"/>
      <w:r>
        <w:rPr>
          <w:rFonts w:hint="eastAsia" w:ascii="宋体" w:hAnsi="宋体" w:cs="宋体"/>
          <w:sz w:val="24"/>
        </w:rPr>
        <w:t>或2</w:t>
      </w:r>
      <w:r>
        <w:rPr>
          <w:rFonts w:ascii="宋体" w:hAnsi="宋体" w:cs="宋体"/>
          <w:sz w:val="24"/>
        </w:rPr>
        <w:t>02</w:t>
      </w:r>
      <w:r>
        <w:rPr>
          <w:rFonts w:hint="eastAsia" w:ascii="宋体" w:hAnsi="宋体" w:cs="宋体"/>
          <w:sz w:val="24"/>
        </w:rPr>
        <w:t>5年1月以来</w:t>
      </w:r>
      <w:bookmarkEnd w:id="25"/>
      <w:r>
        <w:rPr>
          <w:rFonts w:hint="eastAsia" w:ascii="宋体" w:hAnsi="宋体" w:cs="宋体"/>
          <w:sz w:val="24"/>
        </w:rPr>
        <w:t>任意一个月</w:t>
      </w:r>
      <w:bookmarkStart w:id="26" w:name="_Hlk109904785"/>
      <w:r>
        <w:rPr>
          <w:rFonts w:hint="eastAsia" w:ascii="宋体" w:hAnsi="宋体" w:cs="宋体"/>
          <w:sz w:val="24"/>
        </w:rPr>
        <w:t>的</w:t>
      </w:r>
      <w:bookmarkStart w:id="27" w:name="_Hlk109904404"/>
      <w:r>
        <w:rPr>
          <w:rFonts w:hint="eastAsia" w:ascii="宋体" w:hAnsi="宋体" w:cs="宋体"/>
          <w:sz w:val="24"/>
        </w:rPr>
        <w:t>财务报表</w:t>
      </w:r>
      <w:bookmarkEnd w:id="26"/>
      <w:bookmarkEnd w:id="27"/>
      <w:r>
        <w:rPr>
          <w:rFonts w:hint="eastAsia" w:ascii="宋体" w:hAnsi="宋体" w:cs="宋体"/>
          <w:sz w:val="24"/>
        </w:rPr>
        <w:t>，或银行出具的资信证明，或财政部门认可的专业担保机构出具的投标担保函（成立不满一年不需提供）；</w:t>
      </w:r>
    </w:p>
    <w:p w14:paraId="1598E202">
      <w:pPr>
        <w:adjustRightInd w:val="0"/>
        <w:snapToGrid w:val="0"/>
        <w:spacing w:line="360" w:lineRule="auto"/>
        <w:ind w:firstLine="480"/>
        <w:rPr>
          <w:rFonts w:ascii="宋体" w:hAnsi="宋体" w:cs="宋体"/>
          <w:sz w:val="24"/>
        </w:rPr>
      </w:pPr>
      <w:r>
        <w:rPr>
          <w:rFonts w:hint="eastAsia" w:ascii="宋体" w:hAnsi="宋体" w:cs="宋体"/>
          <w:sz w:val="24"/>
        </w:rPr>
        <w:t>3、提供在提交投标文件截止时间前一年内（至少一个月）</w:t>
      </w:r>
      <w:r>
        <w:rPr>
          <w:rFonts w:ascii="宋体" w:hAnsi="宋体" w:cs="宋体"/>
          <w:sz w:val="24"/>
        </w:rPr>
        <w:t>依法缴纳税收</w:t>
      </w:r>
      <w:r>
        <w:rPr>
          <w:rFonts w:hint="eastAsia" w:ascii="宋体" w:hAnsi="宋体" w:cs="宋体"/>
          <w:sz w:val="24"/>
        </w:rPr>
        <w:t>（如增值税或营业税、企业所得税等）</w:t>
      </w:r>
      <w:r>
        <w:rPr>
          <w:rFonts w:ascii="宋体" w:hAnsi="宋体" w:cs="宋体"/>
          <w:sz w:val="24"/>
        </w:rPr>
        <w:t>和社会保障资金的</w:t>
      </w:r>
      <w:r>
        <w:rPr>
          <w:rFonts w:hint="eastAsia" w:ascii="宋体" w:hAnsi="宋体" w:cs="宋体"/>
          <w:sz w:val="24"/>
        </w:rPr>
        <w:t>有效证明</w:t>
      </w:r>
      <w:r>
        <w:rPr>
          <w:rFonts w:ascii="宋体" w:hAnsi="宋体" w:cs="宋体"/>
          <w:sz w:val="24"/>
        </w:rPr>
        <w:t>材料</w:t>
      </w:r>
      <w:r>
        <w:rPr>
          <w:rFonts w:hint="eastAsia" w:ascii="宋体" w:hAnsi="宋体" w:cs="宋体"/>
          <w:sz w:val="24"/>
        </w:rPr>
        <w:t>（投标人依法享受缓缴、免缴税收或社会保障资金的，须提供有效证明材料）</w:t>
      </w:r>
      <w:r>
        <w:rPr>
          <w:rFonts w:ascii="宋体" w:hAnsi="宋体" w:cs="宋体"/>
          <w:sz w:val="24"/>
        </w:rPr>
        <w:t>；</w:t>
      </w:r>
    </w:p>
    <w:p w14:paraId="6AAA71A3">
      <w:pPr>
        <w:adjustRightInd w:val="0"/>
        <w:snapToGrid w:val="0"/>
        <w:spacing w:line="360" w:lineRule="auto"/>
        <w:ind w:firstLine="480"/>
        <w:rPr>
          <w:rFonts w:ascii="宋体" w:hAnsi="宋体" w:cs="宋体"/>
          <w:sz w:val="24"/>
        </w:rPr>
      </w:pPr>
      <w:r>
        <w:rPr>
          <w:rFonts w:hint="eastAsia" w:ascii="宋体" w:hAnsi="宋体" w:cs="宋体"/>
          <w:sz w:val="24"/>
        </w:rPr>
        <w:t>4、提供</w:t>
      </w:r>
      <w:r>
        <w:rPr>
          <w:rFonts w:ascii="宋体" w:hAnsi="宋体" w:cs="宋体"/>
          <w:sz w:val="24"/>
        </w:rPr>
        <w:t>具备履行合同所必需的设备和专业技术能力的</w:t>
      </w:r>
      <w:r>
        <w:rPr>
          <w:rFonts w:hint="eastAsia" w:ascii="宋体" w:hAnsi="宋体" w:cs="宋体"/>
          <w:sz w:val="24"/>
        </w:rPr>
        <w:t>书面</w:t>
      </w:r>
      <w:r>
        <w:rPr>
          <w:rFonts w:ascii="宋体" w:hAnsi="宋体" w:cs="宋体"/>
          <w:sz w:val="24"/>
        </w:rPr>
        <w:t>声明；</w:t>
      </w:r>
    </w:p>
    <w:p w14:paraId="2E752DFB">
      <w:pPr>
        <w:adjustRightInd w:val="0"/>
        <w:snapToGrid w:val="0"/>
        <w:spacing w:line="360" w:lineRule="auto"/>
        <w:ind w:firstLine="480"/>
        <w:rPr>
          <w:rFonts w:ascii="宋体" w:hAnsi="宋体" w:cs="宋体"/>
          <w:sz w:val="24"/>
        </w:rPr>
      </w:pPr>
      <w:r>
        <w:rPr>
          <w:rFonts w:hint="eastAsia" w:ascii="宋体" w:hAnsi="宋体" w:cs="宋体"/>
          <w:sz w:val="24"/>
        </w:rPr>
        <w:t>5、提供</w:t>
      </w:r>
      <w:r>
        <w:rPr>
          <w:rFonts w:ascii="宋体" w:hAnsi="宋体" w:cs="宋体"/>
          <w:sz w:val="24"/>
        </w:rPr>
        <w:t>参加政府采购活动前3年内在经营活动中没有重大违法记录的书面声明</w:t>
      </w:r>
      <w:r>
        <w:rPr>
          <w:rFonts w:hint="eastAsia" w:ascii="宋体" w:hAnsi="宋体" w:cs="宋体"/>
          <w:sz w:val="24"/>
        </w:rPr>
        <w:t>；</w:t>
      </w:r>
    </w:p>
    <w:p w14:paraId="30AEF1BD">
      <w:pPr>
        <w:adjustRightInd w:val="0"/>
        <w:snapToGrid w:val="0"/>
        <w:spacing w:line="360" w:lineRule="auto"/>
        <w:ind w:firstLine="480"/>
        <w:rPr>
          <w:rFonts w:ascii="宋体" w:hAnsi="宋体" w:cs="宋体"/>
          <w:sz w:val="24"/>
        </w:rPr>
      </w:pPr>
      <w:bookmarkStart w:id="28" w:name="_Hlk174538327"/>
      <w:r>
        <w:rPr>
          <w:rFonts w:hint="eastAsia" w:ascii="宋体" w:hAnsi="宋体" w:cs="宋体"/>
          <w:sz w:val="24"/>
        </w:rPr>
        <w:t>6、存在以下情形的不得参加本项目的采购活动：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p>
    <w:bookmarkEnd w:id="28"/>
    <w:p w14:paraId="3AD09ED3">
      <w:pPr>
        <w:adjustRightInd w:val="0"/>
        <w:snapToGrid w:val="0"/>
        <w:spacing w:line="360" w:lineRule="auto"/>
        <w:ind w:firstLine="480"/>
        <w:rPr>
          <w:rFonts w:ascii="宋体" w:hAnsi="宋体" w:cs="宋体"/>
          <w:sz w:val="24"/>
        </w:rPr>
      </w:pPr>
      <w:bookmarkStart w:id="29" w:name="_Hlk106724798"/>
      <w:bookmarkStart w:id="30" w:name="_Hlk106726432"/>
      <w:bookmarkStart w:id="31" w:name="_Hlk106725740"/>
      <w:r>
        <w:rPr>
          <w:rFonts w:hint="eastAsia" w:ascii="宋体" w:hAnsi="宋体" w:cs="宋体"/>
          <w:sz w:val="24"/>
        </w:rPr>
        <w:t>（二）落实政府采购政策需满足的资格要求：无；</w:t>
      </w:r>
      <w:bookmarkStart w:id="32" w:name="_Hlk174538358"/>
      <w:r>
        <w:rPr>
          <w:rFonts w:hint="eastAsia" w:ascii="宋体" w:hAnsi="宋体" w:cs="宋体"/>
          <w:sz w:val="24"/>
        </w:rPr>
        <w:t>本项目为预留份额专门面向中小企业的采购项目或采购包。</w:t>
      </w:r>
    </w:p>
    <w:bookmarkEnd w:id="29"/>
    <w:bookmarkEnd w:id="30"/>
    <w:bookmarkEnd w:id="31"/>
    <w:bookmarkEnd w:id="32"/>
    <w:p w14:paraId="6686C048">
      <w:pPr>
        <w:adjustRightInd w:val="0"/>
        <w:snapToGrid w:val="0"/>
        <w:spacing w:line="360" w:lineRule="auto"/>
        <w:ind w:firstLine="480"/>
        <w:rPr>
          <w:rFonts w:ascii="宋体" w:hAnsi="宋体" w:cs="宋体"/>
          <w:sz w:val="24"/>
          <w:szCs w:val="24"/>
        </w:rPr>
      </w:pPr>
      <w:r>
        <w:rPr>
          <w:rFonts w:hint="eastAsia" w:ascii="宋体" w:hAnsi="宋体" w:cs="宋体"/>
          <w:sz w:val="24"/>
        </w:rPr>
        <w:t>（三）本项目的特定资格要求：无。</w:t>
      </w:r>
    </w:p>
    <w:p w14:paraId="2947DDD8">
      <w:pPr>
        <w:keepNext/>
        <w:keepLines/>
        <w:adjustRightInd w:val="0"/>
        <w:snapToGrid w:val="0"/>
        <w:spacing w:before="156" w:after="156" w:line="360" w:lineRule="auto"/>
        <w:ind w:firstLine="496"/>
        <w:outlineLvl w:val="2"/>
        <w:rPr>
          <w:rFonts w:ascii="宋体" w:hAnsi="宋体" w:cs="宋体"/>
          <w:b/>
          <w:bCs/>
          <w:sz w:val="24"/>
          <w:szCs w:val="24"/>
        </w:rPr>
      </w:pPr>
      <w:r>
        <w:rPr>
          <w:rFonts w:hint="eastAsia" w:ascii="宋体" w:hAnsi="宋体" w:cs="宋体"/>
          <w:b/>
          <w:bCs/>
          <w:sz w:val="24"/>
          <w:szCs w:val="24"/>
        </w:rPr>
        <w:t>三、获取招标文件</w:t>
      </w:r>
    </w:p>
    <w:p w14:paraId="29061C44">
      <w:pPr>
        <w:adjustRightInd w:val="0"/>
        <w:snapToGrid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一</w:t>
      </w:r>
      <w:r>
        <w:rPr>
          <w:rFonts w:hint="eastAsia" w:ascii="宋体" w:hAnsi="宋体" w:cs="宋体"/>
          <w:sz w:val="24"/>
          <w:szCs w:val="24"/>
          <w:lang w:val="zh-CN"/>
        </w:rPr>
        <w:t>）时间：自</w:t>
      </w:r>
      <w:r>
        <w:rPr>
          <w:rFonts w:hint="eastAsia" w:ascii="宋体" w:hAnsi="宋体" w:cs="宋体"/>
          <w:sz w:val="24"/>
          <w:szCs w:val="24"/>
        </w:rPr>
        <w:t>采购</w:t>
      </w:r>
      <w:r>
        <w:rPr>
          <w:rFonts w:hint="eastAsia" w:ascii="宋体" w:hAnsi="宋体" w:cs="宋体"/>
          <w:sz w:val="24"/>
          <w:szCs w:val="24"/>
          <w:lang w:val="zh-CN"/>
        </w:rPr>
        <w:t>公告发布之日起5个工作日。</w:t>
      </w:r>
    </w:p>
    <w:p w14:paraId="0039B45F">
      <w:pPr>
        <w:adjustRightInd w:val="0"/>
        <w:snapToGrid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二</w:t>
      </w:r>
      <w:r>
        <w:rPr>
          <w:rFonts w:hint="eastAsia" w:ascii="宋体" w:hAnsi="宋体" w:cs="宋体"/>
          <w:sz w:val="24"/>
          <w:szCs w:val="24"/>
          <w:lang w:val="zh-CN"/>
        </w:rPr>
        <w:t>）地点：江苏政府采购网“苏采云”系统</w:t>
      </w:r>
    </w:p>
    <w:p w14:paraId="1B41B06F">
      <w:pPr>
        <w:adjustRightInd w:val="0"/>
        <w:snapToGrid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三</w:t>
      </w:r>
      <w:r>
        <w:rPr>
          <w:rFonts w:hint="eastAsia" w:ascii="宋体" w:hAnsi="宋体" w:cs="宋体"/>
          <w:sz w:val="24"/>
          <w:szCs w:val="24"/>
          <w:lang w:val="zh-CN"/>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5BF366D2">
      <w:pPr>
        <w:adjustRightInd w:val="0"/>
        <w:snapToGrid w:val="0"/>
        <w:spacing w:line="360" w:lineRule="auto"/>
        <w:ind w:firstLine="480" w:firstLineChars="200"/>
        <w:rPr>
          <w:rFonts w:ascii="宋体" w:hAnsi="宋体" w:cs="宋体"/>
          <w:sz w:val="24"/>
        </w:rPr>
      </w:pPr>
      <w:r>
        <w:rPr>
          <w:rFonts w:hint="eastAsia" w:ascii="宋体" w:hAnsi="宋体" w:cs="宋体"/>
          <w:sz w:val="24"/>
          <w:szCs w:val="24"/>
          <w:lang w:val="zh-CN"/>
        </w:rPr>
        <w:t>售价：0.00元</w:t>
      </w:r>
    </w:p>
    <w:bookmarkEnd w:id="20"/>
    <w:bookmarkEnd w:id="21"/>
    <w:bookmarkEnd w:id="22"/>
    <w:bookmarkEnd w:id="23"/>
    <w:bookmarkEnd w:id="24"/>
    <w:p w14:paraId="4C56AF2D">
      <w:pPr>
        <w:keepNext/>
        <w:keepLines/>
        <w:adjustRightInd w:val="0"/>
        <w:snapToGrid w:val="0"/>
        <w:spacing w:before="156" w:after="156" w:line="360" w:lineRule="auto"/>
        <w:ind w:firstLine="496"/>
        <w:outlineLvl w:val="2"/>
        <w:rPr>
          <w:rFonts w:ascii="宋体" w:hAnsi="宋体" w:cs="宋体"/>
          <w:b/>
          <w:bCs/>
          <w:sz w:val="24"/>
          <w:szCs w:val="24"/>
        </w:rPr>
      </w:pPr>
      <w:bookmarkStart w:id="33" w:name="_Toc28359005"/>
      <w:bookmarkStart w:id="34" w:name="_Toc35393793"/>
      <w:bookmarkStart w:id="35" w:name="_Toc28359082"/>
      <w:bookmarkStart w:id="36" w:name="_Toc38985266"/>
      <w:bookmarkStart w:id="37" w:name="_Toc35393624"/>
      <w:r>
        <w:rPr>
          <w:rFonts w:hint="eastAsia" w:ascii="宋体" w:hAnsi="宋体" w:cs="宋体"/>
          <w:b/>
          <w:bCs/>
          <w:sz w:val="24"/>
          <w:szCs w:val="24"/>
        </w:rPr>
        <w:t>四、投标文件</w:t>
      </w:r>
      <w:bookmarkEnd w:id="33"/>
      <w:bookmarkEnd w:id="34"/>
      <w:bookmarkEnd w:id="35"/>
      <w:bookmarkEnd w:id="36"/>
      <w:bookmarkEnd w:id="37"/>
      <w:r>
        <w:rPr>
          <w:rFonts w:hint="eastAsia" w:ascii="宋体" w:hAnsi="宋体" w:cs="宋体"/>
          <w:b/>
          <w:bCs/>
          <w:sz w:val="24"/>
          <w:szCs w:val="24"/>
        </w:rPr>
        <w:t>提交</w:t>
      </w:r>
    </w:p>
    <w:p w14:paraId="133F4028">
      <w:pPr>
        <w:adjustRightInd w:val="0"/>
        <w:snapToGrid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（一）截止时间：2026-</w:t>
      </w:r>
      <w:r>
        <w:rPr>
          <w:rFonts w:hint="eastAsia" w:ascii="宋体" w:hAnsi="宋体" w:cs="宋体"/>
          <w:sz w:val="24"/>
          <w:szCs w:val="24"/>
          <w:lang w:val="en-US" w:eastAsia="zh-CN"/>
        </w:rPr>
        <w:t>08</w:t>
      </w:r>
      <w:r>
        <w:rPr>
          <w:rFonts w:hint="eastAsia" w:ascii="宋体" w:hAnsi="宋体" w:cs="宋体"/>
          <w:sz w:val="24"/>
          <w:szCs w:val="24"/>
          <w:lang w:val="zh-CN"/>
        </w:rPr>
        <w:t>-</w:t>
      </w:r>
      <w:r>
        <w:rPr>
          <w:rFonts w:hint="eastAsia" w:ascii="宋体" w:hAnsi="宋体" w:cs="宋体"/>
          <w:sz w:val="24"/>
          <w:szCs w:val="24"/>
          <w:lang w:val="en-US" w:eastAsia="zh-CN"/>
        </w:rPr>
        <w:t>31</w:t>
      </w:r>
      <w:r>
        <w:rPr>
          <w:rFonts w:hint="eastAsia" w:ascii="宋体" w:hAnsi="宋体" w:cs="宋体"/>
          <w:sz w:val="24"/>
          <w:szCs w:val="24"/>
        </w:rPr>
        <w:t xml:space="preserve">  14</w:t>
      </w:r>
      <w:r>
        <w:rPr>
          <w:rFonts w:hint="eastAsia" w:ascii="宋体" w:hAnsi="宋体" w:cs="宋体"/>
          <w:sz w:val="24"/>
          <w:szCs w:val="24"/>
          <w:lang w:val="zh-CN"/>
        </w:rPr>
        <w:t>:30（北京时间）</w:t>
      </w:r>
    </w:p>
    <w:p w14:paraId="531B81E6">
      <w:pPr>
        <w:adjustRightInd w:val="0"/>
        <w:snapToGrid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（二）地点：“苏采云”系统（网址：http://jszfcg.jsczt.cn/）“开标大厅”</w:t>
      </w:r>
    </w:p>
    <w:p w14:paraId="184592A7">
      <w:pPr>
        <w:adjustRightInd w:val="0"/>
        <w:snapToGrid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73C33883">
      <w:pPr>
        <w:adjustRightInd w:val="0"/>
        <w:snapToGrid w:val="0"/>
        <w:spacing w:line="360" w:lineRule="auto"/>
        <w:ind w:firstLine="482" w:firstLineChars="200"/>
        <w:rPr>
          <w:rFonts w:ascii="宋体" w:hAnsi="宋体" w:cs="宋体"/>
          <w:b/>
          <w:bCs/>
          <w:sz w:val="24"/>
          <w:szCs w:val="24"/>
        </w:rPr>
      </w:pPr>
      <w:r>
        <w:rPr>
          <w:rFonts w:hint="eastAsia" w:ascii="宋体" w:hAnsi="宋体" w:cs="宋体"/>
          <w:b/>
          <w:sz w:val="24"/>
          <w:szCs w:val="24"/>
        </w:rPr>
        <w:t>五、开启</w:t>
      </w:r>
    </w:p>
    <w:p w14:paraId="672A5AC2">
      <w:pPr>
        <w:adjustRightInd w:val="0"/>
        <w:snapToGrid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时间：20</w:t>
      </w:r>
      <w:r>
        <w:rPr>
          <w:rFonts w:hint="eastAsia" w:ascii="宋体" w:hAnsi="宋体" w:cs="宋体"/>
          <w:sz w:val="24"/>
          <w:szCs w:val="24"/>
        </w:rPr>
        <w:t>26</w:t>
      </w:r>
      <w:r>
        <w:rPr>
          <w:rFonts w:hint="eastAsia" w:ascii="宋体" w:hAnsi="宋体" w:cs="宋体"/>
          <w:sz w:val="24"/>
          <w:szCs w:val="24"/>
          <w:lang w:val="zh-CN"/>
        </w:rPr>
        <w:t>-</w:t>
      </w:r>
      <w:r>
        <w:rPr>
          <w:rFonts w:hint="eastAsia" w:ascii="宋体" w:hAnsi="宋体" w:cs="宋体"/>
          <w:sz w:val="24"/>
          <w:szCs w:val="24"/>
          <w:lang w:val="en-US" w:eastAsia="zh-CN"/>
        </w:rPr>
        <w:t>08</w:t>
      </w:r>
      <w:r>
        <w:rPr>
          <w:rFonts w:hint="eastAsia" w:ascii="宋体" w:hAnsi="宋体" w:cs="宋体"/>
          <w:sz w:val="24"/>
          <w:szCs w:val="24"/>
          <w:lang w:val="zh-CN"/>
        </w:rPr>
        <w:t>-</w:t>
      </w:r>
      <w:r>
        <w:rPr>
          <w:rFonts w:hint="eastAsia" w:ascii="宋体" w:hAnsi="宋体" w:cs="宋体"/>
          <w:sz w:val="24"/>
          <w:szCs w:val="24"/>
          <w:lang w:val="en-US" w:eastAsia="zh-CN"/>
        </w:rPr>
        <w:t>31</w:t>
      </w:r>
      <w:r>
        <w:rPr>
          <w:rFonts w:hint="eastAsia" w:ascii="宋体" w:hAnsi="宋体" w:cs="宋体"/>
          <w:sz w:val="24"/>
          <w:szCs w:val="24"/>
        </w:rPr>
        <w:t xml:space="preserve"> 14</w:t>
      </w:r>
      <w:r>
        <w:rPr>
          <w:rFonts w:hint="eastAsia" w:ascii="宋体" w:hAnsi="宋体" w:cs="宋体"/>
          <w:sz w:val="24"/>
          <w:szCs w:val="24"/>
          <w:lang w:val="zh-CN"/>
        </w:rPr>
        <w:t>:30（北京时间）</w:t>
      </w:r>
    </w:p>
    <w:p w14:paraId="1D9AEF5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lang w:val="zh-CN"/>
        </w:rPr>
        <w:t>地点：“苏采云”政府采购交易系统网上开标大厅</w:t>
      </w:r>
    </w:p>
    <w:p w14:paraId="121A44D0">
      <w:pPr>
        <w:keepNext/>
        <w:keepLines/>
        <w:adjustRightInd w:val="0"/>
        <w:snapToGrid w:val="0"/>
        <w:spacing w:before="156" w:after="156" w:line="360" w:lineRule="auto"/>
        <w:ind w:firstLine="496"/>
        <w:outlineLvl w:val="2"/>
        <w:rPr>
          <w:rFonts w:ascii="宋体" w:hAnsi="宋体" w:cs="宋体"/>
          <w:b/>
          <w:bCs/>
          <w:sz w:val="24"/>
          <w:szCs w:val="24"/>
        </w:rPr>
      </w:pPr>
      <w:bookmarkStart w:id="38" w:name="_Toc35393794"/>
      <w:bookmarkStart w:id="39" w:name="_Toc28359084"/>
      <w:bookmarkStart w:id="40" w:name="_Toc35393625"/>
      <w:bookmarkStart w:id="41" w:name="_Toc38985267"/>
      <w:bookmarkStart w:id="42" w:name="_Toc28359007"/>
      <w:r>
        <w:rPr>
          <w:rFonts w:hint="eastAsia" w:ascii="宋体" w:hAnsi="宋体" w:cs="宋体"/>
          <w:b/>
          <w:bCs/>
          <w:sz w:val="24"/>
          <w:szCs w:val="24"/>
        </w:rPr>
        <w:t>六、公告期限</w:t>
      </w:r>
      <w:bookmarkEnd w:id="38"/>
      <w:bookmarkEnd w:id="39"/>
      <w:bookmarkEnd w:id="40"/>
      <w:bookmarkEnd w:id="41"/>
      <w:bookmarkEnd w:id="42"/>
    </w:p>
    <w:p w14:paraId="67B7764B">
      <w:pPr>
        <w:adjustRightInd w:val="0"/>
        <w:snapToGrid w:val="0"/>
        <w:spacing w:line="360" w:lineRule="auto"/>
        <w:ind w:firstLine="480"/>
        <w:rPr>
          <w:rFonts w:ascii="宋体" w:hAnsi="宋体" w:cs="宋体"/>
          <w:sz w:val="24"/>
          <w:szCs w:val="24"/>
        </w:rPr>
      </w:pPr>
      <w:r>
        <w:rPr>
          <w:rFonts w:hint="eastAsia" w:ascii="宋体" w:hAnsi="宋体" w:cs="宋体"/>
          <w:sz w:val="24"/>
          <w:szCs w:val="24"/>
        </w:rPr>
        <w:t>自本公告发布之日起5个工作日。</w:t>
      </w:r>
    </w:p>
    <w:p w14:paraId="007E31D1">
      <w:pPr>
        <w:keepNext/>
        <w:keepLines/>
        <w:adjustRightInd w:val="0"/>
        <w:snapToGrid w:val="0"/>
        <w:spacing w:before="156" w:after="156" w:line="360" w:lineRule="auto"/>
        <w:ind w:firstLine="496"/>
        <w:outlineLvl w:val="2"/>
        <w:rPr>
          <w:rFonts w:ascii="宋体" w:hAnsi="宋体" w:cs="宋体"/>
          <w:b/>
          <w:bCs/>
          <w:sz w:val="24"/>
          <w:szCs w:val="24"/>
        </w:rPr>
      </w:pPr>
      <w:bookmarkStart w:id="43" w:name="_Toc38985268"/>
      <w:bookmarkStart w:id="44" w:name="_Toc35393795"/>
      <w:bookmarkStart w:id="45" w:name="_Toc35393626"/>
      <w:r>
        <w:rPr>
          <w:rFonts w:hint="eastAsia" w:ascii="宋体" w:hAnsi="宋体" w:cs="宋体"/>
          <w:b/>
          <w:bCs/>
          <w:sz w:val="24"/>
          <w:szCs w:val="24"/>
        </w:rPr>
        <w:t>七、其他补充事宜</w:t>
      </w:r>
      <w:bookmarkEnd w:id="43"/>
      <w:bookmarkEnd w:id="44"/>
      <w:bookmarkEnd w:id="45"/>
    </w:p>
    <w:p w14:paraId="17F2D693">
      <w:pPr>
        <w:widowControl/>
        <w:adjustRightInd w:val="0"/>
        <w:snapToGrid w:val="0"/>
        <w:spacing w:line="360" w:lineRule="auto"/>
        <w:ind w:firstLine="480" w:firstLineChars="200"/>
        <w:jc w:val="left"/>
        <w:rPr>
          <w:rFonts w:ascii="宋体" w:hAnsi="宋体" w:cs="宋体"/>
          <w:sz w:val="24"/>
          <w:szCs w:val="24"/>
        </w:rPr>
      </w:pPr>
      <w:r>
        <w:rPr>
          <w:rFonts w:hint="eastAsia" w:ascii="宋体" w:hAnsi="宋体" w:cs="宋体"/>
          <w:sz w:val="24"/>
          <w:szCs w:val="24"/>
        </w:rPr>
        <w:t>（一）本公告在“江苏省政府采购”网站(http://www.ccgp-jiangsu.gov.cn/)公示发布，敬请各供应商关注。若有关本次采购存在变动或修改，敬请各供应商及时关注“江苏省政府采购”网站(http://www.ccgp-jiangsu.gov.cn/)发布的关于本项目的信息更正公告。</w:t>
      </w:r>
    </w:p>
    <w:p w14:paraId="7C81891C">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szCs w:val="24"/>
        </w:rPr>
        <w:t>（二）供应商如确定参加投标，可自行下载采购文件及有关资料，按照《操作手册》进行注册，领取CA和办理电子签章，并按《操作手册》要求制作、上传电子投标文件。</w:t>
      </w:r>
    </w:p>
    <w:p w14:paraId="1D03E1CD">
      <w:pPr>
        <w:keepNext/>
        <w:keepLines/>
        <w:adjustRightInd w:val="0"/>
        <w:snapToGrid w:val="0"/>
        <w:spacing w:before="156" w:after="156" w:line="360" w:lineRule="auto"/>
        <w:ind w:firstLine="496"/>
        <w:outlineLvl w:val="2"/>
        <w:rPr>
          <w:rFonts w:ascii="宋体" w:hAnsi="宋体" w:cs="宋体"/>
          <w:b/>
          <w:bCs/>
          <w:sz w:val="24"/>
          <w:szCs w:val="24"/>
        </w:rPr>
      </w:pPr>
      <w:bookmarkStart w:id="46" w:name="_Toc35393627"/>
      <w:bookmarkStart w:id="47" w:name="_Toc38985269"/>
      <w:bookmarkStart w:id="48" w:name="_Toc35393796"/>
      <w:bookmarkStart w:id="49" w:name="_Toc28359085"/>
      <w:bookmarkStart w:id="50" w:name="_Toc28359008"/>
      <w:r>
        <w:rPr>
          <w:rFonts w:hint="eastAsia" w:ascii="宋体" w:hAnsi="宋体" w:cs="宋体"/>
          <w:b/>
          <w:bCs/>
          <w:sz w:val="24"/>
          <w:szCs w:val="24"/>
        </w:rPr>
        <w:t>七、本次招标联系方式</w:t>
      </w:r>
      <w:bookmarkEnd w:id="46"/>
      <w:bookmarkEnd w:id="47"/>
      <w:bookmarkEnd w:id="48"/>
      <w:bookmarkEnd w:id="49"/>
      <w:bookmarkEnd w:id="50"/>
    </w:p>
    <w:p w14:paraId="10B59527">
      <w:pPr>
        <w:widowControl/>
        <w:adjustRightInd w:val="0"/>
        <w:snapToGrid w:val="0"/>
        <w:spacing w:line="360" w:lineRule="auto"/>
        <w:ind w:firstLine="480"/>
        <w:jc w:val="left"/>
        <w:rPr>
          <w:rFonts w:ascii="宋体" w:hAnsi="宋体" w:cs="宋体"/>
          <w:sz w:val="24"/>
          <w:szCs w:val="24"/>
        </w:rPr>
      </w:pPr>
      <w:r>
        <w:rPr>
          <w:rFonts w:hint="eastAsia" w:ascii="宋体" w:hAnsi="宋体" w:cs="宋体"/>
          <w:sz w:val="24"/>
          <w:szCs w:val="24"/>
        </w:rPr>
        <w:t>（一）采购人信息</w:t>
      </w:r>
    </w:p>
    <w:p w14:paraId="6EA11BEA">
      <w:pPr>
        <w:adjustRightInd w:val="0"/>
        <w:snapToGrid w:val="0"/>
        <w:spacing w:line="360" w:lineRule="auto"/>
        <w:ind w:firstLine="480"/>
        <w:jc w:val="left"/>
        <w:rPr>
          <w:rFonts w:ascii="宋体" w:hAnsi="宋体" w:cs="宋体"/>
          <w:sz w:val="24"/>
          <w:szCs w:val="24"/>
        </w:rPr>
      </w:pPr>
      <w:r>
        <w:rPr>
          <w:rFonts w:hint="eastAsia" w:ascii="宋体" w:hAnsi="宋体" w:cs="宋体"/>
          <w:sz w:val="24"/>
          <w:szCs w:val="24"/>
        </w:rPr>
        <w:t>名 称：江苏省交通技师学院</w:t>
      </w:r>
    </w:p>
    <w:p w14:paraId="0CD093F3">
      <w:pPr>
        <w:adjustRightInd w:val="0"/>
        <w:snapToGrid w:val="0"/>
        <w:spacing w:line="360" w:lineRule="auto"/>
        <w:ind w:firstLine="480"/>
        <w:jc w:val="left"/>
        <w:rPr>
          <w:rFonts w:ascii="宋体" w:hAnsi="宋体" w:cs="宋体"/>
          <w:sz w:val="24"/>
          <w:szCs w:val="24"/>
        </w:rPr>
      </w:pPr>
      <w:r>
        <w:rPr>
          <w:rFonts w:hint="eastAsia" w:ascii="宋体" w:hAnsi="宋体" w:cs="宋体"/>
          <w:sz w:val="24"/>
          <w:szCs w:val="24"/>
        </w:rPr>
        <w:t>地 址：江苏省镇江市丹徒区长香西大道500号</w:t>
      </w:r>
    </w:p>
    <w:p w14:paraId="212C15F2">
      <w:pPr>
        <w:adjustRightInd w:val="0"/>
        <w:snapToGrid w:val="0"/>
        <w:spacing w:line="360" w:lineRule="auto"/>
        <w:ind w:firstLine="480"/>
        <w:jc w:val="left"/>
        <w:rPr>
          <w:rFonts w:ascii="宋体" w:hAnsi="宋体" w:cs="宋体"/>
          <w:sz w:val="24"/>
          <w:szCs w:val="24"/>
        </w:rPr>
      </w:pPr>
      <w:r>
        <w:rPr>
          <w:rFonts w:hint="eastAsia" w:ascii="宋体" w:hAnsi="宋体" w:cs="宋体"/>
          <w:sz w:val="24"/>
          <w:szCs w:val="24"/>
        </w:rPr>
        <w:t>联系人：王老师</w:t>
      </w:r>
    </w:p>
    <w:p w14:paraId="49153A1D">
      <w:pPr>
        <w:adjustRightInd w:val="0"/>
        <w:snapToGrid w:val="0"/>
        <w:spacing w:line="360" w:lineRule="auto"/>
        <w:ind w:firstLine="480"/>
        <w:jc w:val="left"/>
        <w:rPr>
          <w:rFonts w:ascii="宋体" w:hAnsi="宋体" w:cs="宋体"/>
          <w:sz w:val="24"/>
          <w:szCs w:val="24"/>
        </w:rPr>
      </w:pPr>
      <w:r>
        <w:rPr>
          <w:rFonts w:hint="eastAsia" w:ascii="宋体" w:hAnsi="宋体" w:cs="宋体"/>
          <w:sz w:val="24"/>
          <w:szCs w:val="24"/>
        </w:rPr>
        <w:t>联系方式：</w:t>
      </w:r>
      <w:bookmarkStart w:id="51" w:name="_Toc28359086"/>
      <w:bookmarkStart w:id="52" w:name="_Toc28359009"/>
      <w:r>
        <w:rPr>
          <w:rFonts w:ascii="宋体" w:hAnsi="宋体" w:cs="宋体"/>
          <w:sz w:val="24"/>
          <w:szCs w:val="24"/>
        </w:rPr>
        <w:t>0511-83361002</w:t>
      </w:r>
    </w:p>
    <w:p w14:paraId="510384C9">
      <w:pPr>
        <w:adjustRightInd w:val="0"/>
        <w:snapToGrid w:val="0"/>
        <w:spacing w:line="360" w:lineRule="auto"/>
        <w:ind w:firstLine="480"/>
        <w:jc w:val="left"/>
        <w:rPr>
          <w:rFonts w:ascii="宋体" w:hAnsi="宋体" w:cs="宋体"/>
          <w:sz w:val="24"/>
          <w:szCs w:val="24"/>
        </w:rPr>
      </w:pPr>
      <w:r>
        <w:rPr>
          <w:rFonts w:hint="eastAsia" w:ascii="宋体" w:hAnsi="宋体" w:cs="宋体"/>
          <w:sz w:val="24"/>
          <w:szCs w:val="24"/>
        </w:rPr>
        <w:t>（二）采购代理机构信息</w:t>
      </w:r>
    </w:p>
    <w:p w14:paraId="40B42253">
      <w:pPr>
        <w:adjustRightInd w:val="0"/>
        <w:snapToGrid w:val="0"/>
        <w:spacing w:line="360" w:lineRule="auto"/>
        <w:ind w:firstLine="480"/>
        <w:jc w:val="left"/>
        <w:rPr>
          <w:rFonts w:ascii="宋体" w:hAnsi="宋体" w:cs="宋体"/>
          <w:sz w:val="24"/>
          <w:szCs w:val="24"/>
        </w:rPr>
      </w:pPr>
      <w:r>
        <w:rPr>
          <w:rFonts w:hint="eastAsia" w:ascii="宋体" w:hAnsi="宋体" w:cs="宋体"/>
          <w:sz w:val="24"/>
          <w:szCs w:val="24"/>
        </w:rPr>
        <w:t>名称：江苏建威建设管理有限公司</w:t>
      </w:r>
      <w:bookmarkEnd w:id="51"/>
      <w:bookmarkEnd w:id="52"/>
    </w:p>
    <w:p w14:paraId="5B60AEA0">
      <w:pPr>
        <w:adjustRightInd w:val="0"/>
        <w:snapToGrid w:val="0"/>
        <w:spacing w:line="360" w:lineRule="auto"/>
        <w:ind w:firstLine="480"/>
        <w:rPr>
          <w:rFonts w:ascii="宋体" w:hAnsi="宋体" w:cs="宋体"/>
          <w:sz w:val="24"/>
          <w:szCs w:val="24"/>
        </w:rPr>
      </w:pPr>
      <w:r>
        <w:rPr>
          <w:rFonts w:hint="eastAsia" w:ascii="宋体" w:hAnsi="宋体" w:cs="宋体"/>
          <w:sz w:val="24"/>
          <w:szCs w:val="24"/>
        </w:rPr>
        <w:t>地　址：南京市鼓楼区芦席营68号南汽大厦七层</w:t>
      </w:r>
    </w:p>
    <w:p w14:paraId="156FF98E">
      <w:pPr>
        <w:adjustRightInd w:val="0"/>
        <w:snapToGrid w:val="0"/>
        <w:spacing w:line="360" w:lineRule="auto"/>
        <w:ind w:firstLine="480"/>
        <w:rPr>
          <w:rFonts w:ascii="宋体" w:hAnsi="宋体" w:cs="宋体"/>
          <w:sz w:val="24"/>
          <w:szCs w:val="24"/>
        </w:rPr>
      </w:pPr>
      <w:r>
        <w:rPr>
          <w:rFonts w:hint="eastAsia" w:ascii="宋体" w:hAnsi="宋体" w:cs="宋体"/>
          <w:sz w:val="24"/>
          <w:szCs w:val="24"/>
        </w:rPr>
        <w:t>联系人：武立奎</w:t>
      </w:r>
    </w:p>
    <w:p w14:paraId="6CABFA1D">
      <w:pPr>
        <w:adjustRightInd w:val="0"/>
        <w:snapToGrid w:val="0"/>
        <w:spacing w:line="360" w:lineRule="auto"/>
        <w:ind w:firstLine="480"/>
        <w:rPr>
          <w:rFonts w:ascii="宋体" w:hAnsi="宋体" w:cs="宋体"/>
          <w:sz w:val="24"/>
          <w:szCs w:val="24"/>
        </w:rPr>
      </w:pPr>
      <w:r>
        <w:rPr>
          <w:rFonts w:hint="eastAsia" w:ascii="宋体" w:hAnsi="宋体" w:cs="宋体"/>
          <w:sz w:val="24"/>
          <w:szCs w:val="24"/>
        </w:rPr>
        <w:t>联系方式：</w:t>
      </w:r>
      <w:bookmarkStart w:id="53" w:name="_Toc28359087"/>
      <w:bookmarkStart w:id="54" w:name="_Toc28359010"/>
      <w:r>
        <w:rPr>
          <w:rFonts w:hint="eastAsia" w:ascii="宋体" w:hAnsi="宋体" w:cs="宋体"/>
          <w:sz w:val="24"/>
          <w:szCs w:val="24"/>
        </w:rPr>
        <w:t>18944066163</w:t>
      </w:r>
    </w:p>
    <w:bookmarkEnd w:id="53"/>
    <w:bookmarkEnd w:id="54"/>
    <w:p w14:paraId="68A6759B">
      <w:pPr>
        <w:adjustRightInd w:val="0"/>
        <w:snapToGrid w:val="0"/>
        <w:spacing w:line="360" w:lineRule="auto"/>
        <w:ind w:firstLine="480"/>
        <w:rPr>
          <w:rFonts w:ascii="宋体" w:hAnsi="宋体" w:cs="宋体"/>
          <w:sz w:val="24"/>
        </w:rPr>
      </w:pPr>
      <w:r>
        <w:rPr>
          <w:rFonts w:hint="eastAsia" w:ascii="宋体" w:hAnsi="宋体" w:cs="宋体"/>
          <w:sz w:val="24"/>
        </w:rPr>
        <w:t>（三）项目联系方式</w:t>
      </w:r>
    </w:p>
    <w:p w14:paraId="1991F92F">
      <w:pPr>
        <w:adjustRightInd w:val="0"/>
        <w:snapToGrid w:val="0"/>
        <w:spacing w:line="360" w:lineRule="auto"/>
        <w:ind w:firstLine="480"/>
        <w:rPr>
          <w:rFonts w:ascii="宋体" w:hAnsi="宋体" w:cs="宋体"/>
          <w:sz w:val="24"/>
        </w:rPr>
      </w:pPr>
      <w:r>
        <w:rPr>
          <w:rFonts w:hint="eastAsia" w:ascii="宋体" w:hAnsi="宋体" w:cs="宋体"/>
          <w:sz w:val="24"/>
        </w:rPr>
        <w:t>项目联系人：</w:t>
      </w:r>
      <w:r>
        <w:rPr>
          <w:rFonts w:hint="eastAsia" w:ascii="宋体" w:hAnsi="宋体" w:cs="宋体"/>
          <w:sz w:val="24"/>
          <w:szCs w:val="24"/>
        </w:rPr>
        <w:t>武立奎</w:t>
      </w:r>
    </w:p>
    <w:p w14:paraId="14B434B3">
      <w:pPr>
        <w:tabs>
          <w:tab w:val="left" w:pos="900"/>
        </w:tabs>
        <w:adjustRightInd w:val="0"/>
        <w:snapToGrid w:val="0"/>
        <w:spacing w:line="360" w:lineRule="auto"/>
        <w:ind w:firstLine="480"/>
        <w:rPr>
          <w:rFonts w:ascii="宋体" w:hAnsi="宋体" w:cs="宋体"/>
          <w:bCs/>
          <w:sz w:val="24"/>
          <w:szCs w:val="24"/>
        </w:rPr>
      </w:pPr>
      <w:r>
        <w:rPr>
          <w:rFonts w:hint="eastAsia" w:ascii="宋体" w:hAnsi="宋体" w:cs="宋体"/>
          <w:sz w:val="24"/>
        </w:rPr>
        <w:t>联系电话：</w:t>
      </w:r>
      <w:r>
        <w:rPr>
          <w:rFonts w:hint="eastAsia" w:ascii="宋体" w:hAnsi="宋体" w:cs="宋体"/>
          <w:sz w:val="24"/>
          <w:szCs w:val="24"/>
        </w:rPr>
        <w:t>18944066163</w:t>
      </w:r>
    </w:p>
    <w:p w14:paraId="3ECEA8FC">
      <w:pPr>
        <w:keepNext/>
        <w:jc w:val="center"/>
        <w:outlineLvl w:val="0"/>
        <w:rPr>
          <w:rFonts w:ascii="宋体" w:hAnsi="宋体"/>
          <w:b/>
          <w:sz w:val="44"/>
          <w:szCs w:val="44"/>
        </w:rPr>
      </w:pPr>
      <w:r>
        <w:rPr>
          <w:rFonts w:ascii="宋体" w:hAnsi="宋体"/>
          <w:sz w:val="24"/>
          <w:szCs w:val="24"/>
        </w:rPr>
        <w:br w:type="page" w:clear="all"/>
      </w:r>
      <w:bookmarkStart w:id="55" w:name="_Toc120614211"/>
      <w:r>
        <w:rPr>
          <w:rFonts w:hint="eastAsia" w:ascii="宋体" w:hAnsi="宋体"/>
          <w:b/>
          <w:sz w:val="44"/>
          <w:szCs w:val="44"/>
        </w:rPr>
        <w:t xml:space="preserve">第二章  </w:t>
      </w:r>
      <w:bookmarkEnd w:id="1"/>
      <w:bookmarkEnd w:id="2"/>
      <w:bookmarkEnd w:id="3"/>
      <w:bookmarkEnd w:id="4"/>
      <w:bookmarkEnd w:id="5"/>
      <w:bookmarkEnd w:id="55"/>
      <w:bookmarkStart w:id="56" w:name="_Toc513029202"/>
      <w:bookmarkStart w:id="57" w:name="_Toc20823274"/>
      <w:bookmarkStart w:id="58" w:name="_Toc16938518"/>
      <w:bookmarkStart w:id="59" w:name="_Toc120614213"/>
      <w:r>
        <w:rPr>
          <w:rFonts w:hint="eastAsia" w:ascii="宋体" w:hAnsi="宋体"/>
          <w:b/>
          <w:sz w:val="44"/>
          <w:szCs w:val="44"/>
        </w:rPr>
        <w:t>投标人须知</w:t>
      </w:r>
      <w:bookmarkEnd w:id="56"/>
      <w:bookmarkEnd w:id="57"/>
      <w:bookmarkEnd w:id="58"/>
      <w:bookmarkEnd w:id="59"/>
    </w:p>
    <w:p w14:paraId="18DAAEC6">
      <w:pPr>
        <w:spacing w:line="360" w:lineRule="auto"/>
        <w:jc w:val="center"/>
        <w:outlineLvl w:val="2"/>
        <w:rPr>
          <w:rFonts w:ascii="宋体" w:hAnsi="宋体"/>
          <w:b/>
          <w:sz w:val="32"/>
          <w:szCs w:val="32"/>
        </w:rPr>
      </w:pPr>
      <w:bookmarkStart w:id="60" w:name="_Toc100386034"/>
      <w:bookmarkStart w:id="61" w:name="_Toc92168000"/>
      <w:bookmarkStart w:id="62" w:name="_Toc98669341"/>
      <w:bookmarkStart w:id="63" w:name="_Toc92168010"/>
      <w:bookmarkStart w:id="64" w:name="_Toc98669699"/>
      <w:bookmarkStart w:id="65" w:name="_Toc20732978"/>
      <w:bookmarkStart w:id="66" w:name="_Toc100386044"/>
      <w:r>
        <w:rPr>
          <w:rFonts w:ascii="宋体" w:hAnsi="宋体"/>
          <w:b/>
          <w:sz w:val="32"/>
          <w:szCs w:val="32"/>
        </w:rPr>
        <w:t>投标人须知前附表</w:t>
      </w:r>
    </w:p>
    <w:tbl>
      <w:tblPr>
        <w:tblStyle w:val="54"/>
        <w:tblW w:w="9932" w:type="dxa"/>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9113"/>
      </w:tblGrid>
      <w:tr w14:paraId="2AB3F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vAlign w:val="center"/>
          </w:tcPr>
          <w:p w14:paraId="747EE987">
            <w:pPr>
              <w:spacing w:line="440" w:lineRule="exact"/>
              <w:jc w:val="center"/>
              <w:rPr>
                <w:rFonts w:ascii="宋体" w:hAnsi="宋体"/>
                <w:b/>
                <w:sz w:val="24"/>
                <w:szCs w:val="20"/>
              </w:rPr>
            </w:pPr>
            <w:r>
              <w:rPr>
                <w:rFonts w:ascii="宋体" w:hAnsi="宋体"/>
                <w:b/>
                <w:sz w:val="24"/>
                <w:szCs w:val="20"/>
              </w:rPr>
              <w:t>序号</w:t>
            </w:r>
          </w:p>
        </w:tc>
        <w:tc>
          <w:tcPr>
            <w:tcW w:w="9113" w:type="dxa"/>
            <w:vAlign w:val="center"/>
          </w:tcPr>
          <w:p w14:paraId="46098CAE">
            <w:pPr>
              <w:spacing w:line="440" w:lineRule="exact"/>
              <w:jc w:val="center"/>
              <w:rPr>
                <w:rFonts w:ascii="宋体" w:hAnsi="宋体"/>
                <w:b/>
                <w:sz w:val="24"/>
                <w:szCs w:val="20"/>
              </w:rPr>
            </w:pPr>
            <w:r>
              <w:rPr>
                <w:rFonts w:ascii="宋体" w:hAnsi="宋体"/>
                <w:b/>
                <w:sz w:val="24"/>
                <w:szCs w:val="20"/>
              </w:rPr>
              <w:t>主要内容</w:t>
            </w:r>
          </w:p>
        </w:tc>
      </w:tr>
      <w:tr w14:paraId="0FBC5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0" w:hRule="atLeast"/>
        </w:trPr>
        <w:tc>
          <w:tcPr>
            <w:tcW w:w="819" w:type="dxa"/>
            <w:vAlign w:val="center"/>
          </w:tcPr>
          <w:p w14:paraId="29A02E94">
            <w:pPr>
              <w:spacing w:line="440" w:lineRule="exact"/>
              <w:jc w:val="center"/>
              <w:rPr>
                <w:rFonts w:ascii="宋体" w:hAnsi="宋体"/>
                <w:sz w:val="24"/>
                <w:szCs w:val="24"/>
              </w:rPr>
            </w:pPr>
            <w:r>
              <w:rPr>
                <w:rFonts w:ascii="宋体" w:hAnsi="宋体"/>
                <w:sz w:val="24"/>
                <w:szCs w:val="24"/>
              </w:rPr>
              <w:t>1</w:t>
            </w:r>
          </w:p>
        </w:tc>
        <w:tc>
          <w:tcPr>
            <w:tcW w:w="9113" w:type="dxa"/>
            <w:vAlign w:val="center"/>
          </w:tcPr>
          <w:p w14:paraId="507C4569">
            <w:pPr>
              <w:widowControl/>
              <w:spacing w:line="360" w:lineRule="auto"/>
              <w:jc w:val="left"/>
              <w:rPr>
                <w:rFonts w:ascii="宋体" w:hAnsi="宋体"/>
                <w:sz w:val="24"/>
                <w:szCs w:val="24"/>
              </w:rPr>
            </w:pPr>
            <w:r>
              <w:rPr>
                <w:rFonts w:ascii="宋体" w:hAnsi="宋体"/>
                <w:sz w:val="24"/>
                <w:szCs w:val="24"/>
              </w:rPr>
              <w:t>采购人：</w:t>
            </w:r>
            <w:r>
              <w:rPr>
                <w:rFonts w:hint="eastAsia" w:ascii="宋体" w:hAnsi="宋体"/>
                <w:sz w:val="24"/>
                <w:szCs w:val="24"/>
              </w:rPr>
              <w:t>江苏省交通技师学院</w:t>
            </w:r>
          </w:p>
          <w:p w14:paraId="253796A6">
            <w:pPr>
              <w:widowControl/>
              <w:spacing w:line="360" w:lineRule="auto"/>
              <w:jc w:val="left"/>
              <w:rPr>
                <w:rFonts w:ascii="宋体" w:hAnsi="宋体"/>
                <w:sz w:val="24"/>
                <w:szCs w:val="24"/>
              </w:rPr>
            </w:pPr>
            <w:r>
              <w:rPr>
                <w:rFonts w:hint="eastAsia" w:ascii="宋体" w:hAnsi="宋体"/>
                <w:sz w:val="24"/>
                <w:szCs w:val="24"/>
              </w:rPr>
              <w:t>联系人：王老师</w:t>
            </w:r>
          </w:p>
          <w:p w14:paraId="0BC9EADF">
            <w:pPr>
              <w:widowControl/>
              <w:spacing w:line="360" w:lineRule="auto"/>
              <w:jc w:val="left"/>
              <w:rPr>
                <w:rFonts w:ascii="宋体" w:hAnsi="宋体"/>
                <w:sz w:val="24"/>
                <w:szCs w:val="24"/>
              </w:rPr>
            </w:pPr>
            <w:r>
              <w:rPr>
                <w:rFonts w:hint="eastAsia" w:ascii="宋体" w:hAnsi="宋体"/>
                <w:sz w:val="24"/>
                <w:szCs w:val="24"/>
              </w:rPr>
              <w:t>联系方式：</w:t>
            </w:r>
            <w:r>
              <w:rPr>
                <w:rFonts w:ascii="宋体" w:hAnsi="宋体" w:cs="宋体"/>
                <w:sz w:val="24"/>
                <w:szCs w:val="24"/>
              </w:rPr>
              <w:t>0511-83361002</w:t>
            </w:r>
          </w:p>
          <w:p w14:paraId="31A4B697">
            <w:pPr>
              <w:widowControl/>
              <w:spacing w:line="360" w:lineRule="auto"/>
              <w:jc w:val="left"/>
              <w:rPr>
                <w:rFonts w:ascii="宋体" w:hAnsi="宋体"/>
                <w:sz w:val="24"/>
                <w:szCs w:val="24"/>
              </w:rPr>
            </w:pPr>
            <w:r>
              <w:rPr>
                <w:rFonts w:ascii="宋体" w:hAnsi="宋体"/>
                <w:sz w:val="24"/>
                <w:szCs w:val="24"/>
              </w:rPr>
              <w:t>联系地址：</w:t>
            </w:r>
            <w:r>
              <w:rPr>
                <w:rFonts w:hint="eastAsia" w:ascii="宋体" w:hAnsi="宋体"/>
                <w:sz w:val="24"/>
                <w:szCs w:val="24"/>
              </w:rPr>
              <w:t>江苏省镇江市丹徒区长香西大道500号</w:t>
            </w:r>
          </w:p>
        </w:tc>
      </w:tr>
      <w:tr w14:paraId="36DB3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0" w:hRule="atLeast"/>
        </w:trPr>
        <w:tc>
          <w:tcPr>
            <w:tcW w:w="819" w:type="dxa"/>
            <w:vAlign w:val="center"/>
          </w:tcPr>
          <w:p w14:paraId="142A8BA2">
            <w:pPr>
              <w:spacing w:line="440" w:lineRule="exact"/>
              <w:jc w:val="center"/>
              <w:rPr>
                <w:rFonts w:ascii="宋体" w:hAnsi="宋体"/>
                <w:sz w:val="24"/>
                <w:szCs w:val="24"/>
              </w:rPr>
            </w:pPr>
            <w:r>
              <w:rPr>
                <w:rFonts w:ascii="宋体" w:hAnsi="宋体"/>
                <w:sz w:val="24"/>
                <w:szCs w:val="24"/>
              </w:rPr>
              <w:t>2</w:t>
            </w:r>
          </w:p>
        </w:tc>
        <w:tc>
          <w:tcPr>
            <w:tcW w:w="9113" w:type="dxa"/>
            <w:vAlign w:val="center"/>
          </w:tcPr>
          <w:p w14:paraId="6A8FC039">
            <w:pPr>
              <w:widowControl/>
              <w:spacing w:line="360" w:lineRule="auto"/>
              <w:jc w:val="left"/>
              <w:rPr>
                <w:rFonts w:ascii="宋体" w:hAnsi="宋体"/>
                <w:sz w:val="24"/>
                <w:szCs w:val="24"/>
              </w:rPr>
            </w:pPr>
            <w:r>
              <w:rPr>
                <w:rFonts w:hint="eastAsia" w:ascii="宋体" w:hAnsi="宋体"/>
                <w:sz w:val="24"/>
                <w:szCs w:val="24"/>
              </w:rPr>
              <w:t>采购代理机构：江苏建威建设管理有限公司</w:t>
            </w:r>
          </w:p>
          <w:p w14:paraId="1417D058">
            <w:pPr>
              <w:widowControl/>
              <w:spacing w:line="360" w:lineRule="auto"/>
              <w:jc w:val="left"/>
              <w:rPr>
                <w:rFonts w:ascii="宋体" w:hAnsi="宋体"/>
                <w:sz w:val="24"/>
                <w:szCs w:val="24"/>
              </w:rPr>
            </w:pPr>
            <w:r>
              <w:rPr>
                <w:rFonts w:hint="eastAsia" w:ascii="宋体" w:hAnsi="宋体"/>
                <w:sz w:val="24"/>
                <w:szCs w:val="24"/>
              </w:rPr>
              <w:t>项目联系人：武立奎</w:t>
            </w:r>
          </w:p>
          <w:p w14:paraId="6576DB46">
            <w:pPr>
              <w:widowControl/>
              <w:spacing w:line="360" w:lineRule="auto"/>
              <w:jc w:val="left"/>
              <w:rPr>
                <w:rFonts w:ascii="宋体" w:hAnsi="宋体"/>
                <w:sz w:val="24"/>
                <w:szCs w:val="24"/>
              </w:rPr>
            </w:pPr>
            <w:r>
              <w:rPr>
                <w:rFonts w:hint="eastAsia" w:ascii="宋体" w:hAnsi="宋体"/>
                <w:sz w:val="24"/>
                <w:szCs w:val="24"/>
              </w:rPr>
              <w:t>联系方式：18944066163</w:t>
            </w:r>
          </w:p>
          <w:p w14:paraId="09CD4902">
            <w:pPr>
              <w:widowControl/>
              <w:spacing w:line="360" w:lineRule="auto"/>
              <w:jc w:val="left"/>
              <w:rPr>
                <w:rFonts w:ascii="宋体" w:hAnsi="宋体"/>
                <w:sz w:val="24"/>
                <w:szCs w:val="24"/>
              </w:rPr>
            </w:pPr>
            <w:r>
              <w:rPr>
                <w:rFonts w:hint="eastAsia" w:ascii="宋体" w:hAnsi="宋体"/>
                <w:sz w:val="24"/>
                <w:szCs w:val="24"/>
              </w:rPr>
              <w:t>联系地址：南京市鼓楼区芦席营68号南汽大厦七层</w:t>
            </w:r>
          </w:p>
        </w:tc>
      </w:tr>
      <w:tr w14:paraId="7145F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819" w:type="dxa"/>
            <w:vAlign w:val="center"/>
          </w:tcPr>
          <w:p w14:paraId="1B1623A1">
            <w:pPr>
              <w:spacing w:line="440" w:lineRule="exact"/>
              <w:jc w:val="center"/>
              <w:rPr>
                <w:rFonts w:ascii="宋体" w:hAnsi="宋体"/>
                <w:sz w:val="24"/>
                <w:szCs w:val="24"/>
              </w:rPr>
            </w:pPr>
            <w:r>
              <w:rPr>
                <w:rFonts w:ascii="宋体" w:hAnsi="宋体"/>
                <w:sz w:val="24"/>
                <w:szCs w:val="24"/>
              </w:rPr>
              <w:t>3</w:t>
            </w:r>
          </w:p>
        </w:tc>
        <w:tc>
          <w:tcPr>
            <w:tcW w:w="9113" w:type="dxa"/>
            <w:vAlign w:val="center"/>
          </w:tcPr>
          <w:p w14:paraId="4ABF8ACA">
            <w:pPr>
              <w:widowControl/>
              <w:shd w:val="clear" w:color="auto" w:fill="FFFFFF"/>
              <w:spacing w:line="440" w:lineRule="exact"/>
              <w:rPr>
                <w:rFonts w:hint="eastAsia" w:ascii="宋体" w:hAnsi="宋体" w:eastAsia="宋体"/>
                <w:sz w:val="24"/>
                <w:szCs w:val="24"/>
                <w:lang w:eastAsia="zh-CN"/>
              </w:rPr>
            </w:pPr>
            <w:r>
              <w:rPr>
                <w:rFonts w:ascii="宋体" w:hAnsi="宋体"/>
                <w:sz w:val="24"/>
                <w:szCs w:val="24"/>
              </w:rPr>
              <w:t>项目名称：</w:t>
            </w:r>
            <w:r>
              <w:rPr>
                <w:rFonts w:hint="eastAsia" w:ascii="宋体" w:hAnsi="宋体" w:cs="宋体"/>
                <w:sz w:val="24"/>
                <w:szCs w:val="24"/>
                <w:lang w:eastAsia="zh-CN"/>
              </w:rPr>
              <w:t>江苏省交通技师学院虚拟仿真数控技术系统采购项目</w:t>
            </w:r>
          </w:p>
        </w:tc>
      </w:tr>
      <w:tr w14:paraId="695E8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819" w:type="dxa"/>
            <w:vAlign w:val="center"/>
          </w:tcPr>
          <w:p w14:paraId="56C1D74A">
            <w:pPr>
              <w:spacing w:line="440" w:lineRule="exact"/>
              <w:jc w:val="center"/>
              <w:rPr>
                <w:rFonts w:ascii="宋体" w:hAnsi="宋体"/>
                <w:sz w:val="24"/>
                <w:szCs w:val="24"/>
              </w:rPr>
            </w:pPr>
            <w:r>
              <w:rPr>
                <w:rFonts w:ascii="宋体" w:hAnsi="宋体"/>
                <w:sz w:val="24"/>
                <w:szCs w:val="24"/>
              </w:rPr>
              <w:t>4</w:t>
            </w:r>
          </w:p>
        </w:tc>
        <w:tc>
          <w:tcPr>
            <w:tcW w:w="9113" w:type="dxa"/>
            <w:vAlign w:val="center"/>
          </w:tcPr>
          <w:p w14:paraId="2AB9B3A5">
            <w:pPr>
              <w:widowControl/>
              <w:shd w:val="clear" w:color="auto" w:fill="FFFFFF"/>
              <w:spacing w:line="440" w:lineRule="exact"/>
              <w:rPr>
                <w:rFonts w:ascii="宋体" w:hAnsi="宋体"/>
                <w:sz w:val="24"/>
                <w:szCs w:val="24"/>
              </w:rPr>
            </w:pPr>
            <w:r>
              <w:rPr>
                <w:rFonts w:ascii="宋体" w:hAnsi="宋体"/>
                <w:sz w:val="24"/>
                <w:szCs w:val="24"/>
              </w:rPr>
              <w:t>采购方式：</w:t>
            </w:r>
            <w:r>
              <w:rPr>
                <w:rFonts w:ascii="宋体" w:hAnsi="宋体"/>
                <w:bCs/>
                <w:sz w:val="24"/>
                <w:szCs w:val="24"/>
              </w:rPr>
              <w:t>公开招标</w:t>
            </w:r>
          </w:p>
        </w:tc>
      </w:tr>
      <w:tr w14:paraId="2FDA5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819" w:type="dxa"/>
            <w:vAlign w:val="center"/>
          </w:tcPr>
          <w:p w14:paraId="08FC8976">
            <w:pPr>
              <w:spacing w:line="440" w:lineRule="exact"/>
              <w:jc w:val="center"/>
              <w:rPr>
                <w:rFonts w:ascii="宋体" w:hAnsi="宋体"/>
                <w:sz w:val="24"/>
                <w:szCs w:val="24"/>
              </w:rPr>
            </w:pPr>
            <w:r>
              <w:rPr>
                <w:rFonts w:ascii="宋体" w:hAnsi="宋体"/>
                <w:sz w:val="24"/>
                <w:szCs w:val="24"/>
              </w:rPr>
              <w:t>5</w:t>
            </w:r>
          </w:p>
        </w:tc>
        <w:tc>
          <w:tcPr>
            <w:tcW w:w="9113" w:type="dxa"/>
            <w:vAlign w:val="center"/>
          </w:tcPr>
          <w:p w14:paraId="5F114B2C">
            <w:pPr>
              <w:widowControl/>
              <w:shd w:val="clear" w:color="auto" w:fill="FFFFFF"/>
              <w:spacing w:line="440" w:lineRule="exact"/>
              <w:rPr>
                <w:rFonts w:ascii="宋体" w:hAnsi="宋体"/>
                <w:sz w:val="24"/>
                <w:szCs w:val="24"/>
              </w:rPr>
            </w:pPr>
            <w:r>
              <w:rPr>
                <w:rFonts w:ascii="宋体" w:hAnsi="宋体"/>
                <w:bCs/>
                <w:sz w:val="24"/>
                <w:szCs w:val="24"/>
              </w:rPr>
              <w:t>投标有效期</w:t>
            </w:r>
            <w:r>
              <w:rPr>
                <w:rFonts w:ascii="宋体" w:hAnsi="宋体"/>
                <w:sz w:val="24"/>
                <w:szCs w:val="24"/>
              </w:rPr>
              <w:t xml:space="preserve">：开标之日起90天 </w:t>
            </w:r>
          </w:p>
        </w:tc>
      </w:tr>
      <w:tr w14:paraId="74FFC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819" w:type="dxa"/>
            <w:vAlign w:val="center"/>
          </w:tcPr>
          <w:p w14:paraId="7F0677C7">
            <w:pPr>
              <w:spacing w:line="440" w:lineRule="exact"/>
              <w:jc w:val="center"/>
              <w:rPr>
                <w:rFonts w:ascii="宋体" w:hAnsi="宋体"/>
                <w:sz w:val="24"/>
                <w:szCs w:val="24"/>
              </w:rPr>
            </w:pPr>
            <w:r>
              <w:rPr>
                <w:rFonts w:ascii="宋体" w:hAnsi="宋体"/>
                <w:sz w:val="24"/>
                <w:szCs w:val="24"/>
              </w:rPr>
              <w:t>6</w:t>
            </w:r>
          </w:p>
        </w:tc>
        <w:tc>
          <w:tcPr>
            <w:tcW w:w="9113" w:type="dxa"/>
            <w:vAlign w:val="center"/>
          </w:tcPr>
          <w:p w14:paraId="72F6DB7E">
            <w:pPr>
              <w:widowControl/>
              <w:shd w:val="clear" w:color="auto" w:fill="FFFFFF"/>
              <w:spacing w:line="440" w:lineRule="exact"/>
              <w:rPr>
                <w:rFonts w:ascii="宋体" w:hAnsi="宋体"/>
                <w:sz w:val="24"/>
                <w:szCs w:val="24"/>
              </w:rPr>
            </w:pPr>
            <w:r>
              <w:rPr>
                <w:rFonts w:ascii="宋体" w:hAnsi="宋体"/>
                <w:bCs/>
                <w:sz w:val="24"/>
                <w:szCs w:val="24"/>
              </w:rPr>
              <w:t>投标保证金：本次采购不收取</w:t>
            </w:r>
          </w:p>
        </w:tc>
      </w:tr>
      <w:tr w14:paraId="6D926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vAlign w:val="center"/>
          </w:tcPr>
          <w:p w14:paraId="4787F999">
            <w:pPr>
              <w:spacing w:line="440" w:lineRule="exact"/>
              <w:jc w:val="center"/>
              <w:rPr>
                <w:rFonts w:ascii="宋体" w:hAnsi="宋体"/>
                <w:sz w:val="24"/>
                <w:szCs w:val="24"/>
              </w:rPr>
            </w:pPr>
            <w:r>
              <w:rPr>
                <w:rFonts w:hint="eastAsia" w:ascii="宋体" w:hAnsi="宋体"/>
                <w:sz w:val="24"/>
                <w:szCs w:val="24"/>
              </w:rPr>
              <w:t>7</w:t>
            </w:r>
          </w:p>
        </w:tc>
        <w:tc>
          <w:tcPr>
            <w:tcW w:w="9113" w:type="dxa"/>
            <w:vAlign w:val="center"/>
          </w:tcPr>
          <w:p w14:paraId="250F69DA">
            <w:pPr>
              <w:widowControl/>
              <w:shd w:val="clear" w:color="auto" w:fill="FFFFFF"/>
              <w:spacing w:line="440" w:lineRule="exact"/>
              <w:rPr>
                <w:rFonts w:ascii="宋体" w:hAnsi="宋体"/>
                <w:sz w:val="24"/>
                <w:szCs w:val="24"/>
              </w:rPr>
            </w:pPr>
            <w:r>
              <w:rPr>
                <w:rFonts w:ascii="宋体" w:hAnsi="宋体"/>
                <w:sz w:val="24"/>
                <w:szCs w:val="24"/>
              </w:rPr>
              <w:t>投标文件开始接收时间：详见招标公告</w:t>
            </w:r>
          </w:p>
          <w:p w14:paraId="5E923EBF">
            <w:pPr>
              <w:widowControl/>
              <w:shd w:val="clear" w:color="auto" w:fill="FFFFFF"/>
              <w:spacing w:line="440" w:lineRule="exact"/>
              <w:rPr>
                <w:rFonts w:ascii="宋体" w:hAnsi="宋体"/>
                <w:sz w:val="24"/>
                <w:szCs w:val="24"/>
              </w:rPr>
            </w:pPr>
            <w:r>
              <w:rPr>
                <w:rFonts w:ascii="宋体" w:hAnsi="宋体"/>
                <w:sz w:val="24"/>
                <w:szCs w:val="24"/>
              </w:rPr>
              <w:t>投标文件接收截止时间：详见招标公告</w:t>
            </w:r>
          </w:p>
          <w:p w14:paraId="292674EC">
            <w:pPr>
              <w:widowControl/>
              <w:shd w:val="clear" w:color="auto" w:fill="FFFFFF"/>
              <w:spacing w:line="440" w:lineRule="exact"/>
              <w:rPr>
                <w:rFonts w:ascii="宋体" w:hAnsi="宋体"/>
                <w:sz w:val="24"/>
                <w:szCs w:val="24"/>
              </w:rPr>
            </w:pPr>
            <w:r>
              <w:rPr>
                <w:rFonts w:ascii="宋体" w:hAnsi="宋体"/>
                <w:sz w:val="24"/>
                <w:szCs w:val="24"/>
              </w:rPr>
              <w:t>投标文件接收地点：详见招标公告</w:t>
            </w:r>
          </w:p>
          <w:p w14:paraId="5B626E79">
            <w:pPr>
              <w:widowControl/>
              <w:shd w:val="clear" w:color="auto" w:fill="FFFFFF"/>
              <w:spacing w:line="440" w:lineRule="exact"/>
              <w:rPr>
                <w:rFonts w:ascii="宋体" w:hAnsi="宋体"/>
                <w:sz w:val="24"/>
                <w:szCs w:val="24"/>
              </w:rPr>
            </w:pPr>
            <w:r>
              <w:rPr>
                <w:rFonts w:ascii="宋体" w:hAnsi="宋体"/>
                <w:sz w:val="24"/>
                <w:szCs w:val="24"/>
              </w:rPr>
              <w:t>开标时间：同投标文件接收截止时间</w:t>
            </w:r>
          </w:p>
          <w:p w14:paraId="0E9C0A7E">
            <w:pPr>
              <w:widowControl/>
              <w:shd w:val="clear" w:color="auto" w:fill="FFFFFF"/>
              <w:spacing w:line="440" w:lineRule="exact"/>
              <w:rPr>
                <w:rFonts w:ascii="宋体" w:hAnsi="宋体"/>
                <w:sz w:val="24"/>
                <w:szCs w:val="24"/>
              </w:rPr>
            </w:pPr>
            <w:r>
              <w:rPr>
                <w:rFonts w:ascii="宋体" w:hAnsi="宋体"/>
                <w:sz w:val="24"/>
                <w:szCs w:val="24"/>
              </w:rPr>
              <w:t>地点：同投标文件接收地点</w:t>
            </w:r>
          </w:p>
        </w:tc>
      </w:tr>
      <w:tr w14:paraId="47238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vAlign w:val="center"/>
          </w:tcPr>
          <w:p w14:paraId="1C47BF74">
            <w:pPr>
              <w:spacing w:line="440" w:lineRule="exact"/>
              <w:jc w:val="center"/>
              <w:rPr>
                <w:rFonts w:ascii="宋体" w:hAnsi="宋体"/>
                <w:sz w:val="24"/>
                <w:szCs w:val="24"/>
              </w:rPr>
            </w:pPr>
            <w:r>
              <w:rPr>
                <w:rFonts w:hint="eastAsia" w:ascii="宋体" w:hAnsi="宋体"/>
                <w:sz w:val="24"/>
                <w:szCs w:val="24"/>
              </w:rPr>
              <w:t>8</w:t>
            </w:r>
          </w:p>
        </w:tc>
        <w:tc>
          <w:tcPr>
            <w:tcW w:w="9113" w:type="dxa"/>
            <w:vAlign w:val="center"/>
          </w:tcPr>
          <w:p w14:paraId="64EF115C">
            <w:pPr>
              <w:spacing w:line="440" w:lineRule="exact"/>
              <w:rPr>
                <w:rFonts w:ascii="宋体" w:hAnsi="宋体"/>
                <w:b/>
                <w:bCs/>
                <w:sz w:val="24"/>
                <w:szCs w:val="24"/>
              </w:rPr>
            </w:pPr>
            <w:r>
              <w:rPr>
                <w:rFonts w:ascii="宋体" w:hAnsi="宋体"/>
                <w:b/>
                <w:bCs/>
                <w:sz w:val="24"/>
                <w:szCs w:val="24"/>
              </w:rPr>
              <w:t>投标报价：</w:t>
            </w:r>
          </w:p>
          <w:p w14:paraId="3D0CC13C">
            <w:pPr>
              <w:spacing w:line="460" w:lineRule="exact"/>
              <w:rPr>
                <w:rFonts w:ascii="宋体" w:hAnsi="宋体"/>
                <w:sz w:val="24"/>
                <w:szCs w:val="24"/>
              </w:rPr>
            </w:pPr>
            <w:r>
              <w:rPr>
                <w:rFonts w:ascii="宋体" w:hAnsi="宋体"/>
                <w:sz w:val="24"/>
                <w:szCs w:val="24"/>
              </w:rPr>
              <w:t>所有投标响应均以</w:t>
            </w:r>
            <w:r>
              <w:rPr>
                <w:rFonts w:ascii="宋体" w:hAnsi="宋体"/>
                <w:b/>
                <w:sz w:val="24"/>
                <w:szCs w:val="24"/>
              </w:rPr>
              <w:t>人民币报价</w:t>
            </w:r>
            <w:r>
              <w:rPr>
                <w:rFonts w:ascii="宋体" w:hAnsi="宋体"/>
                <w:sz w:val="24"/>
                <w:szCs w:val="24"/>
              </w:rPr>
              <w:t>。该报价为采购后送到</w:t>
            </w:r>
            <w:r>
              <w:rPr>
                <w:rFonts w:hint="eastAsia" w:ascii="宋体" w:hAnsi="宋体"/>
                <w:sz w:val="24"/>
                <w:szCs w:val="24"/>
              </w:rPr>
              <w:t>指定地点</w:t>
            </w:r>
            <w:r>
              <w:rPr>
                <w:rFonts w:ascii="宋体" w:hAnsi="宋体"/>
                <w:sz w:val="24"/>
                <w:szCs w:val="24"/>
              </w:rPr>
              <w:t>的全部费用，含相关税费，运输费，保险费及相关服务费等一切可能发生的费用。</w:t>
            </w:r>
          </w:p>
        </w:tc>
      </w:tr>
      <w:tr w14:paraId="55EDE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9" w:type="dxa"/>
            <w:vAlign w:val="center"/>
          </w:tcPr>
          <w:p w14:paraId="6DF072B5">
            <w:pPr>
              <w:widowControl/>
              <w:shd w:val="clear" w:color="auto" w:fill="FFFFFF"/>
              <w:spacing w:line="440" w:lineRule="exact"/>
              <w:jc w:val="center"/>
              <w:rPr>
                <w:rFonts w:ascii="宋体" w:hAnsi="宋体"/>
                <w:sz w:val="24"/>
                <w:szCs w:val="24"/>
              </w:rPr>
            </w:pPr>
            <w:r>
              <w:rPr>
                <w:rFonts w:hint="eastAsia" w:ascii="宋体" w:hAnsi="宋体"/>
                <w:sz w:val="24"/>
                <w:szCs w:val="24"/>
              </w:rPr>
              <w:t>9</w:t>
            </w:r>
          </w:p>
        </w:tc>
        <w:tc>
          <w:tcPr>
            <w:tcW w:w="9113" w:type="dxa"/>
            <w:vAlign w:val="center"/>
          </w:tcPr>
          <w:p w14:paraId="59DD625E">
            <w:pPr>
              <w:widowControl/>
              <w:shd w:val="clear" w:color="auto" w:fill="FFFFFF"/>
              <w:spacing w:line="440" w:lineRule="exact"/>
              <w:rPr>
                <w:rFonts w:ascii="宋体" w:hAnsi="宋体"/>
                <w:b/>
                <w:sz w:val="24"/>
                <w:szCs w:val="24"/>
                <w:lang w:bidi="ar"/>
              </w:rPr>
            </w:pPr>
            <w:r>
              <w:rPr>
                <w:rFonts w:ascii="宋体" w:hAnsi="宋体"/>
                <w:b/>
                <w:sz w:val="24"/>
                <w:szCs w:val="24"/>
              </w:rPr>
              <w:t>采购标的对应中小企业划分标准所属行业：</w:t>
            </w:r>
            <w:r>
              <w:rPr>
                <w:rFonts w:hint="eastAsia" w:ascii="宋体" w:hAnsi="宋体"/>
                <w:b/>
                <w:sz w:val="24"/>
                <w:szCs w:val="24"/>
              </w:rPr>
              <w:t>工业</w:t>
            </w:r>
          </w:p>
        </w:tc>
      </w:tr>
      <w:tr w14:paraId="2ABCD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819" w:type="dxa"/>
            <w:vAlign w:val="center"/>
          </w:tcPr>
          <w:p w14:paraId="6E5981EC">
            <w:pPr>
              <w:widowControl/>
              <w:shd w:val="clear" w:color="auto" w:fill="FFFFFF"/>
              <w:spacing w:line="360" w:lineRule="auto"/>
              <w:jc w:val="center"/>
              <w:rPr>
                <w:rFonts w:ascii="宋体" w:hAnsi="宋体"/>
                <w:sz w:val="24"/>
                <w:szCs w:val="24"/>
              </w:rPr>
            </w:pPr>
            <w:r>
              <w:rPr>
                <w:rFonts w:hint="eastAsia" w:ascii="宋体" w:hAnsi="宋体"/>
                <w:sz w:val="24"/>
                <w:szCs w:val="24"/>
              </w:rPr>
              <w:t>10</w:t>
            </w:r>
          </w:p>
        </w:tc>
        <w:tc>
          <w:tcPr>
            <w:tcW w:w="9113" w:type="dxa"/>
            <w:vAlign w:val="center"/>
          </w:tcPr>
          <w:p w14:paraId="25333F5B">
            <w:pPr>
              <w:spacing w:line="360" w:lineRule="auto"/>
              <w:jc w:val="left"/>
              <w:rPr>
                <w:rFonts w:ascii="宋体" w:hAnsi="宋体"/>
                <w:sz w:val="24"/>
                <w:szCs w:val="24"/>
              </w:rPr>
            </w:pPr>
            <w:r>
              <w:rPr>
                <w:rFonts w:ascii="宋体" w:hAnsi="宋体"/>
                <w:sz w:val="24"/>
                <w:szCs w:val="24"/>
              </w:rPr>
              <w:t>招标代理服务费</w:t>
            </w:r>
            <w:r>
              <w:rPr>
                <w:rFonts w:hint="eastAsia" w:ascii="宋体" w:hAnsi="宋体"/>
                <w:sz w:val="24"/>
                <w:szCs w:val="24"/>
              </w:rPr>
              <w:t>按照以下方式计算</w:t>
            </w:r>
            <w:r>
              <w:rPr>
                <w:rFonts w:ascii="宋体" w:hAnsi="宋体"/>
                <w:sz w:val="24"/>
                <w:szCs w:val="24"/>
              </w:rPr>
              <w:t>：</w:t>
            </w:r>
          </w:p>
          <w:tbl>
            <w:tblPr>
              <w:tblStyle w:val="54"/>
              <w:tblW w:w="0" w:type="auto"/>
              <w:tblInd w:w="111" w:type="dxa"/>
              <w:tblLayout w:type="fixed"/>
              <w:tblCellMar>
                <w:top w:w="0" w:type="dxa"/>
                <w:left w:w="108" w:type="dxa"/>
                <w:bottom w:w="0" w:type="dxa"/>
                <w:right w:w="108" w:type="dxa"/>
              </w:tblCellMar>
            </w:tblPr>
            <w:tblGrid>
              <w:gridCol w:w="2727"/>
              <w:gridCol w:w="2455"/>
              <w:gridCol w:w="1977"/>
              <w:gridCol w:w="1909"/>
            </w:tblGrid>
            <w:tr w14:paraId="2B98A36C">
              <w:tblPrEx>
                <w:tblCellMar>
                  <w:top w:w="0" w:type="dxa"/>
                  <w:left w:w="108" w:type="dxa"/>
                  <w:bottom w:w="0" w:type="dxa"/>
                  <w:right w:w="108" w:type="dxa"/>
                </w:tblCellMar>
              </w:tblPrEx>
              <w:tc>
                <w:tcPr>
                  <w:tcW w:w="2727" w:type="dxa"/>
                  <w:vAlign w:val="center"/>
                </w:tcPr>
                <w:p w14:paraId="14E0846A">
                  <w:pPr>
                    <w:spacing w:line="360" w:lineRule="auto"/>
                    <w:jc w:val="left"/>
                    <w:rPr>
                      <w:rFonts w:ascii="宋体" w:hAnsi="宋体"/>
                      <w:sz w:val="24"/>
                      <w:szCs w:val="24"/>
                    </w:rPr>
                  </w:pPr>
                  <w:r>
                    <w:rPr>
                      <w:rFonts w:hint="eastAsia" w:ascii="宋体" w:hAnsi="宋体"/>
                      <w:sz w:val="24"/>
                      <w:szCs w:val="24"/>
                    </w:rPr>
                    <w:t>成交</w:t>
                  </w:r>
                  <w:r>
                    <w:rPr>
                      <w:rFonts w:ascii="宋体" w:hAnsi="宋体"/>
                      <w:sz w:val="24"/>
                      <w:szCs w:val="24"/>
                    </w:rPr>
                    <w:t>金额（万元）</w:t>
                  </w:r>
                </w:p>
              </w:tc>
              <w:tc>
                <w:tcPr>
                  <w:tcW w:w="2455" w:type="dxa"/>
                  <w:vAlign w:val="center"/>
                </w:tcPr>
                <w:p w14:paraId="60C4A05D">
                  <w:pPr>
                    <w:spacing w:line="360" w:lineRule="auto"/>
                    <w:jc w:val="left"/>
                    <w:rPr>
                      <w:rFonts w:ascii="宋体" w:hAnsi="宋体"/>
                      <w:sz w:val="24"/>
                      <w:szCs w:val="24"/>
                    </w:rPr>
                  </w:pPr>
                  <w:r>
                    <w:rPr>
                      <w:rFonts w:ascii="宋体" w:hAnsi="宋体"/>
                      <w:sz w:val="24"/>
                      <w:szCs w:val="24"/>
                    </w:rPr>
                    <w:t>货物</w:t>
                  </w:r>
                  <w:r>
                    <w:rPr>
                      <w:rFonts w:hint="eastAsia" w:ascii="宋体" w:hAnsi="宋体"/>
                      <w:sz w:val="24"/>
                      <w:szCs w:val="24"/>
                    </w:rPr>
                    <w:t>类</w:t>
                  </w:r>
                </w:p>
              </w:tc>
              <w:tc>
                <w:tcPr>
                  <w:tcW w:w="1977" w:type="dxa"/>
                  <w:vAlign w:val="center"/>
                </w:tcPr>
                <w:p w14:paraId="36EE1C79">
                  <w:pPr>
                    <w:spacing w:line="360" w:lineRule="auto"/>
                    <w:jc w:val="left"/>
                    <w:rPr>
                      <w:rFonts w:ascii="宋体" w:hAnsi="宋体"/>
                      <w:sz w:val="24"/>
                      <w:szCs w:val="24"/>
                    </w:rPr>
                  </w:pPr>
                  <w:r>
                    <w:rPr>
                      <w:rFonts w:ascii="宋体" w:hAnsi="宋体"/>
                      <w:sz w:val="24"/>
                      <w:szCs w:val="24"/>
                    </w:rPr>
                    <w:t>服务</w:t>
                  </w:r>
                  <w:r>
                    <w:rPr>
                      <w:rFonts w:hint="eastAsia" w:ascii="宋体" w:hAnsi="宋体"/>
                      <w:sz w:val="24"/>
                      <w:szCs w:val="24"/>
                    </w:rPr>
                    <w:t>类</w:t>
                  </w:r>
                </w:p>
              </w:tc>
              <w:tc>
                <w:tcPr>
                  <w:tcW w:w="1909" w:type="dxa"/>
                  <w:vAlign w:val="center"/>
                </w:tcPr>
                <w:p w14:paraId="3DEA91FF">
                  <w:pPr>
                    <w:spacing w:line="360" w:lineRule="auto"/>
                    <w:jc w:val="left"/>
                    <w:rPr>
                      <w:rFonts w:ascii="宋体" w:hAnsi="宋体"/>
                      <w:sz w:val="24"/>
                      <w:szCs w:val="24"/>
                    </w:rPr>
                  </w:pPr>
                  <w:r>
                    <w:rPr>
                      <w:rFonts w:ascii="宋体" w:hAnsi="宋体"/>
                      <w:sz w:val="24"/>
                      <w:szCs w:val="24"/>
                    </w:rPr>
                    <w:t>工程</w:t>
                  </w:r>
                  <w:r>
                    <w:rPr>
                      <w:rFonts w:hint="eastAsia" w:ascii="宋体" w:hAnsi="宋体"/>
                      <w:sz w:val="24"/>
                      <w:szCs w:val="24"/>
                    </w:rPr>
                    <w:t>类</w:t>
                  </w:r>
                </w:p>
              </w:tc>
            </w:tr>
            <w:tr w14:paraId="331EA426">
              <w:tblPrEx>
                <w:tblCellMar>
                  <w:top w:w="0" w:type="dxa"/>
                  <w:left w:w="108" w:type="dxa"/>
                  <w:bottom w:w="0" w:type="dxa"/>
                  <w:right w:w="108" w:type="dxa"/>
                </w:tblCellMar>
              </w:tblPrEx>
              <w:tc>
                <w:tcPr>
                  <w:tcW w:w="2727" w:type="dxa"/>
                  <w:vAlign w:val="center"/>
                </w:tcPr>
                <w:p w14:paraId="1533A2AA">
                  <w:pPr>
                    <w:spacing w:line="360" w:lineRule="auto"/>
                    <w:jc w:val="left"/>
                    <w:rPr>
                      <w:rFonts w:ascii="宋体" w:hAnsi="宋体"/>
                      <w:sz w:val="24"/>
                      <w:szCs w:val="24"/>
                    </w:rPr>
                  </w:pPr>
                  <w:r>
                    <w:rPr>
                      <w:rFonts w:ascii="宋体" w:hAnsi="宋体"/>
                      <w:sz w:val="24"/>
                      <w:szCs w:val="24"/>
                    </w:rPr>
                    <w:t>100以下</w:t>
                  </w:r>
                </w:p>
              </w:tc>
              <w:tc>
                <w:tcPr>
                  <w:tcW w:w="2455" w:type="dxa"/>
                  <w:vAlign w:val="center"/>
                </w:tcPr>
                <w:p w14:paraId="30C1C7B9">
                  <w:pPr>
                    <w:spacing w:line="360" w:lineRule="auto"/>
                    <w:jc w:val="left"/>
                    <w:rPr>
                      <w:rFonts w:ascii="宋体" w:hAnsi="宋体"/>
                      <w:sz w:val="24"/>
                      <w:szCs w:val="24"/>
                    </w:rPr>
                  </w:pPr>
                  <w:r>
                    <w:rPr>
                      <w:rFonts w:ascii="宋体" w:hAnsi="宋体"/>
                      <w:sz w:val="24"/>
                      <w:szCs w:val="24"/>
                    </w:rPr>
                    <w:t>1.5%</w:t>
                  </w:r>
                </w:p>
              </w:tc>
              <w:tc>
                <w:tcPr>
                  <w:tcW w:w="1977" w:type="dxa"/>
                  <w:vAlign w:val="center"/>
                </w:tcPr>
                <w:p w14:paraId="263AC963">
                  <w:pPr>
                    <w:spacing w:line="360" w:lineRule="auto"/>
                    <w:jc w:val="left"/>
                    <w:rPr>
                      <w:rFonts w:ascii="宋体" w:hAnsi="宋体"/>
                      <w:sz w:val="24"/>
                      <w:szCs w:val="24"/>
                    </w:rPr>
                  </w:pPr>
                  <w:r>
                    <w:rPr>
                      <w:rFonts w:ascii="宋体" w:hAnsi="宋体"/>
                      <w:sz w:val="24"/>
                      <w:szCs w:val="24"/>
                    </w:rPr>
                    <w:t>1.5%</w:t>
                  </w:r>
                </w:p>
              </w:tc>
              <w:tc>
                <w:tcPr>
                  <w:tcW w:w="1909" w:type="dxa"/>
                  <w:vAlign w:val="center"/>
                </w:tcPr>
                <w:p w14:paraId="5A199BB5">
                  <w:pPr>
                    <w:spacing w:line="360" w:lineRule="auto"/>
                    <w:jc w:val="left"/>
                    <w:rPr>
                      <w:rFonts w:ascii="宋体" w:hAnsi="宋体"/>
                      <w:sz w:val="24"/>
                      <w:szCs w:val="24"/>
                    </w:rPr>
                  </w:pPr>
                  <w:r>
                    <w:rPr>
                      <w:rFonts w:ascii="宋体" w:hAnsi="宋体"/>
                      <w:sz w:val="24"/>
                      <w:szCs w:val="24"/>
                    </w:rPr>
                    <w:t>1.0%</w:t>
                  </w:r>
                </w:p>
              </w:tc>
            </w:tr>
            <w:tr w14:paraId="723F2966">
              <w:tblPrEx>
                <w:tblCellMar>
                  <w:top w:w="0" w:type="dxa"/>
                  <w:left w:w="108" w:type="dxa"/>
                  <w:bottom w:w="0" w:type="dxa"/>
                  <w:right w:w="108" w:type="dxa"/>
                </w:tblCellMar>
              </w:tblPrEx>
              <w:tc>
                <w:tcPr>
                  <w:tcW w:w="2727" w:type="dxa"/>
                  <w:vAlign w:val="center"/>
                </w:tcPr>
                <w:p w14:paraId="033C7242">
                  <w:pPr>
                    <w:spacing w:line="360" w:lineRule="auto"/>
                    <w:jc w:val="left"/>
                    <w:rPr>
                      <w:rFonts w:ascii="宋体" w:hAnsi="宋体"/>
                      <w:sz w:val="24"/>
                      <w:szCs w:val="24"/>
                    </w:rPr>
                  </w:pPr>
                  <w:r>
                    <w:rPr>
                      <w:rFonts w:ascii="宋体" w:hAnsi="宋体"/>
                      <w:sz w:val="24"/>
                      <w:szCs w:val="24"/>
                    </w:rPr>
                    <w:t>100-500</w:t>
                  </w:r>
                </w:p>
              </w:tc>
              <w:tc>
                <w:tcPr>
                  <w:tcW w:w="2455" w:type="dxa"/>
                  <w:vAlign w:val="center"/>
                </w:tcPr>
                <w:p w14:paraId="0D9B631E">
                  <w:pPr>
                    <w:spacing w:line="360" w:lineRule="auto"/>
                    <w:jc w:val="left"/>
                    <w:rPr>
                      <w:rFonts w:ascii="宋体" w:hAnsi="宋体"/>
                      <w:sz w:val="24"/>
                      <w:szCs w:val="24"/>
                    </w:rPr>
                  </w:pPr>
                  <w:r>
                    <w:rPr>
                      <w:rFonts w:ascii="宋体" w:hAnsi="宋体"/>
                      <w:sz w:val="24"/>
                      <w:szCs w:val="24"/>
                    </w:rPr>
                    <w:t>1.1%</w:t>
                  </w:r>
                </w:p>
              </w:tc>
              <w:tc>
                <w:tcPr>
                  <w:tcW w:w="1977" w:type="dxa"/>
                  <w:vAlign w:val="center"/>
                </w:tcPr>
                <w:p w14:paraId="39972D45">
                  <w:pPr>
                    <w:spacing w:line="360" w:lineRule="auto"/>
                    <w:jc w:val="left"/>
                    <w:rPr>
                      <w:rFonts w:ascii="宋体" w:hAnsi="宋体"/>
                      <w:sz w:val="24"/>
                      <w:szCs w:val="24"/>
                    </w:rPr>
                  </w:pPr>
                  <w:r>
                    <w:rPr>
                      <w:rFonts w:ascii="宋体" w:hAnsi="宋体"/>
                      <w:sz w:val="24"/>
                      <w:szCs w:val="24"/>
                    </w:rPr>
                    <w:t>0.8%</w:t>
                  </w:r>
                </w:p>
              </w:tc>
              <w:tc>
                <w:tcPr>
                  <w:tcW w:w="1909" w:type="dxa"/>
                  <w:vAlign w:val="center"/>
                </w:tcPr>
                <w:p w14:paraId="48A433EF">
                  <w:pPr>
                    <w:spacing w:line="360" w:lineRule="auto"/>
                    <w:jc w:val="left"/>
                    <w:rPr>
                      <w:rFonts w:ascii="宋体" w:hAnsi="宋体"/>
                      <w:sz w:val="24"/>
                      <w:szCs w:val="24"/>
                    </w:rPr>
                  </w:pPr>
                  <w:r>
                    <w:rPr>
                      <w:rFonts w:ascii="宋体" w:hAnsi="宋体"/>
                      <w:sz w:val="24"/>
                      <w:szCs w:val="24"/>
                    </w:rPr>
                    <w:t>0.7%</w:t>
                  </w:r>
                </w:p>
              </w:tc>
            </w:tr>
            <w:tr w14:paraId="4B9AA98B">
              <w:tblPrEx>
                <w:tblCellMar>
                  <w:top w:w="0" w:type="dxa"/>
                  <w:left w:w="108" w:type="dxa"/>
                  <w:bottom w:w="0" w:type="dxa"/>
                  <w:right w:w="108" w:type="dxa"/>
                </w:tblCellMar>
              </w:tblPrEx>
              <w:tc>
                <w:tcPr>
                  <w:tcW w:w="2727" w:type="dxa"/>
                  <w:vAlign w:val="center"/>
                </w:tcPr>
                <w:p w14:paraId="1F027707">
                  <w:pPr>
                    <w:spacing w:line="360" w:lineRule="auto"/>
                    <w:jc w:val="left"/>
                    <w:rPr>
                      <w:rFonts w:ascii="宋体" w:hAnsi="宋体"/>
                      <w:sz w:val="24"/>
                      <w:szCs w:val="24"/>
                    </w:rPr>
                  </w:pPr>
                  <w:r>
                    <w:rPr>
                      <w:rFonts w:ascii="宋体" w:hAnsi="宋体"/>
                      <w:sz w:val="24"/>
                      <w:szCs w:val="24"/>
                    </w:rPr>
                    <w:t>500-1000</w:t>
                  </w:r>
                </w:p>
              </w:tc>
              <w:tc>
                <w:tcPr>
                  <w:tcW w:w="2455" w:type="dxa"/>
                  <w:vAlign w:val="center"/>
                </w:tcPr>
                <w:p w14:paraId="06635BC9">
                  <w:pPr>
                    <w:spacing w:line="360" w:lineRule="auto"/>
                    <w:jc w:val="left"/>
                    <w:rPr>
                      <w:rFonts w:ascii="宋体" w:hAnsi="宋体"/>
                      <w:sz w:val="24"/>
                      <w:szCs w:val="24"/>
                    </w:rPr>
                  </w:pPr>
                  <w:r>
                    <w:rPr>
                      <w:rFonts w:ascii="宋体" w:hAnsi="宋体"/>
                      <w:sz w:val="24"/>
                      <w:szCs w:val="24"/>
                    </w:rPr>
                    <w:t>0.8%</w:t>
                  </w:r>
                </w:p>
              </w:tc>
              <w:tc>
                <w:tcPr>
                  <w:tcW w:w="1977" w:type="dxa"/>
                  <w:vAlign w:val="center"/>
                </w:tcPr>
                <w:p w14:paraId="55BD4B72">
                  <w:pPr>
                    <w:spacing w:line="360" w:lineRule="auto"/>
                    <w:jc w:val="left"/>
                    <w:rPr>
                      <w:rFonts w:ascii="宋体" w:hAnsi="宋体"/>
                      <w:sz w:val="24"/>
                      <w:szCs w:val="24"/>
                    </w:rPr>
                  </w:pPr>
                  <w:r>
                    <w:rPr>
                      <w:rFonts w:ascii="宋体" w:hAnsi="宋体"/>
                      <w:sz w:val="24"/>
                      <w:szCs w:val="24"/>
                    </w:rPr>
                    <w:t>0.45%</w:t>
                  </w:r>
                </w:p>
              </w:tc>
              <w:tc>
                <w:tcPr>
                  <w:tcW w:w="1909" w:type="dxa"/>
                  <w:vAlign w:val="center"/>
                </w:tcPr>
                <w:p w14:paraId="77382F66">
                  <w:pPr>
                    <w:spacing w:line="360" w:lineRule="auto"/>
                    <w:jc w:val="left"/>
                    <w:rPr>
                      <w:rFonts w:ascii="宋体" w:hAnsi="宋体"/>
                      <w:sz w:val="24"/>
                      <w:szCs w:val="24"/>
                    </w:rPr>
                  </w:pPr>
                  <w:r>
                    <w:rPr>
                      <w:rFonts w:ascii="宋体" w:hAnsi="宋体"/>
                      <w:sz w:val="24"/>
                      <w:szCs w:val="24"/>
                    </w:rPr>
                    <w:t>0.55%</w:t>
                  </w:r>
                </w:p>
              </w:tc>
            </w:tr>
            <w:tr w14:paraId="680DDF26">
              <w:tblPrEx>
                <w:tblCellMar>
                  <w:top w:w="0" w:type="dxa"/>
                  <w:left w:w="108" w:type="dxa"/>
                  <w:bottom w:w="0" w:type="dxa"/>
                  <w:right w:w="108" w:type="dxa"/>
                </w:tblCellMar>
              </w:tblPrEx>
              <w:tc>
                <w:tcPr>
                  <w:tcW w:w="2727" w:type="dxa"/>
                  <w:vAlign w:val="center"/>
                </w:tcPr>
                <w:p w14:paraId="5B3EAA32">
                  <w:pPr>
                    <w:spacing w:line="360" w:lineRule="auto"/>
                    <w:jc w:val="left"/>
                    <w:rPr>
                      <w:rFonts w:ascii="宋体" w:hAnsi="宋体"/>
                      <w:sz w:val="24"/>
                      <w:szCs w:val="24"/>
                    </w:rPr>
                  </w:pPr>
                  <w:r>
                    <w:rPr>
                      <w:rFonts w:ascii="宋体" w:hAnsi="宋体"/>
                      <w:sz w:val="24"/>
                      <w:szCs w:val="24"/>
                    </w:rPr>
                    <w:t>1000-5000</w:t>
                  </w:r>
                </w:p>
              </w:tc>
              <w:tc>
                <w:tcPr>
                  <w:tcW w:w="2455" w:type="dxa"/>
                  <w:vAlign w:val="center"/>
                </w:tcPr>
                <w:p w14:paraId="7E11DAC5">
                  <w:pPr>
                    <w:spacing w:line="360" w:lineRule="auto"/>
                    <w:jc w:val="left"/>
                    <w:rPr>
                      <w:rFonts w:ascii="宋体" w:hAnsi="宋体"/>
                      <w:sz w:val="24"/>
                      <w:szCs w:val="24"/>
                    </w:rPr>
                  </w:pPr>
                  <w:r>
                    <w:rPr>
                      <w:rFonts w:ascii="宋体" w:hAnsi="宋体"/>
                      <w:sz w:val="24"/>
                      <w:szCs w:val="24"/>
                    </w:rPr>
                    <w:t>0.5%</w:t>
                  </w:r>
                </w:p>
              </w:tc>
              <w:tc>
                <w:tcPr>
                  <w:tcW w:w="1977" w:type="dxa"/>
                  <w:vAlign w:val="center"/>
                </w:tcPr>
                <w:p w14:paraId="22C89284">
                  <w:pPr>
                    <w:spacing w:line="360" w:lineRule="auto"/>
                    <w:jc w:val="left"/>
                    <w:rPr>
                      <w:rFonts w:ascii="宋体" w:hAnsi="宋体"/>
                      <w:sz w:val="24"/>
                      <w:szCs w:val="24"/>
                    </w:rPr>
                  </w:pPr>
                  <w:r>
                    <w:rPr>
                      <w:rFonts w:ascii="宋体" w:hAnsi="宋体"/>
                      <w:sz w:val="24"/>
                      <w:szCs w:val="24"/>
                    </w:rPr>
                    <w:t>0.25%</w:t>
                  </w:r>
                </w:p>
              </w:tc>
              <w:tc>
                <w:tcPr>
                  <w:tcW w:w="1909" w:type="dxa"/>
                  <w:vAlign w:val="center"/>
                </w:tcPr>
                <w:p w14:paraId="3240D7BA">
                  <w:pPr>
                    <w:spacing w:line="360" w:lineRule="auto"/>
                    <w:jc w:val="left"/>
                    <w:rPr>
                      <w:rFonts w:ascii="宋体" w:hAnsi="宋体"/>
                      <w:sz w:val="24"/>
                      <w:szCs w:val="24"/>
                    </w:rPr>
                  </w:pPr>
                  <w:r>
                    <w:rPr>
                      <w:rFonts w:ascii="宋体" w:hAnsi="宋体"/>
                      <w:sz w:val="24"/>
                      <w:szCs w:val="24"/>
                    </w:rPr>
                    <w:t>0.35%</w:t>
                  </w:r>
                </w:p>
              </w:tc>
            </w:tr>
            <w:tr w14:paraId="2298266B">
              <w:tblPrEx>
                <w:tblCellMar>
                  <w:top w:w="0" w:type="dxa"/>
                  <w:left w:w="108" w:type="dxa"/>
                  <w:bottom w:w="0" w:type="dxa"/>
                  <w:right w:w="108" w:type="dxa"/>
                </w:tblCellMar>
              </w:tblPrEx>
              <w:tc>
                <w:tcPr>
                  <w:tcW w:w="2727" w:type="dxa"/>
                  <w:vAlign w:val="center"/>
                </w:tcPr>
                <w:p w14:paraId="71F6FBAF">
                  <w:pPr>
                    <w:spacing w:line="360" w:lineRule="auto"/>
                    <w:jc w:val="left"/>
                    <w:rPr>
                      <w:rFonts w:ascii="宋体" w:hAnsi="宋体"/>
                      <w:sz w:val="24"/>
                      <w:szCs w:val="24"/>
                    </w:rPr>
                  </w:pPr>
                  <w:r>
                    <w:rPr>
                      <w:rFonts w:ascii="宋体" w:hAnsi="宋体"/>
                      <w:sz w:val="24"/>
                      <w:szCs w:val="24"/>
                    </w:rPr>
                    <w:t>5000-10000</w:t>
                  </w:r>
                </w:p>
              </w:tc>
              <w:tc>
                <w:tcPr>
                  <w:tcW w:w="2455" w:type="dxa"/>
                  <w:vAlign w:val="center"/>
                </w:tcPr>
                <w:p w14:paraId="5C737B00">
                  <w:pPr>
                    <w:spacing w:line="360" w:lineRule="auto"/>
                    <w:jc w:val="left"/>
                    <w:rPr>
                      <w:rFonts w:ascii="宋体" w:hAnsi="宋体"/>
                      <w:sz w:val="24"/>
                      <w:szCs w:val="24"/>
                    </w:rPr>
                  </w:pPr>
                  <w:r>
                    <w:rPr>
                      <w:rFonts w:ascii="宋体" w:hAnsi="宋体"/>
                      <w:sz w:val="24"/>
                      <w:szCs w:val="24"/>
                    </w:rPr>
                    <w:t>0.25%</w:t>
                  </w:r>
                </w:p>
              </w:tc>
              <w:tc>
                <w:tcPr>
                  <w:tcW w:w="1977" w:type="dxa"/>
                  <w:vAlign w:val="center"/>
                </w:tcPr>
                <w:p w14:paraId="223F9434">
                  <w:pPr>
                    <w:spacing w:line="360" w:lineRule="auto"/>
                    <w:jc w:val="left"/>
                    <w:rPr>
                      <w:rFonts w:ascii="宋体" w:hAnsi="宋体"/>
                      <w:sz w:val="24"/>
                      <w:szCs w:val="24"/>
                    </w:rPr>
                  </w:pPr>
                  <w:r>
                    <w:rPr>
                      <w:rFonts w:ascii="宋体" w:hAnsi="宋体"/>
                      <w:sz w:val="24"/>
                      <w:szCs w:val="24"/>
                    </w:rPr>
                    <w:t>0.1%</w:t>
                  </w:r>
                </w:p>
              </w:tc>
              <w:tc>
                <w:tcPr>
                  <w:tcW w:w="1909" w:type="dxa"/>
                  <w:vAlign w:val="center"/>
                </w:tcPr>
                <w:p w14:paraId="060FD4B5">
                  <w:pPr>
                    <w:spacing w:line="360" w:lineRule="auto"/>
                    <w:jc w:val="left"/>
                    <w:rPr>
                      <w:rFonts w:ascii="宋体" w:hAnsi="宋体"/>
                      <w:sz w:val="24"/>
                      <w:szCs w:val="24"/>
                    </w:rPr>
                  </w:pPr>
                  <w:r>
                    <w:rPr>
                      <w:rFonts w:ascii="宋体" w:hAnsi="宋体"/>
                      <w:sz w:val="24"/>
                      <w:szCs w:val="24"/>
                    </w:rPr>
                    <w:t>0.2%</w:t>
                  </w:r>
                </w:p>
              </w:tc>
            </w:tr>
            <w:tr w14:paraId="66264FA4">
              <w:tblPrEx>
                <w:tblCellMar>
                  <w:top w:w="0" w:type="dxa"/>
                  <w:left w:w="108" w:type="dxa"/>
                  <w:bottom w:w="0" w:type="dxa"/>
                  <w:right w:w="108" w:type="dxa"/>
                </w:tblCellMar>
              </w:tblPrEx>
              <w:tc>
                <w:tcPr>
                  <w:tcW w:w="2727" w:type="dxa"/>
                  <w:vAlign w:val="center"/>
                </w:tcPr>
                <w:p w14:paraId="6600D76D">
                  <w:pPr>
                    <w:spacing w:line="360" w:lineRule="auto"/>
                    <w:jc w:val="left"/>
                    <w:rPr>
                      <w:rFonts w:ascii="宋体" w:hAnsi="宋体"/>
                      <w:sz w:val="24"/>
                      <w:szCs w:val="24"/>
                    </w:rPr>
                  </w:pPr>
                  <w:r>
                    <w:rPr>
                      <w:rFonts w:ascii="宋体" w:hAnsi="宋体"/>
                      <w:sz w:val="24"/>
                      <w:szCs w:val="24"/>
                    </w:rPr>
                    <w:t>10000-100000</w:t>
                  </w:r>
                </w:p>
              </w:tc>
              <w:tc>
                <w:tcPr>
                  <w:tcW w:w="2455" w:type="dxa"/>
                  <w:vAlign w:val="center"/>
                </w:tcPr>
                <w:p w14:paraId="09D20C14">
                  <w:pPr>
                    <w:spacing w:line="360" w:lineRule="auto"/>
                    <w:jc w:val="left"/>
                    <w:rPr>
                      <w:rFonts w:ascii="宋体" w:hAnsi="宋体"/>
                      <w:sz w:val="24"/>
                      <w:szCs w:val="24"/>
                    </w:rPr>
                  </w:pPr>
                  <w:r>
                    <w:rPr>
                      <w:rFonts w:ascii="宋体" w:hAnsi="宋体"/>
                      <w:sz w:val="24"/>
                      <w:szCs w:val="24"/>
                    </w:rPr>
                    <w:t>0.05%</w:t>
                  </w:r>
                </w:p>
              </w:tc>
              <w:tc>
                <w:tcPr>
                  <w:tcW w:w="1977" w:type="dxa"/>
                  <w:vAlign w:val="center"/>
                </w:tcPr>
                <w:p w14:paraId="59A84C6F">
                  <w:pPr>
                    <w:spacing w:line="360" w:lineRule="auto"/>
                    <w:jc w:val="left"/>
                    <w:rPr>
                      <w:rFonts w:ascii="宋体" w:hAnsi="宋体"/>
                      <w:sz w:val="24"/>
                      <w:szCs w:val="24"/>
                    </w:rPr>
                  </w:pPr>
                  <w:r>
                    <w:rPr>
                      <w:rFonts w:ascii="宋体" w:hAnsi="宋体"/>
                      <w:sz w:val="24"/>
                      <w:szCs w:val="24"/>
                    </w:rPr>
                    <w:t>0.05%</w:t>
                  </w:r>
                </w:p>
              </w:tc>
              <w:tc>
                <w:tcPr>
                  <w:tcW w:w="1909" w:type="dxa"/>
                  <w:vAlign w:val="center"/>
                </w:tcPr>
                <w:p w14:paraId="6CEDEF26">
                  <w:pPr>
                    <w:spacing w:line="360" w:lineRule="auto"/>
                    <w:jc w:val="left"/>
                    <w:rPr>
                      <w:rFonts w:ascii="宋体" w:hAnsi="宋体"/>
                      <w:sz w:val="24"/>
                      <w:szCs w:val="24"/>
                    </w:rPr>
                  </w:pPr>
                  <w:r>
                    <w:rPr>
                      <w:rFonts w:ascii="宋体" w:hAnsi="宋体"/>
                      <w:sz w:val="24"/>
                      <w:szCs w:val="24"/>
                    </w:rPr>
                    <w:t>0.05%</w:t>
                  </w:r>
                </w:p>
              </w:tc>
            </w:tr>
            <w:tr w14:paraId="4152FE6B">
              <w:tblPrEx>
                <w:tblCellMar>
                  <w:top w:w="0" w:type="dxa"/>
                  <w:left w:w="108" w:type="dxa"/>
                  <w:bottom w:w="0" w:type="dxa"/>
                  <w:right w:w="108" w:type="dxa"/>
                </w:tblCellMar>
              </w:tblPrEx>
              <w:tc>
                <w:tcPr>
                  <w:tcW w:w="2727" w:type="dxa"/>
                  <w:vAlign w:val="center"/>
                </w:tcPr>
                <w:p w14:paraId="59BAE984">
                  <w:pPr>
                    <w:spacing w:line="360" w:lineRule="auto"/>
                    <w:jc w:val="left"/>
                    <w:rPr>
                      <w:rFonts w:ascii="宋体" w:hAnsi="宋体"/>
                      <w:sz w:val="24"/>
                      <w:szCs w:val="24"/>
                    </w:rPr>
                  </w:pPr>
                  <w:r>
                    <w:rPr>
                      <w:rFonts w:ascii="宋体" w:hAnsi="宋体"/>
                      <w:sz w:val="24"/>
                      <w:szCs w:val="24"/>
                    </w:rPr>
                    <w:t>100000以上</w:t>
                  </w:r>
                </w:p>
              </w:tc>
              <w:tc>
                <w:tcPr>
                  <w:tcW w:w="2455" w:type="dxa"/>
                  <w:vAlign w:val="center"/>
                </w:tcPr>
                <w:p w14:paraId="37439328">
                  <w:pPr>
                    <w:spacing w:line="360" w:lineRule="auto"/>
                    <w:jc w:val="left"/>
                    <w:rPr>
                      <w:rFonts w:ascii="宋体" w:hAnsi="宋体"/>
                      <w:sz w:val="24"/>
                      <w:szCs w:val="24"/>
                    </w:rPr>
                  </w:pPr>
                  <w:r>
                    <w:rPr>
                      <w:rFonts w:ascii="宋体" w:hAnsi="宋体"/>
                      <w:sz w:val="24"/>
                      <w:szCs w:val="24"/>
                    </w:rPr>
                    <w:t>0.01%</w:t>
                  </w:r>
                </w:p>
              </w:tc>
              <w:tc>
                <w:tcPr>
                  <w:tcW w:w="1977" w:type="dxa"/>
                  <w:vAlign w:val="center"/>
                </w:tcPr>
                <w:p w14:paraId="027A2BCC">
                  <w:pPr>
                    <w:spacing w:line="360" w:lineRule="auto"/>
                    <w:jc w:val="left"/>
                    <w:rPr>
                      <w:rFonts w:ascii="宋体" w:hAnsi="宋体"/>
                      <w:sz w:val="24"/>
                      <w:szCs w:val="24"/>
                    </w:rPr>
                  </w:pPr>
                  <w:r>
                    <w:rPr>
                      <w:rFonts w:ascii="宋体" w:hAnsi="宋体"/>
                      <w:sz w:val="24"/>
                      <w:szCs w:val="24"/>
                    </w:rPr>
                    <w:t>0.01%</w:t>
                  </w:r>
                </w:p>
              </w:tc>
              <w:tc>
                <w:tcPr>
                  <w:tcW w:w="1909" w:type="dxa"/>
                  <w:vAlign w:val="center"/>
                </w:tcPr>
                <w:p w14:paraId="604DEE6C">
                  <w:pPr>
                    <w:spacing w:line="360" w:lineRule="auto"/>
                    <w:jc w:val="left"/>
                    <w:rPr>
                      <w:rFonts w:ascii="宋体" w:hAnsi="宋体"/>
                      <w:sz w:val="24"/>
                      <w:szCs w:val="24"/>
                    </w:rPr>
                  </w:pPr>
                  <w:r>
                    <w:rPr>
                      <w:rFonts w:ascii="宋体" w:hAnsi="宋体"/>
                      <w:sz w:val="24"/>
                      <w:szCs w:val="24"/>
                    </w:rPr>
                    <w:t>0.01%</w:t>
                  </w:r>
                </w:p>
              </w:tc>
            </w:tr>
            <w:tr w14:paraId="641E9A07">
              <w:tblPrEx>
                <w:tblCellMar>
                  <w:top w:w="0" w:type="dxa"/>
                  <w:left w:w="108" w:type="dxa"/>
                  <w:bottom w:w="0" w:type="dxa"/>
                  <w:right w:w="108" w:type="dxa"/>
                </w:tblCellMar>
              </w:tblPrEx>
              <w:tc>
                <w:tcPr>
                  <w:tcW w:w="9068" w:type="dxa"/>
                  <w:gridSpan w:val="4"/>
                  <w:vAlign w:val="center"/>
                </w:tcPr>
                <w:p w14:paraId="25984C45">
                  <w:pPr>
                    <w:spacing w:line="360" w:lineRule="auto"/>
                    <w:jc w:val="left"/>
                    <w:rPr>
                      <w:rFonts w:ascii="宋体" w:hAnsi="宋体"/>
                      <w:sz w:val="24"/>
                      <w:szCs w:val="24"/>
                    </w:rPr>
                  </w:pPr>
                  <w:r>
                    <w:rPr>
                      <w:rFonts w:hint="eastAsia" w:ascii="宋体" w:hAnsi="宋体"/>
                      <w:sz w:val="24"/>
                      <w:szCs w:val="24"/>
                    </w:rPr>
                    <w:t>1、</w:t>
                  </w:r>
                  <w:r>
                    <w:rPr>
                      <w:rFonts w:ascii="宋体" w:hAnsi="宋体"/>
                      <w:sz w:val="24"/>
                      <w:szCs w:val="24"/>
                    </w:rPr>
                    <w:t>按本表费率计算的费</w:t>
                  </w:r>
                  <w:r>
                    <w:rPr>
                      <w:rFonts w:hint="eastAsia" w:ascii="宋体" w:hAnsi="宋体"/>
                      <w:sz w:val="24"/>
                      <w:szCs w:val="24"/>
                    </w:rPr>
                    <w:t>用</w:t>
                  </w:r>
                  <w:r>
                    <w:rPr>
                      <w:rFonts w:ascii="宋体" w:hAnsi="宋体"/>
                      <w:sz w:val="24"/>
                      <w:szCs w:val="24"/>
                    </w:rPr>
                    <w:t>为代理服务全过程的收费基准价格</w:t>
                  </w:r>
                  <w:r>
                    <w:rPr>
                      <w:rFonts w:hint="eastAsia" w:ascii="宋体" w:hAnsi="宋体"/>
                      <w:sz w:val="24"/>
                      <w:szCs w:val="24"/>
                    </w:rPr>
                    <w:t>，在此基础上乘以60%折扣率为最终</w:t>
                  </w:r>
                  <w:r>
                    <w:rPr>
                      <w:rFonts w:ascii="宋体" w:hAnsi="宋体"/>
                      <w:sz w:val="24"/>
                      <w:szCs w:val="24"/>
                    </w:rPr>
                    <w:t>代理服务费</w:t>
                  </w:r>
                  <w:r>
                    <w:rPr>
                      <w:rFonts w:hint="eastAsia" w:ascii="宋体" w:hAnsi="宋体"/>
                      <w:sz w:val="24"/>
                      <w:szCs w:val="24"/>
                    </w:rPr>
                    <w:t>。</w:t>
                  </w:r>
                </w:p>
                <w:p w14:paraId="0978B6E9">
                  <w:pPr>
                    <w:spacing w:line="360" w:lineRule="auto"/>
                    <w:jc w:val="left"/>
                    <w:rPr>
                      <w:rFonts w:ascii="宋体" w:hAnsi="宋体"/>
                      <w:sz w:val="24"/>
                      <w:szCs w:val="24"/>
                    </w:rPr>
                  </w:pPr>
                  <w:r>
                    <w:rPr>
                      <w:rFonts w:hint="eastAsia" w:ascii="宋体" w:hAnsi="宋体"/>
                      <w:sz w:val="24"/>
                      <w:szCs w:val="24"/>
                    </w:rPr>
                    <w:t>2、</w:t>
                  </w:r>
                  <w:r>
                    <w:rPr>
                      <w:rFonts w:ascii="宋体" w:hAnsi="宋体"/>
                      <w:sz w:val="24"/>
                      <w:szCs w:val="24"/>
                    </w:rPr>
                    <w:t>代理服务收费按差额定率累进法计算</w:t>
                  </w:r>
                  <w:r>
                    <w:rPr>
                      <w:rFonts w:hint="eastAsia" w:ascii="宋体" w:hAnsi="宋体"/>
                      <w:sz w:val="24"/>
                      <w:szCs w:val="24"/>
                    </w:rPr>
                    <w:t>。</w:t>
                  </w:r>
                </w:p>
                <w:p w14:paraId="46A19B47">
                  <w:pPr>
                    <w:spacing w:line="360" w:lineRule="auto"/>
                    <w:jc w:val="left"/>
                    <w:rPr>
                      <w:rFonts w:ascii="宋体" w:hAnsi="宋体"/>
                      <w:sz w:val="24"/>
                      <w:szCs w:val="24"/>
                    </w:rPr>
                  </w:pPr>
                  <w:r>
                    <w:rPr>
                      <w:rFonts w:hint="eastAsia" w:ascii="宋体" w:hAnsi="宋体"/>
                      <w:sz w:val="24"/>
                      <w:szCs w:val="24"/>
                    </w:rPr>
                    <w:t>3、经最终计算后代理服务费不足5000元的，按5000元收取。</w:t>
                  </w:r>
                </w:p>
              </w:tc>
            </w:tr>
          </w:tbl>
          <w:p w14:paraId="2C01560A">
            <w:pPr>
              <w:spacing w:line="360" w:lineRule="auto"/>
              <w:ind w:firstLine="240" w:firstLineChars="100"/>
              <w:jc w:val="left"/>
              <w:rPr>
                <w:rFonts w:ascii="宋体" w:hAnsi="宋体"/>
                <w:sz w:val="24"/>
                <w:szCs w:val="24"/>
              </w:rPr>
            </w:pPr>
            <w:r>
              <w:rPr>
                <w:rFonts w:hint="eastAsia" w:ascii="宋体" w:hAnsi="宋体"/>
                <w:bCs/>
                <w:sz w:val="24"/>
                <w:szCs w:val="24"/>
              </w:rPr>
              <w:t>中标供应商</w:t>
            </w:r>
            <w:r>
              <w:rPr>
                <w:rFonts w:ascii="宋体" w:hAnsi="宋体"/>
                <w:bCs/>
                <w:sz w:val="24"/>
                <w:szCs w:val="24"/>
              </w:rPr>
              <w:t>向采购代理机构交付每包的招标代理服务费，招标代理服务费一次付清。</w:t>
            </w:r>
          </w:p>
        </w:tc>
      </w:tr>
      <w:tr w14:paraId="463FF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trPr>
        <w:tc>
          <w:tcPr>
            <w:tcW w:w="819" w:type="dxa"/>
            <w:vAlign w:val="center"/>
          </w:tcPr>
          <w:p w14:paraId="1B1BD772">
            <w:pPr>
              <w:widowControl/>
              <w:shd w:val="clear" w:color="auto" w:fill="FFFFFF"/>
              <w:spacing w:line="440" w:lineRule="exact"/>
              <w:jc w:val="center"/>
              <w:rPr>
                <w:rFonts w:ascii="宋体" w:hAnsi="宋体"/>
                <w:sz w:val="24"/>
                <w:szCs w:val="24"/>
              </w:rPr>
            </w:pPr>
            <w:r>
              <w:rPr>
                <w:rFonts w:hint="eastAsia" w:ascii="宋体" w:hAnsi="宋体"/>
                <w:sz w:val="24"/>
                <w:szCs w:val="24"/>
              </w:rPr>
              <w:t>11</w:t>
            </w:r>
          </w:p>
        </w:tc>
        <w:tc>
          <w:tcPr>
            <w:tcW w:w="9113" w:type="dxa"/>
            <w:vAlign w:val="center"/>
          </w:tcPr>
          <w:p w14:paraId="4FB61032">
            <w:pPr>
              <w:widowControl/>
              <w:shd w:val="clear" w:color="auto" w:fill="FFFFFF"/>
              <w:spacing w:line="440" w:lineRule="exact"/>
              <w:rPr>
                <w:rFonts w:ascii="宋体" w:hAnsi="宋体"/>
                <w:sz w:val="24"/>
                <w:szCs w:val="24"/>
              </w:rPr>
            </w:pPr>
            <w:r>
              <w:rPr>
                <w:rFonts w:ascii="宋体" w:hAnsi="宋体"/>
                <w:b/>
                <w:bCs/>
                <w:sz w:val="24"/>
                <w:szCs w:val="24"/>
              </w:rPr>
              <w:t>投标报价中的投标价不得超过</w:t>
            </w:r>
            <w:r>
              <w:rPr>
                <w:rFonts w:hint="eastAsia" w:ascii="宋体" w:hAnsi="宋体"/>
                <w:b/>
                <w:bCs/>
                <w:sz w:val="24"/>
                <w:szCs w:val="24"/>
              </w:rPr>
              <w:t>采购</w:t>
            </w:r>
            <w:r>
              <w:rPr>
                <w:rFonts w:ascii="宋体" w:hAnsi="宋体"/>
                <w:b/>
                <w:bCs/>
                <w:sz w:val="24"/>
                <w:szCs w:val="24"/>
              </w:rPr>
              <w:t xml:space="preserve">公告、招标文件规定的最高限价，超过最高限价的投标文件，按无效投标处理。 </w:t>
            </w:r>
          </w:p>
        </w:tc>
      </w:tr>
    </w:tbl>
    <w:p w14:paraId="7CE10A75">
      <w:pPr>
        <w:spacing w:line="360" w:lineRule="auto"/>
        <w:jc w:val="center"/>
        <w:outlineLvl w:val="2"/>
        <w:rPr>
          <w:rFonts w:ascii="宋体" w:hAnsi="宋体"/>
          <w:b/>
          <w:sz w:val="32"/>
          <w:szCs w:val="32"/>
        </w:rPr>
      </w:pPr>
      <w:r>
        <w:rPr>
          <w:rFonts w:ascii="宋体" w:hAnsi="宋体"/>
          <w:b/>
          <w:sz w:val="32"/>
          <w:szCs w:val="32"/>
        </w:rPr>
        <w:br w:type="page" w:clear="all"/>
      </w:r>
      <w:r>
        <w:rPr>
          <w:rFonts w:hint="eastAsia" w:ascii="宋体" w:hAnsi="宋体"/>
          <w:b/>
          <w:sz w:val="32"/>
          <w:szCs w:val="32"/>
        </w:rPr>
        <w:t>一、总  则</w:t>
      </w:r>
      <w:bookmarkEnd w:id="60"/>
      <w:bookmarkEnd w:id="61"/>
    </w:p>
    <w:p w14:paraId="62ACD844">
      <w:pPr>
        <w:spacing w:line="360" w:lineRule="auto"/>
        <w:outlineLvl w:val="2"/>
        <w:rPr>
          <w:rFonts w:ascii="宋体" w:hAnsi="宋体"/>
          <w:b/>
          <w:sz w:val="28"/>
          <w:szCs w:val="28"/>
        </w:rPr>
      </w:pPr>
      <w:bookmarkStart w:id="67" w:name="_Toc92168001"/>
      <w:bookmarkStart w:id="68" w:name="_Toc100386035"/>
      <w:r>
        <w:rPr>
          <w:rFonts w:hint="eastAsia" w:ascii="宋体" w:hAnsi="宋体"/>
          <w:b/>
          <w:sz w:val="28"/>
          <w:szCs w:val="28"/>
        </w:rPr>
        <w:t>1、适用范围</w:t>
      </w:r>
      <w:bookmarkEnd w:id="67"/>
      <w:bookmarkEnd w:id="68"/>
    </w:p>
    <w:p w14:paraId="2F0F949E">
      <w:pPr>
        <w:spacing w:line="360" w:lineRule="auto"/>
        <w:ind w:left="525" w:hanging="286"/>
        <w:rPr>
          <w:rFonts w:ascii="宋体" w:hAnsi="宋体"/>
          <w:sz w:val="24"/>
          <w:szCs w:val="24"/>
        </w:rPr>
      </w:pPr>
      <w:r>
        <w:rPr>
          <w:rFonts w:hint="eastAsia" w:ascii="宋体" w:hAnsi="宋体"/>
          <w:sz w:val="24"/>
          <w:szCs w:val="24"/>
        </w:rPr>
        <w:t xml:space="preserve"> </w:t>
      </w:r>
      <w:r>
        <w:rPr>
          <w:rFonts w:ascii="宋体" w:hAnsi="宋体"/>
          <w:sz w:val="24"/>
          <w:szCs w:val="24"/>
        </w:rPr>
        <w:t xml:space="preserve">1.1 </w:t>
      </w:r>
      <w:r>
        <w:rPr>
          <w:rFonts w:hint="eastAsia" w:ascii="宋体" w:hAnsi="宋体"/>
          <w:sz w:val="24"/>
          <w:szCs w:val="24"/>
        </w:rPr>
        <w:t>本招标文件仅适用于</w:t>
      </w:r>
      <w:r>
        <w:rPr>
          <w:rFonts w:hint="eastAsia" w:ascii="宋体" w:hAnsi="宋体"/>
          <w:sz w:val="24"/>
          <w:szCs w:val="24"/>
          <w:u w:val="single"/>
          <w:lang w:eastAsia="zh-CN"/>
        </w:rPr>
        <w:t>江苏省交通技师学院虚拟仿真数控技术系统采购项目</w:t>
      </w:r>
      <w:r>
        <w:rPr>
          <w:rFonts w:hint="eastAsia" w:ascii="宋体" w:hAnsi="宋体" w:cs="隶书"/>
          <w:sz w:val="24"/>
          <w:szCs w:val="24"/>
        </w:rPr>
        <w:t>。</w:t>
      </w:r>
    </w:p>
    <w:p w14:paraId="7EEBBD1E">
      <w:pPr>
        <w:spacing w:line="360" w:lineRule="auto"/>
        <w:outlineLvl w:val="2"/>
        <w:rPr>
          <w:rFonts w:ascii="宋体" w:hAnsi="宋体"/>
          <w:b/>
          <w:sz w:val="28"/>
          <w:szCs w:val="28"/>
        </w:rPr>
      </w:pPr>
      <w:bookmarkStart w:id="69" w:name="_Toc92168002"/>
      <w:bookmarkStart w:id="70" w:name="_Toc100386036"/>
      <w:r>
        <w:rPr>
          <w:rFonts w:hint="eastAsia" w:ascii="宋体" w:hAnsi="宋体"/>
          <w:b/>
          <w:sz w:val="28"/>
          <w:szCs w:val="28"/>
        </w:rPr>
        <w:t>2、定义</w:t>
      </w:r>
      <w:bookmarkEnd w:id="69"/>
      <w:bookmarkEnd w:id="70"/>
    </w:p>
    <w:p w14:paraId="745CBA6A">
      <w:pPr>
        <w:spacing w:line="360" w:lineRule="auto"/>
        <w:ind w:firstLine="480" w:firstLineChars="200"/>
        <w:rPr>
          <w:rFonts w:ascii="宋体" w:hAnsi="宋体"/>
          <w:sz w:val="24"/>
          <w:szCs w:val="24"/>
        </w:rPr>
      </w:pPr>
      <w:r>
        <w:rPr>
          <w:rFonts w:hint="eastAsia" w:ascii="宋体" w:hAnsi="宋体"/>
          <w:sz w:val="24"/>
          <w:szCs w:val="24"/>
        </w:rPr>
        <w:t>招标文件中下列术语应解释为：</w:t>
      </w:r>
    </w:p>
    <w:p w14:paraId="664462C0">
      <w:pPr>
        <w:spacing w:line="360" w:lineRule="auto"/>
        <w:ind w:firstLine="480" w:firstLineChars="200"/>
        <w:rPr>
          <w:rFonts w:ascii="宋体" w:hAnsi="宋体"/>
          <w:sz w:val="24"/>
          <w:szCs w:val="24"/>
        </w:rPr>
      </w:pPr>
      <w:r>
        <w:rPr>
          <w:rFonts w:ascii="宋体" w:hAnsi="宋体"/>
          <w:sz w:val="24"/>
          <w:szCs w:val="24"/>
        </w:rPr>
        <w:t xml:space="preserve">2.1 </w:t>
      </w:r>
      <w:r>
        <w:rPr>
          <w:rFonts w:hint="eastAsia" w:ascii="宋体" w:hAnsi="宋体"/>
          <w:sz w:val="24"/>
          <w:szCs w:val="24"/>
        </w:rPr>
        <w:t>“</w:t>
      </w:r>
      <w:r>
        <w:rPr>
          <w:rFonts w:ascii="宋体" w:hAnsi="宋体"/>
          <w:sz w:val="24"/>
          <w:szCs w:val="24"/>
        </w:rPr>
        <w:t>招标组织方</w:t>
      </w:r>
      <w:r>
        <w:rPr>
          <w:rFonts w:hint="eastAsia" w:ascii="宋体" w:hAnsi="宋体"/>
          <w:sz w:val="24"/>
          <w:szCs w:val="24"/>
        </w:rPr>
        <w:t>”</w:t>
      </w:r>
      <w:r>
        <w:rPr>
          <w:rFonts w:ascii="宋体" w:hAnsi="宋体"/>
          <w:sz w:val="24"/>
          <w:szCs w:val="24"/>
        </w:rPr>
        <w:t>系指政府分散采购代理机构，即：</w:t>
      </w:r>
      <w:r>
        <w:rPr>
          <w:rFonts w:hint="eastAsia" w:ascii="宋体" w:hAnsi="宋体"/>
          <w:sz w:val="24"/>
          <w:szCs w:val="24"/>
        </w:rPr>
        <w:t>江苏建威建设管理有限公司。</w:t>
      </w:r>
    </w:p>
    <w:p w14:paraId="744E8670">
      <w:pPr>
        <w:spacing w:line="360" w:lineRule="auto"/>
        <w:ind w:firstLine="480" w:firstLineChars="200"/>
        <w:rPr>
          <w:rFonts w:ascii="宋体" w:hAnsi="宋体"/>
          <w:sz w:val="24"/>
          <w:szCs w:val="24"/>
        </w:rPr>
      </w:pPr>
      <w:r>
        <w:rPr>
          <w:rFonts w:hint="eastAsia" w:ascii="宋体" w:hAnsi="宋体"/>
          <w:sz w:val="24"/>
          <w:szCs w:val="24"/>
        </w:rPr>
        <w:t>2.2 “投标人”系指向招标组织方提交投标文件的供应商。</w:t>
      </w:r>
    </w:p>
    <w:p w14:paraId="47D5B567">
      <w:pPr>
        <w:spacing w:line="360" w:lineRule="auto"/>
        <w:ind w:firstLine="480" w:firstLineChars="200"/>
        <w:rPr>
          <w:rFonts w:ascii="宋体" w:hAnsi="宋体"/>
          <w:sz w:val="24"/>
          <w:szCs w:val="24"/>
        </w:rPr>
      </w:pPr>
      <w:r>
        <w:rPr>
          <w:rFonts w:hint="eastAsia" w:ascii="宋体" w:hAnsi="宋体"/>
          <w:sz w:val="24"/>
          <w:szCs w:val="24"/>
        </w:rPr>
        <w:t>2.3 “采购人”系指委托采购单位，即：江苏省交通技师学院。</w:t>
      </w:r>
    </w:p>
    <w:p w14:paraId="10C02952">
      <w:pPr>
        <w:spacing w:line="360" w:lineRule="auto"/>
        <w:ind w:firstLine="480" w:firstLineChars="200"/>
        <w:rPr>
          <w:rFonts w:ascii="宋体" w:hAnsi="宋体"/>
          <w:sz w:val="24"/>
          <w:szCs w:val="24"/>
        </w:rPr>
      </w:pPr>
      <w:r>
        <w:rPr>
          <w:rFonts w:hint="eastAsia" w:ascii="宋体" w:hAnsi="宋体"/>
          <w:sz w:val="24"/>
          <w:szCs w:val="24"/>
        </w:rPr>
        <w:t>2.4 “货物”系指投标人提供的系统、套件、成套技术资料及手册。</w:t>
      </w:r>
    </w:p>
    <w:p w14:paraId="23B14BAB">
      <w:pPr>
        <w:spacing w:line="360" w:lineRule="auto"/>
        <w:ind w:firstLine="480" w:firstLineChars="200"/>
        <w:rPr>
          <w:rFonts w:ascii="宋体" w:hAnsi="宋体"/>
          <w:sz w:val="24"/>
          <w:szCs w:val="24"/>
        </w:rPr>
      </w:pPr>
      <w:r>
        <w:rPr>
          <w:rFonts w:hint="eastAsia" w:ascii="宋体" w:hAnsi="宋体"/>
          <w:sz w:val="24"/>
          <w:szCs w:val="24"/>
        </w:rPr>
        <w:t>2.5 “服务”系指按合同规定中标人必须承担的供货安装、设备调试、系统集成、技术指导、培训等以及其他服务。服务亦包括招标文件中特别描述的其它形式的服务。</w:t>
      </w:r>
    </w:p>
    <w:p w14:paraId="41E3DB9A">
      <w:pPr>
        <w:spacing w:line="360" w:lineRule="auto"/>
        <w:ind w:firstLine="480" w:firstLineChars="200"/>
        <w:rPr>
          <w:rFonts w:ascii="宋体" w:hAnsi="宋体"/>
          <w:sz w:val="24"/>
          <w:szCs w:val="24"/>
        </w:rPr>
      </w:pPr>
      <w:r>
        <w:rPr>
          <w:rFonts w:hint="eastAsia" w:ascii="宋体" w:hAnsi="宋体"/>
          <w:sz w:val="24"/>
          <w:szCs w:val="24"/>
        </w:rPr>
        <w:t>2.6“工程”系指本次采购范围内所描述的工程。</w:t>
      </w:r>
    </w:p>
    <w:p w14:paraId="4E482319">
      <w:pPr>
        <w:spacing w:line="360" w:lineRule="auto"/>
        <w:outlineLvl w:val="2"/>
        <w:rPr>
          <w:rFonts w:ascii="宋体" w:hAnsi="宋体"/>
          <w:b/>
          <w:sz w:val="28"/>
          <w:szCs w:val="28"/>
        </w:rPr>
      </w:pPr>
      <w:bookmarkStart w:id="71" w:name="_Toc100386038"/>
      <w:bookmarkStart w:id="72" w:name="_Toc92168004"/>
      <w:bookmarkStart w:id="73" w:name="_Toc98669693"/>
      <w:bookmarkStart w:id="74" w:name="_Toc20732971"/>
      <w:bookmarkStart w:id="75" w:name="_Toc98669335"/>
      <w:r>
        <w:rPr>
          <w:rFonts w:hint="eastAsia" w:ascii="宋体" w:hAnsi="宋体"/>
          <w:b/>
          <w:sz w:val="28"/>
          <w:szCs w:val="28"/>
        </w:rPr>
        <w:t>3、本次采购方式</w:t>
      </w:r>
    </w:p>
    <w:p w14:paraId="7FB89C9D">
      <w:pPr>
        <w:spacing w:line="360" w:lineRule="auto"/>
        <w:ind w:left="520" w:hanging="281"/>
        <w:rPr>
          <w:rFonts w:ascii="宋体" w:hAnsi="宋体"/>
          <w:sz w:val="24"/>
          <w:szCs w:val="24"/>
        </w:rPr>
      </w:pPr>
      <w:r>
        <w:rPr>
          <w:rFonts w:hint="eastAsia" w:ascii="宋体" w:hAnsi="宋体"/>
          <w:sz w:val="24"/>
          <w:szCs w:val="24"/>
        </w:rPr>
        <w:t xml:space="preserve"> 3.1本次采购采取公开招标方式（本项目</w:t>
      </w:r>
      <w:r>
        <w:rPr>
          <w:rFonts w:hint="eastAsia" w:ascii="宋体" w:hAnsi="宋体"/>
          <w:b/>
          <w:sz w:val="24"/>
          <w:szCs w:val="24"/>
        </w:rPr>
        <w:t>不接受联合体投标</w:t>
      </w:r>
      <w:r>
        <w:rPr>
          <w:rFonts w:hint="eastAsia" w:ascii="宋体" w:hAnsi="宋体"/>
          <w:sz w:val="24"/>
          <w:szCs w:val="24"/>
        </w:rPr>
        <w:t>）。</w:t>
      </w:r>
    </w:p>
    <w:p w14:paraId="57F11C61">
      <w:pPr>
        <w:spacing w:line="360" w:lineRule="auto"/>
        <w:outlineLvl w:val="2"/>
        <w:rPr>
          <w:rFonts w:ascii="宋体" w:hAnsi="宋体"/>
          <w:b/>
          <w:sz w:val="28"/>
          <w:szCs w:val="28"/>
        </w:rPr>
      </w:pPr>
      <w:r>
        <w:rPr>
          <w:rFonts w:hint="eastAsia" w:ascii="宋体" w:hAnsi="宋体"/>
          <w:b/>
          <w:sz w:val="28"/>
          <w:szCs w:val="28"/>
        </w:rPr>
        <w:t>4、投标费用</w:t>
      </w:r>
      <w:bookmarkEnd w:id="71"/>
      <w:bookmarkEnd w:id="72"/>
      <w:bookmarkEnd w:id="73"/>
      <w:bookmarkEnd w:id="74"/>
      <w:bookmarkEnd w:id="75"/>
    </w:p>
    <w:p w14:paraId="10463DBC">
      <w:pPr>
        <w:spacing w:line="360" w:lineRule="auto"/>
        <w:ind w:firstLine="480" w:firstLineChars="200"/>
        <w:rPr>
          <w:rFonts w:ascii="宋体" w:hAnsi="宋体"/>
          <w:sz w:val="24"/>
          <w:szCs w:val="24"/>
        </w:rPr>
      </w:pPr>
      <w:r>
        <w:rPr>
          <w:rFonts w:hint="eastAsia" w:ascii="宋体" w:hAnsi="宋体"/>
          <w:sz w:val="24"/>
          <w:szCs w:val="24"/>
        </w:rPr>
        <w:t>4.1投标人应自行承担所有与参加投标有关的费用</w:t>
      </w:r>
      <w:r>
        <w:rPr>
          <w:rFonts w:hint="eastAsia" w:ascii="宋体" w:hAnsi="宋体"/>
          <w:b/>
          <w:sz w:val="24"/>
          <w:szCs w:val="24"/>
        </w:rPr>
        <w:t>（</w:t>
      </w:r>
      <w:r>
        <w:rPr>
          <w:rFonts w:hint="eastAsia" w:ascii="宋体" w:hAnsi="宋体"/>
          <w:b/>
          <w:sz w:val="24"/>
          <w:szCs w:val="24"/>
          <w:u w:val="single"/>
        </w:rPr>
        <w:t>包括中标单位需向招标组织方缴纳的代理服务费</w:t>
      </w:r>
      <w:r>
        <w:rPr>
          <w:rFonts w:hint="eastAsia" w:ascii="宋体" w:hAnsi="宋体"/>
          <w:b/>
          <w:sz w:val="24"/>
          <w:szCs w:val="24"/>
        </w:rPr>
        <w:t>）</w:t>
      </w:r>
      <w:r>
        <w:rPr>
          <w:rFonts w:hint="eastAsia" w:ascii="宋体" w:hAnsi="宋体"/>
          <w:sz w:val="24"/>
          <w:szCs w:val="24"/>
        </w:rPr>
        <w:t>。不论投标的结果如何，招标组织方在任何情况下均无义务和责任承担上述费用。</w:t>
      </w:r>
    </w:p>
    <w:p w14:paraId="37B6FA36">
      <w:pPr>
        <w:spacing w:line="360" w:lineRule="auto"/>
        <w:outlineLvl w:val="2"/>
        <w:rPr>
          <w:rFonts w:ascii="宋体" w:hAnsi="宋体"/>
          <w:b/>
          <w:sz w:val="28"/>
          <w:szCs w:val="28"/>
        </w:rPr>
      </w:pPr>
      <w:bookmarkStart w:id="76" w:name="_Toc98669694"/>
      <w:bookmarkStart w:id="77" w:name="_Toc100386039"/>
      <w:bookmarkStart w:id="78" w:name="_Toc98669336"/>
      <w:bookmarkStart w:id="79" w:name="_Toc20732973"/>
      <w:bookmarkStart w:id="80" w:name="_Toc92168005"/>
      <w:r>
        <w:rPr>
          <w:rFonts w:hint="eastAsia" w:ascii="宋体" w:hAnsi="宋体"/>
          <w:b/>
          <w:sz w:val="28"/>
          <w:szCs w:val="28"/>
        </w:rPr>
        <w:t>5、</w:t>
      </w:r>
      <w:bookmarkEnd w:id="76"/>
      <w:bookmarkEnd w:id="77"/>
      <w:bookmarkEnd w:id="78"/>
      <w:bookmarkEnd w:id="79"/>
      <w:bookmarkEnd w:id="80"/>
      <w:r>
        <w:rPr>
          <w:rFonts w:hint="eastAsia" w:ascii="宋体" w:hAnsi="宋体"/>
          <w:b/>
          <w:sz w:val="28"/>
          <w:szCs w:val="28"/>
        </w:rPr>
        <w:t>适用法律、政策及约束力</w:t>
      </w:r>
      <w:bookmarkStart w:id="81" w:name="_Toc92168006"/>
      <w:bookmarkStart w:id="82" w:name="_Toc98669337"/>
      <w:bookmarkStart w:id="83" w:name="_Toc20732974"/>
      <w:bookmarkStart w:id="84" w:name="_Toc98669695"/>
      <w:bookmarkStart w:id="85" w:name="_Toc100386040"/>
    </w:p>
    <w:bookmarkEnd w:id="81"/>
    <w:bookmarkEnd w:id="82"/>
    <w:bookmarkEnd w:id="83"/>
    <w:bookmarkEnd w:id="84"/>
    <w:bookmarkEnd w:id="85"/>
    <w:p w14:paraId="1E81F59E">
      <w:pPr>
        <w:spacing w:line="360" w:lineRule="auto"/>
        <w:ind w:firstLine="480" w:firstLineChars="200"/>
        <w:rPr>
          <w:rFonts w:ascii="宋体" w:hAnsi="宋体"/>
          <w:sz w:val="24"/>
          <w:szCs w:val="24"/>
        </w:rPr>
      </w:pPr>
      <w:r>
        <w:rPr>
          <w:rFonts w:hint="eastAsia" w:ascii="宋体" w:hAnsi="宋体"/>
          <w:sz w:val="24"/>
          <w:szCs w:val="24"/>
        </w:rPr>
        <w:t>5.1强制采购信息安全产品，信息安全产品指国家质检总局国家认监委《信息安全产品强制性认证目录》，并获得强制性产品认证证书的产品。</w:t>
      </w:r>
    </w:p>
    <w:p w14:paraId="424469A3">
      <w:pPr>
        <w:spacing w:line="360" w:lineRule="auto"/>
        <w:ind w:firstLine="480" w:firstLineChars="200"/>
        <w:rPr>
          <w:rFonts w:ascii="宋体" w:hAnsi="宋体"/>
          <w:bCs/>
          <w:sz w:val="24"/>
          <w:szCs w:val="24"/>
        </w:rPr>
      </w:pPr>
      <w:r>
        <w:rPr>
          <w:rFonts w:hint="eastAsia" w:ascii="宋体" w:hAnsi="宋体"/>
          <w:sz w:val="24"/>
          <w:szCs w:val="24"/>
        </w:rPr>
        <w:t>5.2根据财库【2020】46号《政府采购促进中小企业发展管理办法》中的规定，对小型和微型企业产品的价格给予10</w:t>
      </w:r>
      <w:r>
        <w:rPr>
          <w:rFonts w:ascii="宋体" w:hAnsi="宋体"/>
          <w:sz w:val="24"/>
          <w:szCs w:val="24"/>
        </w:rPr>
        <w:t>%</w:t>
      </w:r>
      <w:r>
        <w:rPr>
          <w:rFonts w:hint="eastAsia" w:ascii="宋体" w:hAnsi="宋体"/>
          <w:sz w:val="24"/>
          <w:szCs w:val="24"/>
        </w:rPr>
        <w:t>的扣除，用扣除后价格参与评审。</w:t>
      </w:r>
      <w:r>
        <w:rPr>
          <w:rFonts w:hint="eastAsia" w:ascii="宋体" w:hAnsi="宋体"/>
          <w:bCs/>
          <w:sz w:val="24"/>
          <w:szCs w:val="24"/>
        </w:rPr>
        <w:t>本项目属于货物类，</w:t>
      </w:r>
      <w:r>
        <w:rPr>
          <w:rFonts w:hint="eastAsia" w:ascii="宋体" w:hAnsi="宋体"/>
          <w:b/>
          <w:bCs/>
          <w:sz w:val="24"/>
          <w:szCs w:val="24"/>
        </w:rPr>
        <w:t>本项目所属行业：工业</w:t>
      </w:r>
      <w:r>
        <w:rPr>
          <w:rFonts w:hint="eastAsia" w:ascii="宋体" w:hAnsi="宋体"/>
          <w:bCs/>
          <w:sz w:val="24"/>
          <w:szCs w:val="24"/>
        </w:rPr>
        <w:t>。</w:t>
      </w:r>
    </w:p>
    <w:p w14:paraId="7ABE2AC4">
      <w:pPr>
        <w:spacing w:line="360" w:lineRule="auto"/>
        <w:ind w:firstLine="480" w:firstLineChars="200"/>
        <w:rPr>
          <w:rFonts w:ascii="宋体" w:hAnsi="宋体"/>
          <w:sz w:val="24"/>
          <w:szCs w:val="24"/>
        </w:rPr>
      </w:pPr>
      <w:r>
        <w:rPr>
          <w:rFonts w:hint="eastAsia" w:ascii="宋体" w:hAnsi="宋体"/>
          <w:sz w:val="24"/>
          <w:szCs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557671CC">
      <w:pPr>
        <w:spacing w:line="360" w:lineRule="auto"/>
        <w:ind w:firstLine="480" w:firstLineChars="200"/>
        <w:rPr>
          <w:rFonts w:ascii="宋体" w:hAnsi="宋体"/>
          <w:sz w:val="24"/>
          <w:szCs w:val="24"/>
        </w:rPr>
      </w:pPr>
      <w:r>
        <w:rPr>
          <w:rFonts w:hint="eastAsia" w:ascii="宋体" w:hAnsi="宋体"/>
          <w:sz w:val="24"/>
          <w:szCs w:val="24"/>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p>
    <w:p w14:paraId="74ADBB1C">
      <w:pPr>
        <w:spacing w:line="360" w:lineRule="auto"/>
        <w:ind w:firstLine="480" w:firstLineChars="200"/>
        <w:rPr>
          <w:rFonts w:ascii="宋体" w:hAnsi="宋体"/>
          <w:sz w:val="24"/>
          <w:szCs w:val="24"/>
        </w:rPr>
      </w:pPr>
      <w:r>
        <w:rPr>
          <w:rFonts w:hint="eastAsia" w:ascii="宋体" w:hAnsi="宋体"/>
          <w:bCs/>
          <w:sz w:val="24"/>
          <w:szCs w:val="24"/>
        </w:rPr>
        <w:t>5.3</w:t>
      </w:r>
      <w:r>
        <w:rPr>
          <w:rFonts w:hint="eastAsia" w:ascii="宋体" w:hAnsi="宋体"/>
          <w:sz w:val="24"/>
          <w:szCs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F31CB7F">
      <w:pPr>
        <w:spacing w:line="360" w:lineRule="auto"/>
        <w:ind w:firstLine="480" w:firstLineChars="200"/>
        <w:rPr>
          <w:rFonts w:ascii="宋体" w:hAnsi="宋体"/>
          <w:sz w:val="24"/>
          <w:szCs w:val="24"/>
        </w:rPr>
      </w:pPr>
      <w:r>
        <w:rPr>
          <w:rFonts w:hint="eastAsia" w:ascii="宋体" w:hAnsi="宋体"/>
          <w:sz w:val="24"/>
          <w:szCs w:val="24"/>
        </w:rPr>
        <w:t>5.4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5B371688">
      <w:pPr>
        <w:spacing w:line="360" w:lineRule="auto"/>
        <w:ind w:firstLine="480" w:firstLineChars="200"/>
        <w:rPr>
          <w:rFonts w:ascii="宋体" w:hAnsi="宋体"/>
          <w:sz w:val="24"/>
          <w:szCs w:val="24"/>
        </w:rPr>
      </w:pPr>
      <w:r>
        <w:rPr>
          <w:rFonts w:hint="eastAsia" w:ascii="宋体" w:hAnsi="宋体"/>
          <w:sz w:val="24"/>
          <w:szCs w:val="24"/>
        </w:rPr>
        <w:t>5.5根据《财政部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4BC9B58">
      <w:pPr>
        <w:spacing w:line="360" w:lineRule="auto"/>
        <w:ind w:firstLine="480" w:firstLineChars="200"/>
        <w:rPr>
          <w:rFonts w:ascii="宋体" w:hAnsi="宋体"/>
          <w:sz w:val="24"/>
          <w:szCs w:val="24"/>
        </w:rPr>
      </w:pPr>
      <w:r>
        <w:rPr>
          <w:rFonts w:hint="eastAsia" w:ascii="宋体" w:hAnsi="宋体"/>
          <w:sz w:val="24"/>
          <w:szCs w:val="24"/>
        </w:rPr>
        <w:t>5.6本次招标及由本次招标产生的合同受中华人民共和国法律制约和保护。</w:t>
      </w:r>
    </w:p>
    <w:p w14:paraId="1AE69141">
      <w:pPr>
        <w:spacing w:line="360" w:lineRule="auto"/>
        <w:ind w:firstLine="480" w:firstLineChars="200"/>
        <w:rPr>
          <w:rFonts w:ascii="宋体" w:hAnsi="宋体"/>
          <w:sz w:val="24"/>
          <w:szCs w:val="24"/>
        </w:rPr>
      </w:pPr>
      <w:r>
        <w:rPr>
          <w:rFonts w:hint="eastAsia" w:ascii="宋体" w:hAnsi="宋体"/>
          <w:sz w:val="24"/>
          <w:szCs w:val="24"/>
        </w:rPr>
        <w:t>5.7投标人一旦领取了本招标文件并参加投标，即被认为接受了本招标文件中的第一、第二、第三、第四部分的所有条款。</w:t>
      </w:r>
    </w:p>
    <w:p w14:paraId="3129F432">
      <w:pPr>
        <w:spacing w:line="360" w:lineRule="auto"/>
        <w:jc w:val="center"/>
        <w:rPr>
          <w:rFonts w:ascii="宋体" w:hAnsi="宋体"/>
          <w:b/>
          <w:sz w:val="30"/>
          <w:szCs w:val="20"/>
        </w:rPr>
      </w:pPr>
      <w:r>
        <w:rPr>
          <w:rFonts w:hint="eastAsia" w:ascii="宋体" w:hAnsi="宋体"/>
          <w:b/>
          <w:sz w:val="30"/>
          <w:szCs w:val="20"/>
        </w:rPr>
        <w:br w:type="page" w:clear="all"/>
      </w:r>
      <w:r>
        <w:rPr>
          <w:rFonts w:hint="eastAsia" w:ascii="宋体" w:hAnsi="宋体"/>
          <w:b/>
          <w:sz w:val="30"/>
          <w:szCs w:val="20"/>
        </w:rPr>
        <w:t>二、招标文件</w:t>
      </w:r>
    </w:p>
    <w:p w14:paraId="34BFC0F0">
      <w:pPr>
        <w:spacing w:line="360" w:lineRule="auto"/>
        <w:outlineLvl w:val="2"/>
        <w:rPr>
          <w:rFonts w:ascii="宋体" w:hAnsi="宋体"/>
          <w:b/>
          <w:sz w:val="28"/>
          <w:szCs w:val="28"/>
        </w:rPr>
      </w:pPr>
      <w:bookmarkStart w:id="86" w:name="_Toc92168007"/>
      <w:bookmarkStart w:id="87" w:name="_Toc20732975"/>
      <w:bookmarkStart w:id="88" w:name="_Toc98669338"/>
      <w:bookmarkStart w:id="89" w:name="_Toc100386041"/>
      <w:bookmarkStart w:id="90" w:name="_Toc98669696"/>
      <w:r>
        <w:rPr>
          <w:rFonts w:hint="eastAsia" w:ascii="宋体" w:hAnsi="宋体"/>
          <w:b/>
          <w:sz w:val="28"/>
          <w:szCs w:val="28"/>
        </w:rPr>
        <w:t>6、招标文件构成</w:t>
      </w:r>
      <w:bookmarkEnd w:id="86"/>
      <w:bookmarkEnd w:id="87"/>
      <w:bookmarkEnd w:id="88"/>
      <w:bookmarkEnd w:id="89"/>
      <w:bookmarkEnd w:id="90"/>
    </w:p>
    <w:p w14:paraId="3279AEE3">
      <w:pPr>
        <w:spacing w:line="360" w:lineRule="auto"/>
        <w:ind w:firstLine="480" w:firstLineChars="200"/>
        <w:rPr>
          <w:rFonts w:ascii="宋体" w:hAnsi="宋体"/>
          <w:sz w:val="24"/>
          <w:szCs w:val="24"/>
        </w:rPr>
      </w:pPr>
      <w:r>
        <w:rPr>
          <w:rFonts w:hint="eastAsia" w:ascii="宋体" w:hAnsi="宋体"/>
          <w:sz w:val="24"/>
          <w:szCs w:val="24"/>
        </w:rPr>
        <w:t xml:space="preserve"> 6.1 招标文件包括：</w:t>
      </w:r>
    </w:p>
    <w:p w14:paraId="58E429A0">
      <w:pPr>
        <w:spacing w:line="360" w:lineRule="auto"/>
        <w:ind w:firstLine="480" w:firstLineChars="200"/>
        <w:rPr>
          <w:rFonts w:ascii="宋体" w:hAnsi="宋体"/>
          <w:sz w:val="24"/>
          <w:szCs w:val="24"/>
        </w:rPr>
      </w:pPr>
      <w:r>
        <w:rPr>
          <w:rFonts w:hint="eastAsia" w:ascii="宋体" w:hAnsi="宋体"/>
          <w:sz w:val="24"/>
          <w:szCs w:val="24"/>
        </w:rPr>
        <w:t>（1） 招标公告；</w:t>
      </w:r>
    </w:p>
    <w:p w14:paraId="3E291401">
      <w:pPr>
        <w:spacing w:line="360" w:lineRule="auto"/>
        <w:ind w:firstLine="480" w:firstLineChars="200"/>
        <w:rPr>
          <w:rFonts w:ascii="宋体" w:hAnsi="宋体"/>
          <w:sz w:val="24"/>
          <w:szCs w:val="24"/>
        </w:rPr>
      </w:pPr>
      <w:r>
        <w:rPr>
          <w:rFonts w:hint="eastAsia" w:ascii="宋体" w:hAnsi="宋体"/>
          <w:sz w:val="24"/>
          <w:szCs w:val="24"/>
        </w:rPr>
        <w:t>（2） 投标人须知；</w:t>
      </w:r>
    </w:p>
    <w:p w14:paraId="2D74E80E">
      <w:pPr>
        <w:spacing w:line="360" w:lineRule="auto"/>
        <w:ind w:firstLine="480" w:firstLineChars="200"/>
        <w:jc w:val="left"/>
        <w:rPr>
          <w:rFonts w:ascii="宋体" w:hAnsi="宋体"/>
          <w:sz w:val="24"/>
          <w:szCs w:val="24"/>
        </w:rPr>
      </w:pPr>
      <w:r>
        <w:rPr>
          <w:rFonts w:hint="eastAsia" w:ascii="宋体" w:hAnsi="宋体"/>
          <w:sz w:val="24"/>
          <w:szCs w:val="24"/>
        </w:rPr>
        <w:t>（3） 项目需求；</w:t>
      </w:r>
    </w:p>
    <w:p w14:paraId="0A7C0ECA">
      <w:pPr>
        <w:spacing w:line="360" w:lineRule="auto"/>
        <w:ind w:firstLine="480" w:firstLineChars="200"/>
        <w:jc w:val="left"/>
        <w:rPr>
          <w:rFonts w:ascii="宋体" w:hAnsi="宋体"/>
          <w:sz w:val="24"/>
          <w:szCs w:val="24"/>
        </w:rPr>
      </w:pPr>
      <w:r>
        <w:rPr>
          <w:rFonts w:hint="eastAsia" w:ascii="宋体" w:hAnsi="宋体"/>
          <w:sz w:val="24"/>
          <w:szCs w:val="24"/>
        </w:rPr>
        <w:t>（4） 合同条款；</w:t>
      </w:r>
    </w:p>
    <w:p w14:paraId="73FED46F">
      <w:pPr>
        <w:spacing w:line="360" w:lineRule="auto"/>
        <w:ind w:firstLine="480" w:firstLineChars="200"/>
        <w:jc w:val="left"/>
        <w:rPr>
          <w:rFonts w:ascii="宋体" w:hAnsi="宋体"/>
          <w:sz w:val="24"/>
          <w:szCs w:val="24"/>
        </w:rPr>
      </w:pPr>
      <w:r>
        <w:rPr>
          <w:rFonts w:hint="eastAsia" w:ascii="宋体" w:hAnsi="宋体"/>
          <w:sz w:val="24"/>
          <w:szCs w:val="24"/>
        </w:rPr>
        <w:t>（5） 投标文件（格式）；</w:t>
      </w:r>
    </w:p>
    <w:p w14:paraId="51369E8C">
      <w:pPr>
        <w:spacing w:line="360" w:lineRule="auto"/>
        <w:ind w:firstLine="482" w:firstLineChars="200"/>
        <w:jc w:val="left"/>
        <w:rPr>
          <w:rFonts w:ascii="宋体" w:hAnsi="宋体"/>
          <w:b/>
          <w:sz w:val="24"/>
          <w:szCs w:val="24"/>
        </w:rPr>
      </w:pPr>
      <w:r>
        <w:rPr>
          <w:rFonts w:hint="eastAsia" w:ascii="宋体" w:hAnsi="宋体"/>
          <w:b/>
          <w:sz w:val="24"/>
          <w:szCs w:val="24"/>
          <w:u w:val="single"/>
        </w:rPr>
        <w:t>请仔细检查招标文件是否齐全，如有缺漏请立即与招标组织方联系解决</w:t>
      </w:r>
      <w:r>
        <w:rPr>
          <w:rFonts w:hint="eastAsia" w:ascii="宋体" w:hAnsi="宋体"/>
          <w:b/>
          <w:sz w:val="24"/>
          <w:szCs w:val="24"/>
        </w:rPr>
        <w:t>。</w:t>
      </w:r>
    </w:p>
    <w:p w14:paraId="5E544D6B">
      <w:pPr>
        <w:spacing w:line="360" w:lineRule="auto"/>
        <w:ind w:firstLine="480" w:firstLineChars="200"/>
        <w:rPr>
          <w:rFonts w:ascii="宋体" w:hAnsi="宋体"/>
          <w:sz w:val="24"/>
          <w:szCs w:val="24"/>
        </w:rPr>
      </w:pPr>
      <w:r>
        <w:rPr>
          <w:rFonts w:hint="eastAsia" w:ascii="宋体" w:hAnsi="宋体"/>
          <w:sz w:val="24"/>
          <w:szCs w:val="24"/>
        </w:rPr>
        <w:t xml:space="preserve"> 6.2投标人应当按照招标文件的要求编制投标文件。投标文件应当对招标文件提出的要求和条件作出明确响应。</w:t>
      </w:r>
    </w:p>
    <w:p w14:paraId="34BE8BC4">
      <w:pPr>
        <w:spacing w:line="360" w:lineRule="auto"/>
        <w:outlineLvl w:val="2"/>
        <w:rPr>
          <w:rFonts w:ascii="宋体" w:hAnsi="宋体"/>
          <w:b/>
          <w:sz w:val="28"/>
          <w:szCs w:val="28"/>
        </w:rPr>
      </w:pPr>
      <w:bookmarkStart w:id="91" w:name="_Toc100386042"/>
      <w:bookmarkStart w:id="92" w:name="_Toc98669339"/>
      <w:bookmarkStart w:id="93" w:name="_Toc92168008"/>
      <w:bookmarkStart w:id="94" w:name="_Toc98669697"/>
      <w:bookmarkStart w:id="95" w:name="_Toc20732976"/>
      <w:r>
        <w:rPr>
          <w:rFonts w:hint="eastAsia" w:ascii="宋体" w:hAnsi="宋体"/>
          <w:b/>
          <w:sz w:val="28"/>
          <w:szCs w:val="28"/>
        </w:rPr>
        <w:t>7、招标文件的澄清</w:t>
      </w:r>
      <w:bookmarkEnd w:id="91"/>
      <w:bookmarkEnd w:id="92"/>
      <w:bookmarkEnd w:id="93"/>
      <w:bookmarkEnd w:id="94"/>
      <w:bookmarkEnd w:id="95"/>
      <w:bookmarkStart w:id="96" w:name="_Toc20732977"/>
      <w:bookmarkStart w:id="97" w:name="_Toc98669698"/>
      <w:bookmarkStart w:id="98" w:name="_Toc98669340"/>
      <w:bookmarkStart w:id="99" w:name="_Toc92168009"/>
      <w:bookmarkStart w:id="100" w:name="_Toc100386043"/>
      <w:r>
        <w:rPr>
          <w:rFonts w:hint="eastAsia" w:ascii="宋体" w:hAnsi="宋体"/>
          <w:b/>
          <w:sz w:val="28"/>
          <w:szCs w:val="28"/>
        </w:rPr>
        <w:t>和修改</w:t>
      </w:r>
      <w:bookmarkEnd w:id="96"/>
      <w:bookmarkEnd w:id="97"/>
      <w:bookmarkEnd w:id="98"/>
      <w:bookmarkEnd w:id="99"/>
      <w:bookmarkEnd w:id="100"/>
    </w:p>
    <w:p w14:paraId="6AD53F66">
      <w:pPr>
        <w:spacing w:line="360" w:lineRule="auto"/>
        <w:ind w:firstLine="238"/>
        <w:rPr>
          <w:rFonts w:ascii="宋体" w:hAnsi="宋体"/>
          <w:sz w:val="24"/>
          <w:szCs w:val="24"/>
        </w:rPr>
      </w:pPr>
      <w:r>
        <w:rPr>
          <w:rFonts w:hint="eastAsia" w:ascii="宋体" w:hAnsi="宋体"/>
          <w:sz w:val="24"/>
          <w:szCs w:val="24"/>
        </w:rPr>
        <w:t xml:space="preserve"> 7.1 任何要求对招标文件进行澄清的投标人，均应按招标文件中的通讯地址，以书面形式（如信件、传真、电报等）通知招标组织方。</w:t>
      </w:r>
    </w:p>
    <w:p w14:paraId="6AE94758">
      <w:pPr>
        <w:spacing w:line="360" w:lineRule="auto"/>
        <w:ind w:firstLine="238"/>
        <w:rPr>
          <w:rFonts w:ascii="宋体" w:hAnsi="宋体"/>
          <w:sz w:val="24"/>
          <w:szCs w:val="24"/>
        </w:rPr>
      </w:pPr>
      <w:r>
        <w:rPr>
          <w:rFonts w:hint="eastAsia" w:ascii="宋体" w:hAnsi="宋体"/>
          <w:sz w:val="24"/>
          <w:szCs w:val="24"/>
        </w:rPr>
        <w:t xml:space="preserve"> 7.2招标组织方可以对已发出的招标文件进行必要的澄清或者修改，但不改变采购标的和资格条件。澄清或者修改将在“江苏省政府采购网”网站上发布澄清公告。澄清或者修改的内容为招标文件的组成部分。澄清或者修改的内容可能影响投标文件编制的，招标组织方将在投标截止时间至少15日前，以书面形式通知所有已完成报名的供应商，供应商请登录系统查看相应内容；不足15日的，招标组织方将顺延提交投标文件的截止时间。</w:t>
      </w:r>
    </w:p>
    <w:p w14:paraId="35F2236B">
      <w:pPr>
        <w:spacing w:line="360" w:lineRule="auto"/>
        <w:ind w:firstLine="238"/>
        <w:rPr>
          <w:rFonts w:ascii="宋体" w:hAnsi="宋体"/>
          <w:sz w:val="24"/>
          <w:szCs w:val="24"/>
        </w:rPr>
      </w:pPr>
      <w:r>
        <w:rPr>
          <w:rFonts w:hint="eastAsia" w:ascii="宋体" w:hAnsi="宋体"/>
          <w:sz w:val="24"/>
          <w:szCs w:val="24"/>
        </w:rPr>
        <w:t xml:space="preserve"> 7.3 </w:t>
      </w:r>
      <w:r>
        <w:rPr>
          <w:rFonts w:hint="eastAsia" w:ascii="宋体" w:hAnsi="宋体"/>
          <w:b/>
          <w:sz w:val="24"/>
          <w:szCs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sz w:val="24"/>
          <w:szCs w:val="24"/>
        </w:rPr>
        <w:t>。</w:t>
      </w:r>
    </w:p>
    <w:p w14:paraId="3673CEFF">
      <w:pPr>
        <w:spacing w:before="260" w:after="260" w:line="360" w:lineRule="auto"/>
        <w:jc w:val="center"/>
        <w:outlineLvl w:val="2"/>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三、投标文件的编制</w:t>
      </w:r>
    </w:p>
    <w:p w14:paraId="4F1B3F75">
      <w:pPr>
        <w:spacing w:line="360" w:lineRule="auto"/>
        <w:outlineLvl w:val="2"/>
        <w:rPr>
          <w:rFonts w:ascii="宋体" w:hAnsi="宋体"/>
          <w:b/>
          <w:sz w:val="28"/>
          <w:szCs w:val="28"/>
        </w:rPr>
      </w:pPr>
      <w:r>
        <w:rPr>
          <w:rFonts w:hint="eastAsia" w:ascii="宋体" w:hAnsi="宋体"/>
          <w:b/>
          <w:sz w:val="28"/>
          <w:szCs w:val="28"/>
        </w:rPr>
        <w:t>8、投标文件的编写</w:t>
      </w:r>
    </w:p>
    <w:p w14:paraId="2B826F4E">
      <w:pPr>
        <w:spacing w:line="360" w:lineRule="auto"/>
        <w:ind w:left="1" w:firstLine="238"/>
        <w:rPr>
          <w:rFonts w:ascii="宋体" w:hAnsi="宋体"/>
          <w:sz w:val="24"/>
          <w:szCs w:val="24"/>
        </w:rPr>
      </w:pPr>
      <w:r>
        <w:rPr>
          <w:rFonts w:hint="eastAsia" w:ascii="宋体" w:hAnsi="宋体"/>
          <w:sz w:val="24"/>
          <w:szCs w:val="24"/>
        </w:rPr>
        <w:t xml:space="preserve"> 8.1 投标人应仔细阅读招标文件，了解招标文件的要求。在完全了解采购要求和服务的技术规范和要求以及商务条件后，编制投标文件。</w:t>
      </w:r>
    </w:p>
    <w:p w14:paraId="4681DB5E">
      <w:pPr>
        <w:spacing w:line="360" w:lineRule="auto"/>
        <w:outlineLvl w:val="2"/>
        <w:rPr>
          <w:rFonts w:ascii="宋体" w:hAnsi="宋体"/>
          <w:b/>
          <w:sz w:val="28"/>
          <w:szCs w:val="28"/>
        </w:rPr>
      </w:pPr>
      <w:r>
        <w:rPr>
          <w:rFonts w:hint="eastAsia" w:ascii="宋体" w:hAnsi="宋体"/>
          <w:b/>
          <w:sz w:val="28"/>
          <w:szCs w:val="28"/>
        </w:rPr>
        <w:t>9、投标语言及度量衡单位</w:t>
      </w:r>
    </w:p>
    <w:p w14:paraId="6FF079BD">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9.1 投标人的投标文件以及投标人就有关投标的所有来往函电等均应使用中文。</w:t>
      </w:r>
    </w:p>
    <w:p w14:paraId="2B019CA2">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9.2 投标文件中所使用的计量单位除招标文件中另有特殊规定外，一律使用法定计量单位。</w:t>
      </w:r>
    </w:p>
    <w:p w14:paraId="6CE63C9A">
      <w:pPr>
        <w:spacing w:line="360" w:lineRule="auto"/>
        <w:outlineLvl w:val="2"/>
        <w:rPr>
          <w:rFonts w:ascii="宋体" w:hAnsi="宋体"/>
          <w:b/>
          <w:sz w:val="28"/>
          <w:szCs w:val="28"/>
        </w:rPr>
      </w:pPr>
      <w:r>
        <w:rPr>
          <w:rFonts w:hint="eastAsia" w:ascii="宋体" w:hAnsi="宋体"/>
          <w:b/>
          <w:sz w:val="28"/>
          <w:szCs w:val="28"/>
        </w:rPr>
        <w:t>10、投标文件构成</w:t>
      </w:r>
    </w:p>
    <w:p w14:paraId="12C451C2">
      <w:pPr>
        <w:spacing w:line="360" w:lineRule="auto"/>
        <w:ind w:firstLine="240"/>
        <w:rPr>
          <w:rFonts w:ascii="宋体" w:hAnsi="宋体"/>
          <w:sz w:val="24"/>
          <w:szCs w:val="24"/>
        </w:rPr>
      </w:pPr>
      <w:r>
        <w:rPr>
          <w:rFonts w:hint="eastAsia" w:ascii="宋体" w:hAnsi="宋体"/>
          <w:sz w:val="24"/>
          <w:szCs w:val="24"/>
        </w:rPr>
        <w:t xml:space="preserve"> 10.1 投标人编写的投标文件应按照招标文件第五部分投标文件（格式）的要求编写</w:t>
      </w:r>
    </w:p>
    <w:p w14:paraId="5A82EE1E">
      <w:pPr>
        <w:spacing w:line="360" w:lineRule="auto"/>
        <w:ind w:firstLine="360"/>
        <w:rPr>
          <w:rFonts w:ascii="宋体" w:hAnsi="宋体"/>
          <w:sz w:val="24"/>
          <w:szCs w:val="24"/>
        </w:rPr>
      </w:pPr>
      <w:r>
        <w:rPr>
          <w:rFonts w:hint="eastAsia" w:ascii="宋体" w:hAnsi="宋体"/>
          <w:sz w:val="24"/>
          <w:szCs w:val="24"/>
        </w:rPr>
        <w:t>10.2 投标人应将投标文件按顺序装订成册，并编制投标文件资料目录。</w:t>
      </w:r>
    </w:p>
    <w:p w14:paraId="444BFB7D">
      <w:pPr>
        <w:spacing w:line="360" w:lineRule="auto"/>
        <w:outlineLvl w:val="2"/>
        <w:rPr>
          <w:rFonts w:ascii="宋体" w:hAnsi="宋体"/>
          <w:b/>
          <w:sz w:val="28"/>
          <w:szCs w:val="28"/>
        </w:rPr>
      </w:pPr>
      <w:r>
        <w:rPr>
          <w:rFonts w:hint="eastAsia" w:ascii="宋体" w:hAnsi="宋体"/>
          <w:b/>
          <w:sz w:val="28"/>
          <w:szCs w:val="28"/>
        </w:rPr>
        <w:t>11、投标函</w:t>
      </w:r>
    </w:p>
    <w:p w14:paraId="712294A3">
      <w:pPr>
        <w:spacing w:line="360" w:lineRule="auto"/>
        <w:ind w:left="628" w:hanging="389"/>
        <w:rPr>
          <w:rFonts w:ascii="宋体" w:hAnsi="宋体"/>
          <w:sz w:val="24"/>
          <w:szCs w:val="24"/>
        </w:rPr>
      </w:pPr>
      <w:r>
        <w:rPr>
          <w:rFonts w:hint="eastAsia" w:ascii="宋体" w:hAnsi="宋体"/>
          <w:sz w:val="24"/>
          <w:szCs w:val="24"/>
        </w:rPr>
        <w:t xml:space="preserve"> 11.1投标人应按照招标文件中提供的“投标书（函）”的格式及要求填写。</w:t>
      </w:r>
    </w:p>
    <w:p w14:paraId="646DEDC0">
      <w:pPr>
        <w:spacing w:line="360" w:lineRule="auto"/>
        <w:outlineLvl w:val="2"/>
        <w:rPr>
          <w:rFonts w:ascii="宋体" w:hAnsi="宋体"/>
          <w:b/>
          <w:sz w:val="28"/>
          <w:szCs w:val="28"/>
        </w:rPr>
      </w:pPr>
      <w:r>
        <w:rPr>
          <w:rFonts w:hint="eastAsia" w:ascii="宋体" w:hAnsi="宋体"/>
          <w:b/>
          <w:sz w:val="28"/>
          <w:szCs w:val="28"/>
        </w:rPr>
        <w:t>12、投标报价</w:t>
      </w:r>
    </w:p>
    <w:p w14:paraId="195B7400">
      <w:pPr>
        <w:spacing w:line="360" w:lineRule="auto"/>
        <w:ind w:firstLine="235"/>
        <w:rPr>
          <w:rFonts w:ascii="宋体" w:hAnsi="宋体"/>
          <w:sz w:val="24"/>
          <w:szCs w:val="24"/>
        </w:rPr>
      </w:pPr>
      <w:r>
        <w:rPr>
          <w:rFonts w:hint="eastAsia" w:ascii="宋体" w:hAnsi="宋体"/>
          <w:sz w:val="24"/>
          <w:szCs w:val="24"/>
        </w:rPr>
        <w:t xml:space="preserve"> 12.1 投标人对本项目应报出最具有竞争力的价格，项目总报价中需包括本次招标所包含的所有要求提供货物及服务本身已支付或将支付的各种税费及其他相关费用。</w:t>
      </w:r>
    </w:p>
    <w:p w14:paraId="51190AB5">
      <w:pPr>
        <w:spacing w:line="360" w:lineRule="auto"/>
        <w:ind w:left="2" w:firstLine="238"/>
        <w:rPr>
          <w:rFonts w:ascii="宋体" w:hAnsi="宋体"/>
          <w:sz w:val="24"/>
          <w:szCs w:val="24"/>
        </w:rPr>
      </w:pPr>
      <w:r>
        <w:rPr>
          <w:rFonts w:hint="eastAsia" w:ascii="宋体" w:hAnsi="宋体"/>
          <w:sz w:val="24"/>
          <w:szCs w:val="24"/>
        </w:rPr>
        <w:t xml:space="preserve"> 12.2 投标人应按招标文件所提供的各报价表格式报价。</w:t>
      </w:r>
    </w:p>
    <w:p w14:paraId="169ADC0F">
      <w:pPr>
        <w:spacing w:line="360" w:lineRule="auto"/>
        <w:ind w:left="520" w:hanging="281"/>
        <w:rPr>
          <w:rFonts w:ascii="宋体" w:hAnsi="宋体"/>
          <w:sz w:val="24"/>
          <w:szCs w:val="24"/>
        </w:rPr>
      </w:pPr>
      <w:r>
        <w:rPr>
          <w:rFonts w:hint="eastAsia" w:ascii="宋体" w:hAnsi="宋体"/>
          <w:sz w:val="24"/>
          <w:szCs w:val="24"/>
        </w:rPr>
        <w:t xml:space="preserve"> 12.3 中标价即为合同签约价。</w:t>
      </w:r>
    </w:p>
    <w:p w14:paraId="4F199119">
      <w:pPr>
        <w:spacing w:line="360" w:lineRule="auto"/>
        <w:ind w:left="520" w:hanging="281"/>
        <w:rPr>
          <w:rFonts w:ascii="宋体" w:hAnsi="宋体"/>
          <w:sz w:val="24"/>
          <w:szCs w:val="24"/>
        </w:rPr>
      </w:pPr>
      <w:r>
        <w:rPr>
          <w:rFonts w:hint="eastAsia" w:ascii="宋体" w:hAnsi="宋体"/>
          <w:sz w:val="24"/>
          <w:szCs w:val="24"/>
        </w:rPr>
        <w:t xml:space="preserve"> 12.4 最低投标报价不能作为中标的唯一保证。</w:t>
      </w:r>
    </w:p>
    <w:p w14:paraId="7703828F">
      <w:pPr>
        <w:spacing w:line="360" w:lineRule="auto"/>
        <w:ind w:left="520" w:hanging="281"/>
        <w:rPr>
          <w:rFonts w:ascii="宋体" w:hAnsi="宋体"/>
          <w:sz w:val="24"/>
          <w:szCs w:val="24"/>
        </w:rPr>
      </w:pPr>
      <w:r>
        <w:rPr>
          <w:rFonts w:hint="eastAsia" w:ascii="宋体" w:hAnsi="宋体"/>
          <w:sz w:val="24"/>
          <w:szCs w:val="24"/>
        </w:rPr>
        <w:t xml:space="preserve"> 12.5 投标应以人民币报价。</w:t>
      </w:r>
    </w:p>
    <w:p w14:paraId="3AB966DA">
      <w:pPr>
        <w:spacing w:line="360" w:lineRule="auto"/>
        <w:outlineLvl w:val="2"/>
        <w:rPr>
          <w:rFonts w:ascii="宋体" w:hAnsi="宋体"/>
          <w:b/>
          <w:sz w:val="28"/>
          <w:szCs w:val="28"/>
        </w:rPr>
      </w:pPr>
      <w:r>
        <w:rPr>
          <w:rFonts w:hint="eastAsia" w:ascii="宋体" w:hAnsi="宋体"/>
          <w:b/>
          <w:sz w:val="28"/>
          <w:szCs w:val="28"/>
        </w:rPr>
        <w:t>13、技术规格要求和项目需求的响应</w:t>
      </w:r>
    </w:p>
    <w:p w14:paraId="37355767">
      <w:pPr>
        <w:spacing w:line="360" w:lineRule="auto"/>
        <w:ind w:left="-142" w:firstLine="480" w:firstLineChars="200"/>
        <w:rPr>
          <w:rFonts w:ascii="宋体" w:hAnsi="宋体"/>
          <w:sz w:val="24"/>
          <w:szCs w:val="24"/>
        </w:rPr>
      </w:pPr>
      <w:r>
        <w:rPr>
          <w:rFonts w:hint="eastAsia" w:ascii="宋体" w:hAnsi="宋体"/>
          <w:sz w:val="24"/>
          <w:szCs w:val="24"/>
        </w:rPr>
        <w:t>13.1投标人必须依据技术要求及规格，逐条说明投标货物、服务的技术参数、运行性能以及适用性。</w:t>
      </w:r>
    </w:p>
    <w:p w14:paraId="5AF1CC3A">
      <w:pPr>
        <w:spacing w:line="360" w:lineRule="auto"/>
        <w:ind w:left="-143" w:firstLine="480" w:firstLineChars="200"/>
        <w:rPr>
          <w:rFonts w:ascii="宋体" w:hAnsi="宋体"/>
          <w:sz w:val="24"/>
          <w:szCs w:val="24"/>
        </w:rPr>
      </w:pPr>
      <w:r>
        <w:rPr>
          <w:rFonts w:hint="eastAsia" w:ascii="宋体" w:hAnsi="宋体"/>
          <w:sz w:val="24"/>
          <w:szCs w:val="24"/>
        </w:rPr>
        <w:t>13.2投标人必须提交其所投标货物是符合招标文件的技术响应文件。该文件可以是文字资料、拓扑图和数据，并须提供在技术规格中规定的保证货物和服务正常和连续运转期间所需要的所有备件和专用工具的详细清单，包括其价格和供货来源资料。</w:t>
      </w:r>
    </w:p>
    <w:p w14:paraId="012BBF7E">
      <w:pPr>
        <w:spacing w:line="360" w:lineRule="auto"/>
        <w:ind w:left="2" w:firstLine="480" w:firstLineChars="200"/>
        <w:rPr>
          <w:rFonts w:ascii="宋体" w:hAnsi="宋体"/>
          <w:sz w:val="24"/>
          <w:szCs w:val="24"/>
        </w:rPr>
      </w:pPr>
      <w:r>
        <w:rPr>
          <w:rFonts w:hint="eastAsia" w:ascii="宋体" w:hAnsi="宋体"/>
          <w:sz w:val="24"/>
          <w:szCs w:val="24"/>
        </w:rPr>
        <w:t>13.3 技术规格的响应，应对招标文件中的技术规格逐项作出实质性响应。</w:t>
      </w:r>
    </w:p>
    <w:p w14:paraId="3B41EFFE">
      <w:pPr>
        <w:spacing w:line="360" w:lineRule="auto"/>
        <w:ind w:left="2" w:firstLine="480" w:firstLineChars="200"/>
        <w:rPr>
          <w:rFonts w:ascii="宋体" w:hAnsi="宋体"/>
          <w:sz w:val="24"/>
          <w:szCs w:val="24"/>
          <w:u w:val="single"/>
        </w:rPr>
      </w:pPr>
      <w:r>
        <w:rPr>
          <w:rFonts w:hint="eastAsia" w:ascii="宋体" w:hAnsi="宋体"/>
          <w:sz w:val="24"/>
          <w:szCs w:val="24"/>
        </w:rPr>
        <w:t>13.4 投标人的服务承诺应按不低于招标文件中项目需求的标准做出响应。</w:t>
      </w:r>
    </w:p>
    <w:p w14:paraId="5CB73CFA">
      <w:pPr>
        <w:spacing w:line="360" w:lineRule="auto"/>
        <w:outlineLvl w:val="2"/>
        <w:rPr>
          <w:rFonts w:ascii="宋体" w:hAnsi="宋体"/>
          <w:b/>
          <w:sz w:val="28"/>
          <w:szCs w:val="28"/>
        </w:rPr>
      </w:pPr>
      <w:r>
        <w:rPr>
          <w:rFonts w:hint="eastAsia" w:ascii="宋体" w:hAnsi="宋体"/>
          <w:b/>
          <w:sz w:val="28"/>
          <w:szCs w:val="28"/>
        </w:rPr>
        <w:t>14、投标人资格和能力的证明文件</w:t>
      </w:r>
    </w:p>
    <w:p w14:paraId="0C9E5278">
      <w:pPr>
        <w:spacing w:line="360" w:lineRule="auto"/>
        <w:ind w:firstLine="480" w:firstLineChars="200"/>
        <w:rPr>
          <w:rFonts w:ascii="宋体" w:hAnsi="宋体"/>
          <w:sz w:val="24"/>
          <w:szCs w:val="24"/>
        </w:rPr>
      </w:pPr>
      <w:r>
        <w:rPr>
          <w:rFonts w:hint="eastAsia" w:ascii="宋体" w:hAnsi="宋体"/>
          <w:sz w:val="24"/>
          <w:szCs w:val="24"/>
        </w:rPr>
        <w:t>14.1按照合格投标人的规定，投标人应提交证明其有资格参加投标和中标后有能力签订和履行合同的文件，并作为其投标文件的一部分。</w:t>
      </w:r>
    </w:p>
    <w:p w14:paraId="4C76D6F0">
      <w:pPr>
        <w:spacing w:line="360" w:lineRule="auto"/>
        <w:ind w:firstLine="480" w:firstLineChars="200"/>
        <w:rPr>
          <w:rFonts w:ascii="宋体" w:hAnsi="宋体"/>
          <w:sz w:val="24"/>
          <w:szCs w:val="24"/>
        </w:rPr>
      </w:pPr>
      <w:r>
        <w:rPr>
          <w:rFonts w:hint="eastAsia" w:ascii="宋体" w:hAnsi="宋体"/>
          <w:sz w:val="24"/>
          <w:szCs w:val="24"/>
        </w:rPr>
        <w:t xml:space="preserve"> 14.2 投标人除必须具有履行合同所需提供的货物和服务的能力外，还必须具备相应的财务、技术等各方面的能力。</w:t>
      </w:r>
    </w:p>
    <w:p w14:paraId="778F967C">
      <w:pPr>
        <w:spacing w:line="360" w:lineRule="auto"/>
        <w:outlineLvl w:val="2"/>
        <w:rPr>
          <w:rFonts w:ascii="宋体" w:hAnsi="宋体"/>
          <w:b/>
          <w:sz w:val="28"/>
          <w:szCs w:val="28"/>
        </w:rPr>
      </w:pPr>
      <w:r>
        <w:rPr>
          <w:rFonts w:hint="eastAsia" w:ascii="宋体" w:hAnsi="宋体"/>
          <w:b/>
          <w:sz w:val="28"/>
          <w:szCs w:val="28"/>
        </w:rPr>
        <w:t>15、投标保证金</w:t>
      </w:r>
    </w:p>
    <w:p w14:paraId="33E6BC39">
      <w:pPr>
        <w:spacing w:line="360" w:lineRule="auto"/>
        <w:ind w:firstLine="465"/>
        <w:rPr>
          <w:rFonts w:ascii="宋体" w:hAnsi="宋体"/>
          <w:sz w:val="24"/>
          <w:szCs w:val="24"/>
        </w:rPr>
      </w:pPr>
      <w:r>
        <w:rPr>
          <w:rFonts w:hint="eastAsia" w:ascii="宋体" w:hAnsi="宋体"/>
          <w:sz w:val="24"/>
          <w:szCs w:val="24"/>
        </w:rPr>
        <w:t>15.1本项目不收取投标保证金</w:t>
      </w:r>
    </w:p>
    <w:p w14:paraId="2D9E5FD1">
      <w:pPr>
        <w:spacing w:line="360" w:lineRule="auto"/>
        <w:outlineLvl w:val="2"/>
        <w:rPr>
          <w:rFonts w:ascii="宋体" w:hAnsi="宋体"/>
          <w:b/>
          <w:sz w:val="28"/>
          <w:szCs w:val="28"/>
        </w:rPr>
      </w:pPr>
      <w:r>
        <w:rPr>
          <w:rFonts w:hint="eastAsia" w:ascii="宋体" w:hAnsi="宋体"/>
          <w:b/>
          <w:sz w:val="28"/>
          <w:szCs w:val="28"/>
        </w:rPr>
        <w:t>16、投标有效期</w:t>
      </w:r>
    </w:p>
    <w:p w14:paraId="7E423FB8">
      <w:pPr>
        <w:spacing w:line="360" w:lineRule="auto"/>
        <w:ind w:firstLine="480" w:firstLineChars="200"/>
        <w:rPr>
          <w:rFonts w:ascii="宋体" w:hAnsi="宋体"/>
          <w:sz w:val="24"/>
          <w:szCs w:val="24"/>
        </w:rPr>
      </w:pPr>
      <w:r>
        <w:rPr>
          <w:rFonts w:hint="eastAsia" w:ascii="宋体" w:hAnsi="宋体"/>
          <w:sz w:val="24"/>
          <w:szCs w:val="24"/>
        </w:rPr>
        <w:t>16.1 投标有效期为：投标文件自开标之日起</w:t>
      </w:r>
      <w:r>
        <w:rPr>
          <w:rFonts w:hint="eastAsia" w:ascii="宋体" w:hAnsi="宋体"/>
          <w:b/>
          <w:sz w:val="24"/>
          <w:szCs w:val="24"/>
          <w:u w:val="single"/>
        </w:rPr>
        <w:t>90</w:t>
      </w:r>
      <w:r>
        <w:rPr>
          <w:rFonts w:hint="eastAsia" w:ascii="宋体" w:hAnsi="宋体"/>
          <w:sz w:val="24"/>
          <w:szCs w:val="24"/>
        </w:rPr>
        <w:t>天内有效。供应商一旦报名本项目并参加投标，即被认为接受了投标有效期的约定。</w:t>
      </w:r>
    </w:p>
    <w:p w14:paraId="5C46AB21">
      <w:pPr>
        <w:spacing w:line="360" w:lineRule="auto"/>
        <w:ind w:firstLine="480" w:firstLineChars="200"/>
        <w:rPr>
          <w:rFonts w:ascii="宋体" w:hAnsi="宋体"/>
          <w:sz w:val="24"/>
          <w:szCs w:val="24"/>
        </w:rPr>
      </w:pPr>
      <w:r>
        <w:rPr>
          <w:rFonts w:hint="eastAsia" w:ascii="宋体" w:hAnsi="宋体"/>
          <w:sz w:val="24"/>
          <w:szCs w:val="24"/>
        </w:rPr>
        <w:t>16.2在特殊情况下，招标组织方于原投标有效期满之前，可向投标人提出延长投标有效期的要求。这种要求与答复均应采用书面形式（如信件、传真或电报等）。投标人可以拒绝招标组织方的这一要求而放弃投标。同意延长的投标人既不能要求也不允许修改其投标文件。</w:t>
      </w:r>
    </w:p>
    <w:p w14:paraId="38316077">
      <w:pPr>
        <w:spacing w:before="200" w:after="200" w:line="360" w:lineRule="auto"/>
        <w:jc w:val="center"/>
        <w:outlineLvl w:val="2"/>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四、投标文件的递交</w:t>
      </w:r>
    </w:p>
    <w:p w14:paraId="4A2730C1">
      <w:pPr>
        <w:spacing w:line="360" w:lineRule="auto"/>
        <w:outlineLvl w:val="2"/>
        <w:rPr>
          <w:rFonts w:ascii="宋体" w:hAnsi="宋体"/>
          <w:b/>
          <w:sz w:val="28"/>
          <w:szCs w:val="28"/>
        </w:rPr>
      </w:pPr>
      <w:r>
        <w:rPr>
          <w:rFonts w:hint="eastAsia" w:ascii="宋体" w:hAnsi="宋体"/>
          <w:b/>
          <w:sz w:val="28"/>
          <w:szCs w:val="28"/>
        </w:rPr>
        <w:t>17、投标截止时间</w:t>
      </w:r>
    </w:p>
    <w:p w14:paraId="4F406816">
      <w:pPr>
        <w:spacing w:line="360" w:lineRule="auto"/>
        <w:ind w:left="1" w:firstLine="238"/>
        <w:rPr>
          <w:rFonts w:ascii="宋体" w:hAnsi="宋体"/>
          <w:sz w:val="24"/>
          <w:szCs w:val="24"/>
        </w:rPr>
      </w:pPr>
      <w:r>
        <w:rPr>
          <w:rFonts w:hint="eastAsia" w:ascii="宋体" w:hAnsi="宋体"/>
          <w:sz w:val="24"/>
          <w:szCs w:val="24"/>
        </w:rPr>
        <w:t xml:space="preserve"> 17.1投标人需在招标文件规定的投标截止时间前，将投标文件上传至</w:t>
      </w:r>
      <w:r>
        <w:rPr>
          <w:rFonts w:hint="eastAsia" w:ascii="宋体" w:hAnsi="宋体"/>
          <w:sz w:val="24"/>
          <w:szCs w:val="24"/>
          <w:lang w:val="zh-CN"/>
        </w:rPr>
        <w:t>江苏政府采购网“苏采云”系统</w:t>
      </w:r>
      <w:r>
        <w:rPr>
          <w:rFonts w:hint="eastAsia" w:ascii="宋体" w:hAnsi="宋体"/>
          <w:sz w:val="24"/>
          <w:szCs w:val="24"/>
        </w:rPr>
        <w:t>。</w:t>
      </w:r>
    </w:p>
    <w:p w14:paraId="3DDD853A">
      <w:pPr>
        <w:spacing w:line="360" w:lineRule="auto"/>
        <w:outlineLvl w:val="2"/>
        <w:rPr>
          <w:rFonts w:ascii="宋体" w:hAnsi="宋体"/>
          <w:b/>
          <w:sz w:val="28"/>
          <w:szCs w:val="28"/>
        </w:rPr>
      </w:pPr>
      <w:r>
        <w:rPr>
          <w:rFonts w:hint="eastAsia" w:ascii="宋体" w:hAnsi="宋体"/>
          <w:b/>
          <w:sz w:val="28"/>
          <w:szCs w:val="28"/>
        </w:rPr>
        <w:t>18、投标文件的补充、修改或者撤回</w:t>
      </w:r>
    </w:p>
    <w:p w14:paraId="6CB1EA8D">
      <w:pPr>
        <w:numPr>
          <w:ilvl w:val="255"/>
          <w:numId w:val="0"/>
        </w:numPr>
        <w:spacing w:line="360" w:lineRule="auto"/>
        <w:ind w:firstLine="480" w:firstLineChars="200"/>
        <w:jc w:val="left"/>
        <w:rPr>
          <w:rFonts w:ascii="宋体" w:hAnsi="宋体"/>
          <w:sz w:val="24"/>
          <w:szCs w:val="24"/>
          <w:lang w:val="zh-CN"/>
        </w:rPr>
      </w:pPr>
      <w:r>
        <w:rPr>
          <w:rFonts w:hint="eastAsia" w:ascii="宋体" w:hAnsi="宋体"/>
          <w:sz w:val="24"/>
          <w:szCs w:val="24"/>
        </w:rPr>
        <w:t>18</w:t>
      </w:r>
      <w:r>
        <w:rPr>
          <w:rFonts w:hint="eastAsia" w:ascii="宋体" w:hAnsi="宋体"/>
          <w:sz w:val="24"/>
          <w:szCs w:val="24"/>
          <w:lang w:val="zh-CN"/>
        </w:rPr>
        <w:t>.1响应文件的撤回</w:t>
      </w:r>
    </w:p>
    <w:p w14:paraId="0D53C533">
      <w:pPr>
        <w:numPr>
          <w:ilvl w:val="255"/>
          <w:numId w:val="0"/>
        </w:numPr>
        <w:spacing w:line="360" w:lineRule="auto"/>
        <w:ind w:firstLine="480" w:firstLineChars="200"/>
        <w:jc w:val="left"/>
        <w:rPr>
          <w:rFonts w:ascii="宋体" w:hAnsi="宋体"/>
          <w:sz w:val="24"/>
          <w:szCs w:val="24"/>
          <w:lang w:val="zh-CN"/>
        </w:rPr>
      </w:pPr>
      <w:r>
        <w:rPr>
          <w:rFonts w:hint="eastAsia" w:ascii="宋体" w:hAnsi="宋体"/>
          <w:sz w:val="24"/>
          <w:szCs w:val="24"/>
          <w:lang w:val="zh-CN"/>
        </w:rPr>
        <w:t>（1）供应商可在提交响应文件截止时间前撤回其电子响应文件，具体操作方法见《操作手册》。</w:t>
      </w:r>
    </w:p>
    <w:p w14:paraId="2CFB318A">
      <w:pPr>
        <w:numPr>
          <w:ilvl w:val="255"/>
          <w:numId w:val="0"/>
        </w:numPr>
        <w:spacing w:line="360" w:lineRule="auto"/>
        <w:ind w:firstLine="480" w:firstLineChars="200"/>
        <w:jc w:val="left"/>
        <w:rPr>
          <w:rFonts w:ascii="宋体" w:hAnsi="宋体"/>
          <w:sz w:val="24"/>
          <w:szCs w:val="24"/>
          <w:lang w:val="zh-CN"/>
        </w:rPr>
      </w:pPr>
      <w:r>
        <w:rPr>
          <w:rFonts w:hint="eastAsia" w:ascii="宋体" w:hAnsi="宋体"/>
          <w:sz w:val="24"/>
          <w:szCs w:val="24"/>
          <w:lang w:val="zh-CN"/>
        </w:rPr>
        <w:t>（2）供应商撤回电子响应文件，则认为其不再参与本项目</w:t>
      </w:r>
      <w:r>
        <w:rPr>
          <w:rFonts w:hint="eastAsia" w:ascii="宋体" w:hAnsi="宋体"/>
          <w:sz w:val="24"/>
          <w:szCs w:val="24"/>
        </w:rPr>
        <w:t>招标</w:t>
      </w:r>
      <w:r>
        <w:rPr>
          <w:rFonts w:hint="eastAsia" w:ascii="宋体" w:hAnsi="宋体"/>
          <w:sz w:val="24"/>
          <w:szCs w:val="24"/>
          <w:lang w:val="zh-CN"/>
        </w:rPr>
        <w:t>活动。</w:t>
      </w:r>
    </w:p>
    <w:p w14:paraId="7C7F205D">
      <w:pPr>
        <w:numPr>
          <w:ilvl w:val="255"/>
          <w:numId w:val="0"/>
        </w:numPr>
        <w:spacing w:line="360" w:lineRule="auto"/>
        <w:ind w:firstLine="480" w:firstLineChars="200"/>
        <w:jc w:val="left"/>
        <w:rPr>
          <w:rFonts w:ascii="宋体" w:hAnsi="宋体"/>
          <w:sz w:val="24"/>
          <w:szCs w:val="24"/>
          <w:lang w:val="zh-CN"/>
        </w:rPr>
      </w:pPr>
      <w:r>
        <w:rPr>
          <w:rFonts w:hint="eastAsia" w:ascii="宋体" w:hAnsi="宋体"/>
          <w:sz w:val="24"/>
          <w:szCs w:val="24"/>
        </w:rPr>
        <w:t>18</w:t>
      </w:r>
      <w:r>
        <w:rPr>
          <w:rFonts w:hint="eastAsia" w:ascii="宋体" w:hAnsi="宋体"/>
          <w:sz w:val="24"/>
          <w:szCs w:val="24"/>
          <w:lang w:val="zh-CN"/>
        </w:rPr>
        <w:t>.2响应文件的修改</w:t>
      </w:r>
    </w:p>
    <w:p w14:paraId="31B8AF4D">
      <w:pPr>
        <w:numPr>
          <w:ilvl w:val="255"/>
          <w:numId w:val="0"/>
        </w:numPr>
        <w:spacing w:line="360" w:lineRule="auto"/>
        <w:ind w:firstLine="480" w:firstLineChars="200"/>
        <w:jc w:val="left"/>
        <w:rPr>
          <w:rFonts w:ascii="宋体" w:hAnsi="宋体"/>
          <w:sz w:val="24"/>
          <w:szCs w:val="24"/>
          <w:lang w:val="zh-CN"/>
        </w:rPr>
      </w:pPr>
      <w:r>
        <w:rPr>
          <w:rFonts w:hint="eastAsia" w:ascii="宋体" w:hAnsi="宋体"/>
          <w:sz w:val="24"/>
          <w:szCs w:val="24"/>
          <w:lang w:val="zh-CN"/>
        </w:rPr>
        <w:t>（1）供应商可在提交响应文件截止时间前对其电子响应文件进行修改，具体操作方法见《操作手册》。</w:t>
      </w:r>
    </w:p>
    <w:p w14:paraId="4BDFA612">
      <w:pPr>
        <w:numPr>
          <w:ilvl w:val="255"/>
          <w:numId w:val="0"/>
        </w:numPr>
        <w:spacing w:line="360" w:lineRule="auto"/>
        <w:ind w:firstLine="480" w:firstLineChars="200"/>
        <w:jc w:val="left"/>
        <w:rPr>
          <w:rFonts w:ascii="宋体" w:hAnsi="宋体"/>
          <w:sz w:val="24"/>
          <w:szCs w:val="24"/>
          <w:lang w:val="zh-CN"/>
        </w:rPr>
      </w:pPr>
      <w:r>
        <w:rPr>
          <w:rFonts w:hint="eastAsia" w:ascii="宋体" w:hAnsi="宋体"/>
          <w:sz w:val="24"/>
          <w:szCs w:val="24"/>
          <w:lang w:val="zh-CN"/>
        </w:rPr>
        <w:t>（2）提交响应文件截止时间之后，供应商不得对其电子响应文件作任何修改。</w:t>
      </w:r>
    </w:p>
    <w:p w14:paraId="6C6D02ED">
      <w:pPr>
        <w:numPr>
          <w:ilvl w:val="255"/>
          <w:numId w:val="0"/>
        </w:numPr>
        <w:spacing w:line="360" w:lineRule="auto"/>
        <w:ind w:firstLine="480" w:firstLineChars="200"/>
        <w:jc w:val="left"/>
        <w:rPr>
          <w:rFonts w:ascii="宋体" w:hAnsi="宋体"/>
          <w:sz w:val="24"/>
          <w:szCs w:val="24"/>
          <w:lang w:val="zh-CN"/>
        </w:rPr>
      </w:pPr>
      <w:r>
        <w:rPr>
          <w:rFonts w:hint="eastAsia" w:ascii="宋体" w:hAnsi="宋体"/>
          <w:sz w:val="24"/>
          <w:szCs w:val="24"/>
        </w:rPr>
        <w:t>18</w:t>
      </w:r>
      <w:r>
        <w:rPr>
          <w:rFonts w:hint="eastAsia" w:ascii="宋体" w:hAnsi="宋体"/>
          <w:sz w:val="24"/>
          <w:szCs w:val="24"/>
          <w:lang w:val="zh-CN"/>
        </w:rPr>
        <w:t>.3在提交响应文件截止时间至</w:t>
      </w:r>
      <w:r>
        <w:rPr>
          <w:rFonts w:hint="eastAsia" w:ascii="宋体" w:hAnsi="宋体"/>
          <w:sz w:val="24"/>
          <w:szCs w:val="24"/>
        </w:rPr>
        <w:t>招标</w:t>
      </w:r>
      <w:r>
        <w:rPr>
          <w:rFonts w:hint="eastAsia" w:ascii="宋体" w:hAnsi="宋体"/>
          <w:sz w:val="24"/>
          <w:szCs w:val="24"/>
          <w:lang w:val="zh-CN"/>
        </w:rPr>
        <w:t>文件中规定的</w:t>
      </w:r>
      <w:r>
        <w:rPr>
          <w:rFonts w:hint="eastAsia" w:ascii="宋体" w:hAnsi="宋体"/>
          <w:sz w:val="24"/>
          <w:szCs w:val="24"/>
        </w:rPr>
        <w:t>投标</w:t>
      </w:r>
      <w:r>
        <w:rPr>
          <w:rFonts w:hint="eastAsia" w:ascii="宋体" w:hAnsi="宋体"/>
          <w:sz w:val="24"/>
          <w:szCs w:val="24"/>
          <w:lang w:val="zh-CN"/>
        </w:rPr>
        <w:t>有效期满之间的这段时间内，供应商不得撤回其响应文件。</w:t>
      </w:r>
    </w:p>
    <w:p w14:paraId="1576EB5B">
      <w:pPr>
        <w:numPr>
          <w:ilvl w:val="255"/>
          <w:numId w:val="0"/>
        </w:numPr>
        <w:spacing w:line="360" w:lineRule="auto"/>
        <w:ind w:firstLine="480" w:firstLineChars="200"/>
        <w:jc w:val="left"/>
        <w:rPr>
          <w:rFonts w:ascii="宋体" w:hAnsi="宋体"/>
          <w:sz w:val="24"/>
          <w:szCs w:val="24"/>
        </w:rPr>
      </w:pPr>
      <w:r>
        <w:rPr>
          <w:rFonts w:hint="eastAsia" w:ascii="宋体" w:hAnsi="宋体"/>
          <w:sz w:val="24"/>
          <w:szCs w:val="24"/>
        </w:rPr>
        <w:t>18.4如标书制作工具中格式和内容与“江苏政府采购网”发布的招标文件不一致，以上述网站发布的招标文件为准。</w:t>
      </w:r>
    </w:p>
    <w:p w14:paraId="5AEA9B3C">
      <w:pPr>
        <w:numPr>
          <w:ilvl w:val="255"/>
          <w:numId w:val="0"/>
        </w:numPr>
        <w:spacing w:line="360" w:lineRule="auto"/>
        <w:ind w:firstLine="480" w:firstLineChars="200"/>
        <w:jc w:val="left"/>
        <w:rPr>
          <w:rFonts w:ascii="宋体" w:hAnsi="宋体"/>
          <w:sz w:val="24"/>
          <w:szCs w:val="24"/>
        </w:rPr>
      </w:pPr>
      <w:r>
        <w:rPr>
          <w:rFonts w:hint="eastAsia" w:ascii="宋体" w:hAnsi="宋体"/>
          <w:sz w:val="24"/>
          <w:szCs w:val="24"/>
        </w:rPr>
        <w:t>18.5成交供应商需无偿提供纸质版响应文件一式叁份（壹份正本、贰份副本）；(加盖公章电子版标书一份,U盘形式，响应文件电子版中必须包含响应文件的全部内容，不得加密，所有文档、图表等采用WORD格式)。</w:t>
      </w:r>
    </w:p>
    <w:p w14:paraId="0A95B0B0">
      <w:pPr>
        <w:spacing w:line="360" w:lineRule="auto"/>
        <w:ind w:left="1" w:firstLine="238"/>
        <w:rPr>
          <w:rFonts w:ascii="宋体" w:hAnsi="宋体"/>
          <w:sz w:val="24"/>
          <w:szCs w:val="24"/>
        </w:rPr>
      </w:pPr>
    </w:p>
    <w:p w14:paraId="61C4B1DD">
      <w:pPr>
        <w:spacing w:before="200" w:after="200" w:line="360" w:lineRule="auto"/>
        <w:jc w:val="center"/>
        <w:outlineLvl w:val="2"/>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五、开标与评标</w:t>
      </w:r>
    </w:p>
    <w:p w14:paraId="4716315E">
      <w:pPr>
        <w:spacing w:line="360" w:lineRule="auto"/>
        <w:outlineLvl w:val="2"/>
        <w:rPr>
          <w:rFonts w:ascii="宋体" w:hAnsi="宋体"/>
          <w:b/>
          <w:sz w:val="28"/>
          <w:szCs w:val="28"/>
        </w:rPr>
      </w:pPr>
      <w:r>
        <w:rPr>
          <w:rFonts w:hint="eastAsia" w:ascii="宋体" w:hAnsi="宋体"/>
          <w:b/>
          <w:sz w:val="28"/>
          <w:szCs w:val="28"/>
        </w:rPr>
        <w:t>19、开标及评委会组成</w:t>
      </w:r>
    </w:p>
    <w:p w14:paraId="05A9986B">
      <w:pPr>
        <w:spacing w:line="360" w:lineRule="auto"/>
        <w:ind w:left="1" w:firstLine="142"/>
        <w:rPr>
          <w:rFonts w:ascii="宋体" w:hAnsi="宋体"/>
          <w:sz w:val="24"/>
          <w:szCs w:val="24"/>
        </w:rPr>
      </w:pPr>
      <w:r>
        <w:rPr>
          <w:rFonts w:hint="eastAsia" w:ascii="宋体" w:hAnsi="宋体"/>
          <w:sz w:val="24"/>
          <w:szCs w:val="24"/>
        </w:rPr>
        <w:t xml:space="preserve">  19.1投标人</w:t>
      </w:r>
      <w:r>
        <w:rPr>
          <w:rFonts w:hint="eastAsia" w:ascii="宋体" w:hAnsi="宋体"/>
          <w:sz w:val="24"/>
          <w:szCs w:val="24"/>
          <w:lang w:val="zh-CN"/>
        </w:rPr>
        <w:t>应当按照《操作手册》规定，在苏采云系统规定的时间内对响应文件进行解密。</w:t>
      </w:r>
    </w:p>
    <w:p w14:paraId="031F798B">
      <w:pPr>
        <w:spacing w:line="360" w:lineRule="auto"/>
        <w:ind w:left="1" w:firstLine="238"/>
        <w:rPr>
          <w:rFonts w:ascii="宋体" w:hAnsi="宋体"/>
          <w:sz w:val="24"/>
          <w:szCs w:val="24"/>
        </w:rPr>
      </w:pPr>
      <w:r>
        <w:rPr>
          <w:rFonts w:hint="eastAsia" w:ascii="宋体" w:hAnsi="宋体"/>
          <w:sz w:val="24"/>
          <w:szCs w:val="24"/>
        </w:rPr>
        <w:t>19.2评标委员会将由5人或5人以上（单数）组成。</w:t>
      </w:r>
    </w:p>
    <w:p w14:paraId="3770DAD7">
      <w:pPr>
        <w:spacing w:line="360" w:lineRule="auto"/>
        <w:outlineLvl w:val="2"/>
        <w:rPr>
          <w:rFonts w:ascii="宋体" w:hAnsi="宋体"/>
          <w:b/>
          <w:sz w:val="28"/>
          <w:szCs w:val="28"/>
        </w:rPr>
      </w:pPr>
      <w:r>
        <w:rPr>
          <w:rFonts w:hint="eastAsia" w:ascii="宋体" w:hAnsi="宋体"/>
          <w:b/>
          <w:sz w:val="28"/>
          <w:szCs w:val="28"/>
        </w:rPr>
        <w:t>20、评标过程的保密</w:t>
      </w:r>
    </w:p>
    <w:p w14:paraId="50C3BC9F">
      <w:pPr>
        <w:spacing w:line="360" w:lineRule="auto"/>
        <w:ind w:left="1" w:firstLine="238"/>
        <w:rPr>
          <w:rFonts w:ascii="宋体" w:hAnsi="宋体"/>
          <w:sz w:val="24"/>
          <w:szCs w:val="24"/>
        </w:rPr>
      </w:pPr>
      <w:r>
        <w:rPr>
          <w:rFonts w:hint="eastAsia" w:ascii="宋体" w:hAnsi="宋体"/>
          <w:sz w:val="24"/>
          <w:szCs w:val="24"/>
        </w:rPr>
        <w:t xml:space="preserve"> 20.1 开标开始后，至向中标的投标人授予合同时止，与审查、澄清、评价和比较投标的有关资料以及授标建议等，均不得向投标人以及与评标无关的其他人员透露。</w:t>
      </w:r>
    </w:p>
    <w:p w14:paraId="5673CFBB">
      <w:pPr>
        <w:spacing w:line="360" w:lineRule="auto"/>
        <w:ind w:left="1" w:firstLine="238"/>
        <w:rPr>
          <w:rFonts w:ascii="宋体" w:hAnsi="宋体"/>
          <w:sz w:val="24"/>
          <w:szCs w:val="24"/>
        </w:rPr>
      </w:pPr>
      <w:r>
        <w:rPr>
          <w:rFonts w:hint="eastAsia" w:ascii="宋体" w:hAnsi="宋体"/>
          <w:sz w:val="24"/>
          <w:szCs w:val="24"/>
        </w:rPr>
        <w:t xml:space="preserve"> 20.2 在评标过程中，如果投标人试图在投标文件审查、澄清、比较及授标建议等方面向招标组织方或参加评标的人员施加任何影响，都将会导致其投标被拒绝。</w:t>
      </w:r>
    </w:p>
    <w:p w14:paraId="670F0C94">
      <w:pPr>
        <w:spacing w:line="360" w:lineRule="auto"/>
        <w:ind w:left="1" w:firstLine="360"/>
        <w:rPr>
          <w:rFonts w:ascii="宋体" w:hAnsi="宋体"/>
          <w:sz w:val="24"/>
          <w:szCs w:val="24"/>
          <w:u w:val="single"/>
        </w:rPr>
      </w:pPr>
      <w:r>
        <w:rPr>
          <w:rFonts w:hint="eastAsia" w:ascii="宋体" w:hAnsi="宋体"/>
          <w:sz w:val="24"/>
          <w:szCs w:val="24"/>
        </w:rPr>
        <w:t>20.3</w:t>
      </w:r>
      <w:r>
        <w:rPr>
          <w:rFonts w:hint="eastAsia" w:ascii="宋体" w:hAnsi="宋体"/>
          <w:b/>
          <w:sz w:val="24"/>
          <w:szCs w:val="24"/>
          <w:u w:val="single"/>
        </w:rPr>
        <w:t>评标应当在严格保密的情况下进行，除采购人代表、评标现场组织人员外，采购人的其他工作人员以及与评标工作无关的人员不得进入评标现场。</w:t>
      </w:r>
    </w:p>
    <w:p w14:paraId="4D7FE0C7">
      <w:pPr>
        <w:spacing w:line="360" w:lineRule="auto"/>
        <w:outlineLvl w:val="2"/>
        <w:rPr>
          <w:rFonts w:ascii="宋体" w:hAnsi="宋体"/>
          <w:b/>
          <w:sz w:val="28"/>
          <w:szCs w:val="28"/>
        </w:rPr>
      </w:pPr>
      <w:r>
        <w:rPr>
          <w:rFonts w:hint="eastAsia" w:ascii="宋体" w:hAnsi="宋体"/>
          <w:b/>
          <w:sz w:val="28"/>
          <w:szCs w:val="28"/>
        </w:rPr>
        <w:t>21、评标委员会评标注意事项</w:t>
      </w:r>
    </w:p>
    <w:p w14:paraId="17B321ED">
      <w:pPr>
        <w:spacing w:line="360" w:lineRule="auto"/>
        <w:ind w:firstLine="360"/>
        <w:rPr>
          <w:rFonts w:ascii="宋体" w:hAnsi="宋体"/>
          <w:sz w:val="24"/>
          <w:szCs w:val="24"/>
        </w:rPr>
      </w:pPr>
      <w:r>
        <w:rPr>
          <w:rFonts w:hint="eastAsia" w:ascii="宋体" w:hAnsi="宋体"/>
          <w:sz w:val="24"/>
          <w:szCs w:val="24"/>
        </w:rPr>
        <w:t>21.1评标时，评标委员会各成员应当独立对每个投标人的投标文件进行评价，并汇总每个投标人的得分。</w:t>
      </w:r>
    </w:p>
    <w:p w14:paraId="3DAED013">
      <w:pPr>
        <w:spacing w:line="360" w:lineRule="auto"/>
        <w:ind w:left="1" w:firstLine="360"/>
        <w:rPr>
          <w:rFonts w:ascii="宋体" w:hAnsi="宋体"/>
          <w:sz w:val="24"/>
          <w:szCs w:val="24"/>
        </w:rPr>
      </w:pPr>
      <w:r>
        <w:rPr>
          <w:rFonts w:hint="eastAsia" w:ascii="宋体" w:hAnsi="宋体"/>
          <w:sz w:val="24"/>
          <w:szCs w:val="24"/>
        </w:rPr>
        <w:t>21.2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74DE4AC">
      <w:pPr>
        <w:spacing w:line="360" w:lineRule="auto"/>
        <w:ind w:left="1" w:firstLine="360"/>
        <w:rPr>
          <w:rFonts w:ascii="宋体" w:hAnsi="宋体"/>
          <w:sz w:val="24"/>
          <w:szCs w:val="24"/>
        </w:rPr>
      </w:pPr>
      <w:r>
        <w:rPr>
          <w:rFonts w:hint="eastAsia" w:ascii="宋体" w:hAnsi="宋体"/>
          <w:sz w:val="24"/>
          <w:szCs w:val="24"/>
        </w:rPr>
        <w:t>21.3评标委员会成员对需要共同认定的事项存在争议的，应当按照少数服从多数的原则作出结论。持不同意见的评标委员会成员应当在评标报告上签署不同意见及理由，否则视为同意评标报告。</w:t>
      </w:r>
    </w:p>
    <w:p w14:paraId="4172C548">
      <w:pPr>
        <w:spacing w:line="360" w:lineRule="auto"/>
        <w:ind w:firstLine="360"/>
        <w:rPr>
          <w:rFonts w:ascii="宋体" w:hAnsi="宋体"/>
          <w:sz w:val="24"/>
          <w:szCs w:val="24"/>
        </w:rPr>
      </w:pPr>
      <w:r>
        <w:rPr>
          <w:rFonts w:hint="eastAsia" w:ascii="宋体" w:hAnsi="宋体"/>
          <w:sz w:val="24"/>
          <w:szCs w:val="24"/>
        </w:rPr>
        <w:t>21.4评标委员会及其成员不得有下列行为：</w:t>
      </w:r>
    </w:p>
    <w:p w14:paraId="1862D48C">
      <w:pPr>
        <w:spacing w:line="360" w:lineRule="auto"/>
        <w:ind w:left="1" w:firstLine="238"/>
        <w:rPr>
          <w:rFonts w:ascii="宋体" w:hAnsi="宋体"/>
          <w:sz w:val="24"/>
          <w:szCs w:val="24"/>
        </w:rPr>
      </w:pPr>
      <w:r>
        <w:rPr>
          <w:rFonts w:hint="eastAsia" w:ascii="宋体" w:hAnsi="宋体"/>
          <w:sz w:val="24"/>
          <w:szCs w:val="24"/>
        </w:rPr>
        <w:t>　（1）确定参与评标至评标结束前私自接触投标人；</w:t>
      </w:r>
    </w:p>
    <w:p w14:paraId="3A9FF067">
      <w:pPr>
        <w:spacing w:line="360" w:lineRule="auto"/>
        <w:ind w:left="1" w:firstLine="238"/>
        <w:rPr>
          <w:rFonts w:ascii="宋体" w:hAnsi="宋体"/>
          <w:sz w:val="24"/>
          <w:szCs w:val="24"/>
        </w:rPr>
      </w:pPr>
      <w:r>
        <w:rPr>
          <w:rFonts w:hint="eastAsia" w:ascii="宋体" w:hAnsi="宋体"/>
          <w:sz w:val="24"/>
          <w:szCs w:val="24"/>
        </w:rPr>
        <w:t>　（2）接受投标人提出的与投标文件不一致的澄清或者说明，《政府采购货物和服务招标投标管理办法》（财政部87号令）第五十一条规定的情形除外；</w:t>
      </w:r>
    </w:p>
    <w:p w14:paraId="26557C96">
      <w:pPr>
        <w:spacing w:line="360" w:lineRule="auto"/>
        <w:ind w:left="1" w:firstLine="238"/>
        <w:rPr>
          <w:rFonts w:ascii="宋体" w:hAnsi="宋体"/>
          <w:sz w:val="24"/>
          <w:szCs w:val="24"/>
        </w:rPr>
      </w:pPr>
      <w:r>
        <w:rPr>
          <w:rFonts w:hint="eastAsia" w:ascii="宋体" w:hAnsi="宋体"/>
          <w:sz w:val="24"/>
          <w:szCs w:val="24"/>
        </w:rPr>
        <w:t>　（3）违反评标纪律发表倾向性意见或者征询采购人的倾向性意见；</w:t>
      </w:r>
    </w:p>
    <w:p w14:paraId="3D34E1FE">
      <w:pPr>
        <w:spacing w:line="360" w:lineRule="auto"/>
        <w:ind w:left="1" w:firstLine="238"/>
        <w:rPr>
          <w:rFonts w:ascii="宋体" w:hAnsi="宋体"/>
          <w:sz w:val="24"/>
          <w:szCs w:val="24"/>
        </w:rPr>
      </w:pPr>
      <w:r>
        <w:rPr>
          <w:rFonts w:hint="eastAsia" w:ascii="宋体" w:hAnsi="宋体"/>
          <w:sz w:val="24"/>
          <w:szCs w:val="24"/>
        </w:rPr>
        <w:t>　（4）对需要专业判断的主观评审因素协商评分；</w:t>
      </w:r>
    </w:p>
    <w:p w14:paraId="6D61DCA6">
      <w:pPr>
        <w:spacing w:line="360" w:lineRule="auto"/>
        <w:ind w:left="1" w:firstLine="238"/>
        <w:rPr>
          <w:rFonts w:ascii="宋体" w:hAnsi="宋体"/>
          <w:sz w:val="24"/>
          <w:szCs w:val="24"/>
        </w:rPr>
      </w:pPr>
      <w:r>
        <w:rPr>
          <w:rFonts w:hint="eastAsia" w:ascii="宋体" w:hAnsi="宋体"/>
          <w:sz w:val="24"/>
          <w:szCs w:val="24"/>
        </w:rPr>
        <w:t>　（5）在评标过程中擅离职守，影响评标程序正常进行的；</w:t>
      </w:r>
    </w:p>
    <w:p w14:paraId="2334B2EE">
      <w:pPr>
        <w:spacing w:line="360" w:lineRule="auto"/>
        <w:ind w:left="1" w:firstLine="238"/>
        <w:rPr>
          <w:rFonts w:ascii="宋体" w:hAnsi="宋体"/>
          <w:sz w:val="24"/>
          <w:szCs w:val="24"/>
        </w:rPr>
      </w:pPr>
      <w:r>
        <w:rPr>
          <w:rFonts w:hint="eastAsia" w:ascii="宋体" w:hAnsi="宋体"/>
          <w:sz w:val="24"/>
          <w:szCs w:val="24"/>
        </w:rPr>
        <w:t>　（6）记录、复制或者带走任何评标资料；</w:t>
      </w:r>
    </w:p>
    <w:p w14:paraId="27D6F3F1">
      <w:pPr>
        <w:spacing w:line="360" w:lineRule="auto"/>
        <w:ind w:left="1" w:firstLine="238"/>
        <w:rPr>
          <w:rFonts w:ascii="宋体" w:hAnsi="宋体"/>
          <w:sz w:val="24"/>
          <w:szCs w:val="24"/>
        </w:rPr>
      </w:pPr>
      <w:r>
        <w:rPr>
          <w:rFonts w:hint="eastAsia" w:ascii="宋体" w:hAnsi="宋体"/>
          <w:sz w:val="24"/>
          <w:szCs w:val="24"/>
        </w:rPr>
        <w:t>　（7）其他不遵守评标纪律的行为。</w:t>
      </w:r>
    </w:p>
    <w:p w14:paraId="26290399">
      <w:pPr>
        <w:spacing w:line="360" w:lineRule="auto"/>
        <w:ind w:left="1" w:firstLine="238"/>
        <w:rPr>
          <w:rFonts w:ascii="宋体" w:hAnsi="宋体"/>
          <w:sz w:val="24"/>
          <w:szCs w:val="24"/>
        </w:rPr>
      </w:pPr>
      <w:r>
        <w:rPr>
          <w:rFonts w:hint="eastAsia" w:ascii="宋体" w:hAnsi="宋体"/>
          <w:sz w:val="24"/>
          <w:szCs w:val="24"/>
        </w:rPr>
        <w:t>　评标委员会成员有上述第一至五项行为之一的，其评审意见无效，并不得获取评审劳务报酬和报销异地评审差旅费。</w:t>
      </w:r>
    </w:p>
    <w:p w14:paraId="0BDAD67A">
      <w:pPr>
        <w:spacing w:line="360" w:lineRule="auto"/>
        <w:ind w:left="1" w:firstLine="360"/>
        <w:rPr>
          <w:rFonts w:ascii="宋体" w:hAnsi="宋体"/>
          <w:sz w:val="24"/>
          <w:szCs w:val="24"/>
          <w:u w:val="single"/>
        </w:rPr>
      </w:pPr>
      <w:r>
        <w:rPr>
          <w:rFonts w:hint="eastAsia" w:ascii="宋体" w:hAnsi="宋体"/>
          <w:sz w:val="24"/>
          <w:szCs w:val="24"/>
        </w:rPr>
        <w:t>21.5评标委员会发现招标文件存在歧义、重大缺陷导致评标工作无法进行，或者招标文件内容违反国家有关强制性规定的，应当停止评标工作，与采购人、招标组织方沟通并作书面记录。采购人、招标组织方确认后，应当修改招标文件，重新组织采购活动。</w:t>
      </w:r>
    </w:p>
    <w:p w14:paraId="01437ADD">
      <w:pPr>
        <w:spacing w:line="360" w:lineRule="auto"/>
        <w:outlineLvl w:val="2"/>
        <w:rPr>
          <w:rFonts w:ascii="宋体" w:hAnsi="宋体"/>
          <w:b/>
          <w:sz w:val="30"/>
          <w:szCs w:val="20"/>
        </w:rPr>
      </w:pPr>
      <w:r>
        <w:rPr>
          <w:rFonts w:hint="eastAsia" w:ascii="宋体" w:hAnsi="宋体"/>
          <w:b/>
          <w:sz w:val="28"/>
          <w:szCs w:val="28"/>
        </w:rPr>
        <w:t>22、投标人资格审查</w:t>
      </w:r>
    </w:p>
    <w:p w14:paraId="175C4D34">
      <w:pPr>
        <w:spacing w:line="360" w:lineRule="auto"/>
        <w:ind w:firstLine="360"/>
        <w:rPr>
          <w:rFonts w:ascii="宋体" w:hAnsi="宋体"/>
          <w:sz w:val="24"/>
          <w:szCs w:val="24"/>
        </w:rPr>
      </w:pPr>
      <w:r>
        <w:rPr>
          <w:rFonts w:hint="eastAsia" w:ascii="宋体" w:hAnsi="宋体"/>
          <w:sz w:val="24"/>
          <w:szCs w:val="24"/>
        </w:rPr>
        <w:t>22.1 开标后，采购人将依法对投标人的资格进行审查。资格审查的内容如下：</w:t>
      </w:r>
    </w:p>
    <w:tbl>
      <w:tblPr>
        <w:tblStyle w:val="54"/>
        <w:tblW w:w="9629" w:type="dxa"/>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3744"/>
        <w:gridCol w:w="5032"/>
      </w:tblGrid>
      <w:tr w14:paraId="50EF9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853" w:type="dxa"/>
            <w:vAlign w:val="center"/>
          </w:tcPr>
          <w:p w14:paraId="03F13116">
            <w:pPr>
              <w:spacing w:line="360" w:lineRule="auto"/>
              <w:jc w:val="center"/>
              <w:rPr>
                <w:rFonts w:ascii="宋体" w:hAnsi="宋体"/>
                <w:b/>
                <w:sz w:val="24"/>
                <w:szCs w:val="24"/>
              </w:rPr>
            </w:pPr>
            <w:r>
              <w:rPr>
                <w:rFonts w:hint="eastAsia" w:ascii="宋体" w:hAnsi="宋体"/>
                <w:b/>
                <w:sz w:val="24"/>
                <w:szCs w:val="24"/>
              </w:rPr>
              <w:t>序号</w:t>
            </w:r>
          </w:p>
        </w:tc>
        <w:tc>
          <w:tcPr>
            <w:tcW w:w="3744" w:type="dxa"/>
            <w:vAlign w:val="center"/>
          </w:tcPr>
          <w:p w14:paraId="5EDABD9E">
            <w:pPr>
              <w:spacing w:line="360" w:lineRule="auto"/>
              <w:jc w:val="center"/>
              <w:rPr>
                <w:rFonts w:ascii="宋体" w:hAnsi="宋体"/>
                <w:b/>
                <w:sz w:val="24"/>
                <w:szCs w:val="24"/>
              </w:rPr>
            </w:pPr>
            <w:r>
              <w:rPr>
                <w:rFonts w:hint="eastAsia" w:ascii="宋体" w:hAnsi="宋体"/>
                <w:b/>
                <w:sz w:val="24"/>
                <w:szCs w:val="24"/>
              </w:rPr>
              <w:t>审查要素</w:t>
            </w:r>
          </w:p>
        </w:tc>
        <w:tc>
          <w:tcPr>
            <w:tcW w:w="5032" w:type="dxa"/>
            <w:vAlign w:val="center"/>
          </w:tcPr>
          <w:p w14:paraId="02E3DF70">
            <w:pPr>
              <w:spacing w:line="360" w:lineRule="auto"/>
              <w:jc w:val="center"/>
              <w:rPr>
                <w:rFonts w:ascii="宋体" w:hAnsi="宋体"/>
                <w:b/>
                <w:sz w:val="24"/>
                <w:szCs w:val="24"/>
              </w:rPr>
            </w:pPr>
            <w:r>
              <w:rPr>
                <w:rFonts w:hint="eastAsia" w:ascii="宋体" w:hAnsi="宋体"/>
                <w:b/>
                <w:sz w:val="24"/>
                <w:szCs w:val="24"/>
              </w:rPr>
              <w:t>审查内容</w:t>
            </w:r>
          </w:p>
        </w:tc>
      </w:tr>
      <w:tr w14:paraId="59F3A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853" w:type="dxa"/>
            <w:vAlign w:val="center"/>
          </w:tcPr>
          <w:p w14:paraId="5732BD55">
            <w:pPr>
              <w:spacing w:line="360" w:lineRule="auto"/>
              <w:jc w:val="center"/>
              <w:rPr>
                <w:rFonts w:ascii="宋体" w:hAnsi="宋体"/>
                <w:sz w:val="24"/>
                <w:szCs w:val="24"/>
              </w:rPr>
            </w:pPr>
            <w:r>
              <w:rPr>
                <w:rFonts w:hint="eastAsia" w:ascii="宋体" w:hAnsi="宋体"/>
                <w:sz w:val="24"/>
                <w:szCs w:val="24"/>
              </w:rPr>
              <w:t>1</w:t>
            </w:r>
          </w:p>
        </w:tc>
        <w:tc>
          <w:tcPr>
            <w:tcW w:w="3744" w:type="dxa"/>
            <w:vAlign w:val="center"/>
          </w:tcPr>
          <w:p w14:paraId="08DD1217">
            <w:pPr>
              <w:spacing w:line="360" w:lineRule="auto"/>
              <w:jc w:val="left"/>
              <w:rPr>
                <w:rFonts w:ascii="宋体" w:hAnsi="宋体"/>
                <w:sz w:val="24"/>
                <w:szCs w:val="24"/>
              </w:rPr>
            </w:pPr>
            <w:r>
              <w:rPr>
                <w:rFonts w:hint="eastAsia" w:ascii="宋体" w:hAnsi="宋体"/>
                <w:sz w:val="24"/>
                <w:szCs w:val="24"/>
              </w:rPr>
              <w:t>具有独立承担民事责任的能力</w:t>
            </w:r>
          </w:p>
        </w:tc>
        <w:tc>
          <w:tcPr>
            <w:tcW w:w="5032" w:type="dxa"/>
            <w:vAlign w:val="center"/>
          </w:tcPr>
          <w:p w14:paraId="490F94D7">
            <w:pPr>
              <w:spacing w:line="360" w:lineRule="auto"/>
              <w:rPr>
                <w:rFonts w:ascii="宋体" w:hAnsi="宋体"/>
                <w:sz w:val="24"/>
                <w:szCs w:val="24"/>
              </w:rPr>
            </w:pPr>
            <w:r>
              <w:rPr>
                <w:rFonts w:hint="eastAsia" w:ascii="宋体" w:hAnsi="宋体" w:cs="Arial"/>
                <w:sz w:val="24"/>
              </w:rPr>
              <w:t>提供</w:t>
            </w:r>
            <w:r>
              <w:rPr>
                <w:rFonts w:ascii="宋体" w:hAnsi="宋体" w:cs="宋体"/>
                <w:sz w:val="24"/>
              </w:rPr>
              <w:t>法人或者其他组织的营业执照等证明文件，</w:t>
            </w:r>
            <w:r>
              <w:rPr>
                <w:rFonts w:hint="eastAsia" w:ascii="宋体" w:hAnsi="宋体" w:cs="宋体"/>
                <w:sz w:val="24"/>
              </w:rPr>
              <w:t>如投标人为</w:t>
            </w:r>
            <w:r>
              <w:rPr>
                <w:rFonts w:ascii="宋体" w:hAnsi="宋体" w:cs="宋体"/>
                <w:sz w:val="24"/>
              </w:rPr>
              <w:t>自然人</w:t>
            </w:r>
            <w:r>
              <w:rPr>
                <w:rFonts w:hint="eastAsia" w:ascii="宋体" w:hAnsi="宋体" w:cs="宋体"/>
                <w:sz w:val="24"/>
              </w:rPr>
              <w:t>的，提供其</w:t>
            </w:r>
            <w:r>
              <w:rPr>
                <w:rFonts w:ascii="宋体" w:hAnsi="宋体" w:cs="宋体"/>
                <w:sz w:val="24"/>
              </w:rPr>
              <w:t>身份证明</w:t>
            </w:r>
            <w:r>
              <w:rPr>
                <w:rFonts w:hint="eastAsia" w:ascii="宋体" w:hAnsi="宋体" w:cs="宋体"/>
                <w:sz w:val="24"/>
              </w:rPr>
              <w:t>。</w:t>
            </w:r>
          </w:p>
        </w:tc>
      </w:tr>
      <w:tr w14:paraId="6B488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vAlign w:val="center"/>
          </w:tcPr>
          <w:p w14:paraId="065BD917">
            <w:pPr>
              <w:spacing w:line="360" w:lineRule="auto"/>
              <w:jc w:val="center"/>
              <w:rPr>
                <w:rFonts w:ascii="宋体" w:hAnsi="宋体"/>
                <w:sz w:val="24"/>
                <w:szCs w:val="24"/>
              </w:rPr>
            </w:pPr>
            <w:r>
              <w:rPr>
                <w:rFonts w:hint="eastAsia" w:ascii="宋体" w:hAnsi="宋体"/>
                <w:sz w:val="24"/>
                <w:szCs w:val="24"/>
              </w:rPr>
              <w:t>2</w:t>
            </w:r>
          </w:p>
        </w:tc>
        <w:tc>
          <w:tcPr>
            <w:tcW w:w="3744" w:type="dxa"/>
            <w:vAlign w:val="center"/>
          </w:tcPr>
          <w:p w14:paraId="7F9A5D02">
            <w:pPr>
              <w:spacing w:line="360" w:lineRule="auto"/>
              <w:jc w:val="left"/>
              <w:rPr>
                <w:rFonts w:ascii="宋体" w:hAnsi="宋体"/>
                <w:sz w:val="24"/>
                <w:szCs w:val="24"/>
              </w:rPr>
            </w:pPr>
            <w:r>
              <w:rPr>
                <w:rFonts w:hint="eastAsia" w:ascii="宋体" w:hAnsi="宋体"/>
                <w:sz w:val="24"/>
                <w:szCs w:val="24"/>
              </w:rPr>
              <w:t>具有良好的商业信誉和健全的财务会计制度</w:t>
            </w:r>
          </w:p>
        </w:tc>
        <w:tc>
          <w:tcPr>
            <w:tcW w:w="5032" w:type="dxa"/>
          </w:tcPr>
          <w:p w14:paraId="6D1CC9BE">
            <w:pPr>
              <w:spacing w:line="360" w:lineRule="auto"/>
              <w:rPr>
                <w:rFonts w:ascii="宋体" w:hAnsi="宋体"/>
                <w:sz w:val="24"/>
                <w:szCs w:val="24"/>
              </w:rPr>
            </w:pPr>
            <w:r>
              <w:rPr>
                <w:rFonts w:hint="eastAsia" w:ascii="宋体" w:hAnsi="宋体" w:cs="宋体"/>
                <w:sz w:val="24"/>
              </w:rPr>
              <w:t>提供2024年度财务状况报告，或2</w:t>
            </w:r>
            <w:r>
              <w:rPr>
                <w:rFonts w:ascii="宋体" w:hAnsi="宋体" w:cs="宋体"/>
                <w:sz w:val="24"/>
              </w:rPr>
              <w:t>02</w:t>
            </w:r>
            <w:r>
              <w:rPr>
                <w:rFonts w:hint="eastAsia" w:ascii="宋体" w:hAnsi="宋体" w:cs="宋体"/>
                <w:sz w:val="24"/>
              </w:rPr>
              <w:t>5年1月以来任意一个月的财务报表，或银行出具的资信证明，或财政部门认可的专业担保机构出具的投标担保函（成立不满一年不需提供）。</w:t>
            </w:r>
          </w:p>
        </w:tc>
      </w:tr>
      <w:tr w14:paraId="54184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vAlign w:val="center"/>
          </w:tcPr>
          <w:p w14:paraId="6761BB36">
            <w:pPr>
              <w:spacing w:line="360" w:lineRule="auto"/>
              <w:jc w:val="center"/>
              <w:rPr>
                <w:rFonts w:ascii="宋体" w:hAnsi="宋体"/>
                <w:sz w:val="24"/>
                <w:szCs w:val="24"/>
              </w:rPr>
            </w:pPr>
            <w:r>
              <w:rPr>
                <w:rFonts w:hint="eastAsia" w:ascii="宋体" w:hAnsi="宋体"/>
                <w:sz w:val="24"/>
                <w:szCs w:val="24"/>
              </w:rPr>
              <w:t>3</w:t>
            </w:r>
          </w:p>
        </w:tc>
        <w:tc>
          <w:tcPr>
            <w:tcW w:w="3744" w:type="dxa"/>
            <w:vAlign w:val="center"/>
          </w:tcPr>
          <w:p w14:paraId="5A5A2056">
            <w:pPr>
              <w:spacing w:line="360" w:lineRule="auto"/>
              <w:jc w:val="left"/>
              <w:rPr>
                <w:rFonts w:ascii="宋体" w:hAnsi="宋体"/>
                <w:sz w:val="24"/>
                <w:szCs w:val="24"/>
              </w:rPr>
            </w:pPr>
            <w:r>
              <w:rPr>
                <w:rFonts w:hint="eastAsia" w:ascii="宋体" w:hAnsi="宋体"/>
                <w:sz w:val="24"/>
                <w:szCs w:val="24"/>
              </w:rPr>
              <w:t>具有履行合同所必需的设备和专业技术能力</w:t>
            </w:r>
          </w:p>
        </w:tc>
        <w:tc>
          <w:tcPr>
            <w:tcW w:w="5032" w:type="dxa"/>
          </w:tcPr>
          <w:p w14:paraId="72FF41E2">
            <w:pPr>
              <w:spacing w:line="360" w:lineRule="auto"/>
              <w:rPr>
                <w:rFonts w:ascii="宋体" w:hAnsi="宋体"/>
                <w:sz w:val="24"/>
                <w:szCs w:val="24"/>
              </w:rPr>
            </w:pPr>
            <w:r>
              <w:rPr>
                <w:rFonts w:hint="eastAsia" w:ascii="宋体" w:hAnsi="宋体" w:cs="宋体"/>
                <w:sz w:val="24"/>
              </w:rPr>
              <w:t>提供</w:t>
            </w:r>
            <w:r>
              <w:rPr>
                <w:rFonts w:ascii="宋体" w:hAnsi="宋体" w:cs="宋体"/>
                <w:sz w:val="24"/>
              </w:rPr>
              <w:t>具备履行合同所必需的设备和专业技术能力的</w:t>
            </w:r>
            <w:r>
              <w:rPr>
                <w:rFonts w:hint="eastAsia" w:ascii="宋体" w:hAnsi="宋体" w:cs="宋体"/>
                <w:sz w:val="24"/>
              </w:rPr>
              <w:t>书面</w:t>
            </w:r>
            <w:r>
              <w:rPr>
                <w:rFonts w:ascii="宋体" w:hAnsi="宋体" w:cs="宋体"/>
                <w:sz w:val="24"/>
              </w:rPr>
              <w:t>声明</w:t>
            </w:r>
            <w:r>
              <w:rPr>
                <w:rFonts w:hint="eastAsia" w:ascii="宋体" w:hAnsi="宋体"/>
                <w:sz w:val="24"/>
                <w:szCs w:val="24"/>
              </w:rPr>
              <w:t>。</w:t>
            </w:r>
          </w:p>
        </w:tc>
      </w:tr>
      <w:tr w14:paraId="31D44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vAlign w:val="center"/>
          </w:tcPr>
          <w:p w14:paraId="32558CD5">
            <w:pPr>
              <w:spacing w:line="360" w:lineRule="auto"/>
              <w:jc w:val="center"/>
              <w:rPr>
                <w:rFonts w:ascii="宋体" w:hAnsi="宋体"/>
                <w:sz w:val="24"/>
                <w:szCs w:val="24"/>
              </w:rPr>
            </w:pPr>
            <w:r>
              <w:rPr>
                <w:rFonts w:hint="eastAsia" w:ascii="宋体" w:hAnsi="宋体"/>
                <w:sz w:val="24"/>
                <w:szCs w:val="24"/>
              </w:rPr>
              <w:t>4</w:t>
            </w:r>
          </w:p>
        </w:tc>
        <w:tc>
          <w:tcPr>
            <w:tcW w:w="3744" w:type="dxa"/>
            <w:vAlign w:val="center"/>
          </w:tcPr>
          <w:p w14:paraId="32BE316D">
            <w:pPr>
              <w:spacing w:line="360" w:lineRule="auto"/>
              <w:jc w:val="left"/>
              <w:rPr>
                <w:rFonts w:ascii="宋体" w:hAnsi="宋体"/>
                <w:sz w:val="24"/>
                <w:szCs w:val="24"/>
              </w:rPr>
            </w:pPr>
            <w:r>
              <w:rPr>
                <w:rFonts w:hint="eastAsia" w:ascii="宋体" w:hAnsi="宋体"/>
                <w:sz w:val="24"/>
                <w:szCs w:val="24"/>
              </w:rPr>
              <w:t>有依法缴纳税收和社会保障资金的良好记录</w:t>
            </w:r>
          </w:p>
        </w:tc>
        <w:tc>
          <w:tcPr>
            <w:tcW w:w="5032" w:type="dxa"/>
          </w:tcPr>
          <w:p w14:paraId="6552A33C">
            <w:pPr>
              <w:spacing w:line="360" w:lineRule="auto"/>
              <w:rPr>
                <w:rFonts w:ascii="宋体" w:hAnsi="宋体"/>
                <w:sz w:val="24"/>
                <w:szCs w:val="24"/>
              </w:rPr>
            </w:pPr>
            <w:r>
              <w:rPr>
                <w:rFonts w:hint="eastAsia" w:ascii="宋体" w:hAnsi="宋体" w:cs="宋体"/>
                <w:sz w:val="24"/>
              </w:rPr>
              <w:t>提供在提交投标文件截止时间</w:t>
            </w:r>
            <w:r>
              <w:rPr>
                <w:rFonts w:hint="eastAsia" w:ascii="宋体" w:hAnsi="宋体" w:cs="Arial"/>
                <w:sz w:val="24"/>
              </w:rPr>
              <w:t>前一年内（至少一个月）</w:t>
            </w:r>
            <w:r>
              <w:rPr>
                <w:rFonts w:ascii="宋体" w:hAnsi="宋体" w:cs="宋体"/>
                <w:sz w:val="24"/>
              </w:rPr>
              <w:t>依法缴纳税收</w:t>
            </w:r>
            <w:r>
              <w:rPr>
                <w:rFonts w:hint="eastAsia" w:ascii="宋体" w:hAnsi="宋体" w:cs="宋体"/>
                <w:sz w:val="24"/>
              </w:rPr>
              <w:t>（如增值税或营业税、企业所得税等）</w:t>
            </w:r>
            <w:r>
              <w:rPr>
                <w:rFonts w:ascii="宋体" w:hAnsi="宋体" w:cs="宋体"/>
                <w:sz w:val="24"/>
              </w:rPr>
              <w:t>和社会保障资金的</w:t>
            </w:r>
            <w:r>
              <w:rPr>
                <w:rFonts w:hint="eastAsia" w:ascii="宋体" w:hAnsi="宋体" w:cs="宋体"/>
                <w:sz w:val="24"/>
              </w:rPr>
              <w:t>有效证明</w:t>
            </w:r>
            <w:r>
              <w:rPr>
                <w:rFonts w:ascii="宋体" w:hAnsi="宋体" w:cs="宋体"/>
                <w:sz w:val="24"/>
              </w:rPr>
              <w:t>材料</w:t>
            </w:r>
            <w:r>
              <w:rPr>
                <w:rFonts w:hint="eastAsia" w:ascii="宋体" w:hAnsi="宋体" w:cs="宋体"/>
                <w:sz w:val="24"/>
              </w:rPr>
              <w:t>（</w:t>
            </w:r>
            <w:r>
              <w:rPr>
                <w:rFonts w:hint="eastAsia" w:ascii="宋体" w:hAnsi="宋体"/>
                <w:sz w:val="24"/>
              </w:rPr>
              <w:t>投标人依法享受缓缴、免缴税收或社会保障资金的，须提供有效证明材料</w:t>
            </w:r>
            <w:r>
              <w:rPr>
                <w:rFonts w:hint="eastAsia" w:ascii="宋体" w:hAnsi="宋体" w:cs="宋体"/>
                <w:sz w:val="24"/>
              </w:rPr>
              <w:t>）。</w:t>
            </w:r>
          </w:p>
        </w:tc>
      </w:tr>
      <w:tr w14:paraId="224CE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vAlign w:val="center"/>
          </w:tcPr>
          <w:p w14:paraId="673E663B">
            <w:pPr>
              <w:spacing w:line="360" w:lineRule="auto"/>
              <w:jc w:val="center"/>
              <w:rPr>
                <w:rFonts w:ascii="宋体" w:hAnsi="宋体"/>
                <w:sz w:val="24"/>
                <w:szCs w:val="24"/>
              </w:rPr>
            </w:pPr>
            <w:r>
              <w:rPr>
                <w:rFonts w:hint="eastAsia" w:ascii="宋体" w:hAnsi="宋体"/>
                <w:sz w:val="24"/>
                <w:szCs w:val="24"/>
              </w:rPr>
              <w:t>5</w:t>
            </w:r>
          </w:p>
        </w:tc>
        <w:tc>
          <w:tcPr>
            <w:tcW w:w="3744" w:type="dxa"/>
            <w:vAlign w:val="center"/>
          </w:tcPr>
          <w:p w14:paraId="11871949">
            <w:pPr>
              <w:spacing w:line="360" w:lineRule="auto"/>
              <w:jc w:val="left"/>
              <w:rPr>
                <w:rFonts w:ascii="宋体" w:hAnsi="宋体"/>
                <w:sz w:val="24"/>
                <w:szCs w:val="24"/>
              </w:rPr>
            </w:pPr>
            <w:r>
              <w:rPr>
                <w:rFonts w:hint="eastAsia" w:ascii="宋体" w:hAnsi="宋体"/>
                <w:sz w:val="24"/>
                <w:szCs w:val="24"/>
              </w:rPr>
              <w:t>参加政府采购活动前三年内，在经营活动中没有重大违法记录</w:t>
            </w:r>
          </w:p>
        </w:tc>
        <w:tc>
          <w:tcPr>
            <w:tcW w:w="5032" w:type="dxa"/>
          </w:tcPr>
          <w:p w14:paraId="22F1D5CF">
            <w:pPr>
              <w:spacing w:line="360" w:lineRule="auto"/>
              <w:rPr>
                <w:rFonts w:ascii="宋体" w:hAnsi="宋体"/>
                <w:sz w:val="24"/>
                <w:szCs w:val="24"/>
              </w:rPr>
            </w:pPr>
            <w:r>
              <w:rPr>
                <w:rFonts w:hint="eastAsia" w:ascii="宋体" w:hAnsi="宋体"/>
                <w:sz w:val="24"/>
                <w:szCs w:val="24"/>
              </w:rPr>
              <w:t>详见投标函（书）格式，或提供资格承诺函。</w:t>
            </w:r>
          </w:p>
        </w:tc>
      </w:tr>
      <w:tr w14:paraId="252BC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vAlign w:val="center"/>
          </w:tcPr>
          <w:p w14:paraId="68804FAD">
            <w:pPr>
              <w:spacing w:line="360" w:lineRule="auto"/>
              <w:jc w:val="center"/>
              <w:rPr>
                <w:rFonts w:ascii="宋体" w:hAnsi="宋体"/>
                <w:sz w:val="24"/>
                <w:szCs w:val="24"/>
              </w:rPr>
            </w:pPr>
            <w:r>
              <w:rPr>
                <w:rFonts w:hint="eastAsia" w:ascii="宋体" w:hAnsi="宋体"/>
                <w:sz w:val="24"/>
                <w:szCs w:val="24"/>
              </w:rPr>
              <w:t>6</w:t>
            </w:r>
          </w:p>
        </w:tc>
        <w:tc>
          <w:tcPr>
            <w:tcW w:w="3744" w:type="dxa"/>
            <w:vAlign w:val="center"/>
          </w:tcPr>
          <w:p w14:paraId="08579F8F">
            <w:pPr>
              <w:spacing w:line="360" w:lineRule="auto"/>
              <w:jc w:val="left"/>
              <w:rPr>
                <w:rFonts w:ascii="宋体" w:hAnsi="宋体"/>
                <w:sz w:val="24"/>
                <w:szCs w:val="24"/>
              </w:rPr>
            </w:pPr>
            <w:r>
              <w:rPr>
                <w:rFonts w:hint="eastAsia" w:ascii="宋体" w:hAnsi="宋体"/>
                <w:sz w:val="24"/>
                <w:szCs w:val="24"/>
              </w:rPr>
              <w:t>信用查询</w:t>
            </w:r>
          </w:p>
        </w:tc>
        <w:tc>
          <w:tcPr>
            <w:tcW w:w="5032" w:type="dxa"/>
          </w:tcPr>
          <w:p w14:paraId="7927F4FE">
            <w:pPr>
              <w:spacing w:line="360" w:lineRule="auto"/>
              <w:rPr>
                <w:rFonts w:ascii="宋体" w:hAnsi="宋体"/>
                <w:sz w:val="24"/>
                <w:szCs w:val="24"/>
              </w:rPr>
            </w:pPr>
            <w:r>
              <w:rPr>
                <w:rFonts w:hint="eastAsia" w:ascii="宋体" w:hAnsi="宋体" w:cs="宋体"/>
                <w:sz w:val="24"/>
              </w:rPr>
              <w:t>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p>
        </w:tc>
      </w:tr>
      <w:tr w14:paraId="7A33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vAlign w:val="center"/>
          </w:tcPr>
          <w:p w14:paraId="7DFFAF27">
            <w:pPr>
              <w:spacing w:line="360" w:lineRule="auto"/>
              <w:jc w:val="center"/>
              <w:rPr>
                <w:rFonts w:ascii="宋体" w:hAnsi="宋体"/>
                <w:sz w:val="24"/>
                <w:szCs w:val="24"/>
              </w:rPr>
            </w:pPr>
            <w:r>
              <w:rPr>
                <w:rFonts w:hint="eastAsia" w:ascii="宋体" w:hAnsi="宋体"/>
                <w:sz w:val="24"/>
                <w:szCs w:val="24"/>
              </w:rPr>
              <w:t>7</w:t>
            </w:r>
          </w:p>
        </w:tc>
        <w:tc>
          <w:tcPr>
            <w:tcW w:w="3744" w:type="dxa"/>
            <w:vAlign w:val="center"/>
          </w:tcPr>
          <w:p w14:paraId="44950B8C">
            <w:pPr>
              <w:spacing w:line="360" w:lineRule="auto"/>
              <w:jc w:val="left"/>
              <w:rPr>
                <w:rFonts w:ascii="宋体" w:hAnsi="宋体"/>
                <w:sz w:val="24"/>
                <w:szCs w:val="24"/>
              </w:rPr>
            </w:pPr>
            <w:r>
              <w:rPr>
                <w:rFonts w:hint="eastAsia" w:ascii="宋体" w:hAnsi="宋体"/>
                <w:sz w:val="24"/>
                <w:szCs w:val="24"/>
              </w:rPr>
              <w:t>法律、法规和招标文件规定的其他资格</w:t>
            </w:r>
          </w:p>
        </w:tc>
        <w:tc>
          <w:tcPr>
            <w:tcW w:w="5032" w:type="dxa"/>
          </w:tcPr>
          <w:p w14:paraId="4B432569">
            <w:pPr>
              <w:spacing w:line="360" w:lineRule="auto"/>
              <w:rPr>
                <w:rFonts w:ascii="宋体" w:hAnsi="宋体"/>
                <w:sz w:val="24"/>
                <w:szCs w:val="24"/>
              </w:rPr>
            </w:pPr>
          </w:p>
        </w:tc>
      </w:tr>
    </w:tbl>
    <w:p w14:paraId="66B7BB29">
      <w:pPr>
        <w:spacing w:line="360" w:lineRule="auto"/>
        <w:outlineLvl w:val="2"/>
        <w:rPr>
          <w:rFonts w:ascii="宋体" w:hAnsi="宋体"/>
          <w:b/>
          <w:sz w:val="30"/>
          <w:szCs w:val="20"/>
        </w:rPr>
      </w:pPr>
      <w:r>
        <w:rPr>
          <w:rFonts w:hint="eastAsia" w:ascii="宋体" w:hAnsi="宋体"/>
          <w:b/>
          <w:sz w:val="28"/>
          <w:szCs w:val="28"/>
        </w:rPr>
        <w:t>23、投标人符合性审查</w:t>
      </w:r>
    </w:p>
    <w:p w14:paraId="4DADAA68">
      <w:pPr>
        <w:spacing w:line="360" w:lineRule="auto"/>
        <w:ind w:left="1" w:firstLine="360"/>
        <w:rPr>
          <w:rFonts w:ascii="宋体" w:hAnsi="宋体"/>
          <w:sz w:val="24"/>
          <w:szCs w:val="24"/>
        </w:rPr>
      </w:pPr>
      <w:r>
        <w:rPr>
          <w:rFonts w:hint="eastAsia" w:ascii="宋体" w:hAnsi="宋体"/>
          <w:sz w:val="24"/>
          <w:szCs w:val="24"/>
        </w:rPr>
        <w:t>23.1评标委员会应当对投标文件进行符合性审查，审查内容主要是投标文件的有效性、完整性和对招标文件的响应程度，以确定是否满足招标文件的实质性要求。</w:t>
      </w:r>
    </w:p>
    <w:tbl>
      <w:tblPr>
        <w:tblStyle w:val="54"/>
        <w:tblW w:w="9629" w:type="dxa"/>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3"/>
        <w:gridCol w:w="3524"/>
        <w:gridCol w:w="5182"/>
      </w:tblGrid>
      <w:tr w14:paraId="78A4F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23" w:type="dxa"/>
            <w:vAlign w:val="center"/>
          </w:tcPr>
          <w:p w14:paraId="55F1A804">
            <w:pPr>
              <w:spacing w:line="360" w:lineRule="auto"/>
              <w:jc w:val="center"/>
              <w:rPr>
                <w:rFonts w:ascii="宋体" w:hAnsi="宋体"/>
                <w:b/>
                <w:sz w:val="24"/>
                <w:szCs w:val="24"/>
              </w:rPr>
            </w:pPr>
            <w:r>
              <w:rPr>
                <w:rFonts w:hint="eastAsia" w:ascii="宋体" w:hAnsi="宋体"/>
                <w:b/>
                <w:sz w:val="24"/>
                <w:szCs w:val="24"/>
              </w:rPr>
              <w:t>序号</w:t>
            </w:r>
          </w:p>
        </w:tc>
        <w:tc>
          <w:tcPr>
            <w:tcW w:w="3524" w:type="dxa"/>
            <w:vAlign w:val="center"/>
          </w:tcPr>
          <w:p w14:paraId="542EB74B">
            <w:pPr>
              <w:spacing w:line="360" w:lineRule="auto"/>
              <w:jc w:val="center"/>
              <w:rPr>
                <w:rFonts w:ascii="宋体" w:hAnsi="宋体"/>
                <w:b/>
                <w:sz w:val="24"/>
                <w:szCs w:val="24"/>
              </w:rPr>
            </w:pPr>
            <w:r>
              <w:rPr>
                <w:rFonts w:hint="eastAsia" w:ascii="宋体" w:hAnsi="宋体"/>
                <w:b/>
                <w:sz w:val="24"/>
                <w:szCs w:val="24"/>
              </w:rPr>
              <w:t>审查要素</w:t>
            </w:r>
          </w:p>
        </w:tc>
        <w:tc>
          <w:tcPr>
            <w:tcW w:w="5182" w:type="dxa"/>
            <w:vAlign w:val="center"/>
          </w:tcPr>
          <w:p w14:paraId="1EFB09E8">
            <w:pPr>
              <w:spacing w:line="360" w:lineRule="auto"/>
              <w:jc w:val="center"/>
              <w:rPr>
                <w:rFonts w:ascii="宋体" w:hAnsi="宋体"/>
                <w:b/>
                <w:sz w:val="24"/>
                <w:szCs w:val="24"/>
              </w:rPr>
            </w:pPr>
            <w:r>
              <w:rPr>
                <w:rFonts w:hint="eastAsia" w:ascii="宋体" w:hAnsi="宋体"/>
                <w:b/>
                <w:sz w:val="24"/>
                <w:szCs w:val="24"/>
              </w:rPr>
              <w:t>审查内容</w:t>
            </w:r>
          </w:p>
        </w:tc>
      </w:tr>
      <w:tr w14:paraId="11153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923" w:type="dxa"/>
            <w:vMerge w:val="restart"/>
            <w:vAlign w:val="center"/>
          </w:tcPr>
          <w:p w14:paraId="1D9C420B">
            <w:pPr>
              <w:spacing w:line="360" w:lineRule="auto"/>
              <w:jc w:val="center"/>
              <w:rPr>
                <w:rFonts w:ascii="宋体" w:hAnsi="宋体"/>
                <w:sz w:val="24"/>
                <w:szCs w:val="24"/>
              </w:rPr>
            </w:pPr>
            <w:r>
              <w:rPr>
                <w:rFonts w:hint="eastAsia" w:ascii="宋体" w:hAnsi="宋体"/>
                <w:sz w:val="24"/>
                <w:szCs w:val="24"/>
              </w:rPr>
              <w:t>1</w:t>
            </w:r>
          </w:p>
        </w:tc>
        <w:tc>
          <w:tcPr>
            <w:tcW w:w="3524" w:type="dxa"/>
            <w:vMerge w:val="restart"/>
            <w:vAlign w:val="center"/>
          </w:tcPr>
          <w:p w14:paraId="7991A7E2">
            <w:pPr>
              <w:spacing w:line="360" w:lineRule="auto"/>
              <w:jc w:val="left"/>
              <w:rPr>
                <w:rFonts w:ascii="宋体" w:hAnsi="宋体"/>
                <w:sz w:val="24"/>
                <w:szCs w:val="24"/>
              </w:rPr>
            </w:pPr>
            <w:r>
              <w:rPr>
                <w:rFonts w:hint="eastAsia" w:ascii="宋体" w:hAnsi="宋体"/>
                <w:sz w:val="24"/>
                <w:szCs w:val="24"/>
              </w:rPr>
              <w:t>投标文件有效性</w:t>
            </w:r>
          </w:p>
        </w:tc>
        <w:tc>
          <w:tcPr>
            <w:tcW w:w="5182" w:type="dxa"/>
            <w:vAlign w:val="center"/>
          </w:tcPr>
          <w:p w14:paraId="5E0CD760">
            <w:pPr>
              <w:spacing w:line="312" w:lineRule="auto"/>
              <w:jc w:val="left"/>
              <w:rPr>
                <w:rFonts w:ascii="宋体" w:hAnsi="宋体"/>
                <w:sz w:val="24"/>
                <w:szCs w:val="24"/>
              </w:rPr>
            </w:pPr>
            <w:r>
              <w:rPr>
                <w:rFonts w:hint="eastAsia" w:ascii="宋体" w:hAnsi="宋体"/>
                <w:sz w:val="24"/>
                <w:szCs w:val="24"/>
              </w:rPr>
              <w:t>投标文件签署、盖章（含法定代表人身份证明书和法人授权委托书）；</w:t>
            </w:r>
          </w:p>
        </w:tc>
      </w:tr>
      <w:tr w14:paraId="65415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2" w:hRule="atLeast"/>
        </w:trPr>
        <w:tc>
          <w:tcPr>
            <w:tcW w:w="923" w:type="dxa"/>
            <w:vMerge w:val="continue"/>
            <w:vAlign w:val="center"/>
          </w:tcPr>
          <w:p w14:paraId="5C47C01E">
            <w:pPr>
              <w:spacing w:line="360" w:lineRule="auto"/>
              <w:jc w:val="center"/>
              <w:rPr>
                <w:rFonts w:ascii="宋体" w:hAnsi="宋体"/>
                <w:sz w:val="24"/>
                <w:szCs w:val="24"/>
              </w:rPr>
            </w:pPr>
          </w:p>
        </w:tc>
        <w:tc>
          <w:tcPr>
            <w:tcW w:w="3524" w:type="dxa"/>
            <w:vMerge w:val="continue"/>
            <w:vAlign w:val="center"/>
          </w:tcPr>
          <w:p w14:paraId="49A5E6DD">
            <w:pPr>
              <w:spacing w:line="360" w:lineRule="auto"/>
              <w:jc w:val="left"/>
              <w:rPr>
                <w:rFonts w:ascii="宋体" w:hAnsi="宋体"/>
                <w:sz w:val="24"/>
                <w:szCs w:val="24"/>
              </w:rPr>
            </w:pPr>
          </w:p>
        </w:tc>
        <w:tc>
          <w:tcPr>
            <w:tcW w:w="5182" w:type="dxa"/>
            <w:vAlign w:val="center"/>
          </w:tcPr>
          <w:p w14:paraId="4CF63686">
            <w:pPr>
              <w:spacing w:line="312" w:lineRule="auto"/>
              <w:jc w:val="left"/>
              <w:rPr>
                <w:rFonts w:ascii="宋体" w:hAnsi="宋体"/>
                <w:sz w:val="24"/>
                <w:szCs w:val="24"/>
              </w:rPr>
            </w:pPr>
            <w:r>
              <w:rPr>
                <w:rFonts w:hint="eastAsia" w:ascii="宋体" w:hAnsi="宋体"/>
                <w:sz w:val="24"/>
                <w:szCs w:val="24"/>
              </w:rPr>
              <w:t>投标报价；</w:t>
            </w:r>
          </w:p>
        </w:tc>
      </w:tr>
      <w:tr w14:paraId="73BC4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923" w:type="dxa"/>
            <w:vMerge w:val="continue"/>
            <w:vAlign w:val="center"/>
          </w:tcPr>
          <w:p w14:paraId="5DB27CD7">
            <w:pPr>
              <w:spacing w:line="360" w:lineRule="auto"/>
              <w:jc w:val="center"/>
              <w:rPr>
                <w:rFonts w:ascii="宋体" w:hAnsi="宋体"/>
                <w:sz w:val="24"/>
                <w:szCs w:val="24"/>
              </w:rPr>
            </w:pPr>
          </w:p>
        </w:tc>
        <w:tc>
          <w:tcPr>
            <w:tcW w:w="3524" w:type="dxa"/>
            <w:vMerge w:val="continue"/>
            <w:vAlign w:val="center"/>
          </w:tcPr>
          <w:p w14:paraId="5B43157D">
            <w:pPr>
              <w:spacing w:line="360" w:lineRule="auto"/>
              <w:jc w:val="left"/>
              <w:rPr>
                <w:rFonts w:ascii="宋体" w:hAnsi="宋体"/>
                <w:sz w:val="24"/>
                <w:szCs w:val="24"/>
              </w:rPr>
            </w:pPr>
          </w:p>
        </w:tc>
        <w:tc>
          <w:tcPr>
            <w:tcW w:w="5182" w:type="dxa"/>
            <w:vAlign w:val="center"/>
          </w:tcPr>
          <w:p w14:paraId="0B37F378">
            <w:pPr>
              <w:spacing w:line="312" w:lineRule="auto"/>
              <w:jc w:val="left"/>
              <w:rPr>
                <w:rFonts w:ascii="宋体" w:hAnsi="宋体"/>
                <w:sz w:val="24"/>
                <w:szCs w:val="24"/>
              </w:rPr>
            </w:pPr>
            <w:r>
              <w:rPr>
                <w:rFonts w:hint="eastAsia" w:ascii="宋体" w:hAnsi="宋体"/>
                <w:sz w:val="24"/>
                <w:szCs w:val="24"/>
              </w:rPr>
              <w:t>须提供投标人授权代表在开标前一年内任意一个月缴纳的社保证明材料；</w:t>
            </w:r>
          </w:p>
        </w:tc>
      </w:tr>
      <w:tr w14:paraId="2F0D7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923" w:type="dxa"/>
            <w:vMerge w:val="continue"/>
            <w:vAlign w:val="center"/>
          </w:tcPr>
          <w:p w14:paraId="6F2204C6">
            <w:pPr>
              <w:spacing w:line="360" w:lineRule="auto"/>
              <w:jc w:val="center"/>
              <w:rPr>
                <w:rFonts w:ascii="宋体" w:hAnsi="宋体"/>
                <w:sz w:val="24"/>
                <w:szCs w:val="24"/>
              </w:rPr>
            </w:pPr>
          </w:p>
        </w:tc>
        <w:tc>
          <w:tcPr>
            <w:tcW w:w="3524" w:type="dxa"/>
            <w:vMerge w:val="continue"/>
            <w:vAlign w:val="center"/>
          </w:tcPr>
          <w:p w14:paraId="02FC2BEA">
            <w:pPr>
              <w:spacing w:line="360" w:lineRule="auto"/>
              <w:jc w:val="left"/>
              <w:rPr>
                <w:rFonts w:ascii="宋体" w:hAnsi="宋体"/>
                <w:sz w:val="24"/>
                <w:szCs w:val="24"/>
              </w:rPr>
            </w:pPr>
          </w:p>
        </w:tc>
        <w:tc>
          <w:tcPr>
            <w:tcW w:w="5182" w:type="dxa"/>
            <w:vAlign w:val="center"/>
          </w:tcPr>
          <w:p w14:paraId="391F70B0">
            <w:pPr>
              <w:spacing w:line="312" w:lineRule="auto"/>
              <w:jc w:val="left"/>
              <w:rPr>
                <w:rFonts w:ascii="宋体" w:hAnsi="宋体"/>
                <w:sz w:val="24"/>
                <w:szCs w:val="24"/>
              </w:rPr>
            </w:pPr>
            <w:r>
              <w:rPr>
                <w:rFonts w:hint="eastAsia" w:ascii="宋体" w:hAnsi="宋体"/>
                <w:sz w:val="24"/>
                <w:szCs w:val="24"/>
              </w:rPr>
              <w:t>无效投标情形的判定和处理；</w:t>
            </w:r>
          </w:p>
        </w:tc>
      </w:tr>
      <w:tr w14:paraId="6023C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923" w:type="dxa"/>
            <w:vMerge w:val="continue"/>
            <w:vAlign w:val="center"/>
          </w:tcPr>
          <w:p w14:paraId="1333F861">
            <w:pPr>
              <w:spacing w:line="360" w:lineRule="auto"/>
              <w:jc w:val="center"/>
              <w:rPr>
                <w:rFonts w:ascii="宋体" w:hAnsi="宋体"/>
                <w:sz w:val="24"/>
                <w:szCs w:val="24"/>
              </w:rPr>
            </w:pPr>
          </w:p>
        </w:tc>
        <w:tc>
          <w:tcPr>
            <w:tcW w:w="3524" w:type="dxa"/>
            <w:vMerge w:val="continue"/>
            <w:vAlign w:val="center"/>
          </w:tcPr>
          <w:p w14:paraId="349FD77F">
            <w:pPr>
              <w:spacing w:line="360" w:lineRule="auto"/>
              <w:jc w:val="left"/>
              <w:rPr>
                <w:rFonts w:ascii="宋体" w:hAnsi="宋体"/>
                <w:sz w:val="24"/>
                <w:szCs w:val="24"/>
              </w:rPr>
            </w:pPr>
          </w:p>
        </w:tc>
        <w:tc>
          <w:tcPr>
            <w:tcW w:w="5182" w:type="dxa"/>
            <w:vAlign w:val="center"/>
          </w:tcPr>
          <w:p w14:paraId="13EC08F3">
            <w:pPr>
              <w:spacing w:line="312" w:lineRule="auto"/>
              <w:jc w:val="left"/>
              <w:rPr>
                <w:rFonts w:ascii="宋体" w:hAnsi="宋体"/>
                <w:sz w:val="24"/>
                <w:szCs w:val="24"/>
              </w:rPr>
            </w:pPr>
            <w:r>
              <w:rPr>
                <w:rFonts w:hint="eastAsia" w:ascii="宋体" w:hAnsi="宋体"/>
                <w:sz w:val="24"/>
                <w:szCs w:val="24"/>
              </w:rPr>
              <w:t>法律、法规和招标文件规定的其他资格证明材料；</w:t>
            </w:r>
          </w:p>
        </w:tc>
      </w:tr>
      <w:tr w14:paraId="4D38D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23" w:type="dxa"/>
            <w:vAlign w:val="center"/>
          </w:tcPr>
          <w:p w14:paraId="7E78A0C1">
            <w:pPr>
              <w:spacing w:line="360" w:lineRule="auto"/>
              <w:jc w:val="center"/>
              <w:rPr>
                <w:rFonts w:ascii="宋体" w:hAnsi="宋体"/>
                <w:sz w:val="24"/>
                <w:szCs w:val="24"/>
              </w:rPr>
            </w:pPr>
            <w:r>
              <w:rPr>
                <w:rFonts w:hint="eastAsia" w:ascii="宋体" w:hAnsi="宋体"/>
                <w:sz w:val="24"/>
                <w:szCs w:val="24"/>
              </w:rPr>
              <w:t>2</w:t>
            </w:r>
          </w:p>
        </w:tc>
        <w:tc>
          <w:tcPr>
            <w:tcW w:w="3524" w:type="dxa"/>
            <w:vAlign w:val="center"/>
          </w:tcPr>
          <w:p w14:paraId="78A22DD7">
            <w:pPr>
              <w:spacing w:line="360" w:lineRule="auto"/>
              <w:jc w:val="left"/>
              <w:rPr>
                <w:rFonts w:ascii="宋体" w:hAnsi="宋体"/>
                <w:sz w:val="24"/>
                <w:szCs w:val="24"/>
              </w:rPr>
            </w:pPr>
            <w:r>
              <w:rPr>
                <w:rFonts w:hint="eastAsia" w:ascii="宋体" w:hAnsi="宋体"/>
                <w:sz w:val="24"/>
                <w:szCs w:val="24"/>
              </w:rPr>
              <w:t>投标文件完整性</w:t>
            </w:r>
          </w:p>
        </w:tc>
        <w:tc>
          <w:tcPr>
            <w:tcW w:w="5182" w:type="dxa"/>
            <w:vAlign w:val="center"/>
          </w:tcPr>
          <w:p w14:paraId="467CECCA">
            <w:pPr>
              <w:spacing w:line="312" w:lineRule="auto"/>
              <w:jc w:val="left"/>
              <w:rPr>
                <w:rFonts w:ascii="宋体" w:hAnsi="宋体"/>
                <w:sz w:val="24"/>
                <w:szCs w:val="24"/>
              </w:rPr>
            </w:pPr>
            <w:r>
              <w:rPr>
                <w:rFonts w:hint="eastAsia" w:ascii="宋体" w:hAnsi="宋体"/>
                <w:sz w:val="24"/>
                <w:szCs w:val="24"/>
              </w:rPr>
              <w:t>投标文件内容完整性、齐全性；</w:t>
            </w:r>
          </w:p>
        </w:tc>
      </w:tr>
      <w:tr w14:paraId="1CD4F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23" w:type="dxa"/>
            <w:vAlign w:val="center"/>
          </w:tcPr>
          <w:p w14:paraId="642FDCE4">
            <w:pPr>
              <w:spacing w:line="360" w:lineRule="auto"/>
              <w:jc w:val="center"/>
              <w:rPr>
                <w:rFonts w:ascii="宋体" w:hAnsi="宋体"/>
                <w:sz w:val="24"/>
                <w:szCs w:val="24"/>
              </w:rPr>
            </w:pPr>
            <w:r>
              <w:rPr>
                <w:rFonts w:hint="eastAsia" w:ascii="宋体" w:hAnsi="宋体"/>
                <w:sz w:val="24"/>
                <w:szCs w:val="24"/>
              </w:rPr>
              <w:t>3</w:t>
            </w:r>
          </w:p>
        </w:tc>
        <w:tc>
          <w:tcPr>
            <w:tcW w:w="3524" w:type="dxa"/>
            <w:vAlign w:val="center"/>
          </w:tcPr>
          <w:p w14:paraId="7A20DBF7">
            <w:pPr>
              <w:spacing w:line="360" w:lineRule="auto"/>
              <w:jc w:val="left"/>
              <w:rPr>
                <w:rFonts w:ascii="宋体" w:hAnsi="宋体"/>
                <w:sz w:val="24"/>
                <w:szCs w:val="24"/>
              </w:rPr>
            </w:pPr>
            <w:r>
              <w:rPr>
                <w:rFonts w:hint="eastAsia" w:ascii="宋体" w:hAnsi="宋体"/>
                <w:sz w:val="24"/>
                <w:szCs w:val="24"/>
              </w:rPr>
              <w:t>对招标文件响应程度</w:t>
            </w:r>
          </w:p>
        </w:tc>
        <w:tc>
          <w:tcPr>
            <w:tcW w:w="5182" w:type="dxa"/>
            <w:vAlign w:val="center"/>
          </w:tcPr>
          <w:p w14:paraId="16D1AA2C">
            <w:pPr>
              <w:spacing w:line="312" w:lineRule="auto"/>
              <w:jc w:val="left"/>
              <w:rPr>
                <w:rFonts w:ascii="宋体" w:hAnsi="宋体"/>
                <w:sz w:val="24"/>
                <w:szCs w:val="24"/>
              </w:rPr>
            </w:pPr>
            <w:r>
              <w:rPr>
                <w:rFonts w:hint="eastAsia" w:ascii="宋体" w:hAnsi="宋体"/>
                <w:sz w:val="24"/>
                <w:szCs w:val="24"/>
              </w:rPr>
              <w:t>审查投标文件与招标文件要求的主要条款、条件和技术规格是否相符，是否存在重大偏离或保留；</w:t>
            </w:r>
          </w:p>
        </w:tc>
      </w:tr>
    </w:tbl>
    <w:p w14:paraId="2846C992">
      <w:pPr>
        <w:spacing w:line="360" w:lineRule="auto"/>
        <w:ind w:left="1" w:firstLine="478"/>
        <w:rPr>
          <w:rFonts w:ascii="宋体" w:hAnsi="宋体"/>
          <w:sz w:val="24"/>
          <w:szCs w:val="24"/>
          <w:u w:val="single"/>
        </w:rPr>
      </w:pPr>
      <w:r>
        <w:rPr>
          <w:rFonts w:hint="eastAsia" w:ascii="宋体" w:hAnsi="宋体"/>
          <w:sz w:val="24"/>
          <w:szCs w:val="24"/>
        </w:rPr>
        <w:t>审查投标文件与招标文件要求的主要条款、条件和技术规格是否相符，是否存在重大偏离或保留。所谓重大偏离或保留系指影响到招标文件规定的供货（或服务）范围、质量和性能的，或者在实质上与招标文件不一致，有限制采购方权利和投标方义务的规定，而纠正这些偏离或保留将会对其他实质上响应招标文件的投标方的竞争地位产生不公正的影响（重大偏离或保留的认定须经评标委员会半数以上同意）。评标委员会决定投标文件的响应性只根据投标文件本身的内容，而不寻求外部的证据。</w:t>
      </w:r>
    </w:p>
    <w:p w14:paraId="52E13BD3">
      <w:pPr>
        <w:spacing w:line="360" w:lineRule="auto"/>
        <w:outlineLvl w:val="2"/>
        <w:rPr>
          <w:rFonts w:ascii="宋体" w:hAnsi="宋体"/>
          <w:b/>
          <w:sz w:val="28"/>
          <w:szCs w:val="28"/>
        </w:rPr>
      </w:pPr>
      <w:r>
        <w:rPr>
          <w:rFonts w:hint="eastAsia" w:ascii="宋体" w:hAnsi="宋体"/>
          <w:b/>
          <w:sz w:val="28"/>
          <w:szCs w:val="28"/>
        </w:rPr>
        <w:t>24、无效投标的情形</w:t>
      </w:r>
    </w:p>
    <w:p w14:paraId="7FA9449F">
      <w:pPr>
        <w:spacing w:line="360" w:lineRule="auto"/>
        <w:ind w:left="1" w:firstLine="478"/>
        <w:rPr>
          <w:rFonts w:ascii="宋体" w:hAnsi="宋体"/>
          <w:sz w:val="24"/>
          <w:szCs w:val="24"/>
        </w:rPr>
      </w:pPr>
      <w:r>
        <w:rPr>
          <w:rFonts w:hint="eastAsia" w:ascii="宋体" w:hAnsi="宋体"/>
          <w:sz w:val="24"/>
          <w:szCs w:val="24"/>
        </w:rPr>
        <w:t>投标人存在下列情况之一的，其投标无效：　</w:t>
      </w:r>
    </w:p>
    <w:p w14:paraId="4341AF24">
      <w:pPr>
        <w:spacing w:line="360" w:lineRule="auto"/>
        <w:ind w:firstLine="482"/>
        <w:rPr>
          <w:rFonts w:ascii="宋体" w:hAnsi="宋体"/>
          <w:b/>
          <w:sz w:val="24"/>
          <w:szCs w:val="24"/>
          <w:u w:val="single"/>
        </w:rPr>
      </w:pPr>
      <w:r>
        <w:rPr>
          <w:rFonts w:hint="eastAsia" w:ascii="宋体" w:hAnsi="宋体"/>
          <w:b/>
          <w:sz w:val="24"/>
          <w:szCs w:val="24"/>
          <w:u w:val="single"/>
        </w:rPr>
        <w:t>（1）未按规定由投标人的法定代表人签字或投标人CA电子公章；或其委托代理人未按规定签字的；或未加盖投标人CA电子公章的；或签字人未经法定代表人有效授权委托的；</w:t>
      </w:r>
    </w:p>
    <w:p w14:paraId="203773B7">
      <w:pPr>
        <w:spacing w:line="360" w:lineRule="auto"/>
        <w:ind w:firstLine="482"/>
        <w:rPr>
          <w:rFonts w:ascii="宋体" w:hAnsi="宋体"/>
          <w:b/>
          <w:sz w:val="24"/>
          <w:szCs w:val="24"/>
          <w:u w:val="single"/>
        </w:rPr>
      </w:pPr>
      <w:r>
        <w:rPr>
          <w:rFonts w:hint="eastAsia" w:ascii="宋体" w:hAnsi="宋体"/>
          <w:b/>
          <w:sz w:val="24"/>
          <w:szCs w:val="24"/>
          <w:u w:val="single"/>
        </w:rPr>
        <w:t>（2）如有委托代理人的，未提供委托代理人证明材料的；</w:t>
      </w:r>
    </w:p>
    <w:p w14:paraId="471F81BF">
      <w:pPr>
        <w:spacing w:line="360" w:lineRule="auto"/>
        <w:ind w:firstLine="482"/>
        <w:rPr>
          <w:rFonts w:ascii="宋体" w:hAnsi="宋体"/>
          <w:b/>
          <w:sz w:val="24"/>
          <w:szCs w:val="24"/>
          <w:u w:val="single"/>
        </w:rPr>
      </w:pPr>
      <w:r>
        <w:rPr>
          <w:rFonts w:hint="eastAsia" w:ascii="宋体" w:hAnsi="宋体"/>
          <w:b/>
          <w:sz w:val="24"/>
          <w:szCs w:val="24"/>
          <w:u w:val="single"/>
        </w:rPr>
        <w:t>（3）单位负责人为同一人或者存在直接控股、管理关系的不同供应商参加同一合同项下的政府采购活动的；</w:t>
      </w:r>
    </w:p>
    <w:p w14:paraId="3EA9A53B">
      <w:pPr>
        <w:spacing w:line="360" w:lineRule="auto"/>
        <w:ind w:left="1" w:firstLine="479"/>
        <w:rPr>
          <w:rFonts w:ascii="宋体" w:hAnsi="宋体"/>
          <w:b/>
          <w:sz w:val="24"/>
          <w:szCs w:val="24"/>
          <w:u w:val="single"/>
        </w:rPr>
      </w:pPr>
      <w:r>
        <w:rPr>
          <w:rFonts w:hint="eastAsia" w:ascii="宋体" w:hAnsi="宋体"/>
          <w:b/>
          <w:sz w:val="24"/>
          <w:szCs w:val="24"/>
          <w:u w:val="single"/>
        </w:rPr>
        <w:t>（4）不具备招标文件中规定的资格要求的；</w:t>
      </w:r>
    </w:p>
    <w:p w14:paraId="670ADDBD">
      <w:pPr>
        <w:spacing w:line="360" w:lineRule="auto"/>
        <w:ind w:left="1" w:firstLine="479"/>
        <w:rPr>
          <w:rFonts w:ascii="宋体" w:hAnsi="宋体"/>
          <w:b/>
          <w:sz w:val="24"/>
          <w:szCs w:val="24"/>
          <w:u w:val="single"/>
        </w:rPr>
      </w:pPr>
      <w:r>
        <w:rPr>
          <w:rFonts w:hint="eastAsia" w:ascii="宋体" w:hAnsi="宋体"/>
          <w:b/>
          <w:sz w:val="24"/>
          <w:szCs w:val="24"/>
          <w:u w:val="single"/>
        </w:rPr>
        <w:t>（5）“信用中国”网站（www.creditchina.gov.cn）、中国政府采购网（www.ccgp.gov.cn）查询结果为失信被执行人名单、重大税收违法案件当事人名单、政府采购严重违法失信行为名单；</w:t>
      </w:r>
    </w:p>
    <w:p w14:paraId="6E32F937">
      <w:pPr>
        <w:spacing w:line="360" w:lineRule="auto"/>
        <w:ind w:left="1" w:firstLine="479"/>
        <w:rPr>
          <w:rFonts w:ascii="宋体" w:hAnsi="宋体"/>
          <w:b/>
          <w:sz w:val="24"/>
          <w:szCs w:val="24"/>
          <w:u w:val="single"/>
        </w:rPr>
      </w:pPr>
      <w:r>
        <w:rPr>
          <w:rFonts w:hint="eastAsia" w:ascii="宋体" w:hAnsi="宋体"/>
          <w:b/>
          <w:sz w:val="24"/>
          <w:szCs w:val="24"/>
          <w:u w:val="single"/>
        </w:rPr>
        <w:t>（6）技术参数负偏离程度过大或过多，经评委会认定影响采购人实际使用的；</w:t>
      </w:r>
    </w:p>
    <w:p w14:paraId="02436B65">
      <w:pPr>
        <w:spacing w:line="360" w:lineRule="auto"/>
        <w:ind w:left="1" w:firstLine="479"/>
        <w:rPr>
          <w:rFonts w:ascii="宋体" w:hAnsi="宋体"/>
          <w:b/>
          <w:sz w:val="24"/>
          <w:szCs w:val="24"/>
          <w:u w:val="single"/>
        </w:rPr>
      </w:pPr>
      <w:r>
        <w:rPr>
          <w:rFonts w:hint="eastAsia" w:ascii="宋体" w:hAnsi="宋体"/>
          <w:b/>
          <w:sz w:val="24"/>
          <w:szCs w:val="24"/>
          <w:u w:val="single"/>
        </w:rPr>
        <w:t>（7）报价超过招标文件中规定的预算金额的；</w:t>
      </w:r>
    </w:p>
    <w:p w14:paraId="31647CD9">
      <w:pPr>
        <w:spacing w:line="360" w:lineRule="auto"/>
        <w:ind w:firstLine="472"/>
        <w:rPr>
          <w:rFonts w:ascii="宋体" w:hAnsi="宋体"/>
          <w:b/>
          <w:sz w:val="24"/>
          <w:szCs w:val="24"/>
          <w:u w:val="single"/>
        </w:rPr>
      </w:pPr>
      <w:r>
        <w:rPr>
          <w:rFonts w:hint="eastAsia" w:ascii="宋体" w:hAnsi="宋体"/>
          <w:b/>
          <w:sz w:val="24"/>
          <w:szCs w:val="24"/>
          <w:u w:val="single"/>
        </w:rPr>
        <w:t>（8）评标委员会认为投标人的报价明显低于其他通过符合性审查投标人的报价，有可能影响产品质量或者不能诚信履约的，要求投标人在评标现场合理的时间内提供书面说明，必要时提交相关证明材料，投标人不能证明其报价合理性的。</w:t>
      </w:r>
    </w:p>
    <w:p w14:paraId="19FCC19B">
      <w:pPr>
        <w:spacing w:line="360" w:lineRule="auto"/>
        <w:ind w:left="1" w:firstLine="482"/>
        <w:rPr>
          <w:rFonts w:ascii="宋体" w:hAnsi="宋体"/>
          <w:b/>
          <w:sz w:val="24"/>
          <w:szCs w:val="24"/>
          <w:u w:val="single"/>
        </w:rPr>
      </w:pPr>
      <w:r>
        <w:rPr>
          <w:rFonts w:hint="eastAsia" w:ascii="宋体" w:hAnsi="宋体"/>
          <w:b/>
          <w:sz w:val="24"/>
          <w:szCs w:val="24"/>
          <w:u w:val="single"/>
        </w:rPr>
        <w:t>（9）投标人提交的是可选择报价的；</w:t>
      </w:r>
    </w:p>
    <w:p w14:paraId="265FC085">
      <w:pPr>
        <w:spacing w:line="360" w:lineRule="auto"/>
        <w:ind w:left="1" w:firstLine="600"/>
        <w:rPr>
          <w:rFonts w:ascii="宋体" w:hAnsi="宋体"/>
          <w:b/>
          <w:sz w:val="24"/>
          <w:szCs w:val="24"/>
          <w:u w:val="single"/>
        </w:rPr>
      </w:pPr>
      <w:r>
        <w:rPr>
          <w:rFonts w:hint="eastAsia" w:ascii="宋体" w:hAnsi="宋体"/>
          <w:b/>
          <w:sz w:val="24"/>
          <w:szCs w:val="24"/>
          <w:u w:val="single"/>
        </w:rPr>
        <w:t>(10) 投标文件中提供了虚假或失实资料的；</w:t>
      </w:r>
    </w:p>
    <w:p w14:paraId="46BCE6E8">
      <w:pPr>
        <w:spacing w:line="360" w:lineRule="auto"/>
        <w:ind w:firstLine="472"/>
        <w:rPr>
          <w:rFonts w:ascii="宋体" w:hAnsi="宋体"/>
          <w:b/>
          <w:sz w:val="24"/>
          <w:szCs w:val="24"/>
          <w:u w:val="single"/>
        </w:rPr>
      </w:pPr>
      <w:r>
        <w:rPr>
          <w:rFonts w:hint="eastAsia" w:ascii="宋体" w:hAnsi="宋体"/>
          <w:b/>
          <w:sz w:val="24"/>
          <w:szCs w:val="24"/>
          <w:u w:val="single"/>
        </w:rPr>
        <w:t>（11）不同投标人的投标文件出现了评委会认为不应当雷同的；</w:t>
      </w:r>
    </w:p>
    <w:p w14:paraId="1621AF09">
      <w:pPr>
        <w:spacing w:line="360" w:lineRule="auto"/>
        <w:ind w:left="1" w:firstLine="472"/>
        <w:rPr>
          <w:rFonts w:ascii="宋体" w:hAnsi="宋体"/>
          <w:b/>
          <w:sz w:val="24"/>
          <w:szCs w:val="24"/>
          <w:u w:val="single"/>
        </w:rPr>
      </w:pPr>
      <w:r>
        <w:rPr>
          <w:rFonts w:hint="eastAsia" w:ascii="宋体" w:hAnsi="宋体"/>
          <w:b/>
          <w:sz w:val="24"/>
          <w:szCs w:val="24"/>
          <w:u w:val="single"/>
        </w:rPr>
        <w:t>（12）投标文件含有采购人不能接受的附加条件的;</w:t>
      </w:r>
    </w:p>
    <w:p w14:paraId="3B27111A">
      <w:pPr>
        <w:spacing w:line="360" w:lineRule="auto"/>
        <w:ind w:left="1" w:firstLine="479"/>
        <w:rPr>
          <w:rFonts w:ascii="宋体" w:hAnsi="宋体"/>
          <w:b/>
          <w:sz w:val="24"/>
          <w:szCs w:val="24"/>
          <w:u w:val="single"/>
        </w:rPr>
      </w:pPr>
      <w:r>
        <w:rPr>
          <w:rFonts w:hint="eastAsia" w:ascii="宋体" w:hAnsi="宋体"/>
          <w:b/>
          <w:sz w:val="24"/>
          <w:szCs w:val="24"/>
          <w:u w:val="single"/>
        </w:rPr>
        <w:t>（13）投标人存在串通投标情形的；</w:t>
      </w:r>
    </w:p>
    <w:p w14:paraId="4BDC1AD9">
      <w:pPr>
        <w:spacing w:line="360" w:lineRule="auto"/>
        <w:ind w:left="1" w:firstLine="479"/>
        <w:rPr>
          <w:rFonts w:ascii="宋体" w:hAnsi="宋体"/>
          <w:b/>
          <w:sz w:val="24"/>
          <w:szCs w:val="24"/>
          <w:u w:val="single"/>
        </w:rPr>
      </w:pPr>
      <w:r>
        <w:rPr>
          <w:rFonts w:hint="eastAsia" w:ascii="宋体" w:hAnsi="宋体"/>
          <w:b/>
          <w:sz w:val="24"/>
          <w:szCs w:val="24"/>
          <w:u w:val="single"/>
        </w:rPr>
        <w:t>（14）不符合法律、法规和招标文件规定的其它实质性条款（须经评标委员会半数以上同意）。</w:t>
      </w:r>
    </w:p>
    <w:p w14:paraId="0740D109">
      <w:pPr>
        <w:spacing w:line="360" w:lineRule="auto"/>
        <w:outlineLvl w:val="2"/>
        <w:rPr>
          <w:rFonts w:ascii="宋体" w:hAnsi="宋体"/>
          <w:b/>
          <w:sz w:val="28"/>
          <w:szCs w:val="28"/>
        </w:rPr>
      </w:pPr>
      <w:r>
        <w:rPr>
          <w:rFonts w:hint="eastAsia" w:ascii="宋体" w:hAnsi="宋体"/>
          <w:b/>
          <w:sz w:val="28"/>
          <w:szCs w:val="28"/>
        </w:rPr>
        <w:t>25、废标的情形</w:t>
      </w:r>
    </w:p>
    <w:p w14:paraId="006E2ABC">
      <w:pPr>
        <w:spacing w:line="360" w:lineRule="auto"/>
        <w:ind w:left="1" w:firstLine="360"/>
        <w:rPr>
          <w:rFonts w:ascii="宋体" w:hAnsi="宋体"/>
          <w:sz w:val="24"/>
          <w:szCs w:val="24"/>
        </w:rPr>
      </w:pPr>
      <w:r>
        <w:rPr>
          <w:rFonts w:hint="eastAsia" w:ascii="宋体" w:hAnsi="宋体"/>
          <w:sz w:val="24"/>
          <w:szCs w:val="24"/>
        </w:rPr>
        <w:t>（一）符合专业条件的供应商或者对招标文件作实质响应的供应商不足三家的；</w:t>
      </w:r>
    </w:p>
    <w:p w14:paraId="73CD0509">
      <w:pPr>
        <w:spacing w:line="360" w:lineRule="auto"/>
        <w:ind w:left="1" w:firstLine="360"/>
        <w:rPr>
          <w:rFonts w:ascii="宋体" w:hAnsi="宋体"/>
          <w:sz w:val="24"/>
          <w:szCs w:val="24"/>
        </w:rPr>
      </w:pPr>
      <w:r>
        <w:rPr>
          <w:rFonts w:hint="eastAsia" w:ascii="宋体" w:hAnsi="宋体"/>
          <w:sz w:val="24"/>
          <w:szCs w:val="24"/>
        </w:rPr>
        <w:t>（二）出现影响采购公正的违法、违规行为的；</w:t>
      </w:r>
    </w:p>
    <w:p w14:paraId="5DC5396C">
      <w:pPr>
        <w:spacing w:line="360" w:lineRule="auto"/>
        <w:ind w:left="1" w:firstLine="360"/>
        <w:rPr>
          <w:rFonts w:ascii="宋体" w:hAnsi="宋体"/>
          <w:sz w:val="24"/>
          <w:szCs w:val="24"/>
        </w:rPr>
      </w:pPr>
      <w:r>
        <w:rPr>
          <w:rFonts w:hint="eastAsia" w:ascii="宋体" w:hAnsi="宋体"/>
          <w:sz w:val="24"/>
          <w:szCs w:val="24"/>
        </w:rPr>
        <w:t>（三）投标人的报价均超过了采购预算，采购人不能支付的；</w:t>
      </w:r>
    </w:p>
    <w:p w14:paraId="7EF995DD">
      <w:pPr>
        <w:spacing w:line="360" w:lineRule="auto"/>
        <w:ind w:left="1" w:firstLine="360"/>
        <w:rPr>
          <w:rFonts w:ascii="宋体" w:hAnsi="宋体"/>
          <w:sz w:val="24"/>
          <w:szCs w:val="24"/>
        </w:rPr>
      </w:pPr>
      <w:r>
        <w:rPr>
          <w:rFonts w:hint="eastAsia" w:ascii="宋体" w:hAnsi="宋体"/>
          <w:sz w:val="24"/>
          <w:szCs w:val="24"/>
        </w:rPr>
        <w:t xml:space="preserve">（四）因重大变故，采购任务取消的。 </w:t>
      </w:r>
    </w:p>
    <w:p w14:paraId="3961D08C">
      <w:pPr>
        <w:spacing w:line="360" w:lineRule="auto"/>
        <w:ind w:left="1" w:firstLine="360"/>
        <w:rPr>
          <w:rFonts w:ascii="宋体" w:hAnsi="宋体"/>
          <w:sz w:val="24"/>
          <w:szCs w:val="24"/>
        </w:rPr>
      </w:pPr>
      <w:r>
        <w:rPr>
          <w:rFonts w:hint="eastAsia" w:ascii="宋体" w:hAnsi="宋体"/>
          <w:sz w:val="24"/>
          <w:szCs w:val="24"/>
        </w:rPr>
        <w:t>废标后，采购人应当将废标理由通知所有投标人。</w:t>
      </w:r>
    </w:p>
    <w:p w14:paraId="0EB7DCD9">
      <w:pPr>
        <w:spacing w:line="360" w:lineRule="auto"/>
        <w:outlineLvl w:val="2"/>
        <w:rPr>
          <w:rFonts w:ascii="宋体" w:hAnsi="宋体"/>
          <w:b/>
          <w:sz w:val="28"/>
          <w:szCs w:val="28"/>
        </w:rPr>
      </w:pPr>
      <w:r>
        <w:rPr>
          <w:rFonts w:hint="eastAsia" w:ascii="宋体" w:hAnsi="宋体"/>
          <w:b/>
          <w:sz w:val="28"/>
          <w:szCs w:val="28"/>
        </w:rPr>
        <w:t>26、供应商不足三家的处理</w:t>
      </w:r>
    </w:p>
    <w:p w14:paraId="5A29EB2D">
      <w:pPr>
        <w:spacing w:line="360" w:lineRule="auto"/>
        <w:ind w:left="1" w:firstLine="360"/>
        <w:rPr>
          <w:rFonts w:ascii="宋体" w:hAnsi="宋体"/>
          <w:sz w:val="24"/>
          <w:szCs w:val="24"/>
        </w:rPr>
      </w:pPr>
      <w:r>
        <w:rPr>
          <w:rFonts w:hint="eastAsia" w:ascii="宋体" w:hAnsi="宋体"/>
          <w:sz w:val="24"/>
          <w:szCs w:val="24"/>
        </w:rPr>
        <w:t>27.1如出现投标截止时间结束后参加投标的供应商或者在评标期间对招标文件做出实质响应的供应商不足三家情况，按政府采购相关规定执行。</w:t>
      </w:r>
    </w:p>
    <w:p w14:paraId="6DBD5F61">
      <w:pPr>
        <w:spacing w:line="360" w:lineRule="auto"/>
        <w:outlineLvl w:val="2"/>
        <w:rPr>
          <w:rFonts w:ascii="宋体" w:hAnsi="宋体"/>
          <w:b/>
          <w:sz w:val="28"/>
          <w:szCs w:val="28"/>
        </w:rPr>
      </w:pPr>
      <w:r>
        <w:rPr>
          <w:rFonts w:hint="eastAsia" w:ascii="宋体" w:hAnsi="宋体"/>
          <w:b/>
          <w:sz w:val="28"/>
          <w:szCs w:val="28"/>
        </w:rPr>
        <w:t>27、串通投标的情形</w:t>
      </w:r>
    </w:p>
    <w:p w14:paraId="478D78C7">
      <w:pPr>
        <w:spacing w:line="360" w:lineRule="auto"/>
        <w:ind w:firstLine="480"/>
        <w:rPr>
          <w:rFonts w:ascii="宋体" w:hAnsi="宋体"/>
          <w:sz w:val="24"/>
          <w:szCs w:val="24"/>
        </w:rPr>
      </w:pPr>
      <w:r>
        <w:rPr>
          <w:rFonts w:hint="eastAsia" w:ascii="宋体" w:hAnsi="宋体"/>
          <w:sz w:val="24"/>
          <w:szCs w:val="24"/>
        </w:rPr>
        <w:t>有下列情形之一的，视为投标人串通投标，投标无效：</w:t>
      </w:r>
    </w:p>
    <w:p w14:paraId="22D02690">
      <w:pPr>
        <w:spacing w:line="360" w:lineRule="auto"/>
        <w:ind w:firstLine="600"/>
        <w:rPr>
          <w:rFonts w:ascii="宋体" w:hAnsi="宋体"/>
          <w:sz w:val="24"/>
          <w:szCs w:val="24"/>
        </w:rPr>
      </w:pPr>
      <w:r>
        <w:rPr>
          <w:rFonts w:hint="eastAsia" w:ascii="宋体" w:hAnsi="宋体"/>
          <w:sz w:val="24"/>
          <w:szCs w:val="24"/>
        </w:rPr>
        <w:t>（1）不同投标人的投标文件由同一单位或者个人编制；</w:t>
      </w:r>
    </w:p>
    <w:p w14:paraId="6060061E">
      <w:pPr>
        <w:spacing w:line="360" w:lineRule="auto"/>
        <w:ind w:firstLine="600"/>
        <w:rPr>
          <w:rFonts w:ascii="宋体" w:hAnsi="宋体"/>
          <w:sz w:val="24"/>
          <w:szCs w:val="24"/>
        </w:rPr>
      </w:pPr>
      <w:r>
        <w:rPr>
          <w:rFonts w:hint="eastAsia" w:ascii="宋体" w:hAnsi="宋体"/>
          <w:sz w:val="24"/>
          <w:szCs w:val="24"/>
        </w:rPr>
        <w:t>（2）不同投标人委托同一单位或者个人办理投标事宜；</w:t>
      </w:r>
    </w:p>
    <w:p w14:paraId="1347B49E">
      <w:pPr>
        <w:spacing w:line="360" w:lineRule="auto"/>
        <w:ind w:firstLine="600"/>
        <w:rPr>
          <w:rFonts w:ascii="宋体" w:hAnsi="宋体"/>
          <w:sz w:val="24"/>
          <w:szCs w:val="24"/>
        </w:rPr>
      </w:pPr>
      <w:r>
        <w:rPr>
          <w:rFonts w:hint="eastAsia" w:ascii="宋体" w:hAnsi="宋体"/>
          <w:sz w:val="24"/>
          <w:szCs w:val="24"/>
        </w:rPr>
        <w:t>（3）不同投标人的投标文件载明的项目管理成员或者联系人员为同一人；</w:t>
      </w:r>
    </w:p>
    <w:p w14:paraId="6B79A416">
      <w:pPr>
        <w:spacing w:line="360" w:lineRule="auto"/>
        <w:ind w:firstLine="600"/>
        <w:rPr>
          <w:rFonts w:ascii="宋体" w:hAnsi="宋体"/>
          <w:sz w:val="24"/>
          <w:szCs w:val="24"/>
        </w:rPr>
      </w:pPr>
      <w:r>
        <w:rPr>
          <w:rFonts w:hint="eastAsia" w:ascii="宋体" w:hAnsi="宋体"/>
          <w:sz w:val="24"/>
          <w:szCs w:val="24"/>
        </w:rPr>
        <w:t>（4）不同投标人的投标文件异常一致或者投标报价呈规律性差异；</w:t>
      </w:r>
    </w:p>
    <w:p w14:paraId="2004AF73">
      <w:pPr>
        <w:spacing w:line="360" w:lineRule="auto"/>
        <w:ind w:firstLine="600"/>
        <w:rPr>
          <w:rFonts w:ascii="宋体" w:hAnsi="宋体"/>
          <w:sz w:val="24"/>
          <w:szCs w:val="24"/>
        </w:rPr>
      </w:pPr>
      <w:r>
        <w:rPr>
          <w:rFonts w:hint="eastAsia" w:ascii="宋体" w:hAnsi="宋体"/>
          <w:sz w:val="24"/>
          <w:szCs w:val="24"/>
        </w:rPr>
        <w:t>（5）不同投标人的投标文件相互混装；</w:t>
      </w:r>
    </w:p>
    <w:p w14:paraId="60E7E95F">
      <w:pPr>
        <w:spacing w:line="360" w:lineRule="auto"/>
        <w:outlineLvl w:val="2"/>
        <w:rPr>
          <w:rFonts w:ascii="宋体" w:hAnsi="宋体"/>
          <w:b/>
          <w:sz w:val="28"/>
          <w:szCs w:val="28"/>
        </w:rPr>
      </w:pPr>
      <w:r>
        <w:rPr>
          <w:rFonts w:hint="eastAsia" w:ascii="宋体" w:hAnsi="宋体"/>
          <w:b/>
          <w:sz w:val="28"/>
          <w:szCs w:val="28"/>
        </w:rPr>
        <w:t>28、投标文件的澄清</w:t>
      </w:r>
    </w:p>
    <w:p w14:paraId="572A8BAB">
      <w:pPr>
        <w:spacing w:line="360" w:lineRule="auto"/>
        <w:ind w:firstLine="360"/>
        <w:rPr>
          <w:rFonts w:ascii="宋体" w:hAnsi="宋体"/>
          <w:sz w:val="24"/>
          <w:szCs w:val="24"/>
        </w:rPr>
      </w:pPr>
      <w:r>
        <w:rPr>
          <w:rFonts w:hint="eastAsia" w:ascii="宋体" w:hAnsi="宋体"/>
          <w:sz w:val="24"/>
          <w:szCs w:val="24"/>
        </w:rPr>
        <w:t>28.1对于投标文件中含义不明确、同类问题表述不一致或者有明显文字和计算错误的内容，评标委员会应当以书面形式要求投标人作出必要的澄清、说明或者补正。</w:t>
      </w:r>
    </w:p>
    <w:p w14:paraId="06EEFA1F">
      <w:pPr>
        <w:spacing w:line="360" w:lineRule="auto"/>
        <w:ind w:firstLine="360"/>
        <w:rPr>
          <w:rFonts w:ascii="宋体" w:hAnsi="宋体"/>
          <w:sz w:val="24"/>
          <w:szCs w:val="24"/>
        </w:rPr>
      </w:pPr>
      <w:r>
        <w:rPr>
          <w:rFonts w:hint="eastAsia" w:ascii="宋体" w:hAnsi="宋体"/>
          <w:sz w:val="24"/>
          <w:szCs w:val="24"/>
        </w:rPr>
        <w:t>28.2投标人的澄清、说明或者补正应当采用书面形式，并加盖公章，或者由法定代表人或其委托代理人签字。投标人的澄清、说明或者补正不得超出投标文件的范围或者改变投标文件的实质性内容。</w:t>
      </w:r>
    </w:p>
    <w:p w14:paraId="04F40475">
      <w:pPr>
        <w:spacing w:line="360" w:lineRule="auto"/>
        <w:outlineLvl w:val="2"/>
        <w:rPr>
          <w:rFonts w:ascii="宋体" w:hAnsi="宋体"/>
          <w:b/>
          <w:sz w:val="28"/>
          <w:szCs w:val="28"/>
        </w:rPr>
      </w:pPr>
      <w:r>
        <w:rPr>
          <w:rFonts w:hint="eastAsia" w:ascii="宋体" w:hAnsi="宋体"/>
          <w:b/>
          <w:sz w:val="28"/>
          <w:szCs w:val="28"/>
        </w:rPr>
        <w:t>29、报价前后不一致的处理原则</w:t>
      </w:r>
    </w:p>
    <w:p w14:paraId="68135951">
      <w:pPr>
        <w:spacing w:line="360" w:lineRule="auto"/>
        <w:ind w:firstLine="360"/>
        <w:rPr>
          <w:rFonts w:ascii="宋体" w:hAnsi="宋体"/>
          <w:sz w:val="24"/>
          <w:szCs w:val="24"/>
        </w:rPr>
      </w:pPr>
      <w:r>
        <w:rPr>
          <w:rFonts w:hint="eastAsia" w:ascii="宋体" w:hAnsi="宋体"/>
          <w:sz w:val="24"/>
          <w:szCs w:val="24"/>
        </w:rPr>
        <w:t>29.1投标文件报价出现前后不一致的，按照下列规定修正：</w:t>
      </w:r>
    </w:p>
    <w:p w14:paraId="09AA4BBB">
      <w:pPr>
        <w:spacing w:line="360" w:lineRule="auto"/>
        <w:ind w:left="1" w:firstLine="238"/>
        <w:rPr>
          <w:rFonts w:ascii="宋体" w:hAnsi="宋体"/>
          <w:sz w:val="24"/>
          <w:szCs w:val="24"/>
        </w:rPr>
      </w:pPr>
      <w:r>
        <w:rPr>
          <w:rFonts w:hint="eastAsia" w:ascii="宋体" w:hAnsi="宋体"/>
          <w:sz w:val="24"/>
          <w:szCs w:val="24"/>
        </w:rPr>
        <w:t>　（1）投标文件中开标（报价）一览表内容与投标文件中相应内容不一致的，以开标（报价）一览表为准；</w:t>
      </w:r>
    </w:p>
    <w:p w14:paraId="5F8A654D">
      <w:pPr>
        <w:spacing w:line="360" w:lineRule="auto"/>
        <w:ind w:left="1" w:firstLine="238"/>
        <w:rPr>
          <w:rFonts w:ascii="宋体" w:hAnsi="宋体"/>
          <w:sz w:val="24"/>
          <w:szCs w:val="24"/>
        </w:rPr>
      </w:pPr>
      <w:r>
        <w:rPr>
          <w:rFonts w:hint="eastAsia" w:ascii="宋体" w:hAnsi="宋体"/>
          <w:sz w:val="24"/>
          <w:szCs w:val="24"/>
        </w:rPr>
        <w:t>　（2）大写金额和小写金额不一致的，以大写金额为准；</w:t>
      </w:r>
    </w:p>
    <w:p w14:paraId="226DAA1D">
      <w:pPr>
        <w:spacing w:line="360" w:lineRule="auto"/>
        <w:ind w:left="1" w:firstLine="238"/>
        <w:rPr>
          <w:rFonts w:ascii="宋体" w:hAnsi="宋体"/>
          <w:sz w:val="24"/>
          <w:szCs w:val="24"/>
        </w:rPr>
      </w:pPr>
      <w:r>
        <w:rPr>
          <w:rFonts w:hint="eastAsia" w:ascii="宋体" w:hAnsi="宋体"/>
          <w:sz w:val="24"/>
          <w:szCs w:val="24"/>
        </w:rPr>
        <w:t>　（3）单价金额小数点或者百分比有明显错位的，以开标一览表的总价为准，并修改单价；</w:t>
      </w:r>
    </w:p>
    <w:p w14:paraId="30A60C63">
      <w:pPr>
        <w:spacing w:line="360" w:lineRule="auto"/>
        <w:ind w:left="1" w:firstLine="238"/>
        <w:rPr>
          <w:rFonts w:ascii="宋体" w:hAnsi="宋体"/>
          <w:sz w:val="24"/>
          <w:szCs w:val="24"/>
        </w:rPr>
      </w:pPr>
      <w:r>
        <w:rPr>
          <w:rFonts w:hint="eastAsia" w:ascii="宋体" w:hAnsi="宋体"/>
          <w:sz w:val="24"/>
          <w:szCs w:val="24"/>
        </w:rPr>
        <w:t>　（4）总价金额与按单价汇总金额不一致的，以单价金额计算结果为准。</w:t>
      </w:r>
    </w:p>
    <w:p w14:paraId="269F395D">
      <w:pPr>
        <w:spacing w:line="360" w:lineRule="auto"/>
        <w:ind w:left="1" w:firstLine="238"/>
        <w:rPr>
          <w:rFonts w:ascii="宋体" w:hAnsi="宋体"/>
          <w:sz w:val="24"/>
          <w:szCs w:val="24"/>
        </w:rPr>
      </w:pPr>
      <w:r>
        <w:rPr>
          <w:rFonts w:hint="eastAsia" w:ascii="宋体" w:hAnsi="宋体"/>
          <w:sz w:val="24"/>
          <w:szCs w:val="24"/>
        </w:rPr>
        <w:t>　同时出现两种以上不一致的，按照上述规定的顺序修正。修正后的报价经投标人法定代表人或其委托代理人签字确认后产生约束力，投标人不确认的，其投标无效。</w:t>
      </w:r>
    </w:p>
    <w:p w14:paraId="435321BB">
      <w:pPr>
        <w:spacing w:line="360" w:lineRule="auto"/>
        <w:outlineLvl w:val="2"/>
        <w:rPr>
          <w:rFonts w:ascii="宋体" w:hAnsi="宋体"/>
          <w:b/>
          <w:sz w:val="30"/>
          <w:szCs w:val="24"/>
        </w:rPr>
      </w:pPr>
      <w:bookmarkStart w:id="101" w:name="_Toc98669361"/>
      <w:bookmarkStart w:id="102" w:name="_Toc98669719"/>
      <w:bookmarkStart w:id="103" w:name="_Toc92168030"/>
      <w:bookmarkStart w:id="104" w:name="_Toc20732998"/>
      <w:bookmarkStart w:id="105" w:name="_Toc100386064"/>
      <w:r>
        <w:rPr>
          <w:rFonts w:hint="eastAsia" w:ascii="宋体" w:hAnsi="宋体"/>
          <w:b/>
          <w:sz w:val="28"/>
          <w:szCs w:val="28"/>
        </w:rPr>
        <w:t>30、投标文件的评价和比较</w:t>
      </w:r>
      <w:bookmarkEnd w:id="101"/>
      <w:bookmarkEnd w:id="102"/>
      <w:bookmarkEnd w:id="103"/>
      <w:bookmarkEnd w:id="104"/>
      <w:bookmarkEnd w:id="105"/>
    </w:p>
    <w:p w14:paraId="43891FCC">
      <w:pPr>
        <w:spacing w:line="360" w:lineRule="auto"/>
        <w:ind w:firstLine="480"/>
        <w:rPr>
          <w:rFonts w:ascii="宋体" w:hAnsi="宋体"/>
          <w:bCs/>
          <w:sz w:val="24"/>
          <w:szCs w:val="24"/>
        </w:rPr>
      </w:pPr>
      <w:r>
        <w:rPr>
          <w:rFonts w:hint="eastAsia" w:ascii="宋体" w:hAnsi="宋体"/>
          <w:bCs/>
          <w:sz w:val="24"/>
          <w:szCs w:val="24"/>
        </w:rPr>
        <w:t>30.1本项目评标采用</w:t>
      </w:r>
      <w:r>
        <w:rPr>
          <w:rFonts w:hint="eastAsia" w:ascii="宋体" w:hAnsi="宋体"/>
          <w:b/>
          <w:bCs/>
          <w:sz w:val="24"/>
          <w:szCs w:val="24"/>
          <w:u w:val="single"/>
        </w:rPr>
        <w:t>综合评分法</w:t>
      </w:r>
      <w:r>
        <w:rPr>
          <w:rFonts w:hint="eastAsia" w:ascii="宋体" w:hAnsi="宋体"/>
          <w:bCs/>
          <w:sz w:val="24"/>
          <w:szCs w:val="24"/>
        </w:rPr>
        <w:t>。</w:t>
      </w:r>
    </w:p>
    <w:bookmarkEnd w:id="62"/>
    <w:bookmarkEnd w:id="63"/>
    <w:bookmarkEnd w:id="64"/>
    <w:bookmarkEnd w:id="65"/>
    <w:bookmarkEnd w:id="66"/>
    <w:p w14:paraId="36B0151D">
      <w:pPr>
        <w:spacing w:line="360" w:lineRule="auto"/>
        <w:ind w:left="1" w:firstLine="238"/>
        <w:rPr>
          <w:rFonts w:ascii="宋体" w:hAnsi="宋体"/>
          <w:sz w:val="24"/>
          <w:szCs w:val="24"/>
        </w:rPr>
      </w:pPr>
      <w:bookmarkStart w:id="106" w:name="_Toc98669730"/>
      <w:bookmarkStart w:id="107" w:name="_Toc100386076"/>
      <w:bookmarkStart w:id="108" w:name="_Toc98669372"/>
      <w:bookmarkStart w:id="109" w:name="_Toc76955302"/>
      <w:bookmarkStart w:id="110" w:name="_Toc20821546"/>
      <w:r>
        <w:rPr>
          <w:rFonts w:hint="eastAsia" w:ascii="宋体" w:hAnsi="宋体"/>
          <w:sz w:val="24"/>
          <w:szCs w:val="24"/>
        </w:rPr>
        <w:t xml:space="preserve">  30.2评委会在评标时，将主要考虑下列因素：</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776"/>
        <w:gridCol w:w="840"/>
        <w:gridCol w:w="5886"/>
      </w:tblGrid>
      <w:tr w14:paraId="466BF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F20AAFA">
            <w:pPr>
              <w:pStyle w:val="65"/>
              <w:spacing w:line="240" w:lineRule="auto"/>
              <w:rPr>
                <w:sz w:val="24"/>
                <w:szCs w:val="24"/>
              </w:rPr>
            </w:pPr>
            <w:bookmarkStart w:id="111" w:name="_Hlk235957803"/>
            <w:r>
              <w:rPr>
                <w:rFonts w:hint="eastAsia" w:asciiTheme="minorEastAsia" w:hAnsiTheme="minorEastAsia" w:eastAsiaTheme="minorEastAsia" w:cstheme="minorEastAsia"/>
                <w:b/>
                <w:sz w:val="24"/>
                <w:szCs w:val="24"/>
              </w:rPr>
              <w:t>分项</w:t>
            </w:r>
          </w:p>
        </w:tc>
        <w:tc>
          <w:tcPr>
            <w:tcW w:w="776" w:type="dxa"/>
            <w:vAlign w:val="center"/>
          </w:tcPr>
          <w:p w14:paraId="51659C79">
            <w:pPr>
              <w:pStyle w:val="65"/>
              <w:spacing w:line="240" w:lineRule="auto"/>
              <w:rPr>
                <w:sz w:val="24"/>
                <w:szCs w:val="24"/>
              </w:rPr>
            </w:pPr>
            <w:r>
              <w:rPr>
                <w:rFonts w:hint="eastAsia" w:asciiTheme="minorEastAsia" w:hAnsiTheme="minorEastAsia" w:eastAsiaTheme="minorEastAsia" w:cstheme="minorEastAsia"/>
                <w:b/>
                <w:sz w:val="24"/>
                <w:szCs w:val="24"/>
              </w:rPr>
              <w:t>评分因素</w:t>
            </w:r>
          </w:p>
        </w:tc>
        <w:tc>
          <w:tcPr>
            <w:tcW w:w="840" w:type="dxa"/>
            <w:vAlign w:val="center"/>
          </w:tcPr>
          <w:p w14:paraId="5D65ECD3">
            <w:pPr>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满分</w:t>
            </w:r>
          </w:p>
          <w:p w14:paraId="40A76B65">
            <w:pPr>
              <w:pStyle w:val="65"/>
              <w:spacing w:line="240" w:lineRule="auto"/>
              <w:rPr>
                <w:sz w:val="24"/>
                <w:szCs w:val="24"/>
              </w:rPr>
            </w:pPr>
            <w:r>
              <w:rPr>
                <w:rFonts w:hint="eastAsia" w:asciiTheme="minorEastAsia" w:hAnsiTheme="minorEastAsia" w:eastAsiaTheme="minorEastAsia" w:cstheme="minorEastAsia"/>
                <w:b/>
                <w:sz w:val="24"/>
                <w:szCs w:val="24"/>
              </w:rPr>
              <w:t>分值</w:t>
            </w:r>
          </w:p>
        </w:tc>
        <w:tc>
          <w:tcPr>
            <w:tcW w:w="5886" w:type="dxa"/>
            <w:vAlign w:val="center"/>
          </w:tcPr>
          <w:p w14:paraId="7FDD712B">
            <w:pPr>
              <w:pStyle w:val="65"/>
              <w:spacing w:line="240" w:lineRule="auto"/>
              <w:rPr>
                <w:sz w:val="24"/>
                <w:szCs w:val="24"/>
              </w:rPr>
            </w:pPr>
            <w:r>
              <w:rPr>
                <w:rFonts w:hint="eastAsia" w:asciiTheme="minorEastAsia" w:hAnsiTheme="minorEastAsia" w:eastAsiaTheme="minorEastAsia" w:cstheme="minorEastAsia"/>
                <w:b/>
                <w:sz w:val="21"/>
                <w:szCs w:val="21"/>
              </w:rPr>
              <w:t>说明</w:t>
            </w:r>
          </w:p>
        </w:tc>
      </w:tr>
      <w:tr w14:paraId="7FA7D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19BF893A">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价格</w:t>
            </w:r>
          </w:p>
          <w:p w14:paraId="420EB038">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（满分30）</w:t>
            </w:r>
          </w:p>
        </w:tc>
        <w:tc>
          <w:tcPr>
            <w:tcW w:w="776" w:type="dxa"/>
            <w:vAlign w:val="center"/>
          </w:tcPr>
          <w:p w14:paraId="3AB9FB64">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投标报价</w:t>
            </w:r>
          </w:p>
        </w:tc>
        <w:tc>
          <w:tcPr>
            <w:tcW w:w="840" w:type="dxa"/>
            <w:vAlign w:val="center"/>
          </w:tcPr>
          <w:p w14:paraId="3F3A9B77">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30分</w:t>
            </w:r>
          </w:p>
        </w:tc>
        <w:tc>
          <w:tcPr>
            <w:tcW w:w="5886" w:type="dxa"/>
            <w:vAlign w:val="center"/>
          </w:tcPr>
          <w:p w14:paraId="7846ED37">
            <w:pPr>
              <w:spacing w:line="312" w:lineRule="auto"/>
              <w:rPr>
                <w:rFonts w:ascii="宋体" w:hAnsi="宋体" w:cs="宋体"/>
                <w:sz w:val="24"/>
                <w:szCs w:val="24"/>
              </w:rPr>
            </w:pPr>
            <w:r>
              <w:rPr>
                <w:rFonts w:hint="eastAsia" w:ascii="宋体" w:hAnsi="宋体" w:cs="宋体"/>
                <w:sz w:val="24"/>
                <w:szCs w:val="24"/>
              </w:rPr>
              <w:t>以满足招标文件要求的最低报价为评标基准价，得满分30分。其它投标报价得分＝（评标基准价/其他投标报价）×30×100％</w:t>
            </w:r>
          </w:p>
          <w:p w14:paraId="6776BE41">
            <w:pPr>
              <w:adjustRightInd w:val="0"/>
              <w:snapToGrid w:val="0"/>
              <w:spacing w:line="312" w:lineRule="auto"/>
              <w:jc w:val="left"/>
              <w:rPr>
                <w:rFonts w:ascii="宋体" w:hAnsi="宋体" w:cs="宋体"/>
                <w:sz w:val="24"/>
                <w:szCs w:val="24"/>
              </w:rPr>
            </w:pPr>
            <w:r>
              <w:rPr>
                <w:rFonts w:hint="eastAsia" w:ascii="宋体" w:hAnsi="宋体" w:cs="宋体"/>
                <w:sz w:val="24"/>
                <w:szCs w:val="24"/>
              </w:rPr>
              <w:t>注：评标委员会认为投标人的报价明显低于其他通过符合性审查投标人的报价，有可能影响产品质量或者不能诚信履约的，会要求其在评标现场合理的时间内提供书面说明，必要时提交相关证明材料；投标人不能证明其报价合理性的，评标委员会将其作为无效投标处理。</w:t>
            </w:r>
          </w:p>
          <w:p w14:paraId="347D2EFF">
            <w:pPr>
              <w:spacing w:line="312" w:lineRule="auto"/>
              <w:rPr>
                <w:rFonts w:ascii="宋体" w:hAnsi="宋体" w:cs="宋体"/>
                <w:sz w:val="24"/>
                <w:szCs w:val="24"/>
              </w:rPr>
            </w:pPr>
            <w:r>
              <w:rPr>
                <w:rFonts w:hint="eastAsia" w:ascii="宋体" w:hAnsi="宋体" w:cs="宋体"/>
                <w:sz w:val="24"/>
                <w:szCs w:val="24"/>
              </w:rPr>
              <w:t>根据财库〔2026〕2号文件，评审委员会启动异常低价投标审查的情形和具体要求，包括：</w:t>
            </w:r>
          </w:p>
          <w:p w14:paraId="3271B364">
            <w:pPr>
              <w:spacing w:line="312" w:lineRule="auto"/>
              <w:rPr>
                <w:rFonts w:ascii="宋体" w:hAnsi="宋体" w:cs="宋体"/>
                <w:sz w:val="24"/>
                <w:szCs w:val="24"/>
              </w:rPr>
            </w:pPr>
            <w:r>
              <w:rPr>
                <w:rFonts w:hint="eastAsia" w:ascii="宋体" w:hAnsi="宋体" w:cs="宋体"/>
                <w:sz w:val="24"/>
                <w:szCs w:val="24"/>
              </w:rPr>
              <w:t>1.投标（响应）报价低于全部通过符合性审查供应商投标（响应）报价平均值65%的，即投标（响应）报价&lt;全部通过符合性审查供应商投标（响应）报价平均值×65%；</w:t>
            </w:r>
          </w:p>
          <w:p w14:paraId="59A273D8">
            <w:pPr>
              <w:spacing w:line="312" w:lineRule="auto"/>
              <w:rPr>
                <w:rFonts w:ascii="宋体" w:hAnsi="宋体" w:cs="宋体"/>
                <w:sz w:val="24"/>
                <w:szCs w:val="24"/>
              </w:rPr>
            </w:pPr>
            <w:r>
              <w:rPr>
                <w:rFonts w:hint="eastAsia" w:ascii="宋体" w:hAnsi="宋体" w:cs="宋体"/>
                <w:sz w:val="24"/>
                <w:szCs w:val="24"/>
              </w:rPr>
              <w:t>2.投标（响应）报价低于通过符合性审查的次低报价供应商投标（响应）报价65%的，即投标（响应）报价&lt;通过符合性审查的次低报价供应商投标（响应）报价×65%；</w:t>
            </w:r>
          </w:p>
          <w:p w14:paraId="2CD51093">
            <w:pPr>
              <w:spacing w:line="312" w:lineRule="auto"/>
              <w:rPr>
                <w:rFonts w:ascii="宋体" w:hAnsi="宋体" w:cs="宋体"/>
                <w:sz w:val="24"/>
                <w:szCs w:val="24"/>
              </w:rPr>
            </w:pPr>
            <w:r>
              <w:rPr>
                <w:rFonts w:hint="eastAsia" w:ascii="宋体" w:hAnsi="宋体" w:cs="宋体"/>
                <w:sz w:val="24"/>
                <w:szCs w:val="24"/>
              </w:rPr>
              <w:t>3</w:t>
            </w:r>
            <w:r>
              <w:rPr>
                <w:rFonts w:ascii="宋体" w:hAnsi="宋体" w:cs="宋体"/>
                <w:sz w:val="24"/>
                <w:szCs w:val="24"/>
              </w:rPr>
              <w:t>.</w:t>
            </w:r>
            <w:r>
              <w:rPr>
                <w:rFonts w:hint="eastAsia" w:ascii="宋体" w:hAnsi="宋体" w:cs="宋体"/>
                <w:sz w:val="24"/>
                <w:szCs w:val="24"/>
              </w:rPr>
              <w:t>投标（响应）报价低于采购项目最高限价65%的，即投标（响应）报价&lt;采购项目最高限价×65%；</w:t>
            </w:r>
          </w:p>
          <w:p w14:paraId="0DE975B2">
            <w:pPr>
              <w:spacing w:line="312" w:lineRule="auto"/>
              <w:rPr>
                <w:rFonts w:ascii="宋体" w:hAnsi="宋体" w:cs="宋体"/>
                <w:sz w:val="24"/>
                <w:szCs w:val="24"/>
              </w:rPr>
            </w:pPr>
            <w:r>
              <w:rPr>
                <w:rFonts w:hint="eastAsia" w:ascii="宋体" w:hAnsi="宋体" w:cs="宋体"/>
                <w:sz w:val="24"/>
                <w:szCs w:val="24"/>
              </w:rPr>
              <w:t>4.评审委员会基于专业判断，认为供应商报价过低，有可能影响产品质量或者不能诚信履约的其他情形。</w:t>
            </w:r>
          </w:p>
        </w:tc>
      </w:tr>
      <w:tr w14:paraId="1776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restart"/>
            <w:vAlign w:val="center"/>
          </w:tcPr>
          <w:p w14:paraId="627B15BD">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技术</w:t>
            </w:r>
          </w:p>
          <w:p w14:paraId="425634BB">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（满分6</w:t>
            </w:r>
            <w:r>
              <w:rPr>
                <w:rFonts w:asciiTheme="minorEastAsia" w:hAnsiTheme="minorEastAsia" w:eastAsiaTheme="minorEastAsia" w:cstheme="minorEastAsia"/>
                <w:bCs/>
                <w:sz w:val="24"/>
                <w:szCs w:val="24"/>
              </w:rPr>
              <w:t>0</w:t>
            </w:r>
            <w:r>
              <w:rPr>
                <w:rFonts w:hint="eastAsia" w:asciiTheme="minorEastAsia" w:hAnsiTheme="minorEastAsia" w:eastAsiaTheme="minorEastAsia" w:cstheme="minorEastAsia"/>
                <w:bCs/>
                <w:sz w:val="24"/>
                <w:szCs w:val="24"/>
              </w:rPr>
              <w:t>分）</w:t>
            </w:r>
          </w:p>
        </w:tc>
        <w:tc>
          <w:tcPr>
            <w:tcW w:w="776" w:type="dxa"/>
            <w:vAlign w:val="center"/>
          </w:tcPr>
          <w:p w14:paraId="196ECBF6">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满足产品技术参数要求的情况</w:t>
            </w:r>
          </w:p>
        </w:tc>
        <w:tc>
          <w:tcPr>
            <w:tcW w:w="840" w:type="dxa"/>
            <w:vAlign w:val="center"/>
          </w:tcPr>
          <w:p w14:paraId="28EF352C">
            <w:pPr>
              <w:spacing w:line="360" w:lineRule="auto"/>
              <w:jc w:val="center"/>
              <w:rPr>
                <w:rFonts w:asciiTheme="minorEastAsia" w:hAnsiTheme="minorEastAsia" w:eastAsiaTheme="minorEastAsia" w:cstheme="minorEastAsia"/>
                <w:bCs/>
                <w:sz w:val="24"/>
                <w:szCs w:val="24"/>
              </w:rPr>
            </w:pPr>
            <w:r>
              <w:rPr>
                <w:rFonts w:hint="eastAsia" w:ascii="宋体" w:hAnsi="宋体" w:cs="宋体"/>
                <w:sz w:val="24"/>
                <w:szCs w:val="24"/>
              </w:rPr>
              <w:t>3</w:t>
            </w:r>
            <w:r>
              <w:rPr>
                <w:rFonts w:ascii="宋体" w:hAnsi="宋体" w:cs="宋体"/>
                <w:sz w:val="24"/>
                <w:szCs w:val="24"/>
              </w:rPr>
              <w:t>5</w:t>
            </w:r>
            <w:r>
              <w:rPr>
                <w:rFonts w:hint="eastAsia" w:ascii="宋体" w:hAnsi="宋体" w:cs="宋体"/>
                <w:sz w:val="24"/>
                <w:szCs w:val="24"/>
              </w:rPr>
              <w:t>分</w:t>
            </w:r>
          </w:p>
        </w:tc>
        <w:tc>
          <w:tcPr>
            <w:tcW w:w="5886" w:type="dxa"/>
            <w:vAlign w:val="center"/>
          </w:tcPr>
          <w:p w14:paraId="1C7EF236">
            <w:pPr>
              <w:spacing w:line="312" w:lineRule="auto"/>
              <w:rPr>
                <w:rFonts w:ascii="宋体" w:hAnsi="宋体" w:cs="宋体"/>
                <w:sz w:val="24"/>
                <w:szCs w:val="24"/>
                <w:lang w:val="zh-CN"/>
              </w:rPr>
            </w:pPr>
            <w:r>
              <w:rPr>
                <w:rFonts w:hint="eastAsia" w:ascii="宋体" w:hAnsi="宋体" w:cs="宋体"/>
                <w:sz w:val="24"/>
                <w:szCs w:val="24"/>
                <w:lang w:val="zh-CN"/>
              </w:rPr>
              <w:t>根据技术指标要求提供技术响应偏离表，技术服务指标完全满足招标文件要求的得</w:t>
            </w:r>
            <w:r>
              <w:rPr>
                <w:rFonts w:ascii="宋体" w:hAnsi="宋体" w:cs="宋体"/>
                <w:sz w:val="24"/>
                <w:szCs w:val="24"/>
              </w:rPr>
              <w:t>35</w:t>
            </w:r>
            <w:r>
              <w:rPr>
                <w:rFonts w:hint="eastAsia" w:ascii="宋体" w:hAnsi="宋体" w:cs="宋体"/>
                <w:sz w:val="24"/>
                <w:szCs w:val="24"/>
                <w:lang w:val="zh-CN"/>
              </w:rPr>
              <w:t>分，其中</w:t>
            </w:r>
            <w:r>
              <w:rPr>
                <w:rFonts w:hint="eastAsia" w:ascii="宋体" w:hAnsi="宋体" w:cs="宋体"/>
                <w:sz w:val="24"/>
                <w:szCs w:val="24"/>
              </w:rPr>
              <w:t>标★</w:t>
            </w:r>
            <w:r>
              <w:rPr>
                <w:rFonts w:hint="eastAsia" w:ascii="宋体" w:hAnsi="宋体" w:cs="宋体"/>
                <w:sz w:val="24"/>
                <w:szCs w:val="24"/>
                <w:lang w:val="zh-CN"/>
              </w:rPr>
              <w:t>项为</w:t>
            </w:r>
            <w:r>
              <w:rPr>
                <w:rFonts w:hint="eastAsia" w:ascii="宋体" w:hAnsi="宋体" w:cs="宋体"/>
                <w:sz w:val="24"/>
                <w:szCs w:val="24"/>
              </w:rPr>
              <w:t>关键</w:t>
            </w:r>
            <w:r>
              <w:rPr>
                <w:rFonts w:hint="eastAsia" w:ascii="宋体" w:hAnsi="宋体" w:cs="宋体"/>
                <w:sz w:val="24"/>
                <w:szCs w:val="24"/>
                <w:lang w:val="zh-CN"/>
              </w:rPr>
              <w:t>指标</w:t>
            </w:r>
            <w:r>
              <w:rPr>
                <w:rFonts w:hint="eastAsia" w:ascii="宋体" w:hAnsi="宋体" w:cs="宋体"/>
                <w:sz w:val="24"/>
                <w:szCs w:val="24"/>
              </w:rPr>
              <w:t>，所有参数均需要满足，不能有负偏离；</w:t>
            </w:r>
            <w:r>
              <w:rPr>
                <w:rFonts w:hint="eastAsia" w:ascii="宋体" w:hAnsi="宋体" w:cs="宋体"/>
                <w:sz w:val="24"/>
                <w:szCs w:val="24"/>
                <w:lang w:val="zh-CN"/>
              </w:rPr>
              <w:t>标</w:t>
            </w:r>
            <w:r>
              <w:rPr>
                <w:rFonts w:hint="eastAsia" w:ascii="宋体" w:hAnsi="宋体" w:cs="宋体"/>
                <w:sz w:val="24"/>
                <w:szCs w:val="24"/>
              </w:rPr>
              <w:t>▲</w:t>
            </w:r>
            <w:r>
              <w:rPr>
                <w:rFonts w:hint="eastAsia" w:ascii="宋体" w:hAnsi="宋体" w:cs="宋体"/>
                <w:sz w:val="24"/>
                <w:szCs w:val="24"/>
                <w:lang w:val="zh-CN"/>
              </w:rPr>
              <w:t>项为重要指标，</w:t>
            </w:r>
            <w:r>
              <w:rPr>
                <w:rFonts w:hint="eastAsia" w:ascii="宋体" w:hAnsi="宋体" w:cs="宋体"/>
                <w:sz w:val="24"/>
                <w:szCs w:val="24"/>
              </w:rPr>
              <w:t>每</w:t>
            </w:r>
            <w:r>
              <w:rPr>
                <w:rFonts w:hint="eastAsia" w:ascii="宋体" w:hAnsi="宋体" w:cs="宋体"/>
                <w:sz w:val="24"/>
                <w:szCs w:val="24"/>
                <w:lang w:val="zh-CN"/>
              </w:rPr>
              <w:t>有1项不满足扣</w:t>
            </w:r>
            <w:r>
              <w:rPr>
                <w:rFonts w:hint="eastAsia" w:ascii="宋体" w:hAnsi="宋体" w:cs="宋体"/>
                <w:sz w:val="24"/>
                <w:szCs w:val="24"/>
              </w:rPr>
              <w:t>2</w:t>
            </w:r>
            <w:r>
              <w:rPr>
                <w:rFonts w:hint="eastAsia" w:ascii="宋体" w:hAnsi="宋体" w:cs="宋体"/>
                <w:sz w:val="24"/>
                <w:szCs w:val="24"/>
                <w:lang w:val="zh-CN"/>
              </w:rPr>
              <w:t>分，</w:t>
            </w:r>
            <w:r>
              <w:rPr>
                <w:rFonts w:hint="eastAsia" w:ascii="宋体" w:hAnsi="宋体" w:cs="宋体"/>
                <w:sz w:val="24"/>
                <w:szCs w:val="24"/>
              </w:rPr>
              <w:t>其他非演示项参数每有1项不满足扣0.5分，</w:t>
            </w:r>
            <w:r>
              <w:rPr>
                <w:rFonts w:hint="eastAsia" w:ascii="宋体" w:hAnsi="宋体" w:cs="宋体"/>
                <w:sz w:val="24"/>
                <w:szCs w:val="24"/>
                <w:lang w:val="zh-CN"/>
              </w:rPr>
              <w:t>扣完为止。</w:t>
            </w:r>
          </w:p>
          <w:p w14:paraId="06098420">
            <w:pPr>
              <w:spacing w:line="312" w:lineRule="auto"/>
              <w:rPr>
                <w:rFonts w:ascii="宋体" w:hAnsi="宋体" w:cs="宋体"/>
                <w:sz w:val="24"/>
                <w:szCs w:val="24"/>
                <w:lang w:val="zh-CN"/>
              </w:rPr>
            </w:pPr>
            <w:r>
              <w:rPr>
                <w:rFonts w:hint="eastAsia" w:ascii="宋体" w:hAnsi="宋体" w:cs="宋体"/>
                <w:sz w:val="24"/>
                <w:szCs w:val="24"/>
              </w:rPr>
              <w:t>★标识的关键指标：</w:t>
            </w:r>
            <w:r>
              <w:rPr>
                <w:rFonts w:hint="eastAsia" w:ascii="宋体" w:hAnsi="宋体" w:cs="宋体"/>
                <w:sz w:val="24"/>
                <w:szCs w:val="24"/>
                <w:lang w:val="zh-CN"/>
              </w:rPr>
              <w:t>需给出功能描述，并配软件截图辅助说明，以作为</w:t>
            </w:r>
            <w:r>
              <w:rPr>
                <w:rFonts w:hint="eastAsia" w:ascii="宋体" w:hAnsi="宋体" w:cs="宋体"/>
                <w:sz w:val="24"/>
                <w:szCs w:val="24"/>
              </w:rPr>
              <w:t>投标人</w:t>
            </w:r>
            <w:r>
              <w:rPr>
                <w:rFonts w:hint="eastAsia" w:ascii="宋体" w:hAnsi="宋体" w:cs="宋体"/>
                <w:sz w:val="24"/>
                <w:szCs w:val="24"/>
                <w:lang w:val="zh-CN"/>
              </w:rPr>
              <w:t>后续实施能力的证明材料。</w:t>
            </w:r>
          </w:p>
          <w:p w14:paraId="661F7DA8">
            <w:pPr>
              <w:spacing w:line="312" w:lineRule="auto"/>
              <w:rPr>
                <w:rFonts w:ascii="宋体" w:hAnsi="宋体" w:cs="宋体"/>
                <w:sz w:val="24"/>
                <w:szCs w:val="24"/>
              </w:rPr>
            </w:pPr>
            <w:r>
              <w:rPr>
                <w:rFonts w:hint="eastAsia" w:ascii="宋体" w:hAnsi="宋体" w:cs="宋体"/>
                <w:sz w:val="24"/>
                <w:szCs w:val="24"/>
                <w:lang w:val="zh-CN"/>
              </w:rPr>
              <w:t>▲项</w:t>
            </w:r>
            <w:r>
              <w:rPr>
                <w:rFonts w:hint="eastAsia" w:ascii="宋体" w:hAnsi="宋体" w:cs="宋体"/>
                <w:sz w:val="24"/>
                <w:szCs w:val="24"/>
              </w:rPr>
              <w:t>标识的重要指标：投标人须提供能直观体现参数对应功能的系统截图、设备实拍图（截图需标注关键信息，确保内容清晰可辨）</w:t>
            </w:r>
          </w:p>
          <w:p w14:paraId="0874B907">
            <w:pPr>
              <w:spacing w:line="312" w:lineRule="auto"/>
              <w:rPr>
                <w:rFonts w:ascii="宋体" w:hAnsi="宋体" w:cs="宋体"/>
                <w:sz w:val="24"/>
                <w:szCs w:val="24"/>
              </w:rPr>
            </w:pPr>
            <w:r>
              <w:rPr>
                <w:rFonts w:hint="eastAsia" w:ascii="宋体" w:hAnsi="宋体" w:cs="宋体"/>
                <w:sz w:val="24"/>
                <w:szCs w:val="24"/>
              </w:rPr>
              <w:t>其他非“▲”参数：如参数描述中明确要求提供佐证材料（如功能截图、性能检测报告等），投标人须按对应要求如实提供；未明确要求的，以投标人提供的技术参数响应及偏离表为准。</w:t>
            </w:r>
          </w:p>
          <w:p w14:paraId="39FB300B">
            <w:pPr>
              <w:adjustRightInd w:val="0"/>
              <w:snapToGrid w:val="0"/>
              <w:spacing w:line="312" w:lineRule="auto"/>
              <w:jc w:val="left"/>
              <w:rPr>
                <w:rFonts w:asciiTheme="minorEastAsia" w:hAnsiTheme="minorEastAsia" w:eastAsiaTheme="minorEastAsia" w:cstheme="minorEastAsia"/>
                <w:bCs/>
                <w:sz w:val="24"/>
                <w:szCs w:val="24"/>
              </w:rPr>
            </w:pPr>
            <w:r>
              <w:rPr>
                <w:rFonts w:hint="eastAsia" w:ascii="宋体" w:hAnsi="宋体" w:cs="宋体"/>
                <w:sz w:val="24"/>
                <w:szCs w:val="24"/>
              </w:rPr>
              <w:t>若未按上述要求提供佐证材料，或提供的材料无法有效证明参数符合性，该参数将被视为“未响应”。</w:t>
            </w:r>
          </w:p>
        </w:tc>
      </w:tr>
      <w:tr w14:paraId="1D7E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Pr>
          <w:p w14:paraId="565AC62B">
            <w:pPr>
              <w:pStyle w:val="65"/>
              <w:spacing w:line="480" w:lineRule="exact"/>
              <w:rPr>
                <w:sz w:val="24"/>
                <w:szCs w:val="24"/>
              </w:rPr>
            </w:pPr>
          </w:p>
        </w:tc>
        <w:tc>
          <w:tcPr>
            <w:tcW w:w="776" w:type="dxa"/>
            <w:vAlign w:val="center"/>
          </w:tcPr>
          <w:p w14:paraId="42A2A1D8">
            <w:pPr>
              <w:spacing w:line="480" w:lineRule="exact"/>
              <w:jc w:val="center"/>
              <w:rPr>
                <w:rFonts w:asciiTheme="minorEastAsia" w:hAnsiTheme="minorEastAsia" w:eastAsiaTheme="minorEastAsia" w:cstheme="minorEastAsia"/>
                <w:sz w:val="24"/>
                <w:szCs w:val="24"/>
              </w:rPr>
            </w:pPr>
            <w:r>
              <w:rPr>
                <w:rFonts w:hint="eastAsia" w:ascii="宋体" w:hAnsi="宋体"/>
                <w:bCs/>
                <w:sz w:val="24"/>
                <w:szCs w:val="24"/>
              </w:rPr>
              <w:t>演示</w:t>
            </w:r>
          </w:p>
        </w:tc>
        <w:tc>
          <w:tcPr>
            <w:tcW w:w="840" w:type="dxa"/>
            <w:vAlign w:val="center"/>
          </w:tcPr>
          <w:p w14:paraId="03602FED">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10分</w:t>
            </w:r>
          </w:p>
        </w:tc>
        <w:tc>
          <w:tcPr>
            <w:tcW w:w="5886" w:type="dxa"/>
            <w:vAlign w:val="center"/>
          </w:tcPr>
          <w:p w14:paraId="1FC3E89B">
            <w:pPr>
              <w:spacing w:line="312" w:lineRule="auto"/>
              <w:rPr>
                <w:rFonts w:ascii="宋体" w:hAnsi="宋体" w:cs="宋体"/>
                <w:sz w:val="24"/>
                <w:szCs w:val="24"/>
              </w:rPr>
            </w:pPr>
            <w:r>
              <w:rPr>
                <w:rFonts w:hint="eastAsia" w:ascii="宋体" w:hAnsi="宋体" w:cs="宋体"/>
                <w:sz w:val="24"/>
                <w:szCs w:val="24"/>
              </w:rPr>
              <w:t>演示必须基于真实软件环境进行（只演示功能，不做公司任何介绍）上传至系统中，视频时长总计不超过15分钟。按要求演示，每符合1条得1分，共10分。</w:t>
            </w:r>
          </w:p>
          <w:p w14:paraId="6FFC5546">
            <w:pPr>
              <w:numPr>
                <w:ilvl w:val="0"/>
                <w:numId w:val="4"/>
              </w:numPr>
              <w:spacing w:line="312" w:lineRule="auto"/>
              <w:rPr>
                <w:rFonts w:ascii="宋体" w:hAnsi="宋体" w:cs="宋体"/>
                <w:b/>
                <w:bCs/>
                <w:sz w:val="24"/>
                <w:szCs w:val="24"/>
              </w:rPr>
            </w:pPr>
            <w:r>
              <w:rPr>
                <w:rFonts w:hint="eastAsia" w:ascii="宋体" w:hAnsi="宋体" w:cs="宋体"/>
                <w:b/>
                <w:bCs/>
                <w:sz w:val="24"/>
                <w:szCs w:val="24"/>
              </w:rPr>
              <w:t>基于软件环境进行功能演示，演示内容如下：</w:t>
            </w:r>
          </w:p>
          <w:p w14:paraId="3738C79B">
            <w:pPr>
              <w:pStyle w:val="806"/>
              <w:numPr>
                <w:ilvl w:val="0"/>
                <w:numId w:val="5"/>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内置AI大模型支持智能交互功能，支持≥70亿参数模型接入，具备≥20 tokens/秒的高并发生成能力，实现数控知识问答、代码建议等功能。</w:t>
            </w:r>
          </w:p>
          <w:p w14:paraId="251BDF96">
            <w:pPr>
              <w:pStyle w:val="806"/>
              <w:numPr>
                <w:ilvl w:val="0"/>
                <w:numId w:val="5"/>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支持基于材料特性自动计算切削参数并生成加工方案，同时根据加工参数（尺寸/材质/精度等）智能编排数控流程，直接调用仿真软件动态展示操作流程，通过实例教学实现"参数计算→方案生成→流程执行"的全链路可视化教学，强化学生对工艺设计与数控编程逻辑的理解。</w:t>
            </w:r>
          </w:p>
          <w:p w14:paraId="7003AEE2">
            <w:pPr>
              <w:spacing w:line="312" w:lineRule="auto"/>
              <w:rPr>
                <w:rFonts w:ascii="宋体" w:hAnsi="宋体" w:cs="宋体"/>
                <w:b/>
                <w:bCs/>
                <w:sz w:val="24"/>
                <w:szCs w:val="24"/>
              </w:rPr>
            </w:pPr>
            <w:r>
              <w:rPr>
                <w:rFonts w:hint="eastAsia" w:ascii="宋体" w:hAnsi="宋体" w:cs="宋体"/>
                <w:sz w:val="24"/>
                <w:szCs w:val="24"/>
              </w:rPr>
              <w:t>二、</w:t>
            </w:r>
            <w:r>
              <w:rPr>
                <w:rFonts w:hint="eastAsia" w:ascii="宋体" w:hAnsi="宋体" w:cs="宋体"/>
                <w:b/>
                <w:bCs/>
                <w:sz w:val="24"/>
                <w:szCs w:val="24"/>
              </w:rPr>
              <w:t>基于软件环境下对</w:t>
            </w:r>
            <w:r>
              <w:rPr>
                <w:rFonts w:hint="eastAsia" w:ascii="宋体" w:hAnsi="宋体" w:cs="宋体"/>
                <w:b/>
                <w:bCs/>
                <w:sz w:val="24"/>
                <w:szCs w:val="24"/>
                <w:lang w:val="zh-CN"/>
              </w:rPr>
              <w:t>数控车床仿真系统</w:t>
            </w:r>
            <w:r>
              <w:rPr>
                <w:rFonts w:hint="eastAsia" w:ascii="宋体" w:hAnsi="宋体" w:cs="宋体"/>
                <w:b/>
                <w:bCs/>
                <w:sz w:val="24"/>
                <w:szCs w:val="24"/>
              </w:rPr>
              <w:t>进行功能演示，演示内容如下：</w:t>
            </w:r>
          </w:p>
          <w:p w14:paraId="79E65B1A">
            <w:pPr>
              <w:pStyle w:val="806"/>
              <w:numPr>
                <w:ilvl w:val="0"/>
                <w:numId w:val="6"/>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模拟实际加工过程因外界环境因素所导致的误差，可通过修改相关参数来调整尺寸误差，从而达到工件尺寸的精度要求，掌握控制尺寸精度的技能。</w:t>
            </w:r>
          </w:p>
          <w:p w14:paraId="32C10EE3">
            <w:pPr>
              <w:pStyle w:val="806"/>
              <w:numPr>
                <w:ilvl w:val="0"/>
                <w:numId w:val="6"/>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数控车床系统支持加载/导出毛坯、夹具、加工模型、刀具列表等，并可恢复已经加工的刀具数据，装夹位置，数控代码。</w:t>
            </w:r>
          </w:p>
          <w:p w14:paraId="189682BE">
            <w:pPr>
              <w:pStyle w:val="806"/>
              <w:numPr>
                <w:ilvl w:val="0"/>
                <w:numId w:val="6"/>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数控车床系统支持断点模拟功能，修改程序或更换刀具等，可由断点处继续模拟。</w:t>
            </w:r>
          </w:p>
          <w:p w14:paraId="6E9AE854">
            <w:pPr>
              <w:spacing w:line="312" w:lineRule="auto"/>
              <w:rPr>
                <w:rFonts w:ascii="宋体" w:hAnsi="宋体" w:cs="宋体"/>
                <w:sz w:val="24"/>
                <w:szCs w:val="24"/>
              </w:rPr>
            </w:pPr>
            <w:r>
              <w:rPr>
                <w:rFonts w:hint="eastAsia" w:ascii="宋体" w:hAnsi="宋体" w:cs="宋体"/>
                <w:sz w:val="24"/>
                <w:szCs w:val="24"/>
              </w:rPr>
              <w:t>三、</w:t>
            </w:r>
            <w:r>
              <w:rPr>
                <w:rFonts w:hint="eastAsia" w:ascii="宋体" w:hAnsi="宋体" w:cs="宋体"/>
                <w:b/>
                <w:bCs/>
                <w:sz w:val="24"/>
                <w:szCs w:val="24"/>
              </w:rPr>
              <w:t>基于软件环境下对加工中心</w:t>
            </w:r>
            <w:r>
              <w:rPr>
                <w:rFonts w:hint="eastAsia" w:ascii="宋体" w:hAnsi="宋体" w:cs="宋体"/>
                <w:b/>
                <w:bCs/>
                <w:sz w:val="24"/>
                <w:szCs w:val="24"/>
                <w:lang w:val="zh-CN"/>
              </w:rPr>
              <w:t>仿真系统</w:t>
            </w:r>
            <w:r>
              <w:rPr>
                <w:rFonts w:hint="eastAsia" w:ascii="宋体" w:hAnsi="宋体" w:cs="宋体"/>
                <w:b/>
                <w:bCs/>
                <w:sz w:val="24"/>
                <w:szCs w:val="24"/>
              </w:rPr>
              <w:t>进行功能演示，演示内容如下：</w:t>
            </w:r>
          </w:p>
          <w:p w14:paraId="1498AB97">
            <w:pPr>
              <w:pStyle w:val="806"/>
              <w:numPr>
                <w:ilvl w:val="0"/>
                <w:numId w:val="7"/>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数控加工中心系统模拟实际加工过程因外界环境因素所导致的误差，可通过修改相关参数来调整尺寸误差，从而达到工件尺寸的精度要求，掌握控制尺寸精度的技能。</w:t>
            </w:r>
          </w:p>
          <w:p w14:paraId="14BDB772">
            <w:pPr>
              <w:pStyle w:val="806"/>
              <w:numPr>
                <w:ilvl w:val="0"/>
                <w:numId w:val="7"/>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数控加工中心系统支持加载/导出毛坯、夹具、加工模型、刀具列表等，并可恢复已经加工的刀具数据，装夹位置，数控代码。</w:t>
            </w:r>
          </w:p>
          <w:p w14:paraId="69133EC5">
            <w:pPr>
              <w:pStyle w:val="806"/>
              <w:numPr>
                <w:ilvl w:val="0"/>
                <w:numId w:val="7"/>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数控加工中</w:t>
            </w:r>
            <w:r>
              <w:rPr>
                <w:rFonts w:hint="eastAsia" w:cs="宋体"/>
                <w:kern w:val="2"/>
                <w:sz w:val="24"/>
                <w:szCs w:val="24"/>
                <w:lang w:eastAsia="zh-CN"/>
              </w:rPr>
              <w:t>心</w:t>
            </w:r>
            <w:r>
              <w:rPr>
                <w:rFonts w:hint="eastAsia" w:ascii="宋体" w:hAnsi="宋体" w:cs="宋体"/>
                <w:kern w:val="2"/>
                <w:sz w:val="24"/>
                <w:szCs w:val="24"/>
                <w:lang w:eastAsia="zh-CN"/>
              </w:rPr>
              <w:t>系统配有刀具、工件安装等视频教程演示，促使学生更快掌握相应的专业技能。</w:t>
            </w:r>
          </w:p>
          <w:p w14:paraId="1D2AECF6">
            <w:pPr>
              <w:numPr>
                <w:ilvl w:val="0"/>
                <w:numId w:val="8"/>
              </w:numPr>
              <w:spacing w:line="312" w:lineRule="auto"/>
              <w:rPr>
                <w:rFonts w:ascii="宋体" w:hAnsi="宋体" w:cs="宋体"/>
                <w:b/>
                <w:bCs/>
                <w:sz w:val="24"/>
                <w:szCs w:val="24"/>
              </w:rPr>
            </w:pPr>
            <w:r>
              <w:rPr>
                <w:rFonts w:hint="eastAsia" w:ascii="宋体" w:hAnsi="宋体" w:cs="宋体"/>
                <w:b/>
                <w:bCs/>
                <w:sz w:val="24"/>
                <w:szCs w:val="24"/>
              </w:rPr>
              <w:t>基于软件环境下对数据中心进行功能演示，演示内容如下：</w:t>
            </w:r>
          </w:p>
          <w:p w14:paraId="0C3FC01A">
            <w:pPr>
              <w:pStyle w:val="806"/>
              <w:numPr>
                <w:ilvl w:val="0"/>
                <w:numId w:val="9"/>
              </w:numPr>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工艺过程数据采集：定义毛坯形状、材料、尺寸等参数，建立仿真加工切削模型。定义毛坯装夹方式以及装夹尺寸，装夹尺寸与工件加工工艺相关联，与后续工艺建立完整加工工艺链。将所有工件尺寸数据化，并支持在线测量加工精度，提供尺寸数据分析库。系统输入、输出数据采集分析，将用户输入的数控程序代码、刀具尺寸参数等进行采集，并提供数据分析。系统对编程、操作以及工件加工过程中的全部输入、输出数据进行采集，并形成大数据库。</w:t>
            </w:r>
          </w:p>
          <w:p w14:paraId="27E6C7D5">
            <w:pPr>
              <w:pStyle w:val="806"/>
              <w:numPr>
                <w:ilvl w:val="0"/>
                <w:numId w:val="9"/>
              </w:numPr>
              <w:spacing w:line="312" w:lineRule="auto"/>
              <w:jc w:val="both"/>
              <w:rPr>
                <w:rFonts w:asciiTheme="minorEastAsia" w:hAnsiTheme="minorEastAsia" w:eastAsiaTheme="minorEastAsia" w:cstheme="minorEastAsia"/>
                <w:bCs/>
                <w:sz w:val="24"/>
                <w:szCs w:val="24"/>
                <w:lang w:eastAsia="zh-CN"/>
              </w:rPr>
            </w:pPr>
            <w:r>
              <w:rPr>
                <w:rFonts w:hint="eastAsia" w:ascii="宋体" w:hAnsi="宋体" w:cs="宋体"/>
                <w:kern w:val="2"/>
                <w:sz w:val="24"/>
                <w:szCs w:val="24"/>
                <w:lang w:eastAsia="zh-CN"/>
              </w:rPr>
              <w:t>在实训过程中，对所有操作实时进行数据采集，包括工件装夹次数、毛坯消耗数量、刀具安装次数、刀具撞刀次数、加工工序、加工参数、工件质量、NC程序运行时间等实时检测，将学生提交的数据结果进行比对，通过系统自动评分，自动阅卷，及时得出评判结果。</w:t>
            </w:r>
          </w:p>
        </w:tc>
      </w:tr>
      <w:tr w14:paraId="1786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Merge w:val="continue"/>
          </w:tcPr>
          <w:p w14:paraId="077C93AB">
            <w:pPr>
              <w:pStyle w:val="65"/>
              <w:spacing w:line="480" w:lineRule="exact"/>
              <w:rPr>
                <w:sz w:val="24"/>
                <w:szCs w:val="24"/>
              </w:rPr>
            </w:pPr>
          </w:p>
        </w:tc>
        <w:tc>
          <w:tcPr>
            <w:tcW w:w="776" w:type="dxa"/>
            <w:vAlign w:val="center"/>
          </w:tcPr>
          <w:p w14:paraId="438AD552">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项目实施方案</w:t>
            </w:r>
          </w:p>
        </w:tc>
        <w:tc>
          <w:tcPr>
            <w:tcW w:w="840" w:type="dxa"/>
            <w:vAlign w:val="center"/>
          </w:tcPr>
          <w:p w14:paraId="24709B17">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r>
              <w:rPr>
                <w:rFonts w:asciiTheme="minorEastAsia" w:hAnsiTheme="minorEastAsia" w:eastAsiaTheme="minorEastAsia" w:cstheme="minorEastAsia"/>
                <w:bCs/>
                <w:sz w:val="24"/>
                <w:szCs w:val="24"/>
              </w:rPr>
              <w:t>5</w:t>
            </w:r>
            <w:r>
              <w:rPr>
                <w:rFonts w:hint="eastAsia" w:asciiTheme="minorEastAsia" w:hAnsiTheme="minorEastAsia" w:eastAsiaTheme="minorEastAsia" w:cstheme="minorEastAsia"/>
                <w:bCs/>
                <w:sz w:val="24"/>
                <w:szCs w:val="24"/>
              </w:rPr>
              <w:t>分</w:t>
            </w:r>
          </w:p>
        </w:tc>
        <w:tc>
          <w:tcPr>
            <w:tcW w:w="5886" w:type="dxa"/>
            <w:vAlign w:val="center"/>
          </w:tcPr>
          <w:p w14:paraId="0519C9F0">
            <w:pPr>
              <w:pStyle w:val="806"/>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1.</w:t>
            </w:r>
            <w:r>
              <w:rPr>
                <w:rFonts w:ascii="宋体" w:hAnsi="宋体" w:cs="宋体"/>
                <w:kern w:val="2"/>
                <w:sz w:val="24"/>
                <w:szCs w:val="24"/>
                <w:lang w:eastAsia="zh-CN"/>
              </w:rPr>
              <w:t>根据投标人的项目实施方案（包括但不限于全部产品的安装部署、联合调试和验收方案、供货及安装各节点时间进度、人员配置安排、现场文明施工、质量保障措施、维护保养、售后服务响应等相关内容）进行评分（5分）。</w:t>
            </w:r>
          </w:p>
          <w:p w14:paraId="42F6B5D5">
            <w:pPr>
              <w:pStyle w:val="806"/>
              <w:spacing w:line="312" w:lineRule="auto"/>
              <w:jc w:val="both"/>
              <w:rPr>
                <w:rFonts w:ascii="宋体" w:hAnsi="宋体" w:cs="宋体"/>
                <w:kern w:val="2"/>
                <w:sz w:val="24"/>
                <w:szCs w:val="24"/>
                <w:lang w:eastAsia="zh-CN"/>
              </w:rPr>
            </w:pPr>
            <w:r>
              <w:rPr>
                <w:rFonts w:ascii="宋体" w:hAnsi="宋体" w:cs="宋体"/>
                <w:kern w:val="2"/>
                <w:sz w:val="24"/>
                <w:szCs w:val="24"/>
                <w:lang w:eastAsia="zh-CN"/>
              </w:rPr>
              <w:t>方案合理可行，内容丰富、逻辑清晰、覆盖点广且完全符合项目要求的得5分；方案基本合理且满足项目需求、针对性一般的得3分；方案存在部分不合理项，针对性较差的得1分；未提供的不得分。</w:t>
            </w:r>
          </w:p>
          <w:p w14:paraId="37A982F8">
            <w:pPr>
              <w:pStyle w:val="806"/>
              <w:spacing w:line="312" w:lineRule="auto"/>
              <w:jc w:val="both"/>
              <w:rPr>
                <w:rFonts w:hint="eastAsia" w:ascii="宋体" w:hAnsi="宋体" w:cs="宋体"/>
                <w:kern w:val="2"/>
                <w:sz w:val="24"/>
                <w:szCs w:val="24"/>
                <w:lang w:eastAsia="zh-CN"/>
              </w:rPr>
            </w:pPr>
          </w:p>
          <w:p w14:paraId="274777E7">
            <w:pPr>
              <w:pStyle w:val="806"/>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2.</w:t>
            </w:r>
            <w:r>
              <w:rPr>
                <w:rFonts w:ascii="宋体" w:hAnsi="宋体" w:cs="宋体"/>
                <w:kern w:val="2"/>
                <w:sz w:val="24"/>
                <w:szCs w:val="24"/>
                <w:lang w:eastAsia="zh-CN"/>
              </w:rPr>
              <w:t>根据投标人的质量保证方案（包含但不限于产品的生产、检验检测、包装运输、到场安装调试等全过程质量保障措施，并收集整理包括产品说明书、出厂合格证、技术文档等的全套技术材料，以及质量保障措施、质量保障体系、质量保障承诺）进行评分（5分）。</w:t>
            </w:r>
          </w:p>
          <w:p w14:paraId="1F906938">
            <w:pPr>
              <w:pStyle w:val="806"/>
              <w:spacing w:line="312" w:lineRule="auto"/>
              <w:jc w:val="both"/>
              <w:rPr>
                <w:rFonts w:ascii="宋体" w:hAnsi="宋体" w:cs="宋体"/>
                <w:kern w:val="2"/>
                <w:sz w:val="24"/>
                <w:szCs w:val="24"/>
                <w:lang w:eastAsia="zh-CN"/>
              </w:rPr>
            </w:pPr>
            <w:r>
              <w:rPr>
                <w:rFonts w:ascii="宋体" w:hAnsi="宋体" w:cs="宋体"/>
                <w:kern w:val="2"/>
                <w:sz w:val="24"/>
                <w:szCs w:val="24"/>
                <w:lang w:eastAsia="zh-CN"/>
              </w:rPr>
              <w:t>方案合理可行，内容丰富、逻辑清晰、覆盖点广且完全符合项目要求的得5分；方案基本合理且满足项目需求、针对性一般的得3分；方案存在部分不合理项，针对性较差的得1分；未提供的不得分。</w:t>
            </w:r>
          </w:p>
          <w:p w14:paraId="6496601E">
            <w:pPr>
              <w:pStyle w:val="806"/>
              <w:spacing w:line="312" w:lineRule="auto"/>
              <w:jc w:val="both"/>
              <w:rPr>
                <w:rFonts w:hint="eastAsia" w:ascii="宋体" w:hAnsi="宋体" w:cs="宋体"/>
                <w:kern w:val="2"/>
                <w:sz w:val="24"/>
                <w:szCs w:val="24"/>
                <w:lang w:eastAsia="zh-CN"/>
              </w:rPr>
            </w:pPr>
          </w:p>
          <w:p w14:paraId="3F11F86B">
            <w:pPr>
              <w:pStyle w:val="806"/>
              <w:spacing w:line="312" w:lineRule="auto"/>
              <w:jc w:val="both"/>
              <w:rPr>
                <w:rFonts w:ascii="宋体" w:hAnsi="宋体" w:cs="宋体"/>
                <w:kern w:val="2"/>
                <w:sz w:val="24"/>
                <w:szCs w:val="24"/>
                <w:lang w:eastAsia="zh-CN"/>
              </w:rPr>
            </w:pPr>
            <w:r>
              <w:rPr>
                <w:rFonts w:hint="eastAsia" w:ascii="宋体" w:hAnsi="宋体" w:cs="宋体"/>
                <w:kern w:val="2"/>
                <w:sz w:val="24"/>
                <w:szCs w:val="24"/>
                <w:lang w:eastAsia="zh-CN"/>
              </w:rPr>
              <w:t>3.</w:t>
            </w:r>
            <w:r>
              <w:rPr>
                <w:rFonts w:ascii="宋体" w:hAnsi="宋体" w:cs="宋体"/>
                <w:kern w:val="2"/>
                <w:sz w:val="24"/>
                <w:szCs w:val="24"/>
                <w:lang w:eastAsia="zh-CN"/>
              </w:rPr>
              <w:t>根据投标人的培训与售后服务方案（包括但不限于产品装卸安装到位、人员与时间计划、技术培训内容与方式；以及售后维护职责、服务时间响应、技术人员配备、故障解决方案、服务承诺及常用备用件完整度等）进行评分（5分）。</w:t>
            </w:r>
          </w:p>
          <w:p w14:paraId="6724FB8E">
            <w:pPr>
              <w:pStyle w:val="806"/>
              <w:spacing w:line="312" w:lineRule="auto"/>
              <w:jc w:val="both"/>
              <w:rPr>
                <w:rFonts w:ascii="宋体" w:hAnsi="宋体" w:cs="宋体"/>
                <w:kern w:val="2"/>
                <w:sz w:val="24"/>
                <w:szCs w:val="24"/>
                <w:lang w:eastAsia="zh-CN"/>
              </w:rPr>
            </w:pPr>
            <w:r>
              <w:rPr>
                <w:rFonts w:ascii="宋体" w:hAnsi="宋体" w:cs="宋体"/>
                <w:kern w:val="2"/>
                <w:sz w:val="24"/>
                <w:szCs w:val="24"/>
                <w:lang w:eastAsia="zh-CN"/>
              </w:rPr>
              <w:t>方案合理可行，内容丰富、逻辑清晰、覆盖点广且完全符合项目要求的得5分；方案基本合理且满足项目需求、针对性一般的得3分；方案存在部分不合理项，针对性较差的得1分；未提供的不得分。</w:t>
            </w:r>
          </w:p>
        </w:tc>
      </w:tr>
      <w:tr w14:paraId="5D7F5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69DBF866">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商务</w:t>
            </w:r>
          </w:p>
          <w:p w14:paraId="59DE2B7A">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（满分</w:t>
            </w:r>
            <w:r>
              <w:rPr>
                <w:rFonts w:asciiTheme="minorEastAsia" w:hAnsiTheme="minorEastAsia" w:eastAsiaTheme="minorEastAsia" w:cstheme="minorEastAsia"/>
                <w:bCs/>
                <w:sz w:val="24"/>
                <w:szCs w:val="24"/>
              </w:rPr>
              <w:t>10</w:t>
            </w:r>
            <w:r>
              <w:rPr>
                <w:rFonts w:hint="eastAsia" w:asciiTheme="minorEastAsia" w:hAnsiTheme="minorEastAsia" w:eastAsiaTheme="minorEastAsia" w:cstheme="minorEastAsia"/>
                <w:bCs/>
                <w:sz w:val="24"/>
                <w:szCs w:val="24"/>
              </w:rPr>
              <w:t>分）</w:t>
            </w:r>
          </w:p>
        </w:tc>
        <w:tc>
          <w:tcPr>
            <w:tcW w:w="776" w:type="dxa"/>
            <w:vAlign w:val="center"/>
          </w:tcPr>
          <w:p w14:paraId="4BE51419">
            <w:pPr>
              <w:spacing w:line="480" w:lineRule="exact"/>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综合实力</w:t>
            </w:r>
          </w:p>
        </w:tc>
        <w:tc>
          <w:tcPr>
            <w:tcW w:w="840" w:type="dxa"/>
            <w:vAlign w:val="center"/>
          </w:tcPr>
          <w:p w14:paraId="70598843">
            <w:pPr>
              <w:spacing w:line="360" w:lineRule="auto"/>
              <w:jc w:val="cente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10分</w:t>
            </w:r>
          </w:p>
        </w:tc>
        <w:tc>
          <w:tcPr>
            <w:tcW w:w="5886" w:type="dxa"/>
            <w:vAlign w:val="center"/>
          </w:tcPr>
          <w:p w14:paraId="53DEC62E">
            <w:pPr>
              <w:spacing w:line="312" w:lineRule="auto"/>
              <w:rPr>
                <w:rFonts w:ascii="宋体" w:hAnsi="宋体" w:cs="宋体"/>
                <w:sz w:val="24"/>
                <w:szCs w:val="24"/>
              </w:rPr>
            </w:pPr>
            <w:r>
              <w:rPr>
                <w:rFonts w:hint="eastAsia" w:ascii="宋体" w:hAnsi="宋体" w:cs="宋体"/>
                <w:sz w:val="24"/>
                <w:szCs w:val="24"/>
              </w:rPr>
              <w:t>1.投标人具有有效期内的质量管理体系认证证书、环境管理体系认证证书，每提供1项认证得</w:t>
            </w:r>
            <w:r>
              <w:rPr>
                <w:rFonts w:ascii="宋体" w:hAnsi="宋体" w:cs="宋体"/>
                <w:sz w:val="24"/>
                <w:szCs w:val="24"/>
              </w:rPr>
              <w:t>0.5</w:t>
            </w:r>
            <w:r>
              <w:rPr>
                <w:rFonts w:hint="eastAsia" w:ascii="宋体" w:hAnsi="宋体" w:cs="宋体"/>
                <w:sz w:val="24"/>
                <w:szCs w:val="24"/>
              </w:rPr>
              <w:t>分，满分</w:t>
            </w:r>
            <w:r>
              <w:rPr>
                <w:rFonts w:ascii="宋体" w:hAnsi="宋体" w:cs="宋体"/>
                <w:sz w:val="24"/>
                <w:szCs w:val="24"/>
              </w:rPr>
              <w:t>1</w:t>
            </w:r>
            <w:r>
              <w:rPr>
                <w:rFonts w:hint="eastAsia" w:ascii="宋体" w:hAnsi="宋体" w:cs="宋体"/>
                <w:sz w:val="24"/>
                <w:szCs w:val="24"/>
              </w:rPr>
              <w:t>分，不提供不得分。（须提供以上认证证书及以上证书在中国认证认可监督管理委员会官方网站平台www.cnca.gov.cn查询的页面网址截图，否则不得分）</w:t>
            </w:r>
          </w:p>
          <w:p w14:paraId="2482A9CF">
            <w:pPr>
              <w:spacing w:line="312" w:lineRule="auto"/>
              <w:rPr>
                <w:rFonts w:ascii="宋体" w:hAnsi="宋体" w:cs="宋体"/>
                <w:sz w:val="24"/>
                <w:szCs w:val="24"/>
              </w:rPr>
            </w:pPr>
            <w:r>
              <w:rPr>
                <w:rFonts w:hint="eastAsia" w:ascii="宋体" w:hAnsi="宋体" w:cs="宋体"/>
                <w:sz w:val="24"/>
                <w:szCs w:val="24"/>
              </w:rPr>
              <w:t>2.供应商所投产品具有仿真机床实用新型专利证书，提供得1分，不提供不得分。（提供相关证书）；</w:t>
            </w:r>
          </w:p>
          <w:p w14:paraId="47383DB6">
            <w:pPr>
              <w:spacing w:line="312" w:lineRule="auto"/>
              <w:rPr>
                <w:rFonts w:ascii="宋体" w:hAnsi="宋体" w:cs="宋体"/>
                <w:sz w:val="24"/>
                <w:szCs w:val="24"/>
              </w:rPr>
            </w:pPr>
            <w:r>
              <w:rPr>
                <w:rFonts w:hint="eastAsia" w:ascii="宋体" w:hAnsi="宋体" w:cs="宋体"/>
                <w:sz w:val="24"/>
                <w:szCs w:val="24"/>
              </w:rPr>
              <w:t>3.</w:t>
            </w:r>
            <w:r>
              <w:rPr>
                <w:rFonts w:hint="eastAsia"/>
              </w:rPr>
              <w:t xml:space="preserve"> </w:t>
            </w:r>
            <w:r>
              <w:rPr>
                <w:rFonts w:hint="eastAsia" w:ascii="宋体" w:hAnsi="宋体" w:cs="宋体"/>
                <w:sz w:val="24"/>
                <w:szCs w:val="24"/>
              </w:rPr>
              <w:t>投标人所投产品具有与数控仿真系统、实训考核平台、智能工艺算法、数据采集相关的软件著作权证书，每提供1个得</w:t>
            </w:r>
            <w:r>
              <w:rPr>
                <w:rFonts w:ascii="宋体" w:hAnsi="宋体" w:cs="宋体"/>
                <w:sz w:val="24"/>
                <w:szCs w:val="24"/>
              </w:rPr>
              <w:t>1</w:t>
            </w:r>
            <w:r>
              <w:rPr>
                <w:rFonts w:hint="eastAsia" w:ascii="宋体" w:hAnsi="宋体" w:cs="宋体"/>
                <w:sz w:val="24"/>
                <w:szCs w:val="24"/>
              </w:rPr>
              <w:t>分，最多得4分（提供相关证书）；</w:t>
            </w:r>
          </w:p>
          <w:p w14:paraId="45CAD4EE">
            <w:pPr>
              <w:spacing w:line="312" w:lineRule="auto"/>
              <w:rPr>
                <w:rFonts w:ascii="宋体" w:hAnsi="宋体"/>
                <w:bCs/>
                <w:sz w:val="24"/>
                <w:szCs w:val="24"/>
              </w:rPr>
            </w:pPr>
            <w:r>
              <w:rPr>
                <w:rFonts w:hint="eastAsia" w:ascii="宋体" w:hAnsi="宋体" w:cs="宋体"/>
                <w:sz w:val="24"/>
                <w:szCs w:val="24"/>
              </w:rPr>
              <w:t>4.投标人须具有2年内的数控仿真实训设备（或智能制造实训平台等同类设备）的供货及安装中标业绩。证明材料为中标通知书及采购合同（须包含合同首页、体现具体服务内容/项目范围的“标的页”、双方签字盖章页及签订日期页并附甲方联系人及联系方式）。每提供</w:t>
            </w:r>
            <w:r>
              <w:rPr>
                <w:rFonts w:ascii="宋体" w:hAnsi="宋体" w:cs="宋体"/>
                <w:sz w:val="24"/>
                <w:szCs w:val="24"/>
              </w:rPr>
              <w:t>1</w:t>
            </w:r>
            <w:r>
              <w:rPr>
                <w:rFonts w:hint="eastAsia" w:ascii="宋体" w:hAnsi="宋体" w:cs="宋体"/>
                <w:sz w:val="24"/>
                <w:szCs w:val="24"/>
              </w:rPr>
              <w:t>个有效业绩得</w:t>
            </w:r>
            <w:r>
              <w:rPr>
                <w:rFonts w:ascii="宋体" w:hAnsi="宋体" w:cs="宋体"/>
                <w:sz w:val="24"/>
                <w:szCs w:val="24"/>
              </w:rPr>
              <w:t>2</w:t>
            </w:r>
            <w:r>
              <w:rPr>
                <w:rFonts w:hint="eastAsia" w:ascii="宋体" w:hAnsi="宋体" w:cs="宋体"/>
                <w:sz w:val="24"/>
                <w:szCs w:val="24"/>
              </w:rPr>
              <w:t>分，满分</w:t>
            </w:r>
            <w:r>
              <w:rPr>
                <w:rFonts w:ascii="宋体" w:hAnsi="宋体" w:cs="宋体"/>
                <w:sz w:val="24"/>
                <w:szCs w:val="24"/>
              </w:rPr>
              <w:t>4</w:t>
            </w:r>
            <w:r>
              <w:rPr>
                <w:rFonts w:hint="eastAsia" w:ascii="宋体" w:hAnsi="宋体" w:cs="宋体"/>
                <w:sz w:val="24"/>
                <w:szCs w:val="24"/>
              </w:rPr>
              <w:t>分。（需提供有效合同，未按要求提供的不得分。)</w:t>
            </w:r>
          </w:p>
        </w:tc>
      </w:tr>
      <w:bookmarkEnd w:id="111"/>
    </w:tbl>
    <w:p w14:paraId="40E26C69">
      <w:pPr>
        <w:spacing w:line="360" w:lineRule="auto"/>
        <w:ind w:left="1" w:firstLine="360"/>
        <w:rPr>
          <w:rFonts w:ascii="宋体" w:hAnsi="宋体"/>
          <w:bCs/>
          <w:sz w:val="24"/>
          <w:szCs w:val="24"/>
        </w:rPr>
      </w:pPr>
      <w:r>
        <w:rPr>
          <w:rFonts w:hint="eastAsia" w:ascii="宋体" w:hAnsi="宋体"/>
          <w:sz w:val="24"/>
          <w:szCs w:val="24"/>
        </w:rPr>
        <w:t>30.3</w:t>
      </w:r>
      <w:r>
        <w:rPr>
          <w:rFonts w:hint="eastAsia" w:ascii="宋体" w:hAnsi="宋体"/>
          <w:bCs/>
          <w:sz w:val="24"/>
          <w:szCs w:val="24"/>
        </w:rPr>
        <w:t>采用综合评分法的，评标结果按评审后得分由高到低顺序排列。得分相同的(得分保留到小数点后2位，四舍五入)，按投标报价由低到高顺序排列。得分且投标报价相同的，按技术参数优劣顺序排列。如技术参数得分也相同，按项目实施方案、时间进度计划安排、技术培训方案、</w:t>
      </w:r>
      <w:r>
        <w:rPr>
          <w:rFonts w:hint="eastAsia" w:asciiTheme="minorEastAsia" w:hAnsiTheme="minorEastAsia" w:eastAsiaTheme="minorEastAsia" w:cstheme="minorEastAsia"/>
          <w:bCs/>
          <w:sz w:val="24"/>
          <w:szCs w:val="24"/>
        </w:rPr>
        <w:t>质量保证措施及承诺、售后服务方案合计总分顺序排列。</w:t>
      </w:r>
      <w:r>
        <w:rPr>
          <w:rFonts w:hint="eastAsia" w:ascii="宋体" w:hAnsi="宋体"/>
          <w:bCs/>
          <w:sz w:val="24"/>
          <w:szCs w:val="24"/>
        </w:rPr>
        <w:t>中标候选人由评标委员会确定。投标文件满足招标文件全部实质性要求，且按照评审因素的量化指标评审得分最高的投标人为排名第一的中标候选人。</w:t>
      </w:r>
    </w:p>
    <w:p w14:paraId="299460CE">
      <w:pPr>
        <w:spacing w:line="360" w:lineRule="auto"/>
        <w:outlineLvl w:val="2"/>
        <w:rPr>
          <w:rFonts w:ascii="宋体" w:hAnsi="宋体"/>
          <w:b/>
          <w:sz w:val="28"/>
          <w:szCs w:val="28"/>
        </w:rPr>
      </w:pPr>
      <w:r>
        <w:rPr>
          <w:rFonts w:hint="eastAsia" w:ascii="宋体" w:hAnsi="宋体"/>
          <w:b/>
          <w:sz w:val="28"/>
          <w:szCs w:val="28"/>
        </w:rPr>
        <w:t>31、相同品牌产品的处理原则</w:t>
      </w:r>
    </w:p>
    <w:p w14:paraId="2501EA38">
      <w:pPr>
        <w:spacing w:line="360" w:lineRule="auto"/>
        <w:ind w:firstLine="354"/>
        <w:rPr>
          <w:rFonts w:ascii="宋体" w:hAnsi="宋体"/>
          <w:b/>
          <w:sz w:val="24"/>
          <w:szCs w:val="24"/>
          <w:u w:val="single"/>
        </w:rPr>
      </w:pPr>
      <w:r>
        <w:rPr>
          <w:rFonts w:hint="eastAsia" w:ascii="宋体" w:hAnsi="宋体"/>
          <w:b/>
          <w:sz w:val="24"/>
          <w:szCs w:val="24"/>
          <w:u w:val="single"/>
        </w:rPr>
        <w:t>31.1使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p>
    <w:p w14:paraId="26B1A00E">
      <w:pPr>
        <w:spacing w:line="360" w:lineRule="auto"/>
        <w:ind w:firstLine="354"/>
        <w:rPr>
          <w:rFonts w:ascii="宋体" w:hAnsi="宋体"/>
          <w:b/>
          <w:sz w:val="24"/>
          <w:szCs w:val="24"/>
          <w:u w:val="single"/>
        </w:rPr>
      </w:pPr>
      <w:r>
        <w:rPr>
          <w:rFonts w:hint="eastAsia" w:ascii="宋体" w:hAnsi="宋体"/>
          <w:b/>
          <w:sz w:val="24"/>
          <w:szCs w:val="24"/>
          <w:u w:val="single"/>
        </w:rPr>
        <w:t>31.2非单一产品采购项目，采购人应当根据采购项目技术构成、产品价格比重等合理确定核心产品，并在招标文件中载明。多家投标人提供的核心产品品牌相同的，按上述规定处理。</w:t>
      </w:r>
    </w:p>
    <w:p w14:paraId="3B36F8C0">
      <w:pPr>
        <w:spacing w:line="360" w:lineRule="auto"/>
        <w:outlineLvl w:val="2"/>
        <w:rPr>
          <w:rFonts w:ascii="宋体" w:hAnsi="宋体"/>
          <w:b/>
          <w:sz w:val="28"/>
          <w:szCs w:val="28"/>
        </w:rPr>
      </w:pPr>
      <w:r>
        <w:rPr>
          <w:rFonts w:hint="eastAsia" w:ascii="宋体" w:hAnsi="宋体"/>
          <w:b/>
          <w:sz w:val="28"/>
          <w:szCs w:val="28"/>
        </w:rPr>
        <w:t>32、允许修改评标结果的情形</w:t>
      </w:r>
    </w:p>
    <w:p w14:paraId="085EDD5B">
      <w:pPr>
        <w:spacing w:line="360" w:lineRule="auto"/>
        <w:ind w:firstLine="360"/>
        <w:rPr>
          <w:rFonts w:ascii="宋体" w:hAnsi="宋体"/>
          <w:sz w:val="24"/>
          <w:szCs w:val="24"/>
        </w:rPr>
      </w:pPr>
      <w:r>
        <w:rPr>
          <w:rFonts w:hint="eastAsia" w:ascii="宋体" w:hAnsi="宋体"/>
          <w:sz w:val="24"/>
          <w:szCs w:val="24"/>
        </w:rPr>
        <w:t>32.1评标结果汇总完成后，除下列情形外，任何人不得修改评标结果：</w:t>
      </w:r>
    </w:p>
    <w:p w14:paraId="53C838D4">
      <w:pPr>
        <w:spacing w:line="360" w:lineRule="auto"/>
        <w:ind w:firstLine="480"/>
        <w:rPr>
          <w:rFonts w:ascii="宋体" w:hAnsi="宋体"/>
          <w:sz w:val="24"/>
          <w:szCs w:val="24"/>
        </w:rPr>
      </w:pPr>
      <w:r>
        <w:rPr>
          <w:rFonts w:hint="eastAsia" w:ascii="宋体" w:hAnsi="宋体"/>
          <w:sz w:val="24"/>
          <w:szCs w:val="24"/>
        </w:rPr>
        <w:t>（1）分值汇总计算错误的；</w:t>
      </w:r>
    </w:p>
    <w:p w14:paraId="357C7969">
      <w:pPr>
        <w:spacing w:line="360" w:lineRule="auto"/>
        <w:ind w:firstLine="480"/>
        <w:rPr>
          <w:rFonts w:ascii="宋体" w:hAnsi="宋体"/>
          <w:sz w:val="24"/>
          <w:szCs w:val="24"/>
        </w:rPr>
      </w:pPr>
      <w:r>
        <w:rPr>
          <w:rFonts w:hint="eastAsia" w:ascii="宋体" w:hAnsi="宋体"/>
          <w:sz w:val="24"/>
          <w:szCs w:val="24"/>
        </w:rPr>
        <w:t>（2）分项评分超出评分标准范围的；</w:t>
      </w:r>
    </w:p>
    <w:p w14:paraId="35D114DF">
      <w:pPr>
        <w:spacing w:line="360" w:lineRule="auto"/>
        <w:ind w:firstLine="480"/>
        <w:rPr>
          <w:rFonts w:ascii="宋体" w:hAnsi="宋体"/>
          <w:sz w:val="24"/>
          <w:szCs w:val="24"/>
        </w:rPr>
      </w:pPr>
      <w:r>
        <w:rPr>
          <w:rFonts w:hint="eastAsia" w:ascii="宋体" w:hAnsi="宋体"/>
          <w:sz w:val="24"/>
          <w:szCs w:val="24"/>
        </w:rPr>
        <w:t>（3）评标委员会成员对客观评审因素评分不一致的；</w:t>
      </w:r>
    </w:p>
    <w:p w14:paraId="7EB94FC6">
      <w:pPr>
        <w:spacing w:line="360" w:lineRule="auto"/>
        <w:ind w:firstLine="480"/>
        <w:rPr>
          <w:rFonts w:ascii="宋体" w:hAnsi="宋体"/>
          <w:sz w:val="24"/>
          <w:szCs w:val="24"/>
        </w:rPr>
      </w:pPr>
      <w:r>
        <w:rPr>
          <w:rFonts w:hint="eastAsia" w:ascii="宋体" w:hAnsi="宋体"/>
          <w:sz w:val="24"/>
          <w:szCs w:val="24"/>
        </w:rPr>
        <w:t>（4）经评标委员会认定评分畸高、畸低的。</w:t>
      </w:r>
    </w:p>
    <w:p w14:paraId="74A15D55">
      <w:pPr>
        <w:spacing w:line="360" w:lineRule="auto"/>
        <w:ind w:firstLine="480"/>
        <w:rPr>
          <w:rFonts w:ascii="宋体" w:hAnsi="宋体"/>
          <w:sz w:val="24"/>
          <w:szCs w:val="24"/>
        </w:rPr>
      </w:pPr>
      <w:r>
        <w:rPr>
          <w:rFonts w:hint="eastAsia" w:ascii="宋体" w:hAnsi="宋体"/>
          <w:sz w:val="24"/>
          <w:szCs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F90A5A7">
      <w:pPr>
        <w:spacing w:line="360" w:lineRule="auto"/>
        <w:outlineLvl w:val="2"/>
        <w:rPr>
          <w:rFonts w:ascii="宋体" w:hAnsi="宋体"/>
          <w:b/>
          <w:sz w:val="28"/>
          <w:szCs w:val="28"/>
        </w:rPr>
      </w:pPr>
      <w:r>
        <w:rPr>
          <w:rFonts w:hint="eastAsia" w:ascii="宋体" w:hAnsi="宋体"/>
          <w:b/>
          <w:sz w:val="28"/>
          <w:szCs w:val="28"/>
        </w:rPr>
        <w:t>33、推荐和确定中标人</w:t>
      </w:r>
    </w:p>
    <w:p w14:paraId="08BD2378">
      <w:pPr>
        <w:spacing w:line="360" w:lineRule="auto"/>
        <w:ind w:firstLine="360"/>
        <w:rPr>
          <w:rFonts w:ascii="宋体" w:hAnsi="宋体"/>
          <w:sz w:val="24"/>
          <w:szCs w:val="24"/>
        </w:rPr>
      </w:pPr>
      <w:r>
        <w:rPr>
          <w:rFonts w:hint="eastAsia" w:ascii="宋体" w:hAnsi="宋体"/>
          <w:sz w:val="24"/>
          <w:szCs w:val="24"/>
        </w:rPr>
        <w:t>33.1 评标委员会将根据评标结果向采购人推荐出中标人。</w:t>
      </w:r>
    </w:p>
    <w:p w14:paraId="4A52ECBC">
      <w:pPr>
        <w:spacing w:line="360" w:lineRule="auto"/>
        <w:ind w:firstLine="360"/>
        <w:rPr>
          <w:rFonts w:ascii="宋体" w:hAnsi="宋体"/>
          <w:sz w:val="24"/>
          <w:szCs w:val="24"/>
        </w:rPr>
      </w:pPr>
      <w:r>
        <w:rPr>
          <w:rFonts w:hint="eastAsia" w:ascii="宋体" w:hAnsi="宋体"/>
          <w:sz w:val="24"/>
          <w:szCs w:val="24"/>
        </w:rPr>
        <w:t>33.2 采购人根据评标委员会的推荐最终确定中标人。</w:t>
      </w:r>
    </w:p>
    <w:p w14:paraId="2DF93874">
      <w:pPr>
        <w:rPr>
          <w:rFonts w:ascii="宋体" w:hAnsi="宋体"/>
          <w:b/>
          <w:sz w:val="32"/>
          <w:szCs w:val="32"/>
        </w:rPr>
      </w:pPr>
      <w:r>
        <w:rPr>
          <w:rFonts w:hint="eastAsia" w:ascii="宋体" w:hAnsi="宋体"/>
          <w:b/>
          <w:sz w:val="32"/>
          <w:szCs w:val="32"/>
        </w:rPr>
        <w:br w:type="page"/>
      </w:r>
    </w:p>
    <w:p w14:paraId="62ACA1CB">
      <w:pPr>
        <w:spacing w:before="200" w:after="200" w:line="360" w:lineRule="auto"/>
        <w:jc w:val="center"/>
        <w:outlineLvl w:val="2"/>
        <w:rPr>
          <w:rFonts w:ascii="宋体" w:hAnsi="宋体"/>
          <w:b/>
          <w:sz w:val="32"/>
          <w:szCs w:val="32"/>
        </w:rPr>
      </w:pPr>
      <w:r>
        <w:rPr>
          <w:rFonts w:hint="eastAsia" w:ascii="宋体" w:hAnsi="宋体"/>
          <w:b/>
          <w:sz w:val="32"/>
          <w:szCs w:val="32"/>
        </w:rPr>
        <w:t>七、授予合同</w:t>
      </w:r>
    </w:p>
    <w:p w14:paraId="24AB3524">
      <w:pPr>
        <w:spacing w:line="360" w:lineRule="auto"/>
        <w:outlineLvl w:val="2"/>
        <w:rPr>
          <w:rFonts w:ascii="宋体" w:hAnsi="宋体"/>
          <w:b/>
          <w:sz w:val="28"/>
          <w:szCs w:val="28"/>
        </w:rPr>
      </w:pPr>
      <w:r>
        <w:rPr>
          <w:rFonts w:hint="eastAsia" w:ascii="宋体" w:hAnsi="宋体"/>
          <w:b/>
          <w:sz w:val="28"/>
          <w:szCs w:val="28"/>
        </w:rPr>
        <w:t>34、招标组织方接受和拒绝任何或所有投标的权利</w:t>
      </w:r>
    </w:p>
    <w:p w14:paraId="6BE17922">
      <w:pPr>
        <w:spacing w:line="360" w:lineRule="auto"/>
        <w:ind w:firstLine="360"/>
        <w:rPr>
          <w:rFonts w:ascii="宋体" w:hAnsi="宋体"/>
          <w:sz w:val="24"/>
          <w:szCs w:val="24"/>
        </w:rPr>
      </w:pPr>
      <w:r>
        <w:rPr>
          <w:rFonts w:hint="eastAsia" w:ascii="宋体" w:hAnsi="宋体"/>
          <w:sz w:val="24"/>
          <w:szCs w:val="24"/>
        </w:rPr>
        <w:t>34.1 为维护国家和社会公共利益，招标组织方保留在授标之前任何时候接受或拒绝任何投标人中标的权利，且对受影响的投标人不承担任何责任。</w:t>
      </w:r>
    </w:p>
    <w:p w14:paraId="5C998132">
      <w:pPr>
        <w:spacing w:line="360" w:lineRule="auto"/>
        <w:outlineLvl w:val="2"/>
        <w:rPr>
          <w:rFonts w:ascii="宋体" w:hAnsi="宋体"/>
          <w:b/>
          <w:sz w:val="28"/>
          <w:szCs w:val="28"/>
        </w:rPr>
      </w:pPr>
      <w:r>
        <w:rPr>
          <w:rFonts w:hint="eastAsia" w:ascii="宋体" w:hAnsi="宋体"/>
          <w:b/>
          <w:sz w:val="28"/>
          <w:szCs w:val="28"/>
        </w:rPr>
        <w:t>35、中标通知书</w:t>
      </w:r>
    </w:p>
    <w:p w14:paraId="55666B39">
      <w:pPr>
        <w:spacing w:line="360" w:lineRule="auto"/>
        <w:ind w:firstLine="360"/>
        <w:rPr>
          <w:rFonts w:ascii="宋体" w:hAnsi="宋体"/>
          <w:sz w:val="24"/>
          <w:szCs w:val="24"/>
        </w:rPr>
      </w:pPr>
      <w:r>
        <w:rPr>
          <w:rFonts w:hint="eastAsia" w:ascii="宋体" w:hAnsi="宋体"/>
          <w:sz w:val="24"/>
          <w:szCs w:val="24"/>
        </w:rPr>
        <w:t>35.1 在投标有效期期满之前，招标组织方将以书面形式通知中标人，中标人在收到中标通知书后，须立即以书面签收形式回复招标组织方，确认中标通知书已收悉。</w:t>
      </w:r>
    </w:p>
    <w:p w14:paraId="3724028F">
      <w:pPr>
        <w:spacing w:line="360" w:lineRule="auto"/>
        <w:ind w:firstLine="360"/>
        <w:rPr>
          <w:rFonts w:ascii="宋体" w:hAnsi="宋体"/>
          <w:sz w:val="24"/>
          <w:szCs w:val="24"/>
        </w:rPr>
      </w:pPr>
      <w:r>
        <w:rPr>
          <w:rFonts w:hint="eastAsia" w:ascii="宋体" w:hAnsi="宋体"/>
          <w:sz w:val="24"/>
          <w:szCs w:val="24"/>
        </w:rPr>
        <w:t>35.2 中标通知书将是合同的一个组成部分。</w:t>
      </w:r>
    </w:p>
    <w:p w14:paraId="504E2BB8">
      <w:pPr>
        <w:spacing w:line="360" w:lineRule="auto"/>
        <w:ind w:firstLine="354"/>
        <w:outlineLvl w:val="2"/>
        <w:rPr>
          <w:rFonts w:ascii="宋体" w:hAnsi="宋体"/>
          <w:b/>
          <w:sz w:val="30"/>
          <w:szCs w:val="20"/>
        </w:rPr>
      </w:pPr>
      <w:r>
        <w:rPr>
          <w:rFonts w:hint="eastAsia" w:ascii="宋体" w:hAnsi="宋体"/>
          <w:b/>
          <w:sz w:val="24"/>
          <w:szCs w:val="20"/>
        </w:rPr>
        <w:t>35.3</w:t>
      </w:r>
      <w:r>
        <w:rPr>
          <w:rFonts w:hint="eastAsia" w:ascii="宋体" w:hAnsi="宋体"/>
          <w:b/>
          <w:sz w:val="24"/>
          <w:szCs w:val="20"/>
          <w:u w:val="single"/>
        </w:rPr>
        <w:t>中标通知书发出后，采购人不得违法改变中标结果，中标人无正当理由不得放弃中标。</w:t>
      </w:r>
    </w:p>
    <w:p w14:paraId="678A4DB4">
      <w:pPr>
        <w:spacing w:line="360" w:lineRule="auto"/>
        <w:outlineLvl w:val="2"/>
        <w:rPr>
          <w:rFonts w:ascii="宋体" w:hAnsi="宋体"/>
          <w:b/>
          <w:sz w:val="28"/>
          <w:szCs w:val="28"/>
        </w:rPr>
      </w:pPr>
      <w:r>
        <w:rPr>
          <w:rFonts w:hint="eastAsia" w:ascii="宋体" w:hAnsi="宋体"/>
          <w:b/>
          <w:sz w:val="28"/>
          <w:szCs w:val="28"/>
        </w:rPr>
        <w:t>36、签订合同时不得对投标文件作实质性修改</w:t>
      </w:r>
    </w:p>
    <w:p w14:paraId="12DF0DD9">
      <w:pPr>
        <w:spacing w:line="360" w:lineRule="auto"/>
        <w:ind w:firstLine="360"/>
        <w:rPr>
          <w:rFonts w:ascii="宋体" w:hAnsi="宋体"/>
          <w:sz w:val="24"/>
          <w:szCs w:val="24"/>
        </w:rPr>
      </w:pPr>
      <w:r>
        <w:rPr>
          <w:rFonts w:hint="eastAsia" w:ascii="宋体" w:hAnsi="宋体"/>
          <w:sz w:val="24"/>
          <w:szCs w:val="24"/>
        </w:rPr>
        <w:t>36.1采购人按照招标文件和中标人投标文件的约定，与中标人签订书面合同。所签订的合同不得对招标文件和中标人投标文件作实质性修改。</w:t>
      </w:r>
    </w:p>
    <w:p w14:paraId="01120ED0">
      <w:pPr>
        <w:spacing w:line="360" w:lineRule="auto"/>
        <w:ind w:firstLine="360"/>
        <w:rPr>
          <w:rFonts w:ascii="宋体" w:hAnsi="宋体"/>
          <w:sz w:val="24"/>
          <w:szCs w:val="24"/>
        </w:rPr>
      </w:pPr>
      <w:r>
        <w:rPr>
          <w:rFonts w:hint="eastAsia" w:ascii="宋体" w:hAnsi="宋体"/>
          <w:sz w:val="24"/>
          <w:szCs w:val="24"/>
        </w:rPr>
        <w:t>36.2合同履行中，采购人需追加与合同标的相同货物时，在不改变合同其他条款的前提下，可以与中标人协商签订补充合同，但所有补充合同的采购金额不得超过原合同采购金额的百分之十。</w:t>
      </w:r>
    </w:p>
    <w:p w14:paraId="1955D5A0">
      <w:pPr>
        <w:spacing w:line="360" w:lineRule="auto"/>
        <w:outlineLvl w:val="2"/>
        <w:rPr>
          <w:rFonts w:ascii="宋体" w:hAnsi="宋体"/>
          <w:b/>
          <w:sz w:val="28"/>
          <w:szCs w:val="28"/>
        </w:rPr>
      </w:pPr>
      <w:r>
        <w:rPr>
          <w:rFonts w:hint="eastAsia" w:ascii="宋体" w:hAnsi="宋体"/>
          <w:b/>
          <w:sz w:val="28"/>
          <w:szCs w:val="28"/>
        </w:rPr>
        <w:t>37、签订合同</w:t>
      </w:r>
    </w:p>
    <w:p w14:paraId="50C02996">
      <w:pPr>
        <w:spacing w:line="360" w:lineRule="auto"/>
        <w:ind w:firstLine="360"/>
        <w:rPr>
          <w:rFonts w:ascii="宋体" w:hAnsi="宋体"/>
          <w:sz w:val="24"/>
          <w:szCs w:val="24"/>
        </w:rPr>
      </w:pPr>
      <w:r>
        <w:rPr>
          <w:rFonts w:hint="eastAsia" w:ascii="宋体" w:hAnsi="宋体"/>
          <w:sz w:val="24"/>
          <w:szCs w:val="24"/>
        </w:rPr>
        <w:t>37.1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6D1F7008">
      <w:pPr>
        <w:spacing w:line="360" w:lineRule="auto"/>
        <w:ind w:firstLine="360"/>
        <w:rPr>
          <w:rFonts w:ascii="宋体" w:hAnsi="宋体"/>
          <w:sz w:val="24"/>
          <w:szCs w:val="24"/>
        </w:rPr>
      </w:pPr>
      <w:r>
        <w:rPr>
          <w:rFonts w:hint="eastAsia" w:ascii="宋体" w:hAnsi="宋体"/>
          <w:sz w:val="24"/>
          <w:szCs w:val="24"/>
        </w:rPr>
        <w:t>37.2政府采购合同应当包括采购人与中标人的名称和住所、标的、数量、质量、价款或者报酬、履行期限及地点和方式、验收要求、违约责任、解决争议的方法等内容。</w:t>
      </w:r>
    </w:p>
    <w:p w14:paraId="29F57F30">
      <w:pPr>
        <w:spacing w:line="360" w:lineRule="auto"/>
        <w:ind w:firstLine="360"/>
        <w:rPr>
          <w:rFonts w:ascii="宋体" w:hAnsi="宋体"/>
          <w:sz w:val="24"/>
          <w:szCs w:val="24"/>
        </w:rPr>
      </w:pPr>
      <w:r>
        <w:rPr>
          <w:rFonts w:hint="eastAsia" w:ascii="宋体" w:hAnsi="宋体"/>
          <w:sz w:val="24"/>
          <w:szCs w:val="24"/>
        </w:rPr>
        <w:t xml:space="preserve">37.3采购人与中标人应当根据合同的约定依法履行合同义务。政府采购合同的履行、违约责任和解决争议的方法等适用《中华人民共和国民法典》。 </w:t>
      </w:r>
    </w:p>
    <w:p w14:paraId="1FB920E5">
      <w:pPr>
        <w:spacing w:line="360" w:lineRule="auto"/>
        <w:outlineLvl w:val="2"/>
        <w:rPr>
          <w:rFonts w:ascii="宋体" w:hAnsi="宋体"/>
          <w:b/>
          <w:sz w:val="28"/>
          <w:szCs w:val="28"/>
        </w:rPr>
      </w:pPr>
      <w:r>
        <w:rPr>
          <w:rFonts w:hint="eastAsia" w:ascii="宋体" w:hAnsi="宋体"/>
          <w:b/>
          <w:sz w:val="28"/>
          <w:szCs w:val="28"/>
        </w:rPr>
        <w:t xml:space="preserve">38、政府采购贷款扶持政策 </w:t>
      </w:r>
    </w:p>
    <w:p w14:paraId="48999AEC">
      <w:pPr>
        <w:spacing w:line="360" w:lineRule="auto"/>
        <w:ind w:firstLine="360"/>
        <w:rPr>
          <w:rFonts w:ascii="宋体" w:hAnsi="宋体"/>
          <w:sz w:val="24"/>
          <w:szCs w:val="24"/>
        </w:rPr>
      </w:pPr>
      <w:r>
        <w:rPr>
          <w:rFonts w:hint="eastAsia" w:ascii="宋体" w:hAnsi="宋体"/>
          <w:sz w:val="24"/>
          <w:szCs w:val="24"/>
        </w:rPr>
        <w:t xml:space="preserve">38.1根据国家扶持中小企业的有关政策，招标组织方负责代理的采购项目中标企业，在履约过程中如遇到资金困难，凭中标通知书在相关金融机构办理授信申请，相关事宜请查阅“江苏省政府采购”网站。                                                                                                                                                                                                                                                                                                                                                                                                                                                                                                                                                                                                                                                                                                                                                                                                                                                                                                                                                                                                                                                                                                                                                                                                                                                                                                                                                                                 </w:t>
      </w:r>
    </w:p>
    <w:p w14:paraId="7F4A6D92">
      <w:pPr>
        <w:spacing w:line="360" w:lineRule="auto"/>
        <w:jc w:val="center"/>
        <w:rPr>
          <w:rFonts w:ascii="宋体" w:hAnsi="宋体"/>
          <w:b/>
          <w:sz w:val="32"/>
          <w:szCs w:val="32"/>
          <w:shd w:val="clear" w:color="auto" w:fill="FFFFFF"/>
        </w:rPr>
      </w:pPr>
      <w:r>
        <w:rPr>
          <w:rFonts w:hint="eastAsia" w:ascii="宋体" w:hAnsi="宋体"/>
          <w:b/>
          <w:sz w:val="32"/>
          <w:szCs w:val="32"/>
          <w:shd w:val="clear" w:color="auto" w:fill="FFFFFF"/>
        </w:rPr>
        <w:br w:type="page" w:clear="all"/>
      </w:r>
      <w:r>
        <w:rPr>
          <w:rFonts w:hint="eastAsia" w:ascii="宋体" w:hAnsi="宋体"/>
          <w:b/>
          <w:sz w:val="32"/>
          <w:szCs w:val="32"/>
          <w:shd w:val="clear" w:color="auto" w:fill="FFFFFF"/>
        </w:rPr>
        <w:t>八、询问、质疑、投诉</w:t>
      </w:r>
    </w:p>
    <w:p w14:paraId="4B3BAB8A">
      <w:pPr>
        <w:spacing w:line="360" w:lineRule="auto"/>
        <w:outlineLvl w:val="2"/>
        <w:rPr>
          <w:rFonts w:ascii="宋体" w:hAnsi="宋体"/>
          <w:b/>
          <w:sz w:val="28"/>
          <w:szCs w:val="28"/>
        </w:rPr>
      </w:pPr>
      <w:r>
        <w:rPr>
          <w:rFonts w:hint="eastAsia" w:ascii="宋体" w:hAnsi="宋体"/>
          <w:b/>
          <w:sz w:val="28"/>
          <w:szCs w:val="28"/>
        </w:rPr>
        <w:t>39、询问</w:t>
      </w:r>
    </w:p>
    <w:p w14:paraId="5B009D14">
      <w:pPr>
        <w:spacing w:line="360" w:lineRule="auto"/>
        <w:ind w:firstLine="360"/>
        <w:rPr>
          <w:rFonts w:ascii="宋体" w:hAnsi="宋体"/>
          <w:sz w:val="24"/>
          <w:szCs w:val="24"/>
        </w:rPr>
      </w:pPr>
      <w:r>
        <w:rPr>
          <w:rFonts w:ascii="宋体" w:hAnsi="宋体"/>
          <w:sz w:val="24"/>
          <w:szCs w:val="24"/>
        </w:rPr>
        <w:t>39</w:t>
      </w:r>
      <w:r>
        <w:rPr>
          <w:rFonts w:hint="eastAsia" w:ascii="宋体" w:hAnsi="宋体"/>
          <w:sz w:val="24"/>
          <w:szCs w:val="24"/>
        </w:rPr>
        <w:t>.1 供应商对招标活动事项有疑问的，可以向采购人或招标组织方提出询问，采购人或招标组织方将依法作出答复，但答复的内容不涉及商业秘密。</w:t>
      </w:r>
    </w:p>
    <w:p w14:paraId="561AB2D2">
      <w:pPr>
        <w:spacing w:line="360" w:lineRule="auto"/>
        <w:outlineLvl w:val="2"/>
        <w:rPr>
          <w:rFonts w:ascii="宋体" w:hAnsi="宋体"/>
          <w:b/>
          <w:sz w:val="28"/>
          <w:szCs w:val="28"/>
        </w:rPr>
      </w:pPr>
      <w:r>
        <w:rPr>
          <w:rFonts w:hint="eastAsia" w:ascii="宋体" w:hAnsi="宋体"/>
          <w:b/>
          <w:sz w:val="28"/>
          <w:szCs w:val="28"/>
        </w:rPr>
        <w:t>40、质疑</w:t>
      </w:r>
    </w:p>
    <w:p w14:paraId="5D9D264A">
      <w:pPr>
        <w:spacing w:line="360" w:lineRule="auto"/>
        <w:ind w:firstLine="360"/>
        <w:rPr>
          <w:rFonts w:ascii="宋体" w:hAnsi="宋体"/>
          <w:sz w:val="24"/>
          <w:szCs w:val="24"/>
        </w:rPr>
      </w:pPr>
      <w:r>
        <w:rPr>
          <w:rFonts w:hint="eastAsia" w:ascii="宋体" w:hAnsi="宋体"/>
          <w:sz w:val="24"/>
          <w:szCs w:val="24"/>
        </w:rPr>
        <w:t>40.1质疑供应商是指直接参加本项目采购活动的供应商；供应商认为采购文件、采购过程和中标结果使自己的合法权益受到损害的，可以在知道或者应当知道其权益受到损害之日起七个工作日内，将质疑文件原件送达采购人或招标组织方。对采购文件提出质疑的，应自供应商获得采购文件之日起计算；对采购过程提出质疑的，自采购程序环节结束之日起计算；对中标结果提出质疑的，自中标结果公告届满之日起计算。</w:t>
      </w:r>
    </w:p>
    <w:p w14:paraId="4CFEFA42">
      <w:pPr>
        <w:spacing w:line="360" w:lineRule="auto"/>
        <w:ind w:firstLine="360"/>
        <w:rPr>
          <w:rFonts w:ascii="宋体" w:hAnsi="宋体"/>
          <w:sz w:val="24"/>
          <w:szCs w:val="24"/>
        </w:rPr>
      </w:pPr>
      <w:r>
        <w:rPr>
          <w:rFonts w:hint="eastAsia" w:ascii="宋体" w:hAnsi="宋体"/>
          <w:sz w:val="24"/>
          <w:szCs w:val="24"/>
        </w:rPr>
        <w:t>40.2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1C4D10FD">
      <w:pPr>
        <w:spacing w:line="360" w:lineRule="auto"/>
        <w:ind w:firstLine="360"/>
        <w:rPr>
          <w:rFonts w:ascii="宋体" w:hAnsi="宋体"/>
          <w:sz w:val="24"/>
          <w:szCs w:val="24"/>
          <w:u w:val="single"/>
        </w:rPr>
      </w:pPr>
      <w:r>
        <w:rPr>
          <w:rFonts w:hint="eastAsia" w:ascii="宋体" w:hAnsi="宋体"/>
          <w:sz w:val="24"/>
          <w:szCs w:val="24"/>
        </w:rPr>
        <w:t>40.3</w:t>
      </w:r>
      <w:r>
        <w:rPr>
          <w:rFonts w:hint="eastAsia" w:ascii="宋体" w:hAnsi="宋体"/>
          <w:sz w:val="24"/>
          <w:szCs w:val="24"/>
          <w:u w:val="single"/>
        </w:rPr>
        <w:t>供应商如对采购需求提出质疑，除向招标组织方递交质疑文件外，还应当向采购人递交质疑文件。采购人负责处理和答复涉及采购需求、评分标准（如为采购人提供的）的质疑内容。</w:t>
      </w:r>
    </w:p>
    <w:p w14:paraId="0A28B0D7">
      <w:pPr>
        <w:spacing w:line="360" w:lineRule="auto"/>
        <w:ind w:firstLine="360"/>
        <w:rPr>
          <w:rFonts w:ascii="宋体" w:hAnsi="宋体"/>
          <w:sz w:val="24"/>
          <w:szCs w:val="24"/>
        </w:rPr>
      </w:pPr>
      <w:r>
        <w:rPr>
          <w:rFonts w:hint="eastAsia" w:ascii="宋体" w:hAnsi="宋体"/>
          <w:sz w:val="24"/>
          <w:szCs w:val="24"/>
        </w:rPr>
        <w:t>40.4质疑流程及注意事项见“江苏省政府采购”网站。</w:t>
      </w:r>
    </w:p>
    <w:p w14:paraId="48E7FB89">
      <w:pPr>
        <w:spacing w:line="360" w:lineRule="auto"/>
        <w:ind w:firstLine="360"/>
        <w:rPr>
          <w:rFonts w:ascii="宋体" w:hAnsi="宋体"/>
          <w:sz w:val="24"/>
          <w:szCs w:val="24"/>
        </w:rPr>
      </w:pPr>
      <w:r>
        <w:rPr>
          <w:rFonts w:hint="eastAsia" w:ascii="宋体" w:hAnsi="宋体"/>
          <w:sz w:val="24"/>
          <w:szCs w:val="24"/>
        </w:rPr>
        <w:t>40.5采购人或招标组织方在收到供应商的书面质疑后将及时组织调查核实，在七个工作日内作出答复，并以书面或在网站公告形式通知质疑供应商和其他有关供应商，答复的内容不涉及商业秘密。</w:t>
      </w:r>
    </w:p>
    <w:p w14:paraId="292F447E">
      <w:pPr>
        <w:spacing w:line="360" w:lineRule="auto"/>
        <w:outlineLvl w:val="2"/>
        <w:rPr>
          <w:rFonts w:ascii="宋体" w:hAnsi="宋体"/>
          <w:b/>
          <w:sz w:val="28"/>
          <w:szCs w:val="28"/>
        </w:rPr>
      </w:pPr>
      <w:r>
        <w:rPr>
          <w:rFonts w:hint="eastAsia" w:ascii="宋体" w:hAnsi="宋体"/>
          <w:b/>
          <w:sz w:val="28"/>
          <w:szCs w:val="28"/>
        </w:rPr>
        <w:t>41、投诉</w:t>
      </w:r>
    </w:p>
    <w:p w14:paraId="15B54E8B">
      <w:pPr>
        <w:spacing w:line="360" w:lineRule="auto"/>
        <w:jc w:val="left"/>
        <w:rPr>
          <w:rFonts w:ascii="宋体" w:hAnsi="宋体"/>
          <w:sz w:val="32"/>
          <w:szCs w:val="32"/>
        </w:rPr>
      </w:pPr>
      <w:r>
        <w:rPr>
          <w:rFonts w:hint="eastAsia" w:ascii="宋体" w:hAnsi="宋体"/>
          <w:sz w:val="24"/>
          <w:szCs w:val="24"/>
        </w:rPr>
        <w:t xml:space="preserve">  41.1 质疑供应商对采购人或招标组织方的答复不满意，以及采购人或招标组织方未在规定的时间内作出答复的，可以在答复期满后十五个工作日内向采购项目同级财政部门投诉。</w:t>
      </w:r>
    </w:p>
    <w:p w14:paraId="23F6E3D7">
      <w:pPr>
        <w:spacing w:line="360" w:lineRule="auto"/>
        <w:jc w:val="center"/>
        <w:rPr>
          <w:rFonts w:ascii="宋体" w:hAnsi="宋体"/>
          <w:b/>
          <w:sz w:val="10"/>
          <w:szCs w:val="10"/>
          <w:shd w:val="clear" w:color="auto" w:fill="FFFFFF"/>
        </w:rPr>
      </w:pPr>
    </w:p>
    <w:p w14:paraId="40263121">
      <w:pPr>
        <w:spacing w:line="360" w:lineRule="auto"/>
        <w:jc w:val="center"/>
        <w:rPr>
          <w:rFonts w:ascii="宋体" w:hAnsi="宋体"/>
          <w:sz w:val="32"/>
          <w:szCs w:val="32"/>
        </w:rPr>
      </w:pPr>
      <w:r>
        <w:rPr>
          <w:rFonts w:hint="eastAsia" w:ascii="宋体" w:hAnsi="宋体"/>
          <w:b/>
          <w:sz w:val="32"/>
          <w:szCs w:val="32"/>
          <w:shd w:val="clear" w:color="auto" w:fill="FFFFFF"/>
        </w:rPr>
        <w:t>九、诚实信用和解释权</w:t>
      </w:r>
    </w:p>
    <w:p w14:paraId="346675D7">
      <w:pPr>
        <w:spacing w:line="360" w:lineRule="auto"/>
        <w:outlineLvl w:val="2"/>
        <w:rPr>
          <w:rFonts w:ascii="宋体" w:hAnsi="宋体"/>
          <w:b/>
          <w:sz w:val="28"/>
          <w:szCs w:val="28"/>
        </w:rPr>
      </w:pPr>
      <w:r>
        <w:rPr>
          <w:rFonts w:hint="eastAsia" w:ascii="宋体" w:hAnsi="宋体"/>
          <w:b/>
          <w:sz w:val="28"/>
          <w:szCs w:val="28"/>
        </w:rPr>
        <w:t>42、诚实信用</w:t>
      </w:r>
    </w:p>
    <w:p w14:paraId="66B24D24">
      <w:pPr>
        <w:adjustRightInd w:val="0"/>
        <w:snapToGrid w:val="0"/>
        <w:spacing w:line="360" w:lineRule="auto"/>
        <w:ind w:firstLine="360"/>
        <w:jc w:val="left"/>
        <w:rPr>
          <w:rFonts w:ascii="宋体" w:hAnsi="宋体"/>
          <w:sz w:val="24"/>
          <w:szCs w:val="24"/>
        </w:rPr>
      </w:pPr>
      <w:r>
        <w:rPr>
          <w:rFonts w:hint="eastAsia" w:ascii="宋体" w:hAnsi="宋体"/>
          <w:sz w:val="24"/>
          <w:szCs w:val="24"/>
        </w:rPr>
        <w:t>42.1 供应商之间不得相互串通投标报价，不得妨碍其他供应商的公平竞争，不得损害采购人和其他供应商的合法权益。</w:t>
      </w:r>
    </w:p>
    <w:p w14:paraId="2C584F00">
      <w:pPr>
        <w:adjustRightInd w:val="0"/>
        <w:snapToGrid w:val="0"/>
        <w:spacing w:line="360" w:lineRule="auto"/>
        <w:ind w:firstLine="360"/>
        <w:jc w:val="left"/>
        <w:rPr>
          <w:rFonts w:ascii="宋体" w:hAnsi="宋体"/>
          <w:sz w:val="24"/>
          <w:szCs w:val="24"/>
        </w:rPr>
      </w:pPr>
      <w:r>
        <w:rPr>
          <w:rFonts w:hint="eastAsia" w:ascii="宋体" w:hAnsi="宋体"/>
          <w:sz w:val="24"/>
          <w:szCs w:val="24"/>
        </w:rPr>
        <w:t>42.2 供应商不得以向招标组织方工作人员、评标委员会成员行贿或者采取其他不正当手段谋取中标。经查实供应商有此行为的，将在“江苏省政府采购”网站公告，政府采购管理部门将供应商列入不良行为记录名单，按照政府采购有关规定处理。</w:t>
      </w:r>
    </w:p>
    <w:p w14:paraId="550B37B5">
      <w:pPr>
        <w:adjustRightInd w:val="0"/>
        <w:snapToGrid w:val="0"/>
        <w:spacing w:line="360" w:lineRule="auto"/>
        <w:ind w:firstLine="360"/>
        <w:jc w:val="left"/>
        <w:rPr>
          <w:rFonts w:ascii="宋体" w:hAnsi="宋体"/>
          <w:sz w:val="24"/>
          <w:szCs w:val="24"/>
        </w:rPr>
      </w:pPr>
      <w:r>
        <w:rPr>
          <w:rFonts w:hint="eastAsia" w:ascii="宋体" w:hAnsi="宋体"/>
          <w:sz w:val="24"/>
          <w:szCs w:val="24"/>
        </w:rPr>
        <w:t>42.3供应商不得虚假承诺，否则，按照提供虚假材料谋取中标（成交）处理。</w:t>
      </w:r>
    </w:p>
    <w:p w14:paraId="7A4E6BB3">
      <w:pPr>
        <w:adjustRightInd w:val="0"/>
        <w:snapToGrid w:val="0"/>
        <w:spacing w:line="360" w:lineRule="auto"/>
        <w:ind w:firstLine="360"/>
        <w:jc w:val="left"/>
        <w:rPr>
          <w:rFonts w:ascii="宋体" w:hAnsi="宋体"/>
          <w:sz w:val="24"/>
          <w:szCs w:val="24"/>
        </w:rPr>
      </w:pPr>
      <w:r>
        <w:rPr>
          <w:rFonts w:hint="eastAsia" w:ascii="宋体" w:hAnsi="宋体"/>
          <w:sz w:val="24"/>
          <w:szCs w:val="24"/>
        </w:rPr>
        <w:t>42</w:t>
      </w:r>
      <w:r>
        <w:rPr>
          <w:rFonts w:ascii="宋体" w:hAnsi="宋体"/>
          <w:sz w:val="24"/>
          <w:szCs w:val="24"/>
        </w:rPr>
        <w:t>.4供应商应自觉遵守开标、评标纪律，扰乱开标评标现场秩序的，属于失信行为，根据《江苏省政府采购供应商监督管理暂行办法》，失信行为将被记入供应商诚信档案。</w:t>
      </w:r>
    </w:p>
    <w:p w14:paraId="769A788E">
      <w:pPr>
        <w:adjustRightInd w:val="0"/>
        <w:snapToGrid w:val="0"/>
        <w:spacing w:line="360" w:lineRule="auto"/>
        <w:ind w:firstLine="360"/>
        <w:jc w:val="left"/>
        <w:rPr>
          <w:rFonts w:ascii="宋体" w:hAnsi="宋体"/>
          <w:sz w:val="24"/>
          <w:szCs w:val="24"/>
        </w:rPr>
      </w:pPr>
      <w:r>
        <w:rPr>
          <w:rFonts w:hint="eastAsia" w:ascii="宋体" w:hAnsi="宋体"/>
          <w:sz w:val="24"/>
          <w:szCs w:val="24"/>
        </w:rPr>
        <w:t>42</w:t>
      </w:r>
      <w:r>
        <w:rPr>
          <w:rFonts w:ascii="宋体" w:hAnsi="宋体"/>
          <w:sz w:val="24"/>
          <w:szCs w:val="24"/>
        </w:rPr>
        <w:t>.5</w:t>
      </w:r>
      <w:r>
        <w:rPr>
          <w:rFonts w:hint="eastAsia" w:ascii="宋体" w:hAnsi="宋体"/>
          <w:sz w:val="24"/>
          <w:szCs w:val="24"/>
        </w:rPr>
        <w:t>根据《财政部关于在政府采购活动中查询及使用信息记录有关问题的通知》（财库〔2016〕125号）、江苏省财政厅《关于做好政府采购信用信息查询使用及登记等工作的通知》（苏财购〔2016〕50号）等文件精神，评标委员会在项目资格性审查时对参加本项目的各供应商进行信用记录查询，信用记录查询渠道为“信用中国”网站（www.creditchina.gov.cn ）、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5BF1C17">
      <w:pPr>
        <w:spacing w:line="360" w:lineRule="auto"/>
        <w:outlineLvl w:val="2"/>
        <w:rPr>
          <w:rFonts w:ascii="宋体" w:hAnsi="宋体"/>
          <w:b/>
          <w:sz w:val="28"/>
          <w:szCs w:val="28"/>
        </w:rPr>
      </w:pPr>
      <w:r>
        <w:rPr>
          <w:rFonts w:hint="eastAsia" w:ascii="宋体" w:hAnsi="宋体"/>
          <w:b/>
          <w:sz w:val="28"/>
          <w:szCs w:val="28"/>
        </w:rPr>
        <w:t>43、解释权</w:t>
      </w:r>
    </w:p>
    <w:p w14:paraId="5DB8EF15">
      <w:pPr>
        <w:spacing w:line="360" w:lineRule="auto"/>
        <w:ind w:firstLine="240" w:firstLineChars="100"/>
        <w:rPr>
          <w:rFonts w:ascii="宋体" w:hAnsi="宋体"/>
          <w:sz w:val="24"/>
          <w:szCs w:val="24"/>
        </w:rPr>
      </w:pPr>
      <w:r>
        <w:rPr>
          <w:rFonts w:hint="eastAsia" w:ascii="宋体" w:hAnsi="宋体"/>
          <w:sz w:val="24"/>
          <w:szCs w:val="24"/>
        </w:rPr>
        <w:t>43.1除相关法律、法规规定外，本招标文件的解释权归采购代理机构所有。</w:t>
      </w:r>
    </w:p>
    <w:p w14:paraId="30A09968">
      <w:pPr>
        <w:spacing w:line="460" w:lineRule="exact"/>
        <w:ind w:firstLine="720" w:firstLineChars="200"/>
        <w:rPr>
          <w:rFonts w:ascii="宋体" w:hAnsi="宋体"/>
          <w:sz w:val="24"/>
        </w:rPr>
      </w:pPr>
      <w:r>
        <w:rPr>
          <w:rFonts w:hint="eastAsia" w:ascii="宋体" w:hAnsi="宋体"/>
          <w:sz w:val="36"/>
          <w:szCs w:val="20"/>
        </w:rPr>
        <w:br w:type="page" w:clear="all"/>
      </w:r>
      <w:bookmarkEnd w:id="106"/>
      <w:bookmarkEnd w:id="107"/>
      <w:bookmarkEnd w:id="108"/>
      <w:bookmarkEnd w:id="109"/>
      <w:bookmarkEnd w:id="110"/>
    </w:p>
    <w:p w14:paraId="7CE6DC38">
      <w:pPr>
        <w:keepNext/>
        <w:keepLines/>
        <w:spacing w:before="260" w:after="260"/>
        <w:jc w:val="center"/>
        <w:outlineLvl w:val="0"/>
        <w:rPr>
          <w:rFonts w:ascii="宋体" w:hAnsi="宋体"/>
          <w:b/>
          <w:sz w:val="36"/>
          <w:szCs w:val="20"/>
        </w:rPr>
      </w:pPr>
      <w:r>
        <w:rPr>
          <w:rFonts w:hint="eastAsia" w:ascii="宋体" w:hAnsi="宋体"/>
          <w:b/>
          <w:sz w:val="36"/>
          <w:szCs w:val="20"/>
        </w:rPr>
        <w:t>第三章 项目需求</w:t>
      </w:r>
    </w:p>
    <w:p w14:paraId="6663FFC3">
      <w:pPr>
        <w:pStyle w:val="2"/>
        <w:ind w:firstLine="482" w:firstLineChars="200"/>
        <w:jc w:val="both"/>
        <w:rPr>
          <w:rFonts w:ascii="宋体" w:hAnsi="宋体" w:eastAsia="宋体" w:cs="宋体"/>
          <w:b/>
          <w:bCs/>
          <w:sz w:val="24"/>
          <w:szCs w:val="24"/>
        </w:rPr>
      </w:pPr>
      <w:r>
        <w:rPr>
          <w:rFonts w:hint="eastAsia" w:ascii="宋体" w:hAnsi="宋体" w:eastAsia="宋体" w:cs="宋体"/>
          <w:b/>
          <w:bCs/>
          <w:sz w:val="24"/>
          <w:szCs w:val="24"/>
        </w:rPr>
        <w:t>1.项目概况</w:t>
      </w:r>
    </w:p>
    <w:p w14:paraId="107564D3">
      <w:pPr>
        <w:spacing w:line="360" w:lineRule="auto"/>
        <w:ind w:firstLine="480" w:firstLineChars="200"/>
        <w:rPr>
          <w:rFonts w:ascii="宋体" w:hAnsi="宋体" w:cs="宋体"/>
          <w:sz w:val="24"/>
          <w:szCs w:val="24"/>
        </w:rPr>
      </w:pPr>
      <w:r>
        <w:rPr>
          <w:rFonts w:hint="eastAsia" w:ascii="宋体" w:hAnsi="宋体" w:cs="宋体"/>
          <w:sz w:val="24"/>
          <w:szCs w:val="24"/>
        </w:rPr>
        <w:t xml:space="preserve"> 项目名称：</w:t>
      </w:r>
      <w:r>
        <w:rPr>
          <w:rFonts w:hint="eastAsia" w:ascii="宋体" w:hAnsi="宋体" w:cs="宋体"/>
          <w:sz w:val="24"/>
          <w:szCs w:val="24"/>
          <w:lang w:eastAsia="zh-CN"/>
        </w:rPr>
        <w:t>江苏省交通技师学院虚拟仿真数控技术系统采购项目</w:t>
      </w:r>
      <w:r>
        <w:rPr>
          <w:rFonts w:hint="eastAsia" w:ascii="宋体" w:hAnsi="宋体" w:cs="宋体"/>
          <w:sz w:val="24"/>
          <w:szCs w:val="24"/>
        </w:rPr>
        <w:t>。</w:t>
      </w:r>
    </w:p>
    <w:p w14:paraId="4EAA18A4">
      <w:pPr>
        <w:spacing w:line="360" w:lineRule="auto"/>
        <w:ind w:firstLine="480" w:firstLineChars="200"/>
        <w:rPr>
          <w:rFonts w:ascii="宋体" w:hAnsi="宋体" w:cs="宋体"/>
          <w:sz w:val="24"/>
          <w:szCs w:val="24"/>
        </w:rPr>
      </w:pPr>
      <w:r>
        <w:rPr>
          <w:rFonts w:hint="eastAsia" w:ascii="宋体" w:hAnsi="宋体" w:cs="宋体"/>
          <w:sz w:val="24"/>
          <w:szCs w:val="24"/>
        </w:rPr>
        <w:t xml:space="preserve"> 项目地点：江苏省镇江市丹徒区长香西大道500号。</w:t>
      </w:r>
    </w:p>
    <w:p w14:paraId="1D848A17">
      <w:pPr>
        <w:spacing w:line="360" w:lineRule="auto"/>
        <w:ind w:firstLine="480" w:firstLineChars="200"/>
        <w:rPr>
          <w:rFonts w:ascii="宋体" w:hAnsi="宋体" w:cs="宋体"/>
          <w:sz w:val="24"/>
          <w:szCs w:val="24"/>
        </w:rPr>
      </w:pPr>
      <w:r>
        <w:rPr>
          <w:rFonts w:hint="eastAsia" w:ascii="宋体" w:hAnsi="宋体" w:cs="宋体"/>
          <w:sz w:val="24"/>
          <w:szCs w:val="24"/>
        </w:rPr>
        <w:t xml:space="preserve"> 项目总体预算：</w:t>
      </w:r>
      <w:r>
        <w:rPr>
          <w:rFonts w:ascii="宋体" w:hAnsi="宋体" w:cs="宋体"/>
          <w:sz w:val="24"/>
          <w:szCs w:val="24"/>
        </w:rPr>
        <w:t>140</w:t>
      </w:r>
      <w:r>
        <w:rPr>
          <w:rFonts w:hint="eastAsia" w:ascii="宋体" w:hAnsi="宋体" w:cs="宋体"/>
          <w:sz w:val="24"/>
          <w:szCs w:val="24"/>
        </w:rPr>
        <w:t>万元。</w:t>
      </w:r>
    </w:p>
    <w:p w14:paraId="011FC7EC">
      <w:pPr>
        <w:pStyle w:val="2"/>
        <w:ind w:firstLine="482" w:firstLineChars="200"/>
        <w:jc w:val="both"/>
        <w:rPr>
          <w:rFonts w:ascii="宋体" w:hAnsi="宋体" w:eastAsia="宋体" w:cs="宋体"/>
          <w:b/>
          <w:bCs/>
          <w:sz w:val="24"/>
          <w:szCs w:val="24"/>
        </w:rPr>
      </w:pPr>
      <w:r>
        <w:rPr>
          <w:rFonts w:hint="eastAsia" w:ascii="宋体" w:hAnsi="宋体" w:eastAsia="宋体" w:cs="宋体"/>
          <w:b/>
          <w:bCs/>
          <w:sz w:val="24"/>
          <w:szCs w:val="24"/>
        </w:rPr>
        <w:t>2. 报价</w:t>
      </w:r>
    </w:p>
    <w:p w14:paraId="13CA6455">
      <w:pPr>
        <w:spacing w:line="360" w:lineRule="auto"/>
        <w:ind w:firstLine="480" w:firstLineChars="200"/>
        <w:rPr>
          <w:rFonts w:ascii="宋体" w:hAnsi="宋体" w:cs="宋体"/>
          <w:sz w:val="24"/>
          <w:szCs w:val="24"/>
        </w:rPr>
      </w:pPr>
      <w:r>
        <w:rPr>
          <w:rFonts w:hint="eastAsia" w:ascii="宋体" w:hAnsi="宋体" w:cs="宋体"/>
          <w:sz w:val="24"/>
          <w:szCs w:val="24"/>
        </w:rPr>
        <w:t>2.1投标人须根据招标文件所确定本次招标范围内的全部工作内容进行报价，报价须包含招标文件规定的</w:t>
      </w:r>
      <w:r>
        <w:rPr>
          <w:rFonts w:hint="eastAsia" w:ascii="宋体" w:hAnsi="宋体" w:cs="宋体"/>
          <w:sz w:val="24"/>
          <w:szCs w:val="24"/>
          <w:lang w:eastAsia="zh-CN"/>
        </w:rPr>
        <w:t>江苏省交通技师学院虚拟仿真数控技术系统采购项目</w:t>
      </w:r>
      <w:r>
        <w:rPr>
          <w:rFonts w:hint="eastAsia" w:ascii="宋体" w:hAnsi="宋体" w:cs="宋体"/>
          <w:sz w:val="24"/>
          <w:szCs w:val="24"/>
        </w:rPr>
        <w:t>所涉及到的一切费用。</w:t>
      </w:r>
      <w:r>
        <w:rPr>
          <w:rFonts w:hint="eastAsia" w:ascii="宋体" w:hAnsi="宋体" w:cs="宋体"/>
          <w:sz w:val="24"/>
          <w:szCs w:val="24"/>
        </w:rPr>
        <w:cr/>
      </w:r>
      <w:r>
        <w:rPr>
          <w:rFonts w:hint="eastAsia" w:ascii="宋体" w:hAnsi="宋体" w:cs="宋体"/>
          <w:sz w:val="24"/>
          <w:szCs w:val="24"/>
        </w:rPr>
        <w:t xml:space="preserve">   （1）投标人须提供招标范围内的所有专业设备，硬件和软件的安装、调试、操作培训等技术服务，并负责通过验收直至交付使用，如有招标文件内容中未提到的，但又是设备正常使用中不可缺少的，应由投标人进行完善，费用视作已含在投标报价中。</w:t>
      </w:r>
      <w:r>
        <w:rPr>
          <w:rFonts w:hint="eastAsia" w:ascii="宋体" w:hAnsi="宋体" w:cs="宋体"/>
          <w:sz w:val="24"/>
          <w:szCs w:val="24"/>
        </w:rPr>
        <w:cr/>
      </w:r>
      <w:r>
        <w:rPr>
          <w:rFonts w:hint="eastAsia" w:ascii="宋体" w:hAnsi="宋体" w:cs="宋体"/>
          <w:sz w:val="24"/>
          <w:szCs w:val="24"/>
        </w:rPr>
        <w:t xml:space="preserve">   （2）投标人负责该项目内实训场地装饰和改造工作，投标人须根据采购人提供的设计图纸完成相关施工工作，如设计图中未明确，但又是达成实训室建设效果不可或缺的，应由投标人进行完善，费用视作已含在投标报价中。</w:t>
      </w:r>
    </w:p>
    <w:p w14:paraId="015C166C">
      <w:pPr>
        <w:spacing w:line="360" w:lineRule="auto"/>
        <w:ind w:firstLine="480" w:firstLineChars="200"/>
        <w:rPr>
          <w:rFonts w:ascii="宋体" w:hAnsi="宋体" w:cs="宋体"/>
          <w:sz w:val="24"/>
          <w:szCs w:val="24"/>
        </w:rPr>
      </w:pPr>
      <w:r>
        <w:rPr>
          <w:rFonts w:hint="eastAsia" w:ascii="宋体" w:hAnsi="宋体" w:cs="宋体"/>
          <w:sz w:val="24"/>
          <w:szCs w:val="24"/>
        </w:rPr>
        <w:t>2.2 投标人的报价应包括全部货物或工程或服务的价格及相关税费、运输到指定地点的装运费用、安装调试、培训、售后服务等其他有关的所有费用。</w:t>
      </w:r>
    </w:p>
    <w:p w14:paraId="671EA649">
      <w:pPr>
        <w:pStyle w:val="2"/>
        <w:ind w:firstLine="482" w:firstLineChars="200"/>
        <w:jc w:val="both"/>
        <w:rPr>
          <w:rFonts w:ascii="宋体" w:hAnsi="宋体" w:eastAsia="宋体" w:cs="宋体"/>
          <w:b/>
          <w:bCs/>
          <w:sz w:val="24"/>
          <w:szCs w:val="24"/>
        </w:rPr>
      </w:pPr>
      <w:r>
        <w:rPr>
          <w:rFonts w:hint="eastAsia" w:ascii="宋体" w:hAnsi="宋体" w:eastAsia="宋体" w:cs="宋体"/>
          <w:b/>
          <w:bCs/>
          <w:sz w:val="24"/>
          <w:szCs w:val="24"/>
        </w:rPr>
        <w:t>3.装修工程质量要求</w:t>
      </w:r>
    </w:p>
    <w:p w14:paraId="3B67BC7A">
      <w:pPr>
        <w:spacing w:line="360" w:lineRule="auto"/>
        <w:ind w:firstLine="480" w:firstLineChars="200"/>
        <w:rPr>
          <w:rFonts w:ascii="宋体" w:hAnsi="宋体" w:cs="宋体"/>
          <w:sz w:val="24"/>
          <w:szCs w:val="24"/>
        </w:rPr>
      </w:pPr>
      <w:r>
        <w:rPr>
          <w:rFonts w:hint="eastAsia" w:ascii="宋体" w:hAnsi="宋体" w:cs="宋体"/>
          <w:sz w:val="24"/>
          <w:szCs w:val="24"/>
        </w:rPr>
        <w:t>3.1中标人须无条件接受采购人、质量监督管理部门、监理单位的质量检查和管理，共同把握好质量关。</w:t>
      </w:r>
    </w:p>
    <w:p w14:paraId="27FEBE2F">
      <w:pPr>
        <w:spacing w:line="360" w:lineRule="auto"/>
        <w:ind w:firstLine="480" w:firstLineChars="200"/>
        <w:rPr>
          <w:rFonts w:ascii="宋体" w:hAnsi="宋体" w:cs="宋体"/>
          <w:sz w:val="24"/>
          <w:szCs w:val="24"/>
        </w:rPr>
      </w:pPr>
      <w:r>
        <w:rPr>
          <w:rFonts w:hint="eastAsia" w:ascii="宋体" w:hAnsi="宋体" w:cs="宋体"/>
          <w:sz w:val="24"/>
          <w:szCs w:val="24"/>
        </w:rPr>
        <w:t>3.2中标人的二次深化设计得到采购人的确认后，方可进入下一步的制作作业。</w:t>
      </w:r>
    </w:p>
    <w:p w14:paraId="4206495D">
      <w:pPr>
        <w:spacing w:line="360" w:lineRule="auto"/>
        <w:ind w:firstLine="480" w:firstLineChars="200"/>
        <w:rPr>
          <w:rFonts w:ascii="宋体" w:hAnsi="宋体" w:cs="宋体"/>
          <w:sz w:val="24"/>
          <w:szCs w:val="24"/>
        </w:rPr>
      </w:pPr>
      <w:r>
        <w:rPr>
          <w:rFonts w:hint="eastAsia" w:ascii="宋体" w:hAnsi="宋体" w:cs="宋体"/>
          <w:sz w:val="24"/>
          <w:szCs w:val="24"/>
        </w:rPr>
        <w:t>3.3项目内装修改造所需材料均由中标人根据设计方案和国家有关规定的具体要求进行采购、运输、检验、保管。所有材料须有产品合格证和质量保证书，符合节能和环保要求和国家规定的技术标准。</w:t>
      </w:r>
    </w:p>
    <w:p w14:paraId="1FC56462">
      <w:pPr>
        <w:spacing w:line="360" w:lineRule="auto"/>
        <w:ind w:firstLine="480" w:firstLineChars="200"/>
        <w:rPr>
          <w:rFonts w:ascii="宋体" w:hAnsi="宋体" w:cs="宋体"/>
          <w:sz w:val="24"/>
          <w:szCs w:val="24"/>
        </w:rPr>
      </w:pPr>
      <w:r>
        <w:rPr>
          <w:rFonts w:hint="eastAsia" w:ascii="宋体" w:hAnsi="宋体" w:cs="宋体"/>
          <w:sz w:val="24"/>
          <w:szCs w:val="24"/>
        </w:rPr>
        <w:t>3.4项目内装修改造所用的主要装修材料，中标人应在采购前向采购人送样，经采购人确认后方可使用，未经确认则视为验收不合格。</w:t>
      </w:r>
    </w:p>
    <w:p w14:paraId="66973AB7">
      <w:pPr>
        <w:spacing w:line="360" w:lineRule="auto"/>
        <w:ind w:firstLine="480" w:firstLineChars="200"/>
        <w:rPr>
          <w:rFonts w:ascii="宋体" w:hAnsi="宋体" w:cs="宋体"/>
          <w:sz w:val="24"/>
          <w:szCs w:val="24"/>
        </w:rPr>
      </w:pPr>
      <w:r>
        <w:rPr>
          <w:rFonts w:hint="eastAsia" w:ascii="宋体" w:hAnsi="宋体" w:cs="宋体"/>
          <w:sz w:val="24"/>
          <w:szCs w:val="24"/>
        </w:rPr>
        <w:t>3.5.中标人须配合采购人对项目内装修改造工程进行进度跟踪和技术质量监督。无论是否已征得采购人的同意和确认，中标人应对最终的质量和效果负责。</w:t>
      </w:r>
    </w:p>
    <w:p w14:paraId="69BC3A02">
      <w:pPr>
        <w:pStyle w:val="2"/>
        <w:ind w:firstLine="482" w:firstLineChars="200"/>
        <w:jc w:val="both"/>
        <w:rPr>
          <w:rFonts w:ascii="宋体" w:hAnsi="宋体" w:eastAsia="宋体" w:cs="宋体"/>
          <w:b/>
          <w:bCs/>
          <w:sz w:val="24"/>
          <w:szCs w:val="24"/>
        </w:rPr>
      </w:pPr>
      <w:r>
        <w:rPr>
          <w:rFonts w:hint="eastAsia" w:ascii="宋体" w:hAnsi="宋体" w:eastAsia="宋体" w:cs="宋体"/>
          <w:b/>
          <w:bCs/>
          <w:sz w:val="24"/>
          <w:szCs w:val="24"/>
        </w:rPr>
        <w:t>4.支付方式</w:t>
      </w:r>
    </w:p>
    <w:tbl>
      <w:tblPr>
        <w:tblStyle w:val="55"/>
        <w:tblpPr w:leftFromText="180" w:rightFromText="180" w:vertAnchor="text" w:horzAnchor="page" w:tblpX="2051" w:tblpY="295"/>
        <w:tblOverlap w:val="never"/>
        <w:tblW w:w="7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5"/>
        <w:gridCol w:w="1431"/>
        <w:gridCol w:w="4966"/>
      </w:tblGrid>
      <w:tr w14:paraId="1B759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455" w:type="dxa"/>
            <w:vAlign w:val="center"/>
          </w:tcPr>
          <w:p w14:paraId="68AE6E99">
            <w:pPr>
              <w:pStyle w:val="2"/>
              <w:outlineLvl w:val="0"/>
              <w:rPr>
                <w:rFonts w:ascii="宋体" w:hAnsi="宋体" w:eastAsia="宋体" w:cs="宋体"/>
                <w:sz w:val="24"/>
                <w:szCs w:val="24"/>
              </w:rPr>
            </w:pPr>
            <w:r>
              <w:rPr>
                <w:rFonts w:hint="eastAsia" w:ascii="宋体" w:hAnsi="宋体" w:eastAsia="宋体" w:cs="宋体"/>
                <w:sz w:val="24"/>
                <w:szCs w:val="24"/>
              </w:rPr>
              <w:t>支付期次</w:t>
            </w:r>
          </w:p>
        </w:tc>
        <w:tc>
          <w:tcPr>
            <w:tcW w:w="1431" w:type="dxa"/>
            <w:vAlign w:val="center"/>
          </w:tcPr>
          <w:p w14:paraId="7C8DEB35">
            <w:pPr>
              <w:pStyle w:val="2"/>
              <w:outlineLvl w:val="0"/>
              <w:rPr>
                <w:rFonts w:ascii="宋体" w:hAnsi="宋体" w:eastAsia="宋体" w:cs="宋体"/>
                <w:sz w:val="24"/>
                <w:szCs w:val="24"/>
              </w:rPr>
            </w:pPr>
            <w:r>
              <w:rPr>
                <w:rFonts w:hint="eastAsia" w:ascii="宋体" w:hAnsi="宋体" w:eastAsia="宋体" w:cs="宋体"/>
                <w:sz w:val="24"/>
                <w:szCs w:val="24"/>
              </w:rPr>
              <w:t>支付比例</w:t>
            </w:r>
          </w:p>
        </w:tc>
        <w:tc>
          <w:tcPr>
            <w:tcW w:w="4966" w:type="dxa"/>
            <w:vAlign w:val="center"/>
          </w:tcPr>
          <w:p w14:paraId="5995F7A4">
            <w:pPr>
              <w:pStyle w:val="2"/>
              <w:outlineLvl w:val="0"/>
              <w:rPr>
                <w:rFonts w:ascii="宋体" w:hAnsi="宋体" w:eastAsia="宋体" w:cs="宋体"/>
                <w:sz w:val="24"/>
                <w:szCs w:val="24"/>
              </w:rPr>
            </w:pPr>
            <w:r>
              <w:rPr>
                <w:rFonts w:hint="eastAsia" w:ascii="宋体" w:hAnsi="宋体" w:eastAsia="宋体" w:cs="宋体"/>
                <w:sz w:val="24"/>
                <w:szCs w:val="24"/>
              </w:rPr>
              <w:t>支付期次说明</w:t>
            </w:r>
          </w:p>
        </w:tc>
      </w:tr>
      <w:tr w14:paraId="06FC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1455" w:type="dxa"/>
            <w:vAlign w:val="center"/>
          </w:tcPr>
          <w:p w14:paraId="4BE4FDAA">
            <w:pPr>
              <w:pStyle w:val="2"/>
              <w:outlineLvl w:val="0"/>
              <w:rPr>
                <w:rFonts w:ascii="宋体" w:hAnsi="宋体" w:eastAsia="宋体" w:cs="宋体"/>
                <w:sz w:val="24"/>
                <w:szCs w:val="24"/>
              </w:rPr>
            </w:pPr>
            <w:r>
              <w:rPr>
                <w:rFonts w:hint="eastAsia" w:ascii="宋体" w:hAnsi="宋体" w:eastAsia="宋体" w:cs="宋体"/>
                <w:sz w:val="24"/>
                <w:szCs w:val="24"/>
              </w:rPr>
              <w:t>1</w:t>
            </w:r>
          </w:p>
        </w:tc>
        <w:tc>
          <w:tcPr>
            <w:tcW w:w="1431" w:type="dxa"/>
            <w:vAlign w:val="center"/>
          </w:tcPr>
          <w:p w14:paraId="0FF372C6">
            <w:pPr>
              <w:pStyle w:val="2"/>
              <w:outlineLvl w:val="0"/>
              <w:rPr>
                <w:rFonts w:ascii="宋体" w:hAnsi="宋体" w:eastAsia="宋体" w:cs="宋体"/>
                <w:kern w:val="2"/>
                <w:sz w:val="24"/>
                <w:szCs w:val="24"/>
              </w:rPr>
            </w:pPr>
            <w:r>
              <w:rPr>
                <w:rFonts w:hint="eastAsia" w:ascii="宋体" w:hAnsi="宋体" w:eastAsia="宋体" w:cs="宋体"/>
                <w:kern w:val="2"/>
                <w:sz w:val="24"/>
                <w:szCs w:val="24"/>
              </w:rPr>
              <w:t>/</w:t>
            </w:r>
          </w:p>
        </w:tc>
        <w:tc>
          <w:tcPr>
            <w:tcW w:w="4966" w:type="dxa"/>
            <w:vAlign w:val="center"/>
          </w:tcPr>
          <w:p w14:paraId="1B628461">
            <w:pPr>
              <w:jc w:val="left"/>
              <w:rPr>
                <w:rFonts w:ascii="宋体" w:hAnsi="宋体" w:cs="宋体"/>
                <w:kern w:val="2"/>
                <w:sz w:val="24"/>
                <w:szCs w:val="24"/>
              </w:rPr>
            </w:pPr>
            <w:r>
              <w:rPr>
                <w:rFonts w:hint="eastAsia" w:ascii="宋体" w:hAnsi="宋体" w:cs="宋体"/>
                <w:sz w:val="24"/>
                <w:szCs w:val="24"/>
              </w:rPr>
              <w:t>合同签订前，中标人将合同签约价的</w:t>
            </w:r>
            <w:r>
              <w:rPr>
                <w:rFonts w:ascii="宋体" w:hAnsi="宋体" w:cs="宋体"/>
                <w:sz w:val="24"/>
                <w:szCs w:val="24"/>
              </w:rPr>
              <w:t>5</w:t>
            </w:r>
            <w:r>
              <w:rPr>
                <w:rFonts w:hint="eastAsia" w:ascii="宋体" w:hAnsi="宋体" w:cs="宋体"/>
                <w:sz w:val="24"/>
                <w:szCs w:val="24"/>
              </w:rPr>
              <w:t>%作为履约保证金汇入甲方指定账户</w:t>
            </w:r>
          </w:p>
        </w:tc>
      </w:tr>
      <w:tr w14:paraId="164D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1455" w:type="dxa"/>
            <w:vAlign w:val="center"/>
          </w:tcPr>
          <w:p w14:paraId="29737CC4">
            <w:pPr>
              <w:pStyle w:val="2"/>
              <w:outlineLvl w:val="0"/>
              <w:rPr>
                <w:rFonts w:ascii="宋体" w:hAnsi="宋体" w:eastAsia="宋体" w:cs="宋体"/>
                <w:sz w:val="24"/>
                <w:szCs w:val="24"/>
              </w:rPr>
            </w:pPr>
            <w:r>
              <w:rPr>
                <w:rFonts w:hint="eastAsia" w:ascii="宋体" w:hAnsi="宋体" w:eastAsia="宋体" w:cs="宋体"/>
                <w:sz w:val="24"/>
                <w:szCs w:val="24"/>
              </w:rPr>
              <w:t>2</w:t>
            </w:r>
          </w:p>
        </w:tc>
        <w:tc>
          <w:tcPr>
            <w:tcW w:w="1431" w:type="dxa"/>
            <w:vAlign w:val="center"/>
          </w:tcPr>
          <w:p w14:paraId="40DCF8E7">
            <w:pPr>
              <w:pStyle w:val="2"/>
              <w:outlineLvl w:val="0"/>
              <w:rPr>
                <w:rFonts w:ascii="宋体" w:hAnsi="宋体" w:eastAsia="宋体" w:cs="宋体"/>
                <w:kern w:val="2"/>
                <w:sz w:val="24"/>
                <w:szCs w:val="24"/>
              </w:rPr>
            </w:pPr>
            <w:r>
              <w:rPr>
                <w:rFonts w:hint="eastAsia" w:ascii="宋体" w:hAnsi="宋体" w:eastAsia="宋体" w:cs="宋体"/>
                <w:kern w:val="2"/>
                <w:sz w:val="24"/>
                <w:szCs w:val="24"/>
              </w:rPr>
              <w:t>8</w:t>
            </w:r>
            <w:r>
              <w:rPr>
                <w:rFonts w:ascii="宋体" w:hAnsi="宋体" w:eastAsia="宋体" w:cs="宋体"/>
                <w:kern w:val="2"/>
                <w:sz w:val="24"/>
                <w:szCs w:val="24"/>
              </w:rPr>
              <w:t>0%</w:t>
            </w:r>
          </w:p>
        </w:tc>
        <w:tc>
          <w:tcPr>
            <w:tcW w:w="4966" w:type="dxa"/>
            <w:vAlign w:val="center"/>
          </w:tcPr>
          <w:p w14:paraId="56E70846">
            <w:pPr>
              <w:jc w:val="left"/>
              <w:rPr>
                <w:rFonts w:ascii="宋体" w:hAnsi="宋体" w:cs="宋体"/>
                <w:sz w:val="24"/>
                <w:szCs w:val="24"/>
              </w:rPr>
            </w:pPr>
            <w:r>
              <w:rPr>
                <w:rFonts w:hint="eastAsia" w:ascii="宋体" w:hAnsi="宋体" w:cs="宋体"/>
                <w:sz w:val="24"/>
                <w:szCs w:val="24"/>
              </w:rPr>
              <w:t>项目整体验收合格后，采购人在收到合同款增值税发票10个工作日内向中标人支付合同签约价的</w:t>
            </w:r>
            <w:r>
              <w:rPr>
                <w:rFonts w:ascii="宋体" w:hAnsi="宋体" w:cs="宋体"/>
                <w:sz w:val="24"/>
                <w:szCs w:val="24"/>
              </w:rPr>
              <w:t>80</w:t>
            </w:r>
            <w:r>
              <w:rPr>
                <w:rFonts w:hint="eastAsia" w:ascii="宋体" w:hAnsi="宋体" w:cs="宋体"/>
                <w:sz w:val="24"/>
                <w:szCs w:val="24"/>
              </w:rPr>
              <w:t>%。</w:t>
            </w:r>
          </w:p>
        </w:tc>
      </w:tr>
      <w:tr w14:paraId="3F2BC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1455" w:type="dxa"/>
            <w:vAlign w:val="center"/>
          </w:tcPr>
          <w:p w14:paraId="23E8A7C1">
            <w:pPr>
              <w:pStyle w:val="2"/>
              <w:outlineLvl w:val="0"/>
              <w:rPr>
                <w:rFonts w:ascii="宋体" w:hAnsi="宋体" w:eastAsia="宋体" w:cs="宋体"/>
                <w:sz w:val="24"/>
                <w:szCs w:val="24"/>
              </w:rPr>
            </w:pPr>
            <w:r>
              <w:rPr>
                <w:rFonts w:ascii="宋体" w:hAnsi="宋体" w:eastAsia="宋体" w:cs="宋体"/>
                <w:sz w:val="24"/>
                <w:szCs w:val="24"/>
              </w:rPr>
              <w:t>3</w:t>
            </w:r>
          </w:p>
        </w:tc>
        <w:tc>
          <w:tcPr>
            <w:tcW w:w="1431" w:type="dxa"/>
            <w:vAlign w:val="center"/>
          </w:tcPr>
          <w:p w14:paraId="0CFEFD4A">
            <w:pPr>
              <w:pStyle w:val="2"/>
              <w:outlineLvl w:val="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0%</w:t>
            </w:r>
          </w:p>
        </w:tc>
        <w:tc>
          <w:tcPr>
            <w:tcW w:w="4966" w:type="dxa"/>
            <w:vAlign w:val="center"/>
          </w:tcPr>
          <w:p w14:paraId="1D86C286">
            <w:pPr>
              <w:jc w:val="left"/>
              <w:rPr>
                <w:rFonts w:ascii="宋体" w:hAnsi="宋体" w:cs="宋体"/>
                <w:sz w:val="24"/>
                <w:szCs w:val="24"/>
              </w:rPr>
            </w:pPr>
            <w:r>
              <w:rPr>
                <w:rFonts w:hint="eastAsia" w:ascii="宋体" w:hAnsi="宋体" w:cs="宋体"/>
                <w:sz w:val="24"/>
                <w:szCs w:val="24"/>
              </w:rPr>
              <w:t>项目试运行稳定一年后，采购人在收到合同款增值税发票10个工作日内向中标人支付合同签约价的</w:t>
            </w:r>
            <w:r>
              <w:rPr>
                <w:rFonts w:ascii="宋体" w:hAnsi="宋体" w:cs="宋体"/>
                <w:sz w:val="24"/>
                <w:szCs w:val="24"/>
              </w:rPr>
              <w:t>10</w:t>
            </w:r>
            <w:r>
              <w:rPr>
                <w:rFonts w:hint="eastAsia" w:ascii="宋体" w:hAnsi="宋体" w:cs="宋体"/>
                <w:sz w:val="24"/>
                <w:szCs w:val="24"/>
              </w:rPr>
              <w:t>%。</w:t>
            </w:r>
          </w:p>
        </w:tc>
      </w:tr>
      <w:tr w14:paraId="5C48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1455" w:type="dxa"/>
            <w:vAlign w:val="center"/>
          </w:tcPr>
          <w:p w14:paraId="12613EE4">
            <w:pPr>
              <w:pStyle w:val="2"/>
              <w:outlineLvl w:val="0"/>
              <w:rPr>
                <w:rFonts w:ascii="宋体" w:hAnsi="宋体" w:eastAsia="宋体" w:cs="宋体"/>
                <w:sz w:val="24"/>
                <w:szCs w:val="24"/>
              </w:rPr>
            </w:pPr>
            <w:r>
              <w:rPr>
                <w:rFonts w:hint="eastAsia" w:ascii="宋体" w:hAnsi="宋体" w:eastAsia="宋体" w:cs="宋体"/>
                <w:sz w:val="24"/>
                <w:szCs w:val="24"/>
              </w:rPr>
              <w:t>4</w:t>
            </w:r>
          </w:p>
        </w:tc>
        <w:tc>
          <w:tcPr>
            <w:tcW w:w="1431" w:type="dxa"/>
            <w:vAlign w:val="center"/>
          </w:tcPr>
          <w:p w14:paraId="606AEA4B">
            <w:pPr>
              <w:pStyle w:val="2"/>
              <w:outlineLvl w:val="0"/>
              <w:rPr>
                <w:rFonts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0%</w:t>
            </w:r>
          </w:p>
        </w:tc>
        <w:tc>
          <w:tcPr>
            <w:tcW w:w="4966" w:type="dxa"/>
            <w:vAlign w:val="center"/>
          </w:tcPr>
          <w:p w14:paraId="027D382B">
            <w:pPr>
              <w:jc w:val="left"/>
              <w:rPr>
                <w:rFonts w:ascii="宋体" w:hAnsi="宋体" w:cs="宋体"/>
                <w:sz w:val="24"/>
                <w:szCs w:val="24"/>
              </w:rPr>
            </w:pPr>
            <w:r>
              <w:rPr>
                <w:rFonts w:hint="eastAsia" w:ascii="宋体" w:hAnsi="宋体" w:cs="宋体"/>
                <w:sz w:val="24"/>
                <w:szCs w:val="24"/>
              </w:rPr>
              <w:t>项目试运行稳定两年后，采购人在收到合同款增值税发票10个工作日内向中标人支付合同签约价的</w:t>
            </w:r>
            <w:r>
              <w:rPr>
                <w:rFonts w:ascii="宋体" w:hAnsi="宋体" w:cs="宋体"/>
                <w:sz w:val="24"/>
                <w:szCs w:val="24"/>
              </w:rPr>
              <w:t>10</w:t>
            </w:r>
            <w:r>
              <w:rPr>
                <w:rFonts w:hint="eastAsia" w:ascii="宋体" w:hAnsi="宋体" w:cs="宋体"/>
                <w:sz w:val="24"/>
                <w:szCs w:val="24"/>
              </w:rPr>
              <w:t>%。</w:t>
            </w:r>
          </w:p>
        </w:tc>
      </w:tr>
    </w:tbl>
    <w:p w14:paraId="1F164B0C"/>
    <w:p w14:paraId="7D8ECAEA"/>
    <w:p w14:paraId="7BCBAEFE">
      <w:pPr>
        <w:widowControl/>
        <w:spacing w:line="360" w:lineRule="auto"/>
        <w:ind w:firstLine="480" w:firstLineChars="200"/>
        <w:jc w:val="left"/>
        <w:rPr>
          <w:rFonts w:ascii="宋体" w:hAnsi="宋体" w:cs="宋体"/>
          <w:sz w:val="24"/>
        </w:rPr>
      </w:pPr>
      <w:r>
        <w:rPr>
          <w:rFonts w:hint="eastAsia" w:ascii="宋体" w:hAnsi="宋体" w:cs="宋体"/>
          <w:sz w:val="24"/>
        </w:rPr>
        <w:t>免费质保期结束且双方无争议的情况下，采购人无息退还</w:t>
      </w:r>
      <w:r>
        <w:rPr>
          <w:rFonts w:ascii="宋体" w:hAnsi="宋体" w:cs="宋体"/>
          <w:sz w:val="24"/>
        </w:rPr>
        <w:t>5</w:t>
      </w:r>
      <w:r>
        <w:rPr>
          <w:rFonts w:hint="eastAsia" w:ascii="宋体" w:hAnsi="宋体" w:cs="宋体"/>
          <w:sz w:val="24"/>
        </w:rPr>
        <w:t>%的</w:t>
      </w:r>
      <w:r>
        <w:rPr>
          <w:rFonts w:hint="eastAsia" w:ascii="宋体" w:hAnsi="宋体" w:cs="宋体"/>
          <w:sz w:val="24"/>
          <w:szCs w:val="24"/>
        </w:rPr>
        <w:t>履约保证金</w:t>
      </w:r>
      <w:r>
        <w:rPr>
          <w:rFonts w:hint="eastAsia" w:ascii="宋体" w:hAnsi="宋体" w:cs="宋体"/>
          <w:sz w:val="24"/>
        </w:rPr>
        <w:t>。</w:t>
      </w:r>
    </w:p>
    <w:p w14:paraId="65CAF981">
      <w:pPr>
        <w:spacing w:line="460" w:lineRule="exact"/>
        <w:ind w:firstLine="482" w:firstLineChars="200"/>
        <w:rPr>
          <w:rFonts w:ascii="宋体" w:hAnsi="宋体"/>
          <w:b/>
          <w:sz w:val="24"/>
          <w:u w:val="single"/>
        </w:rPr>
      </w:pPr>
      <w:r>
        <w:rPr>
          <w:rFonts w:hint="eastAsia" w:ascii="宋体" w:hAnsi="宋体"/>
          <w:b/>
          <w:sz w:val="24"/>
          <w:u w:val="single"/>
        </w:rPr>
        <w:t>备注：每次付款前，中标人须向招标人开具正式增值税发票。</w:t>
      </w:r>
    </w:p>
    <w:p w14:paraId="09DDD3E4"/>
    <w:p w14:paraId="0A09BAD3">
      <w:pPr>
        <w:overflowPunct w:val="0"/>
        <w:spacing w:line="360" w:lineRule="auto"/>
        <w:ind w:firstLine="482" w:firstLineChars="200"/>
        <w:rPr>
          <w:rFonts w:ascii="宋体" w:hAnsi="宋体" w:cs="宋体"/>
          <w:b/>
          <w:bCs/>
          <w:sz w:val="24"/>
          <w:szCs w:val="24"/>
        </w:rPr>
      </w:pPr>
      <w:r>
        <w:rPr>
          <w:rFonts w:hint="eastAsia" w:ascii="宋体" w:hAnsi="宋体" w:cs="宋体"/>
          <w:b/>
          <w:bCs/>
          <w:sz w:val="24"/>
          <w:szCs w:val="24"/>
        </w:rPr>
        <w:t>5.现场勘察</w:t>
      </w:r>
    </w:p>
    <w:p w14:paraId="484E028F">
      <w:pPr>
        <w:widowControl/>
        <w:spacing w:line="360" w:lineRule="auto"/>
        <w:ind w:firstLine="480" w:firstLineChars="200"/>
        <w:jc w:val="left"/>
        <w:rPr>
          <w:rFonts w:ascii="宋体" w:hAnsi="宋体" w:cs="宋体"/>
          <w:sz w:val="24"/>
        </w:rPr>
      </w:pPr>
      <w:r>
        <w:rPr>
          <w:rFonts w:hint="eastAsia" w:ascii="宋体" w:hAnsi="宋体" w:cs="宋体"/>
          <w:sz w:val="24"/>
        </w:rPr>
        <w:t>该项目投标人需要到现场进行现场勘察，现场勘察安排为：</w:t>
      </w:r>
    </w:p>
    <w:p w14:paraId="51C8C775">
      <w:pPr>
        <w:widowControl/>
        <w:spacing w:line="360" w:lineRule="auto"/>
        <w:ind w:firstLine="480" w:firstLineChars="200"/>
        <w:jc w:val="left"/>
        <w:rPr>
          <w:rFonts w:ascii="宋体" w:hAnsi="宋体" w:cs="宋体"/>
          <w:sz w:val="24"/>
        </w:rPr>
      </w:pPr>
      <w:r>
        <w:rPr>
          <w:rFonts w:hint="eastAsia" w:ascii="宋体" w:hAnsi="宋体" w:cs="宋体"/>
          <w:sz w:val="24"/>
        </w:rPr>
        <w:t>时间：报名结束后3个工作日内</w:t>
      </w:r>
    </w:p>
    <w:p w14:paraId="50041303">
      <w:pPr>
        <w:widowControl/>
        <w:spacing w:line="360" w:lineRule="auto"/>
        <w:ind w:firstLine="480" w:firstLineChars="200"/>
        <w:jc w:val="left"/>
        <w:rPr>
          <w:rFonts w:ascii="宋体" w:hAnsi="宋体" w:cs="宋体"/>
          <w:sz w:val="24"/>
        </w:rPr>
      </w:pPr>
      <w:r>
        <w:rPr>
          <w:rFonts w:hint="eastAsia" w:ascii="宋体" w:hAnsi="宋体" w:cs="宋体"/>
          <w:sz w:val="24"/>
        </w:rPr>
        <w:t>地点：江苏省交通技师学院</w:t>
      </w:r>
    </w:p>
    <w:p w14:paraId="5C2F733A">
      <w:pPr>
        <w:widowControl/>
        <w:spacing w:line="360" w:lineRule="auto"/>
        <w:ind w:firstLine="480" w:firstLineChars="200"/>
        <w:jc w:val="left"/>
        <w:rPr>
          <w:rFonts w:ascii="宋体" w:hAnsi="宋体" w:cs="宋体"/>
          <w:sz w:val="24"/>
        </w:rPr>
      </w:pPr>
      <w:r>
        <w:rPr>
          <w:rFonts w:hint="eastAsia" w:ascii="宋体" w:hAnsi="宋体" w:cs="宋体"/>
          <w:sz w:val="24"/>
        </w:rPr>
        <w:t>联系人：王老师</w:t>
      </w:r>
    </w:p>
    <w:p w14:paraId="508FED17">
      <w:pPr>
        <w:widowControl/>
        <w:spacing w:line="360" w:lineRule="auto"/>
        <w:ind w:firstLine="480" w:firstLineChars="200"/>
        <w:jc w:val="left"/>
        <w:rPr>
          <w:rFonts w:ascii="宋体" w:hAnsi="宋体" w:cs="宋体"/>
          <w:sz w:val="24"/>
        </w:rPr>
      </w:pPr>
      <w:r>
        <w:rPr>
          <w:rFonts w:hint="eastAsia" w:ascii="宋体" w:hAnsi="宋体" w:cs="宋体"/>
          <w:sz w:val="24"/>
          <w:szCs w:val="24"/>
        </w:rPr>
        <w:t>联系方式：</w:t>
      </w:r>
      <w:r>
        <w:rPr>
          <w:rFonts w:ascii="宋体" w:hAnsi="宋体" w:cs="宋体"/>
          <w:sz w:val="24"/>
          <w:szCs w:val="24"/>
        </w:rPr>
        <w:t>0511-83361002</w:t>
      </w:r>
    </w:p>
    <w:p w14:paraId="31F1066D">
      <w:pPr>
        <w:pStyle w:val="2"/>
        <w:ind w:firstLine="562" w:firstLineChars="200"/>
        <w:jc w:val="both"/>
        <w:rPr>
          <w:rFonts w:ascii="宋体" w:hAnsi="宋体" w:eastAsia="宋体" w:cs="宋体"/>
          <w:b/>
          <w:bCs/>
          <w:sz w:val="24"/>
          <w:szCs w:val="24"/>
        </w:rPr>
      </w:pPr>
      <w:r>
        <w:rPr>
          <w:rFonts w:hint="eastAsia" w:ascii="宋体" w:hAnsi="宋体" w:cs="宋体"/>
          <w:b/>
          <w:bCs/>
        </w:rPr>
        <w:br w:type="page"/>
      </w:r>
      <w:r>
        <w:rPr>
          <w:rFonts w:hint="eastAsia" w:ascii="宋体" w:hAnsi="宋体" w:eastAsia="宋体" w:cs="宋体"/>
          <w:b/>
          <w:bCs/>
          <w:sz w:val="24"/>
          <w:szCs w:val="24"/>
        </w:rPr>
        <w:t>5. 采购需求</w:t>
      </w:r>
    </w:p>
    <w:p w14:paraId="1274C63F">
      <w:pPr>
        <w:spacing w:line="360" w:lineRule="auto"/>
        <w:ind w:firstLine="560" w:firstLineChars="200"/>
        <w:rPr>
          <w:rFonts w:ascii="宋体" w:hAnsi="宋体" w:cs="宋体"/>
          <w:sz w:val="28"/>
          <w:szCs w:val="28"/>
        </w:rPr>
      </w:pPr>
      <w:r>
        <w:rPr>
          <w:rFonts w:hint="eastAsia" w:ascii="宋体" w:hAnsi="宋体" w:cs="宋体"/>
          <w:sz w:val="28"/>
          <w:szCs w:val="28"/>
        </w:rPr>
        <w:t>技术要求：</w:t>
      </w:r>
    </w:p>
    <w:tbl>
      <w:tblPr>
        <w:tblStyle w:val="54"/>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957"/>
        <w:gridCol w:w="7088"/>
        <w:gridCol w:w="850"/>
      </w:tblGrid>
      <w:tr w14:paraId="5FA6B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27" w:type="dxa"/>
          </w:tcPr>
          <w:p w14:paraId="7D525CF9">
            <w:pPr>
              <w:pStyle w:val="29"/>
              <w:rPr>
                <w:rFonts w:cs="宋体"/>
              </w:rPr>
            </w:pPr>
            <w:bookmarkStart w:id="112" w:name="_Hlk235957827"/>
            <w:r>
              <w:rPr>
                <w:rFonts w:hint="eastAsia" w:hAnsi="宋体" w:cs="宋体"/>
                <w:b/>
                <w:bCs/>
              </w:rPr>
              <w:t>序号</w:t>
            </w:r>
          </w:p>
        </w:tc>
        <w:tc>
          <w:tcPr>
            <w:tcW w:w="957" w:type="dxa"/>
            <w:vAlign w:val="center"/>
          </w:tcPr>
          <w:p w14:paraId="4DB3105F">
            <w:pPr>
              <w:jc w:val="center"/>
              <w:rPr>
                <w:rFonts w:ascii="宋体" w:hAnsi="宋体" w:cs="宋体"/>
                <w:b/>
                <w:bCs/>
              </w:rPr>
            </w:pPr>
            <w:r>
              <w:rPr>
                <w:rFonts w:hint="eastAsia" w:ascii="宋体" w:hAnsi="宋体" w:cs="宋体"/>
                <w:b/>
                <w:bCs/>
                <w:szCs w:val="21"/>
              </w:rPr>
              <w:t>设备名称</w:t>
            </w:r>
          </w:p>
        </w:tc>
        <w:tc>
          <w:tcPr>
            <w:tcW w:w="7088" w:type="dxa"/>
            <w:vAlign w:val="center"/>
          </w:tcPr>
          <w:p w14:paraId="7B7D5BEB">
            <w:pPr>
              <w:jc w:val="center"/>
              <w:rPr>
                <w:rFonts w:ascii="宋体" w:hAnsi="宋体" w:cs="宋体"/>
                <w:b/>
                <w:bCs/>
              </w:rPr>
            </w:pPr>
            <w:r>
              <w:rPr>
                <w:rFonts w:hint="eastAsia" w:ascii="宋体" w:hAnsi="宋体" w:cs="宋体"/>
                <w:b/>
                <w:bCs/>
                <w:szCs w:val="21"/>
              </w:rPr>
              <w:t>技术参数</w:t>
            </w:r>
          </w:p>
        </w:tc>
        <w:tc>
          <w:tcPr>
            <w:tcW w:w="850" w:type="dxa"/>
            <w:vAlign w:val="center"/>
          </w:tcPr>
          <w:p w14:paraId="3F28F7B1">
            <w:pPr>
              <w:jc w:val="center"/>
              <w:rPr>
                <w:rFonts w:ascii="宋体" w:hAnsi="宋体" w:cs="宋体"/>
                <w:b/>
                <w:bCs/>
              </w:rPr>
            </w:pPr>
            <w:r>
              <w:rPr>
                <w:rFonts w:hint="eastAsia" w:ascii="宋体" w:hAnsi="宋体" w:cs="宋体"/>
                <w:b/>
                <w:bCs/>
                <w:szCs w:val="21"/>
              </w:rPr>
              <w:t>数量</w:t>
            </w:r>
          </w:p>
        </w:tc>
      </w:tr>
      <w:tr w14:paraId="3B98B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0" w:hRule="atLeast"/>
          <w:jc w:val="center"/>
        </w:trPr>
        <w:tc>
          <w:tcPr>
            <w:tcW w:w="427" w:type="dxa"/>
            <w:vAlign w:val="center"/>
          </w:tcPr>
          <w:p w14:paraId="1D64421C">
            <w:pPr>
              <w:jc w:val="center"/>
              <w:rPr>
                <w:rFonts w:ascii="宋体" w:hAnsi="宋体" w:cs="宋体"/>
                <w:sz w:val="24"/>
              </w:rPr>
            </w:pPr>
            <w:r>
              <w:rPr>
                <w:rFonts w:hint="eastAsia" w:ascii="宋体" w:hAnsi="宋体" w:cs="宋体"/>
                <w:sz w:val="24"/>
              </w:rPr>
              <w:t>1</w:t>
            </w:r>
          </w:p>
        </w:tc>
        <w:tc>
          <w:tcPr>
            <w:tcW w:w="957" w:type="dxa"/>
            <w:vAlign w:val="center"/>
          </w:tcPr>
          <w:p w14:paraId="1F82FF14">
            <w:pPr>
              <w:jc w:val="center"/>
              <w:rPr>
                <w:rFonts w:ascii="宋体" w:hAnsi="宋体" w:cs="宋体"/>
                <w:b/>
                <w:bCs/>
                <w:sz w:val="24"/>
              </w:rPr>
            </w:pPr>
            <w:r>
              <w:rPr>
                <w:rFonts w:hint="eastAsia" w:ascii="宋体" w:hAnsi="宋体" w:cs="宋体"/>
                <w:b/>
                <w:bCs/>
                <w:sz w:val="24"/>
              </w:rPr>
              <w:t>数控机床操作、仿真系统</w:t>
            </w:r>
          </w:p>
        </w:tc>
        <w:tc>
          <w:tcPr>
            <w:tcW w:w="7088" w:type="dxa"/>
          </w:tcPr>
          <w:p w14:paraId="3B33492F">
            <w:pPr>
              <w:spacing w:line="480" w:lineRule="exact"/>
              <w:jc w:val="left"/>
              <w:rPr>
                <w:rFonts w:ascii="宋体" w:hAnsi="宋体" w:cs="宋体"/>
                <w:b/>
                <w:bCs/>
                <w:sz w:val="24"/>
              </w:rPr>
            </w:pPr>
            <w:r>
              <w:rPr>
                <w:rFonts w:hint="eastAsia" w:ascii="宋体" w:hAnsi="宋体" w:cs="宋体"/>
                <w:b/>
                <w:bCs/>
                <w:sz w:val="24"/>
              </w:rPr>
              <w:t>一、数控桌面设备</w:t>
            </w:r>
          </w:p>
          <w:p w14:paraId="2F861276">
            <w:pPr>
              <w:spacing w:line="480" w:lineRule="exact"/>
              <w:jc w:val="left"/>
              <w:rPr>
                <w:rFonts w:ascii="宋体" w:hAnsi="宋体" w:cs="宋体"/>
                <w:b/>
                <w:bCs/>
                <w:sz w:val="24"/>
              </w:rPr>
            </w:pPr>
            <w:r>
              <w:rPr>
                <w:rFonts w:hint="eastAsia" w:ascii="宋体" w:hAnsi="宋体" w:cs="宋体"/>
                <w:sz w:val="24"/>
              </w:rPr>
              <w:t>★1、数控桌面设备配有数控车床和数控加工中心两套硬件操作面板，支持在线面板及数控系统互换，系统内部所有界面、数据及参数定义等都与真实机床的界面保持高度相同。达到优化数控机床实训场地，提高实训效率及实训安全系数的作用。</w:t>
            </w:r>
          </w:p>
          <w:p w14:paraId="76EB3DE7">
            <w:pPr>
              <w:pStyle w:val="806"/>
              <w:spacing w:line="480" w:lineRule="exact"/>
              <w:rPr>
                <w:rFonts w:ascii="宋体" w:hAnsi="宋体" w:cs="宋体"/>
                <w:sz w:val="24"/>
                <w:lang w:eastAsia="zh-CN"/>
              </w:rPr>
            </w:pPr>
            <w:r>
              <w:rPr>
                <w:rFonts w:hint="eastAsia" w:ascii="宋体" w:hAnsi="宋体" w:cs="宋体"/>
                <w:sz w:val="24"/>
                <w:lang w:eastAsia="zh-CN"/>
              </w:rPr>
              <w:t>2、数控桌面设备通过USB、VGA与电脑进行通讯、交互操作，数控仿真系统支持电脑安装、运行。</w:t>
            </w:r>
          </w:p>
          <w:p w14:paraId="3950828B">
            <w:pPr>
              <w:spacing w:line="480" w:lineRule="exact"/>
              <w:jc w:val="left"/>
              <w:rPr>
                <w:rFonts w:ascii="宋体" w:hAnsi="宋体"/>
                <w:sz w:val="24"/>
              </w:rPr>
            </w:pPr>
            <w:r>
              <w:rPr>
                <w:rFonts w:hint="eastAsia" w:ascii="宋体" w:hAnsi="宋体" w:cs="宋体"/>
                <w:sz w:val="24"/>
              </w:rPr>
              <w:t>3、考虑到实训场地面积</w:t>
            </w:r>
            <w:r>
              <w:rPr>
                <w:rFonts w:ascii="宋体" w:hAnsi="宋体" w:cs="宋体"/>
                <w:sz w:val="24"/>
              </w:rPr>
              <w:t>7.6x13m</w:t>
            </w:r>
            <w:r>
              <w:rPr>
                <w:rFonts w:hint="eastAsia" w:ascii="宋体" w:hAnsi="宋体" w:cs="宋体"/>
                <w:sz w:val="24"/>
              </w:rPr>
              <w:t>及教学场地布局，设备主体尺寸不大于55*55*10cm，符合常规使用场景</w:t>
            </w:r>
            <w:r>
              <w:rPr>
                <w:rFonts w:hint="eastAsia" w:ascii="宋体" w:hAnsi="宋体"/>
                <w:sz w:val="24"/>
              </w:rPr>
              <w:t>。</w:t>
            </w:r>
          </w:p>
          <w:p w14:paraId="77911C7C">
            <w:pPr>
              <w:spacing w:line="480" w:lineRule="exact"/>
              <w:jc w:val="left"/>
              <w:rPr>
                <w:rFonts w:ascii="宋体" w:hAnsi="宋体" w:cs="宋体"/>
                <w:sz w:val="24"/>
              </w:rPr>
            </w:pPr>
            <w:r>
              <w:rPr>
                <w:rFonts w:hint="eastAsia" w:ascii="宋体" w:hAnsi="宋体" w:cs="宋体"/>
                <w:sz w:val="24"/>
              </w:rPr>
              <w:t>4、数控系统配套数控车床、数控加工中心操作面板。</w:t>
            </w:r>
          </w:p>
          <w:p w14:paraId="6C033ED9">
            <w:pPr>
              <w:spacing w:line="480" w:lineRule="exact"/>
              <w:jc w:val="left"/>
              <w:rPr>
                <w:rFonts w:ascii="宋体" w:hAnsi="宋体" w:cs="宋体"/>
                <w:sz w:val="24"/>
              </w:rPr>
            </w:pPr>
            <w:r>
              <w:rPr>
                <w:rFonts w:hint="eastAsia" w:ascii="宋体" w:hAnsi="宋体" w:cs="宋体"/>
                <w:sz w:val="24"/>
              </w:rPr>
              <w:t>5、不小于10英寸系统显示屏。</w:t>
            </w:r>
          </w:p>
          <w:p w14:paraId="68CA2E41">
            <w:pPr>
              <w:spacing w:line="480" w:lineRule="exact"/>
              <w:jc w:val="left"/>
              <w:rPr>
                <w:rFonts w:ascii="宋体" w:hAnsi="宋体" w:cs="宋体"/>
                <w:sz w:val="24"/>
              </w:rPr>
            </w:pPr>
            <w:r>
              <w:rPr>
                <w:rFonts w:hint="eastAsia" w:ascii="宋体" w:hAnsi="宋体" w:cs="宋体"/>
                <w:sz w:val="24"/>
              </w:rPr>
              <w:t>6、配置机床电子手轮脉冲发生器。</w:t>
            </w:r>
          </w:p>
          <w:p w14:paraId="2AFF550B">
            <w:pPr>
              <w:spacing w:line="480" w:lineRule="exact"/>
              <w:jc w:val="left"/>
              <w:rPr>
                <w:rFonts w:ascii="宋体" w:hAnsi="宋体" w:cs="宋体"/>
                <w:sz w:val="24"/>
              </w:rPr>
            </w:pPr>
            <w:r>
              <w:rPr>
                <w:rFonts w:hint="eastAsia" w:ascii="宋体" w:hAnsi="宋体" w:cs="宋体"/>
                <w:sz w:val="24"/>
              </w:rPr>
              <w:t>7、基于数控机床运动的仿真系统，仿真效果逼真，运行流畅。</w:t>
            </w:r>
          </w:p>
          <w:p w14:paraId="5F58BBDE">
            <w:pPr>
              <w:spacing w:line="480" w:lineRule="exact"/>
              <w:jc w:val="left"/>
              <w:rPr>
                <w:rFonts w:ascii="宋体" w:hAnsi="宋体" w:cs="宋体"/>
                <w:sz w:val="24"/>
              </w:rPr>
            </w:pPr>
            <w:r>
              <w:rPr>
                <w:rFonts w:hint="eastAsia" w:ascii="宋体" w:hAnsi="宋体" w:cs="宋体"/>
                <w:sz w:val="24"/>
              </w:rPr>
              <w:t>8、支持拓展USB、HDMI等接口。</w:t>
            </w:r>
          </w:p>
          <w:p w14:paraId="277F6925">
            <w:pPr>
              <w:spacing w:line="480" w:lineRule="exact"/>
              <w:jc w:val="left"/>
              <w:rPr>
                <w:rFonts w:ascii="宋体" w:hAnsi="宋体" w:cs="宋体"/>
                <w:sz w:val="24"/>
              </w:rPr>
            </w:pPr>
            <w:r>
              <w:rPr>
                <w:rFonts w:hint="eastAsia" w:ascii="宋体" w:hAnsi="宋体" w:cs="宋体"/>
                <w:sz w:val="24"/>
              </w:rPr>
              <w:t>9、支持各种数据的实时显示，包括各类坐标系、加工速度、刀具补偿信息等。</w:t>
            </w:r>
          </w:p>
          <w:p w14:paraId="5D714D0B">
            <w:pPr>
              <w:spacing w:line="480" w:lineRule="exact"/>
              <w:jc w:val="left"/>
              <w:rPr>
                <w:rFonts w:ascii="宋体" w:hAnsi="宋体" w:cs="宋体"/>
                <w:sz w:val="24"/>
              </w:rPr>
            </w:pPr>
            <w:r>
              <w:rPr>
                <w:rFonts w:hint="eastAsia" w:ascii="宋体" w:hAnsi="宋体" w:cs="宋体"/>
                <w:sz w:val="24"/>
              </w:rPr>
              <w:t>10、支持刀具库、夹具库、量具库等操作演示。</w:t>
            </w:r>
          </w:p>
          <w:p w14:paraId="02FF41B9">
            <w:pPr>
              <w:spacing w:line="480" w:lineRule="exact"/>
              <w:jc w:val="left"/>
              <w:rPr>
                <w:rFonts w:ascii="宋体" w:hAnsi="宋体" w:cs="宋体"/>
                <w:sz w:val="24"/>
              </w:rPr>
            </w:pPr>
            <w:r>
              <w:rPr>
                <w:rFonts w:hint="eastAsia" w:ascii="宋体" w:hAnsi="宋体" w:cs="宋体"/>
                <w:sz w:val="24"/>
              </w:rPr>
              <w:t>▲11、支持以外接操作面板的方式控制相应虚拟仿真数控机床。</w:t>
            </w:r>
          </w:p>
          <w:p w14:paraId="67C3B8DF">
            <w:pPr>
              <w:spacing w:line="480" w:lineRule="exact"/>
              <w:jc w:val="left"/>
              <w:rPr>
                <w:rFonts w:ascii="宋体" w:hAnsi="宋体" w:cs="宋体"/>
                <w:sz w:val="24"/>
              </w:rPr>
            </w:pPr>
            <w:r>
              <w:rPr>
                <w:rFonts w:hint="eastAsia" w:ascii="宋体" w:hAnsi="宋体" w:cs="宋体"/>
                <w:sz w:val="24"/>
              </w:rPr>
              <w:t>12.可通过鼠标操作调整机床的视角和床身显示模式，旋转、缩放、平移，多角度的观测加工过程，并支持在线测量功能。</w:t>
            </w:r>
          </w:p>
          <w:p w14:paraId="76A519CF">
            <w:pPr>
              <w:spacing w:line="480" w:lineRule="exact"/>
              <w:jc w:val="left"/>
              <w:rPr>
                <w:rFonts w:ascii="宋体" w:hAnsi="宋体" w:cs="宋体"/>
                <w:sz w:val="24"/>
              </w:rPr>
            </w:pPr>
            <w:r>
              <w:rPr>
                <w:rFonts w:hint="eastAsia" w:ascii="宋体" w:hAnsi="宋体" w:cs="宋体"/>
                <w:sz w:val="24"/>
              </w:rPr>
              <w:t>13、支持准备功能码（G代码）、辅助功能码（M代码）、进给功能码（F代码）、转速功能码（S代码）、刀具功能码（T代码）等指令代码，固定循环指令、子程序和宏程序编写、修改及运行。</w:t>
            </w:r>
          </w:p>
          <w:p w14:paraId="3F6CE2A6">
            <w:pPr>
              <w:spacing w:line="480" w:lineRule="exact"/>
              <w:jc w:val="left"/>
              <w:rPr>
                <w:rFonts w:ascii="宋体" w:hAnsi="宋体"/>
                <w:sz w:val="24"/>
              </w:rPr>
            </w:pPr>
            <w:r>
              <w:rPr>
                <w:rFonts w:hint="eastAsia" w:ascii="宋体" w:hAnsi="宋体" w:cs="宋体"/>
                <w:sz w:val="24"/>
              </w:rPr>
              <w:t>14、支持NC代码导入导出与工件模型导出功能，支持Mastercam、UG等CAM软件后置处理的NC文件进行模拟加工。</w:t>
            </w:r>
          </w:p>
          <w:p w14:paraId="04DAD65B">
            <w:pPr>
              <w:spacing w:line="480" w:lineRule="exact"/>
              <w:jc w:val="left"/>
              <w:rPr>
                <w:rFonts w:ascii="宋体" w:hAnsi="宋体" w:cs="宋体"/>
                <w:sz w:val="24"/>
              </w:rPr>
            </w:pPr>
            <w:r>
              <w:rPr>
                <w:rFonts w:hint="eastAsia" w:ascii="宋体" w:hAnsi="宋体" w:cs="宋体"/>
                <w:sz w:val="24"/>
              </w:rPr>
              <w:t>15、工件加工过程中，系统具备模拟加工声效、冷却液、铁屑等功能。</w:t>
            </w:r>
          </w:p>
          <w:p w14:paraId="0966E935">
            <w:pPr>
              <w:spacing w:line="480" w:lineRule="exact"/>
              <w:jc w:val="left"/>
              <w:rPr>
                <w:rFonts w:ascii="宋体" w:hAnsi="宋体" w:cs="宋体"/>
                <w:sz w:val="24"/>
              </w:rPr>
            </w:pPr>
            <w:r>
              <w:rPr>
                <w:rFonts w:hint="eastAsia" w:ascii="宋体" w:hAnsi="宋体" w:cs="宋体"/>
                <w:sz w:val="24"/>
              </w:rPr>
              <w:t>16、支持自定义毛坯形状、材料、尺寸、装夹方式、装夹尺寸等参数，建立虚拟加工切削模型。</w:t>
            </w:r>
          </w:p>
          <w:p w14:paraId="465E683F">
            <w:pPr>
              <w:spacing w:line="480" w:lineRule="exact"/>
              <w:jc w:val="left"/>
              <w:rPr>
                <w:rFonts w:ascii="宋体" w:hAnsi="宋体" w:cs="宋体"/>
                <w:sz w:val="24"/>
              </w:rPr>
            </w:pPr>
            <w:r>
              <w:rPr>
                <w:rFonts w:hint="eastAsia" w:ascii="宋体" w:hAnsi="宋体" w:cs="宋体"/>
                <w:sz w:val="24"/>
              </w:rPr>
              <w:t>17、支持仿真加工过程中的刀具轨迹显示。</w:t>
            </w:r>
          </w:p>
          <w:p w14:paraId="258FA66A">
            <w:pPr>
              <w:spacing w:line="480" w:lineRule="exact"/>
              <w:jc w:val="left"/>
              <w:rPr>
                <w:rFonts w:ascii="宋体" w:hAnsi="宋体" w:cs="宋体"/>
                <w:sz w:val="24"/>
              </w:rPr>
            </w:pPr>
            <w:r>
              <w:rPr>
                <w:rFonts w:hint="eastAsia" w:ascii="宋体" w:hAnsi="宋体" w:cs="宋体"/>
                <w:sz w:val="24"/>
              </w:rPr>
              <w:t>18、支持钢、铝、铜等多种材料的加工仿真。</w:t>
            </w:r>
          </w:p>
          <w:p w14:paraId="127464B9">
            <w:pPr>
              <w:spacing w:line="480" w:lineRule="exact"/>
              <w:jc w:val="left"/>
              <w:rPr>
                <w:rFonts w:ascii="宋体" w:hAnsi="宋体" w:cs="宋体"/>
                <w:sz w:val="24"/>
              </w:rPr>
            </w:pPr>
            <w:r>
              <w:rPr>
                <w:rFonts w:hint="eastAsia" w:ascii="宋体" w:hAnsi="宋体" w:cs="宋体"/>
                <w:sz w:val="24"/>
              </w:rPr>
              <w:t>19、支持虚拟机床各种数据的实时显示，包括加工坐标、加工速度、刀具补偿信息等。</w:t>
            </w:r>
          </w:p>
          <w:p w14:paraId="1A12CC7D">
            <w:pPr>
              <w:spacing w:line="480" w:lineRule="exact"/>
              <w:jc w:val="left"/>
              <w:rPr>
                <w:rFonts w:ascii="宋体" w:hAnsi="宋体" w:cs="宋体"/>
                <w:sz w:val="24"/>
              </w:rPr>
            </w:pPr>
            <w:r>
              <w:rPr>
                <w:rFonts w:hint="eastAsia" w:ascii="宋体" w:hAnsi="宋体" w:cs="宋体"/>
                <w:sz w:val="24"/>
              </w:rPr>
              <w:t>20、支持表面粗糙度值测量。</w:t>
            </w:r>
          </w:p>
          <w:p w14:paraId="628BE3BB">
            <w:pPr>
              <w:spacing w:line="480" w:lineRule="exact"/>
              <w:jc w:val="left"/>
              <w:rPr>
                <w:rFonts w:ascii="宋体" w:hAnsi="宋体" w:cs="宋体"/>
                <w:sz w:val="24"/>
              </w:rPr>
            </w:pPr>
            <w:r>
              <w:rPr>
                <w:rFonts w:hint="eastAsia" w:ascii="宋体" w:hAnsi="宋体" w:cs="宋体"/>
                <w:sz w:val="24"/>
              </w:rPr>
              <w:t>21、支持编辑、自动、MDI、DNC、手动、手轮、回零等操作模式。</w:t>
            </w:r>
          </w:p>
          <w:p w14:paraId="3F201065">
            <w:pPr>
              <w:spacing w:line="480" w:lineRule="exact"/>
              <w:jc w:val="left"/>
              <w:rPr>
                <w:rFonts w:ascii="宋体" w:hAnsi="宋体" w:cs="宋体"/>
                <w:sz w:val="24"/>
              </w:rPr>
            </w:pPr>
            <w:r>
              <w:rPr>
                <w:rFonts w:hint="eastAsia" w:ascii="宋体" w:hAnsi="宋体" w:cs="宋体"/>
                <w:sz w:val="24"/>
              </w:rPr>
              <w:t>22、支持运行检查程序中的语法错误、缺少元素错误、移动中的超行程错误等。</w:t>
            </w:r>
          </w:p>
          <w:p w14:paraId="236CBF11">
            <w:pPr>
              <w:spacing w:line="480" w:lineRule="exact"/>
              <w:jc w:val="left"/>
              <w:rPr>
                <w:rFonts w:ascii="宋体" w:hAnsi="宋体" w:cs="宋体"/>
                <w:sz w:val="24"/>
              </w:rPr>
            </w:pPr>
            <w:r>
              <w:rPr>
                <w:rFonts w:hint="eastAsia" w:ascii="宋体" w:hAnsi="宋体" w:cs="宋体"/>
                <w:sz w:val="24"/>
              </w:rPr>
              <w:t>23、支持单段、空运行、跳段、机床锁等功能。</w:t>
            </w:r>
          </w:p>
          <w:p w14:paraId="68532CA9">
            <w:pPr>
              <w:spacing w:line="480" w:lineRule="exact"/>
              <w:jc w:val="left"/>
              <w:rPr>
                <w:rFonts w:ascii="宋体" w:hAnsi="宋体" w:cs="宋体"/>
                <w:sz w:val="24"/>
              </w:rPr>
            </w:pPr>
            <w:r>
              <w:rPr>
                <w:rFonts w:hint="eastAsia" w:ascii="宋体" w:hAnsi="宋体" w:cs="宋体"/>
                <w:sz w:val="24"/>
              </w:rPr>
              <w:t>24、支持软件在Windows10、Windows11系统中稳定运行。</w:t>
            </w:r>
          </w:p>
          <w:p w14:paraId="3F176095">
            <w:pPr>
              <w:spacing w:line="480" w:lineRule="exact"/>
              <w:jc w:val="left"/>
              <w:rPr>
                <w:rFonts w:ascii="宋体" w:hAnsi="宋体" w:cs="宋体"/>
                <w:sz w:val="24"/>
              </w:rPr>
            </w:pPr>
            <w:r>
              <w:rPr>
                <w:rFonts w:hint="eastAsia" w:ascii="宋体" w:hAnsi="宋体" w:cs="宋体"/>
                <w:sz w:val="24"/>
              </w:rPr>
              <w:t>★25、支持云端采集操作与编程数据，包括工件毛坯装夹与定位、刀具的选择与加工参数的设定、工件质量以及加工效率，并能够体现常用的工作过程和操作过程等数据。</w:t>
            </w:r>
          </w:p>
          <w:p w14:paraId="2489E572">
            <w:pPr>
              <w:spacing w:line="480" w:lineRule="exact"/>
              <w:jc w:val="left"/>
              <w:rPr>
                <w:rFonts w:ascii="宋体" w:hAnsi="宋体" w:cs="宋体"/>
                <w:sz w:val="24"/>
              </w:rPr>
            </w:pPr>
            <w:r>
              <w:rPr>
                <w:rFonts w:hint="eastAsia" w:ascii="宋体" w:hAnsi="宋体" w:cs="宋体"/>
                <w:sz w:val="24"/>
              </w:rPr>
              <w:t>▲26、支持技能考核功能，能自动阅卷、自动评分，自动生成报告成绩单。包含但不仅限于理论题目、技能操作与编程日志、参数设定与尺寸精度、操作规范与工艺过程等功能。</w:t>
            </w:r>
          </w:p>
          <w:p w14:paraId="68899FA0">
            <w:pPr>
              <w:spacing w:line="480" w:lineRule="exact"/>
              <w:jc w:val="left"/>
              <w:rPr>
                <w:rFonts w:ascii="宋体" w:hAnsi="宋体" w:cs="宋体"/>
                <w:sz w:val="24"/>
              </w:rPr>
            </w:pPr>
            <w:r>
              <w:rPr>
                <w:rFonts w:hint="eastAsia" w:ascii="宋体" w:hAnsi="宋体" w:cs="宋体"/>
                <w:sz w:val="24"/>
              </w:rPr>
              <w:t>27、支持安装常用软件，例如UG、MasterCAM、AutoCAD等CAD/CAM软件。</w:t>
            </w:r>
          </w:p>
          <w:p w14:paraId="2ED95F82">
            <w:pPr>
              <w:spacing w:line="480" w:lineRule="exact"/>
              <w:jc w:val="left"/>
              <w:rPr>
                <w:rFonts w:ascii="宋体" w:hAnsi="宋体" w:cs="宋体"/>
                <w:sz w:val="24"/>
              </w:rPr>
            </w:pPr>
            <w:r>
              <w:rPr>
                <w:rFonts w:hint="eastAsia" w:ascii="宋体" w:hAnsi="宋体" w:cs="宋体"/>
                <w:sz w:val="24"/>
              </w:rPr>
              <w:t>▲28、支持学生在线理论、技能操作考核，具备考试报名功能。</w:t>
            </w:r>
          </w:p>
          <w:p w14:paraId="425E8A23">
            <w:pPr>
              <w:spacing w:line="480" w:lineRule="exact"/>
              <w:jc w:val="left"/>
              <w:rPr>
                <w:rFonts w:ascii="宋体" w:hAnsi="宋体" w:cs="宋体"/>
                <w:sz w:val="24"/>
              </w:rPr>
            </w:pPr>
            <w:r>
              <w:rPr>
                <w:rFonts w:hint="eastAsia" w:ascii="宋体" w:hAnsi="宋体" w:cs="宋体"/>
                <w:sz w:val="24"/>
              </w:rPr>
              <w:t>29、内置AI大模型支持智能交互功能，支持≥70亿参数模型接入，具备≥20 tokens/秒的高并发生成能力，实现数控知识问答、代码建议等功能。</w:t>
            </w:r>
            <w:r>
              <w:rPr>
                <w:rFonts w:hint="eastAsia" w:ascii="宋体" w:hAnsi="宋体" w:cs="宋体"/>
                <w:b/>
                <w:bCs/>
                <w:sz w:val="24"/>
              </w:rPr>
              <w:t>（投标人提供演示视频）</w:t>
            </w:r>
          </w:p>
          <w:p w14:paraId="63514E3B">
            <w:pPr>
              <w:pStyle w:val="80"/>
              <w:spacing w:line="480" w:lineRule="exact"/>
              <w:ind w:left="0"/>
              <w:rPr>
                <w:rFonts w:ascii="宋体" w:hAnsi="宋体" w:cs="宋体"/>
                <w:lang w:eastAsia="zh-CN"/>
              </w:rPr>
            </w:pPr>
            <w:r>
              <w:rPr>
                <w:rFonts w:hint="eastAsia" w:ascii="宋体" w:hAnsi="宋体" w:cs="宋体"/>
                <w:lang w:eastAsia="zh-CN"/>
              </w:rPr>
              <w:t>30、支持CNC操作指令的语义理解与自动补全功能，实现自然语言到数控指令的智能转换。</w:t>
            </w:r>
          </w:p>
          <w:p w14:paraId="07431620">
            <w:pPr>
              <w:pStyle w:val="80"/>
              <w:spacing w:line="480" w:lineRule="exact"/>
              <w:ind w:left="0"/>
              <w:rPr>
                <w:rFonts w:ascii="宋体" w:hAnsi="宋体" w:cs="宋体"/>
                <w:lang w:eastAsia="zh-CN"/>
              </w:rPr>
            </w:pPr>
            <w:r>
              <w:rPr>
                <w:rFonts w:hint="eastAsia" w:ascii="宋体" w:hAnsi="宋体" w:cs="宋体"/>
                <w:lang w:eastAsia="zh-CN"/>
              </w:rPr>
              <w:t>31、支持基于材料特性自动计算切削参数并生成加工方案，同时根据加工参数（尺寸/材质/精度等）智能编排数控流程，直接调用仿真软件动态展示操作流程，通过实例教学实现"参数计算→方案生成→流程执行"的全链路可视化教学，强化学生对工艺设计与数控编程逻辑的理解。</w:t>
            </w:r>
            <w:r>
              <w:rPr>
                <w:rFonts w:hint="eastAsia" w:ascii="宋体" w:hAnsi="宋体" w:cs="宋体"/>
                <w:b/>
                <w:bCs/>
                <w:lang w:eastAsia="zh-CN"/>
              </w:rPr>
              <w:t>（投标人提供演示视频）</w:t>
            </w:r>
          </w:p>
          <w:p w14:paraId="2D28B586">
            <w:pPr>
              <w:spacing w:line="480" w:lineRule="exact"/>
              <w:jc w:val="left"/>
              <w:rPr>
                <w:rFonts w:ascii="宋体" w:hAnsi="宋体" w:cs="宋体"/>
                <w:b/>
                <w:bCs/>
                <w:sz w:val="24"/>
              </w:rPr>
            </w:pPr>
            <w:r>
              <w:rPr>
                <w:rFonts w:hint="eastAsia" w:ascii="宋体" w:hAnsi="宋体" w:cs="宋体"/>
                <w:b/>
                <w:bCs/>
                <w:sz w:val="24"/>
              </w:rPr>
              <w:t>二、数控车床仿真系统</w:t>
            </w:r>
          </w:p>
          <w:p w14:paraId="1B711173">
            <w:pPr>
              <w:spacing w:line="480" w:lineRule="exact"/>
              <w:jc w:val="left"/>
              <w:rPr>
                <w:rFonts w:ascii="宋体" w:hAnsi="宋体" w:cs="宋体"/>
                <w:sz w:val="24"/>
              </w:rPr>
            </w:pPr>
            <w:r>
              <w:rPr>
                <w:rFonts w:hint="eastAsia" w:ascii="宋体" w:hAnsi="宋体" w:cs="宋体"/>
                <w:sz w:val="24"/>
              </w:rPr>
              <w:t>1、数控车床仿真系统要能模拟真实数控车床加工过程，操作、编程与学院现有真实设备保持高度相同，并配备常用的刀具、工量夹具，可根据加工需求自行选择加工刀具，在线进行编程操作、程序校验和加工仿真。达到优化数控车床实训场地，提高实训效率及实训安全系数的作用。</w:t>
            </w:r>
          </w:p>
          <w:p w14:paraId="49B3D0E5">
            <w:pPr>
              <w:spacing w:line="480" w:lineRule="exact"/>
              <w:jc w:val="left"/>
              <w:rPr>
                <w:rFonts w:ascii="宋体" w:hAnsi="宋体" w:cs="宋体"/>
                <w:sz w:val="24"/>
              </w:rPr>
            </w:pPr>
            <w:r>
              <w:rPr>
                <w:rFonts w:hint="eastAsia" w:ascii="宋体" w:hAnsi="宋体" w:cs="宋体"/>
                <w:sz w:val="24"/>
              </w:rPr>
              <w:t>2、通过操作面板实时驱动数控车床模型各部件运动，实时交互操作与编程。</w:t>
            </w:r>
          </w:p>
          <w:p w14:paraId="4C2554D2">
            <w:pPr>
              <w:spacing w:line="480" w:lineRule="exact"/>
              <w:jc w:val="left"/>
              <w:rPr>
                <w:rFonts w:ascii="宋体" w:hAnsi="宋体" w:cs="宋体"/>
                <w:sz w:val="24"/>
              </w:rPr>
            </w:pPr>
            <w:r>
              <w:rPr>
                <w:rFonts w:hint="eastAsia" w:ascii="宋体" w:hAnsi="宋体" w:cs="宋体"/>
                <w:sz w:val="24"/>
              </w:rPr>
              <w:t>3、模拟实际加工过程因外界环境因素所导致的误差，可通过修改相关参数来调整尺寸误差，从而达到工件尺寸的精度要求，掌握控制尺寸精度的技能。</w:t>
            </w:r>
            <w:r>
              <w:rPr>
                <w:rFonts w:hint="eastAsia" w:ascii="宋体" w:hAnsi="宋体" w:cs="宋体"/>
                <w:b/>
                <w:bCs/>
                <w:sz w:val="24"/>
              </w:rPr>
              <w:t>（投标人提供演示视频）</w:t>
            </w:r>
          </w:p>
          <w:p w14:paraId="1DD07FEE">
            <w:pPr>
              <w:spacing w:line="480" w:lineRule="exact"/>
              <w:jc w:val="left"/>
              <w:rPr>
                <w:rFonts w:ascii="宋体" w:hAnsi="宋体" w:cs="宋体"/>
                <w:b/>
                <w:bCs/>
                <w:sz w:val="24"/>
              </w:rPr>
            </w:pPr>
            <w:r>
              <w:rPr>
                <w:rFonts w:hint="eastAsia" w:ascii="宋体" w:hAnsi="宋体" w:cs="宋体"/>
                <w:sz w:val="24"/>
              </w:rPr>
              <w:t>4、支持外圆、内孔、外槽、外螺纹、内螺纹、内槽、圆弧等加工特征。</w:t>
            </w:r>
          </w:p>
          <w:p w14:paraId="448CDEDE">
            <w:pPr>
              <w:spacing w:line="480" w:lineRule="exact"/>
              <w:jc w:val="left"/>
              <w:rPr>
                <w:rFonts w:ascii="宋体" w:hAnsi="宋体" w:cs="宋体"/>
                <w:sz w:val="24"/>
              </w:rPr>
            </w:pPr>
            <w:r>
              <w:rPr>
                <w:rFonts w:hint="eastAsia" w:ascii="宋体" w:hAnsi="宋体" w:cs="宋体"/>
                <w:sz w:val="24"/>
              </w:rPr>
              <w:t>5、配备多工位刀座、跟刀架、中心架、三爪卡盘、四爪卡盘。</w:t>
            </w:r>
          </w:p>
          <w:p w14:paraId="7DE44D56">
            <w:pPr>
              <w:spacing w:line="480" w:lineRule="exact"/>
              <w:jc w:val="left"/>
              <w:rPr>
                <w:rFonts w:ascii="宋体" w:hAnsi="宋体"/>
                <w:sz w:val="24"/>
              </w:rPr>
            </w:pPr>
            <w:r>
              <w:rPr>
                <w:rFonts w:hint="eastAsia" w:ascii="宋体" w:hAnsi="宋体" w:cs="宋体"/>
                <w:sz w:val="24"/>
              </w:rPr>
              <w:t>▲6、百分表、橡胶锤等机床附件和校正功能演示。</w:t>
            </w:r>
          </w:p>
          <w:p w14:paraId="2EC8BA27">
            <w:pPr>
              <w:spacing w:line="480" w:lineRule="exact"/>
              <w:jc w:val="left"/>
              <w:rPr>
                <w:rFonts w:ascii="宋体" w:hAnsi="宋体" w:cs="宋体"/>
                <w:sz w:val="24"/>
              </w:rPr>
            </w:pPr>
            <w:r>
              <w:rPr>
                <w:rFonts w:hint="eastAsia" w:ascii="宋体" w:hAnsi="宋体" w:cs="宋体"/>
                <w:sz w:val="24"/>
              </w:rPr>
              <w:t>7、支持尾座安装顶尖、钻夹头和钻孔功能。</w:t>
            </w:r>
          </w:p>
          <w:p w14:paraId="09963B9C">
            <w:pPr>
              <w:spacing w:line="480" w:lineRule="exact"/>
              <w:jc w:val="left"/>
              <w:rPr>
                <w:rFonts w:ascii="宋体" w:hAnsi="宋体" w:cs="宋体"/>
                <w:sz w:val="24"/>
              </w:rPr>
            </w:pPr>
            <w:r>
              <w:rPr>
                <w:rFonts w:hint="eastAsia" w:ascii="宋体" w:hAnsi="宋体" w:cs="宋体"/>
                <w:sz w:val="24"/>
              </w:rPr>
              <w:t>8、支持对刀视图操作，以便更直观的观察对刀过程。</w:t>
            </w:r>
          </w:p>
          <w:p w14:paraId="64488C2A">
            <w:pPr>
              <w:spacing w:line="480" w:lineRule="exact"/>
              <w:jc w:val="left"/>
              <w:rPr>
                <w:rFonts w:ascii="宋体" w:hAnsi="宋体" w:cs="宋体"/>
                <w:sz w:val="24"/>
              </w:rPr>
            </w:pPr>
            <w:r>
              <w:rPr>
                <w:rFonts w:hint="eastAsia" w:ascii="宋体" w:hAnsi="宋体" w:cs="宋体"/>
                <w:sz w:val="24"/>
              </w:rPr>
              <w:t>9、数控车床系统支持刀具安装调整功能，可对已安装在刀架上的刀具位置进行移动。</w:t>
            </w:r>
          </w:p>
          <w:p w14:paraId="055F8095">
            <w:pPr>
              <w:spacing w:line="480" w:lineRule="exact"/>
              <w:jc w:val="left"/>
              <w:rPr>
                <w:rFonts w:ascii="宋体" w:hAnsi="宋体" w:cs="宋体"/>
                <w:sz w:val="24"/>
              </w:rPr>
            </w:pPr>
            <w:r>
              <w:rPr>
                <w:rFonts w:hint="eastAsia" w:ascii="宋体" w:hAnsi="宋体" w:cs="宋体"/>
                <w:sz w:val="24"/>
              </w:rPr>
              <w:t>10、系统配备加工刀具库，如平面外圆刀、尖刀、内外螺纹刀，内外切槽刀等。</w:t>
            </w:r>
          </w:p>
          <w:p w14:paraId="34AF9088">
            <w:pPr>
              <w:spacing w:line="480" w:lineRule="exact"/>
              <w:jc w:val="left"/>
              <w:rPr>
                <w:rFonts w:ascii="宋体" w:hAnsi="宋体" w:cs="宋体"/>
                <w:sz w:val="24"/>
              </w:rPr>
            </w:pPr>
            <w:r>
              <w:rPr>
                <w:rFonts w:hint="eastAsia" w:ascii="宋体" w:hAnsi="宋体" w:cs="宋体"/>
                <w:sz w:val="24"/>
              </w:rPr>
              <w:t>11、支持（绝对坐标、相对坐标）混合编程。</w:t>
            </w:r>
          </w:p>
          <w:p w14:paraId="41F22D7C">
            <w:pPr>
              <w:spacing w:line="480" w:lineRule="exact"/>
              <w:jc w:val="left"/>
              <w:rPr>
                <w:rFonts w:ascii="宋体" w:hAnsi="宋体" w:cs="宋体"/>
                <w:sz w:val="24"/>
              </w:rPr>
            </w:pPr>
            <w:r>
              <w:rPr>
                <w:rFonts w:hint="eastAsia" w:ascii="宋体" w:hAnsi="宋体" w:cs="宋体"/>
                <w:sz w:val="24"/>
              </w:rPr>
              <w:t>12、数控车床系统支持加载/导出毛坯、夹具、加工模型、刀具列表等，并可恢复已经加工的刀具数据，装夹位置，数控代码。</w:t>
            </w:r>
            <w:r>
              <w:rPr>
                <w:rFonts w:hint="eastAsia" w:ascii="宋体" w:hAnsi="宋体" w:cs="宋体"/>
                <w:b/>
                <w:bCs/>
                <w:sz w:val="24"/>
              </w:rPr>
              <w:t>（投标人提供演示视频）</w:t>
            </w:r>
          </w:p>
          <w:p w14:paraId="0F666728">
            <w:pPr>
              <w:spacing w:line="480" w:lineRule="exact"/>
              <w:jc w:val="left"/>
              <w:rPr>
                <w:rFonts w:ascii="宋体" w:hAnsi="宋体" w:cs="宋体"/>
                <w:sz w:val="24"/>
              </w:rPr>
            </w:pPr>
            <w:r>
              <w:rPr>
                <w:rFonts w:hint="eastAsia" w:ascii="宋体" w:hAnsi="宋体" w:cs="宋体"/>
                <w:sz w:val="24"/>
              </w:rPr>
              <w:t>13、支持工件剖面观察和调头加工功能。</w:t>
            </w:r>
          </w:p>
          <w:p w14:paraId="18794EDF">
            <w:pPr>
              <w:spacing w:line="480" w:lineRule="exact"/>
              <w:jc w:val="left"/>
              <w:rPr>
                <w:rFonts w:ascii="宋体" w:hAnsi="宋体" w:cs="宋体"/>
                <w:sz w:val="24"/>
              </w:rPr>
            </w:pPr>
            <w:r>
              <w:rPr>
                <w:rFonts w:hint="eastAsia" w:ascii="宋体" w:hAnsi="宋体" w:cs="宋体"/>
                <w:sz w:val="24"/>
              </w:rPr>
              <w:t>14、支持对已安装的工件毛坯位置进行调整，并能演示工件装夹校正常用方法。</w:t>
            </w:r>
          </w:p>
          <w:p w14:paraId="65207600">
            <w:pPr>
              <w:spacing w:line="480" w:lineRule="exact"/>
              <w:jc w:val="left"/>
              <w:rPr>
                <w:rFonts w:ascii="宋体" w:hAnsi="宋体" w:cs="宋体"/>
                <w:sz w:val="24"/>
              </w:rPr>
            </w:pPr>
            <w:r>
              <w:rPr>
                <w:rFonts w:hint="eastAsia" w:ascii="宋体" w:hAnsi="宋体" w:cs="宋体"/>
                <w:sz w:val="24"/>
              </w:rPr>
              <w:t>▲15、数控车床仿真系统配备移动刀具车，还原真实加工环境。</w:t>
            </w:r>
          </w:p>
          <w:p w14:paraId="6ED35E46">
            <w:pPr>
              <w:spacing w:line="480" w:lineRule="exact"/>
              <w:jc w:val="left"/>
              <w:rPr>
                <w:rFonts w:ascii="宋体" w:hAnsi="宋体" w:cs="宋体"/>
                <w:sz w:val="24"/>
              </w:rPr>
            </w:pPr>
            <w:r>
              <w:rPr>
                <w:rFonts w:hint="eastAsia" w:ascii="宋体" w:hAnsi="宋体" w:cs="宋体"/>
                <w:sz w:val="24"/>
              </w:rPr>
              <w:t>16、系统配有刀具、工件安装等视频教程演示，促使学生更快掌握相应的专业技能。</w:t>
            </w:r>
          </w:p>
          <w:p w14:paraId="6B8E2A46">
            <w:pPr>
              <w:spacing w:line="480" w:lineRule="exact"/>
              <w:jc w:val="left"/>
              <w:rPr>
                <w:rFonts w:ascii="宋体" w:hAnsi="宋体" w:cs="宋体"/>
                <w:sz w:val="24"/>
              </w:rPr>
            </w:pPr>
            <w:r>
              <w:rPr>
                <w:rFonts w:hint="eastAsia" w:ascii="宋体" w:hAnsi="宋体" w:cs="宋体"/>
                <w:sz w:val="24"/>
              </w:rPr>
              <w:t>17、数控车床系统支持断点模拟功能，修改程序或更换刀具等，可由断点处继续模拟。</w:t>
            </w:r>
            <w:r>
              <w:rPr>
                <w:rFonts w:hint="eastAsia" w:ascii="宋体" w:hAnsi="宋体" w:cs="宋体"/>
                <w:b/>
                <w:bCs/>
                <w:sz w:val="24"/>
              </w:rPr>
              <w:t>（投标人提供演示视频）</w:t>
            </w:r>
          </w:p>
          <w:p w14:paraId="330593EB">
            <w:pPr>
              <w:spacing w:line="480" w:lineRule="exact"/>
              <w:jc w:val="left"/>
              <w:rPr>
                <w:rFonts w:ascii="宋体" w:hAnsi="宋体" w:cs="宋体"/>
                <w:sz w:val="24"/>
              </w:rPr>
            </w:pPr>
            <w:r>
              <w:rPr>
                <w:rFonts w:hint="eastAsia" w:ascii="宋体" w:hAnsi="宋体" w:cs="宋体"/>
                <w:sz w:val="24"/>
              </w:rPr>
              <w:t>▲18、支持工件尺寸测量功能，仿真精度可达到0.001mm，将工件尺寸数据化，并支持在线测量工件加工尺寸，提供尺寸数据分析库，对系统输入、输出数据进行采集分析，将输入的数控程序代码、刀具尺寸参数等进行采集，并提供数据分析。</w:t>
            </w:r>
          </w:p>
          <w:p w14:paraId="4C441CE0">
            <w:pPr>
              <w:numPr>
                <w:ilvl w:val="0"/>
                <w:numId w:val="10"/>
              </w:numPr>
              <w:spacing w:line="480" w:lineRule="exact"/>
              <w:jc w:val="left"/>
              <w:rPr>
                <w:rFonts w:ascii="宋体" w:hAnsi="宋体" w:cs="宋体"/>
                <w:sz w:val="24"/>
              </w:rPr>
            </w:pPr>
            <w:r>
              <w:rPr>
                <w:rFonts w:hint="eastAsia" w:ascii="宋体" w:hAnsi="宋体" w:cs="宋体"/>
                <w:sz w:val="24"/>
              </w:rPr>
              <w:t>支持对数控车床加工过程进行数据采集分析。</w:t>
            </w:r>
          </w:p>
          <w:p w14:paraId="4EE23627">
            <w:pPr>
              <w:spacing w:line="480" w:lineRule="exact"/>
              <w:jc w:val="left"/>
              <w:rPr>
                <w:rFonts w:ascii="宋体" w:hAnsi="宋体" w:cs="宋体"/>
                <w:b/>
                <w:bCs/>
                <w:sz w:val="24"/>
              </w:rPr>
            </w:pPr>
            <w:r>
              <w:rPr>
                <w:rFonts w:hint="eastAsia" w:ascii="宋体" w:hAnsi="宋体" w:cs="宋体"/>
                <w:b/>
                <w:bCs/>
                <w:sz w:val="24"/>
              </w:rPr>
              <w:t>三、数控加工中心仿真系统</w:t>
            </w:r>
          </w:p>
          <w:p w14:paraId="7786547E">
            <w:pPr>
              <w:spacing w:line="480" w:lineRule="exact"/>
              <w:jc w:val="left"/>
              <w:rPr>
                <w:rFonts w:ascii="宋体" w:hAnsi="宋体" w:cs="宋体"/>
                <w:sz w:val="24"/>
              </w:rPr>
            </w:pPr>
            <w:r>
              <w:rPr>
                <w:rFonts w:hint="eastAsia" w:ascii="宋体" w:hAnsi="宋体" w:cs="宋体"/>
                <w:sz w:val="24"/>
              </w:rPr>
              <w:t>1、数控加工中心仿真系统要能模拟实际数控加工中心运动的过程，操作、编程与真实设备保持高度相同，并配备常用的刀具、工量夹具，可根据加工需求自行选择刀具、夹具及自定义刀具功能，支持在线进行编程操作、程序校验和加工仿真。达到优化数控加工中心实训场地，提高实训效率及实训安全系数的作用。</w:t>
            </w:r>
          </w:p>
          <w:p w14:paraId="7BC47220">
            <w:pPr>
              <w:spacing w:line="480" w:lineRule="exact"/>
              <w:jc w:val="left"/>
              <w:rPr>
                <w:rFonts w:ascii="宋体" w:hAnsi="宋体" w:cs="宋体"/>
                <w:sz w:val="24"/>
              </w:rPr>
            </w:pPr>
            <w:r>
              <w:rPr>
                <w:rFonts w:hint="eastAsia" w:ascii="宋体" w:hAnsi="宋体" w:cs="宋体"/>
                <w:sz w:val="24"/>
              </w:rPr>
              <w:t>2、通过操作面板实时驱动数控加工中心模型各部件运动，实时交互操作与编程。</w:t>
            </w:r>
          </w:p>
          <w:p w14:paraId="47417175">
            <w:pPr>
              <w:spacing w:line="480" w:lineRule="exact"/>
              <w:jc w:val="left"/>
              <w:rPr>
                <w:rFonts w:ascii="宋体" w:hAnsi="宋体" w:cs="宋体"/>
                <w:sz w:val="24"/>
              </w:rPr>
            </w:pPr>
            <w:r>
              <w:rPr>
                <w:rFonts w:hint="eastAsia" w:ascii="宋体" w:hAnsi="宋体" w:cs="宋体"/>
                <w:sz w:val="24"/>
              </w:rPr>
              <w:t>3、数控加工中心系统模拟实际加工过程因外界环境因素所导致的误差，可通过修改相关参数来调整尺寸误差，从而达到工件尺寸的精度要求，掌握控制尺寸精度的技能。</w:t>
            </w:r>
            <w:r>
              <w:rPr>
                <w:rFonts w:hint="eastAsia" w:ascii="宋体" w:hAnsi="宋体" w:cs="宋体"/>
                <w:b/>
                <w:bCs/>
                <w:sz w:val="24"/>
              </w:rPr>
              <w:t>（投标人提供演示视频）</w:t>
            </w:r>
          </w:p>
          <w:p w14:paraId="6D074D61">
            <w:pPr>
              <w:spacing w:line="480" w:lineRule="exact"/>
              <w:jc w:val="left"/>
              <w:rPr>
                <w:rFonts w:ascii="宋体" w:hAnsi="宋体" w:cs="宋体"/>
                <w:sz w:val="24"/>
              </w:rPr>
            </w:pPr>
            <w:r>
              <w:rPr>
                <w:rFonts w:hint="eastAsia" w:ascii="宋体" w:hAnsi="宋体" w:cs="宋体"/>
                <w:sz w:val="24"/>
              </w:rPr>
              <w:t>4、支持外轮廓、内轮廓、平面铣、台阶、沉孔、腰形槽、点孔、钻孔、铰孔、镗孔等加工特征。</w:t>
            </w:r>
          </w:p>
          <w:p w14:paraId="246C7230">
            <w:pPr>
              <w:spacing w:line="480" w:lineRule="exact"/>
              <w:jc w:val="left"/>
              <w:rPr>
                <w:rFonts w:ascii="宋体" w:hAnsi="宋体" w:cs="宋体"/>
                <w:sz w:val="24"/>
              </w:rPr>
            </w:pPr>
            <w:r>
              <w:rPr>
                <w:rFonts w:hint="eastAsia" w:ascii="宋体" w:hAnsi="宋体" w:cs="宋体"/>
                <w:sz w:val="24"/>
              </w:rPr>
              <w:t>▲5、机床配备高精密平口钳和等高垫，在安装工件时可根据调整工件高度来匹配相应的等高垫。</w:t>
            </w:r>
          </w:p>
          <w:p w14:paraId="5E474B26">
            <w:pPr>
              <w:spacing w:line="480" w:lineRule="exact"/>
              <w:jc w:val="left"/>
              <w:rPr>
                <w:rFonts w:ascii="宋体" w:hAnsi="宋体" w:cs="宋体"/>
                <w:b/>
                <w:bCs/>
                <w:sz w:val="24"/>
              </w:rPr>
            </w:pPr>
            <w:r>
              <w:rPr>
                <w:rFonts w:hint="eastAsia" w:ascii="宋体" w:hAnsi="宋体" w:cs="宋体"/>
                <w:sz w:val="24"/>
              </w:rPr>
              <w:t>6、支持三爪卡盘和四爪卡盘装夹工件。</w:t>
            </w:r>
          </w:p>
          <w:p w14:paraId="05916346">
            <w:pPr>
              <w:spacing w:line="480" w:lineRule="exact"/>
              <w:jc w:val="left"/>
              <w:rPr>
                <w:rFonts w:ascii="宋体" w:hAnsi="宋体" w:cs="宋体"/>
                <w:sz w:val="24"/>
              </w:rPr>
            </w:pPr>
            <w:r>
              <w:rPr>
                <w:rFonts w:hint="eastAsia" w:ascii="宋体" w:hAnsi="宋体" w:cs="宋体"/>
                <w:sz w:val="24"/>
              </w:rPr>
              <w:t>▲7、支持三分屏对刀视图，可直观的观察对刀过程。</w:t>
            </w:r>
          </w:p>
          <w:p w14:paraId="1FA236F3">
            <w:pPr>
              <w:spacing w:line="480" w:lineRule="exact"/>
              <w:jc w:val="left"/>
              <w:rPr>
                <w:rFonts w:ascii="宋体" w:hAnsi="宋体" w:cs="宋体"/>
                <w:sz w:val="24"/>
              </w:rPr>
            </w:pPr>
            <w:r>
              <w:rPr>
                <w:rFonts w:hint="eastAsia" w:ascii="宋体" w:hAnsi="宋体" w:cs="宋体"/>
                <w:sz w:val="24"/>
              </w:rPr>
              <w:t>8、配备24刀位的圆盘式刀库和机械手自动换刀装置。</w:t>
            </w:r>
          </w:p>
          <w:p w14:paraId="159F257D">
            <w:pPr>
              <w:spacing w:line="480" w:lineRule="exact"/>
              <w:jc w:val="left"/>
              <w:rPr>
                <w:rFonts w:ascii="宋体" w:hAnsi="宋体" w:cs="宋体"/>
                <w:sz w:val="24"/>
              </w:rPr>
            </w:pPr>
            <w:r>
              <w:rPr>
                <w:rFonts w:hint="eastAsia" w:ascii="宋体" w:hAnsi="宋体" w:cs="宋体"/>
                <w:sz w:val="24"/>
              </w:rPr>
              <w:t>9、系统配备完整的加工刀具库，如面铣刀、立铣刀、钻头、铰刀、倒角刀等，也支持自定义刀具功能。</w:t>
            </w:r>
          </w:p>
          <w:p w14:paraId="04FC2600">
            <w:pPr>
              <w:spacing w:line="480" w:lineRule="exact"/>
              <w:jc w:val="left"/>
              <w:rPr>
                <w:rFonts w:ascii="宋体" w:hAnsi="宋体" w:cs="宋体"/>
                <w:sz w:val="24"/>
              </w:rPr>
            </w:pPr>
            <w:r>
              <w:rPr>
                <w:rFonts w:hint="eastAsia" w:ascii="宋体" w:hAnsi="宋体" w:cs="宋体"/>
                <w:sz w:val="24"/>
              </w:rPr>
              <w:t>10、支持刀具移动功能，可对已安装在刀柄上的刀具位置进行移动</w:t>
            </w:r>
          </w:p>
          <w:p w14:paraId="7B468E92">
            <w:pPr>
              <w:spacing w:line="480" w:lineRule="exact"/>
              <w:jc w:val="left"/>
              <w:rPr>
                <w:rFonts w:ascii="宋体" w:hAnsi="宋体" w:cs="宋体"/>
                <w:sz w:val="24"/>
              </w:rPr>
            </w:pPr>
            <w:r>
              <w:rPr>
                <w:rFonts w:hint="eastAsia" w:ascii="宋体" w:hAnsi="宋体" w:cs="宋体"/>
                <w:sz w:val="24"/>
              </w:rPr>
              <w:t>▲11、配备百分表、橡胶锤等校正工具，支持对平口钳、工件进行校正功能演示。</w:t>
            </w:r>
          </w:p>
          <w:p w14:paraId="4BD2CEBB">
            <w:pPr>
              <w:spacing w:line="480" w:lineRule="exact"/>
              <w:jc w:val="left"/>
              <w:rPr>
                <w:rFonts w:ascii="宋体" w:hAnsi="宋体" w:cs="宋体"/>
                <w:sz w:val="24"/>
              </w:rPr>
            </w:pPr>
            <w:r>
              <w:rPr>
                <w:rFonts w:hint="eastAsia" w:ascii="宋体" w:hAnsi="宋体" w:cs="宋体"/>
                <w:sz w:val="24"/>
              </w:rPr>
              <w:t>12、支持在线检测功能。</w:t>
            </w:r>
          </w:p>
          <w:p w14:paraId="1E01486C">
            <w:pPr>
              <w:spacing w:line="480" w:lineRule="exact"/>
              <w:jc w:val="left"/>
              <w:rPr>
                <w:rFonts w:ascii="宋体" w:hAnsi="宋体" w:cs="宋体"/>
                <w:sz w:val="24"/>
              </w:rPr>
            </w:pPr>
            <w:r>
              <w:rPr>
                <w:rFonts w:hint="eastAsia" w:ascii="宋体" w:hAnsi="宋体" w:cs="宋体"/>
                <w:sz w:val="24"/>
              </w:rPr>
              <w:t>13、数控加工中心系统支持加载/导出毛坯、夹具、加工模型、刀具列表等，并可恢复已经加工的刀具数据，装夹位置，数控代码。</w:t>
            </w:r>
            <w:r>
              <w:rPr>
                <w:rFonts w:hint="eastAsia" w:ascii="宋体" w:hAnsi="宋体" w:cs="宋体"/>
                <w:b/>
                <w:bCs/>
                <w:sz w:val="24"/>
              </w:rPr>
              <w:t>（投标人提供演示视频）</w:t>
            </w:r>
          </w:p>
          <w:p w14:paraId="7F12C6BA">
            <w:pPr>
              <w:spacing w:line="480" w:lineRule="exact"/>
              <w:jc w:val="left"/>
              <w:rPr>
                <w:rFonts w:ascii="宋体" w:hAnsi="宋体" w:cs="宋体"/>
                <w:sz w:val="24"/>
              </w:rPr>
            </w:pPr>
            <w:r>
              <w:rPr>
                <w:rFonts w:hint="eastAsia" w:ascii="宋体" w:hAnsi="宋体" w:cs="宋体"/>
                <w:sz w:val="24"/>
              </w:rPr>
              <w:t>14、支持工件安装过程中对工件进行旋转、翻转、上下和左右调整；</w:t>
            </w:r>
          </w:p>
          <w:p w14:paraId="3DE6EADC">
            <w:pPr>
              <w:spacing w:line="480" w:lineRule="exact"/>
              <w:jc w:val="left"/>
              <w:rPr>
                <w:rFonts w:ascii="宋体" w:hAnsi="宋体" w:cs="宋体"/>
                <w:sz w:val="24"/>
              </w:rPr>
            </w:pPr>
            <w:r>
              <w:rPr>
                <w:rFonts w:hint="eastAsia" w:ascii="宋体" w:hAnsi="宋体" w:cs="宋体"/>
                <w:sz w:val="24"/>
              </w:rPr>
              <w:t>15、支持毛坯沿X轴，Y轴 ,Z轴翻转。</w:t>
            </w:r>
          </w:p>
          <w:p w14:paraId="41039D67">
            <w:pPr>
              <w:spacing w:line="480" w:lineRule="exact"/>
              <w:jc w:val="left"/>
              <w:rPr>
                <w:rFonts w:ascii="宋体" w:hAnsi="宋体" w:cs="宋体"/>
                <w:sz w:val="24"/>
              </w:rPr>
            </w:pPr>
            <w:r>
              <w:rPr>
                <w:rFonts w:hint="eastAsia" w:ascii="宋体" w:hAnsi="宋体" w:cs="宋体"/>
                <w:sz w:val="24"/>
              </w:rPr>
              <w:t>▲16、数控加工中心仿真系统配备移动刀具车，还原真实加工环境。</w:t>
            </w:r>
          </w:p>
          <w:p w14:paraId="2CEB6B22">
            <w:pPr>
              <w:spacing w:line="480" w:lineRule="exact"/>
              <w:jc w:val="left"/>
              <w:rPr>
                <w:rFonts w:ascii="宋体" w:hAnsi="宋体" w:cs="宋体"/>
                <w:sz w:val="24"/>
              </w:rPr>
            </w:pPr>
            <w:r>
              <w:rPr>
                <w:rFonts w:hint="eastAsia" w:ascii="宋体" w:hAnsi="宋体" w:cs="宋体"/>
                <w:sz w:val="24"/>
              </w:rPr>
              <w:t>17、数控加工中心系统配有刀具、工件安装等视频教程演示，促使学生更快掌握相应的专业技能。</w:t>
            </w:r>
            <w:r>
              <w:rPr>
                <w:rFonts w:hint="eastAsia" w:ascii="宋体" w:hAnsi="宋体" w:cs="宋体"/>
                <w:b/>
                <w:bCs/>
                <w:sz w:val="24"/>
              </w:rPr>
              <w:t>（投标人提供演示视频）</w:t>
            </w:r>
          </w:p>
          <w:p w14:paraId="269ECB9A">
            <w:pPr>
              <w:spacing w:line="480" w:lineRule="exact"/>
              <w:jc w:val="left"/>
              <w:rPr>
                <w:rFonts w:ascii="宋体" w:hAnsi="宋体" w:cs="宋体"/>
                <w:sz w:val="24"/>
              </w:rPr>
            </w:pPr>
            <w:r>
              <w:rPr>
                <w:rFonts w:hint="eastAsia" w:ascii="宋体" w:hAnsi="宋体" w:cs="宋体"/>
                <w:sz w:val="24"/>
              </w:rPr>
              <w:t>▲18、支持工件测量功能，测量精度可达0.001mm，将工件尺寸数据化，并支持在线测量工件加工尺寸，提供尺寸数据分析库，对系统输入、输出数据进行采集分析，将用户输入的数控程序代码、刀具尺寸参数等进行采集，并提供数据分析。</w:t>
            </w:r>
          </w:p>
          <w:p w14:paraId="7D7BF2F6">
            <w:pPr>
              <w:spacing w:line="480" w:lineRule="exact"/>
              <w:jc w:val="left"/>
              <w:rPr>
                <w:rFonts w:ascii="宋体" w:hAnsi="宋体" w:cs="宋体"/>
                <w:sz w:val="24"/>
              </w:rPr>
            </w:pPr>
            <w:r>
              <w:rPr>
                <w:rFonts w:hint="eastAsia" w:ascii="宋体" w:hAnsi="宋体" w:cs="宋体"/>
                <w:sz w:val="24"/>
              </w:rPr>
              <w:t>19、支持对加工中心加工过程进行数据采集分析。</w:t>
            </w:r>
          </w:p>
        </w:tc>
        <w:tc>
          <w:tcPr>
            <w:tcW w:w="850" w:type="dxa"/>
            <w:vAlign w:val="center"/>
          </w:tcPr>
          <w:p w14:paraId="5A203D28">
            <w:pPr>
              <w:tabs>
                <w:tab w:val="left" w:pos="4698"/>
              </w:tabs>
              <w:jc w:val="center"/>
              <w:rPr>
                <w:rFonts w:ascii="宋体" w:hAnsi="宋体" w:cs="宋体"/>
              </w:rPr>
            </w:pPr>
            <w:r>
              <w:rPr>
                <w:rFonts w:hint="eastAsia" w:ascii="宋体" w:hAnsi="宋体" w:cs="宋体"/>
              </w:rPr>
              <w:t>26</w:t>
            </w:r>
          </w:p>
        </w:tc>
      </w:tr>
      <w:tr w14:paraId="73CAF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1" w:hRule="atLeast"/>
          <w:jc w:val="center"/>
        </w:trPr>
        <w:tc>
          <w:tcPr>
            <w:tcW w:w="427" w:type="dxa"/>
            <w:vAlign w:val="center"/>
          </w:tcPr>
          <w:p w14:paraId="58E4F455">
            <w:pPr>
              <w:jc w:val="center"/>
              <w:rPr>
                <w:rFonts w:ascii="宋体" w:hAnsi="宋体" w:cs="宋体"/>
                <w:sz w:val="24"/>
              </w:rPr>
            </w:pPr>
            <w:r>
              <w:rPr>
                <w:rFonts w:hint="eastAsia" w:ascii="宋体" w:hAnsi="宋体" w:cs="宋体"/>
                <w:sz w:val="24"/>
              </w:rPr>
              <w:t>2</w:t>
            </w:r>
          </w:p>
        </w:tc>
        <w:tc>
          <w:tcPr>
            <w:tcW w:w="957" w:type="dxa"/>
            <w:vAlign w:val="center"/>
          </w:tcPr>
          <w:p w14:paraId="717AFBC3">
            <w:pPr>
              <w:jc w:val="center"/>
              <w:rPr>
                <w:rFonts w:ascii="宋体" w:hAnsi="宋体" w:cs="宋体"/>
                <w:b/>
                <w:bCs/>
                <w:sz w:val="24"/>
              </w:rPr>
            </w:pPr>
            <w:r>
              <w:rPr>
                <w:rFonts w:hint="eastAsia" w:ascii="宋体" w:hAnsi="宋体" w:cs="宋体"/>
                <w:b/>
                <w:bCs/>
                <w:sz w:val="24"/>
              </w:rPr>
              <w:t>数据中心</w:t>
            </w:r>
          </w:p>
        </w:tc>
        <w:tc>
          <w:tcPr>
            <w:tcW w:w="7088" w:type="dxa"/>
          </w:tcPr>
          <w:p w14:paraId="6C0CE79A">
            <w:pPr>
              <w:spacing w:line="480" w:lineRule="exact"/>
              <w:rPr>
                <w:rFonts w:ascii="宋体" w:hAnsi="宋体" w:cs="宋体"/>
                <w:sz w:val="24"/>
              </w:rPr>
            </w:pPr>
            <w:r>
              <w:rPr>
                <w:rFonts w:hint="eastAsia" w:ascii="宋体" w:hAnsi="宋体" w:cs="宋体"/>
                <w:sz w:val="24"/>
              </w:rPr>
              <w:t>1、工艺过程数据采集：定义毛坯形状、材料、尺寸等参数，建立仿真加工切削模型。定义毛坯装夹方式以及装夹尺寸，装夹尺寸与工件加工工艺相关联，与后续工艺建立完整加工工艺链。将所有工件尺寸数据化，并支持在线测量加工精度，提供尺寸数据分析库。系统输入、输出数据采集分析，将用户输入的数控程序代码、刀具尺寸参数等进行采集，并提供数据分析。系统对编程、操作以及工件加工过程中的全部输入、输出数据进行采集，并形成大数据库。</w:t>
            </w:r>
            <w:r>
              <w:rPr>
                <w:rFonts w:hint="eastAsia" w:ascii="宋体" w:hAnsi="宋体" w:cs="宋体"/>
                <w:b/>
                <w:bCs/>
                <w:sz w:val="24"/>
              </w:rPr>
              <w:t>（投标人提供演示视频）</w:t>
            </w:r>
          </w:p>
          <w:p w14:paraId="571F3206">
            <w:pPr>
              <w:spacing w:line="480" w:lineRule="exact"/>
              <w:rPr>
                <w:rFonts w:ascii="宋体" w:hAnsi="宋体" w:cs="宋体"/>
                <w:sz w:val="24"/>
              </w:rPr>
            </w:pPr>
            <w:r>
              <w:rPr>
                <w:rFonts w:hint="eastAsia" w:ascii="宋体" w:hAnsi="宋体" w:cs="宋体"/>
                <w:sz w:val="24"/>
              </w:rPr>
              <w:t>2、在实训过程中，对所有操作实时进行数据采集，包括工件装夹次数、毛坯消耗数量、刀具安装次数、刀具撞刀次数、加工工序、加工参数、工件质量、NC程序运行时间等实时检测，将学生提交的数据结果进行比对，通过系统自动评分，自动阅卷，及时得出评判结果。</w:t>
            </w:r>
            <w:r>
              <w:rPr>
                <w:rFonts w:hint="eastAsia" w:ascii="宋体" w:hAnsi="宋体" w:cs="宋体"/>
                <w:b/>
                <w:bCs/>
                <w:sz w:val="24"/>
              </w:rPr>
              <w:t>（投标人提供演示视频）</w:t>
            </w:r>
          </w:p>
          <w:p w14:paraId="04B0B3AB">
            <w:pPr>
              <w:spacing w:line="480" w:lineRule="exact"/>
              <w:rPr>
                <w:rFonts w:ascii="宋体" w:hAnsi="宋体" w:cs="宋体"/>
                <w:sz w:val="24"/>
              </w:rPr>
            </w:pPr>
            <w:r>
              <w:rPr>
                <w:rFonts w:hint="eastAsia" w:ascii="宋体" w:hAnsi="宋体" w:cs="宋体"/>
                <w:sz w:val="24"/>
              </w:rPr>
              <w:t>★3、云端数控机床仿真数据采集：涵盖理论素养考核、毛坯选用与装夹、刀具尺寸与选用、机床操作步骤、切削用量与工艺、工件质量与NC代码运行时间，以及撞刀后操作信息。</w:t>
            </w:r>
          </w:p>
          <w:p w14:paraId="6443AC72">
            <w:pPr>
              <w:spacing w:line="480" w:lineRule="exact"/>
              <w:rPr>
                <w:rFonts w:ascii="宋体" w:hAnsi="宋体" w:cs="宋体"/>
                <w:sz w:val="24"/>
              </w:rPr>
            </w:pPr>
            <w:r>
              <w:rPr>
                <w:rFonts w:hint="eastAsia" w:ascii="宋体" w:hAnsi="宋体" w:cs="宋体"/>
                <w:sz w:val="24"/>
              </w:rPr>
              <w:t>★4、大数据智能分析：平台包括数据采集系统、操作评测系统、数据分析系统。数据采集系统将数控机床等编程操作过程数据、软件设置的参数、模拟仿真的过程数据，模拟仿真模型尺寸数据等进行采集，并应用智能算法的综合应用，使系统数据形成智能分析和反馈能力。</w:t>
            </w:r>
          </w:p>
          <w:p w14:paraId="0400DE29">
            <w:pPr>
              <w:spacing w:line="480" w:lineRule="exact"/>
              <w:rPr>
                <w:rFonts w:ascii="宋体" w:hAnsi="宋体" w:cs="宋体"/>
                <w:sz w:val="24"/>
              </w:rPr>
            </w:pPr>
            <w:r>
              <w:rPr>
                <w:rFonts w:hint="eastAsia" w:ascii="宋体" w:hAnsi="宋体" w:cs="宋体"/>
                <w:sz w:val="24"/>
              </w:rPr>
              <w:t>5、根据学生学习分值较低的内容智能提示，精准分析技能培训重、难点。</w:t>
            </w:r>
          </w:p>
          <w:p w14:paraId="1174EFA5">
            <w:pPr>
              <w:spacing w:line="480" w:lineRule="exact"/>
              <w:rPr>
                <w:rFonts w:ascii="宋体" w:hAnsi="宋体" w:cs="宋体"/>
                <w:sz w:val="24"/>
              </w:rPr>
            </w:pPr>
            <w:r>
              <w:rPr>
                <w:rFonts w:hint="eastAsia" w:ascii="宋体" w:hAnsi="宋体" w:cs="宋体"/>
                <w:sz w:val="24"/>
              </w:rPr>
              <w:t>★6、能在后台自定义考核标准，学生交卷后能立即出具数字成绩报告分析单。</w:t>
            </w:r>
          </w:p>
          <w:p w14:paraId="441CC659">
            <w:pPr>
              <w:spacing w:line="480" w:lineRule="exact"/>
              <w:rPr>
                <w:rFonts w:ascii="宋体" w:hAnsi="宋体" w:cs="宋体"/>
                <w:sz w:val="24"/>
              </w:rPr>
            </w:pPr>
            <w:r>
              <w:rPr>
                <w:rFonts w:hint="eastAsia" w:ascii="宋体" w:hAnsi="宋体" w:cs="宋体"/>
                <w:sz w:val="24"/>
              </w:rPr>
              <w:t>▲7、基于云网端的系统构架，云端存储数据、网络数据通讯、实体终端操作练习等，同时系统基于云端分布式存储与运算，具备高并发高支撑能力。</w:t>
            </w:r>
          </w:p>
          <w:p w14:paraId="05606852">
            <w:pPr>
              <w:spacing w:line="480" w:lineRule="exact"/>
              <w:rPr>
                <w:rFonts w:ascii="宋体" w:hAnsi="宋体" w:cs="宋体"/>
                <w:b/>
                <w:bCs/>
                <w:sz w:val="24"/>
              </w:rPr>
            </w:pPr>
            <w:r>
              <w:rPr>
                <w:rFonts w:hint="eastAsia" w:cs="宋体"/>
                <w:sz w:val="24"/>
              </w:rPr>
              <w:t>▲</w:t>
            </w:r>
            <w:r>
              <w:rPr>
                <w:rFonts w:hint="eastAsia" w:ascii="宋体" w:hAnsi="宋体" w:cs="宋体"/>
                <w:sz w:val="24"/>
              </w:rPr>
              <w:t>8、提供不少于5套培训资料，并提供相应的售后服务培训与技术培训。</w:t>
            </w:r>
          </w:p>
        </w:tc>
        <w:tc>
          <w:tcPr>
            <w:tcW w:w="850" w:type="dxa"/>
            <w:vAlign w:val="center"/>
          </w:tcPr>
          <w:p w14:paraId="6F8FA42A">
            <w:pPr>
              <w:jc w:val="center"/>
              <w:rPr>
                <w:rFonts w:ascii="宋体" w:hAnsi="宋体" w:cs="宋体"/>
                <w:sz w:val="24"/>
              </w:rPr>
            </w:pPr>
            <w:r>
              <w:rPr>
                <w:rFonts w:hint="eastAsia" w:ascii="宋体" w:hAnsi="宋体" w:cs="宋体"/>
                <w:sz w:val="24"/>
              </w:rPr>
              <w:t>1</w:t>
            </w:r>
          </w:p>
        </w:tc>
      </w:tr>
      <w:tr w14:paraId="74407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14:paraId="15160AB6">
            <w:pPr>
              <w:jc w:val="center"/>
              <w:rPr>
                <w:rFonts w:ascii="宋体" w:hAnsi="宋体" w:cs="宋体"/>
                <w:b/>
                <w:bCs/>
                <w:sz w:val="24"/>
              </w:rPr>
            </w:pPr>
            <w:r>
              <w:rPr>
                <w:rFonts w:ascii="宋体" w:hAnsi="宋体" w:cs="宋体"/>
                <w:sz w:val="24"/>
              </w:rPr>
              <w:t>3</w:t>
            </w:r>
          </w:p>
        </w:tc>
        <w:tc>
          <w:tcPr>
            <w:tcW w:w="957" w:type="dxa"/>
            <w:vAlign w:val="center"/>
          </w:tcPr>
          <w:p w14:paraId="7B8D49B2">
            <w:pPr>
              <w:jc w:val="center"/>
              <w:rPr>
                <w:rFonts w:ascii="宋体" w:hAnsi="宋体" w:cs="宋体"/>
                <w:b/>
                <w:bCs/>
                <w:sz w:val="24"/>
              </w:rPr>
            </w:pPr>
            <w:r>
              <w:rPr>
                <w:rFonts w:hint="eastAsia" w:ascii="宋体" w:hAnsi="宋体" w:cs="宋体"/>
                <w:b/>
                <w:bCs/>
                <w:sz w:val="24"/>
              </w:rPr>
              <w:t>图形工作站</w:t>
            </w:r>
          </w:p>
        </w:tc>
        <w:tc>
          <w:tcPr>
            <w:tcW w:w="7088" w:type="dxa"/>
            <w:vAlign w:val="center"/>
          </w:tcPr>
          <w:p w14:paraId="1F5F9B0A">
            <w:pPr>
              <w:spacing w:line="480" w:lineRule="exact"/>
              <w:rPr>
                <w:rFonts w:ascii="宋体" w:hAnsi="宋体" w:cs="宋体"/>
                <w:sz w:val="24"/>
              </w:rPr>
            </w:pPr>
            <w:r>
              <w:rPr>
                <w:rFonts w:hint="eastAsia" w:ascii="宋体" w:hAnsi="宋体" w:cs="宋体"/>
                <w:sz w:val="24"/>
              </w:rPr>
              <w:t>CPU:10核16线程、65W基础功耗、20MB三级缓存、最高睿频4.6GHz、支持DDR5 4800内存及以上；声卡:集成；内存:不低于32G；硬盘: 固态硬盘不低于256G；显卡:</w:t>
            </w:r>
            <w:r>
              <w:t xml:space="preserve"> </w:t>
            </w:r>
            <w:r>
              <w:rPr>
                <w:rFonts w:ascii="宋体" w:hAnsi="宋体" w:cs="宋体"/>
                <w:sz w:val="24"/>
              </w:rPr>
              <w:t>rtx3060</w:t>
            </w:r>
            <w:r>
              <w:rPr>
                <w:rFonts w:hint="eastAsia" w:ascii="宋体" w:hAnsi="宋体" w:cs="宋体"/>
                <w:sz w:val="24"/>
              </w:rPr>
              <w:t>以上；显示器:27寸，分辨率:1080P。</w:t>
            </w:r>
          </w:p>
        </w:tc>
        <w:tc>
          <w:tcPr>
            <w:tcW w:w="850" w:type="dxa"/>
            <w:vAlign w:val="center"/>
          </w:tcPr>
          <w:p w14:paraId="3B667EAB">
            <w:pPr>
              <w:jc w:val="center"/>
              <w:rPr>
                <w:rFonts w:ascii="宋体" w:hAnsi="宋体" w:cs="宋体"/>
                <w:sz w:val="24"/>
              </w:rPr>
            </w:pPr>
            <w:r>
              <w:rPr>
                <w:rFonts w:hint="eastAsia" w:ascii="宋体" w:hAnsi="宋体" w:cs="宋体"/>
                <w:sz w:val="24"/>
              </w:rPr>
              <w:t>2</w:t>
            </w:r>
            <w:r>
              <w:rPr>
                <w:rFonts w:ascii="宋体" w:hAnsi="宋体" w:cs="宋体"/>
                <w:sz w:val="24"/>
              </w:rPr>
              <w:t>6</w:t>
            </w:r>
          </w:p>
        </w:tc>
      </w:tr>
      <w:tr w14:paraId="641F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14:paraId="7F5E1AB2">
            <w:pPr>
              <w:jc w:val="center"/>
              <w:rPr>
                <w:rFonts w:ascii="宋体" w:hAnsi="宋体" w:cs="宋体"/>
                <w:b/>
                <w:bCs/>
                <w:sz w:val="24"/>
              </w:rPr>
            </w:pPr>
            <w:r>
              <w:rPr>
                <w:rFonts w:ascii="宋体" w:hAnsi="宋体" w:cs="宋体"/>
                <w:sz w:val="24"/>
              </w:rPr>
              <w:t>4</w:t>
            </w:r>
          </w:p>
        </w:tc>
        <w:tc>
          <w:tcPr>
            <w:tcW w:w="957" w:type="dxa"/>
            <w:vAlign w:val="center"/>
          </w:tcPr>
          <w:p w14:paraId="3F610328">
            <w:pPr>
              <w:jc w:val="center"/>
              <w:rPr>
                <w:rFonts w:ascii="宋体" w:hAnsi="宋体" w:cs="宋体"/>
                <w:b/>
                <w:bCs/>
                <w:sz w:val="24"/>
              </w:rPr>
            </w:pPr>
            <w:r>
              <w:rPr>
                <w:rFonts w:hint="eastAsia" w:ascii="宋体" w:hAnsi="宋体" w:cs="宋体"/>
                <w:b/>
                <w:bCs/>
                <w:sz w:val="24"/>
              </w:rPr>
              <w:t>桌椅</w:t>
            </w:r>
          </w:p>
        </w:tc>
        <w:tc>
          <w:tcPr>
            <w:tcW w:w="7088" w:type="dxa"/>
            <w:vAlign w:val="center"/>
          </w:tcPr>
          <w:p w14:paraId="6A9F5975">
            <w:pPr>
              <w:spacing w:line="480" w:lineRule="exact"/>
              <w:rPr>
                <w:rFonts w:ascii="宋体" w:hAnsi="宋体" w:cs="宋体"/>
                <w:sz w:val="24"/>
              </w:rPr>
            </w:pPr>
            <w:r>
              <w:rPr>
                <w:rFonts w:hint="eastAsia" w:ascii="宋体" w:hAnsi="宋体" w:cs="宋体"/>
                <w:sz w:val="24"/>
              </w:rPr>
              <w:t>定制钢架结构实训桌，优质环保型贴面，桌面厚度不低于25mm，整体尺寸不大于1.2×0.9×0.75m  桌腿钢材厚度不低于0.8mm，每套配备2张小方凳。</w:t>
            </w:r>
          </w:p>
        </w:tc>
        <w:tc>
          <w:tcPr>
            <w:tcW w:w="850" w:type="dxa"/>
            <w:vAlign w:val="center"/>
          </w:tcPr>
          <w:p w14:paraId="246DA855">
            <w:pPr>
              <w:jc w:val="center"/>
              <w:rPr>
                <w:rFonts w:ascii="宋体" w:hAnsi="宋体" w:cs="宋体"/>
                <w:sz w:val="24"/>
              </w:rPr>
            </w:pPr>
            <w:r>
              <w:rPr>
                <w:rFonts w:hint="eastAsia" w:ascii="宋体" w:hAnsi="宋体" w:cs="宋体"/>
                <w:sz w:val="24"/>
              </w:rPr>
              <w:t>2</w:t>
            </w:r>
            <w:r>
              <w:rPr>
                <w:rFonts w:ascii="宋体" w:hAnsi="宋体" w:cs="宋体"/>
                <w:sz w:val="24"/>
              </w:rPr>
              <w:t>6</w:t>
            </w:r>
          </w:p>
        </w:tc>
      </w:tr>
      <w:tr w14:paraId="685A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14:paraId="37BBF754">
            <w:pPr>
              <w:jc w:val="center"/>
              <w:rPr>
                <w:rFonts w:ascii="宋体" w:hAnsi="宋体" w:cs="宋体"/>
                <w:sz w:val="24"/>
              </w:rPr>
            </w:pPr>
            <w:r>
              <w:rPr>
                <w:rFonts w:ascii="宋体" w:hAnsi="宋体" w:cs="宋体"/>
                <w:sz w:val="24"/>
              </w:rPr>
              <w:t>5</w:t>
            </w:r>
          </w:p>
        </w:tc>
        <w:tc>
          <w:tcPr>
            <w:tcW w:w="957" w:type="dxa"/>
            <w:vAlign w:val="center"/>
          </w:tcPr>
          <w:p w14:paraId="79889107">
            <w:pPr>
              <w:jc w:val="center"/>
              <w:rPr>
                <w:rFonts w:ascii="宋体" w:hAnsi="宋体" w:cs="宋体"/>
                <w:b/>
                <w:bCs/>
                <w:sz w:val="24"/>
              </w:rPr>
            </w:pPr>
            <w:r>
              <w:rPr>
                <w:rFonts w:hint="eastAsia" w:ascii="宋体" w:hAnsi="宋体" w:cs="宋体"/>
                <w:b/>
                <w:bCs/>
                <w:sz w:val="24"/>
              </w:rPr>
              <w:t>场地改造</w:t>
            </w:r>
          </w:p>
        </w:tc>
        <w:tc>
          <w:tcPr>
            <w:tcW w:w="7088" w:type="dxa"/>
            <w:vAlign w:val="center"/>
          </w:tcPr>
          <w:p w14:paraId="11358ADB">
            <w:pPr>
              <w:spacing w:line="480" w:lineRule="exact"/>
              <w:rPr>
                <w:rFonts w:ascii="宋体" w:hAnsi="宋体" w:cs="宋体"/>
                <w:sz w:val="24"/>
              </w:rPr>
            </w:pPr>
            <w:r>
              <w:rPr>
                <w:rFonts w:hint="eastAsia" w:ascii="宋体" w:hAnsi="宋体" w:cs="宋体"/>
                <w:sz w:val="24"/>
              </w:rPr>
              <w:t>7.6×13m 约100平方米。按照现场尺寸及采购人要求，完成实训室改造工作，工程包括隔断玻璃房、吊顶、配套电路网路照明等改造项目：隔断玻璃房：国标轻钢龙骨（≥75mm），侧面使用≥9cm石膏板封面、正面玻璃使用单层钢化玻璃≥10mm，与周围其他玻璃隔断高度一致；安装单开、双开地弹簧门各一扇，单层钢化玻璃≥10mm；教室顶面铺设铝扣板吊顶以及配套的照明灯；所布线路上设法消除局部干扰；电源线配线时，所用导线截面积应满足用电设备最大输出功率；电器、电料的规格、型号应符合国家现行电器产品标准的有关规定；线路布置根据采购设备的位置进行配线供电（以现场设备摆放实际位置为准）</w:t>
            </w:r>
          </w:p>
        </w:tc>
        <w:tc>
          <w:tcPr>
            <w:tcW w:w="850" w:type="dxa"/>
            <w:vAlign w:val="center"/>
          </w:tcPr>
          <w:p w14:paraId="26F4126B">
            <w:pPr>
              <w:jc w:val="center"/>
              <w:rPr>
                <w:rFonts w:ascii="宋体" w:hAnsi="宋体" w:cs="宋体"/>
                <w:sz w:val="24"/>
              </w:rPr>
            </w:pPr>
            <w:r>
              <w:rPr>
                <w:rFonts w:hint="eastAsia" w:ascii="宋体" w:hAnsi="宋体" w:cs="宋体"/>
                <w:sz w:val="24"/>
              </w:rPr>
              <w:t>1</w:t>
            </w:r>
          </w:p>
        </w:tc>
      </w:tr>
      <w:bookmarkEnd w:id="112"/>
    </w:tbl>
    <w:p w14:paraId="43D820E8">
      <w:pPr>
        <w:pStyle w:val="22"/>
        <w:rPr>
          <w:rFonts w:ascii="宋体" w:hAnsi="宋体" w:eastAsia="宋体" w:cs="宋体"/>
          <w:b/>
          <w:bCs/>
          <w:sz w:val="30"/>
          <w:szCs w:val="30"/>
          <w:u w:val="single"/>
        </w:rPr>
      </w:pPr>
      <w:r>
        <w:rPr>
          <w:rFonts w:hint="eastAsia" w:ascii="宋体" w:hAnsi="宋体" w:eastAsia="宋体" w:cs="宋体"/>
          <w:b/>
          <w:bCs/>
          <w:sz w:val="30"/>
          <w:szCs w:val="30"/>
        </w:rPr>
        <w:t>注：上表采购设备清单中的</w:t>
      </w:r>
      <w:r>
        <w:rPr>
          <w:rFonts w:hint="eastAsia" w:ascii="宋体" w:hAnsi="宋体" w:eastAsia="宋体" w:cs="宋体"/>
          <w:b/>
          <w:bCs/>
          <w:sz w:val="30"/>
          <w:szCs w:val="30"/>
          <w:u w:val="single"/>
        </w:rPr>
        <w:t>数控机床操作、仿真系统为本项目核心产品。</w:t>
      </w:r>
    </w:p>
    <w:p w14:paraId="49D96011">
      <w:pPr>
        <w:pStyle w:val="2"/>
        <w:ind w:firstLine="482" w:firstLineChars="200"/>
        <w:jc w:val="both"/>
        <w:rPr>
          <w:rFonts w:ascii="宋体" w:hAnsi="宋体" w:eastAsia="宋体" w:cs="宋体"/>
          <w:b/>
          <w:bCs/>
          <w:sz w:val="24"/>
          <w:szCs w:val="24"/>
        </w:rPr>
      </w:pPr>
      <w:r>
        <w:rPr>
          <w:rFonts w:hint="eastAsia" w:ascii="宋体" w:hAnsi="宋体" w:eastAsia="宋体" w:cs="宋体"/>
          <w:b/>
          <w:bCs/>
          <w:sz w:val="24"/>
          <w:szCs w:val="24"/>
        </w:rPr>
        <w:t>6. 服务要求</w:t>
      </w:r>
    </w:p>
    <w:p w14:paraId="428B836D">
      <w:pPr>
        <w:spacing w:line="360" w:lineRule="auto"/>
        <w:ind w:firstLine="420"/>
        <w:rPr>
          <w:rFonts w:ascii="宋体" w:hAnsi="宋体" w:cs="宋体"/>
          <w:sz w:val="24"/>
          <w:szCs w:val="24"/>
        </w:rPr>
      </w:pPr>
      <w:r>
        <w:rPr>
          <w:rFonts w:hint="eastAsia" w:ascii="宋体" w:hAnsi="宋体" w:cs="宋体"/>
          <w:sz w:val="24"/>
          <w:szCs w:val="24"/>
        </w:rPr>
        <w:t>6.1质保期：本项目质保期为</w:t>
      </w:r>
      <w:r>
        <w:rPr>
          <w:rFonts w:hint="eastAsia" w:ascii="宋体" w:hAnsi="宋体" w:cs="宋体"/>
          <w:sz w:val="24"/>
          <w:szCs w:val="24"/>
          <w:u w:val="single"/>
        </w:rPr>
        <w:t xml:space="preserve"> 3 </w:t>
      </w:r>
      <w:r>
        <w:rPr>
          <w:rFonts w:hint="eastAsia" w:ascii="宋体" w:hAnsi="宋体" w:cs="宋体"/>
          <w:sz w:val="24"/>
          <w:szCs w:val="24"/>
        </w:rPr>
        <w:t>年，免费提供软件升级服务，自所有项目验收合格并办理移交手续之日起计算（采购需求另有要求的则从其要求）。</w:t>
      </w:r>
    </w:p>
    <w:p w14:paraId="4FD4BD9B">
      <w:pPr>
        <w:spacing w:line="360" w:lineRule="auto"/>
        <w:ind w:firstLine="420"/>
        <w:rPr>
          <w:rFonts w:ascii="宋体" w:hAnsi="宋体" w:cs="宋体"/>
          <w:sz w:val="24"/>
          <w:szCs w:val="24"/>
        </w:rPr>
      </w:pPr>
      <w:r>
        <w:rPr>
          <w:rFonts w:hint="eastAsia" w:ascii="宋体" w:hAnsi="宋体" w:cs="宋体"/>
          <w:sz w:val="24"/>
          <w:szCs w:val="24"/>
        </w:rPr>
        <w:t>6.2质保期内：质保期内，发生任何质量问题，均由中标方负责修复。系统硬件设备若发生故障，要求中标人2个小时内到现场维修响应，中标人到现场响应后，应在4小时内完成设备的维修，如果故障无法在24小时之内排除，中标人应提供与该设备型号、规格及技术指标相一致的备品或更新的兼容产品，并到现场完成设备更换，以保证系统硬件设备的正常运行。软件类产品，要求中标人2个小时内响应并解决问题；若有需要到现场维修的，应在4小时内到达现场并解决问题，保证软件正常运行。若中标人不能按照约定响应甲方需求，甲方有权利委托第三人进行维修，产生的费用由中标人承担。</w:t>
      </w:r>
    </w:p>
    <w:p w14:paraId="15BDC97F">
      <w:pPr>
        <w:spacing w:line="360" w:lineRule="auto"/>
        <w:ind w:firstLine="420"/>
        <w:rPr>
          <w:rFonts w:ascii="宋体" w:hAnsi="宋体" w:cs="宋体"/>
          <w:sz w:val="24"/>
          <w:szCs w:val="24"/>
        </w:rPr>
      </w:pPr>
      <w:r>
        <w:rPr>
          <w:rFonts w:hint="eastAsia" w:ascii="宋体" w:hAnsi="宋体" w:cs="宋体"/>
          <w:sz w:val="24"/>
          <w:szCs w:val="24"/>
        </w:rPr>
        <w:t>6.3质保期后：质保期后中标方需要定期回访，如产品产生质量问题，需要更换，中标方应以不高于市场价格的零部件进行更换，系统升级。</w:t>
      </w:r>
    </w:p>
    <w:p w14:paraId="2B842803">
      <w:pPr>
        <w:spacing w:line="360" w:lineRule="auto"/>
        <w:ind w:firstLine="420"/>
        <w:outlineLvl w:val="2"/>
        <w:rPr>
          <w:rFonts w:ascii="宋体" w:hAnsi="宋体" w:cs="宋体"/>
          <w:sz w:val="24"/>
          <w:szCs w:val="24"/>
        </w:rPr>
      </w:pPr>
      <w:r>
        <w:rPr>
          <w:rFonts w:hint="eastAsia" w:ascii="宋体" w:hAnsi="宋体" w:cs="宋体"/>
          <w:sz w:val="24"/>
          <w:szCs w:val="24"/>
        </w:rPr>
        <w:t>6.4技术资料要求</w:t>
      </w:r>
    </w:p>
    <w:p w14:paraId="65A7A8DC">
      <w:pPr>
        <w:spacing w:line="360" w:lineRule="auto"/>
        <w:ind w:firstLine="480"/>
        <w:rPr>
          <w:rFonts w:ascii="宋体" w:hAnsi="宋体" w:cs="宋体"/>
          <w:sz w:val="24"/>
          <w:szCs w:val="24"/>
        </w:rPr>
      </w:pPr>
      <w:r>
        <w:rPr>
          <w:rFonts w:hint="eastAsia" w:ascii="宋体" w:hAnsi="宋体" w:cs="宋体"/>
          <w:sz w:val="24"/>
          <w:szCs w:val="24"/>
        </w:rPr>
        <w:t>以上设备要提供一套完整的中文技术资料，作为设备不可或缺的组成部分，包括：包括软件操作手册、使用维护说明书、电气原理图、产品合格证等应该具备的相关资料。</w:t>
      </w:r>
    </w:p>
    <w:p w14:paraId="08627D8F">
      <w:pPr>
        <w:spacing w:line="360" w:lineRule="auto"/>
        <w:ind w:firstLine="420"/>
        <w:outlineLvl w:val="2"/>
        <w:rPr>
          <w:rFonts w:ascii="宋体" w:hAnsi="宋体" w:cs="宋体"/>
          <w:sz w:val="24"/>
          <w:szCs w:val="24"/>
        </w:rPr>
      </w:pPr>
      <w:r>
        <w:rPr>
          <w:rFonts w:hint="eastAsia" w:ascii="宋体" w:hAnsi="宋体" w:cs="宋体"/>
          <w:sz w:val="24"/>
          <w:szCs w:val="24"/>
        </w:rPr>
        <w:t>6.5 其他要求</w:t>
      </w:r>
    </w:p>
    <w:p w14:paraId="4A18633D">
      <w:pPr>
        <w:spacing w:line="360" w:lineRule="auto"/>
        <w:ind w:firstLine="420"/>
        <w:outlineLvl w:val="2"/>
        <w:rPr>
          <w:rFonts w:ascii="宋体" w:hAnsi="宋体" w:cs="宋体"/>
          <w:sz w:val="24"/>
          <w:szCs w:val="24"/>
        </w:rPr>
      </w:pPr>
      <w:r>
        <w:rPr>
          <w:rFonts w:hint="eastAsia" w:ascii="宋体" w:hAnsi="宋体" w:cs="宋体"/>
          <w:sz w:val="24"/>
          <w:szCs w:val="24"/>
        </w:rPr>
        <w:t>6.5.1场地改造内容包括数控虚拟仿真实训室占地</w:t>
      </w:r>
      <w:r>
        <w:rPr>
          <w:rFonts w:ascii="宋体" w:hAnsi="宋体" w:cs="宋体"/>
          <w:sz w:val="24"/>
          <w:szCs w:val="24"/>
        </w:rPr>
        <w:t>100</w:t>
      </w:r>
      <w:r>
        <w:rPr>
          <w:rFonts w:hint="eastAsia" w:ascii="宋体" w:hAnsi="宋体" w:cs="宋体"/>
          <w:sz w:val="24"/>
          <w:szCs w:val="24"/>
        </w:rPr>
        <w:t>平方米，包括隔断玻璃房、配套电路网路照明等改造项目。整个过程需要严格控制。</w:t>
      </w:r>
    </w:p>
    <w:p w14:paraId="3F6F170D">
      <w:pPr>
        <w:spacing w:line="360" w:lineRule="auto"/>
        <w:ind w:firstLine="420"/>
        <w:outlineLvl w:val="2"/>
        <w:rPr>
          <w:rFonts w:ascii="宋体" w:hAnsi="宋体" w:cs="宋体"/>
          <w:sz w:val="24"/>
          <w:szCs w:val="24"/>
        </w:rPr>
      </w:pPr>
      <w:r>
        <w:rPr>
          <w:rFonts w:hint="eastAsia" w:ascii="宋体" w:hAnsi="宋体" w:cs="宋体"/>
          <w:sz w:val="24"/>
          <w:szCs w:val="24"/>
        </w:rPr>
        <w:t>6.5.2地面装修改造施工所需的所有设施、器械等一切费用全部由中标方承担。施工（安装）期间中标单位应做好安全预案，因中标单位原因对采购人及第三方造成损失，由中标单位承担全部责任；因中标单位原因而发生事故(含安全事故、消防事故等),所造成的损失由中标单位承担全部责任。</w:t>
      </w:r>
    </w:p>
    <w:p w14:paraId="43B8530A">
      <w:pPr>
        <w:spacing w:line="360" w:lineRule="auto"/>
        <w:ind w:firstLine="420"/>
        <w:outlineLvl w:val="2"/>
        <w:rPr>
          <w:rFonts w:ascii="宋体" w:hAnsi="宋体" w:cs="宋体"/>
          <w:sz w:val="24"/>
          <w:szCs w:val="24"/>
        </w:rPr>
      </w:pPr>
      <w:r>
        <w:rPr>
          <w:rFonts w:hint="eastAsia" w:ascii="宋体" w:hAnsi="宋体" w:cs="宋体"/>
          <w:b/>
          <w:bCs/>
          <w:sz w:val="24"/>
          <w:szCs w:val="24"/>
        </w:rPr>
        <w:t>6.6采购人有权对中标供应商投标文件中提供的相关材料进行核查。</w:t>
      </w:r>
    </w:p>
    <w:p w14:paraId="47E1569A">
      <w:pPr>
        <w:pStyle w:val="2"/>
        <w:ind w:firstLine="482" w:firstLineChars="200"/>
        <w:jc w:val="both"/>
        <w:rPr>
          <w:rFonts w:ascii="宋体" w:hAnsi="宋体" w:eastAsia="宋体" w:cs="宋体"/>
          <w:b/>
          <w:bCs/>
          <w:sz w:val="24"/>
          <w:szCs w:val="24"/>
        </w:rPr>
      </w:pPr>
      <w:r>
        <w:rPr>
          <w:rFonts w:hint="eastAsia" w:ascii="宋体" w:hAnsi="宋体" w:eastAsia="宋体" w:cs="宋体"/>
          <w:b/>
          <w:bCs/>
          <w:sz w:val="24"/>
          <w:szCs w:val="24"/>
        </w:rPr>
        <w:t>7、合同履行期限、交货地点及维保期</w:t>
      </w:r>
    </w:p>
    <w:p w14:paraId="7C2071CE">
      <w:pPr>
        <w:spacing w:line="360" w:lineRule="auto"/>
        <w:ind w:firstLine="482"/>
        <w:rPr>
          <w:rFonts w:ascii="宋体" w:hAnsi="宋体" w:cs="宋体"/>
          <w:sz w:val="24"/>
        </w:rPr>
      </w:pPr>
      <w:r>
        <w:rPr>
          <w:rFonts w:hint="eastAsia" w:ascii="宋体" w:hAnsi="宋体" w:cs="宋体"/>
          <w:b/>
          <w:bCs/>
          <w:sz w:val="24"/>
          <w:szCs w:val="24"/>
        </w:rPr>
        <w:t>合同履行期限：</w:t>
      </w:r>
      <w:r>
        <w:rPr>
          <w:rFonts w:hint="eastAsia" w:ascii="宋体" w:hAnsi="宋体" w:cs="宋体"/>
          <w:sz w:val="24"/>
        </w:rPr>
        <w:t>合同签订之日起</w:t>
      </w:r>
      <w:r>
        <w:rPr>
          <w:rFonts w:ascii="宋体" w:hAnsi="宋体" w:cs="宋体"/>
          <w:sz w:val="24"/>
        </w:rPr>
        <w:t>4</w:t>
      </w:r>
      <w:r>
        <w:rPr>
          <w:rFonts w:hint="eastAsia" w:ascii="宋体" w:hAnsi="宋体" w:cs="宋体"/>
          <w:sz w:val="24"/>
        </w:rPr>
        <w:t>0日历天内完成所有设备供货、安装调试、培训和场地改造等工作。</w:t>
      </w:r>
    </w:p>
    <w:p w14:paraId="417DE617">
      <w:pPr>
        <w:spacing w:line="360" w:lineRule="auto"/>
        <w:ind w:firstLine="482"/>
        <w:outlineLvl w:val="1"/>
        <w:rPr>
          <w:rFonts w:ascii="宋体" w:hAnsi="宋体" w:cs="宋体"/>
          <w:sz w:val="24"/>
          <w:szCs w:val="24"/>
        </w:rPr>
      </w:pPr>
      <w:r>
        <w:rPr>
          <w:rFonts w:hint="eastAsia" w:ascii="宋体" w:hAnsi="宋体" w:cs="宋体"/>
          <w:b/>
          <w:sz w:val="24"/>
          <w:szCs w:val="24"/>
        </w:rPr>
        <w:t>交货地点</w:t>
      </w:r>
      <w:r>
        <w:rPr>
          <w:rFonts w:hint="eastAsia" w:ascii="宋体" w:hAnsi="宋体" w:cs="宋体"/>
          <w:sz w:val="24"/>
          <w:szCs w:val="24"/>
        </w:rPr>
        <w:t>：江苏省交通技师学院（镇江市丹徒区长香路西大道500号）</w:t>
      </w:r>
    </w:p>
    <w:p w14:paraId="1380A665">
      <w:pPr>
        <w:spacing w:line="360" w:lineRule="auto"/>
        <w:ind w:firstLine="482"/>
        <w:rPr>
          <w:rFonts w:ascii="宋体" w:hAnsi="宋体" w:cs="宋体"/>
          <w:sz w:val="24"/>
          <w:szCs w:val="24"/>
        </w:rPr>
        <w:sectPr>
          <w:footerReference r:id="rId3" w:type="default"/>
          <w:pgSz w:w="11906" w:h="16838"/>
          <w:pgMar w:top="1440" w:right="1803" w:bottom="1440" w:left="1803" w:header="851" w:footer="992" w:gutter="0"/>
          <w:cols w:space="0" w:num="1"/>
          <w:titlePg/>
          <w:docGrid w:type="lines" w:linePitch="312" w:charSpace="0"/>
        </w:sectPr>
      </w:pPr>
      <w:r>
        <w:rPr>
          <w:rFonts w:hint="eastAsia" w:ascii="宋体" w:hAnsi="宋体" w:cs="宋体"/>
          <w:b/>
          <w:sz w:val="24"/>
          <w:szCs w:val="24"/>
        </w:rPr>
        <w:t>维保期：</w:t>
      </w:r>
      <w:r>
        <w:rPr>
          <w:rFonts w:hint="eastAsia" w:ascii="宋体" w:hAnsi="宋体" w:cs="宋体"/>
          <w:sz w:val="24"/>
          <w:szCs w:val="24"/>
        </w:rPr>
        <w:t>检质保期从交货、安装调试完毕，产品验收合格之日起计算，在质保期内因质量问题由中标人无条件更换，费用由中标人负责。超过质保期的另行协商，其余按投标人提交的售后服务承诺书执行。</w:t>
      </w:r>
    </w:p>
    <w:p w14:paraId="6A0C65B7">
      <w:pPr>
        <w:keepNext/>
        <w:keepLines/>
        <w:spacing w:before="260" w:after="260" w:line="360" w:lineRule="auto"/>
        <w:jc w:val="center"/>
        <w:outlineLvl w:val="0"/>
        <w:rPr>
          <w:rFonts w:ascii="宋体" w:hAnsi="宋体"/>
          <w:sz w:val="36"/>
          <w:szCs w:val="20"/>
        </w:rPr>
      </w:pPr>
      <w:bookmarkStart w:id="113" w:name="OLE_LINK4"/>
      <w:bookmarkStart w:id="114" w:name="OLE_LINK3"/>
      <w:r>
        <w:rPr>
          <w:rFonts w:hint="eastAsia" w:ascii="宋体" w:hAnsi="宋体"/>
          <w:b/>
          <w:sz w:val="36"/>
          <w:szCs w:val="20"/>
        </w:rPr>
        <w:t>第四章  合同条款</w:t>
      </w:r>
    </w:p>
    <w:p w14:paraId="6EB58609">
      <w:pPr>
        <w:spacing w:line="360" w:lineRule="auto"/>
        <w:jc w:val="center"/>
        <w:rPr>
          <w:rFonts w:ascii="宋体" w:hAnsi="宋体"/>
          <w:b/>
          <w:bCs/>
          <w:sz w:val="32"/>
          <w:szCs w:val="32"/>
        </w:rPr>
      </w:pPr>
    </w:p>
    <w:p w14:paraId="3D1947ED">
      <w:pPr>
        <w:spacing w:line="360" w:lineRule="auto"/>
        <w:jc w:val="center"/>
        <w:rPr>
          <w:rFonts w:ascii="宋体" w:hAnsi="宋体"/>
          <w:b/>
          <w:bCs/>
          <w:sz w:val="32"/>
          <w:szCs w:val="32"/>
        </w:rPr>
      </w:pPr>
    </w:p>
    <w:p w14:paraId="6000801B">
      <w:pPr>
        <w:spacing w:line="360" w:lineRule="auto"/>
        <w:jc w:val="center"/>
        <w:rPr>
          <w:rFonts w:ascii="宋体" w:hAnsi="宋体"/>
          <w:b/>
          <w:bCs/>
          <w:sz w:val="32"/>
          <w:szCs w:val="32"/>
        </w:rPr>
      </w:pPr>
    </w:p>
    <w:p w14:paraId="7DED2623">
      <w:pPr>
        <w:spacing w:line="360" w:lineRule="auto"/>
        <w:jc w:val="center"/>
        <w:rPr>
          <w:rFonts w:ascii="宋体" w:hAnsi="宋体"/>
          <w:b/>
          <w:bCs/>
          <w:sz w:val="72"/>
          <w:szCs w:val="32"/>
        </w:rPr>
      </w:pPr>
      <w:r>
        <w:rPr>
          <w:rFonts w:hint="eastAsia" w:ascii="宋体" w:hAnsi="宋体"/>
          <w:b/>
          <w:bCs/>
          <w:sz w:val="72"/>
          <w:szCs w:val="32"/>
        </w:rPr>
        <w:t>江苏省交通技师学院</w:t>
      </w:r>
    </w:p>
    <w:p w14:paraId="30CBC1DB">
      <w:pPr>
        <w:spacing w:line="360" w:lineRule="auto"/>
        <w:jc w:val="center"/>
        <w:rPr>
          <w:rFonts w:ascii="宋体" w:hAnsi="宋体"/>
          <w:b/>
          <w:bCs/>
          <w:sz w:val="72"/>
          <w:szCs w:val="32"/>
        </w:rPr>
      </w:pPr>
      <w:r>
        <w:rPr>
          <w:rFonts w:hint="eastAsia" w:ascii="宋体" w:hAnsi="宋体"/>
          <w:b/>
          <w:bCs/>
          <w:sz w:val="72"/>
          <w:szCs w:val="32"/>
        </w:rPr>
        <w:t>采购合同</w:t>
      </w:r>
    </w:p>
    <w:p w14:paraId="623897C7">
      <w:pPr>
        <w:spacing w:line="360" w:lineRule="auto"/>
        <w:jc w:val="center"/>
        <w:rPr>
          <w:rFonts w:ascii="宋体" w:hAnsi="宋体"/>
          <w:b/>
          <w:bCs/>
          <w:sz w:val="32"/>
          <w:szCs w:val="32"/>
        </w:rPr>
      </w:pPr>
    </w:p>
    <w:p w14:paraId="118C8F0C">
      <w:pPr>
        <w:spacing w:line="360" w:lineRule="auto"/>
        <w:jc w:val="center"/>
        <w:rPr>
          <w:rFonts w:ascii="宋体" w:hAnsi="宋体"/>
          <w:b/>
          <w:bCs/>
          <w:sz w:val="32"/>
          <w:szCs w:val="32"/>
        </w:rPr>
      </w:pPr>
    </w:p>
    <w:p w14:paraId="2DB7CBE9">
      <w:pPr>
        <w:spacing w:line="360" w:lineRule="auto"/>
        <w:jc w:val="center"/>
        <w:rPr>
          <w:rFonts w:ascii="宋体" w:hAnsi="宋体"/>
          <w:b/>
          <w:bCs/>
          <w:sz w:val="32"/>
          <w:szCs w:val="32"/>
        </w:rPr>
      </w:pPr>
    </w:p>
    <w:p w14:paraId="66DEDFE2">
      <w:pPr>
        <w:spacing w:line="360" w:lineRule="auto"/>
        <w:jc w:val="center"/>
        <w:rPr>
          <w:rFonts w:ascii="宋体" w:hAnsi="宋体"/>
          <w:b/>
          <w:bCs/>
          <w:sz w:val="32"/>
          <w:szCs w:val="32"/>
        </w:rPr>
      </w:pPr>
    </w:p>
    <w:p w14:paraId="264F9228">
      <w:pPr>
        <w:spacing w:line="360" w:lineRule="auto"/>
        <w:jc w:val="center"/>
        <w:rPr>
          <w:rFonts w:ascii="宋体" w:hAnsi="宋体"/>
          <w:b/>
          <w:bCs/>
          <w:sz w:val="32"/>
          <w:szCs w:val="32"/>
        </w:rPr>
      </w:pPr>
    </w:p>
    <w:p w14:paraId="216C2440">
      <w:pPr>
        <w:spacing w:line="360" w:lineRule="auto"/>
        <w:jc w:val="center"/>
        <w:rPr>
          <w:rFonts w:hint="eastAsia" w:ascii="宋体" w:hAnsi="宋体" w:eastAsia="宋体"/>
          <w:b/>
          <w:bCs/>
          <w:sz w:val="32"/>
          <w:szCs w:val="32"/>
          <w:lang w:eastAsia="zh-CN"/>
        </w:rPr>
      </w:pPr>
      <w:r>
        <w:rPr>
          <w:rFonts w:hint="eastAsia" w:ascii="宋体" w:hAnsi="宋体"/>
          <w:b/>
          <w:bCs/>
          <w:sz w:val="32"/>
          <w:szCs w:val="32"/>
        </w:rPr>
        <w:t>项目名称：</w:t>
      </w:r>
      <w:r>
        <w:rPr>
          <w:rFonts w:hint="eastAsia" w:ascii="宋体" w:hAnsi="宋体"/>
          <w:b/>
          <w:bCs/>
          <w:sz w:val="32"/>
          <w:szCs w:val="32"/>
          <w:lang w:eastAsia="zh-CN"/>
        </w:rPr>
        <w:t>江苏省交通技师学院虚拟仿真数控技术系统采购项目</w:t>
      </w:r>
    </w:p>
    <w:p w14:paraId="0BA01E9E">
      <w:pPr>
        <w:spacing w:line="360" w:lineRule="auto"/>
        <w:jc w:val="center"/>
        <w:rPr>
          <w:rFonts w:ascii="宋体" w:hAnsi="宋体"/>
          <w:b/>
          <w:bCs/>
          <w:sz w:val="32"/>
          <w:szCs w:val="32"/>
        </w:rPr>
      </w:pPr>
    </w:p>
    <w:p w14:paraId="67CB59D9">
      <w:pPr>
        <w:spacing w:line="360" w:lineRule="auto"/>
        <w:jc w:val="center"/>
        <w:rPr>
          <w:rFonts w:ascii="宋体" w:hAnsi="宋体"/>
          <w:b/>
          <w:bCs/>
          <w:sz w:val="32"/>
          <w:szCs w:val="32"/>
        </w:rPr>
      </w:pPr>
      <w:r>
        <w:rPr>
          <w:rFonts w:hint="eastAsia" w:ascii="宋体" w:hAnsi="宋体"/>
          <w:b/>
          <w:bCs/>
          <w:sz w:val="32"/>
          <w:szCs w:val="32"/>
        </w:rPr>
        <w:t>项目编号：</w:t>
      </w:r>
    </w:p>
    <w:p w14:paraId="7DD780C7">
      <w:pPr>
        <w:spacing w:line="360" w:lineRule="auto"/>
        <w:jc w:val="center"/>
        <w:rPr>
          <w:rFonts w:ascii="宋体" w:hAnsi="宋体"/>
          <w:b/>
          <w:bCs/>
          <w:sz w:val="32"/>
          <w:szCs w:val="32"/>
        </w:rPr>
      </w:pPr>
    </w:p>
    <w:p w14:paraId="6027A2B9">
      <w:pPr>
        <w:spacing w:line="360" w:lineRule="auto"/>
        <w:jc w:val="center"/>
        <w:rPr>
          <w:rFonts w:ascii="宋体" w:hAnsi="宋体"/>
          <w:b/>
          <w:bCs/>
          <w:sz w:val="32"/>
          <w:szCs w:val="32"/>
        </w:rPr>
      </w:pPr>
      <w:r>
        <w:rPr>
          <w:rFonts w:hint="eastAsia" w:ascii="宋体" w:hAnsi="宋体"/>
          <w:b/>
          <w:bCs/>
          <w:sz w:val="32"/>
          <w:szCs w:val="32"/>
        </w:rPr>
        <w:t>采购单位：江苏省交通技师学院</w:t>
      </w:r>
    </w:p>
    <w:p w14:paraId="21821726">
      <w:pPr>
        <w:spacing w:line="360" w:lineRule="auto"/>
        <w:ind w:firstLine="2249" w:firstLineChars="700"/>
        <w:rPr>
          <w:rFonts w:ascii="宋体" w:hAnsi="宋体"/>
          <w:b/>
          <w:bCs/>
          <w:sz w:val="32"/>
          <w:szCs w:val="32"/>
        </w:rPr>
      </w:pPr>
      <w:r>
        <w:rPr>
          <w:rFonts w:hint="eastAsia" w:ascii="宋体" w:hAnsi="宋体"/>
          <w:b/>
          <w:bCs/>
          <w:sz w:val="32"/>
          <w:szCs w:val="32"/>
        </w:rPr>
        <w:t xml:space="preserve">供应商： </w:t>
      </w:r>
    </w:p>
    <w:p w14:paraId="11DA3C1F">
      <w:pPr>
        <w:spacing w:line="360" w:lineRule="auto"/>
        <w:jc w:val="center"/>
        <w:rPr>
          <w:rFonts w:ascii="宋体" w:hAnsi="宋体"/>
          <w:b/>
          <w:bCs/>
          <w:sz w:val="32"/>
          <w:szCs w:val="32"/>
        </w:rPr>
      </w:pPr>
      <w:r>
        <w:rPr>
          <w:rFonts w:hint="eastAsia" w:ascii="宋体" w:hAnsi="宋体"/>
          <w:b/>
          <w:bCs/>
          <w:sz w:val="32"/>
          <w:szCs w:val="32"/>
        </w:rPr>
        <w:t>二〇二六年 月</w:t>
      </w:r>
    </w:p>
    <w:p w14:paraId="343FB81E">
      <w:pPr>
        <w:spacing w:line="360" w:lineRule="auto"/>
        <w:jc w:val="center"/>
        <w:rPr>
          <w:rFonts w:ascii="宋体" w:hAnsi="宋体"/>
          <w:b/>
          <w:bCs/>
          <w:sz w:val="32"/>
          <w:szCs w:val="32"/>
        </w:rPr>
      </w:pPr>
    </w:p>
    <w:p w14:paraId="78EE1534">
      <w:pPr>
        <w:spacing w:line="360" w:lineRule="auto"/>
        <w:jc w:val="center"/>
        <w:rPr>
          <w:rFonts w:ascii="宋体" w:hAnsi="宋体"/>
          <w:b/>
          <w:bCs/>
          <w:sz w:val="32"/>
          <w:szCs w:val="32"/>
        </w:rPr>
      </w:pPr>
      <w:r>
        <w:rPr>
          <w:rFonts w:hint="eastAsia" w:ascii="宋体" w:hAnsi="宋体"/>
          <w:b/>
          <w:bCs/>
          <w:sz w:val="32"/>
          <w:szCs w:val="32"/>
        </w:rPr>
        <w:t>合  同</w:t>
      </w:r>
    </w:p>
    <w:p w14:paraId="52C1A80C">
      <w:pPr>
        <w:spacing w:line="460" w:lineRule="exact"/>
        <w:ind w:firstLine="472" w:firstLineChars="196"/>
        <w:rPr>
          <w:rFonts w:ascii="宋体" w:hAnsi="宋体"/>
          <w:sz w:val="24"/>
        </w:rPr>
      </w:pPr>
      <w:r>
        <w:rPr>
          <w:rFonts w:hint="eastAsia" w:ascii="宋体" w:hAnsi="宋体"/>
          <w:b/>
          <w:sz w:val="24"/>
          <w:u w:val="single"/>
        </w:rPr>
        <w:t>江苏省交通技师学院</w:t>
      </w:r>
      <w:r>
        <w:rPr>
          <w:rFonts w:hint="eastAsia" w:ascii="宋体" w:hAnsi="宋体"/>
          <w:sz w:val="24"/>
        </w:rPr>
        <w:t>（采购人，以下简称“甲方”）和</w:t>
      </w:r>
      <w:r>
        <w:rPr>
          <w:rFonts w:hint="eastAsia" w:ascii="宋体" w:hAnsi="宋体"/>
          <w:sz w:val="24"/>
          <w:u w:val="single"/>
        </w:rPr>
        <w:t xml:space="preserve"> </w:t>
      </w:r>
      <w:r>
        <w:rPr>
          <w:rFonts w:hint="eastAsia" w:ascii="宋体" w:hAnsi="宋体"/>
          <w:b/>
          <w:sz w:val="24"/>
          <w:u w:val="single"/>
        </w:rPr>
        <w:t xml:space="preserve">                  </w:t>
      </w:r>
      <w:r>
        <w:rPr>
          <w:rFonts w:hint="eastAsia" w:ascii="宋体" w:hAnsi="宋体"/>
          <w:sz w:val="24"/>
        </w:rPr>
        <w:t>（供应商，以下简称“乙方”）同意按下述条款和条件签订本合同（以下简称“合同”）：</w:t>
      </w:r>
    </w:p>
    <w:p w14:paraId="25A1C5A7">
      <w:pPr>
        <w:spacing w:line="460" w:lineRule="exact"/>
        <w:rPr>
          <w:rFonts w:ascii="宋体" w:hAnsi="宋体"/>
          <w:sz w:val="24"/>
        </w:rPr>
      </w:pPr>
      <w:r>
        <w:rPr>
          <w:rFonts w:hint="eastAsia" w:ascii="宋体" w:hAnsi="宋体"/>
          <w:sz w:val="24"/>
        </w:rPr>
        <w:t xml:space="preserve">    1.合同文件</w:t>
      </w:r>
    </w:p>
    <w:p w14:paraId="4087AD65">
      <w:pPr>
        <w:spacing w:line="460" w:lineRule="exact"/>
        <w:ind w:firstLine="480" w:firstLineChars="200"/>
        <w:rPr>
          <w:rFonts w:ascii="宋体" w:hAnsi="宋体"/>
          <w:sz w:val="24"/>
        </w:rPr>
      </w:pPr>
      <w:r>
        <w:rPr>
          <w:rFonts w:hint="eastAsia" w:ascii="宋体" w:hAnsi="宋体"/>
          <w:sz w:val="24"/>
        </w:rPr>
        <w:t>下列关于</w:t>
      </w:r>
      <w:r>
        <w:rPr>
          <w:rFonts w:hint="eastAsia" w:ascii="宋体" w:hAnsi="宋体"/>
          <w:sz w:val="24"/>
          <w:szCs w:val="24"/>
          <w:u w:val="single"/>
          <w:lang w:eastAsia="zh-CN"/>
        </w:rPr>
        <w:t>江苏省交通技师学院虚拟仿真数控技术系统采购项目</w:t>
      </w:r>
      <w:r>
        <w:rPr>
          <w:rFonts w:hint="eastAsia" w:ascii="宋体" w:hAnsi="宋体"/>
          <w:sz w:val="24"/>
        </w:rPr>
        <w:t>（项目名称的采购文件、乙方提交的响应文件，以及与本采购活动相关的文件是构成本合同不可分割的部分，与本合同具有同等法律效力，这些文件包括但不限于：</w:t>
      </w:r>
    </w:p>
    <w:p w14:paraId="4C76B7D2">
      <w:pPr>
        <w:spacing w:line="460" w:lineRule="exact"/>
        <w:ind w:firstLine="480" w:firstLineChars="200"/>
        <w:rPr>
          <w:rFonts w:ascii="宋体" w:hAnsi="宋体"/>
          <w:sz w:val="24"/>
        </w:rPr>
      </w:pPr>
      <w:r>
        <w:rPr>
          <w:rFonts w:hint="eastAsia" w:ascii="宋体" w:hAnsi="宋体"/>
          <w:sz w:val="24"/>
        </w:rPr>
        <w:t>（1）合同条款；</w:t>
      </w:r>
    </w:p>
    <w:p w14:paraId="62DAFD07">
      <w:pPr>
        <w:spacing w:line="460" w:lineRule="exact"/>
        <w:ind w:firstLine="480" w:firstLineChars="200"/>
        <w:rPr>
          <w:rFonts w:ascii="宋体" w:hAnsi="宋体"/>
          <w:sz w:val="24"/>
        </w:rPr>
      </w:pPr>
      <w:r>
        <w:rPr>
          <w:rFonts w:hint="eastAsia" w:ascii="宋体" w:hAnsi="宋体"/>
          <w:sz w:val="24"/>
        </w:rPr>
        <w:t>（2）投标函；</w:t>
      </w:r>
    </w:p>
    <w:p w14:paraId="028F8A77">
      <w:pPr>
        <w:spacing w:line="460" w:lineRule="exact"/>
        <w:ind w:firstLine="480" w:firstLineChars="200"/>
        <w:rPr>
          <w:rFonts w:ascii="宋体" w:hAnsi="宋体"/>
          <w:sz w:val="24"/>
        </w:rPr>
      </w:pPr>
      <w:r>
        <w:rPr>
          <w:rFonts w:hint="eastAsia" w:ascii="宋体" w:hAnsi="宋体"/>
          <w:sz w:val="24"/>
        </w:rPr>
        <w:t>（3）乙方提交的投标文件和报价表；</w:t>
      </w:r>
    </w:p>
    <w:p w14:paraId="613221CA">
      <w:pPr>
        <w:spacing w:line="460" w:lineRule="exact"/>
        <w:ind w:firstLine="480" w:firstLineChars="200"/>
        <w:rPr>
          <w:rFonts w:ascii="宋体" w:hAnsi="宋体"/>
          <w:sz w:val="24"/>
        </w:rPr>
      </w:pPr>
      <w:r>
        <w:rPr>
          <w:rFonts w:hint="eastAsia" w:ascii="宋体" w:hAnsi="宋体"/>
          <w:sz w:val="24"/>
        </w:rPr>
        <w:t>（4）中标通知书；</w:t>
      </w:r>
    </w:p>
    <w:p w14:paraId="678982CC">
      <w:pPr>
        <w:spacing w:line="460" w:lineRule="exact"/>
        <w:ind w:firstLine="480" w:firstLineChars="200"/>
        <w:rPr>
          <w:rFonts w:ascii="宋体" w:hAnsi="宋体"/>
          <w:sz w:val="24"/>
        </w:rPr>
      </w:pPr>
      <w:r>
        <w:rPr>
          <w:rFonts w:hint="eastAsia" w:ascii="宋体" w:hAnsi="宋体"/>
          <w:sz w:val="24"/>
        </w:rPr>
        <w:t>（5）甲方、乙方商定的其他必要文件。</w:t>
      </w:r>
    </w:p>
    <w:p w14:paraId="59EAEEA5">
      <w:pPr>
        <w:spacing w:line="460" w:lineRule="exact"/>
        <w:rPr>
          <w:rFonts w:ascii="宋体" w:hAnsi="宋体"/>
          <w:sz w:val="24"/>
        </w:rPr>
      </w:pPr>
      <w:r>
        <w:rPr>
          <w:rFonts w:hint="eastAsia" w:ascii="宋体" w:hAnsi="宋体"/>
          <w:sz w:val="24"/>
        </w:rPr>
        <w:t xml:space="preserve">    2.合同范围和条件</w:t>
      </w:r>
    </w:p>
    <w:p w14:paraId="3107AD04">
      <w:pPr>
        <w:spacing w:line="460" w:lineRule="exact"/>
        <w:rPr>
          <w:rFonts w:ascii="宋体" w:hAnsi="宋体"/>
          <w:sz w:val="24"/>
        </w:rPr>
      </w:pPr>
      <w:r>
        <w:rPr>
          <w:rFonts w:hint="eastAsia" w:ascii="宋体" w:hAnsi="宋体"/>
          <w:sz w:val="24"/>
        </w:rPr>
        <w:t xml:space="preserve">    本合同的范围和条件应与上述合同文件的规定相一致。</w:t>
      </w:r>
    </w:p>
    <w:p w14:paraId="7FB845EA">
      <w:pPr>
        <w:spacing w:line="460" w:lineRule="exact"/>
        <w:rPr>
          <w:rFonts w:ascii="宋体" w:hAnsi="宋体"/>
          <w:sz w:val="24"/>
        </w:rPr>
      </w:pPr>
      <w:r>
        <w:rPr>
          <w:rFonts w:hint="eastAsia" w:ascii="宋体" w:hAnsi="宋体"/>
          <w:sz w:val="24"/>
        </w:rPr>
        <w:t xml:space="preserve">    3.货物及数量</w:t>
      </w:r>
    </w:p>
    <w:p w14:paraId="3A4E1722">
      <w:pPr>
        <w:spacing w:line="460" w:lineRule="exact"/>
        <w:rPr>
          <w:rFonts w:ascii="宋体" w:hAnsi="宋体"/>
          <w:sz w:val="24"/>
        </w:rPr>
      </w:pPr>
      <w:r>
        <w:rPr>
          <w:rFonts w:hint="eastAsia" w:ascii="宋体" w:hAnsi="宋体"/>
          <w:sz w:val="24"/>
        </w:rPr>
        <w:t xml:space="preserve">    本合同所提供的货物及数量详见“明细报价表”（</w:t>
      </w:r>
      <w:r>
        <w:rPr>
          <w:rFonts w:hint="eastAsia" w:ascii="宋体" w:hAnsi="宋体"/>
          <w:bCs/>
          <w:sz w:val="24"/>
        </w:rPr>
        <w:t>本项目为交钥匙工程，乙方必须完全实现采购文件中的功能要求，响应文件报价清单中的设备、辅件数量或内容如有不足或缺项，由乙方自行负责增补，甲方不承担任何相关费用）</w:t>
      </w:r>
      <w:r>
        <w:rPr>
          <w:rFonts w:hint="eastAsia" w:ascii="宋体" w:hAnsi="宋体"/>
          <w:sz w:val="24"/>
        </w:rPr>
        <w:t>。</w:t>
      </w:r>
    </w:p>
    <w:p w14:paraId="6B4BB092">
      <w:pPr>
        <w:spacing w:line="460" w:lineRule="exact"/>
        <w:ind w:firstLine="480" w:firstLineChars="200"/>
        <w:rPr>
          <w:rFonts w:ascii="宋体" w:hAnsi="宋体"/>
          <w:b/>
          <w:sz w:val="24"/>
          <w:u w:val="single"/>
        </w:rPr>
      </w:pPr>
      <w:r>
        <w:rPr>
          <w:rFonts w:hint="eastAsia" w:ascii="宋体" w:hAnsi="宋体"/>
          <w:sz w:val="24"/>
        </w:rPr>
        <w:t xml:space="preserve"> 4.</w:t>
      </w:r>
      <w:r>
        <w:rPr>
          <w:rFonts w:hint="eastAsia" w:ascii="宋体" w:hAnsi="宋体"/>
          <w:bCs/>
          <w:sz w:val="24"/>
        </w:rPr>
        <w:t>合同金额及付款方式</w:t>
      </w:r>
    </w:p>
    <w:p w14:paraId="32F2B1B1">
      <w:pPr>
        <w:spacing w:line="460" w:lineRule="exact"/>
        <w:ind w:firstLine="482" w:firstLineChars="200"/>
        <w:rPr>
          <w:rFonts w:ascii="宋体" w:hAnsi="宋体"/>
          <w:b/>
          <w:sz w:val="24"/>
          <w:u w:val="single"/>
        </w:rPr>
      </w:pPr>
      <w:r>
        <w:rPr>
          <w:rFonts w:hint="eastAsia" w:ascii="宋体" w:hAnsi="宋体"/>
          <w:b/>
          <w:sz w:val="24"/>
          <w:u w:val="single"/>
        </w:rPr>
        <w:t>4.1合同金额</w:t>
      </w:r>
    </w:p>
    <w:p w14:paraId="2B45093E">
      <w:pPr>
        <w:spacing w:line="460" w:lineRule="exact"/>
        <w:ind w:firstLine="482" w:firstLineChars="200"/>
        <w:rPr>
          <w:rFonts w:ascii="宋体" w:hAnsi="宋体"/>
          <w:b/>
          <w:sz w:val="24"/>
          <w:u w:val="single"/>
        </w:rPr>
      </w:pPr>
      <w:r>
        <w:rPr>
          <w:rFonts w:hint="eastAsia" w:ascii="宋体" w:hAnsi="宋体"/>
          <w:b/>
          <w:sz w:val="24"/>
          <w:u w:val="single"/>
        </w:rPr>
        <w:t>根据上述合同文件要求，合同总金额（大写）为人民币   元整，</w:t>
      </w:r>
      <w:r>
        <w:rPr>
          <w:rFonts w:hint="eastAsia" w:ascii="宋体" w:hAnsi="宋体" w:cs="宋体"/>
          <w:b/>
          <w:sz w:val="24"/>
          <w:u w:val="single"/>
        </w:rPr>
        <w:t>¥</w:t>
      </w:r>
      <w:r>
        <w:rPr>
          <w:rFonts w:hint="eastAsia" w:ascii="宋体" w:hAnsi="宋体"/>
          <w:b/>
          <w:sz w:val="24"/>
          <w:u w:val="single"/>
        </w:rPr>
        <w:t xml:space="preserve"> 元（项目增加费用不得超过原合同金额的10%，同时双方必须签订补充合同），合同金额为固定价款，包含且不限于税费、运输费、安装费等费用，分项价格在乙方提交的报价表中有明确规定。若乙方在甲方未签字同意的情况下，单方增加的费用，甲方不予承担。</w:t>
      </w:r>
    </w:p>
    <w:p w14:paraId="0D8A72D3">
      <w:pPr>
        <w:spacing w:line="460" w:lineRule="exact"/>
        <w:ind w:firstLine="482" w:firstLineChars="200"/>
        <w:rPr>
          <w:rFonts w:ascii="宋体" w:hAnsi="宋体"/>
          <w:b/>
          <w:sz w:val="24"/>
          <w:u w:val="single"/>
        </w:rPr>
      </w:pPr>
      <w:r>
        <w:rPr>
          <w:rFonts w:hint="eastAsia" w:ascii="宋体" w:hAnsi="宋体"/>
          <w:b/>
          <w:sz w:val="24"/>
          <w:u w:val="single"/>
        </w:rPr>
        <w:t>4.2本合同以人民币付款</w:t>
      </w:r>
    </w:p>
    <w:p w14:paraId="2BBCADAC">
      <w:pPr>
        <w:spacing w:line="460" w:lineRule="exact"/>
        <w:ind w:firstLine="482" w:firstLineChars="200"/>
        <w:rPr>
          <w:rFonts w:ascii="宋体" w:hAnsi="宋体"/>
          <w:b/>
          <w:sz w:val="24"/>
          <w:u w:val="single"/>
        </w:rPr>
      </w:pPr>
      <w:r>
        <w:rPr>
          <w:rFonts w:hint="eastAsia" w:ascii="宋体" w:hAnsi="宋体"/>
          <w:b/>
          <w:sz w:val="24"/>
          <w:u w:val="single"/>
        </w:rPr>
        <w:t>4.3付款方式：</w:t>
      </w:r>
    </w:p>
    <w:tbl>
      <w:tblPr>
        <w:tblStyle w:val="55"/>
        <w:tblpPr w:leftFromText="180" w:rightFromText="180" w:vertAnchor="text" w:horzAnchor="page" w:tblpX="1492" w:tblpY="295"/>
        <w:tblOverlap w:val="never"/>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2235"/>
        <w:gridCol w:w="1588"/>
        <w:gridCol w:w="4383"/>
      </w:tblGrid>
      <w:tr w14:paraId="666DB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24" w:type="dxa"/>
            <w:vAlign w:val="center"/>
          </w:tcPr>
          <w:p w14:paraId="3FBE0003">
            <w:pPr>
              <w:pStyle w:val="2"/>
              <w:outlineLvl w:val="0"/>
              <w:rPr>
                <w:rFonts w:ascii="宋体" w:hAnsi="宋体" w:eastAsia="宋体" w:cs="宋体"/>
                <w:sz w:val="24"/>
                <w:szCs w:val="24"/>
              </w:rPr>
            </w:pPr>
            <w:r>
              <w:rPr>
                <w:rFonts w:hint="eastAsia" w:ascii="宋体" w:hAnsi="宋体" w:eastAsia="宋体" w:cs="宋体"/>
                <w:sz w:val="24"/>
                <w:szCs w:val="24"/>
              </w:rPr>
              <w:t>支付期次</w:t>
            </w:r>
          </w:p>
        </w:tc>
        <w:tc>
          <w:tcPr>
            <w:tcW w:w="2235" w:type="dxa"/>
            <w:vAlign w:val="center"/>
          </w:tcPr>
          <w:p w14:paraId="48D99500">
            <w:pPr>
              <w:pStyle w:val="2"/>
              <w:outlineLvl w:val="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支付日期</w:t>
            </w:r>
          </w:p>
        </w:tc>
        <w:tc>
          <w:tcPr>
            <w:tcW w:w="1588" w:type="dxa"/>
            <w:vAlign w:val="center"/>
          </w:tcPr>
          <w:p w14:paraId="51C9EBD9">
            <w:pPr>
              <w:pStyle w:val="2"/>
              <w:outlineLvl w:val="0"/>
              <w:rPr>
                <w:rFonts w:ascii="宋体" w:hAnsi="宋体" w:eastAsia="宋体" w:cs="宋体"/>
                <w:sz w:val="24"/>
                <w:szCs w:val="24"/>
              </w:rPr>
            </w:pPr>
            <w:r>
              <w:rPr>
                <w:rFonts w:hint="eastAsia" w:ascii="宋体" w:hAnsi="宋体" w:eastAsia="宋体" w:cs="宋体"/>
                <w:sz w:val="24"/>
                <w:szCs w:val="24"/>
              </w:rPr>
              <w:t>支付比例</w:t>
            </w:r>
          </w:p>
        </w:tc>
        <w:tc>
          <w:tcPr>
            <w:tcW w:w="4383" w:type="dxa"/>
            <w:vAlign w:val="center"/>
          </w:tcPr>
          <w:p w14:paraId="29B301AA">
            <w:pPr>
              <w:pStyle w:val="2"/>
              <w:outlineLvl w:val="0"/>
              <w:rPr>
                <w:rFonts w:ascii="宋体" w:hAnsi="宋体" w:eastAsia="宋体" w:cs="宋体"/>
                <w:sz w:val="24"/>
                <w:szCs w:val="24"/>
              </w:rPr>
            </w:pPr>
            <w:r>
              <w:rPr>
                <w:rFonts w:hint="eastAsia" w:ascii="宋体" w:hAnsi="宋体" w:eastAsia="宋体" w:cs="宋体"/>
                <w:sz w:val="24"/>
                <w:szCs w:val="24"/>
              </w:rPr>
              <w:t>支付期次说明</w:t>
            </w:r>
          </w:p>
        </w:tc>
      </w:tr>
      <w:tr w14:paraId="4AD63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824" w:type="dxa"/>
            <w:vAlign w:val="center"/>
          </w:tcPr>
          <w:p w14:paraId="351905E8">
            <w:pPr>
              <w:pStyle w:val="2"/>
              <w:outlineLvl w:val="0"/>
              <w:rPr>
                <w:rFonts w:ascii="宋体" w:hAnsi="宋体" w:eastAsia="宋体" w:cs="宋体"/>
                <w:sz w:val="24"/>
                <w:szCs w:val="24"/>
              </w:rPr>
            </w:pPr>
            <w:r>
              <w:rPr>
                <w:rFonts w:hint="eastAsia" w:ascii="宋体" w:hAnsi="宋体" w:eastAsia="宋体" w:cs="宋体"/>
                <w:sz w:val="24"/>
                <w:szCs w:val="24"/>
              </w:rPr>
              <w:t>1</w:t>
            </w:r>
          </w:p>
        </w:tc>
        <w:tc>
          <w:tcPr>
            <w:tcW w:w="2235" w:type="dxa"/>
            <w:vAlign w:val="center"/>
          </w:tcPr>
          <w:p w14:paraId="36DC27E5">
            <w:pPr>
              <w:pStyle w:val="2"/>
              <w:outlineLvl w:val="0"/>
              <w:rPr>
                <w:rFonts w:hint="eastAsia" w:ascii="宋体" w:hAnsi="宋体" w:eastAsia="宋体" w:cs="宋体"/>
                <w:sz w:val="24"/>
                <w:szCs w:val="24"/>
              </w:rPr>
            </w:pPr>
          </w:p>
        </w:tc>
        <w:tc>
          <w:tcPr>
            <w:tcW w:w="1588" w:type="dxa"/>
            <w:vAlign w:val="center"/>
          </w:tcPr>
          <w:p w14:paraId="6E34C11E">
            <w:pPr>
              <w:pStyle w:val="2"/>
              <w:outlineLvl w:val="0"/>
              <w:rPr>
                <w:rFonts w:ascii="宋体" w:hAnsi="宋体" w:eastAsia="宋体" w:cs="宋体"/>
                <w:kern w:val="2"/>
                <w:sz w:val="24"/>
                <w:szCs w:val="24"/>
              </w:rPr>
            </w:pPr>
            <w:r>
              <w:rPr>
                <w:rFonts w:hint="eastAsia" w:ascii="宋体" w:hAnsi="宋体" w:eastAsia="宋体" w:cs="宋体"/>
                <w:kern w:val="2"/>
                <w:sz w:val="24"/>
                <w:szCs w:val="24"/>
              </w:rPr>
              <w:t>/</w:t>
            </w:r>
          </w:p>
        </w:tc>
        <w:tc>
          <w:tcPr>
            <w:tcW w:w="4383" w:type="dxa"/>
            <w:vAlign w:val="center"/>
          </w:tcPr>
          <w:p w14:paraId="4143AA2E">
            <w:pPr>
              <w:jc w:val="left"/>
              <w:rPr>
                <w:rFonts w:ascii="宋体" w:hAnsi="宋体" w:cs="宋体"/>
                <w:kern w:val="2"/>
                <w:sz w:val="24"/>
                <w:szCs w:val="24"/>
              </w:rPr>
            </w:pPr>
            <w:r>
              <w:rPr>
                <w:rFonts w:hint="eastAsia" w:ascii="宋体" w:hAnsi="宋体" w:cs="宋体"/>
                <w:sz w:val="24"/>
                <w:szCs w:val="24"/>
              </w:rPr>
              <w:t>合同签订前，中标人将合同签约价的</w:t>
            </w:r>
            <w:r>
              <w:rPr>
                <w:rFonts w:ascii="宋体" w:hAnsi="宋体" w:cs="宋体"/>
                <w:sz w:val="24"/>
                <w:szCs w:val="24"/>
              </w:rPr>
              <w:t>5</w:t>
            </w:r>
            <w:r>
              <w:rPr>
                <w:rFonts w:hint="eastAsia" w:ascii="宋体" w:hAnsi="宋体" w:cs="宋体"/>
                <w:sz w:val="24"/>
                <w:szCs w:val="24"/>
              </w:rPr>
              <w:t>%作为履约保证金汇入甲方指定账户</w:t>
            </w:r>
          </w:p>
        </w:tc>
      </w:tr>
      <w:tr w14:paraId="2C9D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824" w:type="dxa"/>
            <w:vAlign w:val="center"/>
          </w:tcPr>
          <w:p w14:paraId="6D5BC8B7">
            <w:pPr>
              <w:pStyle w:val="2"/>
              <w:outlineLvl w:val="0"/>
              <w:rPr>
                <w:rFonts w:ascii="宋体" w:hAnsi="宋体" w:eastAsia="宋体" w:cs="宋体"/>
                <w:sz w:val="24"/>
                <w:szCs w:val="24"/>
              </w:rPr>
            </w:pPr>
            <w:r>
              <w:rPr>
                <w:rFonts w:hint="eastAsia" w:ascii="宋体" w:hAnsi="宋体" w:eastAsia="宋体" w:cs="宋体"/>
                <w:sz w:val="24"/>
                <w:szCs w:val="24"/>
              </w:rPr>
              <w:t>2</w:t>
            </w:r>
          </w:p>
        </w:tc>
        <w:tc>
          <w:tcPr>
            <w:tcW w:w="2235" w:type="dxa"/>
            <w:vAlign w:val="center"/>
          </w:tcPr>
          <w:p w14:paraId="19A8DD51">
            <w:pPr>
              <w:pStyle w:val="2"/>
              <w:outlineLvl w:val="0"/>
              <w:rPr>
                <w:rFonts w:hint="eastAsia" w:ascii="宋体" w:hAnsi="宋体" w:eastAsia="宋体" w:cs="宋体"/>
                <w:sz w:val="24"/>
                <w:szCs w:val="24"/>
              </w:rPr>
            </w:pPr>
          </w:p>
        </w:tc>
        <w:tc>
          <w:tcPr>
            <w:tcW w:w="1588" w:type="dxa"/>
            <w:vAlign w:val="center"/>
          </w:tcPr>
          <w:p w14:paraId="4F8141A6">
            <w:pPr>
              <w:pStyle w:val="2"/>
              <w:outlineLvl w:val="0"/>
              <w:rPr>
                <w:rFonts w:ascii="宋体" w:hAnsi="宋体" w:eastAsia="宋体" w:cs="宋体"/>
                <w:kern w:val="2"/>
                <w:sz w:val="24"/>
                <w:szCs w:val="24"/>
              </w:rPr>
            </w:pPr>
            <w:r>
              <w:rPr>
                <w:rFonts w:hint="eastAsia" w:ascii="宋体" w:hAnsi="宋体" w:eastAsia="宋体" w:cs="宋体"/>
                <w:kern w:val="2"/>
                <w:sz w:val="24"/>
                <w:szCs w:val="24"/>
              </w:rPr>
              <w:t>8</w:t>
            </w:r>
            <w:r>
              <w:rPr>
                <w:rFonts w:ascii="宋体" w:hAnsi="宋体" w:eastAsia="宋体" w:cs="宋体"/>
                <w:kern w:val="2"/>
                <w:sz w:val="24"/>
                <w:szCs w:val="24"/>
              </w:rPr>
              <w:t>0%</w:t>
            </w:r>
          </w:p>
        </w:tc>
        <w:tc>
          <w:tcPr>
            <w:tcW w:w="4383" w:type="dxa"/>
            <w:vAlign w:val="center"/>
          </w:tcPr>
          <w:p w14:paraId="3F65B969">
            <w:pPr>
              <w:jc w:val="left"/>
              <w:rPr>
                <w:rFonts w:ascii="宋体" w:hAnsi="宋体" w:cs="宋体"/>
                <w:sz w:val="24"/>
                <w:szCs w:val="24"/>
              </w:rPr>
            </w:pPr>
            <w:r>
              <w:rPr>
                <w:rFonts w:hint="eastAsia" w:ascii="宋体" w:hAnsi="宋体" w:cs="宋体"/>
                <w:sz w:val="24"/>
                <w:szCs w:val="24"/>
              </w:rPr>
              <w:t>项目整体验收合格后，采购人在收到合同款增值税发票10个工作日内向中标人支付合同签约价的</w:t>
            </w:r>
            <w:r>
              <w:rPr>
                <w:rFonts w:ascii="宋体" w:hAnsi="宋体" w:cs="宋体"/>
                <w:sz w:val="24"/>
                <w:szCs w:val="24"/>
              </w:rPr>
              <w:t>80</w:t>
            </w:r>
            <w:r>
              <w:rPr>
                <w:rFonts w:hint="eastAsia" w:ascii="宋体" w:hAnsi="宋体" w:cs="宋体"/>
                <w:sz w:val="24"/>
                <w:szCs w:val="24"/>
              </w:rPr>
              <w:t>%。</w:t>
            </w:r>
          </w:p>
        </w:tc>
      </w:tr>
      <w:tr w14:paraId="68D2B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824" w:type="dxa"/>
            <w:vAlign w:val="center"/>
          </w:tcPr>
          <w:p w14:paraId="1FDB4365">
            <w:pPr>
              <w:pStyle w:val="2"/>
              <w:outlineLvl w:val="0"/>
              <w:rPr>
                <w:rFonts w:ascii="宋体" w:hAnsi="宋体" w:eastAsia="宋体" w:cs="宋体"/>
                <w:sz w:val="24"/>
                <w:szCs w:val="24"/>
              </w:rPr>
            </w:pPr>
            <w:r>
              <w:rPr>
                <w:rFonts w:ascii="宋体" w:hAnsi="宋体" w:eastAsia="宋体" w:cs="宋体"/>
                <w:sz w:val="24"/>
                <w:szCs w:val="24"/>
              </w:rPr>
              <w:t>3</w:t>
            </w:r>
          </w:p>
        </w:tc>
        <w:tc>
          <w:tcPr>
            <w:tcW w:w="2235" w:type="dxa"/>
            <w:vAlign w:val="center"/>
          </w:tcPr>
          <w:p w14:paraId="0937680C">
            <w:pPr>
              <w:pStyle w:val="2"/>
              <w:outlineLvl w:val="0"/>
              <w:rPr>
                <w:rFonts w:ascii="宋体" w:hAnsi="宋体" w:eastAsia="宋体" w:cs="宋体"/>
                <w:sz w:val="24"/>
                <w:szCs w:val="24"/>
              </w:rPr>
            </w:pPr>
          </w:p>
        </w:tc>
        <w:tc>
          <w:tcPr>
            <w:tcW w:w="1588" w:type="dxa"/>
            <w:vAlign w:val="center"/>
          </w:tcPr>
          <w:p w14:paraId="78A7E0EF">
            <w:pPr>
              <w:pStyle w:val="2"/>
              <w:outlineLvl w:val="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0%</w:t>
            </w:r>
          </w:p>
        </w:tc>
        <w:tc>
          <w:tcPr>
            <w:tcW w:w="4383" w:type="dxa"/>
            <w:vAlign w:val="center"/>
          </w:tcPr>
          <w:p w14:paraId="4B443CE6">
            <w:pPr>
              <w:jc w:val="left"/>
              <w:rPr>
                <w:rFonts w:ascii="宋体" w:hAnsi="宋体" w:cs="宋体"/>
                <w:sz w:val="24"/>
                <w:szCs w:val="24"/>
              </w:rPr>
            </w:pPr>
            <w:r>
              <w:rPr>
                <w:rFonts w:hint="eastAsia" w:ascii="宋体" w:hAnsi="宋体" w:cs="宋体"/>
                <w:sz w:val="24"/>
                <w:szCs w:val="24"/>
              </w:rPr>
              <w:t>项目试运行稳定一年后，采购人在收到合同款增值税发票10个工作日内向中标人支付合同签约价的</w:t>
            </w:r>
            <w:r>
              <w:rPr>
                <w:rFonts w:ascii="宋体" w:hAnsi="宋体" w:cs="宋体"/>
                <w:sz w:val="24"/>
                <w:szCs w:val="24"/>
              </w:rPr>
              <w:t>10</w:t>
            </w:r>
            <w:r>
              <w:rPr>
                <w:rFonts w:hint="eastAsia" w:ascii="宋体" w:hAnsi="宋体" w:cs="宋体"/>
                <w:sz w:val="24"/>
                <w:szCs w:val="24"/>
              </w:rPr>
              <w:t>%。</w:t>
            </w:r>
          </w:p>
        </w:tc>
      </w:tr>
      <w:tr w14:paraId="07D2A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824" w:type="dxa"/>
            <w:vAlign w:val="center"/>
          </w:tcPr>
          <w:p w14:paraId="6431E548">
            <w:pPr>
              <w:pStyle w:val="2"/>
              <w:outlineLvl w:val="0"/>
              <w:rPr>
                <w:rFonts w:ascii="宋体" w:hAnsi="宋体" w:eastAsia="宋体" w:cs="宋体"/>
                <w:sz w:val="24"/>
                <w:szCs w:val="24"/>
              </w:rPr>
            </w:pPr>
            <w:r>
              <w:rPr>
                <w:rFonts w:hint="eastAsia" w:ascii="宋体" w:hAnsi="宋体" w:eastAsia="宋体" w:cs="宋体"/>
                <w:sz w:val="24"/>
                <w:szCs w:val="24"/>
              </w:rPr>
              <w:t>4</w:t>
            </w:r>
          </w:p>
        </w:tc>
        <w:tc>
          <w:tcPr>
            <w:tcW w:w="2235" w:type="dxa"/>
            <w:vAlign w:val="center"/>
          </w:tcPr>
          <w:p w14:paraId="76FD9DD1">
            <w:pPr>
              <w:pStyle w:val="2"/>
              <w:outlineLvl w:val="0"/>
              <w:rPr>
                <w:rFonts w:hint="eastAsia" w:ascii="宋体" w:hAnsi="宋体" w:eastAsia="宋体" w:cs="宋体"/>
                <w:sz w:val="24"/>
                <w:szCs w:val="24"/>
              </w:rPr>
            </w:pPr>
          </w:p>
        </w:tc>
        <w:tc>
          <w:tcPr>
            <w:tcW w:w="1588" w:type="dxa"/>
            <w:vAlign w:val="center"/>
          </w:tcPr>
          <w:p w14:paraId="3F36BE5B">
            <w:pPr>
              <w:pStyle w:val="2"/>
              <w:outlineLvl w:val="0"/>
              <w:rPr>
                <w:rFonts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0%</w:t>
            </w:r>
          </w:p>
        </w:tc>
        <w:tc>
          <w:tcPr>
            <w:tcW w:w="4383" w:type="dxa"/>
            <w:vAlign w:val="center"/>
          </w:tcPr>
          <w:p w14:paraId="79B274E7">
            <w:pPr>
              <w:jc w:val="left"/>
              <w:rPr>
                <w:rFonts w:ascii="宋体" w:hAnsi="宋体" w:cs="宋体"/>
                <w:sz w:val="24"/>
                <w:szCs w:val="24"/>
              </w:rPr>
            </w:pPr>
            <w:r>
              <w:rPr>
                <w:rFonts w:hint="eastAsia" w:ascii="宋体" w:hAnsi="宋体" w:cs="宋体"/>
                <w:sz w:val="24"/>
                <w:szCs w:val="24"/>
              </w:rPr>
              <w:t>项目试运行稳定两年后，采购人在收到合同款增值税发票10个工作日内向中标人支付合同签约价的</w:t>
            </w:r>
            <w:r>
              <w:rPr>
                <w:rFonts w:ascii="宋体" w:hAnsi="宋体" w:cs="宋体"/>
                <w:sz w:val="24"/>
                <w:szCs w:val="24"/>
              </w:rPr>
              <w:t>10</w:t>
            </w:r>
            <w:r>
              <w:rPr>
                <w:rFonts w:hint="eastAsia" w:ascii="宋体" w:hAnsi="宋体" w:cs="宋体"/>
                <w:sz w:val="24"/>
                <w:szCs w:val="24"/>
              </w:rPr>
              <w:t>%。</w:t>
            </w:r>
          </w:p>
        </w:tc>
      </w:tr>
    </w:tbl>
    <w:p w14:paraId="2C96F287"/>
    <w:p w14:paraId="2FF942EC">
      <w:pPr>
        <w:widowControl/>
        <w:spacing w:line="360" w:lineRule="auto"/>
        <w:ind w:firstLine="480" w:firstLineChars="200"/>
        <w:jc w:val="left"/>
        <w:rPr>
          <w:rFonts w:ascii="宋体" w:hAnsi="宋体" w:cs="宋体"/>
          <w:sz w:val="24"/>
        </w:rPr>
      </w:pPr>
      <w:r>
        <w:rPr>
          <w:rFonts w:hint="eastAsia" w:ascii="宋体" w:hAnsi="宋体" w:cs="宋体"/>
          <w:sz w:val="24"/>
        </w:rPr>
        <w:t>免费质保期结束且双方无争议的情况下，采购人无息退还</w:t>
      </w:r>
      <w:r>
        <w:rPr>
          <w:rFonts w:ascii="宋体" w:hAnsi="宋体" w:cs="宋体"/>
          <w:sz w:val="24"/>
        </w:rPr>
        <w:t>5</w:t>
      </w:r>
      <w:r>
        <w:rPr>
          <w:rFonts w:hint="eastAsia" w:ascii="宋体" w:hAnsi="宋体" w:cs="宋体"/>
          <w:sz w:val="24"/>
        </w:rPr>
        <w:t>%的</w:t>
      </w:r>
      <w:r>
        <w:rPr>
          <w:rFonts w:hint="eastAsia" w:ascii="宋体" w:hAnsi="宋体" w:cs="宋体"/>
          <w:sz w:val="24"/>
          <w:szCs w:val="24"/>
        </w:rPr>
        <w:t>履约保证金</w:t>
      </w:r>
      <w:r>
        <w:rPr>
          <w:rFonts w:hint="eastAsia" w:ascii="宋体" w:hAnsi="宋体" w:cs="宋体"/>
          <w:sz w:val="24"/>
        </w:rPr>
        <w:t>。</w:t>
      </w:r>
    </w:p>
    <w:p w14:paraId="2B81C2C1">
      <w:pPr>
        <w:spacing w:line="460" w:lineRule="exact"/>
        <w:ind w:firstLine="482" w:firstLineChars="200"/>
        <w:rPr>
          <w:rFonts w:ascii="宋体" w:hAnsi="宋体"/>
          <w:b/>
          <w:sz w:val="24"/>
          <w:u w:val="single"/>
        </w:rPr>
      </w:pPr>
      <w:r>
        <w:rPr>
          <w:rFonts w:hint="eastAsia" w:ascii="宋体" w:hAnsi="宋体"/>
          <w:b/>
          <w:sz w:val="24"/>
          <w:u w:val="single"/>
        </w:rPr>
        <w:t>备注：每次付款前，中标人须向招标人开具正式增值税发票。</w:t>
      </w:r>
    </w:p>
    <w:p w14:paraId="0E2D09F8">
      <w:pPr>
        <w:spacing w:line="460" w:lineRule="exact"/>
        <w:ind w:firstLine="480" w:firstLineChars="200"/>
        <w:rPr>
          <w:rFonts w:ascii="宋体" w:hAnsi="宋体"/>
          <w:sz w:val="24"/>
        </w:rPr>
      </w:pPr>
      <w:r>
        <w:rPr>
          <w:rFonts w:hint="eastAsia" w:ascii="宋体" w:hAnsi="宋体"/>
          <w:sz w:val="24"/>
        </w:rPr>
        <w:t>5.交货时间和地点</w:t>
      </w:r>
    </w:p>
    <w:p w14:paraId="3246A0B1">
      <w:pPr>
        <w:spacing w:line="460" w:lineRule="exact"/>
        <w:ind w:firstLine="480" w:firstLineChars="200"/>
        <w:rPr>
          <w:rFonts w:ascii="宋体" w:hAnsi="宋体"/>
          <w:sz w:val="24"/>
        </w:rPr>
      </w:pPr>
      <w:r>
        <w:rPr>
          <w:rFonts w:hint="eastAsia" w:ascii="宋体" w:hAnsi="宋体"/>
          <w:sz w:val="24"/>
        </w:rPr>
        <w:t>本合同货物的交付时间在乙方提交的响应文件中有明确规定。</w:t>
      </w:r>
    </w:p>
    <w:p w14:paraId="7926153B">
      <w:pPr>
        <w:spacing w:line="460" w:lineRule="exact"/>
        <w:ind w:firstLine="480" w:firstLineChars="200"/>
        <w:rPr>
          <w:rFonts w:ascii="宋体" w:hAnsi="宋体"/>
          <w:sz w:val="24"/>
        </w:rPr>
      </w:pPr>
      <w:r>
        <w:rPr>
          <w:rFonts w:hint="eastAsia" w:ascii="宋体" w:hAnsi="宋体"/>
          <w:sz w:val="24"/>
        </w:rPr>
        <w:t>6. 验收方式</w:t>
      </w:r>
    </w:p>
    <w:p w14:paraId="38AF3F54">
      <w:pPr>
        <w:spacing w:line="460" w:lineRule="exact"/>
        <w:ind w:firstLine="480" w:firstLineChars="200"/>
        <w:rPr>
          <w:rFonts w:ascii="宋体" w:hAnsi="宋体"/>
          <w:b/>
          <w:sz w:val="24"/>
        </w:rPr>
      </w:pPr>
      <w:r>
        <w:rPr>
          <w:rFonts w:hint="eastAsia" w:ascii="宋体" w:hAnsi="宋体"/>
          <w:sz w:val="24"/>
        </w:rPr>
        <w:t>6.1本项目由采购人自行组织履约验收。按国家标准、谈判文件、响应文件和采购人及</w:t>
      </w:r>
      <w:r>
        <w:rPr>
          <w:rFonts w:hint="eastAsia" w:ascii="宋体" w:hAnsi="宋体" w:cs="楷体"/>
          <w:bCs/>
          <w:sz w:val="24"/>
        </w:rPr>
        <w:t>中标</w:t>
      </w:r>
      <w:r>
        <w:rPr>
          <w:rFonts w:hint="eastAsia" w:ascii="宋体" w:hAnsi="宋体"/>
          <w:sz w:val="24"/>
        </w:rPr>
        <w:t>供应商双方约定标准，合同内未作约束的服务按照现行的适用于该服务的国家和行业最高标准执行，由采购人组织人员按照要求规格、配置、型号和技术标准进行验收。本项目需整体达到验收合格，若仅完成部分内容，不给予验收合格认定。在规定时间内完成服务并经采购人综合验收合格。采购人在综合验收前的开箱验收和对产品部分指标进行的初步验收不是本条所指的综合验收。若</w:t>
      </w:r>
      <w:r>
        <w:rPr>
          <w:rFonts w:hint="eastAsia" w:ascii="宋体" w:hAnsi="宋体" w:cs="楷体"/>
          <w:bCs/>
          <w:sz w:val="24"/>
        </w:rPr>
        <w:t>中标</w:t>
      </w:r>
      <w:r>
        <w:rPr>
          <w:rFonts w:hint="eastAsia" w:ascii="宋体" w:hAnsi="宋体"/>
          <w:sz w:val="24"/>
        </w:rPr>
        <w:t>供应商投标书响应情况低于采购文件要求而未被评审专家发现，采购合同签订时仍以采购文件要求为准，验收时按采购文件技术协议要求执行。如中标商品未能通过学院验收，学院有权没收履约保证金并中止合同。</w:t>
      </w:r>
    </w:p>
    <w:p w14:paraId="686A7DB5">
      <w:pPr>
        <w:spacing w:line="460" w:lineRule="exact"/>
        <w:ind w:firstLine="480" w:firstLineChars="200"/>
        <w:rPr>
          <w:rFonts w:ascii="宋体" w:hAnsi="宋体"/>
          <w:sz w:val="24"/>
        </w:rPr>
      </w:pPr>
      <w:r>
        <w:rPr>
          <w:rFonts w:hint="eastAsia" w:ascii="宋体" w:hAnsi="宋体"/>
          <w:sz w:val="24"/>
        </w:rPr>
        <w:t>6.2具体验收步骤：</w:t>
      </w:r>
    </w:p>
    <w:p w14:paraId="245A616C">
      <w:pPr>
        <w:spacing w:line="460" w:lineRule="exact"/>
        <w:ind w:firstLine="480" w:firstLineChars="200"/>
        <w:rPr>
          <w:rFonts w:ascii="宋体" w:hAnsi="宋体"/>
          <w:sz w:val="24"/>
        </w:rPr>
      </w:pPr>
      <w:r>
        <w:rPr>
          <w:rFonts w:hint="eastAsia" w:ascii="宋体" w:hAnsi="宋体"/>
          <w:sz w:val="24"/>
        </w:rPr>
        <w:t>6.2.1货物到达现场后，供应商应经采购人（使用部门项目负责人）或其指定验收单位清点品名、规格、数量；检查外观，作出开箱验收记录，双方签字确认。</w:t>
      </w:r>
    </w:p>
    <w:p w14:paraId="36D1DAC9">
      <w:pPr>
        <w:spacing w:line="460" w:lineRule="exact"/>
        <w:ind w:firstLine="480" w:firstLineChars="200"/>
        <w:rPr>
          <w:rFonts w:ascii="宋体" w:hAnsi="宋体"/>
          <w:sz w:val="24"/>
        </w:rPr>
      </w:pPr>
      <w:r>
        <w:rPr>
          <w:rFonts w:hint="eastAsia" w:ascii="宋体" w:hAnsi="宋体"/>
          <w:sz w:val="24"/>
        </w:rPr>
        <w:t>6.2.2供应商应保证货物到达用户所在地完好无损，如有缺漏、损坏，由供应商负责调换、补齐或赔偿。</w:t>
      </w:r>
    </w:p>
    <w:p w14:paraId="76B22B5D">
      <w:pPr>
        <w:spacing w:line="460" w:lineRule="exact"/>
        <w:ind w:firstLine="480" w:firstLineChars="200"/>
        <w:rPr>
          <w:rFonts w:ascii="宋体" w:hAnsi="宋体"/>
          <w:sz w:val="24"/>
        </w:rPr>
      </w:pPr>
      <w:r>
        <w:rPr>
          <w:rFonts w:hint="eastAsia" w:ascii="宋体" w:hAnsi="宋体"/>
          <w:sz w:val="24"/>
        </w:rPr>
        <w:t>6.2.3供应商应提供完备的技术资料、装箱单和合格证等，并派遣专业技术人员进行现场安装调试。验收合格条件如下：</w:t>
      </w:r>
    </w:p>
    <w:p w14:paraId="1EEA3E70">
      <w:pPr>
        <w:spacing w:line="460" w:lineRule="exact"/>
        <w:ind w:firstLine="480" w:firstLineChars="200"/>
        <w:rPr>
          <w:rFonts w:ascii="宋体" w:hAnsi="宋体"/>
          <w:sz w:val="24"/>
        </w:rPr>
      </w:pPr>
      <w:r>
        <w:rPr>
          <w:rFonts w:hint="eastAsia" w:ascii="宋体" w:hAnsi="宋体"/>
          <w:sz w:val="24"/>
        </w:rPr>
        <w:t>①设备品种、规格、数量、技术参数以及商品品牌、生产厂家等与采购合同一致，性能指标达到规定的标准。</w:t>
      </w:r>
    </w:p>
    <w:p w14:paraId="681CDAA6">
      <w:pPr>
        <w:spacing w:line="460" w:lineRule="exact"/>
        <w:ind w:firstLine="480" w:firstLineChars="200"/>
        <w:rPr>
          <w:rFonts w:ascii="宋体" w:hAnsi="宋体"/>
          <w:sz w:val="24"/>
        </w:rPr>
      </w:pPr>
      <w:r>
        <w:rPr>
          <w:rFonts w:hint="eastAsia" w:ascii="宋体" w:hAnsi="宋体"/>
          <w:sz w:val="24"/>
        </w:rPr>
        <w:t>②货物技术资料、装箱单、合格证等资料齐全（用塑料袋密封），上述资料视为产品的组成部分，包装箱完好。</w:t>
      </w:r>
    </w:p>
    <w:p w14:paraId="1BC91C8A">
      <w:pPr>
        <w:spacing w:line="460" w:lineRule="exact"/>
        <w:ind w:firstLine="480" w:firstLineChars="200"/>
        <w:rPr>
          <w:rFonts w:ascii="宋体" w:hAnsi="宋体"/>
          <w:sz w:val="24"/>
        </w:rPr>
      </w:pPr>
      <w:r>
        <w:rPr>
          <w:rFonts w:hint="eastAsia" w:ascii="宋体" w:hAnsi="宋体"/>
          <w:sz w:val="24"/>
        </w:rPr>
        <w:t>③在规定时间内完成交货并验收，并经采购人确认。</w:t>
      </w:r>
    </w:p>
    <w:p w14:paraId="50A55FF4">
      <w:pPr>
        <w:spacing w:line="460" w:lineRule="exact"/>
        <w:ind w:firstLine="480" w:firstLineChars="200"/>
        <w:rPr>
          <w:rFonts w:ascii="宋体" w:hAnsi="宋体"/>
          <w:sz w:val="24"/>
        </w:rPr>
      </w:pPr>
      <w:r>
        <w:rPr>
          <w:rFonts w:hint="eastAsia" w:ascii="宋体" w:hAnsi="宋体"/>
          <w:sz w:val="24"/>
        </w:rPr>
        <w:t>④若投标书与招标文件要求或其它内容不一致而未被评标专家发现，采购合同签订时仍以招标文件要求为准，验收时按采购合同及技术协议要求执行。</w:t>
      </w:r>
    </w:p>
    <w:p w14:paraId="42048726">
      <w:pPr>
        <w:spacing w:line="460" w:lineRule="exact"/>
        <w:ind w:firstLine="480" w:firstLineChars="200"/>
        <w:rPr>
          <w:rFonts w:ascii="宋体" w:hAnsi="宋体"/>
          <w:sz w:val="24"/>
        </w:rPr>
      </w:pPr>
      <w:r>
        <w:rPr>
          <w:rFonts w:hint="eastAsia" w:ascii="宋体" w:hAnsi="宋体"/>
          <w:sz w:val="24"/>
        </w:rPr>
        <w:t>6.2.4供应商提供的货物未达到招标文件规定要求，且对采购人造成损失的，由供应商承担一切责任，并赔偿所造成的损失。</w:t>
      </w:r>
    </w:p>
    <w:p w14:paraId="1D665EDF">
      <w:pPr>
        <w:spacing w:line="460" w:lineRule="exact"/>
        <w:ind w:firstLine="480" w:firstLineChars="200"/>
        <w:rPr>
          <w:rFonts w:ascii="宋体" w:hAnsi="宋体"/>
          <w:sz w:val="24"/>
        </w:rPr>
      </w:pPr>
      <w:r>
        <w:rPr>
          <w:rFonts w:hint="eastAsia" w:ascii="宋体" w:hAnsi="宋体"/>
          <w:sz w:val="24"/>
        </w:rPr>
        <w:t>6.2.5采购人可邀请国家认可的质量检测机构参加验收工作，验收检测费用全部由中标供应商支付。</w:t>
      </w:r>
    </w:p>
    <w:p w14:paraId="10F72934">
      <w:pPr>
        <w:spacing w:line="460" w:lineRule="exact"/>
        <w:ind w:firstLine="480" w:firstLineChars="200"/>
        <w:rPr>
          <w:rFonts w:ascii="宋体" w:hAnsi="宋体"/>
          <w:sz w:val="24"/>
        </w:rPr>
      </w:pPr>
      <w:r>
        <w:rPr>
          <w:rFonts w:hint="eastAsia" w:ascii="宋体" w:hAnsi="宋体"/>
          <w:sz w:val="24"/>
        </w:rPr>
        <w:t>6.2.6采购人需要厂家对中标供应商交付的产品（包括质量、技术参数等）进行确认的，厂家应予以配合，并出具书面意见。</w:t>
      </w:r>
    </w:p>
    <w:p w14:paraId="53B592CA">
      <w:pPr>
        <w:spacing w:line="460" w:lineRule="exact"/>
        <w:ind w:firstLine="480" w:firstLineChars="200"/>
        <w:rPr>
          <w:rFonts w:ascii="宋体" w:hAnsi="宋体"/>
          <w:sz w:val="24"/>
        </w:rPr>
      </w:pPr>
      <w:r>
        <w:rPr>
          <w:rFonts w:hint="eastAsia" w:ascii="宋体" w:hAnsi="宋体"/>
          <w:sz w:val="24"/>
        </w:rPr>
        <w:t>7.合同生效及其它</w:t>
      </w:r>
    </w:p>
    <w:p w14:paraId="69E48F16">
      <w:pPr>
        <w:spacing w:line="460" w:lineRule="exact"/>
        <w:ind w:firstLine="480" w:firstLineChars="200"/>
        <w:rPr>
          <w:rFonts w:ascii="宋体" w:hAnsi="宋体"/>
          <w:sz w:val="24"/>
        </w:rPr>
      </w:pPr>
      <w:r>
        <w:rPr>
          <w:rFonts w:hint="eastAsia" w:ascii="宋体" w:hAnsi="宋体"/>
          <w:sz w:val="24"/>
        </w:rPr>
        <w:t>本合同经甲方、乙方签章后生效。</w:t>
      </w:r>
    </w:p>
    <w:p w14:paraId="181CF0A6">
      <w:pPr>
        <w:spacing w:line="460" w:lineRule="exact"/>
        <w:ind w:firstLine="480" w:firstLineChars="200"/>
        <w:rPr>
          <w:rFonts w:ascii="宋体" w:hAnsi="宋体"/>
          <w:sz w:val="24"/>
        </w:rPr>
      </w:pPr>
      <w:r>
        <w:rPr>
          <w:rFonts w:hint="eastAsia" w:ascii="宋体" w:hAnsi="宋体"/>
          <w:sz w:val="24"/>
        </w:rPr>
        <w:t>8</w:t>
      </w:r>
      <w:r>
        <w:rPr>
          <w:rFonts w:ascii="宋体" w:hAnsi="宋体"/>
          <w:sz w:val="24"/>
        </w:rPr>
        <w:t>.</w:t>
      </w:r>
      <w:r>
        <w:rPr>
          <w:rFonts w:hint="eastAsia" w:ascii="宋体" w:hAnsi="宋体"/>
          <w:sz w:val="24"/>
        </w:rPr>
        <w:t>违约责任</w:t>
      </w:r>
    </w:p>
    <w:p w14:paraId="5265927B">
      <w:pPr>
        <w:spacing w:line="460" w:lineRule="exact"/>
        <w:ind w:firstLine="480" w:firstLineChars="200"/>
        <w:rPr>
          <w:rFonts w:ascii="宋体" w:hAnsi="宋体"/>
          <w:sz w:val="24"/>
        </w:rPr>
      </w:pPr>
      <w:r>
        <w:rPr>
          <w:rFonts w:hint="eastAsia" w:ascii="宋体" w:hAnsi="宋体"/>
          <w:sz w:val="24"/>
        </w:rPr>
        <w:t>甲乙双方应严格履约，如违约，由违约方承付本合同标的总价20﹪的违约金给受损方，并赔偿受损方由此造成的一切经济损失。</w:t>
      </w:r>
    </w:p>
    <w:p w14:paraId="1D35CEAB">
      <w:pPr>
        <w:spacing w:line="460" w:lineRule="exact"/>
        <w:ind w:firstLine="480" w:firstLineChars="200"/>
        <w:rPr>
          <w:rFonts w:ascii="宋体" w:hAnsi="宋体"/>
          <w:sz w:val="24"/>
        </w:rPr>
      </w:pPr>
      <w:r>
        <w:rPr>
          <w:rFonts w:hint="eastAsia" w:ascii="宋体" w:hAnsi="宋体"/>
          <w:sz w:val="24"/>
        </w:rPr>
        <w:t>9.纠纷解决办法</w:t>
      </w:r>
    </w:p>
    <w:p w14:paraId="1002869C">
      <w:pPr>
        <w:spacing w:line="460" w:lineRule="exact"/>
        <w:ind w:firstLine="480" w:firstLineChars="200"/>
        <w:rPr>
          <w:rFonts w:ascii="宋体" w:hAnsi="宋体"/>
          <w:sz w:val="24"/>
        </w:rPr>
      </w:pPr>
      <w:r>
        <w:rPr>
          <w:rFonts w:hint="eastAsia" w:ascii="宋体" w:hAnsi="宋体"/>
          <w:sz w:val="24"/>
        </w:rPr>
        <w:t>在执行本合同中所发生的或与本合同有关的一切争端，甲方和乙方应通过友好协商的办法进行解决。如协商仍不能解决，则通过由甲方所在地人民法院诉讼。</w:t>
      </w:r>
    </w:p>
    <w:p w14:paraId="4918AD77">
      <w:pPr>
        <w:pStyle w:val="4"/>
        <w:spacing w:line="460" w:lineRule="exact"/>
        <w:rPr>
          <w:rFonts w:ascii="宋体" w:hAnsi="宋体"/>
        </w:rPr>
      </w:pPr>
    </w:p>
    <w:p w14:paraId="1EE12836">
      <w:pPr>
        <w:spacing w:line="460" w:lineRule="exact"/>
        <w:ind w:firstLine="480" w:firstLineChars="200"/>
        <w:rPr>
          <w:rFonts w:ascii="宋体" w:hAnsi="宋体"/>
          <w:sz w:val="24"/>
        </w:rPr>
      </w:pPr>
      <w:r>
        <w:rPr>
          <w:rFonts w:hint="eastAsia" w:ascii="宋体" w:hAnsi="宋体"/>
          <w:sz w:val="24"/>
        </w:rPr>
        <w:t>甲方（单位盖章）：</w:t>
      </w:r>
    </w:p>
    <w:p w14:paraId="3D370969">
      <w:pPr>
        <w:spacing w:line="460" w:lineRule="exact"/>
        <w:ind w:firstLine="480" w:firstLineChars="200"/>
        <w:rPr>
          <w:rFonts w:ascii="宋体" w:hAnsi="宋体"/>
          <w:sz w:val="24"/>
        </w:rPr>
      </w:pPr>
      <w:r>
        <w:rPr>
          <w:rFonts w:hint="eastAsia" w:ascii="宋体" w:hAnsi="宋体"/>
          <w:sz w:val="24"/>
        </w:rPr>
        <w:t xml:space="preserve">地    址：                           </w:t>
      </w:r>
    </w:p>
    <w:p w14:paraId="016DF8E5">
      <w:pPr>
        <w:spacing w:line="460" w:lineRule="exact"/>
        <w:ind w:firstLine="480" w:firstLineChars="200"/>
        <w:rPr>
          <w:rFonts w:ascii="宋体" w:hAnsi="宋体"/>
          <w:sz w:val="24"/>
        </w:rPr>
      </w:pPr>
      <w:r>
        <w:rPr>
          <w:rFonts w:hint="eastAsia" w:ascii="宋体" w:hAnsi="宋体"/>
          <w:sz w:val="24"/>
        </w:rPr>
        <w:t>联系电话：</w:t>
      </w:r>
    </w:p>
    <w:p w14:paraId="422E56FF">
      <w:pPr>
        <w:spacing w:line="460" w:lineRule="exact"/>
        <w:ind w:firstLine="480" w:firstLineChars="200"/>
        <w:rPr>
          <w:rFonts w:ascii="宋体" w:hAnsi="宋体"/>
          <w:sz w:val="24"/>
        </w:rPr>
      </w:pPr>
      <w:r>
        <w:rPr>
          <w:rFonts w:hint="eastAsia" w:ascii="宋体" w:hAnsi="宋体"/>
          <w:sz w:val="24"/>
        </w:rPr>
        <w:t xml:space="preserve">代表签字： </w:t>
      </w:r>
    </w:p>
    <w:p w14:paraId="211454C1">
      <w:pPr>
        <w:spacing w:line="460" w:lineRule="exact"/>
        <w:rPr>
          <w:rFonts w:ascii="宋体" w:hAnsi="宋体"/>
          <w:sz w:val="24"/>
        </w:rPr>
      </w:pPr>
    </w:p>
    <w:p w14:paraId="225A9084">
      <w:pPr>
        <w:spacing w:line="460" w:lineRule="exact"/>
        <w:ind w:firstLine="480" w:firstLineChars="200"/>
        <w:rPr>
          <w:rFonts w:ascii="宋体" w:hAnsi="宋体"/>
          <w:sz w:val="24"/>
        </w:rPr>
      </w:pPr>
      <w:r>
        <w:rPr>
          <w:rFonts w:hint="eastAsia" w:ascii="宋体" w:hAnsi="宋体"/>
          <w:sz w:val="24"/>
        </w:rPr>
        <w:t>乙方（单位盖章）：</w:t>
      </w:r>
    </w:p>
    <w:p w14:paraId="474FCD41">
      <w:pPr>
        <w:spacing w:line="460" w:lineRule="exact"/>
        <w:ind w:firstLine="480" w:firstLineChars="200"/>
        <w:rPr>
          <w:rFonts w:ascii="宋体" w:hAnsi="宋体"/>
          <w:sz w:val="24"/>
        </w:rPr>
      </w:pPr>
      <w:r>
        <w:rPr>
          <w:rFonts w:hint="eastAsia" w:ascii="宋体" w:hAnsi="宋体"/>
          <w:sz w:val="24"/>
        </w:rPr>
        <w:t xml:space="preserve">地    址：                              </w:t>
      </w:r>
    </w:p>
    <w:p w14:paraId="17C95F88">
      <w:pPr>
        <w:spacing w:line="460" w:lineRule="exact"/>
        <w:ind w:firstLine="480" w:firstLineChars="200"/>
        <w:rPr>
          <w:rFonts w:ascii="宋体" w:hAnsi="宋体"/>
          <w:sz w:val="24"/>
        </w:rPr>
      </w:pPr>
      <w:r>
        <w:rPr>
          <w:rFonts w:hint="eastAsia" w:ascii="宋体" w:hAnsi="宋体"/>
          <w:sz w:val="24"/>
        </w:rPr>
        <w:t>联系电话：</w:t>
      </w:r>
    </w:p>
    <w:p w14:paraId="7CAFEB4E">
      <w:pPr>
        <w:spacing w:line="460" w:lineRule="exact"/>
        <w:ind w:firstLine="480" w:firstLineChars="200"/>
        <w:rPr>
          <w:rFonts w:ascii="宋体" w:hAnsi="宋体"/>
          <w:sz w:val="24"/>
        </w:rPr>
      </w:pPr>
      <w:r>
        <w:rPr>
          <w:rFonts w:hint="eastAsia" w:ascii="宋体" w:hAnsi="宋体"/>
          <w:sz w:val="24"/>
        </w:rPr>
        <w:t>代表签字：</w:t>
      </w:r>
    </w:p>
    <w:p w14:paraId="2B656ADD">
      <w:pPr>
        <w:spacing w:line="460" w:lineRule="exact"/>
        <w:rPr>
          <w:rFonts w:ascii="宋体" w:hAnsi="宋体"/>
          <w:sz w:val="24"/>
        </w:rPr>
      </w:pPr>
    </w:p>
    <w:p w14:paraId="2FACCFDA">
      <w:pPr>
        <w:spacing w:line="460" w:lineRule="exact"/>
        <w:ind w:firstLine="480" w:firstLineChars="200"/>
        <w:rPr>
          <w:rFonts w:ascii="宋体" w:hAnsi="宋体"/>
          <w:sz w:val="24"/>
        </w:rPr>
        <w:sectPr>
          <w:pgSz w:w="11906" w:h="16838"/>
          <w:pgMar w:top="1440" w:right="1803" w:bottom="1440" w:left="1803" w:header="851" w:footer="992" w:gutter="0"/>
          <w:cols w:space="0" w:num="1"/>
          <w:titlePg/>
          <w:docGrid w:type="lines" w:linePitch="312" w:charSpace="0"/>
        </w:sectPr>
      </w:pPr>
      <w:r>
        <w:rPr>
          <w:rFonts w:hint="eastAsia" w:ascii="宋体" w:hAnsi="宋体"/>
          <w:sz w:val="24"/>
        </w:rPr>
        <w:t>合同签订日期：    年   月  日</w:t>
      </w:r>
      <w:bookmarkEnd w:id="113"/>
      <w:bookmarkEnd w:id="114"/>
    </w:p>
    <w:p w14:paraId="694C9AE9">
      <w:pPr>
        <w:keepNext/>
        <w:keepLines/>
        <w:spacing w:before="260" w:after="260" w:line="360" w:lineRule="auto"/>
        <w:jc w:val="center"/>
        <w:outlineLvl w:val="0"/>
        <w:rPr>
          <w:rFonts w:ascii="宋体" w:hAnsi="宋体"/>
          <w:b/>
          <w:sz w:val="36"/>
          <w:szCs w:val="20"/>
        </w:rPr>
      </w:pPr>
      <w:r>
        <w:rPr>
          <w:rFonts w:hint="eastAsia" w:ascii="宋体" w:hAnsi="宋体"/>
          <w:b/>
          <w:sz w:val="36"/>
          <w:szCs w:val="20"/>
        </w:rPr>
        <w:t>第五章：投标文件（格式）</w:t>
      </w:r>
    </w:p>
    <w:p w14:paraId="52B3B68A">
      <w:pPr>
        <w:spacing w:line="360" w:lineRule="auto"/>
        <w:jc w:val="center"/>
        <w:rPr>
          <w:rFonts w:ascii="宋体" w:hAnsi="宋体"/>
          <w:sz w:val="28"/>
          <w:szCs w:val="24"/>
        </w:rPr>
      </w:pPr>
    </w:p>
    <w:p w14:paraId="2FC23180">
      <w:pPr>
        <w:spacing w:line="360" w:lineRule="auto"/>
        <w:jc w:val="center"/>
        <w:rPr>
          <w:rFonts w:ascii="宋体" w:hAnsi="宋体"/>
          <w:sz w:val="28"/>
          <w:szCs w:val="24"/>
        </w:rPr>
      </w:pPr>
    </w:p>
    <w:p w14:paraId="5A25B26C">
      <w:pPr>
        <w:spacing w:line="360" w:lineRule="auto"/>
        <w:jc w:val="center"/>
        <w:rPr>
          <w:rFonts w:ascii="宋体" w:hAnsi="宋体"/>
          <w:sz w:val="28"/>
          <w:szCs w:val="24"/>
        </w:rPr>
      </w:pPr>
    </w:p>
    <w:p w14:paraId="1F948A96">
      <w:pPr>
        <w:spacing w:line="360" w:lineRule="auto"/>
        <w:jc w:val="center"/>
        <w:rPr>
          <w:rFonts w:ascii="宋体" w:hAnsi="宋体"/>
          <w:sz w:val="72"/>
          <w:szCs w:val="24"/>
        </w:rPr>
      </w:pPr>
      <w:r>
        <w:rPr>
          <w:rFonts w:hint="eastAsia" w:ascii="宋体" w:hAnsi="宋体"/>
          <w:b/>
          <w:sz w:val="72"/>
          <w:szCs w:val="24"/>
        </w:rPr>
        <w:t>投   标   书</w:t>
      </w:r>
    </w:p>
    <w:p w14:paraId="3429146C">
      <w:pPr>
        <w:spacing w:line="360" w:lineRule="auto"/>
        <w:jc w:val="center"/>
        <w:rPr>
          <w:rFonts w:ascii="宋体" w:hAnsi="宋体"/>
          <w:b/>
          <w:sz w:val="36"/>
          <w:szCs w:val="24"/>
        </w:rPr>
      </w:pPr>
    </w:p>
    <w:p w14:paraId="03BFB6B1">
      <w:pPr>
        <w:spacing w:line="360" w:lineRule="auto"/>
        <w:ind w:firstLine="790"/>
        <w:rPr>
          <w:rFonts w:ascii="宋体" w:hAnsi="宋体"/>
          <w:b/>
          <w:sz w:val="32"/>
          <w:szCs w:val="24"/>
        </w:rPr>
      </w:pPr>
    </w:p>
    <w:p w14:paraId="3F867184">
      <w:pPr>
        <w:spacing w:line="360" w:lineRule="auto"/>
        <w:ind w:firstLine="790"/>
        <w:jc w:val="center"/>
        <w:rPr>
          <w:rFonts w:ascii="宋体" w:hAnsi="宋体"/>
          <w:b/>
          <w:sz w:val="32"/>
          <w:szCs w:val="24"/>
        </w:rPr>
      </w:pPr>
    </w:p>
    <w:p w14:paraId="2F6296A9">
      <w:pPr>
        <w:pStyle w:val="48"/>
        <w:spacing w:before="0" w:beforeAutospacing="0" w:after="0" w:afterAutospacing="0"/>
        <w:ind w:firstLine="1084"/>
        <w:jc w:val="both"/>
      </w:pPr>
      <w:r>
        <w:rPr>
          <w:b/>
          <w:bCs/>
          <w:sz w:val="36"/>
          <w:szCs w:val="36"/>
        </w:rPr>
        <w:t>项 目 名 称：</w:t>
      </w:r>
      <w:r>
        <w:rPr>
          <w:b/>
          <w:bCs/>
          <w:sz w:val="36"/>
          <w:szCs w:val="36"/>
          <w:u w:val="single"/>
        </w:rPr>
        <w:t>               </w:t>
      </w:r>
    </w:p>
    <w:p w14:paraId="1DBD8BB5">
      <w:pPr>
        <w:pStyle w:val="48"/>
        <w:spacing w:before="0" w:beforeAutospacing="0" w:after="0" w:afterAutospacing="0"/>
        <w:ind w:firstLine="1084"/>
        <w:jc w:val="both"/>
      </w:pPr>
      <w:r>
        <w:rPr>
          <w:b/>
          <w:bCs/>
          <w:sz w:val="36"/>
          <w:szCs w:val="36"/>
        </w:rPr>
        <w:t>招 标 编 号：</w:t>
      </w:r>
      <w:r>
        <w:rPr>
          <w:b/>
          <w:bCs/>
          <w:sz w:val="36"/>
          <w:szCs w:val="36"/>
          <w:u w:val="single"/>
        </w:rPr>
        <w:t>               </w:t>
      </w:r>
    </w:p>
    <w:p w14:paraId="5BCD03D1">
      <w:pPr>
        <w:pStyle w:val="48"/>
        <w:spacing w:before="0" w:beforeAutospacing="0" w:after="0" w:afterAutospacing="0"/>
        <w:jc w:val="both"/>
      </w:pPr>
      <w:r>
        <w:rPr>
          <w:b/>
          <w:bCs/>
          <w:sz w:val="36"/>
          <w:szCs w:val="36"/>
        </w:rPr>
        <w:t>   投标人名称 ：</w:t>
      </w:r>
      <w:r>
        <w:rPr>
          <w:b/>
          <w:bCs/>
          <w:sz w:val="36"/>
          <w:szCs w:val="36"/>
          <w:u w:val="single"/>
        </w:rPr>
        <w:t>               </w:t>
      </w:r>
    </w:p>
    <w:p w14:paraId="49251CF5">
      <w:pPr>
        <w:pStyle w:val="48"/>
        <w:spacing w:before="0" w:beforeAutospacing="0" w:after="0" w:afterAutospacing="0"/>
        <w:jc w:val="both"/>
      </w:pPr>
      <w:r>
        <w:rPr>
          <w:b/>
          <w:bCs/>
          <w:sz w:val="36"/>
          <w:szCs w:val="36"/>
        </w:rPr>
        <w:t>   日期 ：</w:t>
      </w:r>
      <w:r>
        <w:rPr>
          <w:b/>
          <w:bCs/>
          <w:sz w:val="36"/>
          <w:szCs w:val="36"/>
          <w:u w:val="single"/>
        </w:rPr>
        <w:t>               </w:t>
      </w:r>
    </w:p>
    <w:p w14:paraId="59558989">
      <w:pPr>
        <w:spacing w:line="360" w:lineRule="auto"/>
        <w:rPr>
          <w:rFonts w:ascii="宋体" w:hAnsi="宋体"/>
          <w:b/>
          <w:sz w:val="36"/>
          <w:szCs w:val="24"/>
        </w:rPr>
      </w:pPr>
    </w:p>
    <w:p w14:paraId="7743F371">
      <w:pPr>
        <w:spacing w:line="360" w:lineRule="auto"/>
        <w:rPr>
          <w:rFonts w:ascii="宋体" w:hAnsi="宋体"/>
          <w:b/>
          <w:sz w:val="36"/>
          <w:szCs w:val="24"/>
        </w:rPr>
      </w:pPr>
    </w:p>
    <w:p w14:paraId="3E93F31D">
      <w:pPr>
        <w:spacing w:line="360" w:lineRule="auto"/>
        <w:jc w:val="center"/>
        <w:rPr>
          <w:rFonts w:ascii="宋体" w:hAnsi="宋体"/>
          <w:b/>
          <w:szCs w:val="24"/>
        </w:rPr>
        <w:sectPr>
          <w:footerReference r:id="rId4" w:type="first"/>
          <w:pgSz w:w="11907" w:h="16840"/>
          <w:pgMar w:top="1247" w:right="1247" w:bottom="1247" w:left="1247" w:header="851" w:footer="992" w:gutter="0"/>
          <w:cols w:space="0" w:num="1"/>
          <w:titlePg/>
          <w:docGrid w:linePitch="360" w:charSpace="0"/>
        </w:sectPr>
      </w:pPr>
      <w:r>
        <w:rPr>
          <w:rFonts w:hint="eastAsia" w:ascii="宋体" w:hAnsi="宋体"/>
          <w:b/>
          <w:sz w:val="32"/>
          <w:szCs w:val="24"/>
        </w:rPr>
        <w:t xml:space="preserve">  年    月   日</w:t>
      </w:r>
    </w:p>
    <w:p w14:paraId="0F9F4CAD">
      <w:pPr>
        <w:spacing w:line="360" w:lineRule="auto"/>
        <w:jc w:val="center"/>
        <w:rPr>
          <w:rFonts w:ascii="宋体" w:hAnsi="宋体"/>
          <w:b/>
          <w:sz w:val="32"/>
          <w:szCs w:val="24"/>
        </w:rPr>
      </w:pPr>
    </w:p>
    <w:p w14:paraId="1266A904">
      <w:pPr>
        <w:keepNext/>
        <w:keepLines/>
        <w:spacing w:before="260" w:after="260" w:line="360" w:lineRule="auto"/>
        <w:jc w:val="center"/>
        <w:outlineLvl w:val="1"/>
        <w:rPr>
          <w:rFonts w:ascii="宋体" w:hAnsi="宋体"/>
          <w:b/>
          <w:sz w:val="32"/>
          <w:szCs w:val="20"/>
        </w:rPr>
      </w:pPr>
      <w:r>
        <w:rPr>
          <w:rFonts w:hint="eastAsia" w:ascii="宋体" w:hAnsi="宋体"/>
          <w:b/>
          <w:sz w:val="32"/>
          <w:szCs w:val="20"/>
        </w:rPr>
        <w:t>一、投标函（格式）</w:t>
      </w:r>
    </w:p>
    <w:p w14:paraId="4D25EB76">
      <w:pPr>
        <w:spacing w:line="360" w:lineRule="auto"/>
        <w:rPr>
          <w:rFonts w:ascii="宋体" w:hAnsi="宋体"/>
          <w:bCs/>
          <w:sz w:val="24"/>
          <w:szCs w:val="24"/>
        </w:rPr>
      </w:pPr>
      <w:r>
        <w:rPr>
          <w:rFonts w:hint="eastAsia" w:ascii="宋体" w:hAnsi="宋体"/>
          <w:bCs/>
          <w:sz w:val="24"/>
          <w:szCs w:val="24"/>
        </w:rPr>
        <w:t>致：江苏省交通技师学院</w:t>
      </w:r>
    </w:p>
    <w:p w14:paraId="6AC9E00D">
      <w:pPr>
        <w:spacing w:line="360" w:lineRule="auto"/>
        <w:ind w:firstLine="560"/>
        <w:rPr>
          <w:rFonts w:ascii="宋体" w:hAnsi="宋体"/>
          <w:sz w:val="24"/>
          <w:szCs w:val="24"/>
        </w:rPr>
      </w:pPr>
      <w:r>
        <w:rPr>
          <w:rFonts w:hint="eastAsia" w:ascii="宋体" w:hAnsi="宋体"/>
          <w:sz w:val="24"/>
          <w:szCs w:val="24"/>
        </w:rPr>
        <w:t xml:space="preserve">根据贵方关于 </w:t>
      </w:r>
      <w:r>
        <w:rPr>
          <w:rFonts w:hint="eastAsia" w:ascii="宋体" w:hAnsi="宋体"/>
          <w:sz w:val="24"/>
          <w:szCs w:val="24"/>
          <w:u w:val="single"/>
        </w:rPr>
        <w:t xml:space="preserve">                </w:t>
      </w:r>
      <w:r>
        <w:rPr>
          <w:rFonts w:hint="eastAsia" w:ascii="宋体" w:hAnsi="宋体"/>
          <w:sz w:val="24"/>
          <w:szCs w:val="24"/>
        </w:rPr>
        <w:t>招标项目（项目编号：）的招标公告，授权下述签字人</w:t>
      </w:r>
      <w:r>
        <w:rPr>
          <w:rFonts w:hint="eastAsia" w:ascii="宋体" w:hAnsi="宋体"/>
          <w:sz w:val="24"/>
          <w:szCs w:val="24"/>
          <w:u w:val="single"/>
        </w:rPr>
        <w:t>（姓名和职务）</w:t>
      </w:r>
      <w:r>
        <w:rPr>
          <w:rFonts w:hint="eastAsia" w:ascii="宋体" w:hAnsi="宋体"/>
          <w:sz w:val="24"/>
          <w:szCs w:val="24"/>
        </w:rPr>
        <w:t>代表投标人</w:t>
      </w:r>
      <w:r>
        <w:rPr>
          <w:rFonts w:hint="eastAsia" w:ascii="宋体" w:hAnsi="宋体"/>
          <w:sz w:val="24"/>
          <w:szCs w:val="24"/>
          <w:u w:val="single"/>
        </w:rPr>
        <w:t>（投标人的名称）</w:t>
      </w:r>
      <w:r>
        <w:rPr>
          <w:rFonts w:hint="eastAsia" w:ascii="宋体" w:hAnsi="宋体"/>
          <w:sz w:val="24"/>
          <w:szCs w:val="24"/>
        </w:rPr>
        <w:t>，提交下述文件正本壹份，副本肆份。</w:t>
      </w:r>
    </w:p>
    <w:p w14:paraId="313E68FA">
      <w:pPr>
        <w:tabs>
          <w:tab w:val="left" w:pos="1125"/>
        </w:tabs>
        <w:spacing w:line="360" w:lineRule="auto"/>
        <w:ind w:firstLine="420"/>
        <w:rPr>
          <w:rFonts w:ascii="宋体" w:hAnsi="宋体"/>
          <w:sz w:val="24"/>
          <w:szCs w:val="24"/>
        </w:rPr>
      </w:pPr>
      <w:r>
        <w:rPr>
          <w:rFonts w:hint="eastAsia" w:ascii="宋体" w:hAnsi="宋体"/>
          <w:sz w:val="24"/>
          <w:szCs w:val="24"/>
        </w:rPr>
        <w:t>1、开标（报价）一览表</w:t>
      </w:r>
    </w:p>
    <w:p w14:paraId="1B2D07DF">
      <w:pPr>
        <w:tabs>
          <w:tab w:val="left" w:pos="1125"/>
        </w:tabs>
        <w:spacing w:line="360" w:lineRule="auto"/>
        <w:ind w:firstLine="420"/>
        <w:rPr>
          <w:rFonts w:ascii="宋体" w:hAnsi="宋体"/>
          <w:sz w:val="24"/>
          <w:szCs w:val="24"/>
        </w:rPr>
      </w:pPr>
      <w:r>
        <w:rPr>
          <w:rFonts w:hint="eastAsia" w:ascii="宋体" w:hAnsi="宋体"/>
          <w:sz w:val="24"/>
          <w:szCs w:val="24"/>
        </w:rPr>
        <w:t>2、物品清单及明细报价表</w:t>
      </w:r>
    </w:p>
    <w:p w14:paraId="427C737F">
      <w:pPr>
        <w:tabs>
          <w:tab w:val="left" w:pos="1125"/>
        </w:tabs>
        <w:spacing w:line="360" w:lineRule="auto"/>
        <w:ind w:firstLine="420"/>
        <w:rPr>
          <w:rFonts w:ascii="宋体" w:hAnsi="宋体"/>
          <w:sz w:val="24"/>
          <w:szCs w:val="24"/>
        </w:rPr>
      </w:pPr>
      <w:r>
        <w:rPr>
          <w:rFonts w:hint="eastAsia" w:ascii="宋体" w:hAnsi="宋体"/>
          <w:sz w:val="24"/>
          <w:szCs w:val="24"/>
        </w:rPr>
        <w:t>3、投标人相关信息一览表</w:t>
      </w:r>
    </w:p>
    <w:p w14:paraId="07A892F7">
      <w:pPr>
        <w:tabs>
          <w:tab w:val="left" w:pos="1125"/>
        </w:tabs>
        <w:spacing w:line="360" w:lineRule="auto"/>
        <w:ind w:firstLine="420"/>
        <w:rPr>
          <w:rFonts w:ascii="宋体" w:hAnsi="宋体"/>
          <w:sz w:val="24"/>
          <w:szCs w:val="24"/>
        </w:rPr>
      </w:pPr>
      <w:r>
        <w:rPr>
          <w:rFonts w:hint="eastAsia" w:ascii="宋体" w:hAnsi="宋体"/>
          <w:sz w:val="24"/>
          <w:szCs w:val="24"/>
        </w:rPr>
        <w:t>4、类似业绩</w:t>
      </w:r>
    </w:p>
    <w:p w14:paraId="3FC53C95">
      <w:pPr>
        <w:tabs>
          <w:tab w:val="left" w:pos="1125"/>
        </w:tabs>
        <w:spacing w:line="360" w:lineRule="auto"/>
        <w:ind w:firstLine="420"/>
        <w:rPr>
          <w:rFonts w:ascii="宋体" w:hAnsi="宋体"/>
          <w:sz w:val="24"/>
          <w:szCs w:val="24"/>
        </w:rPr>
      </w:pPr>
      <w:r>
        <w:rPr>
          <w:rFonts w:hint="eastAsia" w:ascii="宋体" w:hAnsi="宋体"/>
          <w:sz w:val="24"/>
          <w:szCs w:val="24"/>
        </w:rPr>
        <w:t>5、体系认证（如有）</w:t>
      </w:r>
    </w:p>
    <w:p w14:paraId="23C79739">
      <w:pPr>
        <w:tabs>
          <w:tab w:val="left" w:pos="1125"/>
        </w:tabs>
        <w:spacing w:line="360" w:lineRule="auto"/>
        <w:ind w:firstLine="420"/>
        <w:rPr>
          <w:rFonts w:ascii="宋体" w:hAnsi="宋体"/>
          <w:sz w:val="24"/>
          <w:szCs w:val="24"/>
        </w:rPr>
      </w:pPr>
      <w:r>
        <w:rPr>
          <w:rFonts w:hint="eastAsia" w:ascii="宋体" w:hAnsi="宋体"/>
          <w:sz w:val="24"/>
          <w:szCs w:val="24"/>
        </w:rPr>
        <w:t>6、履约能力</w:t>
      </w:r>
    </w:p>
    <w:p w14:paraId="163459B4">
      <w:pPr>
        <w:tabs>
          <w:tab w:val="left" w:pos="1125"/>
        </w:tabs>
        <w:spacing w:line="360" w:lineRule="auto"/>
        <w:ind w:firstLine="420"/>
        <w:rPr>
          <w:rFonts w:ascii="宋体" w:hAnsi="宋体"/>
          <w:sz w:val="24"/>
          <w:szCs w:val="24"/>
        </w:rPr>
      </w:pPr>
      <w:r>
        <w:rPr>
          <w:rFonts w:hint="eastAsia" w:ascii="宋体" w:hAnsi="宋体"/>
          <w:sz w:val="24"/>
          <w:szCs w:val="24"/>
        </w:rPr>
        <w:t>7、售后服务方案</w:t>
      </w:r>
    </w:p>
    <w:p w14:paraId="7CA46A87">
      <w:pPr>
        <w:tabs>
          <w:tab w:val="left" w:pos="1125"/>
        </w:tabs>
        <w:spacing w:line="360" w:lineRule="auto"/>
        <w:ind w:firstLine="420"/>
        <w:rPr>
          <w:rFonts w:ascii="宋体" w:hAnsi="宋体"/>
          <w:sz w:val="24"/>
          <w:szCs w:val="24"/>
        </w:rPr>
      </w:pPr>
      <w:r>
        <w:rPr>
          <w:rFonts w:hint="eastAsia" w:ascii="宋体" w:hAnsi="宋体"/>
          <w:sz w:val="24"/>
          <w:szCs w:val="24"/>
        </w:rPr>
        <w:t>8、技术维护方案</w:t>
      </w:r>
    </w:p>
    <w:p w14:paraId="6B2D58BB">
      <w:pPr>
        <w:tabs>
          <w:tab w:val="left" w:pos="1125"/>
        </w:tabs>
        <w:spacing w:line="360" w:lineRule="auto"/>
        <w:ind w:firstLine="420"/>
        <w:rPr>
          <w:rFonts w:ascii="宋体" w:hAnsi="宋体"/>
          <w:sz w:val="24"/>
          <w:szCs w:val="24"/>
        </w:rPr>
      </w:pPr>
      <w:r>
        <w:rPr>
          <w:rFonts w:hint="eastAsia" w:ascii="宋体" w:hAnsi="宋体"/>
          <w:sz w:val="24"/>
          <w:szCs w:val="24"/>
        </w:rPr>
        <w:t>9、质量控制方案</w:t>
      </w:r>
    </w:p>
    <w:p w14:paraId="49E923E2">
      <w:pPr>
        <w:tabs>
          <w:tab w:val="left" w:pos="1125"/>
        </w:tabs>
        <w:spacing w:line="360" w:lineRule="auto"/>
        <w:ind w:firstLine="420"/>
        <w:rPr>
          <w:rFonts w:ascii="宋体" w:hAnsi="宋体"/>
          <w:sz w:val="24"/>
          <w:szCs w:val="24"/>
        </w:rPr>
      </w:pPr>
      <w:r>
        <w:rPr>
          <w:rFonts w:hint="eastAsia" w:ascii="宋体" w:hAnsi="宋体"/>
          <w:sz w:val="24"/>
          <w:szCs w:val="24"/>
        </w:rPr>
        <w:t>10、法人授权委托书</w:t>
      </w:r>
    </w:p>
    <w:p w14:paraId="1C9B4404">
      <w:pPr>
        <w:tabs>
          <w:tab w:val="left" w:pos="1125"/>
        </w:tabs>
        <w:spacing w:line="360" w:lineRule="auto"/>
        <w:ind w:firstLine="420"/>
        <w:rPr>
          <w:rFonts w:ascii="宋体" w:hAnsi="宋体"/>
          <w:sz w:val="24"/>
          <w:szCs w:val="24"/>
        </w:rPr>
      </w:pPr>
      <w:r>
        <w:rPr>
          <w:rFonts w:hint="eastAsia" w:ascii="宋体" w:hAnsi="宋体"/>
          <w:sz w:val="24"/>
          <w:szCs w:val="24"/>
        </w:rPr>
        <w:t>11、法定代表人身份证明书</w:t>
      </w:r>
    </w:p>
    <w:p w14:paraId="0836AA12">
      <w:pPr>
        <w:tabs>
          <w:tab w:val="left" w:pos="1125"/>
        </w:tabs>
        <w:spacing w:line="360" w:lineRule="auto"/>
        <w:ind w:firstLine="420"/>
        <w:rPr>
          <w:rFonts w:ascii="宋体" w:hAnsi="宋体"/>
          <w:sz w:val="24"/>
          <w:szCs w:val="24"/>
        </w:rPr>
      </w:pPr>
      <w:r>
        <w:rPr>
          <w:rFonts w:hint="eastAsia" w:ascii="宋体" w:hAnsi="宋体"/>
          <w:sz w:val="24"/>
          <w:szCs w:val="24"/>
        </w:rPr>
        <w:t>12、中小微企业声明函（货物类项目）</w:t>
      </w:r>
    </w:p>
    <w:p w14:paraId="045EDB33">
      <w:pPr>
        <w:tabs>
          <w:tab w:val="left" w:pos="1125"/>
        </w:tabs>
        <w:spacing w:line="360" w:lineRule="auto"/>
        <w:ind w:firstLine="420"/>
        <w:rPr>
          <w:rFonts w:ascii="宋体" w:hAnsi="宋体"/>
          <w:sz w:val="24"/>
          <w:szCs w:val="24"/>
        </w:rPr>
      </w:pPr>
      <w:r>
        <w:rPr>
          <w:rFonts w:hint="eastAsia" w:ascii="宋体" w:hAnsi="宋体"/>
          <w:sz w:val="24"/>
          <w:szCs w:val="24"/>
        </w:rPr>
        <w:t>13、残疾人福利性单位声明函</w:t>
      </w:r>
    </w:p>
    <w:p w14:paraId="5B7FC3DB">
      <w:pPr>
        <w:tabs>
          <w:tab w:val="left" w:pos="1125"/>
        </w:tabs>
        <w:spacing w:line="360" w:lineRule="auto"/>
        <w:ind w:firstLine="420"/>
        <w:rPr>
          <w:rFonts w:ascii="宋体" w:hAnsi="宋体"/>
          <w:sz w:val="24"/>
          <w:szCs w:val="24"/>
        </w:rPr>
      </w:pPr>
      <w:r>
        <w:rPr>
          <w:rFonts w:hint="eastAsia" w:ascii="宋体" w:hAnsi="宋体"/>
          <w:sz w:val="24"/>
          <w:szCs w:val="24"/>
        </w:rPr>
        <w:t>14、资格承诺函</w:t>
      </w:r>
    </w:p>
    <w:p w14:paraId="33A2BE7E">
      <w:pPr>
        <w:tabs>
          <w:tab w:val="left" w:pos="1125"/>
        </w:tabs>
        <w:spacing w:line="360" w:lineRule="auto"/>
        <w:ind w:firstLine="420"/>
        <w:rPr>
          <w:rFonts w:ascii="宋体" w:hAnsi="宋体"/>
          <w:sz w:val="24"/>
          <w:szCs w:val="24"/>
        </w:rPr>
      </w:pPr>
      <w:r>
        <w:rPr>
          <w:rFonts w:hint="eastAsia" w:ascii="宋体" w:hAnsi="宋体"/>
          <w:sz w:val="24"/>
          <w:szCs w:val="24"/>
        </w:rPr>
        <w:t>15、按招标文件要求投标人所能提交的其他文件</w:t>
      </w:r>
    </w:p>
    <w:p w14:paraId="73C9599B">
      <w:pPr>
        <w:spacing w:line="360" w:lineRule="auto"/>
        <w:ind w:left="1" w:firstLine="560"/>
        <w:rPr>
          <w:rFonts w:ascii="宋体" w:hAnsi="宋体"/>
          <w:sz w:val="24"/>
          <w:szCs w:val="24"/>
        </w:rPr>
      </w:pPr>
      <w:r>
        <w:rPr>
          <w:rFonts w:hint="eastAsia" w:ascii="宋体" w:hAnsi="宋体"/>
          <w:sz w:val="24"/>
          <w:szCs w:val="24"/>
        </w:rPr>
        <w:t>据此函，投标人兹宣布同意如下：</w:t>
      </w:r>
    </w:p>
    <w:p w14:paraId="1F9009B9">
      <w:pPr>
        <w:tabs>
          <w:tab w:val="left" w:pos="1125"/>
        </w:tabs>
        <w:spacing w:line="360" w:lineRule="auto"/>
        <w:ind w:firstLine="420"/>
        <w:rPr>
          <w:rFonts w:ascii="宋体" w:hAnsi="宋体"/>
          <w:sz w:val="24"/>
          <w:szCs w:val="24"/>
        </w:rPr>
      </w:pPr>
      <w:r>
        <w:rPr>
          <w:rFonts w:hint="eastAsia" w:ascii="宋体" w:hAnsi="宋体"/>
          <w:sz w:val="24"/>
          <w:szCs w:val="24"/>
        </w:rPr>
        <w:t>1</w:t>
      </w:r>
      <w:r>
        <w:rPr>
          <w:rFonts w:ascii="宋体" w:hAnsi="宋体"/>
          <w:sz w:val="24"/>
          <w:szCs w:val="24"/>
        </w:rPr>
        <mc:AlternateContent>
          <mc:Choice Requires="wps">
            <w:drawing>
              <wp:anchor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46.75pt;margin-top:23.4pt;height:0pt;width:0.05pt;z-index:251659264;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YLeg81QAAAAkBAAAPAAAAAAAAAAEAIAAAACIAAABkcnMvZG93bnJldi54bWxQSwEC&#10;FAAUAAAACACHTuJAFBehub4BAABvAwAADgAAAAAAAAABACAAAAAkAQAAZHJzL2Uyb0RvYy54bWxQ&#10;SwUGAAAAAAYABgBZAQAAVAUAAAAA&#10;">
                <v:fill on="f" focussize="0,0"/>
                <v:stroke color="#000000" joinstyle="round"/>
                <v:imagedata o:title=""/>
                <o:lock v:ext="edit" aspectratio="f"/>
              </v:line>
            </w:pict>
          </mc:Fallback>
        </mc:AlternateContent>
      </w:r>
      <w:r>
        <w:rPr>
          <w:rFonts w:ascii="宋体" w:hAnsi="宋体"/>
          <w:sz w:val="24"/>
          <w:szCs w:val="24"/>
        </w:rPr>
        <mc:AlternateContent>
          <mc:Choice Requires="wps">
            <w:drawing>
              <wp:anchor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20.5pt;margin-top:46.8pt;height:0pt;width:0.05pt;z-index:251660288;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k/a6W9YAAAAJAQAADwAAAAAAAAABACAAAAAiAAAAZHJzL2Rvd25yZXYueG1sUEsB&#10;AhQAFAAAAAgAh07iQDbI1wm+AQAAbwMAAA4AAAAAAAAAAQAgAAAAJQEAAGRycy9lMm9Eb2MueG1s&#10;UEsFBgAAAAAGAAYAWQEAAFUFAAAAAA==&#10;">
                <v:fill on="f" focussize="0,0"/>
                <v:stroke color="#000000" joinstyle="round"/>
                <v:imagedata o:title=""/>
                <o:lock v:ext="edit" aspectratio="f"/>
              </v:line>
            </w:pict>
          </mc:Fallback>
        </mc:AlternateContent>
      </w:r>
      <w:r>
        <w:rPr>
          <w:rFonts w:hint="eastAsia" w:ascii="宋体" w:hAnsi="宋体"/>
          <w:sz w:val="24"/>
          <w:szCs w:val="24"/>
        </w:rPr>
        <w:t>、按招标文件规定提供货物及服务的唯一投标报价见开标（报价）一览表。</w:t>
      </w:r>
      <w:r>
        <w:rPr>
          <w:rFonts w:ascii="宋体" w:hAnsi="宋体"/>
          <w:sz w:val="24"/>
          <w:szCs w:val="24"/>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15.75pt;margin-top:19.5pt;height:0pt;width:0.05pt;z-index:25166131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nhMTLUAAAABwEAAA8AAAAAAAAAAQAgAAAAIgAAAGRycy9kb3ducmV2LnhtbFBLAQIU&#10;ABQAAAAIAIdO4kBa2XWuvgEAAG8DAAAOAAAAAAAAAAEAIAAAACMBAABkcnMvZTJvRG9jLnhtbFBL&#10;BQYAAAAABgAGAFkBAABTBQAAAAA=&#10;">
                <v:fill on="f" focussize="0,0"/>
                <v:stroke color="#000000" joinstyle="round"/>
                <v:imagedata o:title=""/>
                <o:lock v:ext="edit" aspectratio="f"/>
              </v:line>
            </w:pict>
          </mc:Fallback>
        </mc:AlternateContent>
      </w:r>
      <w:r>
        <w:rPr>
          <w:rFonts w:ascii="宋体" w:hAnsi="宋体"/>
          <w:sz w:val="24"/>
          <w:szCs w:val="24"/>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10pt;margin-top:15.6pt;height:0pt;width:0.05pt;z-index:251662336;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O6obMTUAAAACQEAAA8AAAAAAAAAAQAgAAAAIgAAAGRycy9kb3ducmV2LnhtbFBLAQIU&#10;ABQAAAAIAIdO4kB4BgMevgEAAG8DAAAOAAAAAAAAAAEAIAAAACMBAABkcnMvZTJvRG9jLnhtbFBL&#10;BQYAAAAABgAGAFkBAABTBQAAAAA=&#10;">
                <v:fill on="f" focussize="0,0"/>
                <v:stroke color="#000000" joinstyle="round"/>
                <v:imagedata o:title=""/>
                <o:lock v:ext="edit" aspectratio="f"/>
              </v:line>
            </w:pict>
          </mc:Fallback>
        </mc:AlternateContent>
      </w:r>
      <w:r>
        <w:rPr>
          <w:rFonts w:ascii="宋体" w:hAnsi="宋体"/>
          <w:sz w:val="24"/>
          <w:szCs w:val="24"/>
        </w:rPr>
        <mc:AlternateContent>
          <mc:Choice Requires="wps">
            <w:drawing>
              <wp:anchor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15.75pt;margin-top:19.5pt;height:0pt;width:0.05pt;z-index:251663360;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nhMTLUAAAABwEAAA8AAAAAAAAAAQAgAAAAIgAAAGRycy9kb3ducmV2LnhtbFBLAQIU&#10;ABQAAAAIAIdO4kBfYekVvgEAAG8DAAAOAAAAAAAAAAEAIAAAACMBAABkcnMvZTJvRG9jLnhtbFBL&#10;BQYAAAAABgAGAFkBAABTBQAAAAA=&#10;">
                <v:fill on="f" focussize="0,0"/>
                <v:stroke color="#000000" joinstyle="round"/>
                <v:imagedata o:title=""/>
                <o:lock v:ext="edit" aspectratio="f"/>
              </v:line>
            </w:pict>
          </mc:Fallback>
        </mc:AlternateContent>
      </w:r>
      <w:r>
        <w:rPr>
          <w:rFonts w:ascii="宋体" w:hAnsi="宋体"/>
          <w:sz w:val="24"/>
          <w:szCs w:val="24"/>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10pt;margin-top:15.6pt;height:0pt;width:0.05pt;z-index:25166438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uqGzE1AAAAAkBAAAPAAAAAAAAAAEAIAAAACIAAABkcnMvZG93bnJldi54bWxQSwEC&#10;FAAUAAAACACHTuJAfb6fpb8BAABvAwAADgAAAAAAAAABACAAAAAjAQAAZHJzL2Uyb0RvYy54bWxQ&#10;SwUGAAAAAAYABgBZAQAAVAUAAAAA&#10;">
                <v:fill on="f" focussize="0,0"/>
                <v:stroke color="#000000" joinstyle="round"/>
                <v:imagedata o:title=""/>
                <o:lock v:ext="edit" aspectratio="f"/>
              </v:line>
            </w:pict>
          </mc:Fallback>
        </mc:AlternateContent>
      </w:r>
    </w:p>
    <w:p w14:paraId="64F7CD3A">
      <w:pPr>
        <w:tabs>
          <w:tab w:val="left" w:pos="1125"/>
        </w:tabs>
        <w:spacing w:line="360" w:lineRule="auto"/>
        <w:ind w:firstLine="420"/>
        <w:rPr>
          <w:rFonts w:ascii="宋体" w:hAnsi="宋体"/>
          <w:sz w:val="24"/>
          <w:szCs w:val="24"/>
        </w:rPr>
      </w:pPr>
      <w:r>
        <w:rPr>
          <w:rFonts w:ascii="宋体" w:hAnsi="宋体"/>
          <w:sz w:val="24"/>
          <w:szCs w:val="24"/>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10pt;margin-top:19.5pt;height:0pt;width:0.05pt;z-index:25166540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4ejUA1QAAAAkBAAAPAAAAAAAAAAEAIAAAACIAAABkcnMvZG93bnJldi54bWxQSwEC&#10;FAAUAAAACACHTuJAxkXcgb4BAABvAwAADgAAAAAAAAABACAAAAAkAQAAZHJzL2Uyb0RvYy54bWxQ&#10;SwUGAAAAAAYABgBZAQAAVAUAAAAA&#10;">
                <v:fill on="f" focussize="0,0"/>
                <v:stroke color="#000000" joinstyle="round"/>
                <v:imagedata o:title=""/>
                <o:lock v:ext="edit" aspectratio="f"/>
              </v:line>
            </w:pict>
          </mc:Fallback>
        </mc:AlternateContent>
      </w:r>
      <w:r>
        <w:rPr>
          <w:rFonts w:ascii="宋体" w:hAnsi="宋体"/>
          <w:sz w:val="24"/>
          <w:szCs w:val="24"/>
        </w:rPr>
        <mc:AlternateContent>
          <mc:Choice Requires="wps">
            <w:drawing>
              <wp:anchor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10pt;margin-top:19.5pt;height:0pt;width:0.05pt;z-index:251666432;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Ho1ANUAAAAJAQAADwAAAAAAAAABACAAAAAiAAAAZHJzL2Rvd25yZXYueG1sUEsB&#10;AhQAFAAAAAgAh07iQOSaqjG/AQAAbwMAAA4AAAAAAAAAAQAgAAAAJAEAAGRycy9lMm9Eb2MueG1s&#10;UEsFBgAAAAAGAAYAWQEAAFUFAAAAAA==&#10;">
                <v:fill on="f" focussize="0,0"/>
                <v:stroke color="#000000" joinstyle="round"/>
                <v:imagedata o:title=""/>
                <o:lock v:ext="edit" aspectratio="f"/>
              </v:line>
            </w:pict>
          </mc:Fallback>
        </mc:AlternateContent>
      </w:r>
      <w:r>
        <w:rPr>
          <w:rFonts w:hint="eastAsia" w:ascii="宋体" w:hAnsi="宋体"/>
          <w:sz w:val="24"/>
          <w:szCs w:val="24"/>
        </w:rPr>
        <w:t>2、我方承诺根据招标文件的规定，完成合同义务，并承担责任（如有偏离，在投标文件中另作说明）。</w:t>
      </w:r>
    </w:p>
    <w:p w14:paraId="6191B464">
      <w:pPr>
        <w:tabs>
          <w:tab w:val="left" w:pos="1125"/>
        </w:tabs>
        <w:spacing w:line="360" w:lineRule="auto"/>
        <w:ind w:firstLine="420"/>
        <w:rPr>
          <w:rFonts w:ascii="宋体" w:hAnsi="宋体"/>
          <w:sz w:val="24"/>
          <w:szCs w:val="24"/>
        </w:rPr>
      </w:pPr>
      <w:r>
        <w:rPr>
          <w:rFonts w:hint="eastAsia" w:ascii="宋体" w:hAnsi="宋体"/>
          <w:sz w:val="24"/>
          <w:szCs w:val="24"/>
        </w:rPr>
        <w:t>3、我方已详细审核全部招标文件，包括招标文件书面修改通知（如果有的话），投标人完全理解并同意放弃对这方面不明及误解的权利。</w:t>
      </w:r>
    </w:p>
    <w:p w14:paraId="03225EAF">
      <w:pPr>
        <w:tabs>
          <w:tab w:val="left" w:pos="1125"/>
        </w:tabs>
        <w:spacing w:line="360" w:lineRule="auto"/>
        <w:ind w:firstLine="420"/>
        <w:rPr>
          <w:rFonts w:ascii="宋体" w:hAnsi="宋体"/>
          <w:sz w:val="24"/>
          <w:szCs w:val="24"/>
        </w:rPr>
      </w:pPr>
      <w:r>
        <w:rPr>
          <w:rFonts w:hint="eastAsia" w:ascii="宋体" w:hAnsi="宋体"/>
          <w:sz w:val="24"/>
          <w:szCs w:val="24"/>
        </w:rPr>
        <w:t>4、我方投标代表已详读全部投标文件，保证提供的投标文件及所有材料的完整、真实、合法、有效性并对其负责。承诺在评审期间，如评审委员会对我方提出澄清要求，将及时作出响应，否则自行承担后果。</w:t>
      </w:r>
    </w:p>
    <w:p w14:paraId="02361479">
      <w:pPr>
        <w:tabs>
          <w:tab w:val="left" w:pos="1125"/>
        </w:tabs>
        <w:spacing w:line="360" w:lineRule="auto"/>
        <w:ind w:firstLine="420"/>
        <w:rPr>
          <w:rFonts w:ascii="宋体" w:hAnsi="宋体"/>
          <w:sz w:val="24"/>
          <w:szCs w:val="24"/>
        </w:rPr>
      </w:pPr>
      <w:r>
        <w:rPr>
          <w:rFonts w:hint="eastAsia" w:ascii="宋体" w:hAnsi="宋体"/>
          <w:sz w:val="24"/>
          <w:szCs w:val="24"/>
        </w:rPr>
        <w:t>5、我方同意从规定的招标日期起遵循本招标文件，并在规定的有效期期满之前均具有约束力。</w:t>
      </w:r>
    </w:p>
    <w:p w14:paraId="11CA139B">
      <w:pPr>
        <w:tabs>
          <w:tab w:val="left" w:pos="1125"/>
        </w:tabs>
        <w:spacing w:line="360" w:lineRule="auto"/>
        <w:ind w:firstLine="280"/>
        <w:rPr>
          <w:rFonts w:ascii="宋体" w:hAnsi="宋体"/>
          <w:sz w:val="24"/>
          <w:szCs w:val="24"/>
        </w:rPr>
      </w:pPr>
      <w:r>
        <w:rPr>
          <w:rFonts w:hint="eastAsia" w:ascii="宋体" w:hAnsi="宋体"/>
          <w:sz w:val="24"/>
          <w:szCs w:val="24"/>
        </w:rPr>
        <w:t xml:space="preserve"> 6、如果在规定的开标时间后，我方不会在投标有效期内撤回投标。</w:t>
      </w:r>
    </w:p>
    <w:p w14:paraId="1A33C8F1">
      <w:pPr>
        <w:tabs>
          <w:tab w:val="left" w:pos="1125"/>
        </w:tabs>
        <w:spacing w:line="360" w:lineRule="auto"/>
        <w:ind w:firstLine="420"/>
        <w:rPr>
          <w:rFonts w:ascii="宋体" w:hAnsi="宋体"/>
          <w:sz w:val="24"/>
          <w:szCs w:val="24"/>
        </w:rPr>
      </w:pPr>
      <w:r>
        <w:rPr>
          <w:rFonts w:hint="eastAsia" w:ascii="宋体" w:hAnsi="宋体"/>
          <w:sz w:val="24"/>
          <w:szCs w:val="24"/>
        </w:rPr>
        <w:t>7、我方同意向贵方提供贵方可能要求的与本投标有关的任何证据或资料。</w:t>
      </w:r>
    </w:p>
    <w:p w14:paraId="533F4CC9">
      <w:pPr>
        <w:tabs>
          <w:tab w:val="left" w:pos="1125"/>
        </w:tabs>
        <w:spacing w:line="360" w:lineRule="auto"/>
        <w:ind w:firstLine="420"/>
        <w:rPr>
          <w:rFonts w:ascii="宋体" w:hAnsi="宋体"/>
          <w:sz w:val="24"/>
          <w:szCs w:val="24"/>
        </w:rPr>
      </w:pPr>
      <w:r>
        <w:rPr>
          <w:rFonts w:hint="eastAsia" w:ascii="宋体" w:hAnsi="宋体"/>
          <w:sz w:val="24"/>
          <w:szCs w:val="24"/>
        </w:rPr>
        <w:t>8、我方完全理解贵方不一定要接受最低报价的投标或收到的任何投标。</w:t>
      </w:r>
    </w:p>
    <w:p w14:paraId="41F0B109">
      <w:pPr>
        <w:tabs>
          <w:tab w:val="left" w:pos="1125"/>
        </w:tabs>
        <w:spacing w:line="360" w:lineRule="auto"/>
        <w:ind w:firstLine="420"/>
        <w:rPr>
          <w:rFonts w:ascii="宋体" w:hAnsi="宋体"/>
          <w:sz w:val="24"/>
          <w:szCs w:val="24"/>
        </w:rPr>
      </w:pPr>
      <w:r>
        <w:rPr>
          <w:rFonts w:hint="eastAsia" w:ascii="宋体" w:hAnsi="宋体"/>
          <w:sz w:val="24"/>
          <w:szCs w:val="24"/>
        </w:rPr>
        <w:t>9、我方知道如用虚假材料或恶意方式向贵方提出质疑，将承担相应的法律责任。同时承诺：我方如果有上述行为，将无条件承担贵方相关的调查论证费用。</w:t>
      </w:r>
    </w:p>
    <w:p w14:paraId="52F573BA">
      <w:pPr>
        <w:tabs>
          <w:tab w:val="left" w:pos="1125"/>
        </w:tabs>
        <w:spacing w:line="360" w:lineRule="auto"/>
        <w:ind w:firstLine="420"/>
        <w:rPr>
          <w:rFonts w:ascii="宋体" w:hAnsi="宋体"/>
          <w:sz w:val="24"/>
          <w:szCs w:val="24"/>
        </w:rPr>
      </w:pPr>
      <w:r>
        <w:rPr>
          <w:rFonts w:hint="eastAsia" w:ascii="宋体" w:hAnsi="宋体"/>
          <w:sz w:val="24"/>
          <w:szCs w:val="24"/>
        </w:rPr>
        <w:t>10、本公司承诺：参加政府采购活动前三年内，在经营活动中没有重大违法记录。</w:t>
      </w:r>
    </w:p>
    <w:p w14:paraId="1F9B709E">
      <w:pPr>
        <w:tabs>
          <w:tab w:val="left" w:pos="1125"/>
        </w:tabs>
        <w:spacing w:line="360" w:lineRule="auto"/>
        <w:ind w:firstLine="420"/>
        <w:rPr>
          <w:rFonts w:ascii="宋体" w:hAnsi="宋体"/>
          <w:sz w:val="24"/>
          <w:szCs w:val="24"/>
        </w:rPr>
      </w:pPr>
      <w:r>
        <w:rPr>
          <w:rFonts w:hint="eastAsia" w:ascii="宋体" w:hAnsi="宋体"/>
          <w:sz w:val="24"/>
          <w:szCs w:val="24"/>
        </w:rPr>
        <w:t>11、本次投标文件内容与招标文件内容偏离（技术和商务）见偏离说明（如果有）。</w:t>
      </w:r>
    </w:p>
    <w:p w14:paraId="7C9259B0">
      <w:pPr>
        <w:tabs>
          <w:tab w:val="left" w:pos="1125"/>
        </w:tabs>
        <w:spacing w:line="360" w:lineRule="auto"/>
        <w:ind w:firstLine="420"/>
        <w:rPr>
          <w:rFonts w:ascii="宋体" w:hAnsi="宋体"/>
          <w:sz w:val="24"/>
          <w:szCs w:val="24"/>
        </w:rPr>
      </w:pPr>
      <w:r>
        <w:rPr>
          <w:rFonts w:hint="eastAsia" w:ascii="宋体" w:hAnsi="宋体"/>
          <w:sz w:val="24"/>
          <w:szCs w:val="24"/>
        </w:rPr>
        <w:t>12、遵守招标文件中要求的收费项目和标准。</w:t>
      </w:r>
    </w:p>
    <w:p w14:paraId="079EEBA1">
      <w:pPr>
        <w:tabs>
          <w:tab w:val="left" w:pos="1125"/>
        </w:tabs>
        <w:spacing w:line="360" w:lineRule="auto"/>
        <w:ind w:firstLine="420"/>
        <w:rPr>
          <w:rFonts w:ascii="宋体" w:hAnsi="宋体"/>
          <w:sz w:val="24"/>
          <w:szCs w:val="24"/>
        </w:rPr>
      </w:pPr>
      <w:r>
        <w:rPr>
          <w:rFonts w:hint="eastAsia" w:ascii="宋体" w:hAnsi="宋体"/>
          <w:sz w:val="24"/>
          <w:szCs w:val="24"/>
        </w:rPr>
        <w:t>13、与本投标有关的一切正式往来通讯请寄：</w:t>
      </w:r>
    </w:p>
    <w:p w14:paraId="1FBA2C82">
      <w:pPr>
        <w:spacing w:line="360" w:lineRule="auto"/>
        <w:ind w:firstLine="980"/>
        <w:rPr>
          <w:rFonts w:ascii="宋体" w:hAnsi="宋体"/>
          <w:sz w:val="24"/>
          <w:szCs w:val="24"/>
        </w:rPr>
      </w:pPr>
      <w:r>
        <w:rPr>
          <w:rFonts w:hint="eastAsia" w:ascii="宋体" w:hAnsi="宋体"/>
          <w:sz w:val="24"/>
          <w:szCs w:val="24"/>
        </w:rPr>
        <w:t xml:space="preserve">地址：                   电话：   </w:t>
      </w:r>
    </w:p>
    <w:p w14:paraId="27CD081F">
      <w:pPr>
        <w:spacing w:line="360" w:lineRule="auto"/>
        <w:ind w:firstLine="980"/>
        <w:rPr>
          <w:rFonts w:ascii="宋体" w:hAnsi="宋体"/>
          <w:sz w:val="24"/>
          <w:szCs w:val="24"/>
        </w:rPr>
      </w:pPr>
      <w:r>
        <w:rPr>
          <w:rFonts w:hint="eastAsia" w:ascii="宋体" w:hAnsi="宋体"/>
          <w:sz w:val="24"/>
          <w:szCs w:val="24"/>
        </w:rPr>
        <w:t>传真：                   邮政编码</w:t>
      </w:r>
    </w:p>
    <w:p w14:paraId="7353D6EF">
      <w:pPr>
        <w:spacing w:line="360" w:lineRule="auto"/>
        <w:ind w:firstLine="644"/>
        <w:rPr>
          <w:rFonts w:ascii="宋体" w:hAnsi="宋体"/>
          <w:sz w:val="24"/>
          <w:szCs w:val="24"/>
        </w:rPr>
      </w:pPr>
    </w:p>
    <w:p w14:paraId="5EE538F6">
      <w:pPr>
        <w:spacing w:line="360" w:lineRule="auto"/>
        <w:ind w:firstLine="644"/>
        <w:rPr>
          <w:rFonts w:ascii="宋体" w:hAnsi="宋体"/>
          <w:sz w:val="24"/>
          <w:szCs w:val="24"/>
        </w:rPr>
      </w:pPr>
    </w:p>
    <w:p w14:paraId="68076D05">
      <w:pPr>
        <w:spacing w:line="360" w:lineRule="auto"/>
        <w:ind w:firstLine="644"/>
        <w:rPr>
          <w:rFonts w:ascii="宋体" w:hAnsi="宋体"/>
          <w:sz w:val="24"/>
          <w:szCs w:val="24"/>
        </w:rPr>
      </w:pPr>
    </w:p>
    <w:p w14:paraId="776D3E31">
      <w:pPr>
        <w:spacing w:line="360" w:lineRule="auto"/>
        <w:ind w:firstLine="644"/>
        <w:rPr>
          <w:rFonts w:ascii="宋体" w:hAnsi="宋体"/>
          <w:sz w:val="24"/>
          <w:szCs w:val="24"/>
        </w:rPr>
      </w:pPr>
      <w:r>
        <w:rPr>
          <w:rFonts w:hint="eastAsia" w:ascii="宋体" w:hAnsi="宋体"/>
          <w:sz w:val="24"/>
          <w:szCs w:val="24"/>
        </w:rPr>
        <w:t>投标人：</w:t>
      </w:r>
    </w:p>
    <w:p w14:paraId="7A30DB28">
      <w:pPr>
        <w:spacing w:line="360" w:lineRule="auto"/>
        <w:ind w:firstLine="644"/>
        <w:rPr>
          <w:rFonts w:ascii="宋体" w:hAnsi="宋体"/>
          <w:sz w:val="24"/>
          <w:szCs w:val="24"/>
        </w:rPr>
      </w:pPr>
      <w:r>
        <w:rPr>
          <w:rFonts w:hint="eastAsia" w:ascii="宋体" w:hAnsi="宋体"/>
          <w:sz w:val="24"/>
          <w:szCs w:val="24"/>
        </w:rPr>
        <w:t xml:space="preserve">法定代表人或其委托代理人签字：         </w:t>
      </w:r>
    </w:p>
    <w:p w14:paraId="0D50D36B">
      <w:pPr>
        <w:spacing w:line="360" w:lineRule="auto"/>
        <w:ind w:firstLine="644"/>
        <w:rPr>
          <w:rFonts w:ascii="宋体" w:hAnsi="宋体"/>
          <w:sz w:val="24"/>
          <w:szCs w:val="24"/>
        </w:rPr>
      </w:pPr>
      <w:r>
        <w:rPr>
          <w:rFonts w:hint="eastAsia" w:ascii="宋体" w:hAnsi="宋体"/>
          <w:sz w:val="24"/>
          <w:szCs w:val="24"/>
        </w:rPr>
        <w:t>日期：      年   月   日</w:t>
      </w:r>
    </w:p>
    <w:p w14:paraId="3B1C79F1">
      <w:pPr>
        <w:keepNext/>
        <w:keepLines/>
        <w:numPr>
          <w:ilvl w:val="0"/>
          <w:numId w:val="11"/>
        </w:numPr>
        <w:spacing w:before="260" w:after="260" w:line="360" w:lineRule="auto"/>
        <w:ind w:left="0"/>
        <w:jc w:val="center"/>
        <w:outlineLvl w:val="1"/>
        <w:rPr>
          <w:rFonts w:ascii="宋体" w:hAnsi="宋体"/>
          <w:b/>
          <w:sz w:val="32"/>
          <w:szCs w:val="20"/>
        </w:rPr>
        <w:sectPr>
          <w:pgSz w:w="11907" w:h="16840"/>
          <w:pgMar w:top="1247" w:right="1247" w:bottom="1247" w:left="1247" w:header="851" w:footer="992" w:gutter="0"/>
          <w:cols w:space="720" w:num="1"/>
          <w:titlePg/>
          <w:docGrid w:linePitch="360" w:charSpace="0"/>
        </w:sectPr>
      </w:pPr>
    </w:p>
    <w:p w14:paraId="34A02F08">
      <w:pPr>
        <w:keepNext/>
        <w:keepLines/>
        <w:spacing w:before="260" w:after="260" w:line="360" w:lineRule="auto"/>
        <w:jc w:val="center"/>
        <w:outlineLvl w:val="1"/>
        <w:rPr>
          <w:rFonts w:ascii="宋体" w:hAnsi="宋体"/>
          <w:b/>
          <w:sz w:val="44"/>
          <w:szCs w:val="44"/>
        </w:rPr>
      </w:pPr>
      <w:r>
        <w:rPr>
          <w:rFonts w:hint="eastAsia" w:ascii="宋体" w:hAnsi="宋体"/>
          <w:b/>
          <w:sz w:val="44"/>
          <w:szCs w:val="44"/>
        </w:rPr>
        <w:t>二、开标（报价）一览表</w:t>
      </w:r>
    </w:p>
    <w:tbl>
      <w:tblPr>
        <w:tblStyle w:val="54"/>
        <w:tblW w:w="10314" w:type="dxa"/>
        <w:tblInd w:w="-997" w:type="dxa"/>
        <w:tblLayout w:type="fixed"/>
        <w:tblCellMar>
          <w:top w:w="0" w:type="dxa"/>
          <w:left w:w="108" w:type="dxa"/>
          <w:bottom w:w="0" w:type="dxa"/>
          <w:right w:w="108" w:type="dxa"/>
        </w:tblCellMar>
      </w:tblPr>
      <w:tblGrid>
        <w:gridCol w:w="2802"/>
        <w:gridCol w:w="7512"/>
      </w:tblGrid>
      <w:tr w14:paraId="553DF6FA">
        <w:tblPrEx>
          <w:tblCellMar>
            <w:top w:w="0" w:type="dxa"/>
            <w:left w:w="108" w:type="dxa"/>
            <w:bottom w:w="0" w:type="dxa"/>
            <w:right w:w="108" w:type="dxa"/>
          </w:tblCellMar>
        </w:tblPrEx>
        <w:trPr>
          <w:trHeight w:val="460" w:hRule="atLeast"/>
        </w:trPr>
        <w:tc>
          <w:tcPr>
            <w:tcW w:w="10314" w:type="dxa"/>
            <w:gridSpan w:val="2"/>
            <w:tcBorders>
              <w:top w:val="nil"/>
              <w:left w:val="nil"/>
              <w:bottom w:val="single" w:color="000000" w:sz="4" w:space="0"/>
              <w:right w:val="nil"/>
            </w:tcBorders>
            <w:vAlign w:val="center"/>
          </w:tcPr>
          <w:p w14:paraId="0EE420DA">
            <w:pPr>
              <w:widowControl/>
              <w:spacing w:line="360" w:lineRule="auto"/>
              <w:rPr>
                <w:rFonts w:ascii="宋体" w:hAnsi="宋体" w:cs="宋体"/>
                <w:sz w:val="28"/>
                <w:szCs w:val="28"/>
              </w:rPr>
            </w:pPr>
            <w:r>
              <w:rPr>
                <w:rFonts w:hint="eastAsia" w:ascii="宋体" w:hAnsi="宋体" w:cs="宋体"/>
                <w:sz w:val="28"/>
                <w:szCs w:val="28"/>
              </w:rPr>
              <w:t>单位名称：</w:t>
            </w:r>
          </w:p>
        </w:tc>
      </w:tr>
      <w:tr w14:paraId="69360944">
        <w:tblPrEx>
          <w:tblCellMar>
            <w:top w:w="0" w:type="dxa"/>
            <w:left w:w="108" w:type="dxa"/>
            <w:bottom w:w="0" w:type="dxa"/>
            <w:right w:w="108" w:type="dxa"/>
          </w:tblCellMar>
        </w:tblPrEx>
        <w:trPr>
          <w:trHeight w:val="1356" w:hRule="atLeast"/>
        </w:trPr>
        <w:tc>
          <w:tcPr>
            <w:tcW w:w="2802" w:type="dxa"/>
            <w:tcBorders>
              <w:top w:val="single" w:color="000000" w:sz="4" w:space="0"/>
              <w:left w:val="single" w:color="000000" w:sz="4" w:space="0"/>
              <w:bottom w:val="single" w:color="000000" w:sz="4" w:space="0"/>
              <w:right w:val="single" w:color="000000" w:sz="4" w:space="0"/>
            </w:tcBorders>
            <w:vAlign w:val="center"/>
          </w:tcPr>
          <w:p w14:paraId="64F1A799">
            <w:pPr>
              <w:widowControl/>
              <w:spacing w:line="360" w:lineRule="auto"/>
              <w:jc w:val="center"/>
              <w:rPr>
                <w:rFonts w:ascii="宋体" w:hAnsi="宋体" w:cs="宋体"/>
                <w:sz w:val="24"/>
                <w:szCs w:val="24"/>
              </w:rPr>
            </w:pPr>
            <w:r>
              <w:rPr>
                <w:rFonts w:hint="eastAsia" w:ascii="宋体" w:hAnsi="宋体" w:cs="宋体"/>
                <w:sz w:val="24"/>
                <w:szCs w:val="24"/>
              </w:rPr>
              <w:t>项目总价</w:t>
            </w:r>
          </w:p>
        </w:tc>
        <w:tc>
          <w:tcPr>
            <w:tcW w:w="7512" w:type="dxa"/>
            <w:tcBorders>
              <w:top w:val="single" w:color="000000" w:sz="4" w:space="0"/>
              <w:left w:val="nil"/>
              <w:bottom w:val="single" w:color="000000" w:sz="4" w:space="0"/>
              <w:right w:val="single" w:color="000000" w:sz="4" w:space="0"/>
            </w:tcBorders>
            <w:vAlign w:val="center"/>
          </w:tcPr>
          <w:p w14:paraId="2030EDC0">
            <w:pPr>
              <w:widowControl/>
              <w:spacing w:line="360" w:lineRule="auto"/>
              <w:rPr>
                <w:rFonts w:ascii="宋体" w:hAnsi="宋体" w:cs="宋体"/>
                <w:sz w:val="24"/>
                <w:szCs w:val="24"/>
              </w:rPr>
            </w:pPr>
            <w:r>
              <w:rPr>
                <w:rFonts w:hint="eastAsia" w:ascii="宋体" w:hAnsi="宋体" w:cs="宋体"/>
                <w:sz w:val="24"/>
                <w:szCs w:val="24"/>
              </w:rPr>
              <w:t xml:space="preserve">金额（大写）：             元   </w:t>
            </w:r>
          </w:p>
          <w:p w14:paraId="33FCD781">
            <w:pPr>
              <w:tabs>
                <w:tab w:val="left" w:pos="2185"/>
              </w:tabs>
              <w:spacing w:line="360" w:lineRule="auto"/>
              <w:rPr>
                <w:rFonts w:ascii="宋体" w:hAnsi="宋体" w:cs="宋体"/>
                <w:sz w:val="24"/>
                <w:szCs w:val="24"/>
              </w:rPr>
            </w:pPr>
            <w:r>
              <w:rPr>
                <w:rFonts w:hint="eastAsia" w:ascii="宋体" w:hAnsi="宋体" w:cs="宋体"/>
                <w:sz w:val="24"/>
                <w:szCs w:val="24"/>
              </w:rPr>
              <w:t>￥：             元</w:t>
            </w:r>
          </w:p>
        </w:tc>
      </w:tr>
      <w:tr w14:paraId="5DAAF93E">
        <w:tblPrEx>
          <w:tblCellMar>
            <w:top w:w="0" w:type="dxa"/>
            <w:left w:w="108" w:type="dxa"/>
            <w:bottom w:w="0" w:type="dxa"/>
            <w:right w:w="108" w:type="dxa"/>
          </w:tblCellMar>
        </w:tblPrEx>
        <w:trPr>
          <w:trHeight w:val="870" w:hRule="atLeast"/>
        </w:trPr>
        <w:tc>
          <w:tcPr>
            <w:tcW w:w="2802" w:type="dxa"/>
            <w:tcBorders>
              <w:top w:val="nil"/>
              <w:left w:val="single" w:color="000000" w:sz="4" w:space="0"/>
              <w:bottom w:val="single" w:color="000000" w:sz="4" w:space="0"/>
              <w:right w:val="single" w:color="000000" w:sz="4" w:space="0"/>
            </w:tcBorders>
            <w:vAlign w:val="center"/>
          </w:tcPr>
          <w:p w14:paraId="0CBF269B">
            <w:pPr>
              <w:widowControl/>
              <w:spacing w:line="360" w:lineRule="auto"/>
              <w:jc w:val="center"/>
              <w:rPr>
                <w:rFonts w:ascii="宋体" w:hAnsi="宋体" w:cs="宋体"/>
                <w:sz w:val="24"/>
                <w:szCs w:val="24"/>
              </w:rPr>
            </w:pPr>
            <w:r>
              <w:rPr>
                <w:rFonts w:hint="eastAsia" w:ascii="宋体" w:hAnsi="宋体" w:cs="宋体"/>
                <w:sz w:val="24"/>
                <w:szCs w:val="24"/>
              </w:rPr>
              <w:t>供货期</w:t>
            </w:r>
          </w:p>
        </w:tc>
        <w:tc>
          <w:tcPr>
            <w:tcW w:w="7512" w:type="dxa"/>
            <w:tcBorders>
              <w:top w:val="nil"/>
              <w:left w:val="nil"/>
              <w:bottom w:val="single" w:color="000000" w:sz="4" w:space="0"/>
              <w:right w:val="single" w:color="000000" w:sz="4" w:space="0"/>
            </w:tcBorders>
            <w:vAlign w:val="center"/>
          </w:tcPr>
          <w:p w14:paraId="19A51EB1">
            <w:pPr>
              <w:widowControl/>
              <w:spacing w:line="360" w:lineRule="auto"/>
              <w:rPr>
                <w:rFonts w:ascii="宋体" w:hAnsi="宋体" w:cs="宋体"/>
                <w:sz w:val="24"/>
                <w:szCs w:val="24"/>
              </w:rPr>
            </w:pPr>
            <w:r>
              <w:rPr>
                <w:rFonts w:hint="eastAsia" w:ascii="宋体" w:hAnsi="宋体" w:cs="宋体"/>
                <w:sz w:val="24"/>
                <w:szCs w:val="24"/>
              </w:rPr>
              <w:t xml:space="preserve">                       </w:t>
            </w:r>
          </w:p>
        </w:tc>
      </w:tr>
      <w:tr w14:paraId="572C1322">
        <w:tblPrEx>
          <w:tblCellMar>
            <w:top w:w="0" w:type="dxa"/>
            <w:left w:w="108" w:type="dxa"/>
            <w:bottom w:w="0" w:type="dxa"/>
            <w:right w:w="108" w:type="dxa"/>
          </w:tblCellMar>
        </w:tblPrEx>
        <w:trPr>
          <w:trHeight w:val="870" w:hRule="atLeast"/>
        </w:trPr>
        <w:tc>
          <w:tcPr>
            <w:tcW w:w="2802" w:type="dxa"/>
            <w:tcBorders>
              <w:top w:val="nil"/>
              <w:left w:val="single" w:color="000000" w:sz="4" w:space="0"/>
              <w:bottom w:val="single" w:color="000000" w:sz="4" w:space="0"/>
              <w:right w:val="single" w:color="000000" w:sz="4" w:space="0"/>
            </w:tcBorders>
            <w:vAlign w:val="center"/>
          </w:tcPr>
          <w:p w14:paraId="3255B32F">
            <w:pPr>
              <w:widowControl/>
              <w:spacing w:line="360" w:lineRule="auto"/>
              <w:jc w:val="center"/>
              <w:rPr>
                <w:rFonts w:ascii="宋体" w:hAnsi="宋体" w:cs="宋体"/>
                <w:sz w:val="24"/>
                <w:szCs w:val="24"/>
              </w:rPr>
            </w:pPr>
            <w:r>
              <w:rPr>
                <w:rFonts w:hint="eastAsia" w:ascii="宋体" w:hAnsi="宋体" w:cs="宋体"/>
                <w:sz w:val="24"/>
                <w:szCs w:val="24"/>
              </w:rPr>
              <w:t>质保期</w:t>
            </w:r>
          </w:p>
        </w:tc>
        <w:tc>
          <w:tcPr>
            <w:tcW w:w="7512" w:type="dxa"/>
            <w:tcBorders>
              <w:top w:val="nil"/>
              <w:left w:val="nil"/>
              <w:bottom w:val="single" w:color="000000" w:sz="4" w:space="0"/>
              <w:right w:val="single" w:color="000000" w:sz="4" w:space="0"/>
            </w:tcBorders>
            <w:vAlign w:val="center"/>
          </w:tcPr>
          <w:p w14:paraId="21633782">
            <w:pPr>
              <w:widowControl/>
              <w:spacing w:line="360" w:lineRule="auto"/>
              <w:rPr>
                <w:rFonts w:ascii="宋体" w:hAnsi="宋体" w:cs="宋体"/>
                <w:sz w:val="24"/>
                <w:szCs w:val="24"/>
              </w:rPr>
            </w:pPr>
            <w:r>
              <w:rPr>
                <w:rFonts w:hint="eastAsia" w:ascii="宋体" w:hAnsi="宋体" w:cs="宋体"/>
                <w:sz w:val="24"/>
                <w:szCs w:val="24"/>
              </w:rPr>
              <w:t>年</w:t>
            </w:r>
          </w:p>
        </w:tc>
      </w:tr>
      <w:tr w14:paraId="13E6DD34">
        <w:tblPrEx>
          <w:tblCellMar>
            <w:top w:w="0" w:type="dxa"/>
            <w:left w:w="108" w:type="dxa"/>
            <w:bottom w:w="0" w:type="dxa"/>
            <w:right w:w="108" w:type="dxa"/>
          </w:tblCellMar>
        </w:tblPrEx>
        <w:trPr>
          <w:trHeight w:val="870" w:hRule="atLeast"/>
        </w:trPr>
        <w:tc>
          <w:tcPr>
            <w:tcW w:w="2802" w:type="dxa"/>
            <w:tcBorders>
              <w:top w:val="nil"/>
              <w:left w:val="single" w:color="000000" w:sz="4" w:space="0"/>
              <w:bottom w:val="single" w:color="000000" w:sz="4" w:space="0"/>
              <w:right w:val="single" w:color="000000" w:sz="4" w:space="0"/>
            </w:tcBorders>
            <w:vAlign w:val="center"/>
          </w:tcPr>
          <w:p w14:paraId="6B10BEC0">
            <w:pPr>
              <w:widowControl/>
              <w:spacing w:line="360" w:lineRule="auto"/>
              <w:jc w:val="center"/>
              <w:rPr>
                <w:rFonts w:ascii="宋体" w:hAnsi="宋体" w:cs="宋体"/>
                <w:sz w:val="24"/>
                <w:szCs w:val="24"/>
              </w:rPr>
            </w:pPr>
            <w:r>
              <w:rPr>
                <w:rFonts w:hint="eastAsia" w:ascii="宋体" w:hAnsi="宋体" w:cs="宋体"/>
                <w:sz w:val="24"/>
                <w:szCs w:val="24"/>
              </w:rPr>
              <w:t>核心产品品牌</w:t>
            </w:r>
          </w:p>
        </w:tc>
        <w:tc>
          <w:tcPr>
            <w:tcW w:w="7512" w:type="dxa"/>
            <w:tcBorders>
              <w:top w:val="nil"/>
              <w:left w:val="nil"/>
              <w:bottom w:val="single" w:color="000000" w:sz="4" w:space="0"/>
              <w:right w:val="single" w:color="000000" w:sz="4" w:space="0"/>
            </w:tcBorders>
            <w:vAlign w:val="center"/>
          </w:tcPr>
          <w:p w14:paraId="5522595A">
            <w:pPr>
              <w:widowControl/>
              <w:spacing w:line="360" w:lineRule="auto"/>
              <w:rPr>
                <w:rFonts w:ascii="宋体" w:hAnsi="宋体" w:cs="宋体"/>
                <w:sz w:val="24"/>
                <w:szCs w:val="24"/>
              </w:rPr>
            </w:pPr>
          </w:p>
        </w:tc>
      </w:tr>
      <w:tr w14:paraId="500586D3">
        <w:tblPrEx>
          <w:tblCellMar>
            <w:top w:w="0" w:type="dxa"/>
            <w:left w:w="108" w:type="dxa"/>
            <w:bottom w:w="0" w:type="dxa"/>
            <w:right w:w="108" w:type="dxa"/>
          </w:tblCellMar>
        </w:tblPrEx>
        <w:trPr>
          <w:trHeight w:val="826" w:hRule="atLeast"/>
        </w:trPr>
        <w:tc>
          <w:tcPr>
            <w:tcW w:w="2802" w:type="dxa"/>
            <w:tcBorders>
              <w:top w:val="single" w:color="000000" w:sz="4" w:space="0"/>
              <w:left w:val="single" w:color="000000" w:sz="4" w:space="0"/>
              <w:bottom w:val="single" w:color="000000" w:sz="4" w:space="0"/>
              <w:right w:val="single" w:color="000000" w:sz="4" w:space="0"/>
            </w:tcBorders>
            <w:vAlign w:val="center"/>
          </w:tcPr>
          <w:p w14:paraId="36A0C67C">
            <w:pPr>
              <w:widowControl/>
              <w:spacing w:line="360" w:lineRule="auto"/>
              <w:jc w:val="center"/>
              <w:rPr>
                <w:rFonts w:ascii="宋体" w:hAnsi="宋体" w:cs="宋体"/>
                <w:sz w:val="24"/>
                <w:szCs w:val="24"/>
              </w:rPr>
            </w:pPr>
            <w:r>
              <w:rPr>
                <w:rFonts w:hint="eastAsia" w:ascii="宋体" w:hAnsi="宋体" w:cs="宋体"/>
                <w:sz w:val="24"/>
                <w:szCs w:val="24"/>
              </w:rPr>
              <w:t>备注</w:t>
            </w:r>
          </w:p>
        </w:tc>
        <w:tc>
          <w:tcPr>
            <w:tcW w:w="7512" w:type="dxa"/>
            <w:tcBorders>
              <w:top w:val="single" w:color="000000" w:sz="4" w:space="0"/>
              <w:left w:val="nil"/>
              <w:bottom w:val="single" w:color="000000" w:sz="4" w:space="0"/>
              <w:right w:val="single" w:color="000000" w:sz="4" w:space="0"/>
            </w:tcBorders>
            <w:vAlign w:val="center"/>
          </w:tcPr>
          <w:p w14:paraId="2D815F95">
            <w:pPr>
              <w:widowControl/>
              <w:spacing w:line="360" w:lineRule="auto"/>
              <w:rPr>
                <w:rFonts w:ascii="宋体" w:hAnsi="宋体" w:cs="宋体"/>
                <w:sz w:val="24"/>
                <w:szCs w:val="24"/>
              </w:rPr>
            </w:pPr>
          </w:p>
        </w:tc>
      </w:tr>
    </w:tbl>
    <w:p w14:paraId="36633029">
      <w:pPr>
        <w:spacing w:line="360" w:lineRule="auto"/>
        <w:rPr>
          <w:rFonts w:ascii="宋体" w:hAnsi="宋体"/>
          <w:sz w:val="24"/>
          <w:szCs w:val="20"/>
          <w:u w:val="single"/>
        </w:rPr>
      </w:pPr>
      <w:r>
        <w:rPr>
          <w:rFonts w:hint="eastAsia" w:ascii="宋体" w:hAnsi="宋体"/>
          <w:b/>
          <w:sz w:val="24"/>
          <w:szCs w:val="20"/>
        </w:rPr>
        <w:t xml:space="preserve">注： </w:t>
      </w:r>
      <w:r>
        <w:rPr>
          <w:rFonts w:hint="eastAsia" w:ascii="宋体" w:hAnsi="宋体"/>
          <w:sz w:val="24"/>
          <w:szCs w:val="20"/>
        </w:rPr>
        <w:t>1、</w:t>
      </w:r>
      <w:r>
        <w:rPr>
          <w:rFonts w:hint="eastAsia" w:ascii="宋体" w:hAnsi="宋体"/>
          <w:sz w:val="24"/>
          <w:szCs w:val="20"/>
          <w:u w:val="single"/>
        </w:rPr>
        <w:t>“项目总价”包括本次招标要求提供货物和服务本身已支付或将支付的各种税费及所有相关费用；</w:t>
      </w:r>
    </w:p>
    <w:p w14:paraId="7FD0B4F6">
      <w:pPr>
        <w:spacing w:line="360" w:lineRule="auto"/>
        <w:ind w:firstLine="600"/>
        <w:rPr>
          <w:rFonts w:ascii="宋体" w:hAnsi="宋体"/>
          <w:bCs/>
          <w:sz w:val="24"/>
          <w:szCs w:val="20"/>
          <w:u w:val="single"/>
        </w:rPr>
      </w:pPr>
      <w:r>
        <w:rPr>
          <w:rFonts w:hint="eastAsia" w:ascii="宋体" w:hAnsi="宋体"/>
          <w:bCs/>
          <w:sz w:val="24"/>
          <w:szCs w:val="20"/>
        </w:rPr>
        <w:t>2、</w:t>
      </w:r>
      <w:r>
        <w:rPr>
          <w:rFonts w:hint="eastAsia" w:ascii="宋体" w:hAnsi="宋体"/>
          <w:bCs/>
          <w:sz w:val="24"/>
          <w:szCs w:val="20"/>
          <w:u w:val="single"/>
        </w:rPr>
        <w:t>投标人必须据实填写此表，报价所含与招标文件要求的内容一致。</w:t>
      </w:r>
    </w:p>
    <w:p w14:paraId="16B5E809">
      <w:pPr>
        <w:spacing w:line="360" w:lineRule="auto"/>
        <w:ind w:left="482"/>
        <w:rPr>
          <w:rFonts w:ascii="宋体" w:hAnsi="宋体" w:cs="宋体"/>
          <w:sz w:val="24"/>
          <w:szCs w:val="24"/>
        </w:rPr>
      </w:pPr>
    </w:p>
    <w:p w14:paraId="5310C30F">
      <w:pPr>
        <w:spacing w:line="360" w:lineRule="auto"/>
        <w:ind w:left="482"/>
        <w:rPr>
          <w:rFonts w:ascii="宋体" w:hAnsi="宋体" w:cs="宋体"/>
          <w:sz w:val="24"/>
          <w:szCs w:val="24"/>
        </w:rPr>
      </w:pPr>
    </w:p>
    <w:p w14:paraId="7B75856C">
      <w:pPr>
        <w:spacing w:line="360" w:lineRule="auto"/>
        <w:ind w:left="482"/>
        <w:rPr>
          <w:rFonts w:ascii="宋体" w:hAnsi="宋体" w:cs="宋体"/>
          <w:sz w:val="24"/>
          <w:szCs w:val="24"/>
        </w:rPr>
      </w:pPr>
    </w:p>
    <w:p w14:paraId="69716D6F">
      <w:pPr>
        <w:spacing w:line="360" w:lineRule="auto"/>
        <w:ind w:left="482"/>
        <w:rPr>
          <w:rFonts w:ascii="宋体" w:hAnsi="宋体" w:cs="宋体"/>
          <w:sz w:val="24"/>
          <w:szCs w:val="24"/>
        </w:rPr>
      </w:pPr>
      <w:r>
        <w:rPr>
          <w:rFonts w:hint="eastAsia" w:ascii="宋体" w:hAnsi="宋体" w:cs="宋体"/>
          <w:sz w:val="24"/>
          <w:szCs w:val="24"/>
        </w:rPr>
        <w:t>法定代表人或其委托代理人签字：</w:t>
      </w:r>
    </w:p>
    <w:p w14:paraId="6C723C3B">
      <w:pPr>
        <w:spacing w:line="360" w:lineRule="auto"/>
        <w:ind w:left="482"/>
        <w:rPr>
          <w:rFonts w:ascii="宋体" w:hAnsi="宋体" w:cs="宋体"/>
          <w:sz w:val="24"/>
          <w:szCs w:val="24"/>
        </w:rPr>
      </w:pPr>
      <w:r>
        <w:rPr>
          <w:rFonts w:hint="eastAsia" w:ascii="宋体" w:hAnsi="宋体" w:cs="宋体"/>
          <w:sz w:val="24"/>
          <w:szCs w:val="24"/>
        </w:rPr>
        <w:t>日期：年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14:paraId="1E65C0D5">
      <w:pPr>
        <w:keepNext/>
        <w:keepLines/>
        <w:spacing w:before="260" w:after="260" w:line="360" w:lineRule="auto"/>
        <w:jc w:val="center"/>
        <w:outlineLvl w:val="1"/>
        <w:rPr>
          <w:sz w:val="36"/>
          <w:szCs w:val="36"/>
        </w:rPr>
      </w:pPr>
      <w:r>
        <w:rPr>
          <w:rFonts w:cs="宋体"/>
          <w:sz w:val="24"/>
          <w:szCs w:val="24"/>
        </w:rPr>
        <w:br w:type="page"/>
      </w:r>
      <w:r>
        <w:rPr>
          <w:rFonts w:hint="eastAsia" w:ascii="宋体" w:hAnsi="宋体"/>
          <w:b/>
          <w:sz w:val="44"/>
          <w:szCs w:val="44"/>
        </w:rPr>
        <w:t>三、物品清单及明细报价表</w:t>
      </w:r>
    </w:p>
    <w:tbl>
      <w:tblPr>
        <w:tblStyle w:val="54"/>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9"/>
        <w:gridCol w:w="1780"/>
        <w:gridCol w:w="846"/>
        <w:gridCol w:w="1385"/>
        <w:gridCol w:w="851"/>
        <w:gridCol w:w="850"/>
        <w:gridCol w:w="1276"/>
        <w:gridCol w:w="1276"/>
        <w:gridCol w:w="700"/>
      </w:tblGrid>
      <w:tr w14:paraId="6EC04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849" w:type="dxa"/>
            <w:vAlign w:val="center"/>
          </w:tcPr>
          <w:p w14:paraId="27A84C0A">
            <w:pPr>
              <w:widowControl/>
              <w:jc w:val="center"/>
              <w:rPr>
                <w:rFonts w:ascii="宋体" w:hAnsi="宋体" w:cs="宋体"/>
                <w:b/>
                <w:bCs/>
                <w:sz w:val="24"/>
                <w:szCs w:val="24"/>
              </w:rPr>
            </w:pPr>
            <w:r>
              <w:rPr>
                <w:rFonts w:hint="eastAsia" w:ascii="宋体" w:hAnsi="宋体" w:cs="宋体"/>
                <w:b/>
                <w:bCs/>
                <w:sz w:val="24"/>
                <w:szCs w:val="24"/>
              </w:rPr>
              <w:t>序号</w:t>
            </w:r>
          </w:p>
        </w:tc>
        <w:tc>
          <w:tcPr>
            <w:tcW w:w="1780" w:type="dxa"/>
            <w:vAlign w:val="center"/>
          </w:tcPr>
          <w:p w14:paraId="7B5D2CD5">
            <w:pPr>
              <w:widowControl/>
              <w:jc w:val="center"/>
              <w:rPr>
                <w:rFonts w:ascii="宋体" w:hAnsi="宋体" w:cs="宋体"/>
                <w:b/>
                <w:bCs/>
                <w:sz w:val="24"/>
                <w:szCs w:val="24"/>
              </w:rPr>
            </w:pPr>
            <w:r>
              <w:rPr>
                <w:rFonts w:hint="eastAsia" w:ascii="宋体" w:hAnsi="宋体" w:cs="宋体"/>
                <w:b/>
                <w:bCs/>
                <w:sz w:val="24"/>
                <w:szCs w:val="24"/>
              </w:rPr>
              <w:t>产品名称</w:t>
            </w:r>
          </w:p>
        </w:tc>
        <w:tc>
          <w:tcPr>
            <w:tcW w:w="846" w:type="dxa"/>
            <w:vAlign w:val="center"/>
          </w:tcPr>
          <w:p w14:paraId="7F539C98">
            <w:pPr>
              <w:widowControl/>
              <w:jc w:val="center"/>
              <w:rPr>
                <w:rFonts w:ascii="宋体" w:hAnsi="宋体" w:cs="宋体"/>
                <w:b/>
                <w:bCs/>
                <w:sz w:val="24"/>
                <w:szCs w:val="24"/>
              </w:rPr>
            </w:pPr>
            <w:r>
              <w:rPr>
                <w:rFonts w:hint="eastAsia" w:ascii="宋体" w:hAnsi="宋体" w:cs="宋体"/>
                <w:b/>
                <w:bCs/>
                <w:sz w:val="24"/>
                <w:szCs w:val="24"/>
              </w:rPr>
              <w:t>数量</w:t>
            </w:r>
          </w:p>
        </w:tc>
        <w:tc>
          <w:tcPr>
            <w:tcW w:w="1385" w:type="dxa"/>
            <w:vAlign w:val="center"/>
          </w:tcPr>
          <w:p w14:paraId="7ED431C1">
            <w:pPr>
              <w:widowControl/>
              <w:jc w:val="center"/>
              <w:rPr>
                <w:rFonts w:ascii="宋体" w:hAnsi="宋体" w:cs="宋体"/>
                <w:b/>
                <w:bCs/>
                <w:sz w:val="24"/>
                <w:szCs w:val="24"/>
              </w:rPr>
            </w:pPr>
            <w:r>
              <w:rPr>
                <w:rFonts w:hint="eastAsia" w:ascii="宋体" w:hAnsi="宋体" w:cs="宋体"/>
                <w:b/>
                <w:bCs/>
                <w:sz w:val="24"/>
                <w:szCs w:val="24"/>
              </w:rPr>
              <w:t>规格/型号</w:t>
            </w:r>
          </w:p>
        </w:tc>
        <w:tc>
          <w:tcPr>
            <w:tcW w:w="851" w:type="dxa"/>
            <w:vAlign w:val="center"/>
          </w:tcPr>
          <w:p w14:paraId="7BBC8784">
            <w:pPr>
              <w:widowControl/>
              <w:jc w:val="center"/>
              <w:rPr>
                <w:rFonts w:ascii="宋体" w:hAnsi="宋体" w:cs="宋体"/>
                <w:b/>
                <w:bCs/>
                <w:sz w:val="24"/>
                <w:szCs w:val="24"/>
              </w:rPr>
            </w:pPr>
            <w:r>
              <w:rPr>
                <w:rFonts w:hint="eastAsia" w:ascii="宋体" w:hAnsi="宋体" w:cs="宋体"/>
                <w:b/>
                <w:bCs/>
                <w:sz w:val="24"/>
                <w:szCs w:val="24"/>
              </w:rPr>
              <w:t>品牌</w:t>
            </w:r>
          </w:p>
        </w:tc>
        <w:tc>
          <w:tcPr>
            <w:tcW w:w="850" w:type="dxa"/>
            <w:vAlign w:val="center"/>
          </w:tcPr>
          <w:p w14:paraId="1E3A1219">
            <w:pPr>
              <w:widowControl/>
              <w:jc w:val="center"/>
              <w:rPr>
                <w:rFonts w:ascii="宋体" w:hAnsi="宋体" w:cs="宋体"/>
                <w:b/>
                <w:bCs/>
                <w:sz w:val="24"/>
                <w:szCs w:val="24"/>
              </w:rPr>
            </w:pPr>
            <w:r>
              <w:rPr>
                <w:rFonts w:hint="eastAsia" w:ascii="宋体" w:hAnsi="宋体" w:cs="宋体"/>
                <w:b/>
                <w:bCs/>
                <w:sz w:val="24"/>
                <w:szCs w:val="24"/>
              </w:rPr>
              <w:t>产地</w:t>
            </w:r>
          </w:p>
        </w:tc>
        <w:tc>
          <w:tcPr>
            <w:tcW w:w="1276" w:type="dxa"/>
            <w:vAlign w:val="center"/>
          </w:tcPr>
          <w:p w14:paraId="34F0CF43">
            <w:pPr>
              <w:widowControl/>
              <w:jc w:val="center"/>
              <w:rPr>
                <w:rFonts w:ascii="宋体" w:hAnsi="宋体" w:cs="宋体"/>
                <w:b/>
                <w:bCs/>
                <w:sz w:val="24"/>
                <w:szCs w:val="24"/>
              </w:rPr>
            </w:pPr>
            <w:r>
              <w:rPr>
                <w:rFonts w:hint="eastAsia" w:ascii="宋体" w:hAnsi="宋体" w:cs="宋体"/>
                <w:b/>
                <w:bCs/>
                <w:sz w:val="24"/>
                <w:szCs w:val="24"/>
              </w:rPr>
              <w:t>单价（元）</w:t>
            </w:r>
          </w:p>
        </w:tc>
        <w:tc>
          <w:tcPr>
            <w:tcW w:w="1276" w:type="dxa"/>
            <w:vAlign w:val="center"/>
          </w:tcPr>
          <w:p w14:paraId="43F8CD48">
            <w:pPr>
              <w:widowControl/>
              <w:jc w:val="center"/>
              <w:rPr>
                <w:rFonts w:ascii="宋体" w:hAnsi="宋体" w:cs="宋体"/>
                <w:b/>
                <w:bCs/>
                <w:sz w:val="24"/>
                <w:szCs w:val="24"/>
              </w:rPr>
            </w:pPr>
            <w:r>
              <w:rPr>
                <w:rFonts w:hint="eastAsia" w:ascii="宋体" w:hAnsi="宋体" w:cs="宋体"/>
                <w:b/>
                <w:bCs/>
                <w:sz w:val="24"/>
                <w:szCs w:val="24"/>
              </w:rPr>
              <w:t>总价（元）</w:t>
            </w:r>
          </w:p>
        </w:tc>
        <w:tc>
          <w:tcPr>
            <w:tcW w:w="700" w:type="dxa"/>
            <w:vAlign w:val="center"/>
          </w:tcPr>
          <w:p w14:paraId="72D02A54">
            <w:pPr>
              <w:widowControl/>
              <w:jc w:val="center"/>
              <w:rPr>
                <w:rFonts w:ascii="宋体" w:hAnsi="宋体" w:cs="宋体"/>
                <w:b/>
                <w:bCs/>
                <w:sz w:val="24"/>
                <w:szCs w:val="24"/>
              </w:rPr>
            </w:pPr>
            <w:r>
              <w:rPr>
                <w:rFonts w:hint="eastAsia" w:ascii="宋体" w:hAnsi="宋体" w:cs="宋体"/>
                <w:b/>
                <w:bCs/>
                <w:sz w:val="24"/>
                <w:szCs w:val="24"/>
              </w:rPr>
              <w:t>备注</w:t>
            </w:r>
          </w:p>
        </w:tc>
      </w:tr>
      <w:tr w14:paraId="79639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9813" w:type="dxa"/>
            <w:gridSpan w:val="9"/>
            <w:vAlign w:val="center"/>
          </w:tcPr>
          <w:p w14:paraId="4A177588">
            <w:pPr>
              <w:widowControl/>
              <w:jc w:val="left"/>
              <w:rPr>
                <w:rFonts w:ascii="宋体" w:hAnsi="宋体" w:cs="宋体"/>
                <w:b/>
                <w:bCs/>
                <w:sz w:val="24"/>
                <w:szCs w:val="24"/>
              </w:rPr>
            </w:pPr>
            <w:r>
              <w:rPr>
                <w:rFonts w:hint="eastAsia" w:ascii="宋体" w:hAnsi="宋体" w:cs="宋体"/>
                <w:b/>
                <w:bCs/>
                <w:sz w:val="24"/>
                <w:szCs w:val="24"/>
              </w:rPr>
              <w:t>设备采购部分</w:t>
            </w:r>
          </w:p>
        </w:tc>
      </w:tr>
      <w:tr w14:paraId="12B1B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849" w:type="dxa"/>
            <w:vAlign w:val="center"/>
          </w:tcPr>
          <w:p w14:paraId="211DE23B">
            <w:pPr>
              <w:widowControl/>
              <w:jc w:val="center"/>
              <w:rPr>
                <w:rFonts w:ascii="宋体" w:hAnsi="宋体" w:cs="宋体"/>
                <w:sz w:val="24"/>
                <w:szCs w:val="24"/>
              </w:rPr>
            </w:pPr>
            <w:r>
              <w:rPr>
                <w:rFonts w:hint="eastAsia" w:ascii="宋体" w:hAnsi="宋体" w:cs="宋体"/>
                <w:sz w:val="24"/>
                <w:szCs w:val="24"/>
              </w:rPr>
              <w:t>1</w:t>
            </w:r>
          </w:p>
        </w:tc>
        <w:tc>
          <w:tcPr>
            <w:tcW w:w="1780" w:type="dxa"/>
            <w:vAlign w:val="center"/>
          </w:tcPr>
          <w:p w14:paraId="79581BFE">
            <w:pPr>
              <w:widowControl/>
              <w:jc w:val="center"/>
              <w:rPr>
                <w:rFonts w:ascii="宋体" w:hAnsi="宋体" w:cs="宋体"/>
                <w:sz w:val="24"/>
                <w:szCs w:val="24"/>
              </w:rPr>
            </w:pPr>
          </w:p>
        </w:tc>
        <w:tc>
          <w:tcPr>
            <w:tcW w:w="846" w:type="dxa"/>
            <w:vAlign w:val="center"/>
          </w:tcPr>
          <w:p w14:paraId="6FC1FC7E">
            <w:pPr>
              <w:spacing w:line="500" w:lineRule="exact"/>
              <w:jc w:val="center"/>
              <w:rPr>
                <w:rFonts w:ascii="宋体" w:hAnsi="宋体"/>
                <w:sz w:val="24"/>
                <w:szCs w:val="24"/>
              </w:rPr>
            </w:pPr>
          </w:p>
        </w:tc>
        <w:tc>
          <w:tcPr>
            <w:tcW w:w="1385" w:type="dxa"/>
          </w:tcPr>
          <w:p w14:paraId="6DADCBEB">
            <w:pPr>
              <w:widowControl/>
              <w:jc w:val="center"/>
              <w:rPr>
                <w:rFonts w:ascii="宋体" w:hAnsi="宋体" w:cs="宋体"/>
                <w:szCs w:val="21"/>
              </w:rPr>
            </w:pPr>
          </w:p>
        </w:tc>
        <w:tc>
          <w:tcPr>
            <w:tcW w:w="851" w:type="dxa"/>
          </w:tcPr>
          <w:p w14:paraId="5F8F8ECD">
            <w:pPr>
              <w:widowControl/>
              <w:jc w:val="center"/>
              <w:rPr>
                <w:rFonts w:ascii="宋体" w:hAnsi="宋体" w:cs="宋体"/>
                <w:szCs w:val="21"/>
              </w:rPr>
            </w:pPr>
          </w:p>
        </w:tc>
        <w:tc>
          <w:tcPr>
            <w:tcW w:w="850" w:type="dxa"/>
          </w:tcPr>
          <w:p w14:paraId="2369AE6E">
            <w:pPr>
              <w:widowControl/>
              <w:jc w:val="center"/>
              <w:rPr>
                <w:rFonts w:ascii="宋体" w:hAnsi="宋体" w:cs="宋体"/>
                <w:szCs w:val="21"/>
              </w:rPr>
            </w:pPr>
          </w:p>
        </w:tc>
        <w:tc>
          <w:tcPr>
            <w:tcW w:w="1276" w:type="dxa"/>
          </w:tcPr>
          <w:p w14:paraId="2C09FDCF">
            <w:pPr>
              <w:widowControl/>
              <w:jc w:val="center"/>
              <w:rPr>
                <w:rFonts w:ascii="宋体" w:hAnsi="宋体" w:cs="宋体"/>
                <w:szCs w:val="21"/>
              </w:rPr>
            </w:pPr>
          </w:p>
        </w:tc>
        <w:tc>
          <w:tcPr>
            <w:tcW w:w="1276" w:type="dxa"/>
          </w:tcPr>
          <w:p w14:paraId="0F8FFA10">
            <w:pPr>
              <w:widowControl/>
              <w:jc w:val="center"/>
              <w:rPr>
                <w:rFonts w:ascii="宋体" w:hAnsi="宋体" w:cs="宋体"/>
                <w:szCs w:val="21"/>
              </w:rPr>
            </w:pPr>
          </w:p>
        </w:tc>
        <w:tc>
          <w:tcPr>
            <w:tcW w:w="700" w:type="dxa"/>
            <w:vAlign w:val="center"/>
          </w:tcPr>
          <w:p w14:paraId="102A3935">
            <w:pPr>
              <w:widowControl/>
              <w:jc w:val="center"/>
              <w:rPr>
                <w:rFonts w:ascii="宋体" w:hAnsi="宋体" w:cs="宋体"/>
                <w:szCs w:val="21"/>
              </w:rPr>
            </w:pPr>
          </w:p>
        </w:tc>
      </w:tr>
      <w:tr w14:paraId="0593B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vAlign w:val="center"/>
          </w:tcPr>
          <w:p w14:paraId="3492D7FE">
            <w:pPr>
              <w:widowControl/>
              <w:jc w:val="center"/>
              <w:rPr>
                <w:rFonts w:ascii="宋体" w:hAnsi="宋体" w:cs="宋体"/>
                <w:sz w:val="24"/>
                <w:szCs w:val="24"/>
              </w:rPr>
            </w:pPr>
            <w:r>
              <w:rPr>
                <w:rFonts w:hint="eastAsia" w:ascii="宋体" w:hAnsi="宋体" w:cs="宋体"/>
                <w:sz w:val="24"/>
                <w:szCs w:val="24"/>
              </w:rPr>
              <w:t>2</w:t>
            </w:r>
          </w:p>
        </w:tc>
        <w:tc>
          <w:tcPr>
            <w:tcW w:w="1780" w:type="dxa"/>
            <w:vAlign w:val="center"/>
          </w:tcPr>
          <w:p w14:paraId="13092463">
            <w:pPr>
              <w:widowControl/>
              <w:jc w:val="center"/>
              <w:rPr>
                <w:rFonts w:ascii="宋体" w:hAnsi="宋体" w:cs="宋体"/>
                <w:sz w:val="24"/>
                <w:szCs w:val="24"/>
              </w:rPr>
            </w:pPr>
          </w:p>
        </w:tc>
        <w:tc>
          <w:tcPr>
            <w:tcW w:w="846" w:type="dxa"/>
            <w:vAlign w:val="center"/>
          </w:tcPr>
          <w:p w14:paraId="22624908">
            <w:pPr>
              <w:spacing w:line="500" w:lineRule="exact"/>
              <w:jc w:val="center"/>
              <w:rPr>
                <w:rFonts w:ascii="宋体" w:hAnsi="宋体"/>
                <w:sz w:val="24"/>
                <w:szCs w:val="24"/>
              </w:rPr>
            </w:pPr>
          </w:p>
        </w:tc>
        <w:tc>
          <w:tcPr>
            <w:tcW w:w="1385" w:type="dxa"/>
          </w:tcPr>
          <w:p w14:paraId="77BCBC4C">
            <w:pPr>
              <w:widowControl/>
              <w:jc w:val="center"/>
              <w:rPr>
                <w:rFonts w:ascii="宋体" w:hAnsi="宋体" w:cs="宋体"/>
                <w:szCs w:val="21"/>
              </w:rPr>
            </w:pPr>
          </w:p>
        </w:tc>
        <w:tc>
          <w:tcPr>
            <w:tcW w:w="851" w:type="dxa"/>
          </w:tcPr>
          <w:p w14:paraId="02DFC9FE">
            <w:pPr>
              <w:widowControl/>
              <w:jc w:val="center"/>
              <w:rPr>
                <w:rFonts w:ascii="宋体" w:hAnsi="宋体" w:cs="宋体"/>
                <w:szCs w:val="21"/>
              </w:rPr>
            </w:pPr>
          </w:p>
        </w:tc>
        <w:tc>
          <w:tcPr>
            <w:tcW w:w="850" w:type="dxa"/>
          </w:tcPr>
          <w:p w14:paraId="5F4257DD">
            <w:pPr>
              <w:widowControl/>
              <w:jc w:val="center"/>
              <w:rPr>
                <w:rFonts w:ascii="宋体" w:hAnsi="宋体" w:cs="宋体"/>
                <w:szCs w:val="21"/>
              </w:rPr>
            </w:pPr>
          </w:p>
        </w:tc>
        <w:tc>
          <w:tcPr>
            <w:tcW w:w="1276" w:type="dxa"/>
          </w:tcPr>
          <w:p w14:paraId="7A49BB1F">
            <w:pPr>
              <w:widowControl/>
              <w:jc w:val="center"/>
              <w:rPr>
                <w:rFonts w:ascii="宋体" w:hAnsi="宋体" w:cs="宋体"/>
                <w:szCs w:val="21"/>
              </w:rPr>
            </w:pPr>
          </w:p>
        </w:tc>
        <w:tc>
          <w:tcPr>
            <w:tcW w:w="1276" w:type="dxa"/>
          </w:tcPr>
          <w:p w14:paraId="7468D047">
            <w:pPr>
              <w:widowControl/>
              <w:jc w:val="center"/>
              <w:rPr>
                <w:rFonts w:ascii="宋体" w:hAnsi="宋体" w:cs="宋体"/>
                <w:szCs w:val="21"/>
              </w:rPr>
            </w:pPr>
          </w:p>
        </w:tc>
        <w:tc>
          <w:tcPr>
            <w:tcW w:w="700" w:type="dxa"/>
            <w:vAlign w:val="center"/>
          </w:tcPr>
          <w:p w14:paraId="64FC08FB">
            <w:pPr>
              <w:widowControl/>
              <w:jc w:val="center"/>
              <w:rPr>
                <w:rFonts w:ascii="宋体" w:hAnsi="宋体" w:cs="宋体"/>
                <w:szCs w:val="21"/>
              </w:rPr>
            </w:pPr>
          </w:p>
        </w:tc>
      </w:tr>
      <w:tr w14:paraId="652B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vAlign w:val="center"/>
          </w:tcPr>
          <w:p w14:paraId="55538D06">
            <w:pPr>
              <w:widowControl/>
              <w:jc w:val="center"/>
              <w:rPr>
                <w:rFonts w:ascii="宋体" w:hAnsi="宋体" w:cs="宋体"/>
                <w:sz w:val="24"/>
                <w:szCs w:val="24"/>
              </w:rPr>
            </w:pPr>
            <w:r>
              <w:rPr>
                <w:rFonts w:hint="eastAsia" w:ascii="宋体" w:hAnsi="宋体" w:cs="宋体"/>
                <w:sz w:val="24"/>
                <w:szCs w:val="24"/>
              </w:rPr>
              <w:t>3</w:t>
            </w:r>
          </w:p>
        </w:tc>
        <w:tc>
          <w:tcPr>
            <w:tcW w:w="1780" w:type="dxa"/>
            <w:vAlign w:val="center"/>
          </w:tcPr>
          <w:p w14:paraId="6A72C9FA">
            <w:pPr>
              <w:widowControl/>
              <w:jc w:val="center"/>
              <w:rPr>
                <w:rFonts w:ascii="宋体" w:hAnsi="宋体" w:cs="宋体"/>
                <w:sz w:val="24"/>
                <w:szCs w:val="24"/>
              </w:rPr>
            </w:pPr>
          </w:p>
        </w:tc>
        <w:tc>
          <w:tcPr>
            <w:tcW w:w="846" w:type="dxa"/>
            <w:vAlign w:val="center"/>
          </w:tcPr>
          <w:p w14:paraId="4371AE4F">
            <w:pPr>
              <w:spacing w:line="500" w:lineRule="exact"/>
              <w:jc w:val="center"/>
              <w:rPr>
                <w:rFonts w:ascii="宋体" w:hAnsi="宋体"/>
                <w:sz w:val="24"/>
                <w:szCs w:val="24"/>
              </w:rPr>
            </w:pPr>
          </w:p>
        </w:tc>
        <w:tc>
          <w:tcPr>
            <w:tcW w:w="1385" w:type="dxa"/>
          </w:tcPr>
          <w:p w14:paraId="7B0A420B">
            <w:pPr>
              <w:widowControl/>
              <w:jc w:val="center"/>
              <w:rPr>
                <w:rFonts w:ascii="宋体" w:hAnsi="宋体" w:cs="宋体"/>
                <w:szCs w:val="21"/>
              </w:rPr>
            </w:pPr>
          </w:p>
        </w:tc>
        <w:tc>
          <w:tcPr>
            <w:tcW w:w="851" w:type="dxa"/>
          </w:tcPr>
          <w:p w14:paraId="327157AA">
            <w:pPr>
              <w:widowControl/>
              <w:jc w:val="center"/>
              <w:rPr>
                <w:rFonts w:ascii="宋体" w:hAnsi="宋体" w:cs="宋体"/>
                <w:szCs w:val="21"/>
              </w:rPr>
            </w:pPr>
          </w:p>
        </w:tc>
        <w:tc>
          <w:tcPr>
            <w:tcW w:w="850" w:type="dxa"/>
          </w:tcPr>
          <w:p w14:paraId="0A05EC87">
            <w:pPr>
              <w:widowControl/>
              <w:jc w:val="center"/>
              <w:rPr>
                <w:rFonts w:ascii="宋体" w:hAnsi="宋体" w:cs="宋体"/>
                <w:szCs w:val="21"/>
              </w:rPr>
            </w:pPr>
          </w:p>
        </w:tc>
        <w:tc>
          <w:tcPr>
            <w:tcW w:w="1276" w:type="dxa"/>
          </w:tcPr>
          <w:p w14:paraId="775E95EE">
            <w:pPr>
              <w:widowControl/>
              <w:jc w:val="center"/>
              <w:rPr>
                <w:rFonts w:ascii="宋体" w:hAnsi="宋体" w:cs="宋体"/>
                <w:szCs w:val="21"/>
              </w:rPr>
            </w:pPr>
          </w:p>
        </w:tc>
        <w:tc>
          <w:tcPr>
            <w:tcW w:w="1276" w:type="dxa"/>
          </w:tcPr>
          <w:p w14:paraId="78279188">
            <w:pPr>
              <w:widowControl/>
              <w:jc w:val="center"/>
              <w:rPr>
                <w:rFonts w:ascii="宋体" w:hAnsi="宋体" w:cs="宋体"/>
                <w:szCs w:val="21"/>
              </w:rPr>
            </w:pPr>
          </w:p>
        </w:tc>
        <w:tc>
          <w:tcPr>
            <w:tcW w:w="700" w:type="dxa"/>
            <w:vAlign w:val="center"/>
          </w:tcPr>
          <w:p w14:paraId="56FA878B">
            <w:pPr>
              <w:widowControl/>
              <w:jc w:val="center"/>
              <w:rPr>
                <w:rFonts w:ascii="宋体" w:hAnsi="宋体" w:cs="宋体"/>
                <w:szCs w:val="21"/>
              </w:rPr>
            </w:pPr>
          </w:p>
        </w:tc>
      </w:tr>
      <w:tr w14:paraId="3ACD0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vAlign w:val="center"/>
          </w:tcPr>
          <w:p w14:paraId="45564459">
            <w:pPr>
              <w:widowControl/>
              <w:jc w:val="center"/>
              <w:rPr>
                <w:rFonts w:ascii="宋体" w:hAnsi="宋体" w:cs="宋体"/>
                <w:sz w:val="24"/>
                <w:szCs w:val="24"/>
              </w:rPr>
            </w:pPr>
            <w:r>
              <w:rPr>
                <w:rFonts w:hint="eastAsia" w:ascii="宋体" w:hAnsi="宋体" w:cs="宋体"/>
                <w:sz w:val="24"/>
                <w:szCs w:val="24"/>
              </w:rPr>
              <w:t>4</w:t>
            </w:r>
          </w:p>
        </w:tc>
        <w:tc>
          <w:tcPr>
            <w:tcW w:w="1780" w:type="dxa"/>
            <w:vAlign w:val="center"/>
          </w:tcPr>
          <w:p w14:paraId="71232807">
            <w:pPr>
              <w:widowControl/>
              <w:jc w:val="center"/>
              <w:rPr>
                <w:rFonts w:ascii="宋体" w:hAnsi="宋体" w:cs="宋体"/>
                <w:sz w:val="24"/>
                <w:szCs w:val="24"/>
              </w:rPr>
            </w:pPr>
          </w:p>
        </w:tc>
        <w:tc>
          <w:tcPr>
            <w:tcW w:w="846" w:type="dxa"/>
            <w:vAlign w:val="center"/>
          </w:tcPr>
          <w:p w14:paraId="468E1960">
            <w:pPr>
              <w:spacing w:line="500" w:lineRule="exact"/>
              <w:jc w:val="center"/>
              <w:rPr>
                <w:rFonts w:ascii="宋体" w:hAnsi="宋体"/>
                <w:sz w:val="24"/>
                <w:szCs w:val="24"/>
              </w:rPr>
            </w:pPr>
          </w:p>
        </w:tc>
        <w:tc>
          <w:tcPr>
            <w:tcW w:w="1385" w:type="dxa"/>
          </w:tcPr>
          <w:p w14:paraId="5B41FA2D">
            <w:pPr>
              <w:widowControl/>
              <w:jc w:val="center"/>
              <w:rPr>
                <w:rFonts w:ascii="宋体" w:hAnsi="宋体" w:cs="宋体"/>
                <w:szCs w:val="21"/>
              </w:rPr>
            </w:pPr>
          </w:p>
        </w:tc>
        <w:tc>
          <w:tcPr>
            <w:tcW w:w="851" w:type="dxa"/>
          </w:tcPr>
          <w:p w14:paraId="5B3582E0">
            <w:pPr>
              <w:widowControl/>
              <w:jc w:val="center"/>
              <w:rPr>
                <w:rFonts w:ascii="宋体" w:hAnsi="宋体" w:cs="宋体"/>
                <w:szCs w:val="21"/>
              </w:rPr>
            </w:pPr>
          </w:p>
        </w:tc>
        <w:tc>
          <w:tcPr>
            <w:tcW w:w="850" w:type="dxa"/>
          </w:tcPr>
          <w:p w14:paraId="0F779388">
            <w:pPr>
              <w:widowControl/>
              <w:jc w:val="center"/>
              <w:rPr>
                <w:rFonts w:ascii="宋体" w:hAnsi="宋体" w:cs="宋体"/>
                <w:szCs w:val="21"/>
              </w:rPr>
            </w:pPr>
          </w:p>
        </w:tc>
        <w:tc>
          <w:tcPr>
            <w:tcW w:w="1276" w:type="dxa"/>
          </w:tcPr>
          <w:p w14:paraId="259F7262">
            <w:pPr>
              <w:widowControl/>
              <w:jc w:val="center"/>
              <w:rPr>
                <w:rFonts w:ascii="宋体" w:hAnsi="宋体" w:cs="宋体"/>
                <w:szCs w:val="21"/>
              </w:rPr>
            </w:pPr>
          </w:p>
        </w:tc>
        <w:tc>
          <w:tcPr>
            <w:tcW w:w="1276" w:type="dxa"/>
          </w:tcPr>
          <w:p w14:paraId="4CBE96E5">
            <w:pPr>
              <w:widowControl/>
              <w:jc w:val="center"/>
              <w:rPr>
                <w:rFonts w:ascii="宋体" w:hAnsi="宋体" w:cs="宋体"/>
                <w:szCs w:val="21"/>
              </w:rPr>
            </w:pPr>
          </w:p>
        </w:tc>
        <w:tc>
          <w:tcPr>
            <w:tcW w:w="700" w:type="dxa"/>
            <w:vAlign w:val="center"/>
          </w:tcPr>
          <w:p w14:paraId="73E2F766">
            <w:pPr>
              <w:widowControl/>
              <w:jc w:val="center"/>
              <w:rPr>
                <w:rFonts w:ascii="宋体" w:hAnsi="宋体" w:cs="宋体"/>
                <w:szCs w:val="21"/>
              </w:rPr>
            </w:pPr>
          </w:p>
        </w:tc>
      </w:tr>
      <w:tr w14:paraId="2A8C6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vAlign w:val="center"/>
          </w:tcPr>
          <w:p w14:paraId="6E50E7CC">
            <w:pPr>
              <w:widowControl/>
              <w:jc w:val="center"/>
              <w:rPr>
                <w:rFonts w:ascii="宋体" w:hAnsi="宋体" w:cs="宋体"/>
                <w:sz w:val="24"/>
                <w:szCs w:val="24"/>
              </w:rPr>
            </w:pPr>
            <w:r>
              <w:rPr>
                <w:rFonts w:hint="eastAsia" w:ascii="宋体" w:hAnsi="宋体" w:cs="宋体"/>
                <w:sz w:val="24"/>
                <w:szCs w:val="24"/>
              </w:rPr>
              <w:t>5</w:t>
            </w:r>
          </w:p>
        </w:tc>
        <w:tc>
          <w:tcPr>
            <w:tcW w:w="1780" w:type="dxa"/>
            <w:vAlign w:val="center"/>
          </w:tcPr>
          <w:p w14:paraId="5E7FC889">
            <w:pPr>
              <w:widowControl/>
              <w:jc w:val="center"/>
              <w:rPr>
                <w:rFonts w:ascii="宋体" w:hAnsi="宋体" w:cs="宋体"/>
                <w:sz w:val="24"/>
                <w:szCs w:val="24"/>
              </w:rPr>
            </w:pPr>
          </w:p>
        </w:tc>
        <w:tc>
          <w:tcPr>
            <w:tcW w:w="846" w:type="dxa"/>
            <w:vAlign w:val="center"/>
          </w:tcPr>
          <w:p w14:paraId="6410CF2F">
            <w:pPr>
              <w:spacing w:line="500" w:lineRule="exact"/>
              <w:jc w:val="center"/>
              <w:rPr>
                <w:rFonts w:ascii="宋体" w:hAnsi="宋体"/>
                <w:sz w:val="24"/>
                <w:szCs w:val="24"/>
              </w:rPr>
            </w:pPr>
          </w:p>
        </w:tc>
        <w:tc>
          <w:tcPr>
            <w:tcW w:w="1385" w:type="dxa"/>
          </w:tcPr>
          <w:p w14:paraId="37D2E227">
            <w:pPr>
              <w:widowControl/>
              <w:jc w:val="center"/>
              <w:rPr>
                <w:rFonts w:ascii="宋体" w:hAnsi="宋体" w:cs="宋体"/>
                <w:szCs w:val="21"/>
              </w:rPr>
            </w:pPr>
          </w:p>
        </w:tc>
        <w:tc>
          <w:tcPr>
            <w:tcW w:w="851" w:type="dxa"/>
          </w:tcPr>
          <w:p w14:paraId="09BC27F2">
            <w:pPr>
              <w:widowControl/>
              <w:jc w:val="center"/>
              <w:rPr>
                <w:rFonts w:ascii="宋体" w:hAnsi="宋体" w:cs="宋体"/>
                <w:szCs w:val="21"/>
              </w:rPr>
            </w:pPr>
          </w:p>
        </w:tc>
        <w:tc>
          <w:tcPr>
            <w:tcW w:w="850" w:type="dxa"/>
          </w:tcPr>
          <w:p w14:paraId="41DB23AF">
            <w:pPr>
              <w:widowControl/>
              <w:jc w:val="center"/>
              <w:rPr>
                <w:rFonts w:ascii="宋体" w:hAnsi="宋体" w:cs="宋体"/>
                <w:szCs w:val="21"/>
              </w:rPr>
            </w:pPr>
          </w:p>
        </w:tc>
        <w:tc>
          <w:tcPr>
            <w:tcW w:w="1276" w:type="dxa"/>
          </w:tcPr>
          <w:p w14:paraId="1A43657D">
            <w:pPr>
              <w:widowControl/>
              <w:jc w:val="center"/>
              <w:rPr>
                <w:rFonts w:ascii="宋体" w:hAnsi="宋体" w:cs="宋体"/>
                <w:szCs w:val="21"/>
              </w:rPr>
            </w:pPr>
          </w:p>
        </w:tc>
        <w:tc>
          <w:tcPr>
            <w:tcW w:w="1276" w:type="dxa"/>
          </w:tcPr>
          <w:p w14:paraId="570FC2FE">
            <w:pPr>
              <w:widowControl/>
              <w:jc w:val="center"/>
              <w:rPr>
                <w:rFonts w:ascii="宋体" w:hAnsi="宋体" w:cs="宋体"/>
                <w:szCs w:val="21"/>
              </w:rPr>
            </w:pPr>
          </w:p>
        </w:tc>
        <w:tc>
          <w:tcPr>
            <w:tcW w:w="700" w:type="dxa"/>
            <w:vAlign w:val="center"/>
          </w:tcPr>
          <w:p w14:paraId="4E7BDA21">
            <w:pPr>
              <w:widowControl/>
              <w:jc w:val="center"/>
              <w:rPr>
                <w:rFonts w:ascii="宋体" w:hAnsi="宋体" w:cs="宋体"/>
                <w:szCs w:val="21"/>
              </w:rPr>
            </w:pPr>
          </w:p>
        </w:tc>
      </w:tr>
      <w:tr w14:paraId="7A8E6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13" w:type="dxa"/>
            <w:gridSpan w:val="9"/>
            <w:vAlign w:val="center"/>
          </w:tcPr>
          <w:p w14:paraId="5EAACBAB">
            <w:pPr>
              <w:widowControl/>
              <w:jc w:val="left"/>
              <w:rPr>
                <w:rFonts w:ascii="宋体" w:hAnsi="宋体" w:cs="宋体"/>
                <w:szCs w:val="21"/>
              </w:rPr>
            </w:pPr>
            <w:r>
              <w:rPr>
                <w:rFonts w:hint="eastAsia" w:ascii="宋体" w:hAnsi="宋体" w:cs="宋体"/>
                <w:b/>
                <w:bCs/>
                <w:sz w:val="24"/>
                <w:szCs w:val="24"/>
              </w:rPr>
              <w:t>项目实施部分</w:t>
            </w:r>
          </w:p>
        </w:tc>
      </w:tr>
      <w:tr w14:paraId="60ED0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vAlign w:val="center"/>
          </w:tcPr>
          <w:p w14:paraId="106E126C">
            <w:pPr>
              <w:spacing w:line="500" w:lineRule="exact"/>
              <w:jc w:val="center"/>
              <w:rPr>
                <w:rFonts w:ascii="宋体" w:hAnsi="宋体"/>
                <w:sz w:val="24"/>
                <w:szCs w:val="24"/>
              </w:rPr>
            </w:pPr>
            <w:r>
              <w:rPr>
                <w:rFonts w:hint="eastAsia" w:ascii="宋体" w:hAnsi="宋体"/>
                <w:sz w:val="24"/>
                <w:szCs w:val="24"/>
              </w:rPr>
              <w:t>1</w:t>
            </w:r>
          </w:p>
        </w:tc>
        <w:tc>
          <w:tcPr>
            <w:tcW w:w="1780" w:type="dxa"/>
            <w:vAlign w:val="center"/>
          </w:tcPr>
          <w:p w14:paraId="3579985A">
            <w:pPr>
              <w:widowControl/>
              <w:jc w:val="center"/>
              <w:rPr>
                <w:rFonts w:ascii="宋体" w:hAnsi="宋体"/>
                <w:sz w:val="24"/>
                <w:szCs w:val="24"/>
              </w:rPr>
            </w:pPr>
          </w:p>
        </w:tc>
        <w:tc>
          <w:tcPr>
            <w:tcW w:w="846" w:type="dxa"/>
            <w:vAlign w:val="center"/>
          </w:tcPr>
          <w:p w14:paraId="5E4EB3DE">
            <w:pPr>
              <w:spacing w:line="500" w:lineRule="exact"/>
              <w:jc w:val="center"/>
              <w:rPr>
                <w:rFonts w:ascii="宋体" w:hAnsi="宋体"/>
                <w:sz w:val="24"/>
                <w:szCs w:val="24"/>
              </w:rPr>
            </w:pPr>
          </w:p>
        </w:tc>
        <w:tc>
          <w:tcPr>
            <w:tcW w:w="1385" w:type="dxa"/>
          </w:tcPr>
          <w:p w14:paraId="72AEB477">
            <w:pPr>
              <w:widowControl/>
              <w:jc w:val="center"/>
              <w:rPr>
                <w:rFonts w:ascii="宋体" w:hAnsi="宋体" w:cs="宋体"/>
                <w:szCs w:val="21"/>
              </w:rPr>
            </w:pPr>
          </w:p>
        </w:tc>
        <w:tc>
          <w:tcPr>
            <w:tcW w:w="851" w:type="dxa"/>
          </w:tcPr>
          <w:p w14:paraId="36758725">
            <w:pPr>
              <w:widowControl/>
              <w:jc w:val="center"/>
              <w:rPr>
                <w:rFonts w:ascii="宋体" w:hAnsi="宋体" w:cs="宋体"/>
                <w:szCs w:val="21"/>
              </w:rPr>
            </w:pPr>
          </w:p>
        </w:tc>
        <w:tc>
          <w:tcPr>
            <w:tcW w:w="850" w:type="dxa"/>
          </w:tcPr>
          <w:p w14:paraId="272FBCB4">
            <w:pPr>
              <w:widowControl/>
              <w:jc w:val="center"/>
              <w:rPr>
                <w:rFonts w:ascii="宋体" w:hAnsi="宋体" w:cs="宋体"/>
                <w:szCs w:val="21"/>
              </w:rPr>
            </w:pPr>
          </w:p>
        </w:tc>
        <w:tc>
          <w:tcPr>
            <w:tcW w:w="1276" w:type="dxa"/>
          </w:tcPr>
          <w:p w14:paraId="0A9C2167">
            <w:pPr>
              <w:widowControl/>
              <w:jc w:val="center"/>
              <w:rPr>
                <w:rFonts w:ascii="宋体" w:hAnsi="宋体" w:cs="宋体"/>
                <w:szCs w:val="21"/>
              </w:rPr>
            </w:pPr>
          </w:p>
        </w:tc>
        <w:tc>
          <w:tcPr>
            <w:tcW w:w="1276" w:type="dxa"/>
          </w:tcPr>
          <w:p w14:paraId="561B70F5">
            <w:pPr>
              <w:widowControl/>
              <w:jc w:val="center"/>
              <w:rPr>
                <w:rFonts w:ascii="宋体" w:hAnsi="宋体" w:cs="宋体"/>
                <w:szCs w:val="21"/>
              </w:rPr>
            </w:pPr>
          </w:p>
        </w:tc>
        <w:tc>
          <w:tcPr>
            <w:tcW w:w="700" w:type="dxa"/>
            <w:vAlign w:val="center"/>
          </w:tcPr>
          <w:p w14:paraId="7CD1C548">
            <w:pPr>
              <w:widowControl/>
              <w:jc w:val="center"/>
              <w:rPr>
                <w:rFonts w:ascii="宋体" w:hAnsi="宋体" w:cs="宋体"/>
                <w:szCs w:val="21"/>
              </w:rPr>
            </w:pPr>
          </w:p>
        </w:tc>
      </w:tr>
      <w:tr w14:paraId="35E3B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jc w:val="center"/>
        </w:trPr>
        <w:tc>
          <w:tcPr>
            <w:tcW w:w="4860" w:type="dxa"/>
            <w:gridSpan w:val="4"/>
            <w:vAlign w:val="center"/>
          </w:tcPr>
          <w:p w14:paraId="55B021DD">
            <w:pPr>
              <w:spacing w:line="500" w:lineRule="exact"/>
              <w:jc w:val="center"/>
              <w:rPr>
                <w:rFonts w:ascii="宋体" w:hAnsi="宋体" w:cs="宋体"/>
                <w:szCs w:val="21"/>
              </w:rPr>
            </w:pPr>
            <w:r>
              <w:rPr>
                <w:rFonts w:ascii="宋体" w:hAnsi="宋体"/>
                <w:sz w:val="24"/>
                <w:szCs w:val="24"/>
              </w:rPr>
              <w:t>合价（元）</w:t>
            </w:r>
          </w:p>
        </w:tc>
        <w:tc>
          <w:tcPr>
            <w:tcW w:w="4953" w:type="dxa"/>
            <w:gridSpan w:val="5"/>
          </w:tcPr>
          <w:p w14:paraId="7DA9C168">
            <w:pPr>
              <w:widowControl/>
              <w:jc w:val="center"/>
              <w:rPr>
                <w:rFonts w:ascii="宋体" w:hAnsi="宋体" w:cs="宋体"/>
                <w:szCs w:val="21"/>
              </w:rPr>
            </w:pPr>
          </w:p>
        </w:tc>
      </w:tr>
    </w:tbl>
    <w:p w14:paraId="239CEA78">
      <w:pPr>
        <w:spacing w:before="260" w:after="260" w:line="360" w:lineRule="auto"/>
        <w:jc w:val="center"/>
        <w:rPr>
          <w:rFonts w:ascii="宋体" w:hAnsi="宋体"/>
          <w:b/>
          <w:sz w:val="36"/>
          <w:szCs w:val="36"/>
        </w:rPr>
      </w:pPr>
      <w:bookmarkStart w:id="115" w:name="_Toc92168048"/>
    </w:p>
    <w:p w14:paraId="63085DBC">
      <w:pPr>
        <w:spacing w:before="260" w:after="260" w:line="360" w:lineRule="auto"/>
        <w:jc w:val="center"/>
        <w:outlineLvl w:val="1"/>
        <w:rPr>
          <w:rFonts w:ascii="宋体" w:hAnsi="宋体"/>
          <w:sz w:val="36"/>
          <w:szCs w:val="36"/>
        </w:rPr>
      </w:pPr>
      <w:r>
        <w:rPr>
          <w:rFonts w:ascii="宋体" w:hAnsi="宋体"/>
          <w:b/>
          <w:sz w:val="36"/>
          <w:szCs w:val="36"/>
        </w:rPr>
        <w:br w:type="page" w:clear="all"/>
      </w:r>
      <w:r>
        <w:rPr>
          <w:rFonts w:hint="eastAsia" w:ascii="宋体" w:hAnsi="宋体"/>
          <w:b/>
          <w:sz w:val="36"/>
          <w:szCs w:val="36"/>
        </w:rPr>
        <w:t>四、投标人相关信息一览表</w:t>
      </w:r>
    </w:p>
    <w:tbl>
      <w:tblPr>
        <w:tblStyle w:val="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2"/>
        <w:gridCol w:w="1369"/>
        <w:gridCol w:w="1521"/>
        <w:gridCol w:w="789"/>
        <w:gridCol w:w="2151"/>
        <w:gridCol w:w="2314"/>
      </w:tblGrid>
      <w:tr w14:paraId="6F613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42" w:type="dxa"/>
            <w:shd w:val="clear" w:color="auto" w:fill="D9D9D9"/>
            <w:vAlign w:val="center"/>
          </w:tcPr>
          <w:p w14:paraId="25A2BE60">
            <w:pPr>
              <w:jc w:val="center"/>
              <w:rPr>
                <w:rFonts w:ascii="宋体" w:hAnsi="宋体"/>
                <w:b/>
                <w:sz w:val="24"/>
                <w:szCs w:val="24"/>
              </w:rPr>
            </w:pPr>
            <w:r>
              <w:rPr>
                <w:rFonts w:hint="eastAsia" w:ascii="宋体" w:hAnsi="宋体"/>
                <w:b/>
                <w:sz w:val="24"/>
                <w:szCs w:val="24"/>
              </w:rPr>
              <w:t>一</w:t>
            </w:r>
          </w:p>
        </w:tc>
        <w:tc>
          <w:tcPr>
            <w:tcW w:w="8144" w:type="dxa"/>
            <w:gridSpan w:val="5"/>
            <w:shd w:val="clear" w:color="auto" w:fill="D9D9D9"/>
            <w:vAlign w:val="center"/>
          </w:tcPr>
          <w:p w14:paraId="124242BE">
            <w:pPr>
              <w:jc w:val="center"/>
              <w:rPr>
                <w:rFonts w:ascii="宋体" w:hAnsi="宋体"/>
                <w:b/>
                <w:sz w:val="24"/>
                <w:szCs w:val="24"/>
              </w:rPr>
            </w:pPr>
            <w:r>
              <w:rPr>
                <w:rFonts w:hint="eastAsia" w:ascii="宋体" w:hAnsi="宋体"/>
                <w:b/>
                <w:sz w:val="24"/>
                <w:szCs w:val="24"/>
              </w:rPr>
              <w:t>公司基本信息</w:t>
            </w:r>
          </w:p>
        </w:tc>
      </w:tr>
      <w:tr w14:paraId="047E4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42" w:type="dxa"/>
            <w:vAlign w:val="center"/>
          </w:tcPr>
          <w:p w14:paraId="2DCC932C">
            <w:pPr>
              <w:jc w:val="center"/>
              <w:rPr>
                <w:rFonts w:ascii="宋体" w:hAnsi="宋体"/>
                <w:sz w:val="24"/>
                <w:szCs w:val="24"/>
              </w:rPr>
            </w:pPr>
            <w:r>
              <w:rPr>
                <w:rFonts w:hint="eastAsia" w:ascii="宋体" w:hAnsi="宋体"/>
                <w:sz w:val="24"/>
                <w:szCs w:val="24"/>
              </w:rPr>
              <w:t>1</w:t>
            </w:r>
          </w:p>
        </w:tc>
        <w:tc>
          <w:tcPr>
            <w:tcW w:w="1369" w:type="dxa"/>
            <w:vAlign w:val="center"/>
          </w:tcPr>
          <w:p w14:paraId="5BDE98E4">
            <w:pPr>
              <w:jc w:val="center"/>
              <w:rPr>
                <w:rFonts w:ascii="宋体" w:hAnsi="宋体"/>
                <w:sz w:val="24"/>
                <w:szCs w:val="24"/>
              </w:rPr>
            </w:pPr>
            <w:r>
              <w:rPr>
                <w:rFonts w:hint="eastAsia" w:ascii="宋体" w:hAnsi="宋体"/>
                <w:sz w:val="24"/>
                <w:szCs w:val="24"/>
              </w:rPr>
              <w:t>公司名称</w:t>
            </w:r>
          </w:p>
        </w:tc>
        <w:tc>
          <w:tcPr>
            <w:tcW w:w="6775" w:type="dxa"/>
            <w:gridSpan w:val="4"/>
            <w:vAlign w:val="center"/>
          </w:tcPr>
          <w:p w14:paraId="2E829814">
            <w:pPr>
              <w:jc w:val="center"/>
              <w:rPr>
                <w:rFonts w:ascii="宋体" w:hAnsi="宋体"/>
                <w:sz w:val="24"/>
                <w:szCs w:val="24"/>
              </w:rPr>
            </w:pPr>
          </w:p>
        </w:tc>
      </w:tr>
      <w:tr w14:paraId="310D4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142" w:type="dxa"/>
            <w:vAlign w:val="center"/>
          </w:tcPr>
          <w:p w14:paraId="55DDF9CD">
            <w:pPr>
              <w:jc w:val="center"/>
              <w:rPr>
                <w:rFonts w:ascii="宋体" w:hAnsi="宋体"/>
                <w:sz w:val="24"/>
                <w:szCs w:val="24"/>
              </w:rPr>
            </w:pPr>
            <w:r>
              <w:rPr>
                <w:rFonts w:hint="eastAsia" w:ascii="宋体" w:hAnsi="宋体"/>
                <w:sz w:val="24"/>
                <w:szCs w:val="24"/>
              </w:rPr>
              <w:t>2</w:t>
            </w:r>
          </w:p>
        </w:tc>
        <w:tc>
          <w:tcPr>
            <w:tcW w:w="1369" w:type="dxa"/>
            <w:vAlign w:val="center"/>
          </w:tcPr>
          <w:p w14:paraId="6C9C60BF">
            <w:pPr>
              <w:jc w:val="center"/>
              <w:rPr>
                <w:rFonts w:ascii="宋体" w:hAnsi="宋体"/>
                <w:sz w:val="24"/>
                <w:szCs w:val="24"/>
              </w:rPr>
            </w:pPr>
            <w:r>
              <w:rPr>
                <w:rFonts w:hint="eastAsia" w:ascii="宋体" w:hAnsi="宋体"/>
                <w:sz w:val="24"/>
                <w:szCs w:val="24"/>
              </w:rPr>
              <w:t>注册资金</w:t>
            </w:r>
          </w:p>
        </w:tc>
        <w:tc>
          <w:tcPr>
            <w:tcW w:w="1521" w:type="dxa"/>
            <w:vAlign w:val="center"/>
          </w:tcPr>
          <w:p w14:paraId="339C59C3">
            <w:pPr>
              <w:jc w:val="center"/>
              <w:rPr>
                <w:rFonts w:ascii="宋体" w:hAnsi="宋体"/>
                <w:sz w:val="24"/>
                <w:szCs w:val="24"/>
              </w:rPr>
            </w:pPr>
          </w:p>
        </w:tc>
        <w:tc>
          <w:tcPr>
            <w:tcW w:w="789" w:type="dxa"/>
            <w:vAlign w:val="center"/>
          </w:tcPr>
          <w:p w14:paraId="7FA367FB">
            <w:pPr>
              <w:jc w:val="center"/>
              <w:rPr>
                <w:rFonts w:ascii="宋体" w:hAnsi="宋体"/>
                <w:sz w:val="24"/>
                <w:szCs w:val="24"/>
              </w:rPr>
            </w:pPr>
            <w:r>
              <w:rPr>
                <w:rFonts w:hint="eastAsia" w:ascii="宋体" w:hAnsi="宋体"/>
                <w:sz w:val="24"/>
                <w:szCs w:val="24"/>
              </w:rPr>
              <w:t>3</w:t>
            </w:r>
          </w:p>
        </w:tc>
        <w:tc>
          <w:tcPr>
            <w:tcW w:w="2151" w:type="dxa"/>
            <w:vAlign w:val="center"/>
          </w:tcPr>
          <w:p w14:paraId="1602923E">
            <w:pPr>
              <w:jc w:val="center"/>
              <w:rPr>
                <w:rFonts w:ascii="宋体" w:hAnsi="宋体"/>
                <w:sz w:val="24"/>
                <w:szCs w:val="24"/>
              </w:rPr>
            </w:pPr>
            <w:r>
              <w:rPr>
                <w:rFonts w:hint="eastAsia" w:ascii="宋体" w:hAnsi="宋体"/>
                <w:sz w:val="24"/>
                <w:szCs w:val="24"/>
              </w:rPr>
              <w:t>公司地址</w:t>
            </w:r>
          </w:p>
        </w:tc>
        <w:tc>
          <w:tcPr>
            <w:tcW w:w="2314" w:type="dxa"/>
            <w:vAlign w:val="center"/>
          </w:tcPr>
          <w:p w14:paraId="1E9B9879">
            <w:pPr>
              <w:jc w:val="center"/>
              <w:rPr>
                <w:rFonts w:ascii="宋体" w:hAnsi="宋体"/>
                <w:sz w:val="24"/>
                <w:szCs w:val="24"/>
              </w:rPr>
            </w:pPr>
          </w:p>
        </w:tc>
      </w:tr>
      <w:tr w14:paraId="2AA01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42" w:type="dxa"/>
            <w:vAlign w:val="center"/>
          </w:tcPr>
          <w:p w14:paraId="195376A1">
            <w:pPr>
              <w:jc w:val="center"/>
              <w:rPr>
                <w:rFonts w:ascii="宋体" w:hAnsi="宋体"/>
                <w:sz w:val="24"/>
                <w:szCs w:val="24"/>
              </w:rPr>
            </w:pPr>
            <w:r>
              <w:rPr>
                <w:rFonts w:hint="eastAsia" w:ascii="宋体" w:hAnsi="宋体"/>
                <w:sz w:val="24"/>
                <w:szCs w:val="24"/>
              </w:rPr>
              <w:t>4</w:t>
            </w:r>
          </w:p>
        </w:tc>
        <w:tc>
          <w:tcPr>
            <w:tcW w:w="1369" w:type="dxa"/>
            <w:vAlign w:val="center"/>
          </w:tcPr>
          <w:p w14:paraId="2223CF85">
            <w:pPr>
              <w:jc w:val="center"/>
              <w:rPr>
                <w:rFonts w:ascii="宋体" w:hAnsi="宋体"/>
                <w:sz w:val="24"/>
                <w:szCs w:val="24"/>
              </w:rPr>
            </w:pPr>
            <w:r>
              <w:rPr>
                <w:rFonts w:hint="eastAsia" w:ascii="宋体" w:hAnsi="宋体"/>
                <w:sz w:val="24"/>
                <w:szCs w:val="24"/>
              </w:rPr>
              <w:t>从业人数</w:t>
            </w:r>
          </w:p>
        </w:tc>
        <w:tc>
          <w:tcPr>
            <w:tcW w:w="1521" w:type="dxa"/>
            <w:vAlign w:val="center"/>
          </w:tcPr>
          <w:p w14:paraId="16575B4E">
            <w:pPr>
              <w:jc w:val="center"/>
              <w:rPr>
                <w:rFonts w:ascii="宋体" w:hAnsi="宋体"/>
                <w:sz w:val="24"/>
                <w:szCs w:val="24"/>
              </w:rPr>
            </w:pPr>
          </w:p>
        </w:tc>
        <w:tc>
          <w:tcPr>
            <w:tcW w:w="789" w:type="dxa"/>
            <w:vAlign w:val="center"/>
          </w:tcPr>
          <w:p w14:paraId="10A630F4">
            <w:pPr>
              <w:jc w:val="center"/>
              <w:rPr>
                <w:rFonts w:ascii="宋体" w:hAnsi="宋体"/>
                <w:sz w:val="24"/>
                <w:szCs w:val="24"/>
              </w:rPr>
            </w:pPr>
            <w:r>
              <w:rPr>
                <w:rFonts w:hint="eastAsia" w:ascii="宋体" w:hAnsi="宋体"/>
                <w:sz w:val="24"/>
                <w:szCs w:val="24"/>
              </w:rPr>
              <w:t>5</w:t>
            </w:r>
          </w:p>
        </w:tc>
        <w:tc>
          <w:tcPr>
            <w:tcW w:w="2151" w:type="dxa"/>
            <w:vAlign w:val="center"/>
          </w:tcPr>
          <w:p w14:paraId="5E5FC556">
            <w:pPr>
              <w:jc w:val="center"/>
              <w:rPr>
                <w:rFonts w:ascii="宋体" w:hAnsi="宋体"/>
                <w:sz w:val="24"/>
                <w:szCs w:val="24"/>
              </w:rPr>
            </w:pPr>
            <w:r>
              <w:rPr>
                <w:rFonts w:hint="eastAsia" w:ascii="宋体" w:hAnsi="宋体"/>
                <w:sz w:val="24"/>
                <w:szCs w:val="24"/>
              </w:rPr>
              <w:t>法定代表人</w:t>
            </w:r>
          </w:p>
        </w:tc>
        <w:tc>
          <w:tcPr>
            <w:tcW w:w="2314" w:type="dxa"/>
            <w:vAlign w:val="center"/>
          </w:tcPr>
          <w:p w14:paraId="00147912">
            <w:pPr>
              <w:jc w:val="center"/>
              <w:rPr>
                <w:rFonts w:ascii="宋体" w:hAnsi="宋体"/>
                <w:sz w:val="24"/>
                <w:szCs w:val="24"/>
              </w:rPr>
            </w:pPr>
          </w:p>
        </w:tc>
      </w:tr>
      <w:tr w14:paraId="1230E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42" w:type="dxa"/>
            <w:vAlign w:val="center"/>
          </w:tcPr>
          <w:p w14:paraId="085EBCBC">
            <w:pPr>
              <w:jc w:val="center"/>
              <w:rPr>
                <w:rFonts w:ascii="宋体" w:hAnsi="宋体"/>
                <w:sz w:val="24"/>
                <w:szCs w:val="24"/>
              </w:rPr>
            </w:pPr>
            <w:r>
              <w:rPr>
                <w:rFonts w:hint="eastAsia" w:ascii="宋体" w:hAnsi="宋体"/>
                <w:sz w:val="24"/>
                <w:szCs w:val="24"/>
              </w:rPr>
              <w:t>6</w:t>
            </w:r>
          </w:p>
        </w:tc>
        <w:tc>
          <w:tcPr>
            <w:tcW w:w="1369" w:type="dxa"/>
            <w:vAlign w:val="center"/>
          </w:tcPr>
          <w:p w14:paraId="6BA9ED2A">
            <w:pPr>
              <w:jc w:val="center"/>
              <w:rPr>
                <w:rFonts w:ascii="宋体" w:hAnsi="宋体"/>
                <w:sz w:val="24"/>
                <w:szCs w:val="24"/>
              </w:rPr>
            </w:pPr>
            <w:r>
              <w:rPr>
                <w:rFonts w:hint="eastAsia" w:ascii="宋体" w:hAnsi="宋体"/>
                <w:sz w:val="24"/>
                <w:szCs w:val="24"/>
              </w:rPr>
              <w:t>开户银行</w:t>
            </w:r>
          </w:p>
        </w:tc>
        <w:tc>
          <w:tcPr>
            <w:tcW w:w="1521" w:type="dxa"/>
            <w:vAlign w:val="center"/>
          </w:tcPr>
          <w:p w14:paraId="4655BC2C">
            <w:pPr>
              <w:jc w:val="center"/>
              <w:rPr>
                <w:rFonts w:ascii="宋体" w:hAnsi="宋体"/>
                <w:sz w:val="24"/>
                <w:szCs w:val="24"/>
              </w:rPr>
            </w:pPr>
          </w:p>
        </w:tc>
        <w:tc>
          <w:tcPr>
            <w:tcW w:w="789" w:type="dxa"/>
            <w:vAlign w:val="center"/>
          </w:tcPr>
          <w:p w14:paraId="427E89F3">
            <w:pPr>
              <w:jc w:val="center"/>
              <w:rPr>
                <w:rFonts w:ascii="宋体" w:hAnsi="宋体"/>
                <w:sz w:val="24"/>
                <w:szCs w:val="24"/>
              </w:rPr>
            </w:pPr>
            <w:r>
              <w:rPr>
                <w:rFonts w:hint="eastAsia" w:ascii="宋体" w:hAnsi="宋体"/>
                <w:sz w:val="24"/>
                <w:szCs w:val="24"/>
              </w:rPr>
              <w:t>7</w:t>
            </w:r>
          </w:p>
        </w:tc>
        <w:tc>
          <w:tcPr>
            <w:tcW w:w="2151" w:type="dxa"/>
            <w:vAlign w:val="center"/>
          </w:tcPr>
          <w:p w14:paraId="413D016D">
            <w:pPr>
              <w:jc w:val="center"/>
              <w:rPr>
                <w:rFonts w:ascii="宋体" w:hAnsi="宋体"/>
                <w:sz w:val="24"/>
                <w:szCs w:val="24"/>
              </w:rPr>
            </w:pPr>
            <w:r>
              <w:rPr>
                <w:rFonts w:hint="eastAsia" w:ascii="宋体" w:hAnsi="宋体"/>
                <w:sz w:val="24"/>
                <w:szCs w:val="24"/>
              </w:rPr>
              <w:t>帐号</w:t>
            </w:r>
          </w:p>
        </w:tc>
        <w:tc>
          <w:tcPr>
            <w:tcW w:w="2314" w:type="dxa"/>
            <w:vAlign w:val="center"/>
          </w:tcPr>
          <w:p w14:paraId="111589A9">
            <w:pPr>
              <w:jc w:val="center"/>
              <w:rPr>
                <w:rFonts w:ascii="宋体" w:hAnsi="宋体"/>
                <w:sz w:val="24"/>
                <w:szCs w:val="24"/>
              </w:rPr>
            </w:pPr>
          </w:p>
        </w:tc>
      </w:tr>
      <w:tr w14:paraId="296EF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42" w:type="dxa"/>
            <w:tcBorders>
              <w:bottom w:val="single" w:color="000000" w:sz="4" w:space="0"/>
            </w:tcBorders>
            <w:vAlign w:val="center"/>
          </w:tcPr>
          <w:p w14:paraId="4726CD01">
            <w:pPr>
              <w:jc w:val="center"/>
              <w:rPr>
                <w:rFonts w:ascii="宋体" w:hAnsi="宋体"/>
                <w:sz w:val="24"/>
                <w:szCs w:val="24"/>
              </w:rPr>
            </w:pPr>
            <w:r>
              <w:rPr>
                <w:rFonts w:hint="eastAsia" w:ascii="宋体" w:hAnsi="宋体"/>
                <w:sz w:val="24"/>
                <w:szCs w:val="24"/>
              </w:rPr>
              <w:t>8</w:t>
            </w:r>
          </w:p>
        </w:tc>
        <w:tc>
          <w:tcPr>
            <w:tcW w:w="1369" w:type="dxa"/>
            <w:tcBorders>
              <w:bottom w:val="single" w:color="000000" w:sz="4" w:space="0"/>
            </w:tcBorders>
            <w:vAlign w:val="center"/>
          </w:tcPr>
          <w:p w14:paraId="1BD268C4">
            <w:pPr>
              <w:jc w:val="center"/>
              <w:rPr>
                <w:rFonts w:ascii="宋体" w:hAnsi="宋体"/>
                <w:sz w:val="24"/>
                <w:szCs w:val="24"/>
              </w:rPr>
            </w:pPr>
            <w:r>
              <w:rPr>
                <w:rFonts w:hint="eastAsia" w:ascii="宋体" w:hAnsi="宋体"/>
                <w:sz w:val="24"/>
                <w:szCs w:val="24"/>
              </w:rPr>
              <w:t>项目联系人</w:t>
            </w:r>
          </w:p>
        </w:tc>
        <w:tc>
          <w:tcPr>
            <w:tcW w:w="1521" w:type="dxa"/>
            <w:tcBorders>
              <w:bottom w:val="single" w:color="000000" w:sz="4" w:space="0"/>
            </w:tcBorders>
            <w:vAlign w:val="center"/>
          </w:tcPr>
          <w:p w14:paraId="08EEB4CA">
            <w:pPr>
              <w:jc w:val="center"/>
              <w:rPr>
                <w:rFonts w:ascii="宋体" w:hAnsi="宋体"/>
                <w:sz w:val="24"/>
                <w:szCs w:val="24"/>
              </w:rPr>
            </w:pPr>
          </w:p>
        </w:tc>
        <w:tc>
          <w:tcPr>
            <w:tcW w:w="789" w:type="dxa"/>
            <w:tcBorders>
              <w:bottom w:val="single" w:color="000000" w:sz="4" w:space="0"/>
            </w:tcBorders>
            <w:vAlign w:val="center"/>
          </w:tcPr>
          <w:p w14:paraId="1FD98604">
            <w:pPr>
              <w:jc w:val="center"/>
              <w:rPr>
                <w:rFonts w:ascii="宋体" w:hAnsi="宋体"/>
                <w:sz w:val="24"/>
                <w:szCs w:val="24"/>
              </w:rPr>
            </w:pPr>
            <w:r>
              <w:rPr>
                <w:rFonts w:hint="eastAsia" w:ascii="宋体" w:hAnsi="宋体"/>
                <w:sz w:val="24"/>
                <w:szCs w:val="24"/>
              </w:rPr>
              <w:t>9</w:t>
            </w:r>
          </w:p>
        </w:tc>
        <w:tc>
          <w:tcPr>
            <w:tcW w:w="2151" w:type="dxa"/>
            <w:tcBorders>
              <w:bottom w:val="single" w:color="000000" w:sz="4" w:space="0"/>
            </w:tcBorders>
            <w:vAlign w:val="center"/>
          </w:tcPr>
          <w:p w14:paraId="357568DA">
            <w:pPr>
              <w:jc w:val="center"/>
              <w:rPr>
                <w:rFonts w:ascii="宋体" w:hAnsi="宋体"/>
                <w:sz w:val="24"/>
                <w:szCs w:val="24"/>
              </w:rPr>
            </w:pPr>
            <w:r>
              <w:rPr>
                <w:rFonts w:hint="eastAsia" w:ascii="宋体" w:hAnsi="宋体"/>
                <w:sz w:val="24"/>
                <w:szCs w:val="24"/>
              </w:rPr>
              <w:t>联系电话</w:t>
            </w:r>
          </w:p>
        </w:tc>
        <w:tc>
          <w:tcPr>
            <w:tcW w:w="2314" w:type="dxa"/>
            <w:tcBorders>
              <w:bottom w:val="single" w:color="000000" w:sz="4" w:space="0"/>
            </w:tcBorders>
            <w:vAlign w:val="center"/>
          </w:tcPr>
          <w:p w14:paraId="1F6B3D38">
            <w:pPr>
              <w:jc w:val="center"/>
              <w:rPr>
                <w:rFonts w:ascii="宋体" w:hAnsi="宋体"/>
                <w:sz w:val="24"/>
                <w:szCs w:val="24"/>
              </w:rPr>
            </w:pPr>
          </w:p>
        </w:tc>
      </w:tr>
      <w:tr w14:paraId="130C0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42" w:type="dxa"/>
            <w:shd w:val="clear" w:color="auto" w:fill="D9D9D9"/>
            <w:vAlign w:val="center"/>
          </w:tcPr>
          <w:p w14:paraId="7850CAB4">
            <w:pPr>
              <w:jc w:val="center"/>
              <w:rPr>
                <w:rFonts w:ascii="宋体" w:hAnsi="宋体"/>
                <w:b/>
                <w:sz w:val="24"/>
                <w:szCs w:val="24"/>
              </w:rPr>
            </w:pPr>
            <w:r>
              <w:rPr>
                <w:rFonts w:hint="eastAsia" w:ascii="宋体" w:hAnsi="宋体"/>
                <w:b/>
                <w:sz w:val="24"/>
                <w:szCs w:val="24"/>
              </w:rPr>
              <w:t>二</w:t>
            </w:r>
          </w:p>
        </w:tc>
        <w:tc>
          <w:tcPr>
            <w:tcW w:w="8144" w:type="dxa"/>
            <w:gridSpan w:val="5"/>
            <w:shd w:val="clear" w:color="auto" w:fill="D9D9D9"/>
            <w:vAlign w:val="center"/>
          </w:tcPr>
          <w:p w14:paraId="710B4946">
            <w:pPr>
              <w:jc w:val="center"/>
              <w:rPr>
                <w:rFonts w:ascii="宋体" w:hAnsi="宋体"/>
                <w:b/>
                <w:sz w:val="24"/>
                <w:szCs w:val="24"/>
              </w:rPr>
            </w:pPr>
            <w:r>
              <w:rPr>
                <w:rFonts w:hint="eastAsia" w:ascii="宋体" w:hAnsi="宋体"/>
                <w:b/>
                <w:sz w:val="24"/>
                <w:szCs w:val="24"/>
              </w:rPr>
              <w:t>公司财务状况</w:t>
            </w:r>
          </w:p>
        </w:tc>
      </w:tr>
      <w:tr w14:paraId="2FC2F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42" w:type="dxa"/>
            <w:vAlign w:val="center"/>
          </w:tcPr>
          <w:p w14:paraId="0EFDEE35">
            <w:pPr>
              <w:jc w:val="center"/>
              <w:rPr>
                <w:rFonts w:ascii="宋体" w:hAnsi="宋体"/>
                <w:b/>
                <w:sz w:val="24"/>
                <w:szCs w:val="24"/>
              </w:rPr>
            </w:pPr>
            <w:r>
              <w:rPr>
                <w:rFonts w:hint="eastAsia" w:ascii="宋体" w:hAnsi="宋体"/>
                <w:b/>
                <w:sz w:val="24"/>
                <w:szCs w:val="24"/>
              </w:rPr>
              <w:t>（一）</w:t>
            </w:r>
          </w:p>
        </w:tc>
        <w:tc>
          <w:tcPr>
            <w:tcW w:w="8144" w:type="dxa"/>
            <w:gridSpan w:val="5"/>
            <w:vAlign w:val="center"/>
          </w:tcPr>
          <w:p w14:paraId="42232FD8">
            <w:pPr>
              <w:jc w:val="center"/>
              <w:rPr>
                <w:rFonts w:ascii="宋体" w:hAnsi="宋体"/>
                <w:b/>
                <w:sz w:val="24"/>
                <w:szCs w:val="24"/>
              </w:rPr>
            </w:pPr>
            <w:r>
              <w:rPr>
                <w:rFonts w:hint="eastAsia" w:ascii="宋体" w:hAnsi="宋体"/>
                <w:b/>
                <w:sz w:val="24"/>
                <w:szCs w:val="24"/>
              </w:rPr>
              <w:t>2024年度财务状况</w:t>
            </w:r>
          </w:p>
        </w:tc>
      </w:tr>
      <w:tr w14:paraId="790DE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142" w:type="dxa"/>
            <w:vAlign w:val="center"/>
          </w:tcPr>
          <w:p w14:paraId="328537F0">
            <w:pPr>
              <w:jc w:val="center"/>
              <w:rPr>
                <w:rFonts w:ascii="宋体" w:hAnsi="宋体"/>
                <w:sz w:val="24"/>
                <w:szCs w:val="24"/>
              </w:rPr>
            </w:pPr>
            <w:r>
              <w:rPr>
                <w:rFonts w:hint="eastAsia" w:ascii="宋体" w:hAnsi="宋体"/>
                <w:sz w:val="24"/>
                <w:szCs w:val="24"/>
              </w:rPr>
              <w:t>1</w:t>
            </w:r>
          </w:p>
        </w:tc>
        <w:tc>
          <w:tcPr>
            <w:tcW w:w="1369" w:type="dxa"/>
            <w:vAlign w:val="center"/>
          </w:tcPr>
          <w:p w14:paraId="2830F148">
            <w:pPr>
              <w:jc w:val="center"/>
              <w:rPr>
                <w:rFonts w:ascii="宋体" w:hAnsi="宋体"/>
                <w:sz w:val="24"/>
                <w:szCs w:val="24"/>
              </w:rPr>
            </w:pPr>
            <w:r>
              <w:rPr>
                <w:rFonts w:hint="eastAsia" w:ascii="宋体" w:hAnsi="宋体"/>
                <w:sz w:val="24"/>
                <w:szCs w:val="24"/>
              </w:rPr>
              <w:t>营业收入（万）：</w:t>
            </w:r>
          </w:p>
        </w:tc>
        <w:tc>
          <w:tcPr>
            <w:tcW w:w="1521" w:type="dxa"/>
            <w:vAlign w:val="center"/>
          </w:tcPr>
          <w:p w14:paraId="5FFE77E7">
            <w:pPr>
              <w:jc w:val="center"/>
              <w:rPr>
                <w:rFonts w:ascii="宋体" w:hAnsi="宋体"/>
                <w:sz w:val="24"/>
                <w:szCs w:val="24"/>
              </w:rPr>
            </w:pPr>
          </w:p>
        </w:tc>
        <w:tc>
          <w:tcPr>
            <w:tcW w:w="789" w:type="dxa"/>
            <w:vAlign w:val="center"/>
          </w:tcPr>
          <w:p w14:paraId="28770814">
            <w:pPr>
              <w:jc w:val="center"/>
              <w:rPr>
                <w:rFonts w:ascii="宋体" w:hAnsi="宋体"/>
                <w:sz w:val="24"/>
                <w:szCs w:val="24"/>
              </w:rPr>
            </w:pPr>
            <w:r>
              <w:rPr>
                <w:rFonts w:hint="eastAsia" w:ascii="宋体" w:hAnsi="宋体"/>
                <w:sz w:val="24"/>
                <w:szCs w:val="24"/>
              </w:rPr>
              <w:t>2</w:t>
            </w:r>
          </w:p>
        </w:tc>
        <w:tc>
          <w:tcPr>
            <w:tcW w:w="2151" w:type="dxa"/>
            <w:vAlign w:val="center"/>
          </w:tcPr>
          <w:p w14:paraId="48212EFD">
            <w:pPr>
              <w:jc w:val="center"/>
              <w:rPr>
                <w:rFonts w:ascii="宋体" w:hAnsi="宋体"/>
                <w:sz w:val="24"/>
                <w:szCs w:val="24"/>
              </w:rPr>
            </w:pPr>
            <w:r>
              <w:rPr>
                <w:rFonts w:hint="eastAsia" w:ascii="宋体" w:hAnsi="宋体"/>
                <w:sz w:val="24"/>
                <w:szCs w:val="24"/>
              </w:rPr>
              <w:t>利润总额（万）</w:t>
            </w:r>
          </w:p>
        </w:tc>
        <w:tc>
          <w:tcPr>
            <w:tcW w:w="2314" w:type="dxa"/>
            <w:vAlign w:val="center"/>
          </w:tcPr>
          <w:p w14:paraId="5375744C">
            <w:pPr>
              <w:jc w:val="center"/>
              <w:rPr>
                <w:rFonts w:ascii="宋体" w:hAnsi="宋体"/>
                <w:sz w:val="24"/>
                <w:szCs w:val="24"/>
              </w:rPr>
            </w:pPr>
          </w:p>
        </w:tc>
      </w:tr>
      <w:tr w14:paraId="14CC9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142" w:type="dxa"/>
            <w:vAlign w:val="center"/>
          </w:tcPr>
          <w:p w14:paraId="54A7EFAB">
            <w:pPr>
              <w:jc w:val="center"/>
              <w:rPr>
                <w:rFonts w:ascii="宋体" w:hAnsi="宋体"/>
                <w:sz w:val="24"/>
                <w:szCs w:val="24"/>
              </w:rPr>
            </w:pPr>
            <w:r>
              <w:rPr>
                <w:rFonts w:hint="eastAsia" w:ascii="宋体" w:hAnsi="宋体"/>
                <w:sz w:val="24"/>
                <w:szCs w:val="24"/>
              </w:rPr>
              <w:t>3</w:t>
            </w:r>
          </w:p>
        </w:tc>
        <w:tc>
          <w:tcPr>
            <w:tcW w:w="1369" w:type="dxa"/>
            <w:vAlign w:val="center"/>
          </w:tcPr>
          <w:p w14:paraId="5E416C1B">
            <w:pPr>
              <w:jc w:val="center"/>
              <w:rPr>
                <w:rFonts w:ascii="宋体" w:hAnsi="宋体"/>
                <w:sz w:val="24"/>
                <w:szCs w:val="24"/>
              </w:rPr>
            </w:pPr>
            <w:r>
              <w:rPr>
                <w:rFonts w:hint="eastAsia" w:ascii="宋体" w:hAnsi="宋体"/>
                <w:sz w:val="24"/>
                <w:szCs w:val="24"/>
              </w:rPr>
              <w:t>年末“固定资产合计”（万）</w:t>
            </w:r>
          </w:p>
        </w:tc>
        <w:tc>
          <w:tcPr>
            <w:tcW w:w="1521" w:type="dxa"/>
            <w:vAlign w:val="center"/>
          </w:tcPr>
          <w:p w14:paraId="5496CCC3">
            <w:pPr>
              <w:jc w:val="center"/>
              <w:rPr>
                <w:rFonts w:ascii="宋体" w:hAnsi="宋体"/>
                <w:sz w:val="24"/>
                <w:szCs w:val="24"/>
              </w:rPr>
            </w:pPr>
          </w:p>
        </w:tc>
        <w:tc>
          <w:tcPr>
            <w:tcW w:w="789" w:type="dxa"/>
            <w:vAlign w:val="center"/>
          </w:tcPr>
          <w:p w14:paraId="4B35ECB4">
            <w:pPr>
              <w:jc w:val="center"/>
              <w:rPr>
                <w:rFonts w:ascii="宋体" w:hAnsi="宋体"/>
                <w:sz w:val="24"/>
                <w:szCs w:val="24"/>
              </w:rPr>
            </w:pPr>
            <w:r>
              <w:rPr>
                <w:rFonts w:hint="eastAsia" w:ascii="宋体" w:hAnsi="宋体"/>
                <w:sz w:val="24"/>
                <w:szCs w:val="24"/>
              </w:rPr>
              <w:t>4</w:t>
            </w:r>
          </w:p>
        </w:tc>
        <w:tc>
          <w:tcPr>
            <w:tcW w:w="2151" w:type="dxa"/>
            <w:vAlign w:val="center"/>
          </w:tcPr>
          <w:p w14:paraId="1C40F274">
            <w:pPr>
              <w:jc w:val="center"/>
              <w:rPr>
                <w:rFonts w:ascii="宋体" w:hAnsi="宋体"/>
                <w:sz w:val="24"/>
                <w:szCs w:val="24"/>
              </w:rPr>
            </w:pPr>
            <w:r>
              <w:rPr>
                <w:rFonts w:hint="eastAsia" w:ascii="宋体" w:hAnsi="宋体"/>
                <w:sz w:val="24"/>
                <w:szCs w:val="24"/>
              </w:rPr>
              <w:t>年末“流动资产”余额（万）</w:t>
            </w:r>
          </w:p>
        </w:tc>
        <w:tc>
          <w:tcPr>
            <w:tcW w:w="2314" w:type="dxa"/>
            <w:vAlign w:val="center"/>
          </w:tcPr>
          <w:p w14:paraId="13D7647A">
            <w:pPr>
              <w:jc w:val="center"/>
              <w:rPr>
                <w:rFonts w:ascii="宋体" w:hAnsi="宋体"/>
                <w:sz w:val="24"/>
                <w:szCs w:val="24"/>
              </w:rPr>
            </w:pPr>
          </w:p>
        </w:tc>
      </w:tr>
      <w:tr w14:paraId="277A1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142" w:type="dxa"/>
            <w:vAlign w:val="center"/>
          </w:tcPr>
          <w:p w14:paraId="1EA68A6C">
            <w:pPr>
              <w:jc w:val="center"/>
              <w:rPr>
                <w:rFonts w:ascii="宋体" w:hAnsi="宋体"/>
                <w:sz w:val="24"/>
                <w:szCs w:val="24"/>
              </w:rPr>
            </w:pPr>
            <w:r>
              <w:rPr>
                <w:rFonts w:hint="eastAsia" w:ascii="宋体" w:hAnsi="宋体"/>
                <w:sz w:val="24"/>
                <w:szCs w:val="24"/>
              </w:rPr>
              <w:t>5</w:t>
            </w:r>
          </w:p>
        </w:tc>
        <w:tc>
          <w:tcPr>
            <w:tcW w:w="1369" w:type="dxa"/>
            <w:vAlign w:val="center"/>
          </w:tcPr>
          <w:p w14:paraId="75C50B8A">
            <w:pPr>
              <w:jc w:val="center"/>
              <w:rPr>
                <w:rFonts w:ascii="宋体" w:hAnsi="宋体"/>
                <w:sz w:val="24"/>
                <w:szCs w:val="24"/>
              </w:rPr>
            </w:pPr>
            <w:r>
              <w:rPr>
                <w:rFonts w:hint="eastAsia" w:ascii="宋体" w:hAnsi="宋体"/>
                <w:sz w:val="24"/>
                <w:szCs w:val="24"/>
              </w:rPr>
              <w:t>年末“短期负债”余额（万）</w:t>
            </w:r>
          </w:p>
        </w:tc>
        <w:tc>
          <w:tcPr>
            <w:tcW w:w="1521" w:type="dxa"/>
            <w:vAlign w:val="center"/>
          </w:tcPr>
          <w:p w14:paraId="1DA4DAB2">
            <w:pPr>
              <w:jc w:val="center"/>
              <w:rPr>
                <w:rFonts w:ascii="宋体" w:hAnsi="宋体"/>
                <w:sz w:val="24"/>
                <w:szCs w:val="24"/>
              </w:rPr>
            </w:pPr>
          </w:p>
        </w:tc>
        <w:tc>
          <w:tcPr>
            <w:tcW w:w="789" w:type="dxa"/>
            <w:vAlign w:val="center"/>
          </w:tcPr>
          <w:p w14:paraId="33679F83">
            <w:pPr>
              <w:jc w:val="center"/>
              <w:rPr>
                <w:rFonts w:ascii="宋体" w:hAnsi="宋体"/>
                <w:sz w:val="24"/>
                <w:szCs w:val="24"/>
              </w:rPr>
            </w:pPr>
            <w:r>
              <w:rPr>
                <w:rFonts w:hint="eastAsia" w:ascii="宋体" w:hAnsi="宋体"/>
                <w:sz w:val="24"/>
                <w:szCs w:val="24"/>
              </w:rPr>
              <w:t>6</w:t>
            </w:r>
          </w:p>
        </w:tc>
        <w:tc>
          <w:tcPr>
            <w:tcW w:w="2151" w:type="dxa"/>
            <w:vAlign w:val="center"/>
          </w:tcPr>
          <w:p w14:paraId="78E589B7">
            <w:pPr>
              <w:jc w:val="center"/>
              <w:rPr>
                <w:rFonts w:ascii="宋体" w:hAnsi="宋体"/>
                <w:sz w:val="24"/>
                <w:szCs w:val="24"/>
              </w:rPr>
            </w:pPr>
            <w:r>
              <w:rPr>
                <w:rFonts w:hint="eastAsia" w:ascii="宋体" w:hAnsi="宋体"/>
                <w:sz w:val="24"/>
                <w:szCs w:val="24"/>
              </w:rPr>
              <w:t>年末“长期负债”余额（万）</w:t>
            </w:r>
          </w:p>
        </w:tc>
        <w:tc>
          <w:tcPr>
            <w:tcW w:w="2314" w:type="dxa"/>
            <w:vAlign w:val="center"/>
          </w:tcPr>
          <w:p w14:paraId="5AC455F3">
            <w:pPr>
              <w:jc w:val="center"/>
              <w:rPr>
                <w:rFonts w:ascii="宋体" w:hAnsi="宋体"/>
                <w:sz w:val="24"/>
                <w:szCs w:val="24"/>
              </w:rPr>
            </w:pPr>
          </w:p>
        </w:tc>
      </w:tr>
      <w:tr w14:paraId="596BB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42" w:type="dxa"/>
            <w:vAlign w:val="center"/>
          </w:tcPr>
          <w:p w14:paraId="3CA32699">
            <w:pPr>
              <w:jc w:val="center"/>
              <w:rPr>
                <w:rFonts w:ascii="宋体" w:hAnsi="宋体"/>
                <w:sz w:val="24"/>
                <w:szCs w:val="24"/>
              </w:rPr>
            </w:pPr>
            <w:r>
              <w:rPr>
                <w:rFonts w:hint="eastAsia" w:ascii="宋体" w:hAnsi="宋体"/>
                <w:sz w:val="24"/>
                <w:szCs w:val="24"/>
              </w:rPr>
              <w:t>7</w:t>
            </w:r>
          </w:p>
        </w:tc>
        <w:tc>
          <w:tcPr>
            <w:tcW w:w="1369" w:type="dxa"/>
            <w:vAlign w:val="center"/>
          </w:tcPr>
          <w:p w14:paraId="3FDE5C2F">
            <w:pPr>
              <w:jc w:val="center"/>
              <w:rPr>
                <w:rFonts w:ascii="宋体" w:hAnsi="宋体"/>
                <w:sz w:val="24"/>
                <w:szCs w:val="24"/>
              </w:rPr>
            </w:pPr>
            <w:r>
              <w:rPr>
                <w:rFonts w:hint="eastAsia" w:ascii="宋体" w:hAnsi="宋体"/>
                <w:sz w:val="24"/>
                <w:szCs w:val="24"/>
              </w:rPr>
              <w:t>年末“资产总计”余额（万）</w:t>
            </w:r>
          </w:p>
        </w:tc>
        <w:tc>
          <w:tcPr>
            <w:tcW w:w="1521" w:type="dxa"/>
            <w:vAlign w:val="center"/>
          </w:tcPr>
          <w:p w14:paraId="48E23D02">
            <w:pPr>
              <w:jc w:val="center"/>
              <w:rPr>
                <w:rFonts w:ascii="宋体" w:hAnsi="宋体"/>
                <w:sz w:val="24"/>
                <w:szCs w:val="24"/>
              </w:rPr>
            </w:pPr>
          </w:p>
        </w:tc>
        <w:tc>
          <w:tcPr>
            <w:tcW w:w="789" w:type="dxa"/>
            <w:vAlign w:val="center"/>
          </w:tcPr>
          <w:p w14:paraId="1D92C298">
            <w:pPr>
              <w:jc w:val="center"/>
              <w:rPr>
                <w:rFonts w:ascii="宋体" w:hAnsi="宋体"/>
                <w:sz w:val="24"/>
                <w:szCs w:val="24"/>
              </w:rPr>
            </w:pPr>
            <w:r>
              <w:rPr>
                <w:rFonts w:hint="eastAsia" w:ascii="宋体" w:hAnsi="宋体"/>
                <w:sz w:val="24"/>
                <w:szCs w:val="24"/>
              </w:rPr>
              <w:t>8</w:t>
            </w:r>
          </w:p>
        </w:tc>
        <w:tc>
          <w:tcPr>
            <w:tcW w:w="2151" w:type="dxa"/>
            <w:vAlign w:val="center"/>
          </w:tcPr>
          <w:p w14:paraId="1DE66DBD">
            <w:pPr>
              <w:jc w:val="center"/>
              <w:rPr>
                <w:rFonts w:ascii="宋体" w:hAnsi="宋体"/>
                <w:sz w:val="24"/>
                <w:szCs w:val="24"/>
              </w:rPr>
            </w:pPr>
            <w:r>
              <w:rPr>
                <w:rFonts w:hint="eastAsia" w:ascii="宋体" w:hAnsi="宋体"/>
                <w:sz w:val="24"/>
                <w:szCs w:val="24"/>
              </w:rPr>
              <w:t>年末“货币资金”余额（万）</w:t>
            </w:r>
          </w:p>
        </w:tc>
        <w:tc>
          <w:tcPr>
            <w:tcW w:w="2314" w:type="dxa"/>
            <w:vAlign w:val="center"/>
          </w:tcPr>
          <w:p w14:paraId="1C4E49B8">
            <w:pPr>
              <w:jc w:val="center"/>
              <w:rPr>
                <w:rFonts w:ascii="宋体" w:hAnsi="宋体"/>
                <w:sz w:val="24"/>
                <w:szCs w:val="24"/>
              </w:rPr>
            </w:pPr>
          </w:p>
        </w:tc>
      </w:tr>
      <w:tr w14:paraId="61A24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142" w:type="dxa"/>
            <w:shd w:val="clear" w:color="auto" w:fill="BFBFBF"/>
            <w:vAlign w:val="center"/>
          </w:tcPr>
          <w:p w14:paraId="2C467ACF">
            <w:pPr>
              <w:jc w:val="center"/>
              <w:rPr>
                <w:rFonts w:ascii="宋体" w:hAnsi="宋体"/>
                <w:b/>
                <w:sz w:val="24"/>
                <w:szCs w:val="24"/>
              </w:rPr>
            </w:pPr>
            <w:r>
              <w:rPr>
                <w:rFonts w:hint="eastAsia" w:ascii="宋体" w:hAnsi="宋体"/>
                <w:b/>
                <w:sz w:val="24"/>
                <w:szCs w:val="24"/>
              </w:rPr>
              <w:t>三</w:t>
            </w:r>
          </w:p>
        </w:tc>
        <w:tc>
          <w:tcPr>
            <w:tcW w:w="8144" w:type="dxa"/>
            <w:gridSpan w:val="5"/>
            <w:shd w:val="clear" w:color="auto" w:fill="BFBFBF"/>
            <w:vAlign w:val="center"/>
          </w:tcPr>
          <w:p w14:paraId="397DBA60">
            <w:pPr>
              <w:jc w:val="center"/>
              <w:rPr>
                <w:rFonts w:ascii="宋体" w:hAnsi="宋体"/>
                <w:b/>
                <w:sz w:val="24"/>
                <w:szCs w:val="24"/>
              </w:rPr>
            </w:pPr>
            <w:r>
              <w:rPr>
                <w:rFonts w:hint="eastAsia" w:ascii="宋体" w:hAnsi="宋体"/>
                <w:b/>
                <w:sz w:val="24"/>
                <w:szCs w:val="24"/>
              </w:rPr>
              <w:t>提供本项目服务所必须的专业技术能力</w:t>
            </w:r>
          </w:p>
        </w:tc>
      </w:tr>
      <w:tr w14:paraId="0B1CA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286" w:type="dxa"/>
            <w:gridSpan w:val="6"/>
            <w:shd w:val="clear" w:color="auto" w:fill="FFFFFF"/>
            <w:vAlign w:val="center"/>
          </w:tcPr>
          <w:p w14:paraId="49AB290C">
            <w:pPr>
              <w:jc w:val="center"/>
              <w:rPr>
                <w:rFonts w:ascii="宋体" w:hAnsi="宋体"/>
                <w:b/>
                <w:sz w:val="24"/>
                <w:szCs w:val="24"/>
              </w:rPr>
            </w:pPr>
          </w:p>
        </w:tc>
      </w:tr>
    </w:tbl>
    <w:p w14:paraId="029518F6">
      <w:pPr>
        <w:rPr>
          <w:rFonts w:ascii="宋体" w:hAnsi="宋体"/>
          <w:vanish/>
        </w:rPr>
      </w:pPr>
    </w:p>
    <w:p w14:paraId="7EEB46EA">
      <w:pPr>
        <w:spacing w:line="360" w:lineRule="auto"/>
        <w:ind w:left="360" w:hanging="360"/>
        <w:rPr>
          <w:rFonts w:ascii="宋体" w:hAnsi="宋体"/>
          <w:sz w:val="24"/>
          <w:szCs w:val="24"/>
          <w:u w:val="single"/>
        </w:rPr>
      </w:pPr>
      <w:r>
        <w:rPr>
          <w:rFonts w:hint="eastAsia" w:ascii="宋体" w:hAnsi="宋体"/>
          <w:sz w:val="24"/>
          <w:szCs w:val="24"/>
        </w:rPr>
        <w:t>注：1、</w:t>
      </w:r>
      <w:r>
        <w:rPr>
          <w:rFonts w:hint="eastAsia" w:ascii="宋体" w:hAnsi="宋体"/>
          <w:sz w:val="24"/>
          <w:szCs w:val="24"/>
          <w:u w:val="single"/>
        </w:rPr>
        <w:t>如行数不够请自行添加。</w:t>
      </w:r>
    </w:p>
    <w:p w14:paraId="7A1ADF4E">
      <w:pPr>
        <w:spacing w:before="240" w:line="360" w:lineRule="auto"/>
        <w:rPr>
          <w:rFonts w:ascii="宋体" w:hAnsi="宋体"/>
          <w:sz w:val="24"/>
          <w:szCs w:val="24"/>
        </w:rPr>
      </w:pPr>
    </w:p>
    <w:p w14:paraId="700CCC76">
      <w:pPr>
        <w:spacing w:before="240" w:line="360" w:lineRule="auto"/>
        <w:rPr>
          <w:rFonts w:ascii="宋体" w:hAnsi="宋体"/>
          <w:sz w:val="28"/>
          <w:szCs w:val="24"/>
        </w:rPr>
      </w:pPr>
      <w:r>
        <w:rPr>
          <w:rFonts w:hint="eastAsia" w:ascii="宋体" w:hAnsi="宋体"/>
          <w:sz w:val="28"/>
          <w:szCs w:val="24"/>
        </w:rPr>
        <w:t xml:space="preserve">                   </w:t>
      </w:r>
    </w:p>
    <w:p w14:paraId="4A30A292">
      <w:pPr>
        <w:spacing w:before="260" w:after="260" w:line="360" w:lineRule="auto"/>
        <w:jc w:val="center"/>
        <w:outlineLvl w:val="1"/>
        <w:rPr>
          <w:rFonts w:ascii="宋体" w:hAnsi="宋体"/>
          <w:b/>
          <w:sz w:val="36"/>
          <w:szCs w:val="36"/>
        </w:rPr>
      </w:pPr>
      <w:r>
        <w:rPr>
          <w:rFonts w:hint="eastAsia" w:ascii="宋体" w:hAnsi="宋体"/>
          <w:b/>
          <w:sz w:val="36"/>
          <w:szCs w:val="36"/>
        </w:rPr>
        <w:t>五、类似业绩</w:t>
      </w:r>
    </w:p>
    <w:p w14:paraId="36D1A6F7">
      <w:pPr>
        <w:spacing w:line="360" w:lineRule="auto"/>
        <w:jc w:val="center"/>
        <w:rPr>
          <w:rFonts w:ascii="宋体" w:hAnsi="宋体"/>
          <w:b/>
          <w:bCs/>
          <w:sz w:val="30"/>
          <w:szCs w:val="30"/>
        </w:rPr>
      </w:pPr>
    </w:p>
    <w:p w14:paraId="67F33DA0">
      <w:pPr>
        <w:spacing w:line="360" w:lineRule="auto"/>
        <w:rPr>
          <w:rFonts w:ascii="宋体" w:hAnsi="宋体"/>
          <w:b/>
          <w:bCs/>
          <w:sz w:val="36"/>
          <w:szCs w:val="36"/>
        </w:rPr>
      </w:pPr>
    </w:p>
    <w:p w14:paraId="25A4CD6E">
      <w:pPr>
        <w:spacing w:line="360" w:lineRule="auto"/>
        <w:rPr>
          <w:rFonts w:ascii="宋体" w:hAnsi="宋体"/>
          <w:b/>
          <w:bCs/>
          <w:sz w:val="36"/>
          <w:szCs w:val="36"/>
        </w:rPr>
      </w:pPr>
    </w:p>
    <w:p w14:paraId="6C6AE9E1">
      <w:pPr>
        <w:spacing w:line="360" w:lineRule="auto"/>
        <w:rPr>
          <w:rFonts w:ascii="宋体" w:hAnsi="宋体"/>
          <w:b/>
          <w:bCs/>
          <w:sz w:val="36"/>
          <w:szCs w:val="36"/>
        </w:rPr>
      </w:pPr>
    </w:p>
    <w:p w14:paraId="76B29B14">
      <w:pPr>
        <w:spacing w:line="360" w:lineRule="auto"/>
        <w:rPr>
          <w:rFonts w:ascii="宋体" w:hAnsi="宋体"/>
          <w:b/>
          <w:bCs/>
          <w:sz w:val="36"/>
          <w:szCs w:val="36"/>
        </w:rPr>
      </w:pPr>
    </w:p>
    <w:p w14:paraId="524F4BD3">
      <w:pPr>
        <w:keepNext/>
        <w:keepLines/>
        <w:spacing w:before="260" w:after="260" w:line="360" w:lineRule="auto"/>
        <w:jc w:val="center"/>
        <w:outlineLvl w:val="1"/>
        <w:rPr>
          <w:rFonts w:ascii="宋体" w:hAnsi="宋体"/>
          <w:b/>
          <w:sz w:val="36"/>
          <w:szCs w:val="36"/>
        </w:rPr>
      </w:pPr>
      <w:r>
        <w:rPr>
          <w:rFonts w:hint="eastAsia" w:ascii="宋体" w:hAnsi="宋体"/>
          <w:b/>
          <w:sz w:val="36"/>
          <w:szCs w:val="36"/>
        </w:rPr>
        <w:t>六、体系认证（如有）</w:t>
      </w:r>
    </w:p>
    <w:p w14:paraId="518F6990">
      <w:pPr>
        <w:spacing w:line="360" w:lineRule="auto"/>
        <w:rPr>
          <w:rFonts w:ascii="宋体" w:hAnsi="宋体"/>
          <w:b/>
          <w:bCs/>
          <w:sz w:val="36"/>
          <w:szCs w:val="36"/>
        </w:rPr>
      </w:pPr>
    </w:p>
    <w:p w14:paraId="25153CBB">
      <w:pPr>
        <w:spacing w:line="360" w:lineRule="auto"/>
        <w:rPr>
          <w:rFonts w:ascii="宋体" w:hAnsi="宋体"/>
          <w:b/>
          <w:bCs/>
          <w:sz w:val="36"/>
          <w:szCs w:val="36"/>
        </w:rPr>
      </w:pPr>
    </w:p>
    <w:p w14:paraId="467FCEDD">
      <w:pPr>
        <w:spacing w:line="360" w:lineRule="auto"/>
        <w:rPr>
          <w:rFonts w:ascii="宋体" w:hAnsi="宋体"/>
          <w:b/>
          <w:bCs/>
          <w:sz w:val="36"/>
          <w:szCs w:val="36"/>
        </w:rPr>
      </w:pPr>
    </w:p>
    <w:p w14:paraId="22AE7199">
      <w:pPr>
        <w:spacing w:line="360" w:lineRule="auto"/>
        <w:rPr>
          <w:rFonts w:ascii="宋体" w:hAnsi="宋体"/>
          <w:b/>
          <w:bCs/>
          <w:sz w:val="36"/>
          <w:szCs w:val="36"/>
        </w:rPr>
      </w:pPr>
    </w:p>
    <w:p w14:paraId="7686902B">
      <w:pPr>
        <w:keepNext/>
        <w:keepLines/>
        <w:spacing w:before="260" w:after="260" w:line="360" w:lineRule="auto"/>
        <w:jc w:val="center"/>
        <w:outlineLvl w:val="1"/>
        <w:rPr>
          <w:rFonts w:ascii="宋体" w:hAnsi="宋体"/>
          <w:b/>
          <w:sz w:val="36"/>
          <w:szCs w:val="36"/>
        </w:rPr>
      </w:pPr>
      <w:r>
        <w:rPr>
          <w:rFonts w:hint="eastAsia" w:ascii="宋体" w:hAnsi="宋体"/>
          <w:b/>
          <w:sz w:val="36"/>
          <w:szCs w:val="36"/>
        </w:rPr>
        <w:t>七、履约能力</w:t>
      </w:r>
    </w:p>
    <w:p w14:paraId="51CA73DE">
      <w:pPr>
        <w:spacing w:line="360" w:lineRule="auto"/>
        <w:rPr>
          <w:rFonts w:ascii="宋体" w:hAnsi="宋体"/>
          <w:b/>
          <w:bCs/>
          <w:sz w:val="24"/>
          <w:szCs w:val="24"/>
          <w:u w:val="single"/>
        </w:rPr>
      </w:pPr>
      <w:r>
        <w:rPr>
          <w:rFonts w:hint="eastAsia" w:ascii="宋体" w:hAnsi="宋体"/>
          <w:bCs/>
          <w:sz w:val="24"/>
          <w:szCs w:val="24"/>
        </w:rPr>
        <w:t xml:space="preserve">               </w:t>
      </w:r>
    </w:p>
    <w:p w14:paraId="6931EE1E">
      <w:pPr>
        <w:spacing w:line="360" w:lineRule="auto"/>
        <w:rPr>
          <w:rFonts w:ascii="宋体" w:hAnsi="宋体"/>
          <w:b/>
          <w:bCs/>
          <w:sz w:val="36"/>
          <w:szCs w:val="36"/>
        </w:rPr>
      </w:pPr>
    </w:p>
    <w:p w14:paraId="79643881">
      <w:pPr>
        <w:spacing w:line="360" w:lineRule="auto"/>
        <w:rPr>
          <w:rFonts w:ascii="宋体" w:hAnsi="宋体"/>
          <w:b/>
          <w:bCs/>
          <w:sz w:val="36"/>
          <w:szCs w:val="36"/>
        </w:rPr>
      </w:pPr>
    </w:p>
    <w:p w14:paraId="75F6F16B">
      <w:pPr>
        <w:spacing w:line="360" w:lineRule="auto"/>
        <w:rPr>
          <w:rFonts w:ascii="宋体" w:hAnsi="宋体"/>
          <w:b/>
          <w:bCs/>
          <w:sz w:val="36"/>
          <w:szCs w:val="36"/>
        </w:rPr>
      </w:pPr>
    </w:p>
    <w:p w14:paraId="4C87498D">
      <w:pPr>
        <w:rPr>
          <w:rFonts w:ascii="宋体" w:hAnsi="宋体"/>
          <w:szCs w:val="24"/>
        </w:rPr>
      </w:pPr>
    </w:p>
    <w:p w14:paraId="53661CEA">
      <w:pPr>
        <w:spacing w:before="19" w:line="360" w:lineRule="auto"/>
        <w:ind w:firstLine="562"/>
        <w:jc w:val="center"/>
        <w:rPr>
          <w:rFonts w:ascii="宋体" w:hAnsi="宋体"/>
          <w:b/>
          <w:bCs/>
          <w:sz w:val="28"/>
          <w:szCs w:val="28"/>
        </w:rPr>
      </w:pPr>
    </w:p>
    <w:p w14:paraId="030EA231">
      <w:pPr>
        <w:spacing w:before="19" w:line="360" w:lineRule="auto"/>
        <w:ind w:firstLine="562"/>
        <w:jc w:val="center"/>
        <w:rPr>
          <w:rFonts w:ascii="宋体" w:hAnsi="宋体"/>
          <w:b/>
          <w:bCs/>
          <w:sz w:val="36"/>
          <w:szCs w:val="36"/>
        </w:rPr>
      </w:pPr>
      <w:r>
        <w:rPr>
          <w:rFonts w:ascii="宋体" w:hAnsi="宋体"/>
          <w:b/>
          <w:bCs/>
          <w:sz w:val="28"/>
          <w:szCs w:val="28"/>
        </w:rPr>
        <w:br w:type="page"/>
      </w:r>
      <w:r>
        <w:rPr>
          <w:rFonts w:hint="eastAsia" w:ascii="宋体" w:hAnsi="宋体"/>
          <w:b/>
          <w:bCs/>
          <w:sz w:val="36"/>
          <w:szCs w:val="36"/>
        </w:rPr>
        <w:t>八、技术参数响应及偏离表</w:t>
      </w:r>
    </w:p>
    <w:p w14:paraId="4AEB3AC0">
      <w:pPr>
        <w:jc w:val="center"/>
        <w:rPr>
          <w:rFonts w:ascii="宋体" w:hAnsi="宋体"/>
          <w:b/>
          <w:bCs/>
          <w:sz w:val="36"/>
          <w:szCs w:val="36"/>
        </w:rPr>
      </w:pPr>
    </w:p>
    <w:tbl>
      <w:tblPr>
        <w:tblStyle w:val="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1280"/>
        <w:gridCol w:w="808"/>
        <w:gridCol w:w="1904"/>
        <w:gridCol w:w="1923"/>
        <w:gridCol w:w="1018"/>
        <w:gridCol w:w="828"/>
      </w:tblGrid>
      <w:tr w14:paraId="74A20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62C60239">
            <w:pPr>
              <w:spacing w:line="360" w:lineRule="auto"/>
              <w:jc w:val="center"/>
              <w:rPr>
                <w:rFonts w:ascii="宋体" w:hAnsi="宋体"/>
                <w:sz w:val="24"/>
                <w:szCs w:val="24"/>
              </w:rPr>
            </w:pPr>
            <w:r>
              <w:rPr>
                <w:rFonts w:hint="eastAsia" w:ascii="宋体" w:hAnsi="宋体"/>
                <w:sz w:val="24"/>
                <w:szCs w:val="24"/>
              </w:rPr>
              <w:t>序号</w:t>
            </w:r>
          </w:p>
        </w:tc>
        <w:tc>
          <w:tcPr>
            <w:tcW w:w="1409" w:type="dxa"/>
            <w:vAlign w:val="center"/>
          </w:tcPr>
          <w:p w14:paraId="604AD541">
            <w:pPr>
              <w:spacing w:line="360" w:lineRule="auto"/>
              <w:jc w:val="center"/>
              <w:rPr>
                <w:rFonts w:ascii="宋体" w:hAnsi="宋体"/>
                <w:sz w:val="24"/>
                <w:szCs w:val="24"/>
              </w:rPr>
            </w:pPr>
            <w:r>
              <w:rPr>
                <w:rFonts w:hint="eastAsia" w:ascii="宋体" w:hAnsi="宋体"/>
                <w:sz w:val="24"/>
                <w:szCs w:val="24"/>
              </w:rPr>
              <w:t>产品或服务名称</w:t>
            </w:r>
          </w:p>
        </w:tc>
        <w:tc>
          <w:tcPr>
            <w:tcW w:w="863" w:type="dxa"/>
            <w:vAlign w:val="center"/>
          </w:tcPr>
          <w:p w14:paraId="18284B1B">
            <w:pPr>
              <w:spacing w:line="360" w:lineRule="auto"/>
              <w:jc w:val="center"/>
              <w:rPr>
                <w:rFonts w:ascii="宋体" w:hAnsi="宋体"/>
                <w:sz w:val="24"/>
                <w:szCs w:val="24"/>
              </w:rPr>
            </w:pPr>
            <w:r>
              <w:rPr>
                <w:rFonts w:hint="eastAsia" w:ascii="宋体" w:hAnsi="宋体"/>
                <w:sz w:val="24"/>
                <w:szCs w:val="24"/>
              </w:rPr>
              <w:t>规格</w:t>
            </w:r>
          </w:p>
        </w:tc>
        <w:tc>
          <w:tcPr>
            <w:tcW w:w="2130" w:type="dxa"/>
            <w:vAlign w:val="center"/>
          </w:tcPr>
          <w:p w14:paraId="0639FBAA">
            <w:pPr>
              <w:spacing w:line="360" w:lineRule="auto"/>
              <w:jc w:val="center"/>
              <w:rPr>
                <w:rFonts w:ascii="宋体" w:hAnsi="宋体"/>
                <w:sz w:val="24"/>
                <w:szCs w:val="24"/>
              </w:rPr>
            </w:pPr>
            <w:r>
              <w:rPr>
                <w:rFonts w:hint="eastAsia" w:ascii="宋体" w:hAnsi="宋体"/>
                <w:sz w:val="24"/>
                <w:szCs w:val="24"/>
              </w:rPr>
              <w:t>招标文件要求参数</w:t>
            </w:r>
          </w:p>
        </w:tc>
        <w:tc>
          <w:tcPr>
            <w:tcW w:w="2114" w:type="dxa"/>
            <w:vAlign w:val="center"/>
          </w:tcPr>
          <w:p w14:paraId="35B52DD9">
            <w:pPr>
              <w:spacing w:line="360" w:lineRule="auto"/>
              <w:jc w:val="center"/>
              <w:rPr>
                <w:rFonts w:ascii="宋体" w:hAnsi="宋体"/>
                <w:sz w:val="24"/>
                <w:szCs w:val="24"/>
              </w:rPr>
            </w:pPr>
            <w:r>
              <w:rPr>
                <w:rFonts w:hint="eastAsia" w:ascii="宋体" w:hAnsi="宋体"/>
                <w:sz w:val="24"/>
                <w:szCs w:val="24"/>
              </w:rPr>
              <w:t>响应产品或服务实际参数（与招标文件要求一一对应）</w:t>
            </w:r>
          </w:p>
        </w:tc>
        <w:tc>
          <w:tcPr>
            <w:tcW w:w="1068" w:type="dxa"/>
            <w:vAlign w:val="center"/>
          </w:tcPr>
          <w:p w14:paraId="48B4F1CE">
            <w:pPr>
              <w:rPr>
                <w:rFonts w:ascii="宋体" w:hAnsi="宋体"/>
                <w:sz w:val="24"/>
                <w:szCs w:val="24"/>
              </w:rPr>
            </w:pPr>
            <w:r>
              <w:rPr>
                <w:rFonts w:hint="eastAsia" w:ascii="宋体" w:hAnsi="宋体"/>
                <w:sz w:val="24"/>
                <w:szCs w:val="24"/>
              </w:rPr>
              <w:t>超出、符合或偏离</w:t>
            </w:r>
          </w:p>
        </w:tc>
        <w:tc>
          <w:tcPr>
            <w:tcW w:w="886" w:type="dxa"/>
            <w:vAlign w:val="center"/>
          </w:tcPr>
          <w:p w14:paraId="20224AE0">
            <w:pPr>
              <w:spacing w:line="360" w:lineRule="auto"/>
              <w:jc w:val="center"/>
              <w:rPr>
                <w:rFonts w:ascii="宋体" w:hAnsi="宋体"/>
                <w:sz w:val="24"/>
                <w:szCs w:val="24"/>
              </w:rPr>
            </w:pPr>
            <w:r>
              <w:rPr>
                <w:rFonts w:hint="eastAsia" w:ascii="宋体" w:hAnsi="宋体"/>
                <w:sz w:val="24"/>
                <w:szCs w:val="24"/>
              </w:rPr>
              <w:t>原因</w:t>
            </w:r>
          </w:p>
        </w:tc>
      </w:tr>
      <w:tr w14:paraId="6F34E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2CCEFB43">
            <w:pPr>
              <w:spacing w:line="360" w:lineRule="auto"/>
              <w:rPr>
                <w:rFonts w:ascii="宋体" w:hAnsi="宋体"/>
                <w:b/>
                <w:sz w:val="24"/>
                <w:szCs w:val="24"/>
              </w:rPr>
            </w:pPr>
          </w:p>
        </w:tc>
        <w:tc>
          <w:tcPr>
            <w:tcW w:w="1409" w:type="dxa"/>
          </w:tcPr>
          <w:p w14:paraId="5E7AC5F0">
            <w:pPr>
              <w:spacing w:line="360" w:lineRule="auto"/>
              <w:rPr>
                <w:rFonts w:ascii="宋体" w:hAnsi="宋体"/>
                <w:b/>
                <w:sz w:val="24"/>
                <w:szCs w:val="24"/>
              </w:rPr>
            </w:pPr>
          </w:p>
        </w:tc>
        <w:tc>
          <w:tcPr>
            <w:tcW w:w="863" w:type="dxa"/>
          </w:tcPr>
          <w:p w14:paraId="655B1B04">
            <w:pPr>
              <w:spacing w:line="360" w:lineRule="auto"/>
              <w:rPr>
                <w:rFonts w:ascii="宋体" w:hAnsi="宋体"/>
                <w:b/>
                <w:sz w:val="24"/>
                <w:szCs w:val="24"/>
              </w:rPr>
            </w:pPr>
          </w:p>
        </w:tc>
        <w:tc>
          <w:tcPr>
            <w:tcW w:w="2130" w:type="dxa"/>
          </w:tcPr>
          <w:p w14:paraId="174B6719">
            <w:pPr>
              <w:spacing w:line="360" w:lineRule="auto"/>
              <w:rPr>
                <w:rFonts w:ascii="宋体" w:hAnsi="宋体"/>
                <w:b/>
                <w:sz w:val="24"/>
                <w:szCs w:val="24"/>
              </w:rPr>
            </w:pPr>
          </w:p>
        </w:tc>
        <w:tc>
          <w:tcPr>
            <w:tcW w:w="2114" w:type="dxa"/>
          </w:tcPr>
          <w:p w14:paraId="0B8D1803">
            <w:pPr>
              <w:spacing w:line="360" w:lineRule="auto"/>
              <w:rPr>
                <w:rFonts w:ascii="宋体" w:hAnsi="宋体"/>
                <w:b/>
                <w:sz w:val="24"/>
                <w:szCs w:val="24"/>
              </w:rPr>
            </w:pPr>
          </w:p>
        </w:tc>
        <w:tc>
          <w:tcPr>
            <w:tcW w:w="1068" w:type="dxa"/>
          </w:tcPr>
          <w:p w14:paraId="4A0DDFD9">
            <w:pPr>
              <w:spacing w:line="360" w:lineRule="auto"/>
              <w:rPr>
                <w:rFonts w:ascii="宋体" w:hAnsi="宋体"/>
                <w:b/>
                <w:sz w:val="24"/>
                <w:szCs w:val="24"/>
              </w:rPr>
            </w:pPr>
          </w:p>
        </w:tc>
        <w:tc>
          <w:tcPr>
            <w:tcW w:w="886" w:type="dxa"/>
          </w:tcPr>
          <w:p w14:paraId="7BA43F03">
            <w:pPr>
              <w:spacing w:line="360" w:lineRule="auto"/>
              <w:rPr>
                <w:rFonts w:ascii="宋体" w:hAnsi="宋体"/>
                <w:b/>
                <w:sz w:val="24"/>
                <w:szCs w:val="24"/>
              </w:rPr>
            </w:pPr>
          </w:p>
        </w:tc>
      </w:tr>
      <w:tr w14:paraId="40D4E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3925150F">
            <w:pPr>
              <w:spacing w:line="360" w:lineRule="auto"/>
              <w:rPr>
                <w:rFonts w:ascii="宋体" w:hAnsi="宋体"/>
                <w:b/>
                <w:sz w:val="24"/>
                <w:szCs w:val="24"/>
              </w:rPr>
            </w:pPr>
          </w:p>
        </w:tc>
        <w:tc>
          <w:tcPr>
            <w:tcW w:w="1409" w:type="dxa"/>
          </w:tcPr>
          <w:p w14:paraId="266DCD19">
            <w:pPr>
              <w:spacing w:line="360" w:lineRule="auto"/>
              <w:rPr>
                <w:rFonts w:ascii="宋体" w:hAnsi="宋体"/>
                <w:b/>
                <w:sz w:val="24"/>
                <w:szCs w:val="24"/>
              </w:rPr>
            </w:pPr>
          </w:p>
        </w:tc>
        <w:tc>
          <w:tcPr>
            <w:tcW w:w="863" w:type="dxa"/>
          </w:tcPr>
          <w:p w14:paraId="20C3520B">
            <w:pPr>
              <w:spacing w:line="360" w:lineRule="auto"/>
              <w:rPr>
                <w:rFonts w:ascii="宋体" w:hAnsi="宋体"/>
                <w:b/>
                <w:sz w:val="24"/>
                <w:szCs w:val="24"/>
              </w:rPr>
            </w:pPr>
          </w:p>
        </w:tc>
        <w:tc>
          <w:tcPr>
            <w:tcW w:w="2130" w:type="dxa"/>
          </w:tcPr>
          <w:p w14:paraId="3D451ECC">
            <w:pPr>
              <w:spacing w:line="360" w:lineRule="auto"/>
              <w:rPr>
                <w:rFonts w:ascii="宋体" w:hAnsi="宋体"/>
                <w:b/>
                <w:sz w:val="24"/>
                <w:szCs w:val="24"/>
              </w:rPr>
            </w:pPr>
          </w:p>
        </w:tc>
        <w:tc>
          <w:tcPr>
            <w:tcW w:w="2114" w:type="dxa"/>
          </w:tcPr>
          <w:p w14:paraId="024C23A0">
            <w:pPr>
              <w:spacing w:line="360" w:lineRule="auto"/>
              <w:rPr>
                <w:rFonts w:ascii="宋体" w:hAnsi="宋体"/>
                <w:b/>
                <w:sz w:val="24"/>
                <w:szCs w:val="24"/>
              </w:rPr>
            </w:pPr>
          </w:p>
        </w:tc>
        <w:tc>
          <w:tcPr>
            <w:tcW w:w="1068" w:type="dxa"/>
          </w:tcPr>
          <w:p w14:paraId="6C89D48C">
            <w:pPr>
              <w:spacing w:line="360" w:lineRule="auto"/>
              <w:rPr>
                <w:rFonts w:ascii="宋体" w:hAnsi="宋体"/>
                <w:b/>
                <w:sz w:val="24"/>
                <w:szCs w:val="24"/>
              </w:rPr>
            </w:pPr>
          </w:p>
        </w:tc>
        <w:tc>
          <w:tcPr>
            <w:tcW w:w="886" w:type="dxa"/>
          </w:tcPr>
          <w:p w14:paraId="4314A983">
            <w:pPr>
              <w:spacing w:line="360" w:lineRule="auto"/>
              <w:rPr>
                <w:rFonts w:ascii="宋体" w:hAnsi="宋体"/>
                <w:b/>
                <w:sz w:val="24"/>
                <w:szCs w:val="24"/>
              </w:rPr>
            </w:pPr>
          </w:p>
        </w:tc>
      </w:tr>
      <w:tr w14:paraId="6C6A4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02E08622">
            <w:pPr>
              <w:spacing w:line="360" w:lineRule="auto"/>
              <w:rPr>
                <w:rFonts w:ascii="宋体" w:hAnsi="宋体"/>
                <w:b/>
                <w:sz w:val="24"/>
                <w:szCs w:val="24"/>
              </w:rPr>
            </w:pPr>
          </w:p>
        </w:tc>
        <w:tc>
          <w:tcPr>
            <w:tcW w:w="1409" w:type="dxa"/>
          </w:tcPr>
          <w:p w14:paraId="0DCBAEAF">
            <w:pPr>
              <w:spacing w:line="360" w:lineRule="auto"/>
              <w:rPr>
                <w:rFonts w:ascii="宋体" w:hAnsi="宋体"/>
                <w:b/>
                <w:sz w:val="24"/>
                <w:szCs w:val="24"/>
              </w:rPr>
            </w:pPr>
          </w:p>
        </w:tc>
        <w:tc>
          <w:tcPr>
            <w:tcW w:w="863" w:type="dxa"/>
          </w:tcPr>
          <w:p w14:paraId="7669FC57">
            <w:pPr>
              <w:spacing w:line="360" w:lineRule="auto"/>
              <w:rPr>
                <w:rFonts w:ascii="宋体" w:hAnsi="宋体"/>
                <w:b/>
                <w:sz w:val="24"/>
                <w:szCs w:val="24"/>
              </w:rPr>
            </w:pPr>
          </w:p>
        </w:tc>
        <w:tc>
          <w:tcPr>
            <w:tcW w:w="2130" w:type="dxa"/>
          </w:tcPr>
          <w:p w14:paraId="65D378E2">
            <w:pPr>
              <w:spacing w:line="360" w:lineRule="auto"/>
              <w:rPr>
                <w:rFonts w:ascii="宋体" w:hAnsi="宋体"/>
                <w:b/>
                <w:sz w:val="24"/>
                <w:szCs w:val="24"/>
              </w:rPr>
            </w:pPr>
          </w:p>
        </w:tc>
        <w:tc>
          <w:tcPr>
            <w:tcW w:w="2114" w:type="dxa"/>
          </w:tcPr>
          <w:p w14:paraId="5C0C5459">
            <w:pPr>
              <w:spacing w:line="360" w:lineRule="auto"/>
              <w:rPr>
                <w:rFonts w:ascii="宋体" w:hAnsi="宋体"/>
                <w:b/>
                <w:sz w:val="24"/>
                <w:szCs w:val="24"/>
              </w:rPr>
            </w:pPr>
          </w:p>
        </w:tc>
        <w:tc>
          <w:tcPr>
            <w:tcW w:w="1068" w:type="dxa"/>
          </w:tcPr>
          <w:p w14:paraId="55FB0C5C">
            <w:pPr>
              <w:spacing w:line="360" w:lineRule="auto"/>
              <w:rPr>
                <w:rFonts w:ascii="宋体" w:hAnsi="宋体"/>
                <w:b/>
                <w:sz w:val="24"/>
                <w:szCs w:val="24"/>
              </w:rPr>
            </w:pPr>
          </w:p>
        </w:tc>
        <w:tc>
          <w:tcPr>
            <w:tcW w:w="886" w:type="dxa"/>
          </w:tcPr>
          <w:p w14:paraId="4ED38C55">
            <w:pPr>
              <w:spacing w:line="360" w:lineRule="auto"/>
              <w:rPr>
                <w:rFonts w:ascii="宋体" w:hAnsi="宋体"/>
                <w:b/>
                <w:sz w:val="24"/>
                <w:szCs w:val="24"/>
              </w:rPr>
            </w:pPr>
          </w:p>
        </w:tc>
      </w:tr>
      <w:tr w14:paraId="3AD71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301CB115">
            <w:pPr>
              <w:spacing w:line="360" w:lineRule="auto"/>
              <w:rPr>
                <w:rFonts w:ascii="宋体" w:hAnsi="宋体"/>
                <w:b/>
                <w:sz w:val="24"/>
                <w:szCs w:val="24"/>
              </w:rPr>
            </w:pPr>
          </w:p>
        </w:tc>
        <w:tc>
          <w:tcPr>
            <w:tcW w:w="1409" w:type="dxa"/>
          </w:tcPr>
          <w:p w14:paraId="7B9A0D59">
            <w:pPr>
              <w:spacing w:line="360" w:lineRule="auto"/>
              <w:rPr>
                <w:rFonts w:ascii="宋体" w:hAnsi="宋体"/>
                <w:b/>
                <w:sz w:val="24"/>
                <w:szCs w:val="24"/>
              </w:rPr>
            </w:pPr>
          </w:p>
        </w:tc>
        <w:tc>
          <w:tcPr>
            <w:tcW w:w="863" w:type="dxa"/>
          </w:tcPr>
          <w:p w14:paraId="24476208">
            <w:pPr>
              <w:spacing w:line="360" w:lineRule="auto"/>
              <w:rPr>
                <w:rFonts w:ascii="宋体" w:hAnsi="宋体"/>
                <w:b/>
                <w:sz w:val="24"/>
                <w:szCs w:val="24"/>
              </w:rPr>
            </w:pPr>
          </w:p>
        </w:tc>
        <w:tc>
          <w:tcPr>
            <w:tcW w:w="2130" w:type="dxa"/>
          </w:tcPr>
          <w:p w14:paraId="657C66AD">
            <w:pPr>
              <w:spacing w:line="360" w:lineRule="auto"/>
              <w:rPr>
                <w:rFonts w:ascii="宋体" w:hAnsi="宋体"/>
                <w:b/>
                <w:sz w:val="24"/>
                <w:szCs w:val="24"/>
              </w:rPr>
            </w:pPr>
          </w:p>
        </w:tc>
        <w:tc>
          <w:tcPr>
            <w:tcW w:w="2114" w:type="dxa"/>
          </w:tcPr>
          <w:p w14:paraId="143108FC">
            <w:pPr>
              <w:spacing w:line="360" w:lineRule="auto"/>
              <w:rPr>
                <w:rFonts w:ascii="宋体" w:hAnsi="宋体"/>
                <w:b/>
                <w:sz w:val="24"/>
                <w:szCs w:val="24"/>
              </w:rPr>
            </w:pPr>
          </w:p>
        </w:tc>
        <w:tc>
          <w:tcPr>
            <w:tcW w:w="1068" w:type="dxa"/>
          </w:tcPr>
          <w:p w14:paraId="26353095">
            <w:pPr>
              <w:spacing w:line="360" w:lineRule="auto"/>
              <w:rPr>
                <w:rFonts w:ascii="宋体" w:hAnsi="宋体"/>
                <w:b/>
                <w:sz w:val="24"/>
                <w:szCs w:val="24"/>
              </w:rPr>
            </w:pPr>
          </w:p>
        </w:tc>
        <w:tc>
          <w:tcPr>
            <w:tcW w:w="886" w:type="dxa"/>
          </w:tcPr>
          <w:p w14:paraId="73309C7F">
            <w:pPr>
              <w:spacing w:line="360" w:lineRule="auto"/>
              <w:rPr>
                <w:rFonts w:ascii="宋体" w:hAnsi="宋体"/>
                <w:b/>
                <w:sz w:val="24"/>
                <w:szCs w:val="24"/>
              </w:rPr>
            </w:pPr>
          </w:p>
        </w:tc>
      </w:tr>
      <w:tr w14:paraId="57CE7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4A5078A9">
            <w:pPr>
              <w:spacing w:line="360" w:lineRule="auto"/>
              <w:rPr>
                <w:rFonts w:ascii="宋体" w:hAnsi="宋体"/>
                <w:b/>
                <w:sz w:val="24"/>
                <w:szCs w:val="24"/>
              </w:rPr>
            </w:pPr>
          </w:p>
        </w:tc>
        <w:tc>
          <w:tcPr>
            <w:tcW w:w="1409" w:type="dxa"/>
          </w:tcPr>
          <w:p w14:paraId="13C4A482">
            <w:pPr>
              <w:spacing w:line="360" w:lineRule="auto"/>
              <w:rPr>
                <w:rFonts w:ascii="宋体" w:hAnsi="宋体"/>
                <w:b/>
                <w:sz w:val="24"/>
                <w:szCs w:val="24"/>
              </w:rPr>
            </w:pPr>
          </w:p>
        </w:tc>
        <w:tc>
          <w:tcPr>
            <w:tcW w:w="863" w:type="dxa"/>
            <w:vAlign w:val="center"/>
          </w:tcPr>
          <w:p w14:paraId="375D9867">
            <w:pPr>
              <w:spacing w:line="360" w:lineRule="auto"/>
              <w:jc w:val="center"/>
              <w:rPr>
                <w:rFonts w:ascii="宋体" w:hAnsi="宋体"/>
                <w:b/>
                <w:sz w:val="24"/>
                <w:szCs w:val="24"/>
              </w:rPr>
            </w:pPr>
          </w:p>
        </w:tc>
        <w:tc>
          <w:tcPr>
            <w:tcW w:w="2130" w:type="dxa"/>
          </w:tcPr>
          <w:p w14:paraId="2B6AC186">
            <w:pPr>
              <w:spacing w:line="360" w:lineRule="auto"/>
              <w:rPr>
                <w:rFonts w:ascii="宋体" w:hAnsi="宋体"/>
                <w:b/>
                <w:sz w:val="24"/>
                <w:szCs w:val="24"/>
              </w:rPr>
            </w:pPr>
          </w:p>
        </w:tc>
        <w:tc>
          <w:tcPr>
            <w:tcW w:w="2114" w:type="dxa"/>
          </w:tcPr>
          <w:p w14:paraId="19F8ABB5">
            <w:pPr>
              <w:spacing w:line="360" w:lineRule="auto"/>
              <w:rPr>
                <w:rFonts w:ascii="宋体" w:hAnsi="宋体"/>
                <w:b/>
                <w:sz w:val="24"/>
                <w:szCs w:val="24"/>
              </w:rPr>
            </w:pPr>
          </w:p>
        </w:tc>
        <w:tc>
          <w:tcPr>
            <w:tcW w:w="1068" w:type="dxa"/>
          </w:tcPr>
          <w:p w14:paraId="44882403">
            <w:pPr>
              <w:spacing w:line="360" w:lineRule="auto"/>
              <w:rPr>
                <w:rFonts w:ascii="宋体" w:hAnsi="宋体"/>
                <w:b/>
                <w:sz w:val="24"/>
                <w:szCs w:val="24"/>
              </w:rPr>
            </w:pPr>
          </w:p>
        </w:tc>
        <w:tc>
          <w:tcPr>
            <w:tcW w:w="886" w:type="dxa"/>
          </w:tcPr>
          <w:p w14:paraId="00C6239A">
            <w:pPr>
              <w:spacing w:line="360" w:lineRule="auto"/>
              <w:rPr>
                <w:rFonts w:ascii="宋体" w:hAnsi="宋体"/>
                <w:b/>
                <w:sz w:val="24"/>
                <w:szCs w:val="24"/>
              </w:rPr>
            </w:pPr>
          </w:p>
        </w:tc>
      </w:tr>
      <w:tr w14:paraId="30ADD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0C899627">
            <w:pPr>
              <w:spacing w:line="360" w:lineRule="auto"/>
              <w:rPr>
                <w:rFonts w:ascii="宋体" w:hAnsi="宋体"/>
                <w:b/>
                <w:sz w:val="24"/>
                <w:szCs w:val="24"/>
              </w:rPr>
            </w:pPr>
          </w:p>
        </w:tc>
        <w:tc>
          <w:tcPr>
            <w:tcW w:w="1409" w:type="dxa"/>
          </w:tcPr>
          <w:p w14:paraId="1BBBB45D">
            <w:pPr>
              <w:spacing w:line="360" w:lineRule="auto"/>
              <w:rPr>
                <w:rFonts w:ascii="宋体" w:hAnsi="宋体"/>
                <w:b/>
                <w:sz w:val="24"/>
                <w:szCs w:val="24"/>
              </w:rPr>
            </w:pPr>
          </w:p>
        </w:tc>
        <w:tc>
          <w:tcPr>
            <w:tcW w:w="863" w:type="dxa"/>
            <w:vAlign w:val="center"/>
          </w:tcPr>
          <w:p w14:paraId="2FB9D089">
            <w:pPr>
              <w:spacing w:line="360" w:lineRule="auto"/>
              <w:jc w:val="center"/>
              <w:rPr>
                <w:rFonts w:ascii="宋体" w:hAnsi="宋体"/>
                <w:b/>
                <w:sz w:val="24"/>
                <w:szCs w:val="24"/>
              </w:rPr>
            </w:pPr>
          </w:p>
        </w:tc>
        <w:tc>
          <w:tcPr>
            <w:tcW w:w="2130" w:type="dxa"/>
          </w:tcPr>
          <w:p w14:paraId="7E1FCA35">
            <w:pPr>
              <w:spacing w:line="360" w:lineRule="auto"/>
              <w:rPr>
                <w:rFonts w:ascii="宋体" w:hAnsi="宋体"/>
                <w:b/>
                <w:sz w:val="24"/>
                <w:szCs w:val="24"/>
              </w:rPr>
            </w:pPr>
          </w:p>
        </w:tc>
        <w:tc>
          <w:tcPr>
            <w:tcW w:w="2114" w:type="dxa"/>
          </w:tcPr>
          <w:p w14:paraId="6A698E00">
            <w:pPr>
              <w:spacing w:line="360" w:lineRule="auto"/>
              <w:rPr>
                <w:rFonts w:ascii="宋体" w:hAnsi="宋体"/>
                <w:b/>
                <w:sz w:val="24"/>
                <w:szCs w:val="24"/>
              </w:rPr>
            </w:pPr>
          </w:p>
        </w:tc>
        <w:tc>
          <w:tcPr>
            <w:tcW w:w="1068" w:type="dxa"/>
          </w:tcPr>
          <w:p w14:paraId="72403A08">
            <w:pPr>
              <w:spacing w:line="360" w:lineRule="auto"/>
              <w:rPr>
                <w:rFonts w:ascii="宋体" w:hAnsi="宋体"/>
                <w:b/>
                <w:sz w:val="24"/>
                <w:szCs w:val="24"/>
              </w:rPr>
            </w:pPr>
          </w:p>
        </w:tc>
        <w:tc>
          <w:tcPr>
            <w:tcW w:w="886" w:type="dxa"/>
          </w:tcPr>
          <w:p w14:paraId="7DACF090">
            <w:pPr>
              <w:spacing w:line="360" w:lineRule="auto"/>
              <w:rPr>
                <w:rFonts w:ascii="宋体" w:hAnsi="宋体"/>
                <w:b/>
                <w:sz w:val="24"/>
                <w:szCs w:val="24"/>
              </w:rPr>
            </w:pPr>
          </w:p>
        </w:tc>
      </w:tr>
      <w:tr w14:paraId="0805E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6E0BBB92">
            <w:pPr>
              <w:spacing w:line="360" w:lineRule="auto"/>
              <w:rPr>
                <w:rFonts w:ascii="宋体" w:hAnsi="宋体"/>
                <w:b/>
                <w:sz w:val="24"/>
                <w:szCs w:val="24"/>
              </w:rPr>
            </w:pPr>
          </w:p>
        </w:tc>
        <w:tc>
          <w:tcPr>
            <w:tcW w:w="1409" w:type="dxa"/>
          </w:tcPr>
          <w:p w14:paraId="453ED4E6">
            <w:pPr>
              <w:spacing w:line="360" w:lineRule="auto"/>
              <w:rPr>
                <w:rFonts w:ascii="宋体" w:hAnsi="宋体"/>
                <w:b/>
                <w:sz w:val="24"/>
                <w:szCs w:val="24"/>
              </w:rPr>
            </w:pPr>
          </w:p>
        </w:tc>
        <w:tc>
          <w:tcPr>
            <w:tcW w:w="863" w:type="dxa"/>
          </w:tcPr>
          <w:p w14:paraId="1A9978FE">
            <w:pPr>
              <w:spacing w:line="360" w:lineRule="auto"/>
              <w:rPr>
                <w:rFonts w:ascii="宋体" w:hAnsi="宋体"/>
                <w:b/>
                <w:sz w:val="24"/>
                <w:szCs w:val="24"/>
              </w:rPr>
            </w:pPr>
          </w:p>
        </w:tc>
        <w:tc>
          <w:tcPr>
            <w:tcW w:w="2130" w:type="dxa"/>
          </w:tcPr>
          <w:p w14:paraId="7AB0B8AE">
            <w:pPr>
              <w:spacing w:line="360" w:lineRule="auto"/>
              <w:rPr>
                <w:rFonts w:ascii="宋体" w:hAnsi="宋体"/>
                <w:b/>
                <w:sz w:val="24"/>
                <w:szCs w:val="24"/>
              </w:rPr>
            </w:pPr>
          </w:p>
        </w:tc>
        <w:tc>
          <w:tcPr>
            <w:tcW w:w="2114" w:type="dxa"/>
          </w:tcPr>
          <w:p w14:paraId="3C80B5DD">
            <w:pPr>
              <w:spacing w:line="360" w:lineRule="auto"/>
              <w:rPr>
                <w:rFonts w:ascii="宋体" w:hAnsi="宋体"/>
                <w:b/>
                <w:sz w:val="24"/>
                <w:szCs w:val="24"/>
              </w:rPr>
            </w:pPr>
          </w:p>
        </w:tc>
        <w:tc>
          <w:tcPr>
            <w:tcW w:w="1068" w:type="dxa"/>
          </w:tcPr>
          <w:p w14:paraId="1F21C605">
            <w:pPr>
              <w:spacing w:line="360" w:lineRule="auto"/>
              <w:rPr>
                <w:rFonts w:ascii="宋体" w:hAnsi="宋体"/>
                <w:b/>
                <w:sz w:val="24"/>
                <w:szCs w:val="24"/>
              </w:rPr>
            </w:pPr>
          </w:p>
        </w:tc>
        <w:tc>
          <w:tcPr>
            <w:tcW w:w="886" w:type="dxa"/>
          </w:tcPr>
          <w:p w14:paraId="39298732">
            <w:pPr>
              <w:spacing w:line="360" w:lineRule="auto"/>
              <w:rPr>
                <w:rFonts w:ascii="宋体" w:hAnsi="宋体"/>
                <w:b/>
                <w:sz w:val="24"/>
                <w:szCs w:val="24"/>
              </w:rPr>
            </w:pPr>
          </w:p>
        </w:tc>
      </w:tr>
      <w:tr w14:paraId="149F6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trPr>
        <w:tc>
          <w:tcPr>
            <w:tcW w:w="816" w:type="dxa"/>
            <w:vAlign w:val="center"/>
          </w:tcPr>
          <w:p w14:paraId="168A5440">
            <w:pPr>
              <w:spacing w:line="360" w:lineRule="auto"/>
              <w:jc w:val="center"/>
              <w:rPr>
                <w:rFonts w:ascii="宋体" w:hAnsi="宋体"/>
                <w:b/>
                <w:sz w:val="24"/>
                <w:szCs w:val="24"/>
              </w:rPr>
            </w:pPr>
            <w:r>
              <w:rPr>
                <w:rFonts w:hint="eastAsia" w:ascii="宋体" w:hAnsi="宋体"/>
                <w:b/>
                <w:sz w:val="24"/>
                <w:szCs w:val="24"/>
              </w:rPr>
              <w:t>备注</w:t>
            </w:r>
          </w:p>
        </w:tc>
        <w:tc>
          <w:tcPr>
            <w:tcW w:w="8470" w:type="dxa"/>
            <w:gridSpan w:val="6"/>
          </w:tcPr>
          <w:p w14:paraId="6F2C0268">
            <w:pPr>
              <w:spacing w:line="360" w:lineRule="auto"/>
              <w:rPr>
                <w:rFonts w:ascii="宋体" w:hAnsi="宋体"/>
                <w:b/>
                <w:sz w:val="24"/>
                <w:szCs w:val="24"/>
              </w:rPr>
            </w:pPr>
          </w:p>
        </w:tc>
      </w:tr>
    </w:tbl>
    <w:p w14:paraId="44B65D52">
      <w:pPr>
        <w:spacing w:line="360" w:lineRule="auto"/>
        <w:rPr>
          <w:rFonts w:ascii="宋体" w:hAnsi="宋体"/>
          <w:bCs/>
          <w:sz w:val="24"/>
          <w:szCs w:val="24"/>
        </w:rPr>
      </w:pPr>
      <w:r>
        <w:rPr>
          <w:rFonts w:hint="eastAsia" w:ascii="宋体" w:hAnsi="宋体"/>
          <w:b/>
          <w:sz w:val="24"/>
          <w:szCs w:val="24"/>
        </w:rPr>
        <w:t>注：</w:t>
      </w:r>
      <w:r>
        <w:rPr>
          <w:rFonts w:hint="eastAsia" w:ascii="宋体" w:hAnsi="宋体"/>
          <w:bCs/>
          <w:sz w:val="24"/>
          <w:szCs w:val="24"/>
        </w:rPr>
        <w:t>1、按照基本技术要求详细填列；</w:t>
      </w:r>
    </w:p>
    <w:p w14:paraId="73EC69F9">
      <w:pPr>
        <w:spacing w:line="360" w:lineRule="auto"/>
        <w:ind w:firstLine="480"/>
        <w:rPr>
          <w:rFonts w:ascii="宋体" w:hAnsi="宋体"/>
          <w:bCs/>
          <w:sz w:val="24"/>
          <w:szCs w:val="24"/>
        </w:rPr>
      </w:pPr>
      <w:r>
        <w:rPr>
          <w:rFonts w:hint="eastAsia" w:ascii="宋体" w:hAnsi="宋体"/>
          <w:bCs/>
          <w:sz w:val="24"/>
          <w:szCs w:val="24"/>
        </w:rPr>
        <w:t>2、行数不够，可自行添加。</w:t>
      </w:r>
    </w:p>
    <w:p w14:paraId="2A9DC595">
      <w:pPr>
        <w:spacing w:line="360" w:lineRule="auto"/>
        <w:ind w:firstLine="480"/>
        <w:rPr>
          <w:rFonts w:ascii="宋体" w:hAnsi="宋体"/>
          <w:bCs/>
          <w:sz w:val="24"/>
          <w:szCs w:val="24"/>
        </w:rPr>
      </w:pPr>
      <w:r>
        <w:rPr>
          <w:rFonts w:hint="eastAsia" w:ascii="宋体" w:hAnsi="宋体"/>
          <w:bCs/>
          <w:sz w:val="24"/>
          <w:szCs w:val="24"/>
        </w:rPr>
        <w:t>3、技术偏离表应针对项目需求逐条应答。</w:t>
      </w:r>
    </w:p>
    <w:p w14:paraId="629E0AF1">
      <w:pPr>
        <w:rPr>
          <w:rFonts w:ascii="宋体" w:hAnsi="宋体"/>
          <w:sz w:val="28"/>
          <w:szCs w:val="20"/>
        </w:rPr>
      </w:pPr>
    </w:p>
    <w:p w14:paraId="229F4250">
      <w:pPr>
        <w:keepNext/>
        <w:keepLines/>
        <w:spacing w:before="260" w:after="260" w:line="360" w:lineRule="auto"/>
        <w:jc w:val="center"/>
        <w:outlineLvl w:val="1"/>
        <w:rPr>
          <w:rFonts w:ascii="宋体" w:hAnsi="宋体"/>
          <w:b/>
          <w:sz w:val="36"/>
          <w:szCs w:val="36"/>
        </w:rPr>
      </w:pPr>
      <w:r>
        <w:rPr>
          <w:rFonts w:ascii="宋体" w:hAnsi="宋体"/>
          <w:b/>
          <w:sz w:val="44"/>
          <w:szCs w:val="20"/>
        </w:rPr>
        <w:br w:type="page" w:clear="all"/>
      </w:r>
      <w:r>
        <w:rPr>
          <w:rFonts w:hint="eastAsia" w:ascii="宋体" w:hAnsi="宋体"/>
          <w:b/>
          <w:sz w:val="36"/>
          <w:szCs w:val="36"/>
        </w:rPr>
        <w:t>八、售后服务方案</w:t>
      </w:r>
    </w:p>
    <w:p w14:paraId="5B3B832E">
      <w:pPr>
        <w:rPr>
          <w:rFonts w:ascii="宋体" w:hAnsi="宋体"/>
          <w:sz w:val="28"/>
          <w:szCs w:val="20"/>
        </w:rPr>
      </w:pPr>
    </w:p>
    <w:p w14:paraId="50CFCA41">
      <w:pPr>
        <w:rPr>
          <w:rFonts w:ascii="宋体" w:hAnsi="宋体"/>
          <w:sz w:val="28"/>
          <w:szCs w:val="20"/>
        </w:rPr>
      </w:pPr>
    </w:p>
    <w:p w14:paraId="33C4919D">
      <w:pPr>
        <w:keepNext/>
        <w:keepLines/>
        <w:spacing w:before="260" w:after="260" w:line="360" w:lineRule="auto"/>
        <w:jc w:val="center"/>
        <w:outlineLvl w:val="1"/>
        <w:rPr>
          <w:rFonts w:ascii="宋体" w:hAnsi="宋体"/>
          <w:b/>
          <w:sz w:val="36"/>
          <w:szCs w:val="36"/>
        </w:rPr>
      </w:pPr>
      <w:r>
        <w:rPr>
          <w:rFonts w:hint="eastAsia" w:ascii="宋体" w:hAnsi="宋体"/>
          <w:b/>
          <w:sz w:val="36"/>
          <w:szCs w:val="36"/>
        </w:rPr>
        <w:t>九、技术维护方案</w:t>
      </w:r>
    </w:p>
    <w:p w14:paraId="023E2B03">
      <w:pPr>
        <w:spacing w:before="260" w:after="260" w:line="360" w:lineRule="auto"/>
        <w:jc w:val="center"/>
        <w:rPr>
          <w:rFonts w:ascii="宋体" w:hAnsi="宋体"/>
          <w:b/>
          <w:sz w:val="32"/>
          <w:szCs w:val="32"/>
        </w:rPr>
      </w:pPr>
    </w:p>
    <w:p w14:paraId="73E6BE64">
      <w:pPr>
        <w:spacing w:before="260" w:after="260" w:line="360" w:lineRule="auto"/>
        <w:jc w:val="center"/>
        <w:rPr>
          <w:rFonts w:ascii="宋体" w:hAnsi="宋体"/>
          <w:b/>
          <w:sz w:val="32"/>
          <w:szCs w:val="32"/>
        </w:rPr>
      </w:pPr>
    </w:p>
    <w:p w14:paraId="28854D1D">
      <w:pPr>
        <w:spacing w:before="260" w:after="260" w:line="360" w:lineRule="auto"/>
        <w:jc w:val="center"/>
        <w:rPr>
          <w:rFonts w:ascii="宋体" w:hAnsi="宋体"/>
          <w:b/>
          <w:sz w:val="32"/>
          <w:szCs w:val="32"/>
        </w:rPr>
      </w:pPr>
    </w:p>
    <w:p w14:paraId="1A947802">
      <w:pPr>
        <w:spacing w:before="260" w:after="260" w:line="360" w:lineRule="auto"/>
        <w:jc w:val="center"/>
        <w:rPr>
          <w:rFonts w:ascii="宋体" w:hAnsi="宋体"/>
          <w:b/>
          <w:sz w:val="32"/>
          <w:szCs w:val="32"/>
        </w:rPr>
      </w:pPr>
    </w:p>
    <w:p w14:paraId="2371920E">
      <w:pPr>
        <w:spacing w:before="260" w:after="260" w:line="360" w:lineRule="auto"/>
        <w:jc w:val="center"/>
        <w:rPr>
          <w:rFonts w:ascii="宋体" w:hAnsi="宋体"/>
          <w:b/>
          <w:sz w:val="32"/>
          <w:szCs w:val="32"/>
        </w:rPr>
      </w:pPr>
    </w:p>
    <w:p w14:paraId="515A267D">
      <w:pPr>
        <w:keepNext/>
        <w:keepLines/>
        <w:spacing w:before="260" w:after="260" w:line="360" w:lineRule="auto"/>
        <w:jc w:val="center"/>
        <w:outlineLvl w:val="1"/>
        <w:rPr>
          <w:rFonts w:ascii="宋体" w:hAnsi="宋体"/>
          <w:b/>
          <w:sz w:val="36"/>
          <w:szCs w:val="36"/>
        </w:rPr>
      </w:pPr>
      <w:r>
        <w:rPr>
          <w:rFonts w:ascii="宋体" w:hAnsi="宋体"/>
          <w:b/>
          <w:sz w:val="36"/>
          <w:szCs w:val="36"/>
        </w:rPr>
        <w:t>十、</w:t>
      </w:r>
      <w:r>
        <w:rPr>
          <w:rFonts w:hint="eastAsia" w:ascii="宋体" w:hAnsi="宋体"/>
          <w:b/>
          <w:sz w:val="36"/>
          <w:szCs w:val="36"/>
        </w:rPr>
        <w:t>质量控制方案</w:t>
      </w:r>
    </w:p>
    <w:p w14:paraId="3E4D217E">
      <w:pPr>
        <w:spacing w:before="260" w:after="260" w:line="360" w:lineRule="auto"/>
        <w:jc w:val="center"/>
        <w:rPr>
          <w:rFonts w:ascii="宋体" w:hAnsi="宋体"/>
          <w:b/>
          <w:sz w:val="32"/>
          <w:szCs w:val="32"/>
        </w:rPr>
      </w:pPr>
    </w:p>
    <w:p w14:paraId="74A0A818">
      <w:pPr>
        <w:spacing w:before="260" w:after="260" w:line="360" w:lineRule="auto"/>
        <w:jc w:val="center"/>
        <w:rPr>
          <w:rFonts w:ascii="宋体" w:hAnsi="宋体"/>
          <w:b/>
          <w:sz w:val="32"/>
          <w:szCs w:val="32"/>
        </w:rPr>
      </w:pPr>
    </w:p>
    <w:p w14:paraId="4C4CA58C">
      <w:pPr>
        <w:spacing w:before="260" w:after="260" w:line="360" w:lineRule="auto"/>
        <w:jc w:val="center"/>
        <w:rPr>
          <w:rFonts w:ascii="宋体" w:hAnsi="宋体"/>
          <w:b/>
          <w:sz w:val="32"/>
          <w:szCs w:val="32"/>
        </w:rPr>
      </w:pPr>
    </w:p>
    <w:p w14:paraId="43727242">
      <w:pPr>
        <w:spacing w:before="260" w:after="260" w:line="360" w:lineRule="auto"/>
        <w:jc w:val="center"/>
        <w:rPr>
          <w:rFonts w:ascii="宋体" w:hAnsi="宋体"/>
          <w:b/>
          <w:sz w:val="32"/>
          <w:szCs w:val="32"/>
        </w:rPr>
      </w:pPr>
    </w:p>
    <w:p w14:paraId="497703FF">
      <w:pPr>
        <w:keepNext/>
        <w:keepLines/>
        <w:spacing w:before="260" w:after="260" w:line="360" w:lineRule="auto"/>
        <w:jc w:val="center"/>
        <w:outlineLvl w:val="1"/>
        <w:rPr>
          <w:rFonts w:ascii="宋体" w:hAnsi="宋体"/>
          <w:b/>
          <w:sz w:val="36"/>
          <w:szCs w:val="36"/>
        </w:rPr>
      </w:pPr>
      <w:r>
        <w:rPr>
          <w:rFonts w:ascii="宋体" w:hAnsi="宋体"/>
          <w:b/>
          <w:sz w:val="36"/>
          <w:szCs w:val="36"/>
        </w:rPr>
        <w:br w:type="page" w:clear="all"/>
      </w:r>
      <w:r>
        <w:rPr>
          <w:rFonts w:hint="eastAsia" w:ascii="宋体" w:hAnsi="宋体"/>
          <w:b/>
          <w:sz w:val="36"/>
          <w:szCs w:val="36"/>
        </w:rPr>
        <w:t>十一、供应商需要提供的证明材料</w:t>
      </w:r>
    </w:p>
    <w:p w14:paraId="6818A8AC">
      <w:pPr>
        <w:adjustRightInd w:val="0"/>
        <w:snapToGrid w:val="0"/>
        <w:spacing w:line="400" w:lineRule="exact"/>
        <w:ind w:firstLine="480"/>
        <w:rPr>
          <w:rFonts w:ascii="宋体" w:hAnsi="宋体" w:cs="Arial"/>
          <w:sz w:val="24"/>
        </w:rPr>
      </w:pPr>
      <w:r>
        <w:rPr>
          <w:rFonts w:hint="eastAsia" w:ascii="宋体" w:hAnsi="宋体" w:cs="Arial"/>
          <w:sz w:val="24"/>
        </w:rPr>
        <w:t>（一）满足《中华人民共和国政府采购法》第二十二条规定：</w:t>
      </w:r>
    </w:p>
    <w:p w14:paraId="0AB1A146">
      <w:pPr>
        <w:adjustRightInd w:val="0"/>
        <w:snapToGrid w:val="0"/>
        <w:spacing w:line="400" w:lineRule="exact"/>
        <w:ind w:firstLine="480"/>
        <w:rPr>
          <w:rFonts w:ascii="宋体" w:hAnsi="宋体" w:cs="宋体"/>
          <w:sz w:val="24"/>
        </w:rPr>
      </w:pPr>
      <w:r>
        <w:rPr>
          <w:rFonts w:hint="eastAsia" w:ascii="宋体" w:hAnsi="宋体" w:cs="Arial"/>
          <w:sz w:val="24"/>
        </w:rPr>
        <w:t>1、提供</w:t>
      </w:r>
      <w:r>
        <w:rPr>
          <w:rFonts w:ascii="宋体" w:hAnsi="宋体" w:cs="宋体"/>
          <w:sz w:val="24"/>
        </w:rPr>
        <w:t>法人或者其他组织的营业执照等证明文件，</w:t>
      </w:r>
      <w:r>
        <w:rPr>
          <w:rFonts w:hint="eastAsia" w:ascii="宋体" w:hAnsi="宋体" w:cs="宋体"/>
          <w:sz w:val="24"/>
        </w:rPr>
        <w:t>如投标人为</w:t>
      </w:r>
      <w:r>
        <w:rPr>
          <w:rFonts w:ascii="宋体" w:hAnsi="宋体" w:cs="宋体"/>
          <w:sz w:val="24"/>
        </w:rPr>
        <w:t>自然人</w:t>
      </w:r>
      <w:r>
        <w:rPr>
          <w:rFonts w:hint="eastAsia" w:ascii="宋体" w:hAnsi="宋体" w:cs="宋体"/>
          <w:sz w:val="24"/>
        </w:rPr>
        <w:t>的，提供其</w:t>
      </w:r>
      <w:r>
        <w:rPr>
          <w:rFonts w:ascii="宋体" w:hAnsi="宋体" w:cs="宋体"/>
          <w:sz w:val="24"/>
        </w:rPr>
        <w:t xml:space="preserve">身份证明； </w:t>
      </w:r>
    </w:p>
    <w:p w14:paraId="26DEB357">
      <w:pPr>
        <w:adjustRightInd w:val="0"/>
        <w:snapToGrid w:val="0"/>
        <w:spacing w:line="400" w:lineRule="exact"/>
        <w:ind w:firstLine="480"/>
        <w:rPr>
          <w:rFonts w:ascii="宋体" w:hAnsi="宋体" w:cs="宋体"/>
          <w:sz w:val="24"/>
        </w:rPr>
      </w:pPr>
      <w:r>
        <w:rPr>
          <w:rFonts w:hint="eastAsia" w:ascii="宋体" w:hAnsi="宋体" w:cs="宋体"/>
          <w:sz w:val="24"/>
        </w:rPr>
        <w:t>2、提供2024年度财务状况报告，或2</w:t>
      </w:r>
      <w:r>
        <w:rPr>
          <w:rFonts w:ascii="宋体" w:hAnsi="宋体" w:cs="宋体"/>
          <w:sz w:val="24"/>
        </w:rPr>
        <w:t>02</w:t>
      </w:r>
      <w:r>
        <w:rPr>
          <w:rFonts w:hint="eastAsia" w:ascii="宋体" w:hAnsi="宋体" w:cs="宋体"/>
          <w:sz w:val="24"/>
        </w:rPr>
        <w:t>5年1月以来任意一个月的财务报表，或银行出具的资信证明，或财政部门认可的专业担保机构出具的投标担保函（成立不满一年不需提供）；</w:t>
      </w:r>
    </w:p>
    <w:p w14:paraId="6227A7B3">
      <w:pPr>
        <w:adjustRightInd w:val="0"/>
        <w:snapToGrid w:val="0"/>
        <w:spacing w:line="400" w:lineRule="exact"/>
        <w:ind w:firstLine="480"/>
        <w:rPr>
          <w:rFonts w:ascii="宋体" w:hAnsi="宋体" w:cs="宋体"/>
          <w:sz w:val="24"/>
        </w:rPr>
      </w:pPr>
      <w:r>
        <w:rPr>
          <w:rFonts w:hint="eastAsia" w:ascii="宋体" w:hAnsi="宋体" w:cs="宋体"/>
          <w:sz w:val="24"/>
        </w:rPr>
        <w:t>3、提供在提交投标文件截止时间</w:t>
      </w:r>
      <w:r>
        <w:rPr>
          <w:rFonts w:hint="eastAsia" w:ascii="宋体" w:hAnsi="宋体" w:cs="Arial"/>
          <w:sz w:val="24"/>
        </w:rPr>
        <w:t>前一年内（至少一个月）</w:t>
      </w:r>
      <w:r>
        <w:rPr>
          <w:rFonts w:ascii="宋体" w:hAnsi="宋体" w:cs="宋体"/>
          <w:sz w:val="24"/>
        </w:rPr>
        <w:t>依法缴纳税收</w:t>
      </w:r>
      <w:r>
        <w:rPr>
          <w:rFonts w:hint="eastAsia" w:ascii="宋体" w:hAnsi="宋体" w:cs="宋体"/>
          <w:sz w:val="24"/>
        </w:rPr>
        <w:t>（如增值税或营业税、企业所得税等）</w:t>
      </w:r>
      <w:r>
        <w:rPr>
          <w:rFonts w:ascii="宋体" w:hAnsi="宋体" w:cs="宋体"/>
          <w:sz w:val="24"/>
        </w:rPr>
        <w:t>和社会保障资金的</w:t>
      </w:r>
      <w:r>
        <w:rPr>
          <w:rFonts w:hint="eastAsia" w:ascii="宋体" w:hAnsi="宋体" w:cs="宋体"/>
          <w:sz w:val="24"/>
        </w:rPr>
        <w:t>有效证明</w:t>
      </w:r>
      <w:r>
        <w:rPr>
          <w:rFonts w:ascii="宋体" w:hAnsi="宋体" w:cs="宋体"/>
          <w:sz w:val="24"/>
        </w:rPr>
        <w:t>材料</w:t>
      </w:r>
      <w:r>
        <w:rPr>
          <w:rFonts w:hint="eastAsia" w:ascii="宋体" w:hAnsi="宋体" w:cs="宋体"/>
          <w:sz w:val="24"/>
        </w:rPr>
        <w:t>（</w:t>
      </w:r>
      <w:r>
        <w:rPr>
          <w:rFonts w:hint="eastAsia" w:ascii="宋体" w:hAnsi="宋体"/>
          <w:sz w:val="24"/>
        </w:rPr>
        <w:t>投标人依法享受缓缴、免缴税收或社会保障资金的，须提供有效证明材料</w:t>
      </w:r>
      <w:r>
        <w:rPr>
          <w:rFonts w:hint="eastAsia" w:ascii="宋体" w:hAnsi="宋体" w:cs="宋体"/>
          <w:sz w:val="24"/>
        </w:rPr>
        <w:t>）</w:t>
      </w:r>
      <w:r>
        <w:rPr>
          <w:rFonts w:ascii="宋体" w:hAnsi="宋体" w:cs="宋体"/>
          <w:sz w:val="24"/>
        </w:rPr>
        <w:t>；</w:t>
      </w:r>
    </w:p>
    <w:p w14:paraId="36F8C009">
      <w:pPr>
        <w:adjustRightInd w:val="0"/>
        <w:snapToGrid w:val="0"/>
        <w:spacing w:line="400" w:lineRule="exact"/>
        <w:ind w:firstLine="480"/>
        <w:rPr>
          <w:rFonts w:ascii="宋体" w:hAnsi="宋体" w:cs="宋体"/>
          <w:sz w:val="24"/>
        </w:rPr>
      </w:pPr>
      <w:r>
        <w:rPr>
          <w:rFonts w:hint="eastAsia" w:ascii="宋体" w:hAnsi="宋体" w:cs="宋体"/>
          <w:sz w:val="24"/>
        </w:rPr>
        <w:t>4、提供</w:t>
      </w:r>
      <w:r>
        <w:rPr>
          <w:rFonts w:ascii="宋体" w:hAnsi="宋体" w:cs="宋体"/>
          <w:sz w:val="24"/>
        </w:rPr>
        <w:t>具备履行合同所必需的设备和专业技术能力的</w:t>
      </w:r>
      <w:r>
        <w:rPr>
          <w:rFonts w:hint="eastAsia" w:ascii="宋体" w:hAnsi="宋体" w:cs="宋体"/>
          <w:sz w:val="24"/>
        </w:rPr>
        <w:t>书面</w:t>
      </w:r>
      <w:r>
        <w:rPr>
          <w:rFonts w:ascii="宋体" w:hAnsi="宋体" w:cs="宋体"/>
          <w:sz w:val="24"/>
        </w:rPr>
        <w:t>声明；</w:t>
      </w:r>
    </w:p>
    <w:p w14:paraId="2721D7CB">
      <w:pPr>
        <w:adjustRightInd w:val="0"/>
        <w:snapToGrid w:val="0"/>
        <w:spacing w:line="400" w:lineRule="exact"/>
        <w:ind w:firstLine="480"/>
        <w:rPr>
          <w:rFonts w:ascii="宋体" w:hAnsi="宋体" w:cs="宋体"/>
          <w:sz w:val="24"/>
        </w:rPr>
      </w:pPr>
      <w:r>
        <w:rPr>
          <w:rFonts w:hint="eastAsia" w:ascii="宋体" w:hAnsi="宋体" w:cs="宋体"/>
          <w:sz w:val="24"/>
        </w:rPr>
        <w:t>5、提供</w:t>
      </w:r>
      <w:r>
        <w:rPr>
          <w:rFonts w:ascii="宋体" w:hAnsi="宋体" w:cs="宋体"/>
          <w:sz w:val="24"/>
        </w:rPr>
        <w:t>参加政府采购活动前3年内在经营活动中没有重大违法记录的书面声明</w:t>
      </w:r>
      <w:r>
        <w:rPr>
          <w:rFonts w:hint="eastAsia" w:ascii="宋体" w:hAnsi="宋体" w:cs="宋体"/>
          <w:sz w:val="24"/>
        </w:rPr>
        <w:t>；</w:t>
      </w:r>
    </w:p>
    <w:p w14:paraId="1D431850">
      <w:pPr>
        <w:adjustRightInd w:val="0"/>
        <w:snapToGrid w:val="0"/>
        <w:spacing w:line="400" w:lineRule="exact"/>
        <w:ind w:firstLine="480"/>
        <w:rPr>
          <w:rFonts w:ascii="宋体" w:hAnsi="宋体" w:cs="宋体"/>
          <w:sz w:val="24"/>
        </w:rPr>
      </w:pPr>
      <w:r>
        <w:rPr>
          <w:rFonts w:hint="eastAsia" w:ascii="宋体" w:hAnsi="宋体" w:cs="宋体"/>
          <w:sz w:val="24"/>
        </w:rPr>
        <w:t>6、存在以下情形的不得参加本项目的采购活动：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p>
    <w:p w14:paraId="1A168CEA">
      <w:pPr>
        <w:adjustRightInd w:val="0"/>
        <w:snapToGrid w:val="0"/>
        <w:spacing w:line="400" w:lineRule="exact"/>
        <w:ind w:firstLine="480"/>
        <w:rPr>
          <w:rFonts w:ascii="宋体" w:hAnsi="宋体" w:cs="Arial"/>
          <w:sz w:val="24"/>
        </w:rPr>
      </w:pPr>
      <w:r>
        <w:rPr>
          <w:rFonts w:hint="eastAsia" w:ascii="宋体" w:hAnsi="宋体" w:cs="Arial"/>
          <w:sz w:val="24"/>
        </w:rPr>
        <w:t>（二）落实政府采购政策需满足的资格要求：无；本项目为非预留份额专门面向中小企业的采购项目或采购包。</w:t>
      </w:r>
    </w:p>
    <w:p w14:paraId="4069E9D6">
      <w:pPr>
        <w:adjustRightInd w:val="0"/>
        <w:snapToGrid w:val="0"/>
        <w:spacing w:line="400" w:lineRule="exact"/>
        <w:ind w:firstLine="480"/>
        <w:jc w:val="left"/>
        <w:rPr>
          <w:rFonts w:ascii="宋体" w:hAnsi="宋体"/>
          <w:b/>
          <w:sz w:val="32"/>
          <w:szCs w:val="32"/>
        </w:rPr>
      </w:pPr>
      <w:r>
        <w:rPr>
          <w:rFonts w:hint="eastAsia" w:ascii="宋体" w:hAnsi="宋体" w:cs="Arial"/>
          <w:sz w:val="24"/>
        </w:rPr>
        <w:t>（三）本项目的特定资格要求：无。</w:t>
      </w:r>
      <w:r>
        <w:rPr>
          <w:rFonts w:ascii="宋体" w:hAnsi="宋体"/>
          <w:b/>
          <w:sz w:val="32"/>
          <w:szCs w:val="32"/>
        </w:rPr>
        <w:br w:type="page" w:clear="all"/>
      </w:r>
    </w:p>
    <w:p w14:paraId="693B03AE">
      <w:pPr>
        <w:adjustRightInd w:val="0"/>
        <w:snapToGrid w:val="0"/>
        <w:spacing w:before="120" w:beforeLines="50" w:after="120" w:afterLines="50" w:line="360" w:lineRule="auto"/>
        <w:jc w:val="center"/>
        <w:outlineLvl w:val="1"/>
        <w:rPr>
          <w:rFonts w:ascii="宋体" w:hAnsi="宋体"/>
          <w:sz w:val="15"/>
          <w:szCs w:val="15"/>
        </w:rPr>
      </w:pPr>
      <w:r>
        <w:rPr>
          <w:rFonts w:hint="eastAsia" w:ascii="宋体" w:hAnsi="宋体"/>
          <w:b/>
          <w:sz w:val="36"/>
          <w:szCs w:val="36"/>
        </w:rPr>
        <w:t>十二、法人授权委托书</w:t>
      </w:r>
    </w:p>
    <w:p w14:paraId="2C2E6377">
      <w:pPr>
        <w:spacing w:line="360" w:lineRule="auto"/>
        <w:ind w:right="420" w:firstLine="560"/>
        <w:rPr>
          <w:rFonts w:ascii="宋体" w:hAnsi="宋体"/>
          <w:sz w:val="24"/>
          <w:szCs w:val="24"/>
        </w:rPr>
      </w:pPr>
      <w:r>
        <w:rPr>
          <w:rFonts w:hint="eastAsia" w:ascii="宋体" w:hAnsi="宋体"/>
          <w:sz w:val="24"/>
          <w:szCs w:val="24"/>
        </w:rPr>
        <w:t>本授权书声明：</w:t>
      </w:r>
      <w:r>
        <w:rPr>
          <w:rFonts w:hint="eastAsia" w:ascii="宋体" w:hAnsi="宋体"/>
          <w:sz w:val="24"/>
          <w:szCs w:val="24"/>
          <w:u w:val="single"/>
        </w:rPr>
        <w:t xml:space="preserve"> （投标人名称） </w:t>
      </w:r>
      <w:r>
        <w:rPr>
          <w:rFonts w:hint="eastAsia" w:ascii="宋体" w:hAnsi="宋体"/>
          <w:sz w:val="24"/>
          <w:szCs w:val="24"/>
        </w:rPr>
        <w:t>法定代表人</w:t>
      </w:r>
      <w:r>
        <w:rPr>
          <w:rFonts w:hint="eastAsia" w:ascii="宋体" w:hAnsi="宋体"/>
          <w:sz w:val="24"/>
          <w:szCs w:val="24"/>
          <w:u w:val="single"/>
        </w:rPr>
        <w:t xml:space="preserve"> （姓名） </w:t>
      </w:r>
      <w:r>
        <w:rPr>
          <w:rFonts w:hint="eastAsia" w:ascii="宋体" w:hAnsi="宋体"/>
          <w:sz w:val="24"/>
          <w:szCs w:val="24"/>
        </w:rPr>
        <w:t>授权</w:t>
      </w:r>
      <w:r>
        <w:rPr>
          <w:rFonts w:hint="eastAsia" w:ascii="宋体" w:hAnsi="宋体"/>
          <w:sz w:val="24"/>
          <w:szCs w:val="24"/>
          <w:u w:val="single"/>
        </w:rPr>
        <w:t>（委托代理人的姓名、职务）</w:t>
      </w:r>
      <w:r>
        <w:rPr>
          <w:rFonts w:hint="eastAsia" w:ascii="宋体" w:hAnsi="宋体"/>
          <w:sz w:val="24"/>
          <w:szCs w:val="24"/>
        </w:rPr>
        <w:t>为我方就</w:t>
      </w:r>
      <w:r>
        <w:rPr>
          <w:rFonts w:hint="eastAsia" w:ascii="宋体" w:hAnsi="宋体"/>
          <w:sz w:val="24"/>
          <w:szCs w:val="24"/>
          <w:u w:val="single"/>
        </w:rPr>
        <w:t xml:space="preserve">             （采购项目名称）</w:t>
      </w:r>
      <w:r>
        <w:rPr>
          <w:rFonts w:hint="eastAsia" w:ascii="宋体" w:hAnsi="宋体"/>
          <w:sz w:val="24"/>
          <w:szCs w:val="24"/>
        </w:rPr>
        <w:t>的投标活动的合法代理人，以本公司名义全权处理一切与该项目投标有关的事务（含合同签订）。</w:t>
      </w:r>
    </w:p>
    <w:p w14:paraId="316F062E">
      <w:pPr>
        <w:tabs>
          <w:tab w:val="left" w:pos="5560"/>
        </w:tabs>
        <w:spacing w:line="360" w:lineRule="auto"/>
        <w:ind w:firstLine="646"/>
        <w:rPr>
          <w:rFonts w:ascii="宋体" w:hAnsi="宋体"/>
          <w:sz w:val="24"/>
          <w:szCs w:val="24"/>
        </w:rPr>
      </w:pPr>
      <w:r>
        <w:rPr>
          <w:rFonts w:hint="eastAsia" w:ascii="宋体" w:hAnsi="宋体"/>
          <w:sz w:val="24"/>
          <w:szCs w:val="24"/>
        </w:rPr>
        <w:tab/>
      </w:r>
    </w:p>
    <w:p w14:paraId="205791C0">
      <w:pPr>
        <w:spacing w:line="360" w:lineRule="auto"/>
        <w:ind w:firstLine="645"/>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日签字生效，特此声明。</w:t>
      </w:r>
    </w:p>
    <w:p w14:paraId="28BECADB">
      <w:pPr>
        <w:spacing w:line="360" w:lineRule="auto"/>
        <w:ind w:firstLine="645"/>
        <w:rPr>
          <w:rFonts w:ascii="宋体" w:hAnsi="宋体"/>
          <w:sz w:val="24"/>
          <w:szCs w:val="24"/>
        </w:rPr>
      </w:pPr>
    </w:p>
    <w:p w14:paraId="1FEAE868">
      <w:pPr>
        <w:spacing w:line="360" w:lineRule="auto"/>
        <w:rPr>
          <w:rFonts w:ascii="宋体" w:hAnsi="宋体"/>
          <w:sz w:val="24"/>
          <w:szCs w:val="24"/>
          <w:u w:val="single"/>
        </w:rPr>
      </w:pPr>
      <w:r>
        <w:rPr>
          <w:rFonts w:hint="eastAsia" w:ascii="宋体" w:hAnsi="宋体"/>
          <w:sz w:val="24"/>
          <w:szCs w:val="24"/>
        </w:rPr>
        <w:t>法定代表人签字或盖章</w:t>
      </w:r>
      <w:r>
        <w:rPr>
          <w:rFonts w:hint="eastAsia" w:ascii="宋体" w:hAnsi="宋体"/>
          <w:sz w:val="24"/>
          <w:szCs w:val="24"/>
          <w:u w:val="single"/>
        </w:rPr>
        <w:t xml:space="preserve">：                        </w:t>
      </w:r>
    </w:p>
    <w:p w14:paraId="2DAEEAD3">
      <w:pPr>
        <w:spacing w:line="360" w:lineRule="auto"/>
        <w:rPr>
          <w:rFonts w:ascii="宋体" w:hAnsi="宋体"/>
          <w:sz w:val="24"/>
          <w:szCs w:val="24"/>
          <w:u w:val="single"/>
        </w:rPr>
      </w:pPr>
      <w:r>
        <w:rPr>
          <w:rFonts w:hint="eastAsia" w:ascii="宋体" w:hAnsi="宋体"/>
          <w:sz w:val="24"/>
          <w:szCs w:val="24"/>
        </w:rPr>
        <w:t xml:space="preserve">          职    务</w:t>
      </w:r>
      <w:r>
        <w:rPr>
          <w:rFonts w:hint="eastAsia" w:ascii="宋体" w:hAnsi="宋体"/>
          <w:sz w:val="24"/>
          <w:szCs w:val="24"/>
          <w:u w:val="single"/>
        </w:rPr>
        <w:t xml:space="preserve">：                        </w:t>
      </w:r>
    </w:p>
    <w:p w14:paraId="36C72033">
      <w:pPr>
        <w:spacing w:line="360" w:lineRule="auto"/>
        <w:rPr>
          <w:rFonts w:ascii="宋体" w:hAnsi="宋体"/>
          <w:sz w:val="24"/>
          <w:szCs w:val="24"/>
        </w:rPr>
      </w:pPr>
      <w:r>
        <w:rPr>
          <w:rFonts w:hint="eastAsia" w:ascii="宋体" w:hAnsi="宋体"/>
          <w:sz w:val="24"/>
          <w:szCs w:val="24"/>
        </w:rPr>
        <w:t xml:space="preserve">          </w:t>
      </w:r>
    </w:p>
    <w:p w14:paraId="553A5416">
      <w:pPr>
        <w:spacing w:line="360" w:lineRule="auto"/>
        <w:rPr>
          <w:rFonts w:ascii="宋体" w:hAnsi="宋体"/>
          <w:sz w:val="24"/>
          <w:szCs w:val="24"/>
        </w:rPr>
      </w:pPr>
      <w:r>
        <w:rPr>
          <w:rFonts w:hint="eastAsia" w:ascii="宋体" w:hAnsi="宋体"/>
          <w:sz w:val="24"/>
          <w:szCs w:val="24"/>
        </w:rPr>
        <w:t>委托代理人签字</w:t>
      </w:r>
      <w:r>
        <w:rPr>
          <w:rFonts w:hint="eastAsia" w:ascii="宋体" w:hAnsi="宋体"/>
          <w:sz w:val="24"/>
          <w:szCs w:val="24"/>
          <w:u w:val="single"/>
        </w:rPr>
        <w:t xml:space="preserve">：              </w:t>
      </w:r>
    </w:p>
    <w:p w14:paraId="290FE614">
      <w:pPr>
        <w:spacing w:line="360" w:lineRule="auto"/>
        <w:rPr>
          <w:rFonts w:ascii="宋体" w:hAnsi="宋体"/>
          <w:sz w:val="24"/>
          <w:szCs w:val="24"/>
        </w:rPr>
      </w:pPr>
      <w:r>
        <w:rPr>
          <w:rFonts w:hint="eastAsia" w:ascii="宋体" w:hAnsi="宋体"/>
          <w:sz w:val="24"/>
          <w:szCs w:val="24"/>
        </w:rPr>
        <w:t xml:space="preserve">         职    务</w:t>
      </w:r>
      <w:r>
        <w:rPr>
          <w:rFonts w:hint="eastAsia" w:ascii="宋体" w:hAnsi="宋体"/>
          <w:sz w:val="24"/>
          <w:szCs w:val="24"/>
          <w:u w:val="single"/>
        </w:rPr>
        <w:t xml:space="preserve">：                         </w:t>
      </w:r>
    </w:p>
    <w:p w14:paraId="029FB400">
      <w:pPr>
        <w:spacing w:line="360" w:lineRule="auto"/>
        <w:ind w:firstLine="1260"/>
        <w:rPr>
          <w:rFonts w:ascii="宋体" w:hAnsi="宋体"/>
          <w:sz w:val="24"/>
          <w:szCs w:val="24"/>
        </w:rPr>
      </w:pPr>
    </w:p>
    <w:p w14:paraId="6F09064B">
      <w:pPr>
        <w:spacing w:line="360" w:lineRule="auto"/>
        <w:rPr>
          <w:rFonts w:ascii="宋体" w:hAnsi="宋体"/>
          <w:sz w:val="24"/>
          <w:szCs w:val="24"/>
        </w:rPr>
      </w:pPr>
    </w:p>
    <w:p w14:paraId="18A6D40B">
      <w:pPr>
        <w:spacing w:line="360" w:lineRule="auto"/>
        <w:rPr>
          <w:rFonts w:ascii="宋体" w:hAnsi="宋体"/>
          <w:sz w:val="24"/>
          <w:szCs w:val="24"/>
        </w:rPr>
      </w:pPr>
      <w:r>
        <w:rPr>
          <w:rFonts w:hint="eastAsia" w:ascii="宋体" w:hAnsi="宋体"/>
          <w:sz w:val="24"/>
          <w:szCs w:val="24"/>
        </w:rPr>
        <w:t>投标人名称：</w:t>
      </w:r>
    </w:p>
    <w:p w14:paraId="2C990207">
      <w:pPr>
        <w:spacing w:line="360" w:lineRule="auto"/>
        <w:rPr>
          <w:rFonts w:ascii="宋体" w:hAnsi="宋体"/>
          <w:sz w:val="24"/>
          <w:szCs w:val="24"/>
          <w:u w:val="single"/>
        </w:rPr>
      </w:pPr>
      <w:r>
        <w:rPr>
          <w:rFonts w:hint="eastAsia" w:ascii="宋体" w:hAnsi="宋体"/>
          <w:sz w:val="24"/>
          <w:szCs w:val="24"/>
        </w:rPr>
        <w:t>日     期：</w:t>
      </w:r>
    </w:p>
    <w:p w14:paraId="3E557B8F">
      <w:pPr>
        <w:spacing w:line="360" w:lineRule="auto"/>
        <w:rPr>
          <w:rFonts w:ascii="宋体" w:hAnsi="宋体"/>
          <w:b/>
          <w:sz w:val="24"/>
          <w:szCs w:val="24"/>
        </w:rPr>
      </w:pPr>
      <w:r>
        <w:rPr>
          <w:rFonts w:hint="eastAsia" w:ascii="宋体" w:hAnsi="宋体"/>
          <w:b/>
          <w:sz w:val="24"/>
          <w:szCs w:val="24"/>
        </w:rPr>
        <w:t>附：委托代理人居民身份证复印件、投标人授权代表在开标前一年内任意一个月缴纳的社保证明材料</w:t>
      </w:r>
    </w:p>
    <w:p w14:paraId="74A1B600">
      <w:pPr>
        <w:spacing w:before="260" w:after="260" w:line="360" w:lineRule="auto"/>
        <w:jc w:val="left"/>
        <w:rPr>
          <w:rFonts w:ascii="宋体" w:hAnsi="宋体"/>
          <w:b/>
          <w:sz w:val="24"/>
          <w:szCs w:val="24"/>
          <w:u w:val="single"/>
        </w:rPr>
      </w:pPr>
      <w:r>
        <w:rPr>
          <w:rFonts w:hint="eastAsia" w:ascii="宋体" w:hAnsi="宋体"/>
          <w:b/>
          <w:sz w:val="24"/>
          <w:szCs w:val="24"/>
          <w:u w:val="single"/>
        </w:rPr>
        <w:t>注：“法定代表人”授权其他人（必须为投标人正式员工）投标的，需填写法定代表人身份证明书和本委托书</w:t>
      </w:r>
      <w:r>
        <w:rPr>
          <w:rFonts w:hint="eastAsia" w:ascii="宋体" w:hAnsi="宋体"/>
          <w:b/>
          <w:sz w:val="24"/>
          <w:szCs w:val="24"/>
        </w:rPr>
        <w:t>。</w:t>
      </w:r>
    </w:p>
    <w:p w14:paraId="4805F41A">
      <w:pPr>
        <w:ind w:firstLine="420"/>
        <w:rPr>
          <w:rFonts w:ascii="宋体" w:hAnsi="宋体"/>
          <w:szCs w:val="20"/>
        </w:rPr>
      </w:pPr>
    </w:p>
    <w:p w14:paraId="7A9396BC">
      <w:pPr>
        <w:adjustRightInd w:val="0"/>
        <w:snapToGrid w:val="0"/>
        <w:spacing w:before="120" w:beforeLines="50" w:after="120" w:afterLines="50" w:line="360" w:lineRule="auto"/>
        <w:jc w:val="center"/>
        <w:outlineLvl w:val="1"/>
        <w:rPr>
          <w:rFonts w:ascii="宋体" w:hAnsi="宋体"/>
          <w:b/>
          <w:sz w:val="36"/>
          <w:szCs w:val="36"/>
          <w:u w:val="single"/>
        </w:rPr>
      </w:pPr>
      <w:r>
        <w:rPr>
          <w:rFonts w:ascii="宋体" w:hAnsi="宋体"/>
          <w:b/>
          <w:sz w:val="32"/>
          <w:szCs w:val="20"/>
        </w:rPr>
        <w:br w:type="page" w:clear="all"/>
      </w:r>
      <w:r>
        <w:rPr>
          <w:rFonts w:hint="eastAsia" w:ascii="宋体" w:hAnsi="宋体"/>
          <w:b/>
          <w:sz w:val="36"/>
          <w:szCs w:val="36"/>
        </w:rPr>
        <w:t>十三、法定代表人身份证明书</w:t>
      </w:r>
    </w:p>
    <w:p w14:paraId="45F01EDB">
      <w:pPr>
        <w:spacing w:line="360" w:lineRule="auto"/>
        <w:ind w:firstLine="700"/>
        <w:rPr>
          <w:rFonts w:ascii="宋体" w:hAnsi="宋体"/>
          <w:sz w:val="28"/>
          <w:szCs w:val="28"/>
        </w:rPr>
      </w:pPr>
      <w:r>
        <w:rPr>
          <w:rFonts w:hint="eastAsia" w:ascii="宋体" w:hAnsi="宋体"/>
          <w:sz w:val="28"/>
          <w:szCs w:val="28"/>
        </w:rPr>
        <w:t>兹证明</w:t>
      </w:r>
      <w:r>
        <w:rPr>
          <w:rFonts w:hint="eastAsia" w:ascii="宋体" w:hAnsi="宋体"/>
          <w:sz w:val="28"/>
          <w:szCs w:val="28"/>
          <w:u w:val="single"/>
        </w:rPr>
        <w:t xml:space="preserve"> （姓名） </w:t>
      </w:r>
      <w:r>
        <w:rPr>
          <w:rFonts w:hint="eastAsia" w:ascii="宋体" w:hAnsi="宋体"/>
          <w:sz w:val="28"/>
          <w:szCs w:val="28"/>
        </w:rPr>
        <w:t>同志，性别</w:t>
      </w:r>
      <w:r>
        <w:rPr>
          <w:rFonts w:hint="eastAsia" w:ascii="宋体" w:hAnsi="宋体"/>
          <w:sz w:val="28"/>
          <w:szCs w:val="28"/>
          <w:u w:val="single"/>
        </w:rPr>
        <w:t xml:space="preserve">     </w:t>
      </w:r>
      <w:r>
        <w:rPr>
          <w:rFonts w:hint="eastAsia" w:ascii="宋体" w:hAnsi="宋体"/>
          <w:sz w:val="28"/>
          <w:szCs w:val="28"/>
        </w:rPr>
        <w:t>，居民身份证号</w:t>
      </w:r>
      <w:r>
        <w:rPr>
          <w:rFonts w:hint="eastAsia" w:ascii="宋体" w:hAnsi="宋体"/>
          <w:sz w:val="28"/>
          <w:szCs w:val="28"/>
          <w:u w:val="single"/>
        </w:rPr>
        <w:t xml:space="preserve">           </w:t>
      </w:r>
      <w:r>
        <w:rPr>
          <w:rFonts w:hint="eastAsia" w:ascii="宋体" w:hAnsi="宋体"/>
          <w:sz w:val="28"/>
          <w:szCs w:val="28"/>
        </w:rPr>
        <w:t>，在我单位任</w:t>
      </w:r>
      <w:r>
        <w:rPr>
          <w:rFonts w:hint="eastAsia" w:ascii="宋体" w:hAnsi="宋体"/>
          <w:sz w:val="28"/>
          <w:szCs w:val="28"/>
          <w:u w:val="single"/>
        </w:rPr>
        <w:t xml:space="preserve">               </w:t>
      </w:r>
      <w:r>
        <w:rPr>
          <w:rFonts w:hint="eastAsia" w:ascii="宋体" w:hAnsi="宋体"/>
          <w:sz w:val="28"/>
          <w:szCs w:val="28"/>
        </w:rPr>
        <w:t>职务，系我单位主要负责人即法定代表人。</w:t>
      </w:r>
    </w:p>
    <w:p w14:paraId="0D979CF6">
      <w:pPr>
        <w:spacing w:line="360" w:lineRule="auto"/>
        <w:rPr>
          <w:rFonts w:ascii="宋体" w:hAnsi="宋体"/>
          <w:sz w:val="28"/>
          <w:szCs w:val="28"/>
        </w:rPr>
      </w:pPr>
    </w:p>
    <w:p w14:paraId="68F4962E">
      <w:pPr>
        <w:spacing w:line="360" w:lineRule="auto"/>
        <w:rPr>
          <w:rFonts w:ascii="宋体" w:hAnsi="宋体"/>
          <w:sz w:val="28"/>
          <w:szCs w:val="28"/>
        </w:rPr>
      </w:pPr>
    </w:p>
    <w:p w14:paraId="22878E07">
      <w:pPr>
        <w:spacing w:line="360" w:lineRule="auto"/>
        <w:rPr>
          <w:rFonts w:ascii="宋体" w:hAnsi="宋体"/>
          <w:sz w:val="28"/>
          <w:szCs w:val="28"/>
        </w:rPr>
      </w:pPr>
      <w:r>
        <w:rPr>
          <w:rFonts w:hint="eastAsia" w:ascii="宋体" w:hAnsi="宋体"/>
          <w:sz w:val="28"/>
          <w:szCs w:val="28"/>
        </w:rPr>
        <w:t>单位地址：</w:t>
      </w:r>
    </w:p>
    <w:p w14:paraId="7A1BC8CC">
      <w:pPr>
        <w:spacing w:line="360" w:lineRule="auto"/>
        <w:rPr>
          <w:rFonts w:ascii="宋体" w:hAnsi="宋体"/>
          <w:sz w:val="28"/>
          <w:szCs w:val="28"/>
        </w:rPr>
      </w:pPr>
    </w:p>
    <w:p w14:paraId="40B1C2DD">
      <w:pPr>
        <w:spacing w:line="360" w:lineRule="auto"/>
        <w:rPr>
          <w:rFonts w:ascii="宋体" w:hAnsi="宋体"/>
          <w:sz w:val="28"/>
          <w:szCs w:val="28"/>
        </w:rPr>
      </w:pPr>
      <w:r>
        <w:rPr>
          <w:rFonts w:hint="eastAsia" w:ascii="宋体" w:hAnsi="宋体"/>
          <w:sz w:val="28"/>
          <w:szCs w:val="28"/>
        </w:rPr>
        <w:t>电    话：</w:t>
      </w:r>
    </w:p>
    <w:p w14:paraId="30DB8F02">
      <w:pPr>
        <w:spacing w:line="360" w:lineRule="auto"/>
        <w:rPr>
          <w:rFonts w:ascii="宋体" w:hAnsi="宋体"/>
          <w:sz w:val="28"/>
          <w:szCs w:val="28"/>
        </w:rPr>
      </w:pPr>
    </w:p>
    <w:p w14:paraId="7AFC0EFB">
      <w:pPr>
        <w:spacing w:line="360" w:lineRule="auto"/>
        <w:rPr>
          <w:rFonts w:ascii="宋体" w:hAnsi="宋体"/>
          <w:sz w:val="28"/>
          <w:szCs w:val="28"/>
        </w:rPr>
      </w:pPr>
      <w:r>
        <w:rPr>
          <w:rFonts w:hint="eastAsia" w:ascii="宋体" w:hAnsi="宋体"/>
          <w:sz w:val="28"/>
          <w:szCs w:val="28"/>
        </w:rPr>
        <w:t xml:space="preserve">单位全称： </w:t>
      </w:r>
    </w:p>
    <w:p w14:paraId="3A46D9CE">
      <w:pPr>
        <w:spacing w:line="360" w:lineRule="auto"/>
        <w:rPr>
          <w:rFonts w:ascii="宋体" w:hAnsi="宋体"/>
          <w:sz w:val="28"/>
          <w:szCs w:val="28"/>
        </w:rPr>
      </w:pPr>
      <w:r>
        <w:rPr>
          <w:rFonts w:hint="eastAsia" w:ascii="宋体" w:hAnsi="宋体"/>
          <w:sz w:val="28"/>
          <w:szCs w:val="28"/>
        </w:rPr>
        <w:t xml:space="preserve">  </w:t>
      </w:r>
    </w:p>
    <w:p w14:paraId="0CCC4819">
      <w:pPr>
        <w:spacing w:line="360" w:lineRule="auto"/>
        <w:rPr>
          <w:rFonts w:ascii="宋体" w:hAnsi="宋体"/>
          <w:sz w:val="28"/>
          <w:szCs w:val="28"/>
        </w:rPr>
      </w:pPr>
      <w:r>
        <w:rPr>
          <w:rFonts w:hint="eastAsia" w:ascii="宋体" w:hAnsi="宋体"/>
          <w:sz w:val="28"/>
          <w:szCs w:val="28"/>
        </w:rPr>
        <w:t xml:space="preserve"> </w:t>
      </w:r>
    </w:p>
    <w:p w14:paraId="3F762E9B">
      <w:pPr>
        <w:spacing w:line="360" w:lineRule="auto"/>
        <w:jc w:val="center"/>
        <w:rPr>
          <w:rFonts w:ascii="宋体" w:hAnsi="宋体"/>
          <w:sz w:val="28"/>
          <w:szCs w:val="28"/>
        </w:rPr>
      </w:pPr>
    </w:p>
    <w:p w14:paraId="6F0A351A">
      <w:pPr>
        <w:spacing w:line="360" w:lineRule="auto"/>
        <w:jc w:val="right"/>
        <w:rPr>
          <w:rFonts w:ascii="宋体" w:hAnsi="宋体"/>
          <w:sz w:val="28"/>
          <w:szCs w:val="28"/>
        </w:rPr>
      </w:pPr>
    </w:p>
    <w:p w14:paraId="1087BC55">
      <w:pPr>
        <w:tabs>
          <w:tab w:val="left" w:pos="7290"/>
        </w:tabs>
        <w:spacing w:line="360" w:lineRule="auto"/>
        <w:rPr>
          <w:rFonts w:ascii="宋体" w:hAnsi="宋体"/>
          <w:sz w:val="28"/>
          <w:szCs w:val="28"/>
        </w:rPr>
      </w:pPr>
      <w:r>
        <w:rPr>
          <w:rFonts w:hint="eastAsia" w:ascii="宋体" w:hAnsi="宋体"/>
          <w:sz w:val="28"/>
          <w:szCs w:val="28"/>
        </w:rPr>
        <w:t xml:space="preserve">                                 年     月    日</w:t>
      </w:r>
    </w:p>
    <w:p w14:paraId="39677D60">
      <w:pPr>
        <w:spacing w:line="360" w:lineRule="auto"/>
        <w:rPr>
          <w:rFonts w:ascii="宋体" w:hAnsi="宋体"/>
          <w:sz w:val="28"/>
          <w:szCs w:val="28"/>
        </w:rPr>
      </w:pPr>
    </w:p>
    <w:p w14:paraId="703B837A">
      <w:pPr>
        <w:spacing w:line="360" w:lineRule="auto"/>
        <w:rPr>
          <w:rFonts w:ascii="宋体" w:hAnsi="宋体"/>
          <w:sz w:val="28"/>
          <w:szCs w:val="28"/>
        </w:rPr>
      </w:pPr>
    </w:p>
    <w:p w14:paraId="129F09F5">
      <w:pPr>
        <w:spacing w:line="360" w:lineRule="auto"/>
        <w:rPr>
          <w:rFonts w:ascii="宋体" w:hAnsi="宋体"/>
          <w:sz w:val="28"/>
          <w:szCs w:val="28"/>
        </w:rPr>
      </w:pPr>
    </w:p>
    <w:p w14:paraId="482C571B">
      <w:pPr>
        <w:spacing w:line="360" w:lineRule="auto"/>
        <w:jc w:val="left"/>
        <w:rPr>
          <w:rFonts w:ascii="宋体" w:hAnsi="宋体"/>
          <w:b/>
          <w:sz w:val="28"/>
          <w:szCs w:val="28"/>
        </w:rPr>
      </w:pPr>
      <w:r>
        <w:rPr>
          <w:rFonts w:hint="eastAsia" w:ascii="宋体" w:hAnsi="宋体"/>
          <w:b/>
          <w:sz w:val="28"/>
          <w:szCs w:val="28"/>
        </w:rPr>
        <w:t>附：法定代表人居民身份证复印件</w:t>
      </w:r>
    </w:p>
    <w:p w14:paraId="7DC528F4">
      <w:pPr>
        <w:tabs>
          <w:tab w:val="left" w:pos="7290"/>
        </w:tabs>
        <w:spacing w:line="360" w:lineRule="auto"/>
        <w:rPr>
          <w:rFonts w:ascii="宋体" w:hAnsi="宋体"/>
          <w:sz w:val="28"/>
          <w:szCs w:val="28"/>
        </w:rPr>
      </w:pPr>
      <w:r>
        <w:rPr>
          <w:rFonts w:hint="eastAsia" w:ascii="宋体" w:hAnsi="宋体"/>
          <w:sz w:val="28"/>
          <w:szCs w:val="28"/>
          <w:u w:val="single"/>
        </w:rPr>
        <w:t>注：1、“法定代表人”直接参加投标响应活动的仅需填写本身份证明，法定代表人印章与其签字效力等同。</w:t>
      </w:r>
    </w:p>
    <w:p w14:paraId="2B19C9AD">
      <w:pPr>
        <w:pStyle w:val="935"/>
        <w:spacing w:before="143" w:after="0" w:line="360" w:lineRule="auto"/>
        <w:jc w:val="center"/>
        <w:outlineLvl w:val="1"/>
        <w:rPr>
          <w:rFonts w:ascii="宋体" w:hAnsi="宋体"/>
          <w:bCs/>
          <w:lang w:eastAsia="zh-CN"/>
        </w:rPr>
      </w:pPr>
      <w:r>
        <w:rPr>
          <w:rFonts w:ascii="宋体" w:hAnsi="宋体"/>
          <w:sz w:val="28"/>
          <w:szCs w:val="24"/>
          <w:lang w:eastAsia="zh-CN"/>
        </w:rPr>
        <w:br w:type="page" w:clear="all"/>
      </w:r>
      <w:r>
        <w:rPr>
          <w:rFonts w:hint="eastAsia" w:ascii="宋体" w:hAnsi="宋体"/>
          <w:lang w:eastAsia="zh-CN"/>
        </w:rPr>
        <w:t>十四、</w:t>
      </w:r>
      <w:bookmarkStart w:id="116" w:name="_Hlk172037496"/>
      <w:bookmarkStart w:id="117" w:name="_Hlk60665956"/>
      <w:bookmarkStart w:id="118" w:name="_Hlk150951765"/>
      <w:r>
        <w:rPr>
          <w:rFonts w:hint="eastAsia" w:ascii="宋体" w:hAnsi="宋体"/>
          <w:lang w:eastAsia="zh-CN"/>
        </w:rPr>
        <w:t>中小微企业声明函（货物类项目）</w:t>
      </w:r>
    </w:p>
    <w:p w14:paraId="6854BE7D">
      <w:pPr>
        <w:pStyle w:val="936"/>
        <w:ind w:firstLine="480"/>
        <w:rPr>
          <w:rFonts w:ascii="宋体" w:hAnsi="宋体" w:eastAsia="宋体"/>
          <w:sz w:val="24"/>
          <w:szCs w:val="24"/>
          <w:lang w:eastAsia="zh-CN"/>
        </w:rPr>
      </w:pPr>
    </w:p>
    <w:p w14:paraId="52D3CECF">
      <w:pPr>
        <w:pStyle w:val="936"/>
        <w:spacing w:line="400" w:lineRule="exact"/>
        <w:ind w:firstLine="480"/>
        <w:rPr>
          <w:rFonts w:ascii="宋体" w:hAnsi="宋体" w:eastAsia="宋体"/>
          <w:sz w:val="24"/>
          <w:szCs w:val="24"/>
          <w:lang w:eastAsia="zh-CN"/>
        </w:rPr>
      </w:pPr>
      <w:r>
        <w:rPr>
          <w:rFonts w:ascii="宋体" w:hAnsi="宋体" w:eastAsia="宋体"/>
          <w:sz w:val="24"/>
          <w:szCs w:val="24"/>
          <w:lang w:eastAsia="zh-CN"/>
        </w:rPr>
        <w:t>本公司</w:t>
      </w:r>
      <w:r>
        <w:rPr>
          <w:rFonts w:hint="eastAsia" w:ascii="宋体" w:hAnsi="宋体" w:eastAsia="宋体"/>
          <w:sz w:val="24"/>
          <w:szCs w:val="24"/>
          <w:lang w:eastAsia="zh-CN"/>
        </w:rPr>
        <w:t>（联合体）</w:t>
      </w:r>
      <w:r>
        <w:rPr>
          <w:rFonts w:ascii="宋体" w:hAnsi="宋体" w:eastAsia="宋体"/>
          <w:sz w:val="24"/>
          <w:szCs w:val="24"/>
          <w:lang w:eastAsia="zh-CN"/>
        </w:rPr>
        <w:t>郑重声明，根据《政府采购促进中小企业发展管理办法》（财库</w:t>
      </w:r>
      <w:r>
        <w:rPr>
          <w:rFonts w:hint="eastAsia" w:ascii="宋体" w:hAnsi="宋体" w:eastAsia="宋体"/>
          <w:sz w:val="24"/>
          <w:szCs w:val="24"/>
          <w:lang w:eastAsia="zh-CN"/>
        </w:rPr>
        <w:t>﹝</w:t>
      </w:r>
      <w:r>
        <w:rPr>
          <w:rFonts w:ascii="宋体" w:hAnsi="宋体" w:eastAsia="宋体"/>
          <w:sz w:val="24"/>
          <w:szCs w:val="24"/>
          <w:lang w:eastAsia="zh-CN"/>
        </w:rPr>
        <w:t>2020</w:t>
      </w:r>
      <w:r>
        <w:rPr>
          <w:rFonts w:hint="eastAsia" w:ascii="宋体" w:hAnsi="宋体" w:eastAsia="宋体"/>
          <w:sz w:val="24"/>
          <w:szCs w:val="24"/>
          <w:lang w:eastAsia="zh-CN"/>
        </w:rPr>
        <w:t>﹞</w:t>
      </w:r>
      <w:r>
        <w:rPr>
          <w:rFonts w:ascii="宋体" w:hAnsi="宋体" w:eastAsia="宋体"/>
          <w:sz w:val="24"/>
          <w:szCs w:val="24"/>
          <w:lang w:eastAsia="zh-CN"/>
        </w:rPr>
        <w:t>46 号）的规定，本公司</w:t>
      </w:r>
      <w:r>
        <w:rPr>
          <w:rFonts w:hint="eastAsia" w:ascii="宋体" w:hAnsi="宋体" w:eastAsia="宋体"/>
          <w:sz w:val="24"/>
          <w:szCs w:val="24"/>
          <w:lang w:eastAsia="zh-CN"/>
        </w:rPr>
        <w:t>（联合体）</w:t>
      </w:r>
      <w:r>
        <w:rPr>
          <w:rFonts w:ascii="宋体" w:hAnsi="宋体" w:eastAsia="宋体"/>
          <w:sz w:val="24"/>
          <w:szCs w:val="24"/>
          <w:lang w:eastAsia="zh-CN"/>
        </w:rPr>
        <w:t>参加</w:t>
      </w:r>
      <w:r>
        <w:rPr>
          <w:rFonts w:hint="eastAsia" w:ascii="宋体" w:hAnsi="宋体" w:eastAsia="宋体"/>
          <w:sz w:val="24"/>
          <w:szCs w:val="24"/>
          <w:u w:val="single"/>
          <w:lang w:eastAsia="zh-CN"/>
        </w:rPr>
        <w:t xml:space="preserve"> </w:t>
      </w:r>
      <w:r>
        <w:rPr>
          <w:rFonts w:ascii="宋体" w:hAnsi="宋体" w:eastAsia="宋体"/>
          <w:sz w:val="24"/>
          <w:szCs w:val="24"/>
          <w:u w:val="single"/>
          <w:lang w:eastAsia="zh-CN"/>
        </w:rPr>
        <w:t xml:space="preserve"> </w:t>
      </w:r>
      <w:r>
        <w:rPr>
          <w:rFonts w:hint="eastAsia" w:ascii="宋体" w:hAnsi="宋体" w:eastAsia="宋体"/>
          <w:sz w:val="24"/>
          <w:szCs w:val="24"/>
          <w:u w:val="single"/>
          <w:lang w:eastAsia="zh-CN"/>
        </w:rPr>
        <w:t>[</w:t>
      </w:r>
      <w:r>
        <w:rPr>
          <w:rFonts w:ascii="宋体" w:hAnsi="宋体" w:eastAsia="宋体"/>
          <w:sz w:val="24"/>
          <w:szCs w:val="24"/>
          <w:u w:val="single"/>
          <w:lang w:eastAsia="zh-CN"/>
        </w:rPr>
        <w:t>单位名称</w:t>
      </w:r>
      <w:r>
        <w:rPr>
          <w:rFonts w:hint="eastAsia" w:ascii="宋体" w:hAnsi="宋体" w:eastAsia="宋体"/>
          <w:sz w:val="24"/>
          <w:szCs w:val="24"/>
          <w:u w:val="single"/>
          <w:lang w:eastAsia="zh-CN"/>
        </w:rPr>
        <w:t xml:space="preserve">] </w:t>
      </w:r>
      <w:r>
        <w:rPr>
          <w:rFonts w:ascii="宋体" w:hAnsi="宋体" w:eastAsia="宋体"/>
          <w:sz w:val="24"/>
          <w:szCs w:val="24"/>
          <w:u w:val="single"/>
          <w:lang w:eastAsia="zh-CN"/>
        </w:rPr>
        <w:t xml:space="preserve"> </w:t>
      </w:r>
      <w:r>
        <w:rPr>
          <w:rFonts w:ascii="宋体" w:hAnsi="宋体" w:eastAsia="宋体"/>
          <w:sz w:val="24"/>
          <w:szCs w:val="24"/>
          <w:lang w:eastAsia="zh-CN"/>
        </w:rPr>
        <w:t>的</w:t>
      </w:r>
      <w:r>
        <w:rPr>
          <w:rFonts w:hint="eastAsia" w:ascii="宋体" w:hAnsi="宋体" w:eastAsia="宋体"/>
          <w:sz w:val="24"/>
          <w:szCs w:val="24"/>
          <w:u w:val="single"/>
          <w:lang w:eastAsia="zh-CN"/>
        </w:rPr>
        <w:t xml:space="preserve"> </w:t>
      </w:r>
      <w:r>
        <w:rPr>
          <w:rFonts w:ascii="宋体" w:hAnsi="宋体" w:eastAsia="宋体"/>
          <w:sz w:val="24"/>
          <w:szCs w:val="24"/>
          <w:u w:val="single"/>
          <w:lang w:eastAsia="zh-CN"/>
        </w:rPr>
        <w:t xml:space="preserve"> </w:t>
      </w:r>
      <w:r>
        <w:rPr>
          <w:rFonts w:hint="eastAsia" w:ascii="宋体" w:hAnsi="宋体" w:eastAsia="宋体"/>
          <w:sz w:val="24"/>
          <w:szCs w:val="24"/>
          <w:u w:val="single"/>
          <w:lang w:eastAsia="zh-CN"/>
        </w:rPr>
        <w:t>[</w:t>
      </w:r>
      <w:r>
        <w:rPr>
          <w:rFonts w:ascii="宋体" w:hAnsi="宋体" w:eastAsia="宋体"/>
          <w:sz w:val="24"/>
          <w:szCs w:val="24"/>
          <w:u w:val="single"/>
          <w:lang w:eastAsia="zh-CN"/>
        </w:rPr>
        <w:t>项目名称</w:t>
      </w:r>
      <w:r>
        <w:rPr>
          <w:rFonts w:hint="eastAsia" w:ascii="宋体" w:hAnsi="宋体" w:eastAsia="宋体"/>
          <w:sz w:val="24"/>
          <w:szCs w:val="24"/>
          <w:u w:val="single"/>
          <w:lang w:eastAsia="zh-CN"/>
        </w:rPr>
        <w:t>]</w:t>
      </w:r>
      <w:r>
        <w:rPr>
          <w:rFonts w:ascii="宋体" w:hAnsi="宋体" w:eastAsia="宋体"/>
          <w:sz w:val="24"/>
          <w:szCs w:val="24"/>
          <w:u w:val="single"/>
          <w:lang w:eastAsia="zh-CN"/>
        </w:rPr>
        <w:t xml:space="preserve">  </w:t>
      </w:r>
      <w:r>
        <w:rPr>
          <w:rFonts w:ascii="宋体" w:hAnsi="宋体" w:eastAsia="宋体"/>
          <w:sz w:val="24"/>
          <w:szCs w:val="24"/>
          <w:lang w:eastAsia="zh-CN"/>
        </w:rPr>
        <w:t>采购活动，提供的货物全部由符合政策要求的</w:t>
      </w:r>
      <w:r>
        <w:rPr>
          <w:rFonts w:hint="eastAsia" w:ascii="宋体" w:hAnsi="宋体" w:eastAsia="宋体"/>
          <w:sz w:val="24"/>
          <w:szCs w:val="24"/>
          <w:lang w:eastAsia="zh-CN"/>
        </w:rPr>
        <w:t>中小</w:t>
      </w:r>
      <w:r>
        <w:rPr>
          <w:rFonts w:ascii="宋体" w:hAnsi="宋体" w:eastAsia="宋体"/>
          <w:sz w:val="24"/>
          <w:szCs w:val="24"/>
          <w:lang w:eastAsia="zh-CN"/>
        </w:rPr>
        <w:t>企业制造。相关企业的具体情况如下：</w:t>
      </w:r>
    </w:p>
    <w:p w14:paraId="794430D1">
      <w:pPr>
        <w:pStyle w:val="937"/>
        <w:tabs>
          <w:tab w:val="left" w:pos="1184"/>
          <w:tab w:val="left" w:pos="1384"/>
          <w:tab w:val="left" w:pos="4562"/>
          <w:tab w:val="left" w:pos="6803"/>
        </w:tabs>
        <w:spacing w:line="400" w:lineRule="exact"/>
        <w:ind w:firstLine="480"/>
        <w:rPr>
          <w:rFonts w:ascii="宋体" w:hAnsi="宋体"/>
          <w:sz w:val="24"/>
          <w:szCs w:val="24"/>
        </w:rPr>
      </w:pPr>
      <w:r>
        <w:rPr>
          <w:rFonts w:hint="eastAsia" w:ascii="宋体" w:hAnsi="宋体"/>
          <w:sz w:val="24"/>
          <w:szCs w:val="24"/>
        </w:rPr>
        <w:t>1、</w:t>
      </w:r>
      <w:r>
        <w:rPr>
          <w:rFonts w:hint="eastAsia" w:ascii="宋体" w:hAnsi="宋体"/>
          <w:sz w:val="24"/>
          <w:szCs w:val="24"/>
          <w:u w:val="single"/>
        </w:rPr>
        <w:t xml:space="preserve"> [</w:t>
      </w:r>
      <w:r>
        <w:rPr>
          <w:rFonts w:ascii="宋体" w:hAnsi="宋体"/>
          <w:sz w:val="24"/>
          <w:szCs w:val="24"/>
          <w:u w:val="single"/>
        </w:rPr>
        <w:t>标的名称</w:t>
      </w:r>
      <w:r>
        <w:rPr>
          <w:rFonts w:hint="eastAsia" w:ascii="宋体" w:hAnsi="宋体"/>
          <w:sz w:val="24"/>
          <w:szCs w:val="24"/>
          <w:u w:val="single"/>
        </w:rPr>
        <w:t>：填报招标文件第三章中明确的标的名称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bookmarkStart w:id="119" w:name="_Hlk88135527"/>
      <w:r>
        <w:rPr>
          <w:rFonts w:ascii="宋体" w:hAnsi="宋体"/>
          <w:sz w:val="24"/>
          <w:szCs w:val="24"/>
          <w:u w:val="single"/>
        </w:rPr>
        <w:t>[</w:t>
      </w:r>
      <w:r>
        <w:rPr>
          <w:rFonts w:hint="eastAsia" w:ascii="宋体" w:hAnsi="宋体"/>
          <w:sz w:val="24"/>
          <w:szCs w:val="24"/>
          <w:u w:val="single"/>
        </w:rPr>
        <w:t>填报采购文件中明确的所属行业</w:t>
      </w:r>
      <w:r>
        <w:rPr>
          <w:rFonts w:ascii="宋体" w:hAnsi="宋体"/>
          <w:sz w:val="24"/>
          <w:szCs w:val="24"/>
          <w:u w:val="single"/>
        </w:rPr>
        <w:t>]</w:t>
      </w:r>
      <w:bookmarkEnd w:id="119"/>
      <w:r>
        <w:rPr>
          <w:rFonts w:ascii="宋体" w:hAnsi="宋体"/>
          <w:sz w:val="24"/>
          <w:szCs w:val="24"/>
          <w:u w:val="single"/>
        </w:rPr>
        <w:t xml:space="preserve"> </w:t>
      </w:r>
      <w:r>
        <w:rPr>
          <w:rFonts w:ascii="宋体" w:hAnsi="宋体"/>
          <w:sz w:val="24"/>
          <w:szCs w:val="24"/>
        </w:rPr>
        <w:t>行业；</w:t>
      </w:r>
      <w:r>
        <w:rPr>
          <w:rFonts w:hint="eastAsia" w:ascii="宋体" w:hAnsi="宋体"/>
          <w:sz w:val="24"/>
          <w:szCs w:val="24"/>
        </w:rPr>
        <w:t>投标产品</w:t>
      </w:r>
      <w:r>
        <w:rPr>
          <w:rFonts w:ascii="宋体" w:hAnsi="宋体"/>
          <w:sz w:val="24"/>
          <w:szCs w:val="24"/>
        </w:rPr>
        <w:t>制造商为</w:t>
      </w:r>
      <w:r>
        <w:rPr>
          <w:rFonts w:ascii="宋体" w:hAnsi="宋体"/>
          <w:sz w:val="24"/>
          <w:szCs w:val="24"/>
          <w:u w:val="single"/>
        </w:rPr>
        <w:t xml:space="preserve"> [企业名称</w:t>
      </w:r>
      <w:r>
        <w:rPr>
          <w:rFonts w:hint="eastAsia" w:ascii="宋体" w:hAnsi="宋体"/>
          <w:sz w:val="24"/>
          <w:szCs w:val="24"/>
          <w:u w:val="single"/>
        </w:rPr>
        <w:t>]</w:t>
      </w:r>
      <w:r>
        <w:rPr>
          <w:rFonts w:ascii="宋体" w:hAnsi="宋体"/>
          <w:sz w:val="24"/>
          <w:szCs w:val="24"/>
          <w:u w:val="single"/>
        </w:rPr>
        <w:t xml:space="preserve"> </w:t>
      </w:r>
      <w:r>
        <w:rPr>
          <w:rFonts w:ascii="宋体" w:hAnsi="宋体"/>
          <w:sz w:val="24"/>
          <w:szCs w:val="24"/>
        </w:rPr>
        <w:t>，从业人员</w:t>
      </w:r>
      <w:r>
        <w:rPr>
          <w:rFonts w:ascii="宋体" w:hAnsi="宋体"/>
          <w:sz w:val="24"/>
          <w:szCs w:val="24"/>
          <w:u w:val="single"/>
        </w:rPr>
        <w:t xml:space="preserve">    </w:t>
      </w:r>
      <w:r>
        <w:rPr>
          <w:rFonts w:ascii="宋体" w:hAnsi="宋体"/>
          <w:sz w:val="24"/>
          <w:szCs w:val="24"/>
        </w:rPr>
        <w:t>人，营业收入为</w:t>
      </w:r>
      <w:r>
        <w:rPr>
          <w:rFonts w:ascii="宋体" w:hAnsi="宋体"/>
          <w:sz w:val="24"/>
          <w:szCs w:val="24"/>
          <w:u w:val="single"/>
        </w:rPr>
        <w:t xml:space="preserve">     </w:t>
      </w:r>
      <w:r>
        <w:rPr>
          <w:rFonts w:ascii="宋体" w:hAnsi="宋体"/>
          <w:sz w:val="24"/>
          <w:szCs w:val="24"/>
        </w:rPr>
        <w:t>万元，资产总额为</w:t>
      </w:r>
      <w:r>
        <w:rPr>
          <w:rFonts w:ascii="宋体" w:hAnsi="宋体"/>
          <w:sz w:val="24"/>
          <w:szCs w:val="24"/>
          <w:u w:val="single"/>
        </w:rPr>
        <w:t xml:space="preserve">    </w:t>
      </w:r>
      <w:r>
        <w:rPr>
          <w:rFonts w:ascii="宋体" w:hAnsi="宋体"/>
          <w:sz w:val="24"/>
          <w:szCs w:val="24"/>
        </w:rPr>
        <w:t>万元，属于</w:t>
      </w:r>
      <w:r>
        <w:rPr>
          <w:rFonts w:hint="eastAsia" w:ascii="宋体" w:hAnsi="宋体"/>
          <w:sz w:val="24"/>
          <w:szCs w:val="24"/>
          <w:u w:val="single"/>
        </w:rPr>
        <w:t xml:space="preserve"> </w:t>
      </w:r>
      <w:r>
        <w:rPr>
          <w:rFonts w:ascii="Wingdings 2" w:hAnsi="Wingdings 2" w:eastAsia="Wingdings 2" w:cs="Wingdings 2"/>
          <w:sz w:val="24"/>
          <w:szCs w:val="24"/>
          <w:u w:val="single"/>
        </w:rPr>
        <w:t></w:t>
      </w:r>
      <w:r>
        <w:rPr>
          <w:rFonts w:hint="eastAsia" w:ascii="宋体" w:hAnsi="宋体"/>
          <w:sz w:val="24"/>
          <w:szCs w:val="24"/>
          <w:u w:val="single"/>
        </w:rPr>
        <w:t>中</w:t>
      </w:r>
      <w:r>
        <w:rPr>
          <w:rFonts w:ascii="宋体" w:hAnsi="宋体"/>
          <w:sz w:val="24"/>
          <w:szCs w:val="24"/>
          <w:u w:val="single"/>
        </w:rPr>
        <w:t>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w:t>
      </w:r>
      <w:r>
        <w:rPr>
          <w:rFonts w:ascii="宋体" w:hAnsi="宋体"/>
          <w:sz w:val="24"/>
          <w:szCs w:val="24"/>
          <w:u w:val="single"/>
        </w:rPr>
        <w:t>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w:t>
      </w:r>
      <w:r>
        <w:rPr>
          <w:rFonts w:ascii="宋体" w:hAnsi="宋体"/>
          <w:sz w:val="24"/>
          <w:szCs w:val="24"/>
          <w:u w:val="single"/>
        </w:rPr>
        <w:t>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w:t>
      </w:r>
    </w:p>
    <w:p w14:paraId="328E5FF8">
      <w:pPr>
        <w:pStyle w:val="937"/>
        <w:tabs>
          <w:tab w:val="left" w:pos="1184"/>
          <w:tab w:val="left" w:pos="1384"/>
          <w:tab w:val="left" w:pos="4562"/>
          <w:tab w:val="left" w:pos="6803"/>
        </w:tabs>
        <w:spacing w:line="400" w:lineRule="exact"/>
        <w:ind w:firstLine="480"/>
        <w:rPr>
          <w:rFonts w:ascii="宋体" w:hAnsi="宋体"/>
          <w:sz w:val="24"/>
          <w:szCs w:val="24"/>
        </w:rPr>
      </w:pPr>
      <w:r>
        <w:rPr>
          <w:rFonts w:ascii="宋体" w:hAnsi="宋体"/>
          <w:sz w:val="24"/>
          <w:szCs w:val="24"/>
        </w:rPr>
        <w:t>2</w:t>
      </w:r>
      <w:r>
        <w:rPr>
          <w:rFonts w:hint="eastAsia" w:ascii="宋体" w:hAnsi="宋体"/>
          <w:sz w:val="24"/>
          <w:szCs w:val="24"/>
        </w:rPr>
        <w:t>、</w:t>
      </w:r>
      <w:r>
        <w:rPr>
          <w:rFonts w:hint="eastAsia" w:ascii="宋体" w:hAnsi="宋体"/>
          <w:sz w:val="24"/>
          <w:szCs w:val="24"/>
          <w:u w:val="single"/>
        </w:rPr>
        <w:t>[</w:t>
      </w:r>
      <w:r>
        <w:rPr>
          <w:rFonts w:ascii="宋体" w:hAnsi="宋体"/>
          <w:sz w:val="24"/>
          <w:szCs w:val="24"/>
          <w:u w:val="single"/>
        </w:rPr>
        <w:t>标的名称</w:t>
      </w:r>
      <w:r>
        <w:rPr>
          <w:rFonts w:hint="eastAsia" w:ascii="宋体" w:hAnsi="宋体"/>
          <w:sz w:val="24"/>
          <w:szCs w:val="24"/>
          <w:u w:val="single"/>
        </w:rPr>
        <w:t>：填报招标文件第三章中明确的标的名称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填报采购文件中明确的所属行业</w:t>
      </w:r>
      <w:r>
        <w:rPr>
          <w:rFonts w:ascii="宋体" w:hAnsi="宋体"/>
          <w:sz w:val="24"/>
          <w:szCs w:val="24"/>
          <w:u w:val="single"/>
        </w:rPr>
        <w:t xml:space="preserve">] </w:t>
      </w:r>
      <w:r>
        <w:rPr>
          <w:rFonts w:ascii="宋体" w:hAnsi="宋体"/>
          <w:sz w:val="24"/>
          <w:szCs w:val="24"/>
        </w:rPr>
        <w:t>行业；</w:t>
      </w:r>
      <w:r>
        <w:rPr>
          <w:rFonts w:hint="eastAsia" w:ascii="宋体" w:hAnsi="宋体"/>
          <w:sz w:val="24"/>
          <w:szCs w:val="24"/>
        </w:rPr>
        <w:t>投标产品</w:t>
      </w:r>
      <w:r>
        <w:rPr>
          <w:rFonts w:ascii="宋体" w:hAnsi="宋体"/>
          <w:sz w:val="24"/>
          <w:szCs w:val="24"/>
        </w:rPr>
        <w:t>制造商为</w:t>
      </w:r>
      <w:r>
        <w:rPr>
          <w:rFonts w:ascii="宋体" w:hAnsi="宋体"/>
          <w:sz w:val="24"/>
          <w:szCs w:val="24"/>
          <w:u w:val="single"/>
        </w:rPr>
        <w:t xml:space="preserve"> [企业名称</w:t>
      </w:r>
      <w:r>
        <w:rPr>
          <w:rFonts w:hint="eastAsia" w:ascii="宋体" w:hAnsi="宋体"/>
          <w:sz w:val="24"/>
          <w:szCs w:val="24"/>
          <w:u w:val="single"/>
        </w:rPr>
        <w:t>]</w:t>
      </w:r>
      <w:r>
        <w:rPr>
          <w:rFonts w:ascii="宋体" w:hAnsi="宋体"/>
          <w:sz w:val="24"/>
          <w:szCs w:val="24"/>
          <w:u w:val="single"/>
        </w:rPr>
        <w:t xml:space="preserve"> </w:t>
      </w:r>
      <w:r>
        <w:rPr>
          <w:rFonts w:ascii="宋体" w:hAnsi="宋体"/>
          <w:sz w:val="24"/>
          <w:szCs w:val="24"/>
        </w:rPr>
        <w:t>，从业人员</w:t>
      </w:r>
      <w:r>
        <w:rPr>
          <w:rFonts w:ascii="宋体" w:hAnsi="宋体"/>
          <w:sz w:val="24"/>
          <w:szCs w:val="24"/>
          <w:u w:val="single"/>
        </w:rPr>
        <w:t xml:space="preserve">   </w:t>
      </w:r>
      <w:r>
        <w:rPr>
          <w:rFonts w:ascii="宋体" w:hAnsi="宋体"/>
          <w:sz w:val="24"/>
          <w:szCs w:val="24"/>
        </w:rPr>
        <w:t>人，营业收入为</w:t>
      </w:r>
      <w:r>
        <w:rPr>
          <w:rFonts w:ascii="宋体" w:hAnsi="宋体"/>
          <w:sz w:val="24"/>
          <w:szCs w:val="24"/>
          <w:u w:val="single"/>
        </w:rPr>
        <w:t xml:space="preserve">     </w:t>
      </w:r>
      <w:r>
        <w:rPr>
          <w:rFonts w:ascii="宋体" w:hAnsi="宋体"/>
          <w:sz w:val="24"/>
          <w:szCs w:val="24"/>
        </w:rPr>
        <w:t>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万元，属于</w:t>
      </w:r>
      <w:r>
        <w:rPr>
          <w:rFonts w:hint="eastAsia" w:ascii="宋体" w:hAnsi="宋体"/>
          <w:sz w:val="24"/>
          <w:szCs w:val="24"/>
          <w:u w:val="single"/>
        </w:rPr>
        <w:t xml:space="preserve"> </w:t>
      </w:r>
      <w:r>
        <w:rPr>
          <w:rFonts w:ascii="Wingdings 2" w:hAnsi="Wingdings 2" w:eastAsia="Wingdings 2" w:cs="Wingdings 2"/>
          <w:sz w:val="24"/>
          <w:szCs w:val="24"/>
          <w:u w:val="single"/>
        </w:rPr>
        <w:t></w:t>
      </w:r>
      <w:r>
        <w:rPr>
          <w:rFonts w:hint="eastAsia" w:ascii="宋体" w:hAnsi="宋体"/>
          <w:sz w:val="24"/>
          <w:szCs w:val="24"/>
          <w:u w:val="single"/>
        </w:rPr>
        <w:t>中</w:t>
      </w:r>
      <w:r>
        <w:rPr>
          <w:rFonts w:ascii="宋体" w:hAnsi="宋体"/>
          <w:sz w:val="24"/>
          <w:szCs w:val="24"/>
          <w:u w:val="single"/>
        </w:rPr>
        <w:t>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w:t>
      </w:r>
      <w:r>
        <w:rPr>
          <w:rFonts w:ascii="宋体" w:hAnsi="宋体"/>
          <w:sz w:val="24"/>
          <w:szCs w:val="24"/>
          <w:u w:val="single"/>
        </w:rPr>
        <w:t>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w:t>
      </w:r>
      <w:r>
        <w:rPr>
          <w:rFonts w:ascii="宋体" w:hAnsi="宋体"/>
          <w:sz w:val="24"/>
          <w:szCs w:val="24"/>
          <w:u w:val="single"/>
        </w:rPr>
        <w:t>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w:t>
      </w:r>
    </w:p>
    <w:p w14:paraId="7B7F9013">
      <w:pPr>
        <w:pStyle w:val="936"/>
        <w:spacing w:line="400" w:lineRule="exact"/>
        <w:ind w:firstLine="480"/>
        <w:rPr>
          <w:rFonts w:ascii="宋体" w:hAnsi="宋体" w:eastAsia="宋体"/>
          <w:sz w:val="24"/>
          <w:szCs w:val="24"/>
          <w:lang w:eastAsia="zh-CN"/>
        </w:rPr>
      </w:pPr>
      <w:r>
        <w:rPr>
          <w:rFonts w:ascii="宋体" w:hAnsi="宋体" w:eastAsia="宋体"/>
          <w:sz w:val="24"/>
          <w:szCs w:val="24"/>
          <w:lang w:eastAsia="zh-CN"/>
        </w:rPr>
        <w:t>……</w:t>
      </w:r>
    </w:p>
    <w:p w14:paraId="3466104C">
      <w:pPr>
        <w:pStyle w:val="936"/>
        <w:spacing w:line="400" w:lineRule="exact"/>
        <w:ind w:firstLine="480"/>
        <w:rPr>
          <w:rFonts w:ascii="宋体" w:hAnsi="宋体" w:eastAsia="宋体"/>
          <w:sz w:val="24"/>
          <w:szCs w:val="24"/>
          <w:lang w:eastAsia="zh-CN"/>
        </w:rPr>
      </w:pPr>
      <w:r>
        <w:rPr>
          <w:rFonts w:ascii="宋体" w:hAnsi="宋体" w:eastAsia="宋体"/>
          <w:sz w:val="24"/>
          <w:szCs w:val="24"/>
          <w:lang w:eastAsia="zh-CN"/>
        </w:rPr>
        <w:t>以上企业，不属于大企业的分支机构，不存在控股股东为大企业的情形，也不存在与大企业的负责人为同一人的情形。</w:t>
      </w:r>
    </w:p>
    <w:p w14:paraId="71EB04FB">
      <w:pPr>
        <w:pStyle w:val="936"/>
        <w:spacing w:line="400" w:lineRule="exact"/>
        <w:ind w:firstLine="480"/>
        <w:rPr>
          <w:rFonts w:ascii="宋体" w:hAnsi="宋体" w:eastAsia="宋体"/>
          <w:sz w:val="24"/>
          <w:szCs w:val="24"/>
          <w:lang w:eastAsia="zh-CN"/>
        </w:rPr>
      </w:pPr>
      <w:r>
        <w:rPr>
          <w:rFonts w:hint="eastAsia" w:ascii="宋体" w:hAnsi="宋体" w:eastAsia="宋体"/>
          <w:sz w:val="24"/>
          <w:szCs w:val="24"/>
          <w:lang w:eastAsia="zh-CN"/>
        </w:rPr>
        <w:t>如组成联合体或者接受分包合同的中小企业与联合体内的其他企业，分包企业之间不存在直接控制、管理关系；</w:t>
      </w:r>
    </w:p>
    <w:p w14:paraId="1155355A">
      <w:pPr>
        <w:pStyle w:val="936"/>
        <w:spacing w:line="400" w:lineRule="exact"/>
        <w:ind w:firstLine="480"/>
        <w:rPr>
          <w:rFonts w:ascii="宋体" w:hAnsi="宋体" w:eastAsia="宋体"/>
          <w:sz w:val="24"/>
          <w:szCs w:val="24"/>
          <w:lang w:eastAsia="zh-CN"/>
        </w:rPr>
      </w:pPr>
      <w:r>
        <w:rPr>
          <w:rFonts w:ascii="宋体" w:hAnsi="宋体" w:eastAsia="宋体"/>
          <w:sz w:val="24"/>
          <w:szCs w:val="24"/>
          <w:lang w:eastAsia="zh-CN"/>
        </w:rPr>
        <w:t>本企业对上述声明内容的真实性负责。如有虚假，将依法承担相应责任。</w:t>
      </w:r>
    </w:p>
    <w:p w14:paraId="3C3BFD4E">
      <w:pPr>
        <w:spacing w:line="400" w:lineRule="exact"/>
        <w:rPr>
          <w:rFonts w:ascii="宋体" w:hAnsi="宋体"/>
          <w:b/>
          <w:bCs/>
          <w:sz w:val="22"/>
        </w:rPr>
      </w:pPr>
      <w:r>
        <w:rPr>
          <w:rFonts w:hint="eastAsia" w:ascii="宋体" w:hAnsi="宋体"/>
          <w:b/>
          <w:bCs/>
          <w:sz w:val="22"/>
        </w:rPr>
        <w:t>备注：</w:t>
      </w:r>
    </w:p>
    <w:p w14:paraId="5B56BDA8">
      <w:pPr>
        <w:pStyle w:val="936"/>
        <w:spacing w:line="400" w:lineRule="exact"/>
        <w:rPr>
          <w:rFonts w:ascii="宋体" w:hAnsi="宋体" w:eastAsia="宋体"/>
          <w:sz w:val="22"/>
          <w:szCs w:val="22"/>
          <w:lang w:eastAsia="zh-CN"/>
        </w:rPr>
      </w:pPr>
      <w:r>
        <w:rPr>
          <w:rFonts w:hint="eastAsia" w:ascii="宋体" w:hAnsi="宋体" w:eastAsia="宋体"/>
          <w:sz w:val="22"/>
          <w:szCs w:val="22"/>
          <w:lang w:eastAsia="zh-CN"/>
        </w:rPr>
        <w:t>(</w:t>
      </w:r>
      <w:r>
        <w:rPr>
          <w:rFonts w:ascii="宋体" w:hAnsi="宋体" w:eastAsia="宋体"/>
          <w:sz w:val="22"/>
          <w:szCs w:val="22"/>
          <w:lang w:eastAsia="zh-CN"/>
        </w:rPr>
        <w:t>1)</w:t>
      </w:r>
      <w:r>
        <w:rPr>
          <w:rFonts w:hint="eastAsia" w:ascii="宋体" w:hAnsi="宋体" w:eastAsia="宋体"/>
          <w:sz w:val="22"/>
          <w:szCs w:val="22"/>
          <w:lang w:eastAsia="zh-CN"/>
        </w:rPr>
        <w:t>从业人员、营业收入、资产总额填报上一年度数据，无上一年度数据的新成立企业可不填报。</w:t>
      </w:r>
    </w:p>
    <w:p w14:paraId="3DE240D5">
      <w:pPr>
        <w:pStyle w:val="936"/>
        <w:spacing w:line="400" w:lineRule="exact"/>
        <w:rPr>
          <w:rFonts w:ascii="宋体" w:hAnsi="宋体" w:eastAsia="宋体"/>
          <w:sz w:val="22"/>
          <w:szCs w:val="22"/>
          <w:lang w:eastAsia="zh-CN"/>
        </w:rPr>
      </w:pPr>
      <w:r>
        <w:rPr>
          <w:rFonts w:hint="eastAsia" w:ascii="宋体" w:hAnsi="宋体" w:eastAsia="宋体"/>
          <w:sz w:val="22"/>
          <w:szCs w:val="22"/>
          <w:lang w:eastAsia="zh-CN"/>
        </w:rPr>
        <w:t>(2</w:t>
      </w:r>
      <w:r>
        <w:rPr>
          <w:rFonts w:ascii="宋体" w:hAnsi="宋体" w:eastAsia="宋体"/>
          <w:sz w:val="22"/>
          <w:szCs w:val="22"/>
          <w:lang w:eastAsia="zh-CN"/>
        </w:rPr>
        <w:t>)</w:t>
      </w:r>
      <w:r>
        <w:rPr>
          <w:rFonts w:hint="eastAsia" w:ascii="宋体" w:hAnsi="宋体" w:eastAsia="宋体"/>
          <w:sz w:val="22"/>
          <w:szCs w:val="22"/>
          <w:lang w:eastAsia="zh-CN"/>
        </w:rPr>
        <w:t>上述“相关企业”含</w:t>
      </w:r>
      <w:r>
        <w:rPr>
          <w:rFonts w:ascii="宋体" w:hAnsi="宋体" w:eastAsia="宋体"/>
          <w:sz w:val="22"/>
          <w:szCs w:val="22"/>
          <w:lang w:eastAsia="zh-CN"/>
        </w:rPr>
        <w:t>联合体中的</w:t>
      </w:r>
      <w:r>
        <w:rPr>
          <w:rFonts w:hint="eastAsia" w:ascii="宋体" w:hAnsi="宋体" w:eastAsia="宋体"/>
          <w:sz w:val="22"/>
          <w:szCs w:val="22"/>
          <w:lang w:eastAsia="zh-CN"/>
        </w:rPr>
        <w:t>中小</w:t>
      </w:r>
      <w:r>
        <w:rPr>
          <w:rFonts w:ascii="宋体" w:hAnsi="宋体" w:eastAsia="宋体"/>
          <w:sz w:val="22"/>
          <w:szCs w:val="22"/>
          <w:lang w:eastAsia="zh-CN"/>
        </w:rPr>
        <w:t>企业、签订分包意向协议的</w:t>
      </w:r>
      <w:r>
        <w:rPr>
          <w:rFonts w:hint="eastAsia" w:ascii="宋体" w:hAnsi="宋体" w:eastAsia="宋体"/>
          <w:sz w:val="22"/>
          <w:szCs w:val="22"/>
          <w:lang w:eastAsia="zh-CN"/>
        </w:rPr>
        <w:t>中小</w:t>
      </w:r>
      <w:r>
        <w:rPr>
          <w:rFonts w:ascii="宋体" w:hAnsi="宋体" w:eastAsia="宋体"/>
          <w:sz w:val="22"/>
          <w:szCs w:val="22"/>
          <w:lang w:eastAsia="zh-CN"/>
        </w:rPr>
        <w:t>企业</w:t>
      </w:r>
      <w:r>
        <w:rPr>
          <w:rFonts w:hint="eastAsia" w:ascii="宋体" w:hAnsi="宋体" w:eastAsia="宋体"/>
          <w:sz w:val="22"/>
          <w:szCs w:val="22"/>
          <w:lang w:eastAsia="zh-CN"/>
        </w:rPr>
        <w:t>；</w:t>
      </w:r>
    </w:p>
    <w:p w14:paraId="079F8F27">
      <w:pPr>
        <w:pStyle w:val="936"/>
        <w:spacing w:line="400" w:lineRule="exact"/>
        <w:rPr>
          <w:rFonts w:ascii="宋体" w:hAnsi="宋体" w:eastAsia="宋体"/>
          <w:sz w:val="22"/>
          <w:szCs w:val="22"/>
          <w:lang w:eastAsia="zh-CN"/>
        </w:rPr>
      </w:pPr>
      <w:r>
        <w:rPr>
          <w:rFonts w:hint="eastAsia" w:ascii="宋体" w:hAnsi="宋体" w:eastAsia="宋体"/>
          <w:sz w:val="22"/>
          <w:szCs w:val="22"/>
          <w:lang w:eastAsia="zh-CN"/>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lang w:eastAsia="zh-CN"/>
        </w:rPr>
        <w:t>自行</w:t>
      </w:r>
      <w:r>
        <w:rPr>
          <w:rFonts w:hint="eastAsia" w:ascii="宋体" w:hAnsi="宋体" w:eastAsia="宋体"/>
          <w:sz w:val="22"/>
          <w:szCs w:val="22"/>
          <w:lang w:eastAsia="zh-CN"/>
        </w:rPr>
        <w:t>对照选择产品制造商</w:t>
      </w:r>
      <w:r>
        <w:rPr>
          <w:rFonts w:ascii="宋体" w:hAnsi="宋体" w:eastAsia="宋体"/>
          <w:sz w:val="22"/>
          <w:szCs w:val="22"/>
          <w:lang w:eastAsia="zh-CN"/>
        </w:rPr>
        <w:t>的企业</w:t>
      </w:r>
      <w:r>
        <w:rPr>
          <w:rFonts w:hint="eastAsia" w:ascii="宋体" w:hAnsi="宋体" w:eastAsia="宋体"/>
          <w:sz w:val="22"/>
          <w:szCs w:val="22"/>
          <w:lang w:eastAsia="zh-CN"/>
        </w:rPr>
        <w:t>规模类型</w:t>
      </w:r>
      <w:r>
        <w:rPr>
          <w:rFonts w:ascii="宋体" w:hAnsi="宋体" w:eastAsia="宋体"/>
          <w:sz w:val="22"/>
          <w:szCs w:val="22"/>
          <w:lang w:eastAsia="zh-CN"/>
        </w:rPr>
        <w:t>。</w:t>
      </w:r>
    </w:p>
    <w:p w14:paraId="5C11A2D3">
      <w:pPr>
        <w:pStyle w:val="936"/>
        <w:spacing w:line="400" w:lineRule="exact"/>
        <w:rPr>
          <w:rFonts w:ascii="宋体" w:hAnsi="宋体" w:eastAsia="宋体"/>
          <w:sz w:val="22"/>
          <w:szCs w:val="22"/>
          <w:lang w:eastAsia="zh-CN"/>
        </w:rPr>
      </w:pPr>
      <w:r>
        <w:rPr>
          <w:rFonts w:hint="eastAsia" w:ascii="宋体" w:hAnsi="宋体" w:eastAsia="宋体"/>
          <w:sz w:val="22"/>
          <w:szCs w:val="22"/>
          <w:lang w:eastAsia="zh-CN"/>
        </w:rPr>
        <w:t>(4</w:t>
      </w:r>
      <w:r>
        <w:rPr>
          <w:rFonts w:ascii="宋体" w:hAnsi="宋体" w:eastAsia="宋体"/>
          <w:sz w:val="22"/>
          <w:szCs w:val="22"/>
          <w:lang w:eastAsia="zh-CN"/>
        </w:rPr>
        <w:t>)</w:t>
      </w:r>
      <w:r>
        <w:rPr>
          <w:rFonts w:hint="eastAsia" w:ascii="宋体" w:hAnsi="宋体" w:eastAsia="宋体"/>
          <w:sz w:val="22"/>
          <w:szCs w:val="22"/>
          <w:lang w:eastAsia="zh-CN"/>
        </w:rPr>
        <w:t>供应商如未按要求提供此声明函，报价将不做相应扣除；中标供应商如享受本项目小微企业扶持政策的，其《中小微企业声明函》将随本项目的中标结果同时公告，接受社会监督；</w:t>
      </w:r>
      <w:r>
        <w:rPr>
          <w:rFonts w:ascii="宋体" w:hAnsi="宋体" w:eastAsia="宋体"/>
          <w:sz w:val="22"/>
          <w:szCs w:val="22"/>
          <w:lang w:eastAsia="zh-CN"/>
        </w:rPr>
        <w:t xml:space="preserve"> </w:t>
      </w:r>
    </w:p>
    <w:p w14:paraId="58026083">
      <w:pPr>
        <w:pStyle w:val="936"/>
        <w:spacing w:line="400" w:lineRule="exact"/>
        <w:rPr>
          <w:rFonts w:ascii="宋体" w:hAnsi="宋体" w:eastAsia="宋体"/>
          <w:sz w:val="22"/>
          <w:szCs w:val="22"/>
          <w:lang w:eastAsia="zh-CN"/>
        </w:rPr>
      </w:pPr>
    </w:p>
    <w:p w14:paraId="0E2FACCD">
      <w:pPr>
        <w:spacing w:line="400" w:lineRule="exact"/>
        <w:ind w:left="5250"/>
        <w:jc w:val="left"/>
        <w:rPr>
          <w:rFonts w:ascii="宋体" w:hAnsi="宋体"/>
          <w:sz w:val="24"/>
          <w:szCs w:val="21"/>
        </w:rPr>
      </w:pPr>
      <w:r>
        <w:rPr>
          <w:rFonts w:hint="eastAsia" w:ascii="宋体" w:hAnsi="宋体"/>
          <w:sz w:val="24"/>
          <w:szCs w:val="21"/>
        </w:rPr>
        <w:t>企业名称：</w:t>
      </w:r>
    </w:p>
    <w:p w14:paraId="2852D86C">
      <w:pPr>
        <w:spacing w:line="400" w:lineRule="exact"/>
        <w:ind w:left="5250"/>
        <w:jc w:val="left"/>
        <w:rPr>
          <w:rFonts w:ascii="宋体" w:hAnsi="宋体"/>
          <w:sz w:val="24"/>
        </w:rPr>
      </w:pPr>
      <w:r>
        <w:rPr>
          <w:rFonts w:hint="eastAsia" w:ascii="宋体" w:hAnsi="宋体"/>
          <w:sz w:val="24"/>
        </w:rPr>
        <w:t>日</w:t>
      </w:r>
      <w:r>
        <w:rPr>
          <w:rFonts w:ascii="宋体" w:hAnsi="宋体"/>
          <w:sz w:val="24"/>
        </w:rPr>
        <w:t xml:space="preserve">  </w:t>
      </w:r>
      <w:r>
        <w:rPr>
          <w:rFonts w:hint="eastAsia" w:ascii="宋体" w:hAnsi="宋体"/>
          <w:sz w:val="24"/>
        </w:rPr>
        <w:t>期：</w:t>
      </w:r>
    </w:p>
    <w:bookmarkEnd w:id="116"/>
    <w:p w14:paraId="05063BE7">
      <w:r>
        <w:rPr>
          <w:rFonts w:ascii="宋体" w:hAnsi="宋体"/>
          <w:sz w:val="24"/>
        </w:rPr>
        <w:br w:type="page" w:clear="all"/>
      </w:r>
      <w:bookmarkEnd w:id="117"/>
    </w:p>
    <w:p w14:paraId="1A25219F">
      <w:pPr>
        <w:pStyle w:val="935"/>
        <w:spacing w:before="143" w:after="0" w:line="360" w:lineRule="auto"/>
        <w:jc w:val="center"/>
        <w:outlineLvl w:val="1"/>
        <w:rPr>
          <w:rFonts w:ascii="宋体" w:hAnsi="宋体"/>
          <w:lang w:eastAsia="zh-CN"/>
        </w:rPr>
      </w:pPr>
      <w:r>
        <w:rPr>
          <w:rFonts w:hint="eastAsia" w:ascii="宋体" w:hAnsi="宋体"/>
          <w:lang w:eastAsia="zh-CN"/>
        </w:rPr>
        <w:t>十五、残疾人福利性单位声明函</w:t>
      </w:r>
      <w:bookmarkStart w:id="120" w:name="_Hlk27472839"/>
    </w:p>
    <w:bookmarkEnd w:id="120"/>
    <w:p w14:paraId="67105645">
      <w:pPr>
        <w:spacing w:before="57" w:line="480" w:lineRule="auto"/>
        <w:ind w:firstLine="480"/>
        <w:rPr>
          <w:rFonts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_</w:t>
      </w:r>
      <w:bookmarkStart w:id="121" w:name="_Hlk60666078"/>
      <w:r>
        <w:rPr>
          <w:rFonts w:ascii="宋体" w:hAnsi="宋体"/>
          <w:sz w:val="24"/>
          <w:u w:val="single"/>
        </w:rPr>
        <w:t xml:space="preserve"> </w:t>
      </w:r>
      <w:r>
        <w:rPr>
          <w:rFonts w:hint="eastAsia" w:ascii="宋体" w:hAnsi="宋体"/>
          <w:sz w:val="24"/>
          <w:u w:val="single"/>
        </w:rPr>
        <w:t>[采购人</w:t>
      </w:r>
      <w:r>
        <w:rPr>
          <w:rFonts w:ascii="宋体" w:hAnsi="宋体"/>
          <w:sz w:val="24"/>
          <w:u w:val="single"/>
        </w:rPr>
        <w:t>单位名称</w:t>
      </w:r>
      <w:r>
        <w:rPr>
          <w:rFonts w:hint="eastAsia" w:ascii="宋体" w:hAnsi="宋体"/>
          <w:sz w:val="24"/>
          <w:u w:val="single"/>
        </w:rPr>
        <w:t xml:space="preserve">] </w:t>
      </w:r>
      <w:bookmarkEnd w:id="121"/>
      <w:r>
        <w:rPr>
          <w:rFonts w:hint="eastAsia" w:ascii="宋体" w:hAnsi="宋体"/>
          <w:sz w:val="24"/>
          <w:u w:val="single"/>
        </w:rPr>
        <w:t>_</w:t>
      </w:r>
      <w:r>
        <w:rPr>
          <w:rFonts w:hint="eastAsia" w:ascii="宋体" w:hAnsi="宋体"/>
          <w:sz w:val="24"/>
        </w:rPr>
        <w:t>单位的采购文件编号为</w:t>
      </w:r>
      <w:r>
        <w:rPr>
          <w:rFonts w:hint="eastAsia" w:ascii="宋体" w:hAnsi="宋体"/>
          <w:sz w:val="24"/>
          <w:u w:val="single"/>
        </w:rPr>
        <w:t>_</w:t>
      </w:r>
      <w:bookmarkStart w:id="122" w:name="_Hlk60666088"/>
      <w:r>
        <w:rPr>
          <w:rFonts w:ascii="宋体" w:hAnsi="宋体"/>
          <w:sz w:val="24"/>
          <w:u w:val="single"/>
        </w:rPr>
        <w:t xml:space="preserve"> </w:t>
      </w:r>
      <w:r>
        <w:rPr>
          <w:rFonts w:hint="eastAsia" w:ascii="宋体" w:hAnsi="宋体"/>
          <w:sz w:val="24"/>
          <w:u w:val="single"/>
        </w:rPr>
        <w:t xml:space="preserve">[项目编号] </w:t>
      </w:r>
      <w:bookmarkEnd w:id="122"/>
      <w:r>
        <w:rPr>
          <w:rFonts w:hint="eastAsia" w:ascii="宋体" w:hAnsi="宋体"/>
          <w:sz w:val="24"/>
          <w:u w:val="single"/>
        </w:rPr>
        <w:t>_</w:t>
      </w:r>
      <w:r>
        <w:rPr>
          <w:rFonts w:hint="eastAsia" w:ascii="宋体" w:hAnsi="宋体"/>
          <w:sz w:val="24"/>
        </w:rPr>
        <w:t>的</w:t>
      </w:r>
      <w:r>
        <w:rPr>
          <w:rFonts w:hint="eastAsia" w:ascii="宋体" w:hAnsi="宋体"/>
          <w:sz w:val="24"/>
          <w:u w:val="single"/>
        </w:rPr>
        <w:t xml:space="preserve"> </w:t>
      </w:r>
      <w:r>
        <w:rPr>
          <w:rFonts w:ascii="宋体" w:hAnsi="宋体"/>
          <w:sz w:val="24"/>
          <w:u w:val="single"/>
        </w:rPr>
        <w:t xml:space="preserve"> </w:t>
      </w:r>
      <w:bookmarkStart w:id="123" w:name="_Hlk60666094"/>
      <w:r>
        <w:rPr>
          <w:rFonts w:hint="eastAsia" w:ascii="宋体" w:hAnsi="宋体"/>
          <w:sz w:val="24"/>
          <w:u w:val="single"/>
        </w:rPr>
        <w:t>[项目名称]</w:t>
      </w:r>
      <w:bookmarkEnd w:id="123"/>
      <w:r>
        <w:rPr>
          <w:rFonts w:hint="eastAsia" w:ascii="宋体" w:hAnsi="宋体"/>
          <w:sz w:val="24"/>
          <w:u w:val="single"/>
        </w:rPr>
        <w:t xml:space="preserve">  </w:t>
      </w:r>
      <w:r>
        <w:rPr>
          <w:rFonts w:hint="eastAsia" w:ascii="宋体" w:hAnsi="宋体"/>
          <w:sz w:val="24"/>
        </w:rPr>
        <w:t>项目采购活动提供全部由本单位制造的货物（全部由本单位承担工程/提供服务），或者提供其他残疾人福利性单位</w:t>
      </w:r>
      <w:bookmarkStart w:id="124"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残疾人福利性单位名称]</w:t>
      </w:r>
      <w:r>
        <w:rPr>
          <w:rFonts w:ascii="宋体" w:hAnsi="宋体"/>
          <w:sz w:val="24"/>
          <w:u w:val="single"/>
        </w:rPr>
        <w:t xml:space="preserve">  </w:t>
      </w:r>
      <w:bookmarkEnd w:id="124"/>
      <w:r>
        <w:rPr>
          <w:rFonts w:hint="eastAsia" w:ascii="宋体" w:hAnsi="宋体"/>
          <w:sz w:val="24"/>
        </w:rPr>
        <w:t>制造的货物（不包括使用非残疾人福利性单位注册商标的货物）。</w:t>
      </w:r>
    </w:p>
    <w:p w14:paraId="2F095C5E">
      <w:pPr>
        <w:spacing w:before="57" w:line="480" w:lineRule="auto"/>
        <w:ind w:firstLine="480"/>
        <w:rPr>
          <w:rFonts w:ascii="宋体" w:hAnsi="宋体"/>
          <w:sz w:val="24"/>
        </w:rPr>
      </w:pPr>
      <w:r>
        <w:rPr>
          <w:rFonts w:hint="eastAsia" w:ascii="宋体" w:hAnsi="宋体"/>
          <w:sz w:val="24"/>
        </w:rPr>
        <w:t>本单位对上述声明的真实性负责。如有虚假，将依法承担相应责任。</w:t>
      </w:r>
    </w:p>
    <w:p w14:paraId="3EA6A577">
      <w:pPr>
        <w:spacing w:before="57" w:line="360" w:lineRule="auto"/>
        <w:ind w:firstLine="480"/>
        <w:rPr>
          <w:rFonts w:ascii="宋体" w:hAnsi="宋体"/>
          <w:sz w:val="24"/>
        </w:rPr>
      </w:pPr>
    </w:p>
    <w:p w14:paraId="1F059A69">
      <w:pPr>
        <w:spacing w:line="588" w:lineRule="exact"/>
        <w:ind w:firstLine="442"/>
        <w:rPr>
          <w:rFonts w:ascii="宋体" w:hAnsi="宋体"/>
          <w:b/>
          <w:bCs/>
          <w:sz w:val="22"/>
        </w:rPr>
      </w:pPr>
      <w:bookmarkStart w:id="125" w:name="_Hlk60666116"/>
      <w:r>
        <w:rPr>
          <w:rFonts w:hint="eastAsia" w:ascii="宋体" w:hAnsi="宋体"/>
          <w:b/>
          <w:bCs/>
          <w:sz w:val="22"/>
        </w:rPr>
        <w:t>备注：</w:t>
      </w:r>
      <w:r>
        <w:rPr>
          <w:rFonts w:hint="eastAsia" w:ascii="宋体" w:hAnsi="宋体"/>
          <w:sz w:val="22"/>
        </w:rPr>
        <w:t>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rPr>
        <w:t xml:space="preserve"> </w:t>
      </w:r>
    </w:p>
    <w:bookmarkEnd w:id="125"/>
    <w:p w14:paraId="282EB639">
      <w:pPr>
        <w:spacing w:line="588" w:lineRule="exact"/>
        <w:ind w:firstLine="624"/>
        <w:rPr>
          <w:rFonts w:ascii="仿宋_GB2312" w:eastAsia="仿宋_GB2312"/>
          <w:spacing w:val="6"/>
          <w:sz w:val="30"/>
          <w:szCs w:val="30"/>
        </w:rPr>
      </w:pPr>
    </w:p>
    <w:p w14:paraId="5F322B81">
      <w:pPr>
        <w:spacing w:line="588" w:lineRule="exact"/>
        <w:ind w:firstLine="624"/>
        <w:rPr>
          <w:rFonts w:ascii="仿宋_GB2312" w:eastAsia="仿宋_GB2312"/>
          <w:spacing w:val="6"/>
          <w:sz w:val="30"/>
          <w:szCs w:val="30"/>
        </w:rPr>
      </w:pPr>
    </w:p>
    <w:p w14:paraId="2D12578F">
      <w:pPr>
        <w:spacing w:line="360" w:lineRule="auto"/>
        <w:jc w:val="left"/>
        <w:rPr>
          <w:rFonts w:ascii="宋体" w:hAnsi="宋体"/>
          <w:sz w:val="24"/>
        </w:rPr>
      </w:pPr>
      <w:r>
        <w:rPr>
          <w:rFonts w:hint="eastAsia" w:ascii="宋体" w:hAnsi="宋体"/>
          <w:sz w:val="24"/>
          <w:szCs w:val="21"/>
        </w:rPr>
        <w:t>供应商全称</w:t>
      </w:r>
      <w:r>
        <w:rPr>
          <w:rFonts w:hint="eastAsia" w:ascii="宋体" w:hAnsi="宋体"/>
          <w:sz w:val="24"/>
        </w:rPr>
        <w:t>：</w:t>
      </w:r>
    </w:p>
    <w:p w14:paraId="1813EBBD">
      <w:pPr>
        <w:spacing w:line="360" w:lineRule="auto"/>
        <w:jc w:val="left"/>
        <w:rPr>
          <w:rFonts w:ascii="宋体" w:hAnsi="宋体"/>
          <w:sz w:val="24"/>
        </w:rPr>
      </w:pPr>
      <w:r>
        <w:rPr>
          <w:rFonts w:hint="eastAsia" w:ascii="宋体" w:hAnsi="宋体"/>
          <w:sz w:val="24"/>
        </w:rPr>
        <w:t>日</w:t>
      </w:r>
      <w:r>
        <w:rPr>
          <w:rFonts w:ascii="宋体" w:hAnsi="宋体"/>
          <w:sz w:val="24"/>
        </w:rPr>
        <w:t xml:space="preserve">  </w:t>
      </w:r>
      <w:r>
        <w:rPr>
          <w:rFonts w:hint="eastAsia" w:ascii="宋体" w:hAnsi="宋体"/>
          <w:sz w:val="24"/>
        </w:rPr>
        <w:t>期：</w:t>
      </w:r>
    </w:p>
    <w:bookmarkEnd w:id="118"/>
    <w:p w14:paraId="030B7899">
      <w:pPr>
        <w:widowControl/>
        <w:spacing w:line="600" w:lineRule="exact"/>
        <w:jc w:val="left"/>
        <w:rPr>
          <w:rFonts w:ascii="宋体" w:hAnsi="宋体" w:cs="宋体"/>
          <w:b/>
          <w:bCs/>
        </w:rPr>
      </w:pPr>
      <w:r>
        <w:rPr/>
        <w:br w:type="page" w:clear="all"/>
      </w:r>
      <w:r>
        <w:rPr>
          <w:rFonts w:hint="eastAsia" w:ascii="宋体" w:hAnsi="宋体" w:cs="宋体"/>
          <w:b/>
          <w:bCs/>
          <w:sz w:val="24"/>
        </w:rPr>
        <w:t>《中小微企业声明函》附表：</w:t>
      </w:r>
    </w:p>
    <w:p w14:paraId="240A720C">
      <w:pPr>
        <w:widowControl/>
        <w:spacing w:line="600" w:lineRule="exact"/>
        <w:jc w:val="center"/>
        <w:rPr>
          <w:rFonts w:ascii="宋体" w:hAnsi="宋体" w:cs="宋体"/>
          <w:b/>
          <w:bCs/>
          <w:sz w:val="24"/>
        </w:rPr>
      </w:pPr>
      <w:r>
        <w:rPr>
          <w:rFonts w:hint="eastAsia" w:ascii="宋体" w:hAnsi="宋体" w:cs="宋体"/>
          <w:b/>
          <w:bCs/>
          <w:sz w:val="24"/>
        </w:rPr>
        <w:t>统计上大中小微型企业划分标准</w:t>
      </w:r>
    </w:p>
    <w:tbl>
      <w:tblPr>
        <w:tblStyle w:val="54"/>
        <w:tblW w:w="0" w:type="auto"/>
        <w:jc w:val="center"/>
        <w:tblLayout w:type="fixed"/>
        <w:tblCellMar>
          <w:top w:w="0" w:type="dxa"/>
          <w:left w:w="108" w:type="dxa"/>
          <w:bottom w:w="0" w:type="dxa"/>
          <w:right w:w="108" w:type="dxa"/>
        </w:tblCellMar>
      </w:tblPr>
      <w:tblGrid>
        <w:gridCol w:w="2113"/>
        <w:gridCol w:w="1369"/>
        <w:gridCol w:w="709"/>
        <w:gridCol w:w="1125"/>
        <w:gridCol w:w="1701"/>
        <w:gridCol w:w="1426"/>
        <w:gridCol w:w="992"/>
      </w:tblGrid>
      <w:tr w14:paraId="49C777FC">
        <w:tblPrEx>
          <w:tblCellMar>
            <w:top w:w="0" w:type="dxa"/>
            <w:left w:w="108" w:type="dxa"/>
            <w:bottom w:w="0" w:type="dxa"/>
            <w:right w:w="108" w:type="dxa"/>
          </w:tblCellMar>
        </w:tblPrEx>
        <w:trPr>
          <w:trHeight w:val="622" w:hRule="exact"/>
          <w:jc w:val="center"/>
        </w:trPr>
        <w:tc>
          <w:tcPr>
            <w:tcW w:w="2113" w:type="dxa"/>
            <w:tcBorders>
              <w:top w:val="single" w:color="000000" w:sz="4" w:space="0"/>
              <w:left w:val="nil"/>
              <w:bottom w:val="single" w:color="000000" w:sz="4" w:space="0"/>
              <w:right w:val="single" w:color="000000" w:sz="4" w:space="0"/>
            </w:tcBorders>
            <w:vAlign w:val="center"/>
          </w:tcPr>
          <w:p w14:paraId="1592CD33">
            <w:pPr>
              <w:widowControl/>
              <w:spacing w:line="240" w:lineRule="exact"/>
              <w:jc w:val="center"/>
              <w:rPr>
                <w:rFonts w:ascii="宋体" w:hAnsi="宋体" w:cs="宋体"/>
                <w:b/>
                <w:bCs/>
                <w:sz w:val="18"/>
                <w:szCs w:val="21"/>
              </w:rPr>
            </w:pPr>
            <w:r>
              <w:rPr>
                <w:rFonts w:hint="eastAsia" w:ascii="宋体" w:hAnsi="宋体" w:cs="宋体"/>
                <w:b/>
                <w:bCs/>
                <w:sz w:val="18"/>
                <w:szCs w:val="21"/>
              </w:rPr>
              <w:t>行业名称</w:t>
            </w:r>
          </w:p>
        </w:tc>
        <w:tc>
          <w:tcPr>
            <w:tcW w:w="1369" w:type="dxa"/>
            <w:tcBorders>
              <w:top w:val="single" w:color="000000" w:sz="4" w:space="0"/>
              <w:left w:val="nil"/>
              <w:bottom w:val="single" w:color="000000" w:sz="4" w:space="0"/>
              <w:right w:val="single" w:color="000000" w:sz="4" w:space="0"/>
            </w:tcBorders>
            <w:vAlign w:val="center"/>
          </w:tcPr>
          <w:p w14:paraId="2086805D">
            <w:pPr>
              <w:widowControl/>
              <w:jc w:val="center"/>
              <w:rPr>
                <w:rFonts w:ascii="宋体" w:hAnsi="宋体" w:cs="宋体"/>
                <w:b/>
                <w:bCs/>
                <w:sz w:val="18"/>
                <w:szCs w:val="18"/>
              </w:rPr>
            </w:pPr>
            <w:r>
              <w:rPr>
                <w:rFonts w:hint="eastAsia" w:ascii="宋体" w:hAnsi="宋体" w:cs="宋体"/>
                <w:b/>
                <w:bCs/>
                <w:sz w:val="18"/>
                <w:szCs w:val="18"/>
              </w:rPr>
              <w:t>指标名称</w:t>
            </w:r>
          </w:p>
        </w:tc>
        <w:tc>
          <w:tcPr>
            <w:tcW w:w="709" w:type="dxa"/>
            <w:tcBorders>
              <w:top w:val="single" w:color="000000" w:sz="4" w:space="0"/>
              <w:left w:val="nil"/>
              <w:bottom w:val="single" w:color="000000" w:sz="4" w:space="0"/>
              <w:right w:val="single" w:color="000000" w:sz="4" w:space="0"/>
            </w:tcBorders>
            <w:vAlign w:val="center"/>
          </w:tcPr>
          <w:p w14:paraId="71201D77">
            <w:pPr>
              <w:widowControl/>
              <w:jc w:val="center"/>
              <w:rPr>
                <w:rFonts w:ascii="宋体" w:hAnsi="宋体" w:cs="宋体"/>
                <w:b/>
                <w:bCs/>
                <w:sz w:val="18"/>
                <w:szCs w:val="18"/>
              </w:rPr>
            </w:pPr>
            <w:r>
              <w:rPr>
                <w:rFonts w:hint="eastAsia" w:ascii="宋体" w:hAnsi="宋体" w:cs="宋体"/>
                <w:b/>
                <w:bCs/>
                <w:sz w:val="18"/>
                <w:szCs w:val="18"/>
              </w:rPr>
              <w:t>计量</w:t>
            </w:r>
            <w:r>
              <w:rPr>
                <w:rFonts w:hint="eastAsia" w:ascii="宋体" w:hAnsi="宋体" w:cs="宋体"/>
                <w:b/>
                <w:bCs/>
                <w:sz w:val="18"/>
                <w:szCs w:val="18"/>
              </w:rPr>
              <w:br w:type="textWrapping" w:clear="all"/>
            </w:r>
            <w:r>
              <w:rPr>
                <w:rFonts w:hint="eastAsia" w:ascii="宋体" w:hAnsi="宋体" w:cs="宋体"/>
                <w:b/>
                <w:bCs/>
                <w:sz w:val="18"/>
                <w:szCs w:val="18"/>
              </w:rPr>
              <w:t>单位</w:t>
            </w:r>
          </w:p>
        </w:tc>
        <w:tc>
          <w:tcPr>
            <w:tcW w:w="1125" w:type="dxa"/>
            <w:tcBorders>
              <w:top w:val="single" w:color="000000" w:sz="4" w:space="0"/>
              <w:left w:val="nil"/>
              <w:bottom w:val="single" w:color="000000" w:sz="4" w:space="0"/>
              <w:right w:val="single" w:color="000000" w:sz="4" w:space="0"/>
            </w:tcBorders>
            <w:vAlign w:val="center"/>
          </w:tcPr>
          <w:p w14:paraId="3E5E3497">
            <w:pPr>
              <w:widowControl/>
              <w:jc w:val="center"/>
              <w:rPr>
                <w:rFonts w:ascii="宋体" w:hAnsi="宋体" w:cs="宋体"/>
                <w:b/>
                <w:bCs/>
                <w:sz w:val="18"/>
                <w:szCs w:val="18"/>
              </w:rPr>
            </w:pPr>
            <w:r>
              <w:rPr>
                <w:rFonts w:hint="eastAsia" w:ascii="宋体" w:hAnsi="宋体" w:cs="宋体"/>
                <w:b/>
                <w:bCs/>
                <w:sz w:val="18"/>
                <w:szCs w:val="18"/>
              </w:rPr>
              <w:t>大型</w:t>
            </w:r>
          </w:p>
        </w:tc>
        <w:tc>
          <w:tcPr>
            <w:tcW w:w="1701" w:type="dxa"/>
            <w:tcBorders>
              <w:top w:val="single" w:color="000000" w:sz="4" w:space="0"/>
              <w:left w:val="nil"/>
              <w:bottom w:val="single" w:color="000000" w:sz="4" w:space="0"/>
              <w:right w:val="single" w:color="000000" w:sz="4" w:space="0"/>
            </w:tcBorders>
            <w:vAlign w:val="center"/>
          </w:tcPr>
          <w:p w14:paraId="59078786">
            <w:pPr>
              <w:widowControl/>
              <w:jc w:val="center"/>
              <w:rPr>
                <w:rFonts w:ascii="宋体" w:hAnsi="宋体" w:cs="宋体"/>
                <w:b/>
                <w:bCs/>
                <w:sz w:val="18"/>
                <w:szCs w:val="18"/>
              </w:rPr>
            </w:pPr>
            <w:r>
              <w:rPr>
                <w:rFonts w:hint="eastAsia" w:ascii="宋体" w:hAnsi="宋体" w:cs="宋体"/>
                <w:b/>
                <w:bCs/>
                <w:sz w:val="18"/>
                <w:szCs w:val="18"/>
              </w:rPr>
              <w:t>中型</w:t>
            </w:r>
          </w:p>
        </w:tc>
        <w:tc>
          <w:tcPr>
            <w:tcW w:w="1426" w:type="dxa"/>
            <w:tcBorders>
              <w:top w:val="single" w:color="000000" w:sz="4" w:space="0"/>
              <w:left w:val="nil"/>
              <w:bottom w:val="single" w:color="000000" w:sz="4" w:space="0"/>
              <w:right w:val="single" w:color="000000" w:sz="4" w:space="0"/>
            </w:tcBorders>
            <w:vAlign w:val="center"/>
          </w:tcPr>
          <w:p w14:paraId="2BD53D89">
            <w:pPr>
              <w:widowControl/>
              <w:jc w:val="center"/>
              <w:rPr>
                <w:rFonts w:ascii="宋体" w:hAnsi="宋体" w:cs="宋体"/>
                <w:b/>
                <w:bCs/>
                <w:sz w:val="18"/>
                <w:szCs w:val="18"/>
              </w:rPr>
            </w:pPr>
            <w:r>
              <w:rPr>
                <w:rFonts w:hint="eastAsia" w:ascii="宋体" w:hAnsi="宋体" w:cs="宋体"/>
                <w:b/>
                <w:bCs/>
                <w:sz w:val="18"/>
                <w:szCs w:val="18"/>
              </w:rPr>
              <w:t>小型</w:t>
            </w:r>
          </w:p>
        </w:tc>
        <w:tc>
          <w:tcPr>
            <w:tcW w:w="992" w:type="dxa"/>
            <w:tcBorders>
              <w:top w:val="single" w:color="000000" w:sz="4" w:space="0"/>
              <w:left w:val="nil"/>
              <w:bottom w:val="single" w:color="000000" w:sz="4" w:space="0"/>
              <w:right w:val="nil"/>
            </w:tcBorders>
            <w:vAlign w:val="center"/>
          </w:tcPr>
          <w:p w14:paraId="7E8E297A">
            <w:pPr>
              <w:widowControl/>
              <w:jc w:val="center"/>
              <w:rPr>
                <w:rFonts w:ascii="宋体" w:hAnsi="宋体" w:cs="宋体"/>
                <w:b/>
                <w:bCs/>
                <w:sz w:val="18"/>
                <w:szCs w:val="18"/>
              </w:rPr>
            </w:pPr>
            <w:r>
              <w:rPr>
                <w:rFonts w:hint="eastAsia" w:ascii="宋体" w:hAnsi="宋体" w:cs="宋体"/>
                <w:b/>
                <w:bCs/>
                <w:sz w:val="18"/>
                <w:szCs w:val="18"/>
              </w:rPr>
              <w:t>微型</w:t>
            </w:r>
          </w:p>
        </w:tc>
      </w:tr>
      <w:tr w14:paraId="686CB48D">
        <w:tblPrEx>
          <w:tblCellMar>
            <w:top w:w="0" w:type="dxa"/>
            <w:left w:w="108" w:type="dxa"/>
            <w:bottom w:w="0" w:type="dxa"/>
            <w:right w:w="108" w:type="dxa"/>
          </w:tblCellMar>
        </w:tblPrEx>
        <w:trPr>
          <w:trHeight w:val="397" w:hRule="exact"/>
          <w:jc w:val="center"/>
        </w:trPr>
        <w:tc>
          <w:tcPr>
            <w:tcW w:w="2113" w:type="dxa"/>
            <w:tcBorders>
              <w:top w:val="nil"/>
              <w:left w:val="nil"/>
              <w:bottom w:val="single" w:color="000000" w:sz="4" w:space="0"/>
              <w:right w:val="single" w:color="000000" w:sz="4" w:space="0"/>
            </w:tcBorders>
            <w:vAlign w:val="center"/>
          </w:tcPr>
          <w:p w14:paraId="48318436">
            <w:pPr>
              <w:widowControl/>
              <w:spacing w:line="240" w:lineRule="exact"/>
              <w:jc w:val="left"/>
              <w:rPr>
                <w:rFonts w:ascii="宋体" w:hAnsi="宋体" w:cs="宋体"/>
                <w:sz w:val="18"/>
                <w:szCs w:val="18"/>
              </w:rPr>
            </w:pPr>
            <w:r>
              <w:rPr>
                <w:rFonts w:hint="eastAsia" w:ascii="宋体" w:hAnsi="宋体" w:cs="宋体"/>
                <w:sz w:val="18"/>
                <w:szCs w:val="18"/>
              </w:rPr>
              <w:t>农、林、牧、渔业</w:t>
            </w:r>
          </w:p>
        </w:tc>
        <w:tc>
          <w:tcPr>
            <w:tcW w:w="1369" w:type="dxa"/>
            <w:tcBorders>
              <w:top w:val="nil"/>
              <w:left w:val="nil"/>
              <w:bottom w:val="single" w:color="000000" w:sz="4" w:space="0"/>
              <w:right w:val="single" w:color="000000" w:sz="4" w:space="0"/>
            </w:tcBorders>
            <w:vAlign w:val="center"/>
          </w:tcPr>
          <w:p w14:paraId="55D96ADB">
            <w:pPr>
              <w:widowControl/>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20AEBFEA">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02F08B25">
            <w:pPr>
              <w:widowControl/>
              <w:jc w:val="center"/>
              <w:rPr>
                <w:rFonts w:ascii="宋体" w:hAnsi="宋体" w:cs="宋体"/>
                <w:sz w:val="18"/>
                <w:szCs w:val="18"/>
              </w:rPr>
            </w:pPr>
            <w:r>
              <w:rPr>
                <w:rFonts w:hint="eastAsia" w:ascii="宋体" w:hAnsi="宋体" w:cs="宋体"/>
                <w:sz w:val="18"/>
                <w:szCs w:val="18"/>
              </w:rPr>
              <w:t>Y≥20000</w:t>
            </w:r>
          </w:p>
        </w:tc>
        <w:tc>
          <w:tcPr>
            <w:tcW w:w="1701" w:type="dxa"/>
            <w:tcBorders>
              <w:top w:val="nil"/>
              <w:left w:val="nil"/>
              <w:bottom w:val="single" w:color="000000" w:sz="4" w:space="0"/>
              <w:right w:val="single" w:color="000000" w:sz="4" w:space="0"/>
            </w:tcBorders>
            <w:vAlign w:val="center"/>
          </w:tcPr>
          <w:p w14:paraId="079FB913">
            <w:pPr>
              <w:widowControl/>
              <w:jc w:val="center"/>
              <w:rPr>
                <w:rFonts w:ascii="宋体" w:hAnsi="宋体" w:cs="宋体"/>
                <w:sz w:val="18"/>
                <w:szCs w:val="18"/>
              </w:rPr>
            </w:pPr>
            <w:r>
              <w:rPr>
                <w:rFonts w:hint="eastAsia" w:ascii="宋体" w:hAnsi="宋体" w:cs="宋体"/>
                <w:sz w:val="18"/>
                <w:szCs w:val="18"/>
              </w:rPr>
              <w:t xml:space="preserve"> 500≤Y＜20000</w:t>
            </w:r>
          </w:p>
        </w:tc>
        <w:tc>
          <w:tcPr>
            <w:tcW w:w="1426" w:type="dxa"/>
            <w:tcBorders>
              <w:top w:val="nil"/>
              <w:left w:val="nil"/>
              <w:bottom w:val="single" w:color="000000" w:sz="4" w:space="0"/>
              <w:right w:val="single" w:color="000000" w:sz="4" w:space="0"/>
            </w:tcBorders>
            <w:vAlign w:val="center"/>
          </w:tcPr>
          <w:p w14:paraId="7661B9C4">
            <w:pPr>
              <w:widowControl/>
              <w:jc w:val="center"/>
              <w:rPr>
                <w:rFonts w:ascii="宋体" w:hAnsi="宋体" w:cs="宋体"/>
                <w:sz w:val="18"/>
                <w:szCs w:val="18"/>
              </w:rPr>
            </w:pPr>
            <w:r>
              <w:rPr>
                <w:rFonts w:hint="eastAsia" w:ascii="宋体" w:hAnsi="宋体" w:cs="宋体"/>
                <w:sz w:val="18"/>
                <w:szCs w:val="18"/>
              </w:rPr>
              <w:t xml:space="preserve"> 50≤Y＜500</w:t>
            </w:r>
          </w:p>
        </w:tc>
        <w:tc>
          <w:tcPr>
            <w:tcW w:w="992" w:type="dxa"/>
            <w:tcBorders>
              <w:top w:val="nil"/>
              <w:left w:val="nil"/>
              <w:bottom w:val="single" w:color="000000" w:sz="4" w:space="0"/>
              <w:right w:val="nil"/>
            </w:tcBorders>
            <w:vAlign w:val="center"/>
          </w:tcPr>
          <w:p w14:paraId="4C15F8E5">
            <w:pPr>
              <w:widowControl/>
              <w:jc w:val="center"/>
              <w:rPr>
                <w:rFonts w:ascii="宋体" w:hAnsi="宋体" w:cs="宋体"/>
                <w:sz w:val="18"/>
                <w:szCs w:val="18"/>
              </w:rPr>
            </w:pPr>
            <w:r>
              <w:rPr>
                <w:rFonts w:hint="eastAsia" w:ascii="宋体" w:hAnsi="宋体" w:cs="宋体"/>
                <w:sz w:val="18"/>
                <w:szCs w:val="18"/>
              </w:rPr>
              <w:t>Y＜50</w:t>
            </w:r>
          </w:p>
        </w:tc>
      </w:tr>
      <w:tr w14:paraId="3D4B27B7">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49E2D420">
            <w:pPr>
              <w:widowControl/>
              <w:spacing w:line="240" w:lineRule="exact"/>
              <w:jc w:val="left"/>
              <w:rPr>
                <w:rFonts w:ascii="宋体" w:hAnsi="宋体" w:cs="宋体"/>
                <w:sz w:val="18"/>
                <w:szCs w:val="18"/>
              </w:rPr>
            </w:pPr>
            <w:r>
              <w:rPr>
                <w:rFonts w:hint="eastAsia" w:ascii="宋体" w:hAnsi="宋体" w:cs="宋体"/>
                <w:sz w:val="18"/>
                <w:szCs w:val="18"/>
              </w:rPr>
              <w:t>工业 *</w:t>
            </w:r>
          </w:p>
        </w:tc>
        <w:tc>
          <w:tcPr>
            <w:tcW w:w="1369" w:type="dxa"/>
            <w:tcBorders>
              <w:top w:val="nil"/>
              <w:left w:val="nil"/>
              <w:bottom w:val="nil"/>
              <w:right w:val="single" w:color="000000" w:sz="4" w:space="0"/>
            </w:tcBorders>
            <w:vAlign w:val="center"/>
          </w:tcPr>
          <w:p w14:paraId="72AF32E3">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3FA10AE8">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67EEEB77">
            <w:pPr>
              <w:widowControl/>
              <w:jc w:val="center"/>
              <w:rPr>
                <w:rFonts w:ascii="宋体" w:hAnsi="宋体" w:cs="宋体"/>
                <w:sz w:val="18"/>
                <w:szCs w:val="18"/>
              </w:rPr>
            </w:pPr>
            <w:r>
              <w:rPr>
                <w:rFonts w:hint="eastAsia" w:ascii="宋体" w:hAnsi="宋体" w:cs="宋体"/>
                <w:sz w:val="18"/>
                <w:szCs w:val="18"/>
              </w:rPr>
              <w:t>X≥1000</w:t>
            </w:r>
          </w:p>
        </w:tc>
        <w:tc>
          <w:tcPr>
            <w:tcW w:w="1701" w:type="dxa"/>
            <w:tcBorders>
              <w:top w:val="nil"/>
              <w:left w:val="nil"/>
              <w:bottom w:val="nil"/>
              <w:right w:val="single" w:color="000000" w:sz="4" w:space="0"/>
            </w:tcBorders>
            <w:vAlign w:val="center"/>
          </w:tcPr>
          <w:p w14:paraId="318889C9">
            <w:pPr>
              <w:widowControl/>
              <w:jc w:val="center"/>
              <w:rPr>
                <w:rFonts w:ascii="宋体" w:hAnsi="宋体" w:cs="宋体"/>
                <w:sz w:val="18"/>
                <w:szCs w:val="18"/>
              </w:rPr>
            </w:pPr>
            <w:r>
              <w:rPr>
                <w:rFonts w:hint="eastAsia" w:ascii="宋体" w:hAnsi="宋体" w:cs="宋体"/>
                <w:sz w:val="18"/>
                <w:szCs w:val="18"/>
              </w:rPr>
              <w:t>300≤X＜1000</w:t>
            </w:r>
          </w:p>
        </w:tc>
        <w:tc>
          <w:tcPr>
            <w:tcW w:w="1426" w:type="dxa"/>
            <w:tcBorders>
              <w:top w:val="nil"/>
              <w:left w:val="nil"/>
              <w:bottom w:val="nil"/>
              <w:right w:val="single" w:color="000000" w:sz="4" w:space="0"/>
            </w:tcBorders>
            <w:vAlign w:val="center"/>
          </w:tcPr>
          <w:p w14:paraId="32A113F6">
            <w:pPr>
              <w:widowControl/>
              <w:jc w:val="center"/>
              <w:rPr>
                <w:rFonts w:ascii="宋体" w:hAnsi="宋体" w:cs="宋体"/>
                <w:sz w:val="18"/>
                <w:szCs w:val="18"/>
              </w:rPr>
            </w:pPr>
            <w:r>
              <w:rPr>
                <w:rFonts w:hint="eastAsia" w:ascii="宋体" w:hAnsi="宋体" w:cs="宋体"/>
                <w:sz w:val="18"/>
                <w:szCs w:val="18"/>
              </w:rPr>
              <w:t xml:space="preserve"> 20≤X＜300</w:t>
            </w:r>
          </w:p>
        </w:tc>
        <w:tc>
          <w:tcPr>
            <w:tcW w:w="992" w:type="dxa"/>
            <w:tcBorders>
              <w:top w:val="nil"/>
              <w:left w:val="nil"/>
              <w:bottom w:val="nil"/>
              <w:right w:val="nil"/>
            </w:tcBorders>
            <w:vAlign w:val="center"/>
          </w:tcPr>
          <w:p w14:paraId="1A7BF6D3">
            <w:pPr>
              <w:widowControl/>
              <w:jc w:val="center"/>
              <w:rPr>
                <w:rFonts w:ascii="宋体" w:hAnsi="宋体" w:cs="宋体"/>
                <w:sz w:val="18"/>
                <w:szCs w:val="18"/>
              </w:rPr>
            </w:pPr>
            <w:r>
              <w:rPr>
                <w:rFonts w:hint="eastAsia" w:ascii="宋体" w:hAnsi="宋体" w:cs="宋体"/>
                <w:sz w:val="18"/>
                <w:szCs w:val="18"/>
              </w:rPr>
              <w:t>X＜20</w:t>
            </w:r>
          </w:p>
        </w:tc>
      </w:tr>
      <w:tr w14:paraId="21A16880">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618E5D5E">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532AF0F1">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3ACE4B03">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33DED056">
            <w:pPr>
              <w:widowControl/>
              <w:jc w:val="center"/>
              <w:rPr>
                <w:rFonts w:ascii="宋体" w:hAnsi="宋体" w:cs="宋体"/>
                <w:sz w:val="18"/>
                <w:szCs w:val="18"/>
              </w:rPr>
            </w:pPr>
            <w:r>
              <w:rPr>
                <w:rFonts w:hint="eastAsia" w:ascii="宋体" w:hAnsi="宋体" w:cs="宋体"/>
                <w:sz w:val="18"/>
                <w:szCs w:val="18"/>
              </w:rPr>
              <w:t>Y≥40000</w:t>
            </w:r>
          </w:p>
        </w:tc>
        <w:tc>
          <w:tcPr>
            <w:tcW w:w="1701" w:type="dxa"/>
            <w:tcBorders>
              <w:top w:val="nil"/>
              <w:left w:val="nil"/>
              <w:bottom w:val="single" w:color="000000" w:sz="4" w:space="0"/>
              <w:right w:val="single" w:color="000000" w:sz="4" w:space="0"/>
            </w:tcBorders>
            <w:vAlign w:val="center"/>
          </w:tcPr>
          <w:p w14:paraId="3A7031D8">
            <w:pPr>
              <w:widowControl/>
              <w:jc w:val="center"/>
              <w:rPr>
                <w:rFonts w:ascii="宋体" w:hAnsi="宋体" w:cs="宋体"/>
                <w:sz w:val="18"/>
                <w:szCs w:val="18"/>
              </w:rPr>
            </w:pPr>
            <w:r>
              <w:rPr>
                <w:rFonts w:hint="eastAsia" w:ascii="宋体" w:hAnsi="宋体" w:cs="宋体"/>
                <w:sz w:val="18"/>
                <w:szCs w:val="18"/>
              </w:rPr>
              <w:t>2000≤Y＜40000</w:t>
            </w:r>
          </w:p>
        </w:tc>
        <w:tc>
          <w:tcPr>
            <w:tcW w:w="1426" w:type="dxa"/>
            <w:tcBorders>
              <w:top w:val="nil"/>
              <w:left w:val="nil"/>
              <w:bottom w:val="single" w:color="000000" w:sz="4" w:space="0"/>
              <w:right w:val="single" w:color="000000" w:sz="4" w:space="0"/>
            </w:tcBorders>
            <w:vAlign w:val="center"/>
          </w:tcPr>
          <w:p w14:paraId="30E87449">
            <w:pPr>
              <w:widowControl/>
              <w:jc w:val="center"/>
              <w:rPr>
                <w:rFonts w:ascii="宋体" w:hAnsi="宋体" w:cs="宋体"/>
                <w:sz w:val="18"/>
                <w:szCs w:val="18"/>
              </w:rPr>
            </w:pPr>
            <w:r>
              <w:rPr>
                <w:rFonts w:hint="eastAsia" w:ascii="宋体" w:hAnsi="宋体" w:cs="宋体"/>
                <w:sz w:val="18"/>
                <w:szCs w:val="18"/>
              </w:rPr>
              <w:t xml:space="preserve"> 300≤Y＜2000</w:t>
            </w:r>
          </w:p>
        </w:tc>
        <w:tc>
          <w:tcPr>
            <w:tcW w:w="992" w:type="dxa"/>
            <w:tcBorders>
              <w:top w:val="nil"/>
              <w:left w:val="nil"/>
              <w:bottom w:val="single" w:color="000000" w:sz="4" w:space="0"/>
              <w:right w:val="nil"/>
            </w:tcBorders>
            <w:vAlign w:val="center"/>
          </w:tcPr>
          <w:p w14:paraId="43206F76">
            <w:pPr>
              <w:widowControl/>
              <w:jc w:val="center"/>
              <w:rPr>
                <w:rFonts w:ascii="宋体" w:hAnsi="宋体" w:cs="宋体"/>
                <w:sz w:val="18"/>
                <w:szCs w:val="18"/>
              </w:rPr>
            </w:pPr>
            <w:r>
              <w:rPr>
                <w:rFonts w:hint="eastAsia" w:ascii="宋体" w:hAnsi="宋体" w:cs="宋体"/>
                <w:sz w:val="18"/>
                <w:szCs w:val="18"/>
              </w:rPr>
              <w:t>Y＜300</w:t>
            </w:r>
          </w:p>
        </w:tc>
      </w:tr>
      <w:tr w14:paraId="3BF824EA">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7273263B">
            <w:pPr>
              <w:widowControl/>
              <w:spacing w:line="240" w:lineRule="exact"/>
              <w:jc w:val="left"/>
              <w:rPr>
                <w:rFonts w:ascii="宋体" w:hAnsi="宋体" w:cs="宋体"/>
                <w:sz w:val="18"/>
                <w:szCs w:val="18"/>
              </w:rPr>
            </w:pPr>
            <w:r>
              <w:rPr>
                <w:rFonts w:hint="eastAsia" w:ascii="宋体" w:hAnsi="宋体" w:cs="宋体"/>
                <w:sz w:val="18"/>
                <w:szCs w:val="18"/>
              </w:rPr>
              <w:t>建筑业</w:t>
            </w:r>
          </w:p>
        </w:tc>
        <w:tc>
          <w:tcPr>
            <w:tcW w:w="1369" w:type="dxa"/>
            <w:tcBorders>
              <w:top w:val="nil"/>
              <w:left w:val="nil"/>
              <w:bottom w:val="nil"/>
              <w:right w:val="single" w:color="000000" w:sz="4" w:space="0"/>
            </w:tcBorders>
            <w:vAlign w:val="center"/>
          </w:tcPr>
          <w:p w14:paraId="271EF406">
            <w:pPr>
              <w:widowControl/>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nil"/>
              <w:right w:val="single" w:color="000000" w:sz="4" w:space="0"/>
            </w:tcBorders>
            <w:vAlign w:val="center"/>
          </w:tcPr>
          <w:p w14:paraId="34F47EE8">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nil"/>
              <w:right w:val="single" w:color="000000" w:sz="4" w:space="0"/>
            </w:tcBorders>
            <w:vAlign w:val="center"/>
          </w:tcPr>
          <w:p w14:paraId="0D7DC909">
            <w:pPr>
              <w:widowControl/>
              <w:jc w:val="center"/>
              <w:rPr>
                <w:rFonts w:ascii="宋体" w:hAnsi="宋体" w:cs="宋体"/>
                <w:sz w:val="18"/>
                <w:szCs w:val="18"/>
              </w:rPr>
            </w:pPr>
            <w:r>
              <w:rPr>
                <w:rFonts w:hint="eastAsia" w:ascii="宋体" w:hAnsi="宋体" w:cs="宋体"/>
                <w:sz w:val="18"/>
                <w:szCs w:val="18"/>
              </w:rPr>
              <w:t>Y≥80000</w:t>
            </w:r>
          </w:p>
        </w:tc>
        <w:tc>
          <w:tcPr>
            <w:tcW w:w="1701" w:type="dxa"/>
            <w:tcBorders>
              <w:top w:val="nil"/>
              <w:left w:val="nil"/>
              <w:bottom w:val="nil"/>
              <w:right w:val="single" w:color="000000" w:sz="4" w:space="0"/>
            </w:tcBorders>
            <w:vAlign w:val="center"/>
          </w:tcPr>
          <w:p w14:paraId="660AF6D2">
            <w:pPr>
              <w:widowControl/>
              <w:jc w:val="center"/>
              <w:rPr>
                <w:rFonts w:ascii="宋体" w:hAnsi="宋体" w:cs="宋体"/>
                <w:sz w:val="18"/>
                <w:szCs w:val="18"/>
              </w:rPr>
            </w:pPr>
            <w:r>
              <w:rPr>
                <w:rFonts w:hint="eastAsia" w:ascii="宋体" w:hAnsi="宋体" w:cs="宋体"/>
                <w:sz w:val="18"/>
                <w:szCs w:val="18"/>
              </w:rPr>
              <w:t>6000≤Y＜80000</w:t>
            </w:r>
          </w:p>
        </w:tc>
        <w:tc>
          <w:tcPr>
            <w:tcW w:w="1426" w:type="dxa"/>
            <w:tcBorders>
              <w:top w:val="nil"/>
              <w:left w:val="nil"/>
              <w:bottom w:val="nil"/>
              <w:right w:val="single" w:color="000000" w:sz="4" w:space="0"/>
            </w:tcBorders>
            <w:vAlign w:val="center"/>
          </w:tcPr>
          <w:p w14:paraId="02580134">
            <w:pPr>
              <w:widowControl/>
              <w:jc w:val="center"/>
              <w:rPr>
                <w:rFonts w:ascii="宋体" w:hAnsi="宋体" w:cs="宋体"/>
                <w:sz w:val="18"/>
                <w:szCs w:val="18"/>
              </w:rPr>
            </w:pPr>
            <w:r>
              <w:rPr>
                <w:rFonts w:hint="eastAsia" w:ascii="宋体" w:hAnsi="宋体" w:cs="宋体"/>
                <w:sz w:val="18"/>
                <w:szCs w:val="18"/>
              </w:rPr>
              <w:t xml:space="preserve"> 300≤Y＜6000</w:t>
            </w:r>
          </w:p>
        </w:tc>
        <w:tc>
          <w:tcPr>
            <w:tcW w:w="992" w:type="dxa"/>
            <w:tcBorders>
              <w:top w:val="nil"/>
              <w:left w:val="nil"/>
              <w:bottom w:val="nil"/>
              <w:right w:val="nil"/>
            </w:tcBorders>
            <w:vAlign w:val="center"/>
          </w:tcPr>
          <w:p w14:paraId="0675C950">
            <w:pPr>
              <w:widowControl/>
              <w:jc w:val="center"/>
              <w:rPr>
                <w:rFonts w:ascii="宋体" w:hAnsi="宋体" w:cs="宋体"/>
                <w:sz w:val="18"/>
                <w:szCs w:val="18"/>
              </w:rPr>
            </w:pPr>
            <w:r>
              <w:rPr>
                <w:rFonts w:hint="eastAsia" w:ascii="宋体" w:hAnsi="宋体" w:cs="宋体"/>
                <w:sz w:val="18"/>
                <w:szCs w:val="18"/>
              </w:rPr>
              <w:t>Y＜300</w:t>
            </w:r>
          </w:p>
        </w:tc>
      </w:tr>
      <w:tr w14:paraId="2BD25454">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0B1BADB8">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21CB5F54">
            <w:pPr>
              <w:widowControl/>
              <w:spacing w:line="240" w:lineRule="exact"/>
              <w:jc w:val="center"/>
              <w:rPr>
                <w:rFonts w:ascii="宋体" w:hAnsi="宋体" w:cs="宋体"/>
                <w:sz w:val="18"/>
                <w:szCs w:val="18"/>
              </w:rPr>
            </w:pPr>
            <w:r>
              <w:rPr>
                <w:rFonts w:hint="eastAsia" w:ascii="宋体" w:hAnsi="宋体" w:cs="宋体"/>
                <w:sz w:val="18"/>
                <w:szCs w:val="18"/>
              </w:rPr>
              <w:t>资产总额(Z)</w:t>
            </w:r>
          </w:p>
        </w:tc>
        <w:tc>
          <w:tcPr>
            <w:tcW w:w="709" w:type="dxa"/>
            <w:tcBorders>
              <w:top w:val="nil"/>
              <w:left w:val="nil"/>
              <w:bottom w:val="single" w:color="000000" w:sz="4" w:space="0"/>
              <w:right w:val="single" w:color="000000" w:sz="4" w:space="0"/>
            </w:tcBorders>
            <w:vAlign w:val="center"/>
          </w:tcPr>
          <w:p w14:paraId="1C9A35CF">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6550120A">
            <w:pPr>
              <w:widowControl/>
              <w:jc w:val="center"/>
              <w:rPr>
                <w:rFonts w:ascii="宋体" w:hAnsi="宋体" w:cs="宋体"/>
                <w:sz w:val="18"/>
                <w:szCs w:val="18"/>
              </w:rPr>
            </w:pPr>
            <w:r>
              <w:rPr>
                <w:rFonts w:hint="eastAsia" w:ascii="宋体" w:hAnsi="宋体" w:cs="宋体"/>
                <w:sz w:val="18"/>
                <w:szCs w:val="18"/>
              </w:rPr>
              <w:t>Z≥80000</w:t>
            </w:r>
          </w:p>
        </w:tc>
        <w:tc>
          <w:tcPr>
            <w:tcW w:w="1701" w:type="dxa"/>
            <w:tcBorders>
              <w:top w:val="nil"/>
              <w:left w:val="nil"/>
              <w:bottom w:val="single" w:color="000000" w:sz="4" w:space="0"/>
              <w:right w:val="single" w:color="000000" w:sz="4" w:space="0"/>
            </w:tcBorders>
            <w:vAlign w:val="center"/>
          </w:tcPr>
          <w:p w14:paraId="48037359">
            <w:pPr>
              <w:widowControl/>
              <w:jc w:val="center"/>
              <w:rPr>
                <w:rFonts w:ascii="宋体" w:hAnsi="宋体" w:cs="宋体"/>
                <w:sz w:val="18"/>
                <w:szCs w:val="18"/>
              </w:rPr>
            </w:pPr>
            <w:r>
              <w:rPr>
                <w:rFonts w:hint="eastAsia" w:ascii="宋体" w:hAnsi="宋体" w:cs="宋体"/>
                <w:sz w:val="18"/>
                <w:szCs w:val="18"/>
              </w:rPr>
              <w:t>5000≤Z＜80000</w:t>
            </w:r>
          </w:p>
        </w:tc>
        <w:tc>
          <w:tcPr>
            <w:tcW w:w="1426" w:type="dxa"/>
            <w:tcBorders>
              <w:top w:val="nil"/>
              <w:left w:val="nil"/>
              <w:bottom w:val="single" w:color="000000" w:sz="4" w:space="0"/>
              <w:right w:val="single" w:color="000000" w:sz="4" w:space="0"/>
            </w:tcBorders>
            <w:vAlign w:val="center"/>
          </w:tcPr>
          <w:p w14:paraId="1571F0F4">
            <w:pPr>
              <w:widowControl/>
              <w:jc w:val="center"/>
              <w:rPr>
                <w:rFonts w:ascii="宋体" w:hAnsi="宋体" w:cs="宋体"/>
                <w:sz w:val="18"/>
                <w:szCs w:val="18"/>
              </w:rPr>
            </w:pPr>
            <w:r>
              <w:rPr>
                <w:rFonts w:hint="eastAsia" w:ascii="宋体" w:hAnsi="宋体" w:cs="宋体"/>
                <w:sz w:val="18"/>
                <w:szCs w:val="18"/>
              </w:rPr>
              <w:t xml:space="preserve"> 300≤Z＜5000</w:t>
            </w:r>
          </w:p>
        </w:tc>
        <w:tc>
          <w:tcPr>
            <w:tcW w:w="992" w:type="dxa"/>
            <w:tcBorders>
              <w:top w:val="nil"/>
              <w:left w:val="nil"/>
              <w:bottom w:val="single" w:color="000000" w:sz="4" w:space="0"/>
              <w:right w:val="nil"/>
            </w:tcBorders>
            <w:vAlign w:val="center"/>
          </w:tcPr>
          <w:p w14:paraId="0ED4B7C9">
            <w:pPr>
              <w:widowControl/>
              <w:jc w:val="center"/>
              <w:rPr>
                <w:rFonts w:ascii="宋体" w:hAnsi="宋体" w:cs="宋体"/>
                <w:sz w:val="18"/>
                <w:szCs w:val="18"/>
              </w:rPr>
            </w:pPr>
            <w:r>
              <w:rPr>
                <w:rFonts w:hint="eastAsia" w:ascii="宋体" w:hAnsi="宋体" w:cs="宋体"/>
                <w:sz w:val="18"/>
                <w:szCs w:val="18"/>
              </w:rPr>
              <w:t>Z＜300</w:t>
            </w:r>
          </w:p>
        </w:tc>
      </w:tr>
      <w:tr w14:paraId="02DE7BD1">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344D11E7">
            <w:pPr>
              <w:widowControl/>
              <w:spacing w:line="240" w:lineRule="exact"/>
              <w:jc w:val="left"/>
              <w:rPr>
                <w:rFonts w:ascii="宋体" w:hAnsi="宋体" w:cs="宋体"/>
                <w:sz w:val="18"/>
                <w:szCs w:val="18"/>
              </w:rPr>
            </w:pPr>
            <w:r>
              <w:rPr>
                <w:rFonts w:hint="eastAsia" w:ascii="宋体" w:hAnsi="宋体" w:cs="宋体"/>
                <w:sz w:val="18"/>
                <w:szCs w:val="18"/>
              </w:rPr>
              <w:t>批发业</w:t>
            </w:r>
          </w:p>
        </w:tc>
        <w:tc>
          <w:tcPr>
            <w:tcW w:w="1369" w:type="dxa"/>
            <w:tcBorders>
              <w:top w:val="nil"/>
              <w:left w:val="nil"/>
              <w:bottom w:val="nil"/>
              <w:right w:val="single" w:color="000000" w:sz="4" w:space="0"/>
            </w:tcBorders>
            <w:vAlign w:val="center"/>
          </w:tcPr>
          <w:p w14:paraId="21CA42CB">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0D9092C6">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501832D3">
            <w:pPr>
              <w:widowControl/>
              <w:jc w:val="center"/>
              <w:rPr>
                <w:rFonts w:ascii="宋体" w:hAnsi="宋体" w:cs="宋体"/>
                <w:sz w:val="18"/>
                <w:szCs w:val="18"/>
              </w:rPr>
            </w:pPr>
            <w:r>
              <w:rPr>
                <w:rFonts w:hint="eastAsia" w:ascii="宋体" w:hAnsi="宋体" w:cs="宋体"/>
                <w:sz w:val="18"/>
                <w:szCs w:val="18"/>
              </w:rPr>
              <w:t>X≥200</w:t>
            </w:r>
          </w:p>
        </w:tc>
        <w:tc>
          <w:tcPr>
            <w:tcW w:w="1701" w:type="dxa"/>
            <w:tcBorders>
              <w:top w:val="nil"/>
              <w:left w:val="nil"/>
              <w:bottom w:val="nil"/>
              <w:right w:val="single" w:color="000000" w:sz="4" w:space="0"/>
            </w:tcBorders>
            <w:vAlign w:val="center"/>
          </w:tcPr>
          <w:p w14:paraId="7CEAD3F3">
            <w:pPr>
              <w:widowControl/>
              <w:jc w:val="center"/>
              <w:rPr>
                <w:rFonts w:ascii="宋体" w:hAnsi="宋体" w:cs="宋体"/>
                <w:sz w:val="18"/>
                <w:szCs w:val="18"/>
              </w:rPr>
            </w:pPr>
            <w:r>
              <w:rPr>
                <w:rFonts w:hint="eastAsia" w:ascii="宋体" w:hAnsi="宋体" w:cs="宋体"/>
                <w:sz w:val="18"/>
                <w:szCs w:val="18"/>
              </w:rPr>
              <w:t>20≤X＜200</w:t>
            </w:r>
          </w:p>
        </w:tc>
        <w:tc>
          <w:tcPr>
            <w:tcW w:w="1426" w:type="dxa"/>
            <w:tcBorders>
              <w:top w:val="nil"/>
              <w:left w:val="nil"/>
              <w:bottom w:val="nil"/>
              <w:right w:val="single" w:color="000000" w:sz="4" w:space="0"/>
            </w:tcBorders>
            <w:vAlign w:val="center"/>
          </w:tcPr>
          <w:p w14:paraId="30DDD92B">
            <w:pPr>
              <w:widowControl/>
              <w:jc w:val="center"/>
              <w:rPr>
                <w:rFonts w:ascii="宋体" w:hAnsi="宋体" w:cs="宋体"/>
                <w:sz w:val="18"/>
                <w:szCs w:val="18"/>
              </w:rPr>
            </w:pPr>
            <w:r>
              <w:rPr>
                <w:rFonts w:hint="eastAsia" w:ascii="宋体" w:hAnsi="宋体" w:cs="宋体"/>
                <w:sz w:val="18"/>
                <w:szCs w:val="18"/>
              </w:rPr>
              <w:t xml:space="preserve"> 5≤X＜20</w:t>
            </w:r>
          </w:p>
        </w:tc>
        <w:tc>
          <w:tcPr>
            <w:tcW w:w="992" w:type="dxa"/>
            <w:tcBorders>
              <w:top w:val="nil"/>
              <w:left w:val="nil"/>
              <w:bottom w:val="nil"/>
              <w:right w:val="nil"/>
            </w:tcBorders>
            <w:vAlign w:val="center"/>
          </w:tcPr>
          <w:p w14:paraId="4B191B29">
            <w:pPr>
              <w:widowControl/>
              <w:jc w:val="center"/>
              <w:rPr>
                <w:rFonts w:ascii="宋体" w:hAnsi="宋体" w:cs="宋体"/>
                <w:sz w:val="18"/>
                <w:szCs w:val="18"/>
              </w:rPr>
            </w:pPr>
            <w:r>
              <w:rPr>
                <w:rFonts w:hint="eastAsia" w:ascii="宋体" w:hAnsi="宋体" w:cs="宋体"/>
                <w:sz w:val="18"/>
                <w:szCs w:val="18"/>
              </w:rPr>
              <w:t>X＜5</w:t>
            </w:r>
          </w:p>
        </w:tc>
      </w:tr>
      <w:tr w14:paraId="5A92B4E6">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0AF4D1E0">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0ADA8FA4">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61DA8A24">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012639FE">
            <w:pPr>
              <w:widowControl/>
              <w:jc w:val="center"/>
              <w:rPr>
                <w:rFonts w:ascii="宋体" w:hAnsi="宋体" w:cs="宋体"/>
                <w:sz w:val="18"/>
                <w:szCs w:val="18"/>
              </w:rPr>
            </w:pPr>
            <w:r>
              <w:rPr>
                <w:rFonts w:hint="eastAsia" w:ascii="宋体" w:hAnsi="宋体" w:cs="宋体"/>
                <w:sz w:val="18"/>
                <w:szCs w:val="18"/>
              </w:rPr>
              <w:t>Y≥40000</w:t>
            </w:r>
          </w:p>
        </w:tc>
        <w:tc>
          <w:tcPr>
            <w:tcW w:w="1701" w:type="dxa"/>
            <w:tcBorders>
              <w:top w:val="nil"/>
              <w:left w:val="nil"/>
              <w:bottom w:val="single" w:color="000000" w:sz="4" w:space="0"/>
              <w:right w:val="single" w:color="000000" w:sz="4" w:space="0"/>
            </w:tcBorders>
            <w:vAlign w:val="center"/>
          </w:tcPr>
          <w:p w14:paraId="4C977B87">
            <w:pPr>
              <w:widowControl/>
              <w:jc w:val="center"/>
              <w:rPr>
                <w:rFonts w:ascii="宋体" w:hAnsi="宋体" w:cs="宋体"/>
                <w:sz w:val="18"/>
                <w:szCs w:val="18"/>
              </w:rPr>
            </w:pPr>
            <w:r>
              <w:rPr>
                <w:rFonts w:hint="eastAsia" w:ascii="宋体" w:hAnsi="宋体" w:cs="宋体"/>
                <w:sz w:val="18"/>
                <w:szCs w:val="18"/>
              </w:rPr>
              <w:t>5000≤Y＜40000</w:t>
            </w:r>
          </w:p>
        </w:tc>
        <w:tc>
          <w:tcPr>
            <w:tcW w:w="1426" w:type="dxa"/>
            <w:tcBorders>
              <w:top w:val="nil"/>
              <w:left w:val="nil"/>
              <w:bottom w:val="single" w:color="000000" w:sz="4" w:space="0"/>
              <w:right w:val="single" w:color="000000" w:sz="4" w:space="0"/>
            </w:tcBorders>
            <w:vAlign w:val="center"/>
          </w:tcPr>
          <w:p w14:paraId="00A57562">
            <w:pPr>
              <w:widowControl/>
              <w:ind w:left="-1" w:hanging="1"/>
              <w:jc w:val="center"/>
              <w:rPr>
                <w:rFonts w:ascii="宋体" w:hAnsi="宋体" w:cs="宋体"/>
                <w:sz w:val="18"/>
                <w:szCs w:val="18"/>
              </w:rPr>
            </w:pPr>
            <w:r>
              <w:rPr>
                <w:rFonts w:hint="eastAsia" w:ascii="宋体" w:hAnsi="宋体" w:cs="宋体"/>
                <w:sz w:val="18"/>
                <w:szCs w:val="18"/>
              </w:rPr>
              <w:t>1000≤Y＜5000</w:t>
            </w:r>
          </w:p>
        </w:tc>
        <w:tc>
          <w:tcPr>
            <w:tcW w:w="992" w:type="dxa"/>
            <w:tcBorders>
              <w:top w:val="nil"/>
              <w:left w:val="nil"/>
              <w:bottom w:val="single" w:color="000000" w:sz="4" w:space="0"/>
              <w:right w:val="nil"/>
            </w:tcBorders>
            <w:vAlign w:val="center"/>
          </w:tcPr>
          <w:p w14:paraId="6C285768">
            <w:pPr>
              <w:widowControl/>
              <w:jc w:val="center"/>
              <w:rPr>
                <w:rFonts w:ascii="宋体" w:hAnsi="宋体" w:cs="宋体"/>
                <w:sz w:val="18"/>
                <w:szCs w:val="18"/>
              </w:rPr>
            </w:pPr>
            <w:r>
              <w:rPr>
                <w:rFonts w:hint="eastAsia" w:ascii="宋体" w:hAnsi="宋体" w:cs="宋体"/>
                <w:sz w:val="18"/>
                <w:szCs w:val="18"/>
              </w:rPr>
              <w:t>Y＜1000</w:t>
            </w:r>
          </w:p>
        </w:tc>
      </w:tr>
      <w:tr w14:paraId="4F87ECB0">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10D1D482">
            <w:pPr>
              <w:widowControl/>
              <w:spacing w:line="240" w:lineRule="exact"/>
              <w:jc w:val="left"/>
              <w:rPr>
                <w:rFonts w:ascii="宋体" w:hAnsi="宋体" w:cs="宋体"/>
                <w:sz w:val="18"/>
                <w:szCs w:val="18"/>
              </w:rPr>
            </w:pPr>
            <w:r>
              <w:rPr>
                <w:rFonts w:hint="eastAsia" w:ascii="宋体" w:hAnsi="宋体" w:cs="宋体"/>
                <w:sz w:val="18"/>
                <w:szCs w:val="18"/>
              </w:rPr>
              <w:t>零售业</w:t>
            </w:r>
          </w:p>
        </w:tc>
        <w:tc>
          <w:tcPr>
            <w:tcW w:w="1369" w:type="dxa"/>
            <w:tcBorders>
              <w:top w:val="nil"/>
              <w:left w:val="nil"/>
              <w:bottom w:val="nil"/>
              <w:right w:val="single" w:color="000000" w:sz="4" w:space="0"/>
            </w:tcBorders>
            <w:vAlign w:val="center"/>
          </w:tcPr>
          <w:p w14:paraId="08DD1440">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5475A6D0">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1364AA77">
            <w:pPr>
              <w:widowControl/>
              <w:jc w:val="center"/>
              <w:rPr>
                <w:rFonts w:ascii="宋体" w:hAnsi="宋体" w:cs="宋体"/>
                <w:sz w:val="18"/>
                <w:szCs w:val="18"/>
              </w:rPr>
            </w:pPr>
            <w:r>
              <w:rPr>
                <w:rFonts w:hint="eastAsia" w:ascii="宋体" w:hAnsi="宋体" w:cs="宋体"/>
                <w:sz w:val="18"/>
                <w:szCs w:val="18"/>
              </w:rPr>
              <w:t>X≥300</w:t>
            </w:r>
          </w:p>
        </w:tc>
        <w:tc>
          <w:tcPr>
            <w:tcW w:w="1701" w:type="dxa"/>
            <w:tcBorders>
              <w:top w:val="nil"/>
              <w:left w:val="nil"/>
              <w:bottom w:val="nil"/>
              <w:right w:val="single" w:color="000000" w:sz="4" w:space="0"/>
            </w:tcBorders>
            <w:vAlign w:val="center"/>
          </w:tcPr>
          <w:p w14:paraId="66EE2181">
            <w:pPr>
              <w:widowControl/>
              <w:jc w:val="center"/>
              <w:rPr>
                <w:rFonts w:ascii="宋体" w:hAnsi="宋体" w:cs="宋体"/>
                <w:sz w:val="18"/>
                <w:szCs w:val="18"/>
              </w:rPr>
            </w:pPr>
            <w:r>
              <w:rPr>
                <w:rFonts w:hint="eastAsia" w:ascii="宋体" w:hAnsi="宋体" w:cs="宋体"/>
                <w:sz w:val="18"/>
                <w:szCs w:val="18"/>
              </w:rPr>
              <w:t>50≤X＜300</w:t>
            </w:r>
          </w:p>
        </w:tc>
        <w:tc>
          <w:tcPr>
            <w:tcW w:w="1426" w:type="dxa"/>
            <w:tcBorders>
              <w:top w:val="nil"/>
              <w:left w:val="nil"/>
              <w:bottom w:val="nil"/>
              <w:right w:val="single" w:color="000000" w:sz="4" w:space="0"/>
            </w:tcBorders>
            <w:vAlign w:val="center"/>
          </w:tcPr>
          <w:p w14:paraId="469EFA41">
            <w:pPr>
              <w:widowControl/>
              <w:ind w:left="-1" w:hanging="1"/>
              <w:jc w:val="center"/>
              <w:rPr>
                <w:rFonts w:ascii="宋体" w:hAnsi="宋体" w:cs="宋体"/>
                <w:sz w:val="18"/>
                <w:szCs w:val="18"/>
              </w:rPr>
            </w:pPr>
            <w:r>
              <w:rPr>
                <w:rFonts w:hint="eastAsia" w:ascii="宋体" w:hAnsi="宋体" w:cs="宋体"/>
                <w:sz w:val="18"/>
                <w:szCs w:val="18"/>
              </w:rPr>
              <w:t xml:space="preserve">10≤X＜50 </w:t>
            </w:r>
          </w:p>
        </w:tc>
        <w:tc>
          <w:tcPr>
            <w:tcW w:w="992" w:type="dxa"/>
            <w:tcBorders>
              <w:top w:val="nil"/>
              <w:left w:val="nil"/>
              <w:bottom w:val="nil"/>
              <w:right w:val="nil"/>
            </w:tcBorders>
            <w:vAlign w:val="center"/>
          </w:tcPr>
          <w:p w14:paraId="2C6B461F">
            <w:pPr>
              <w:widowControl/>
              <w:jc w:val="center"/>
              <w:rPr>
                <w:rFonts w:ascii="宋体" w:hAnsi="宋体" w:cs="宋体"/>
                <w:sz w:val="18"/>
                <w:szCs w:val="18"/>
              </w:rPr>
            </w:pPr>
            <w:r>
              <w:rPr>
                <w:rFonts w:hint="eastAsia" w:ascii="宋体" w:hAnsi="宋体" w:cs="宋体"/>
                <w:sz w:val="18"/>
                <w:szCs w:val="18"/>
              </w:rPr>
              <w:t>X＜10</w:t>
            </w:r>
          </w:p>
        </w:tc>
      </w:tr>
      <w:tr w14:paraId="793B79EE">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24B8D684">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598B7190">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40D34CD9">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58EB04BB">
            <w:pPr>
              <w:widowControl/>
              <w:jc w:val="center"/>
              <w:rPr>
                <w:rFonts w:ascii="宋体" w:hAnsi="宋体" w:cs="宋体"/>
                <w:sz w:val="18"/>
                <w:szCs w:val="18"/>
              </w:rPr>
            </w:pPr>
            <w:r>
              <w:rPr>
                <w:rFonts w:hint="eastAsia" w:ascii="宋体" w:hAnsi="宋体" w:cs="宋体"/>
                <w:sz w:val="18"/>
                <w:szCs w:val="18"/>
              </w:rPr>
              <w:t>Y≥20000</w:t>
            </w:r>
          </w:p>
        </w:tc>
        <w:tc>
          <w:tcPr>
            <w:tcW w:w="1701" w:type="dxa"/>
            <w:tcBorders>
              <w:top w:val="nil"/>
              <w:left w:val="nil"/>
              <w:bottom w:val="single" w:color="000000" w:sz="4" w:space="0"/>
              <w:right w:val="single" w:color="000000" w:sz="4" w:space="0"/>
            </w:tcBorders>
            <w:vAlign w:val="center"/>
          </w:tcPr>
          <w:p w14:paraId="35C7C2F0">
            <w:pPr>
              <w:widowControl/>
              <w:jc w:val="center"/>
              <w:rPr>
                <w:rFonts w:ascii="宋体" w:hAnsi="宋体" w:cs="宋体"/>
                <w:sz w:val="18"/>
                <w:szCs w:val="18"/>
              </w:rPr>
            </w:pPr>
            <w:r>
              <w:rPr>
                <w:rFonts w:hint="eastAsia" w:ascii="宋体" w:hAnsi="宋体" w:cs="宋体"/>
                <w:sz w:val="18"/>
                <w:szCs w:val="18"/>
              </w:rPr>
              <w:t xml:space="preserve"> 500≤Y＜20000</w:t>
            </w:r>
          </w:p>
        </w:tc>
        <w:tc>
          <w:tcPr>
            <w:tcW w:w="1426" w:type="dxa"/>
            <w:tcBorders>
              <w:top w:val="nil"/>
              <w:left w:val="nil"/>
              <w:bottom w:val="single" w:color="000000" w:sz="4" w:space="0"/>
              <w:right w:val="single" w:color="000000" w:sz="4" w:space="0"/>
            </w:tcBorders>
            <w:vAlign w:val="center"/>
          </w:tcPr>
          <w:p w14:paraId="60FE6416">
            <w:pPr>
              <w:widowControl/>
              <w:ind w:left="-1" w:hanging="1"/>
              <w:jc w:val="center"/>
              <w:rPr>
                <w:rFonts w:ascii="宋体" w:hAnsi="宋体" w:cs="宋体"/>
                <w:sz w:val="18"/>
                <w:szCs w:val="18"/>
              </w:rPr>
            </w:pPr>
            <w:r>
              <w:rPr>
                <w:rFonts w:hint="eastAsia" w:ascii="宋体" w:hAnsi="宋体" w:cs="宋体"/>
                <w:sz w:val="18"/>
                <w:szCs w:val="18"/>
              </w:rPr>
              <w:t xml:space="preserve">100≤Y＜500 </w:t>
            </w:r>
          </w:p>
        </w:tc>
        <w:tc>
          <w:tcPr>
            <w:tcW w:w="992" w:type="dxa"/>
            <w:tcBorders>
              <w:top w:val="nil"/>
              <w:left w:val="nil"/>
              <w:bottom w:val="single" w:color="000000" w:sz="4" w:space="0"/>
              <w:right w:val="nil"/>
            </w:tcBorders>
            <w:vAlign w:val="center"/>
          </w:tcPr>
          <w:p w14:paraId="0C50B588">
            <w:pPr>
              <w:widowControl/>
              <w:jc w:val="center"/>
              <w:rPr>
                <w:rFonts w:ascii="宋体" w:hAnsi="宋体" w:cs="宋体"/>
                <w:sz w:val="18"/>
                <w:szCs w:val="18"/>
              </w:rPr>
            </w:pPr>
            <w:r>
              <w:rPr>
                <w:rFonts w:hint="eastAsia" w:ascii="宋体" w:hAnsi="宋体" w:cs="宋体"/>
                <w:sz w:val="18"/>
                <w:szCs w:val="18"/>
              </w:rPr>
              <w:t>Y＜100</w:t>
            </w:r>
          </w:p>
        </w:tc>
      </w:tr>
      <w:tr w14:paraId="75221A43">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66825AFE">
            <w:pPr>
              <w:widowControl/>
              <w:spacing w:line="240" w:lineRule="exact"/>
              <w:jc w:val="left"/>
              <w:rPr>
                <w:rFonts w:ascii="宋体" w:hAnsi="宋体" w:cs="宋体"/>
                <w:sz w:val="18"/>
                <w:szCs w:val="18"/>
              </w:rPr>
            </w:pPr>
            <w:r>
              <w:rPr>
                <w:rFonts w:hint="eastAsia" w:ascii="宋体" w:hAnsi="宋体" w:cs="宋体"/>
                <w:sz w:val="18"/>
                <w:szCs w:val="18"/>
              </w:rPr>
              <w:t>交通运输业 *</w:t>
            </w:r>
          </w:p>
        </w:tc>
        <w:tc>
          <w:tcPr>
            <w:tcW w:w="1369" w:type="dxa"/>
            <w:tcBorders>
              <w:top w:val="nil"/>
              <w:left w:val="nil"/>
              <w:bottom w:val="nil"/>
              <w:right w:val="single" w:color="000000" w:sz="4" w:space="0"/>
            </w:tcBorders>
            <w:vAlign w:val="center"/>
          </w:tcPr>
          <w:p w14:paraId="1D5A2CAB">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09F19B73">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3DB5F02C">
            <w:pPr>
              <w:widowControl/>
              <w:jc w:val="center"/>
              <w:rPr>
                <w:rFonts w:ascii="宋体" w:hAnsi="宋体" w:cs="宋体"/>
                <w:sz w:val="18"/>
                <w:szCs w:val="18"/>
              </w:rPr>
            </w:pPr>
            <w:r>
              <w:rPr>
                <w:rFonts w:hint="eastAsia" w:ascii="宋体" w:hAnsi="宋体" w:cs="宋体"/>
                <w:sz w:val="18"/>
                <w:szCs w:val="18"/>
              </w:rPr>
              <w:t>X≥1000</w:t>
            </w:r>
          </w:p>
        </w:tc>
        <w:tc>
          <w:tcPr>
            <w:tcW w:w="1701" w:type="dxa"/>
            <w:tcBorders>
              <w:top w:val="nil"/>
              <w:left w:val="nil"/>
              <w:bottom w:val="nil"/>
              <w:right w:val="single" w:color="000000" w:sz="4" w:space="0"/>
            </w:tcBorders>
            <w:vAlign w:val="center"/>
          </w:tcPr>
          <w:p w14:paraId="142374CA">
            <w:pPr>
              <w:widowControl/>
              <w:jc w:val="center"/>
              <w:rPr>
                <w:rFonts w:ascii="宋体" w:hAnsi="宋体" w:cs="宋体"/>
                <w:sz w:val="18"/>
                <w:szCs w:val="18"/>
              </w:rPr>
            </w:pPr>
            <w:r>
              <w:rPr>
                <w:rFonts w:hint="eastAsia" w:ascii="宋体" w:hAnsi="宋体" w:cs="宋体"/>
                <w:sz w:val="18"/>
                <w:szCs w:val="18"/>
              </w:rPr>
              <w:t>300≤X＜1000</w:t>
            </w:r>
          </w:p>
        </w:tc>
        <w:tc>
          <w:tcPr>
            <w:tcW w:w="1426" w:type="dxa"/>
            <w:tcBorders>
              <w:top w:val="nil"/>
              <w:left w:val="nil"/>
              <w:bottom w:val="nil"/>
              <w:right w:val="single" w:color="000000" w:sz="4" w:space="0"/>
            </w:tcBorders>
            <w:vAlign w:val="center"/>
          </w:tcPr>
          <w:p w14:paraId="617983D1">
            <w:pPr>
              <w:widowControl/>
              <w:jc w:val="center"/>
              <w:rPr>
                <w:rFonts w:ascii="宋体" w:hAnsi="宋体" w:cs="宋体"/>
                <w:sz w:val="18"/>
                <w:szCs w:val="18"/>
              </w:rPr>
            </w:pPr>
            <w:r>
              <w:rPr>
                <w:rFonts w:hint="eastAsia" w:ascii="宋体" w:hAnsi="宋体" w:cs="宋体"/>
                <w:sz w:val="18"/>
                <w:szCs w:val="18"/>
              </w:rPr>
              <w:t xml:space="preserve"> 20≤X＜300</w:t>
            </w:r>
          </w:p>
        </w:tc>
        <w:tc>
          <w:tcPr>
            <w:tcW w:w="992" w:type="dxa"/>
            <w:tcBorders>
              <w:top w:val="nil"/>
              <w:left w:val="nil"/>
              <w:bottom w:val="nil"/>
              <w:right w:val="nil"/>
            </w:tcBorders>
            <w:vAlign w:val="center"/>
          </w:tcPr>
          <w:p w14:paraId="45E680CD">
            <w:pPr>
              <w:widowControl/>
              <w:jc w:val="center"/>
              <w:rPr>
                <w:rFonts w:ascii="宋体" w:hAnsi="宋体" w:cs="宋体"/>
                <w:sz w:val="18"/>
                <w:szCs w:val="18"/>
              </w:rPr>
            </w:pPr>
            <w:r>
              <w:rPr>
                <w:rFonts w:hint="eastAsia" w:ascii="宋体" w:hAnsi="宋体" w:cs="宋体"/>
                <w:sz w:val="18"/>
                <w:szCs w:val="18"/>
              </w:rPr>
              <w:t>X＜20</w:t>
            </w:r>
          </w:p>
        </w:tc>
      </w:tr>
      <w:tr w14:paraId="73A4C72D">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4961AFE5">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27BBC3C6">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2B612DEF">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16EC14BF">
            <w:pPr>
              <w:widowControl/>
              <w:jc w:val="center"/>
              <w:rPr>
                <w:rFonts w:ascii="宋体" w:hAnsi="宋体" w:cs="宋体"/>
                <w:sz w:val="18"/>
                <w:szCs w:val="18"/>
              </w:rPr>
            </w:pPr>
            <w:r>
              <w:rPr>
                <w:rFonts w:hint="eastAsia" w:ascii="宋体" w:hAnsi="宋体" w:cs="宋体"/>
                <w:sz w:val="18"/>
                <w:szCs w:val="18"/>
              </w:rPr>
              <w:t>Y≥30000</w:t>
            </w:r>
          </w:p>
        </w:tc>
        <w:tc>
          <w:tcPr>
            <w:tcW w:w="1701" w:type="dxa"/>
            <w:tcBorders>
              <w:top w:val="nil"/>
              <w:left w:val="nil"/>
              <w:bottom w:val="single" w:color="000000" w:sz="4" w:space="0"/>
              <w:right w:val="single" w:color="000000" w:sz="4" w:space="0"/>
            </w:tcBorders>
            <w:vAlign w:val="center"/>
          </w:tcPr>
          <w:p w14:paraId="6A74D20C">
            <w:pPr>
              <w:widowControl/>
              <w:jc w:val="center"/>
              <w:rPr>
                <w:rFonts w:ascii="宋体" w:hAnsi="宋体" w:cs="宋体"/>
                <w:sz w:val="18"/>
                <w:szCs w:val="18"/>
              </w:rPr>
            </w:pPr>
            <w:r>
              <w:rPr>
                <w:rFonts w:hint="eastAsia" w:ascii="宋体" w:hAnsi="宋体" w:cs="宋体"/>
                <w:sz w:val="18"/>
                <w:szCs w:val="18"/>
              </w:rPr>
              <w:t>3000≤Y＜30000</w:t>
            </w:r>
          </w:p>
        </w:tc>
        <w:tc>
          <w:tcPr>
            <w:tcW w:w="1426" w:type="dxa"/>
            <w:tcBorders>
              <w:top w:val="nil"/>
              <w:left w:val="nil"/>
              <w:bottom w:val="single" w:color="000000" w:sz="4" w:space="0"/>
              <w:right w:val="single" w:color="000000" w:sz="4" w:space="0"/>
            </w:tcBorders>
            <w:vAlign w:val="center"/>
          </w:tcPr>
          <w:p w14:paraId="2E7DA182">
            <w:pPr>
              <w:widowControl/>
              <w:jc w:val="center"/>
              <w:rPr>
                <w:rFonts w:ascii="宋体" w:hAnsi="宋体" w:cs="宋体"/>
                <w:sz w:val="18"/>
                <w:szCs w:val="18"/>
              </w:rPr>
            </w:pPr>
            <w:r>
              <w:rPr>
                <w:rFonts w:hint="eastAsia" w:ascii="宋体" w:hAnsi="宋体" w:cs="宋体"/>
                <w:sz w:val="18"/>
                <w:szCs w:val="18"/>
              </w:rPr>
              <w:t xml:space="preserve"> 200≤Y＜3000</w:t>
            </w:r>
          </w:p>
        </w:tc>
        <w:tc>
          <w:tcPr>
            <w:tcW w:w="992" w:type="dxa"/>
            <w:tcBorders>
              <w:top w:val="nil"/>
              <w:left w:val="nil"/>
              <w:bottom w:val="single" w:color="000000" w:sz="4" w:space="0"/>
              <w:right w:val="nil"/>
            </w:tcBorders>
            <w:vAlign w:val="center"/>
          </w:tcPr>
          <w:p w14:paraId="2AEDF05E">
            <w:pPr>
              <w:widowControl/>
              <w:jc w:val="center"/>
              <w:rPr>
                <w:rFonts w:ascii="宋体" w:hAnsi="宋体" w:cs="宋体"/>
                <w:sz w:val="18"/>
                <w:szCs w:val="18"/>
              </w:rPr>
            </w:pPr>
            <w:r>
              <w:rPr>
                <w:rFonts w:hint="eastAsia" w:ascii="宋体" w:hAnsi="宋体" w:cs="宋体"/>
                <w:sz w:val="18"/>
                <w:szCs w:val="18"/>
              </w:rPr>
              <w:t>Y＜200</w:t>
            </w:r>
          </w:p>
        </w:tc>
      </w:tr>
      <w:tr w14:paraId="2B41EA25">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6CC6523C">
            <w:pPr>
              <w:widowControl/>
              <w:spacing w:line="240" w:lineRule="exact"/>
              <w:jc w:val="left"/>
              <w:rPr>
                <w:rFonts w:ascii="宋体" w:hAnsi="宋体" w:cs="宋体"/>
                <w:sz w:val="18"/>
                <w:szCs w:val="18"/>
              </w:rPr>
            </w:pPr>
            <w:r>
              <w:rPr>
                <w:rFonts w:hint="eastAsia" w:ascii="宋体" w:hAnsi="宋体" w:cs="宋体"/>
                <w:sz w:val="18"/>
                <w:szCs w:val="18"/>
              </w:rPr>
              <w:t>仓储业*</w:t>
            </w:r>
          </w:p>
        </w:tc>
        <w:tc>
          <w:tcPr>
            <w:tcW w:w="1369" w:type="dxa"/>
            <w:tcBorders>
              <w:top w:val="nil"/>
              <w:left w:val="nil"/>
              <w:bottom w:val="nil"/>
              <w:right w:val="single" w:color="000000" w:sz="4" w:space="0"/>
            </w:tcBorders>
            <w:vAlign w:val="center"/>
          </w:tcPr>
          <w:p w14:paraId="7258F076">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2170FB63">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03EC3DFF">
            <w:pPr>
              <w:widowControl/>
              <w:jc w:val="center"/>
              <w:rPr>
                <w:rFonts w:ascii="宋体" w:hAnsi="宋体" w:cs="宋体"/>
                <w:sz w:val="18"/>
                <w:szCs w:val="18"/>
              </w:rPr>
            </w:pPr>
            <w:r>
              <w:rPr>
                <w:rFonts w:hint="eastAsia" w:ascii="宋体" w:hAnsi="宋体" w:cs="宋体"/>
                <w:sz w:val="18"/>
                <w:szCs w:val="18"/>
              </w:rPr>
              <w:t>X≥200</w:t>
            </w:r>
          </w:p>
        </w:tc>
        <w:tc>
          <w:tcPr>
            <w:tcW w:w="1701" w:type="dxa"/>
            <w:tcBorders>
              <w:top w:val="nil"/>
              <w:left w:val="nil"/>
              <w:bottom w:val="nil"/>
              <w:right w:val="single" w:color="000000" w:sz="4" w:space="0"/>
            </w:tcBorders>
            <w:vAlign w:val="center"/>
          </w:tcPr>
          <w:p w14:paraId="66397650">
            <w:pPr>
              <w:widowControl/>
              <w:ind w:left="1" w:hanging="108"/>
              <w:jc w:val="center"/>
              <w:rPr>
                <w:rFonts w:ascii="宋体" w:hAnsi="宋体" w:cs="宋体"/>
                <w:sz w:val="18"/>
                <w:szCs w:val="18"/>
              </w:rPr>
            </w:pPr>
            <w:r>
              <w:rPr>
                <w:rFonts w:hint="eastAsia" w:ascii="宋体" w:hAnsi="宋体" w:cs="宋体"/>
                <w:sz w:val="18"/>
                <w:szCs w:val="18"/>
              </w:rPr>
              <w:t>100≤X＜200</w:t>
            </w:r>
          </w:p>
        </w:tc>
        <w:tc>
          <w:tcPr>
            <w:tcW w:w="1426" w:type="dxa"/>
            <w:tcBorders>
              <w:top w:val="nil"/>
              <w:left w:val="nil"/>
              <w:bottom w:val="nil"/>
              <w:right w:val="single" w:color="000000" w:sz="4" w:space="0"/>
            </w:tcBorders>
            <w:vAlign w:val="center"/>
          </w:tcPr>
          <w:p w14:paraId="5F091BC4">
            <w:pPr>
              <w:widowControl/>
              <w:jc w:val="center"/>
              <w:rPr>
                <w:rFonts w:ascii="宋体" w:hAnsi="宋体" w:cs="宋体"/>
                <w:sz w:val="18"/>
                <w:szCs w:val="18"/>
              </w:rPr>
            </w:pPr>
            <w:r>
              <w:rPr>
                <w:rFonts w:hint="eastAsia" w:ascii="宋体" w:hAnsi="宋体" w:cs="宋体"/>
                <w:sz w:val="18"/>
                <w:szCs w:val="18"/>
              </w:rPr>
              <w:t xml:space="preserve"> 20≤X＜100</w:t>
            </w:r>
          </w:p>
        </w:tc>
        <w:tc>
          <w:tcPr>
            <w:tcW w:w="992" w:type="dxa"/>
            <w:tcBorders>
              <w:top w:val="nil"/>
              <w:left w:val="nil"/>
              <w:bottom w:val="nil"/>
              <w:right w:val="nil"/>
            </w:tcBorders>
            <w:vAlign w:val="center"/>
          </w:tcPr>
          <w:p w14:paraId="2EF18DE9">
            <w:pPr>
              <w:widowControl/>
              <w:jc w:val="center"/>
              <w:rPr>
                <w:rFonts w:ascii="宋体" w:hAnsi="宋体" w:cs="宋体"/>
                <w:sz w:val="18"/>
                <w:szCs w:val="18"/>
              </w:rPr>
            </w:pPr>
            <w:r>
              <w:rPr>
                <w:rFonts w:hint="eastAsia" w:ascii="宋体" w:hAnsi="宋体" w:cs="宋体"/>
                <w:sz w:val="18"/>
                <w:szCs w:val="18"/>
              </w:rPr>
              <w:t>X＜20</w:t>
            </w:r>
          </w:p>
        </w:tc>
      </w:tr>
      <w:tr w14:paraId="603AADF9">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1512C414">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3F9E2419">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50E63541">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3D5733C7">
            <w:pPr>
              <w:widowControl/>
              <w:jc w:val="center"/>
              <w:rPr>
                <w:rFonts w:ascii="宋体" w:hAnsi="宋体" w:cs="宋体"/>
                <w:sz w:val="18"/>
                <w:szCs w:val="18"/>
              </w:rPr>
            </w:pPr>
            <w:r>
              <w:rPr>
                <w:rFonts w:hint="eastAsia" w:ascii="宋体" w:hAnsi="宋体" w:cs="宋体"/>
                <w:sz w:val="18"/>
                <w:szCs w:val="18"/>
              </w:rPr>
              <w:t>Y≥30000</w:t>
            </w:r>
          </w:p>
        </w:tc>
        <w:tc>
          <w:tcPr>
            <w:tcW w:w="1701" w:type="dxa"/>
            <w:tcBorders>
              <w:top w:val="nil"/>
              <w:left w:val="nil"/>
              <w:bottom w:val="single" w:color="000000" w:sz="4" w:space="0"/>
              <w:right w:val="single" w:color="000000" w:sz="4" w:space="0"/>
            </w:tcBorders>
            <w:vAlign w:val="center"/>
          </w:tcPr>
          <w:p w14:paraId="0DB71F03">
            <w:pPr>
              <w:widowControl/>
              <w:jc w:val="center"/>
              <w:rPr>
                <w:rFonts w:ascii="宋体" w:hAnsi="宋体" w:cs="宋体"/>
                <w:sz w:val="18"/>
                <w:szCs w:val="18"/>
              </w:rPr>
            </w:pPr>
            <w:r>
              <w:rPr>
                <w:rFonts w:hint="eastAsia" w:ascii="宋体" w:hAnsi="宋体" w:cs="宋体"/>
                <w:sz w:val="18"/>
                <w:szCs w:val="18"/>
              </w:rPr>
              <w:t>1000≤Y＜30000</w:t>
            </w:r>
          </w:p>
        </w:tc>
        <w:tc>
          <w:tcPr>
            <w:tcW w:w="1426" w:type="dxa"/>
            <w:tcBorders>
              <w:top w:val="nil"/>
              <w:left w:val="nil"/>
              <w:bottom w:val="single" w:color="000000" w:sz="4" w:space="0"/>
              <w:right w:val="single" w:color="000000" w:sz="4" w:space="0"/>
            </w:tcBorders>
            <w:vAlign w:val="center"/>
          </w:tcPr>
          <w:p w14:paraId="4647226E">
            <w:pPr>
              <w:widowControl/>
              <w:jc w:val="center"/>
              <w:rPr>
                <w:rFonts w:ascii="宋体" w:hAnsi="宋体" w:cs="宋体"/>
                <w:sz w:val="18"/>
                <w:szCs w:val="18"/>
              </w:rPr>
            </w:pPr>
            <w:r>
              <w:rPr>
                <w:rFonts w:hint="eastAsia" w:ascii="宋体" w:hAnsi="宋体" w:cs="宋体"/>
                <w:sz w:val="18"/>
                <w:szCs w:val="18"/>
              </w:rPr>
              <w:t xml:space="preserve"> 100≤Y＜1000</w:t>
            </w:r>
          </w:p>
        </w:tc>
        <w:tc>
          <w:tcPr>
            <w:tcW w:w="992" w:type="dxa"/>
            <w:tcBorders>
              <w:top w:val="nil"/>
              <w:left w:val="nil"/>
              <w:bottom w:val="single" w:color="000000" w:sz="4" w:space="0"/>
              <w:right w:val="nil"/>
            </w:tcBorders>
            <w:vAlign w:val="center"/>
          </w:tcPr>
          <w:p w14:paraId="5CBCA6EC">
            <w:pPr>
              <w:widowControl/>
              <w:jc w:val="center"/>
              <w:rPr>
                <w:rFonts w:ascii="宋体" w:hAnsi="宋体" w:cs="宋体"/>
                <w:sz w:val="18"/>
                <w:szCs w:val="18"/>
              </w:rPr>
            </w:pPr>
            <w:r>
              <w:rPr>
                <w:rFonts w:hint="eastAsia" w:ascii="宋体" w:hAnsi="宋体" w:cs="宋体"/>
                <w:sz w:val="18"/>
                <w:szCs w:val="18"/>
              </w:rPr>
              <w:t>Y＜100</w:t>
            </w:r>
          </w:p>
        </w:tc>
      </w:tr>
      <w:tr w14:paraId="7300A8ED">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4B8F21B8">
            <w:pPr>
              <w:widowControl/>
              <w:spacing w:line="240" w:lineRule="exact"/>
              <w:jc w:val="left"/>
              <w:rPr>
                <w:rFonts w:ascii="宋体" w:hAnsi="宋体" w:cs="宋体"/>
                <w:sz w:val="18"/>
                <w:szCs w:val="18"/>
              </w:rPr>
            </w:pPr>
            <w:r>
              <w:rPr>
                <w:rFonts w:hint="eastAsia" w:ascii="宋体" w:hAnsi="宋体" w:cs="宋体"/>
                <w:sz w:val="18"/>
                <w:szCs w:val="18"/>
              </w:rPr>
              <w:t>邮政业</w:t>
            </w:r>
          </w:p>
        </w:tc>
        <w:tc>
          <w:tcPr>
            <w:tcW w:w="1369" w:type="dxa"/>
            <w:tcBorders>
              <w:top w:val="nil"/>
              <w:left w:val="nil"/>
              <w:bottom w:val="nil"/>
              <w:right w:val="single" w:color="000000" w:sz="4" w:space="0"/>
            </w:tcBorders>
            <w:vAlign w:val="center"/>
          </w:tcPr>
          <w:p w14:paraId="6B4B543A">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4A18A2D5">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03C20100">
            <w:pPr>
              <w:widowControl/>
              <w:jc w:val="center"/>
              <w:rPr>
                <w:rFonts w:ascii="宋体" w:hAnsi="宋体" w:cs="宋体"/>
                <w:sz w:val="18"/>
                <w:szCs w:val="18"/>
              </w:rPr>
            </w:pPr>
            <w:r>
              <w:rPr>
                <w:rFonts w:hint="eastAsia" w:ascii="宋体" w:hAnsi="宋体" w:cs="宋体"/>
                <w:sz w:val="18"/>
                <w:szCs w:val="18"/>
              </w:rPr>
              <w:t>X≥1000</w:t>
            </w:r>
          </w:p>
        </w:tc>
        <w:tc>
          <w:tcPr>
            <w:tcW w:w="1701" w:type="dxa"/>
            <w:tcBorders>
              <w:top w:val="nil"/>
              <w:left w:val="nil"/>
              <w:bottom w:val="nil"/>
              <w:right w:val="single" w:color="000000" w:sz="4" w:space="0"/>
            </w:tcBorders>
            <w:vAlign w:val="center"/>
          </w:tcPr>
          <w:p w14:paraId="0DFD9E78">
            <w:pPr>
              <w:widowControl/>
              <w:jc w:val="center"/>
              <w:rPr>
                <w:rFonts w:ascii="宋体" w:hAnsi="宋体" w:cs="宋体"/>
                <w:sz w:val="18"/>
                <w:szCs w:val="18"/>
              </w:rPr>
            </w:pPr>
            <w:r>
              <w:rPr>
                <w:rFonts w:hint="eastAsia" w:ascii="宋体" w:hAnsi="宋体" w:cs="宋体"/>
                <w:sz w:val="18"/>
                <w:szCs w:val="18"/>
              </w:rPr>
              <w:t>300≤X＜1000</w:t>
            </w:r>
          </w:p>
        </w:tc>
        <w:tc>
          <w:tcPr>
            <w:tcW w:w="1426" w:type="dxa"/>
            <w:tcBorders>
              <w:top w:val="nil"/>
              <w:left w:val="nil"/>
              <w:bottom w:val="nil"/>
              <w:right w:val="single" w:color="000000" w:sz="4" w:space="0"/>
            </w:tcBorders>
            <w:vAlign w:val="center"/>
          </w:tcPr>
          <w:p w14:paraId="7D4A169E">
            <w:pPr>
              <w:widowControl/>
              <w:jc w:val="center"/>
              <w:rPr>
                <w:rFonts w:ascii="宋体" w:hAnsi="宋体" w:cs="宋体"/>
                <w:sz w:val="18"/>
                <w:szCs w:val="18"/>
              </w:rPr>
            </w:pPr>
            <w:r>
              <w:rPr>
                <w:rFonts w:hint="eastAsia" w:ascii="宋体" w:hAnsi="宋体" w:cs="宋体"/>
                <w:sz w:val="18"/>
                <w:szCs w:val="18"/>
              </w:rPr>
              <w:t xml:space="preserve"> 20≤X＜300</w:t>
            </w:r>
          </w:p>
        </w:tc>
        <w:tc>
          <w:tcPr>
            <w:tcW w:w="992" w:type="dxa"/>
            <w:tcBorders>
              <w:top w:val="nil"/>
              <w:left w:val="nil"/>
              <w:bottom w:val="nil"/>
              <w:right w:val="nil"/>
            </w:tcBorders>
            <w:vAlign w:val="center"/>
          </w:tcPr>
          <w:p w14:paraId="535D9FAD">
            <w:pPr>
              <w:widowControl/>
              <w:jc w:val="center"/>
              <w:rPr>
                <w:rFonts w:ascii="宋体" w:hAnsi="宋体" w:cs="宋体"/>
                <w:sz w:val="18"/>
                <w:szCs w:val="18"/>
              </w:rPr>
            </w:pPr>
            <w:r>
              <w:rPr>
                <w:rFonts w:hint="eastAsia" w:ascii="宋体" w:hAnsi="宋体" w:cs="宋体"/>
                <w:sz w:val="18"/>
                <w:szCs w:val="18"/>
              </w:rPr>
              <w:t>X＜20</w:t>
            </w:r>
          </w:p>
        </w:tc>
      </w:tr>
      <w:tr w14:paraId="1F378CB8">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56AE21AF">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744B1881">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6CF30AEB">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44947EDA">
            <w:pPr>
              <w:widowControl/>
              <w:jc w:val="center"/>
              <w:rPr>
                <w:rFonts w:ascii="宋体" w:hAnsi="宋体" w:cs="宋体"/>
                <w:sz w:val="18"/>
                <w:szCs w:val="18"/>
              </w:rPr>
            </w:pPr>
            <w:r>
              <w:rPr>
                <w:rFonts w:hint="eastAsia" w:ascii="宋体" w:hAnsi="宋体" w:cs="宋体"/>
                <w:sz w:val="18"/>
                <w:szCs w:val="18"/>
              </w:rPr>
              <w:t>Y≥30000</w:t>
            </w:r>
          </w:p>
        </w:tc>
        <w:tc>
          <w:tcPr>
            <w:tcW w:w="1701" w:type="dxa"/>
            <w:tcBorders>
              <w:top w:val="nil"/>
              <w:left w:val="nil"/>
              <w:bottom w:val="single" w:color="000000" w:sz="4" w:space="0"/>
              <w:right w:val="single" w:color="000000" w:sz="4" w:space="0"/>
            </w:tcBorders>
            <w:vAlign w:val="center"/>
          </w:tcPr>
          <w:p w14:paraId="5AFC59BC">
            <w:pPr>
              <w:widowControl/>
              <w:jc w:val="center"/>
              <w:rPr>
                <w:rFonts w:ascii="宋体" w:hAnsi="宋体" w:cs="宋体"/>
                <w:sz w:val="18"/>
                <w:szCs w:val="18"/>
              </w:rPr>
            </w:pPr>
            <w:r>
              <w:rPr>
                <w:rFonts w:hint="eastAsia" w:ascii="宋体" w:hAnsi="宋体" w:cs="宋体"/>
                <w:sz w:val="18"/>
                <w:szCs w:val="18"/>
              </w:rPr>
              <w:t>2000≤Y＜30000</w:t>
            </w:r>
          </w:p>
        </w:tc>
        <w:tc>
          <w:tcPr>
            <w:tcW w:w="1426" w:type="dxa"/>
            <w:tcBorders>
              <w:top w:val="nil"/>
              <w:left w:val="nil"/>
              <w:bottom w:val="single" w:color="000000" w:sz="4" w:space="0"/>
              <w:right w:val="single" w:color="000000" w:sz="4" w:space="0"/>
            </w:tcBorders>
            <w:vAlign w:val="center"/>
          </w:tcPr>
          <w:p w14:paraId="10E410EA">
            <w:pPr>
              <w:widowControl/>
              <w:jc w:val="center"/>
              <w:rPr>
                <w:rFonts w:ascii="宋体" w:hAnsi="宋体" w:cs="宋体"/>
                <w:sz w:val="18"/>
                <w:szCs w:val="18"/>
              </w:rPr>
            </w:pPr>
            <w:r>
              <w:rPr>
                <w:rFonts w:hint="eastAsia" w:ascii="宋体" w:hAnsi="宋体" w:cs="宋体"/>
                <w:sz w:val="18"/>
                <w:szCs w:val="18"/>
              </w:rPr>
              <w:t xml:space="preserve"> 100≤Y＜2000</w:t>
            </w:r>
          </w:p>
        </w:tc>
        <w:tc>
          <w:tcPr>
            <w:tcW w:w="992" w:type="dxa"/>
            <w:tcBorders>
              <w:top w:val="nil"/>
              <w:left w:val="nil"/>
              <w:bottom w:val="single" w:color="000000" w:sz="4" w:space="0"/>
              <w:right w:val="nil"/>
            </w:tcBorders>
            <w:vAlign w:val="center"/>
          </w:tcPr>
          <w:p w14:paraId="26D6AD36">
            <w:pPr>
              <w:widowControl/>
              <w:jc w:val="center"/>
              <w:rPr>
                <w:rFonts w:ascii="宋体" w:hAnsi="宋体" w:cs="宋体"/>
                <w:sz w:val="18"/>
                <w:szCs w:val="18"/>
              </w:rPr>
            </w:pPr>
            <w:r>
              <w:rPr>
                <w:rFonts w:hint="eastAsia" w:ascii="宋体" w:hAnsi="宋体" w:cs="宋体"/>
                <w:sz w:val="18"/>
                <w:szCs w:val="18"/>
              </w:rPr>
              <w:t>Y＜100</w:t>
            </w:r>
          </w:p>
        </w:tc>
      </w:tr>
      <w:tr w14:paraId="6A5AF949">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1E873797">
            <w:pPr>
              <w:widowControl/>
              <w:spacing w:line="240" w:lineRule="exact"/>
              <w:jc w:val="left"/>
              <w:rPr>
                <w:rFonts w:ascii="宋体" w:hAnsi="宋体" w:cs="宋体"/>
                <w:sz w:val="18"/>
                <w:szCs w:val="18"/>
              </w:rPr>
            </w:pPr>
            <w:r>
              <w:rPr>
                <w:rFonts w:hint="eastAsia" w:ascii="宋体" w:hAnsi="宋体" w:cs="宋体"/>
                <w:sz w:val="18"/>
                <w:szCs w:val="18"/>
              </w:rPr>
              <w:t>住宿业</w:t>
            </w:r>
          </w:p>
        </w:tc>
        <w:tc>
          <w:tcPr>
            <w:tcW w:w="1369" w:type="dxa"/>
            <w:tcBorders>
              <w:top w:val="nil"/>
              <w:left w:val="nil"/>
              <w:bottom w:val="nil"/>
              <w:right w:val="single" w:color="000000" w:sz="4" w:space="0"/>
            </w:tcBorders>
            <w:vAlign w:val="center"/>
          </w:tcPr>
          <w:p w14:paraId="5DEAF2A3">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1CEA0AC2">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5765D1FD">
            <w:pPr>
              <w:widowControl/>
              <w:jc w:val="center"/>
              <w:rPr>
                <w:rFonts w:ascii="宋体" w:hAnsi="宋体" w:cs="宋体"/>
                <w:sz w:val="18"/>
                <w:szCs w:val="18"/>
              </w:rPr>
            </w:pPr>
            <w:r>
              <w:rPr>
                <w:rFonts w:hint="eastAsia" w:ascii="宋体" w:hAnsi="宋体" w:cs="宋体"/>
                <w:sz w:val="18"/>
                <w:szCs w:val="18"/>
              </w:rPr>
              <w:t>X≥300</w:t>
            </w:r>
          </w:p>
        </w:tc>
        <w:tc>
          <w:tcPr>
            <w:tcW w:w="1701" w:type="dxa"/>
            <w:tcBorders>
              <w:top w:val="nil"/>
              <w:left w:val="nil"/>
              <w:bottom w:val="nil"/>
              <w:right w:val="single" w:color="000000" w:sz="4" w:space="0"/>
            </w:tcBorders>
            <w:vAlign w:val="center"/>
          </w:tcPr>
          <w:p w14:paraId="673EA8A2">
            <w:pPr>
              <w:widowControl/>
              <w:ind w:left="1" w:hanging="108"/>
              <w:jc w:val="center"/>
              <w:rPr>
                <w:rFonts w:ascii="宋体" w:hAnsi="宋体" w:cs="宋体"/>
                <w:sz w:val="18"/>
                <w:szCs w:val="18"/>
              </w:rPr>
            </w:pPr>
            <w:r>
              <w:rPr>
                <w:rFonts w:hint="eastAsia" w:ascii="宋体" w:hAnsi="宋体" w:cs="宋体"/>
                <w:sz w:val="18"/>
                <w:szCs w:val="18"/>
              </w:rPr>
              <w:t xml:space="preserve">100≤X＜300 </w:t>
            </w:r>
          </w:p>
        </w:tc>
        <w:tc>
          <w:tcPr>
            <w:tcW w:w="1426" w:type="dxa"/>
            <w:tcBorders>
              <w:top w:val="nil"/>
              <w:left w:val="nil"/>
              <w:bottom w:val="nil"/>
              <w:right w:val="single" w:color="000000" w:sz="4" w:space="0"/>
            </w:tcBorders>
            <w:vAlign w:val="center"/>
          </w:tcPr>
          <w:p w14:paraId="240F3783">
            <w:pPr>
              <w:widowControl/>
              <w:jc w:val="center"/>
              <w:rPr>
                <w:rFonts w:ascii="宋体" w:hAnsi="宋体" w:cs="宋体"/>
                <w:sz w:val="18"/>
                <w:szCs w:val="18"/>
              </w:rPr>
            </w:pPr>
            <w:r>
              <w:rPr>
                <w:rFonts w:hint="eastAsia" w:ascii="宋体" w:hAnsi="宋体" w:cs="宋体"/>
                <w:sz w:val="18"/>
                <w:szCs w:val="18"/>
              </w:rPr>
              <w:t xml:space="preserve"> 10≤X＜100</w:t>
            </w:r>
          </w:p>
        </w:tc>
        <w:tc>
          <w:tcPr>
            <w:tcW w:w="992" w:type="dxa"/>
            <w:tcBorders>
              <w:top w:val="nil"/>
              <w:left w:val="nil"/>
              <w:bottom w:val="nil"/>
              <w:right w:val="nil"/>
            </w:tcBorders>
            <w:vAlign w:val="center"/>
          </w:tcPr>
          <w:p w14:paraId="0BAC09A4">
            <w:pPr>
              <w:widowControl/>
              <w:jc w:val="center"/>
              <w:rPr>
                <w:rFonts w:ascii="宋体" w:hAnsi="宋体" w:cs="宋体"/>
                <w:sz w:val="18"/>
                <w:szCs w:val="18"/>
              </w:rPr>
            </w:pPr>
            <w:r>
              <w:rPr>
                <w:rFonts w:hint="eastAsia" w:ascii="宋体" w:hAnsi="宋体" w:cs="宋体"/>
                <w:sz w:val="18"/>
                <w:szCs w:val="18"/>
              </w:rPr>
              <w:t>X＜10</w:t>
            </w:r>
          </w:p>
        </w:tc>
      </w:tr>
      <w:tr w14:paraId="0FDA5394">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39870E55">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60775ECF">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685D9A47">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2254152F">
            <w:pPr>
              <w:widowControl/>
              <w:jc w:val="center"/>
              <w:rPr>
                <w:rFonts w:ascii="宋体" w:hAnsi="宋体" w:cs="宋体"/>
                <w:sz w:val="18"/>
                <w:szCs w:val="18"/>
              </w:rPr>
            </w:pPr>
            <w:r>
              <w:rPr>
                <w:rFonts w:hint="eastAsia" w:ascii="宋体" w:hAnsi="宋体" w:cs="宋体"/>
                <w:sz w:val="18"/>
                <w:szCs w:val="18"/>
              </w:rPr>
              <w:t>Y≥10000</w:t>
            </w:r>
          </w:p>
        </w:tc>
        <w:tc>
          <w:tcPr>
            <w:tcW w:w="1701" w:type="dxa"/>
            <w:tcBorders>
              <w:top w:val="nil"/>
              <w:left w:val="nil"/>
              <w:bottom w:val="single" w:color="000000" w:sz="4" w:space="0"/>
              <w:right w:val="single" w:color="000000" w:sz="4" w:space="0"/>
            </w:tcBorders>
            <w:vAlign w:val="center"/>
          </w:tcPr>
          <w:p w14:paraId="3958552D">
            <w:pPr>
              <w:widowControl/>
              <w:jc w:val="center"/>
              <w:rPr>
                <w:rFonts w:ascii="宋体" w:hAnsi="宋体" w:cs="宋体"/>
                <w:sz w:val="18"/>
                <w:szCs w:val="18"/>
              </w:rPr>
            </w:pPr>
            <w:r>
              <w:rPr>
                <w:rFonts w:hint="eastAsia" w:ascii="宋体" w:hAnsi="宋体" w:cs="宋体"/>
                <w:sz w:val="18"/>
                <w:szCs w:val="18"/>
              </w:rPr>
              <w:t>2000≤Y＜10000</w:t>
            </w:r>
          </w:p>
        </w:tc>
        <w:tc>
          <w:tcPr>
            <w:tcW w:w="1426" w:type="dxa"/>
            <w:tcBorders>
              <w:top w:val="nil"/>
              <w:left w:val="nil"/>
              <w:bottom w:val="single" w:color="000000" w:sz="4" w:space="0"/>
              <w:right w:val="single" w:color="000000" w:sz="4" w:space="0"/>
            </w:tcBorders>
            <w:vAlign w:val="center"/>
          </w:tcPr>
          <w:p w14:paraId="5CCDC18F">
            <w:pPr>
              <w:widowControl/>
              <w:jc w:val="center"/>
              <w:rPr>
                <w:rFonts w:ascii="宋体" w:hAnsi="宋体" w:cs="宋体"/>
                <w:sz w:val="18"/>
                <w:szCs w:val="18"/>
              </w:rPr>
            </w:pPr>
            <w:r>
              <w:rPr>
                <w:rFonts w:hint="eastAsia" w:ascii="宋体" w:hAnsi="宋体" w:cs="宋体"/>
                <w:sz w:val="18"/>
                <w:szCs w:val="18"/>
              </w:rPr>
              <w:t xml:space="preserve"> 100≤Y＜2000</w:t>
            </w:r>
          </w:p>
        </w:tc>
        <w:tc>
          <w:tcPr>
            <w:tcW w:w="992" w:type="dxa"/>
            <w:tcBorders>
              <w:top w:val="nil"/>
              <w:left w:val="nil"/>
              <w:bottom w:val="single" w:color="000000" w:sz="4" w:space="0"/>
              <w:right w:val="nil"/>
            </w:tcBorders>
            <w:vAlign w:val="center"/>
          </w:tcPr>
          <w:p w14:paraId="2B2DFF6F">
            <w:pPr>
              <w:widowControl/>
              <w:jc w:val="center"/>
              <w:rPr>
                <w:rFonts w:ascii="宋体" w:hAnsi="宋体" w:cs="宋体"/>
                <w:sz w:val="18"/>
                <w:szCs w:val="18"/>
              </w:rPr>
            </w:pPr>
            <w:r>
              <w:rPr>
                <w:rFonts w:hint="eastAsia" w:ascii="宋体" w:hAnsi="宋体" w:cs="宋体"/>
                <w:sz w:val="18"/>
                <w:szCs w:val="18"/>
              </w:rPr>
              <w:t>Y＜100</w:t>
            </w:r>
          </w:p>
        </w:tc>
      </w:tr>
      <w:tr w14:paraId="2FE46721">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663FEA7A">
            <w:pPr>
              <w:widowControl/>
              <w:spacing w:line="240" w:lineRule="exact"/>
              <w:jc w:val="left"/>
              <w:rPr>
                <w:rFonts w:ascii="宋体" w:hAnsi="宋体" w:cs="宋体"/>
                <w:sz w:val="18"/>
                <w:szCs w:val="18"/>
              </w:rPr>
            </w:pPr>
            <w:r>
              <w:rPr>
                <w:rFonts w:hint="eastAsia" w:ascii="宋体" w:hAnsi="宋体" w:cs="宋体"/>
                <w:sz w:val="18"/>
                <w:szCs w:val="18"/>
              </w:rPr>
              <w:t>餐饮业</w:t>
            </w:r>
          </w:p>
        </w:tc>
        <w:tc>
          <w:tcPr>
            <w:tcW w:w="1369" w:type="dxa"/>
            <w:tcBorders>
              <w:top w:val="nil"/>
              <w:left w:val="nil"/>
              <w:bottom w:val="nil"/>
              <w:right w:val="single" w:color="000000" w:sz="4" w:space="0"/>
            </w:tcBorders>
            <w:vAlign w:val="center"/>
          </w:tcPr>
          <w:p w14:paraId="652C37D3">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0031D0DF">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4A8A09AA">
            <w:pPr>
              <w:widowControl/>
              <w:jc w:val="center"/>
              <w:rPr>
                <w:rFonts w:ascii="宋体" w:hAnsi="宋体" w:cs="宋体"/>
                <w:sz w:val="18"/>
                <w:szCs w:val="18"/>
              </w:rPr>
            </w:pPr>
            <w:r>
              <w:rPr>
                <w:rFonts w:hint="eastAsia" w:ascii="宋体" w:hAnsi="宋体" w:cs="宋体"/>
                <w:sz w:val="18"/>
                <w:szCs w:val="18"/>
              </w:rPr>
              <w:t>X≥300</w:t>
            </w:r>
          </w:p>
        </w:tc>
        <w:tc>
          <w:tcPr>
            <w:tcW w:w="1701" w:type="dxa"/>
            <w:tcBorders>
              <w:top w:val="nil"/>
              <w:left w:val="nil"/>
              <w:bottom w:val="nil"/>
              <w:right w:val="single" w:color="000000" w:sz="4" w:space="0"/>
            </w:tcBorders>
            <w:vAlign w:val="center"/>
          </w:tcPr>
          <w:p w14:paraId="3156A338">
            <w:pPr>
              <w:widowControl/>
              <w:ind w:left="1" w:hanging="108"/>
              <w:jc w:val="center"/>
              <w:rPr>
                <w:rFonts w:ascii="宋体" w:hAnsi="宋体" w:cs="宋体"/>
                <w:sz w:val="18"/>
                <w:szCs w:val="18"/>
              </w:rPr>
            </w:pPr>
            <w:r>
              <w:rPr>
                <w:rFonts w:hint="eastAsia" w:ascii="宋体" w:hAnsi="宋体" w:cs="宋体"/>
                <w:sz w:val="18"/>
                <w:szCs w:val="18"/>
              </w:rPr>
              <w:t xml:space="preserve">100≤X＜300 </w:t>
            </w:r>
          </w:p>
        </w:tc>
        <w:tc>
          <w:tcPr>
            <w:tcW w:w="1426" w:type="dxa"/>
            <w:tcBorders>
              <w:top w:val="nil"/>
              <w:left w:val="nil"/>
              <w:bottom w:val="nil"/>
              <w:right w:val="single" w:color="000000" w:sz="4" w:space="0"/>
            </w:tcBorders>
            <w:vAlign w:val="center"/>
          </w:tcPr>
          <w:p w14:paraId="4581AEA0">
            <w:pPr>
              <w:widowControl/>
              <w:jc w:val="center"/>
              <w:rPr>
                <w:rFonts w:ascii="宋体" w:hAnsi="宋体" w:cs="宋体"/>
                <w:sz w:val="18"/>
                <w:szCs w:val="18"/>
              </w:rPr>
            </w:pPr>
            <w:r>
              <w:rPr>
                <w:rFonts w:hint="eastAsia" w:ascii="宋体" w:hAnsi="宋体" w:cs="宋体"/>
                <w:sz w:val="18"/>
                <w:szCs w:val="18"/>
              </w:rPr>
              <w:t xml:space="preserve"> 10≤X＜100</w:t>
            </w:r>
          </w:p>
        </w:tc>
        <w:tc>
          <w:tcPr>
            <w:tcW w:w="992" w:type="dxa"/>
            <w:tcBorders>
              <w:top w:val="nil"/>
              <w:left w:val="nil"/>
              <w:bottom w:val="nil"/>
              <w:right w:val="nil"/>
            </w:tcBorders>
            <w:vAlign w:val="center"/>
          </w:tcPr>
          <w:p w14:paraId="553BA118">
            <w:pPr>
              <w:widowControl/>
              <w:jc w:val="center"/>
              <w:rPr>
                <w:rFonts w:ascii="宋体" w:hAnsi="宋体" w:cs="宋体"/>
                <w:sz w:val="18"/>
                <w:szCs w:val="18"/>
              </w:rPr>
            </w:pPr>
            <w:r>
              <w:rPr>
                <w:rFonts w:hint="eastAsia" w:ascii="宋体" w:hAnsi="宋体" w:cs="宋体"/>
                <w:sz w:val="18"/>
                <w:szCs w:val="18"/>
              </w:rPr>
              <w:t>X＜10</w:t>
            </w:r>
          </w:p>
        </w:tc>
      </w:tr>
      <w:tr w14:paraId="4FB47E81">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561BB0C1">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2C489DA8">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5FE4076E">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0737DFBA">
            <w:pPr>
              <w:widowControl/>
              <w:jc w:val="center"/>
              <w:rPr>
                <w:rFonts w:ascii="宋体" w:hAnsi="宋体" w:cs="宋体"/>
                <w:sz w:val="18"/>
                <w:szCs w:val="18"/>
              </w:rPr>
            </w:pPr>
            <w:r>
              <w:rPr>
                <w:rFonts w:hint="eastAsia" w:ascii="宋体" w:hAnsi="宋体" w:cs="宋体"/>
                <w:sz w:val="18"/>
                <w:szCs w:val="18"/>
              </w:rPr>
              <w:t>Y≥10000</w:t>
            </w:r>
          </w:p>
        </w:tc>
        <w:tc>
          <w:tcPr>
            <w:tcW w:w="1701" w:type="dxa"/>
            <w:tcBorders>
              <w:top w:val="nil"/>
              <w:left w:val="nil"/>
              <w:bottom w:val="single" w:color="000000" w:sz="4" w:space="0"/>
              <w:right w:val="single" w:color="000000" w:sz="4" w:space="0"/>
            </w:tcBorders>
            <w:vAlign w:val="center"/>
          </w:tcPr>
          <w:p w14:paraId="41FB9520">
            <w:pPr>
              <w:widowControl/>
              <w:jc w:val="center"/>
              <w:rPr>
                <w:rFonts w:ascii="宋体" w:hAnsi="宋体" w:cs="宋体"/>
                <w:sz w:val="18"/>
                <w:szCs w:val="18"/>
              </w:rPr>
            </w:pPr>
            <w:r>
              <w:rPr>
                <w:rFonts w:hint="eastAsia" w:ascii="宋体" w:hAnsi="宋体" w:cs="宋体"/>
                <w:sz w:val="18"/>
                <w:szCs w:val="18"/>
              </w:rPr>
              <w:t>2000≤Y＜10000</w:t>
            </w:r>
          </w:p>
        </w:tc>
        <w:tc>
          <w:tcPr>
            <w:tcW w:w="1426" w:type="dxa"/>
            <w:tcBorders>
              <w:top w:val="nil"/>
              <w:left w:val="nil"/>
              <w:bottom w:val="single" w:color="000000" w:sz="4" w:space="0"/>
              <w:right w:val="single" w:color="000000" w:sz="4" w:space="0"/>
            </w:tcBorders>
            <w:vAlign w:val="center"/>
          </w:tcPr>
          <w:p w14:paraId="55679FB9">
            <w:pPr>
              <w:widowControl/>
              <w:jc w:val="center"/>
              <w:rPr>
                <w:rFonts w:ascii="宋体" w:hAnsi="宋体" w:cs="宋体"/>
                <w:sz w:val="18"/>
                <w:szCs w:val="18"/>
              </w:rPr>
            </w:pPr>
            <w:r>
              <w:rPr>
                <w:rFonts w:hint="eastAsia" w:ascii="宋体" w:hAnsi="宋体" w:cs="宋体"/>
                <w:sz w:val="18"/>
                <w:szCs w:val="18"/>
              </w:rPr>
              <w:t xml:space="preserve"> 100≤Y＜2000</w:t>
            </w:r>
          </w:p>
        </w:tc>
        <w:tc>
          <w:tcPr>
            <w:tcW w:w="992" w:type="dxa"/>
            <w:tcBorders>
              <w:top w:val="nil"/>
              <w:left w:val="nil"/>
              <w:bottom w:val="single" w:color="000000" w:sz="4" w:space="0"/>
              <w:right w:val="nil"/>
            </w:tcBorders>
            <w:vAlign w:val="center"/>
          </w:tcPr>
          <w:p w14:paraId="059E09A5">
            <w:pPr>
              <w:widowControl/>
              <w:jc w:val="center"/>
              <w:rPr>
                <w:rFonts w:ascii="宋体" w:hAnsi="宋体" w:cs="宋体"/>
                <w:sz w:val="18"/>
                <w:szCs w:val="18"/>
              </w:rPr>
            </w:pPr>
            <w:r>
              <w:rPr>
                <w:rFonts w:hint="eastAsia" w:ascii="宋体" w:hAnsi="宋体" w:cs="宋体"/>
                <w:sz w:val="18"/>
                <w:szCs w:val="18"/>
              </w:rPr>
              <w:t>Y＜100</w:t>
            </w:r>
          </w:p>
        </w:tc>
      </w:tr>
      <w:tr w14:paraId="37DCAB2B">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75E84783">
            <w:pPr>
              <w:widowControl/>
              <w:spacing w:line="240" w:lineRule="exact"/>
              <w:jc w:val="left"/>
              <w:rPr>
                <w:rFonts w:ascii="宋体" w:hAnsi="宋体" w:cs="宋体"/>
                <w:sz w:val="18"/>
                <w:szCs w:val="18"/>
              </w:rPr>
            </w:pPr>
            <w:r>
              <w:rPr>
                <w:rFonts w:hint="eastAsia" w:ascii="宋体" w:hAnsi="宋体" w:cs="宋体"/>
                <w:sz w:val="18"/>
                <w:szCs w:val="18"/>
              </w:rPr>
              <w:t>信息传输业 *</w:t>
            </w:r>
          </w:p>
        </w:tc>
        <w:tc>
          <w:tcPr>
            <w:tcW w:w="1369" w:type="dxa"/>
            <w:tcBorders>
              <w:top w:val="nil"/>
              <w:left w:val="nil"/>
              <w:bottom w:val="nil"/>
              <w:right w:val="single" w:color="000000" w:sz="4" w:space="0"/>
            </w:tcBorders>
            <w:vAlign w:val="center"/>
          </w:tcPr>
          <w:p w14:paraId="73ED65F2">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1348013D">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5E59401F">
            <w:pPr>
              <w:widowControl/>
              <w:jc w:val="center"/>
              <w:rPr>
                <w:rFonts w:ascii="宋体" w:hAnsi="宋体" w:cs="宋体"/>
                <w:sz w:val="18"/>
                <w:szCs w:val="18"/>
              </w:rPr>
            </w:pPr>
            <w:r>
              <w:rPr>
                <w:rFonts w:hint="eastAsia" w:ascii="宋体" w:hAnsi="宋体" w:cs="宋体"/>
                <w:sz w:val="18"/>
                <w:szCs w:val="18"/>
              </w:rPr>
              <w:t>X≥2000</w:t>
            </w:r>
          </w:p>
        </w:tc>
        <w:tc>
          <w:tcPr>
            <w:tcW w:w="1701" w:type="dxa"/>
            <w:tcBorders>
              <w:top w:val="nil"/>
              <w:left w:val="nil"/>
              <w:bottom w:val="nil"/>
              <w:right w:val="single" w:color="000000" w:sz="4" w:space="0"/>
            </w:tcBorders>
            <w:vAlign w:val="center"/>
          </w:tcPr>
          <w:p w14:paraId="006DC3B5">
            <w:pPr>
              <w:widowControl/>
              <w:jc w:val="center"/>
              <w:rPr>
                <w:rFonts w:ascii="宋体" w:hAnsi="宋体" w:cs="宋体"/>
                <w:sz w:val="18"/>
                <w:szCs w:val="18"/>
              </w:rPr>
            </w:pPr>
            <w:r>
              <w:rPr>
                <w:rFonts w:hint="eastAsia" w:ascii="宋体" w:hAnsi="宋体" w:cs="宋体"/>
                <w:sz w:val="18"/>
                <w:szCs w:val="18"/>
              </w:rPr>
              <w:t>100≤X＜2000</w:t>
            </w:r>
          </w:p>
        </w:tc>
        <w:tc>
          <w:tcPr>
            <w:tcW w:w="1426" w:type="dxa"/>
            <w:tcBorders>
              <w:top w:val="nil"/>
              <w:left w:val="nil"/>
              <w:bottom w:val="nil"/>
              <w:right w:val="single" w:color="000000" w:sz="4" w:space="0"/>
            </w:tcBorders>
            <w:vAlign w:val="center"/>
          </w:tcPr>
          <w:p w14:paraId="730859D7">
            <w:pPr>
              <w:widowControl/>
              <w:jc w:val="center"/>
              <w:rPr>
                <w:rFonts w:ascii="宋体" w:hAnsi="宋体" w:cs="宋体"/>
                <w:sz w:val="18"/>
                <w:szCs w:val="18"/>
              </w:rPr>
            </w:pPr>
            <w:r>
              <w:rPr>
                <w:rFonts w:hint="eastAsia" w:ascii="宋体" w:hAnsi="宋体" w:cs="宋体"/>
                <w:sz w:val="18"/>
                <w:szCs w:val="18"/>
              </w:rPr>
              <w:t xml:space="preserve"> 10≤X＜100</w:t>
            </w:r>
          </w:p>
        </w:tc>
        <w:tc>
          <w:tcPr>
            <w:tcW w:w="992" w:type="dxa"/>
            <w:tcBorders>
              <w:top w:val="nil"/>
              <w:left w:val="nil"/>
              <w:bottom w:val="nil"/>
              <w:right w:val="nil"/>
            </w:tcBorders>
            <w:vAlign w:val="center"/>
          </w:tcPr>
          <w:p w14:paraId="04E5940B">
            <w:pPr>
              <w:widowControl/>
              <w:jc w:val="center"/>
              <w:rPr>
                <w:rFonts w:ascii="宋体" w:hAnsi="宋体" w:cs="宋体"/>
                <w:sz w:val="18"/>
                <w:szCs w:val="18"/>
              </w:rPr>
            </w:pPr>
            <w:r>
              <w:rPr>
                <w:rFonts w:hint="eastAsia" w:ascii="宋体" w:hAnsi="宋体" w:cs="宋体"/>
                <w:sz w:val="18"/>
                <w:szCs w:val="18"/>
              </w:rPr>
              <w:t>X＜10</w:t>
            </w:r>
          </w:p>
        </w:tc>
      </w:tr>
      <w:tr w14:paraId="152C13D3">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78F4AAD5">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427D9B2E">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67239CB6">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632168D1">
            <w:pPr>
              <w:widowControl/>
              <w:jc w:val="center"/>
              <w:rPr>
                <w:rFonts w:ascii="宋体" w:hAnsi="宋体" w:cs="宋体"/>
                <w:sz w:val="18"/>
                <w:szCs w:val="18"/>
              </w:rPr>
            </w:pPr>
            <w:r>
              <w:rPr>
                <w:rFonts w:hint="eastAsia" w:ascii="宋体" w:hAnsi="宋体" w:cs="宋体"/>
                <w:sz w:val="18"/>
                <w:szCs w:val="18"/>
              </w:rPr>
              <w:t>Y≥100000</w:t>
            </w:r>
          </w:p>
        </w:tc>
        <w:tc>
          <w:tcPr>
            <w:tcW w:w="1701" w:type="dxa"/>
            <w:tcBorders>
              <w:top w:val="nil"/>
              <w:left w:val="nil"/>
              <w:bottom w:val="single" w:color="000000" w:sz="4" w:space="0"/>
              <w:right w:val="single" w:color="000000" w:sz="4" w:space="0"/>
            </w:tcBorders>
            <w:vAlign w:val="center"/>
          </w:tcPr>
          <w:p w14:paraId="15F019A1">
            <w:pPr>
              <w:widowControl/>
              <w:jc w:val="center"/>
              <w:rPr>
                <w:rFonts w:ascii="宋体" w:hAnsi="宋体" w:cs="宋体"/>
                <w:sz w:val="18"/>
                <w:szCs w:val="18"/>
              </w:rPr>
            </w:pPr>
            <w:r>
              <w:rPr>
                <w:rFonts w:hint="eastAsia" w:ascii="宋体" w:hAnsi="宋体" w:cs="宋体"/>
                <w:sz w:val="18"/>
                <w:szCs w:val="18"/>
              </w:rPr>
              <w:t xml:space="preserve"> 1000≤Y＜100000</w:t>
            </w:r>
          </w:p>
        </w:tc>
        <w:tc>
          <w:tcPr>
            <w:tcW w:w="1426" w:type="dxa"/>
            <w:tcBorders>
              <w:top w:val="nil"/>
              <w:left w:val="nil"/>
              <w:bottom w:val="single" w:color="000000" w:sz="4" w:space="0"/>
              <w:right w:val="single" w:color="000000" w:sz="4" w:space="0"/>
            </w:tcBorders>
            <w:vAlign w:val="center"/>
          </w:tcPr>
          <w:p w14:paraId="7AF63319">
            <w:pPr>
              <w:widowControl/>
              <w:jc w:val="center"/>
              <w:rPr>
                <w:rFonts w:ascii="宋体" w:hAnsi="宋体" w:cs="宋体"/>
                <w:sz w:val="18"/>
                <w:szCs w:val="18"/>
              </w:rPr>
            </w:pPr>
            <w:r>
              <w:rPr>
                <w:rFonts w:hint="eastAsia" w:ascii="宋体" w:hAnsi="宋体" w:cs="宋体"/>
                <w:sz w:val="18"/>
                <w:szCs w:val="18"/>
              </w:rPr>
              <w:t xml:space="preserve"> 100≤Y＜1000</w:t>
            </w:r>
          </w:p>
        </w:tc>
        <w:tc>
          <w:tcPr>
            <w:tcW w:w="992" w:type="dxa"/>
            <w:tcBorders>
              <w:top w:val="nil"/>
              <w:left w:val="nil"/>
              <w:bottom w:val="single" w:color="000000" w:sz="4" w:space="0"/>
              <w:right w:val="nil"/>
            </w:tcBorders>
            <w:vAlign w:val="center"/>
          </w:tcPr>
          <w:p w14:paraId="353D7AC5">
            <w:pPr>
              <w:widowControl/>
              <w:jc w:val="center"/>
              <w:rPr>
                <w:rFonts w:ascii="宋体" w:hAnsi="宋体" w:cs="宋体"/>
                <w:sz w:val="18"/>
                <w:szCs w:val="18"/>
              </w:rPr>
            </w:pPr>
            <w:r>
              <w:rPr>
                <w:rFonts w:hint="eastAsia" w:ascii="宋体" w:hAnsi="宋体" w:cs="宋体"/>
                <w:sz w:val="18"/>
                <w:szCs w:val="18"/>
              </w:rPr>
              <w:t>Y＜100</w:t>
            </w:r>
          </w:p>
        </w:tc>
      </w:tr>
      <w:tr w14:paraId="34DB9402">
        <w:tblPrEx>
          <w:tblCellMar>
            <w:top w:w="0" w:type="dxa"/>
            <w:left w:w="108" w:type="dxa"/>
            <w:bottom w:w="0" w:type="dxa"/>
            <w:right w:w="108" w:type="dxa"/>
          </w:tblCellMar>
        </w:tblPrEx>
        <w:trPr>
          <w:cantSplit/>
          <w:trHeight w:val="340" w:hRule="exact"/>
          <w:jc w:val="center"/>
        </w:trPr>
        <w:tc>
          <w:tcPr>
            <w:tcW w:w="2113" w:type="dxa"/>
            <w:vMerge w:val="restart"/>
            <w:tcBorders>
              <w:top w:val="single" w:color="000000" w:sz="4" w:space="0"/>
              <w:left w:val="nil"/>
              <w:bottom w:val="single" w:color="000000" w:sz="4" w:space="0"/>
              <w:right w:val="single" w:color="000000" w:sz="4" w:space="0"/>
            </w:tcBorders>
            <w:vAlign w:val="center"/>
          </w:tcPr>
          <w:p w14:paraId="5316AE51">
            <w:pPr>
              <w:widowControl/>
              <w:spacing w:line="240" w:lineRule="exact"/>
              <w:jc w:val="left"/>
              <w:rPr>
                <w:rFonts w:ascii="宋体" w:hAnsi="宋体" w:cs="宋体"/>
                <w:spacing w:val="-12"/>
                <w:sz w:val="18"/>
                <w:szCs w:val="18"/>
              </w:rPr>
            </w:pPr>
            <w:r>
              <w:rPr>
                <w:rFonts w:hint="eastAsia" w:ascii="宋体" w:hAnsi="宋体" w:cs="宋体"/>
                <w:spacing w:val="-12"/>
                <w:sz w:val="18"/>
                <w:szCs w:val="18"/>
              </w:rPr>
              <w:t>软件和信息技术服</w:t>
            </w:r>
            <w:r>
              <w:rPr>
                <w:rFonts w:hint="eastAsia" w:ascii="宋体" w:hAnsi="宋体" w:cs="宋体"/>
                <w:sz w:val="18"/>
                <w:szCs w:val="18"/>
              </w:rPr>
              <w:t>务业</w:t>
            </w:r>
          </w:p>
        </w:tc>
        <w:tc>
          <w:tcPr>
            <w:tcW w:w="1369" w:type="dxa"/>
            <w:tcBorders>
              <w:top w:val="nil"/>
              <w:left w:val="nil"/>
              <w:bottom w:val="nil"/>
              <w:right w:val="single" w:color="000000" w:sz="4" w:space="0"/>
            </w:tcBorders>
            <w:vAlign w:val="center"/>
          </w:tcPr>
          <w:p w14:paraId="67368A74">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302AD61A">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7B9DE824">
            <w:pPr>
              <w:widowControl/>
              <w:jc w:val="center"/>
              <w:rPr>
                <w:rFonts w:ascii="宋体" w:hAnsi="宋体" w:cs="宋体"/>
                <w:sz w:val="18"/>
                <w:szCs w:val="18"/>
              </w:rPr>
            </w:pPr>
            <w:r>
              <w:rPr>
                <w:rFonts w:hint="eastAsia" w:ascii="宋体" w:hAnsi="宋体" w:cs="宋体"/>
                <w:sz w:val="18"/>
                <w:szCs w:val="18"/>
              </w:rPr>
              <w:t>X≥300</w:t>
            </w:r>
          </w:p>
        </w:tc>
        <w:tc>
          <w:tcPr>
            <w:tcW w:w="1701" w:type="dxa"/>
            <w:tcBorders>
              <w:top w:val="nil"/>
              <w:left w:val="nil"/>
              <w:bottom w:val="nil"/>
              <w:right w:val="single" w:color="000000" w:sz="4" w:space="0"/>
            </w:tcBorders>
            <w:vAlign w:val="center"/>
          </w:tcPr>
          <w:p w14:paraId="1D05FDB4">
            <w:pPr>
              <w:widowControl/>
              <w:ind w:left="1" w:hanging="108"/>
              <w:jc w:val="center"/>
              <w:rPr>
                <w:rFonts w:ascii="宋体" w:hAnsi="宋体" w:cs="宋体"/>
                <w:sz w:val="18"/>
                <w:szCs w:val="18"/>
              </w:rPr>
            </w:pPr>
            <w:r>
              <w:rPr>
                <w:rFonts w:hint="eastAsia" w:ascii="宋体" w:hAnsi="宋体" w:cs="宋体"/>
                <w:sz w:val="18"/>
                <w:szCs w:val="18"/>
              </w:rPr>
              <w:t xml:space="preserve">100≤X＜300 </w:t>
            </w:r>
          </w:p>
        </w:tc>
        <w:tc>
          <w:tcPr>
            <w:tcW w:w="1426" w:type="dxa"/>
            <w:tcBorders>
              <w:top w:val="nil"/>
              <w:left w:val="nil"/>
              <w:bottom w:val="nil"/>
              <w:right w:val="single" w:color="000000" w:sz="4" w:space="0"/>
            </w:tcBorders>
            <w:vAlign w:val="center"/>
          </w:tcPr>
          <w:p w14:paraId="6A861D69">
            <w:pPr>
              <w:widowControl/>
              <w:jc w:val="center"/>
              <w:rPr>
                <w:rFonts w:ascii="宋体" w:hAnsi="宋体" w:cs="宋体"/>
                <w:sz w:val="18"/>
                <w:szCs w:val="18"/>
              </w:rPr>
            </w:pPr>
            <w:r>
              <w:rPr>
                <w:rFonts w:hint="eastAsia" w:ascii="宋体" w:hAnsi="宋体" w:cs="宋体"/>
                <w:sz w:val="18"/>
                <w:szCs w:val="18"/>
              </w:rPr>
              <w:t xml:space="preserve"> 10≤X＜100</w:t>
            </w:r>
          </w:p>
        </w:tc>
        <w:tc>
          <w:tcPr>
            <w:tcW w:w="992" w:type="dxa"/>
            <w:tcBorders>
              <w:top w:val="nil"/>
              <w:left w:val="nil"/>
              <w:bottom w:val="nil"/>
              <w:right w:val="nil"/>
            </w:tcBorders>
            <w:vAlign w:val="center"/>
          </w:tcPr>
          <w:p w14:paraId="06ADAE3C">
            <w:pPr>
              <w:widowControl/>
              <w:jc w:val="center"/>
              <w:rPr>
                <w:rFonts w:ascii="宋体" w:hAnsi="宋体" w:cs="宋体"/>
                <w:sz w:val="18"/>
                <w:szCs w:val="18"/>
              </w:rPr>
            </w:pPr>
            <w:r>
              <w:rPr>
                <w:rFonts w:hint="eastAsia" w:ascii="宋体" w:hAnsi="宋体" w:cs="宋体"/>
                <w:sz w:val="18"/>
                <w:szCs w:val="18"/>
              </w:rPr>
              <w:t>X＜10</w:t>
            </w:r>
          </w:p>
        </w:tc>
      </w:tr>
      <w:tr w14:paraId="7F003BFF">
        <w:tblPrEx>
          <w:tblCellMar>
            <w:top w:w="0" w:type="dxa"/>
            <w:left w:w="108" w:type="dxa"/>
            <w:bottom w:w="0" w:type="dxa"/>
            <w:right w:w="108" w:type="dxa"/>
          </w:tblCellMar>
        </w:tblPrEx>
        <w:trPr>
          <w:cantSplit/>
          <w:trHeight w:val="340" w:hRule="exact"/>
          <w:jc w:val="center"/>
        </w:trPr>
        <w:tc>
          <w:tcPr>
            <w:tcW w:w="2113" w:type="dxa"/>
            <w:vMerge w:val="continue"/>
            <w:tcBorders>
              <w:top w:val="single" w:color="000000" w:sz="4" w:space="0"/>
              <w:left w:val="nil"/>
              <w:bottom w:val="single" w:color="000000" w:sz="4" w:space="0"/>
              <w:right w:val="single" w:color="000000" w:sz="4" w:space="0"/>
            </w:tcBorders>
            <w:vAlign w:val="center"/>
          </w:tcPr>
          <w:p w14:paraId="4B2F8B95">
            <w:pPr>
              <w:widowControl/>
              <w:jc w:val="left"/>
              <w:rPr>
                <w:rFonts w:ascii="宋体" w:hAnsi="宋体" w:cs="宋体"/>
                <w:spacing w:val="-12"/>
                <w:sz w:val="18"/>
                <w:szCs w:val="18"/>
              </w:rPr>
            </w:pPr>
          </w:p>
        </w:tc>
        <w:tc>
          <w:tcPr>
            <w:tcW w:w="1369" w:type="dxa"/>
            <w:tcBorders>
              <w:top w:val="nil"/>
              <w:left w:val="nil"/>
              <w:bottom w:val="single" w:color="000000" w:sz="4" w:space="0"/>
              <w:right w:val="single" w:color="000000" w:sz="4" w:space="0"/>
            </w:tcBorders>
            <w:vAlign w:val="center"/>
          </w:tcPr>
          <w:p w14:paraId="19318F45">
            <w:pPr>
              <w:widowControl/>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01D1D4DC">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7556A820">
            <w:pPr>
              <w:widowControl/>
              <w:jc w:val="center"/>
              <w:rPr>
                <w:rFonts w:ascii="宋体" w:hAnsi="宋体" w:cs="宋体"/>
                <w:sz w:val="18"/>
                <w:szCs w:val="18"/>
              </w:rPr>
            </w:pPr>
            <w:r>
              <w:rPr>
                <w:rFonts w:hint="eastAsia" w:ascii="宋体" w:hAnsi="宋体" w:cs="宋体"/>
                <w:sz w:val="18"/>
                <w:szCs w:val="18"/>
              </w:rPr>
              <w:t>Y≥10000</w:t>
            </w:r>
          </w:p>
        </w:tc>
        <w:tc>
          <w:tcPr>
            <w:tcW w:w="1701" w:type="dxa"/>
            <w:tcBorders>
              <w:top w:val="nil"/>
              <w:left w:val="nil"/>
              <w:bottom w:val="single" w:color="000000" w:sz="4" w:space="0"/>
              <w:right w:val="single" w:color="000000" w:sz="4" w:space="0"/>
            </w:tcBorders>
            <w:vAlign w:val="center"/>
          </w:tcPr>
          <w:p w14:paraId="31272DC4">
            <w:pPr>
              <w:widowControl/>
              <w:jc w:val="center"/>
              <w:rPr>
                <w:rFonts w:ascii="宋体" w:hAnsi="宋体" w:cs="宋体"/>
                <w:sz w:val="18"/>
                <w:szCs w:val="18"/>
              </w:rPr>
            </w:pPr>
            <w:r>
              <w:rPr>
                <w:rFonts w:hint="eastAsia" w:ascii="宋体" w:hAnsi="宋体" w:cs="宋体"/>
                <w:sz w:val="18"/>
                <w:szCs w:val="18"/>
              </w:rPr>
              <w:t>1000≤Y＜10000</w:t>
            </w:r>
          </w:p>
        </w:tc>
        <w:tc>
          <w:tcPr>
            <w:tcW w:w="1426" w:type="dxa"/>
            <w:tcBorders>
              <w:top w:val="nil"/>
              <w:left w:val="nil"/>
              <w:bottom w:val="single" w:color="000000" w:sz="4" w:space="0"/>
              <w:right w:val="single" w:color="000000" w:sz="4" w:space="0"/>
            </w:tcBorders>
            <w:vAlign w:val="center"/>
          </w:tcPr>
          <w:p w14:paraId="1FCF5910">
            <w:pPr>
              <w:widowControl/>
              <w:jc w:val="center"/>
              <w:rPr>
                <w:rFonts w:ascii="宋体" w:hAnsi="宋体" w:cs="宋体"/>
                <w:sz w:val="18"/>
                <w:szCs w:val="18"/>
              </w:rPr>
            </w:pPr>
            <w:r>
              <w:rPr>
                <w:rFonts w:hint="eastAsia" w:ascii="宋体" w:hAnsi="宋体" w:cs="宋体"/>
                <w:sz w:val="18"/>
                <w:szCs w:val="18"/>
              </w:rPr>
              <w:t xml:space="preserve">  50≤Y＜1000</w:t>
            </w:r>
          </w:p>
        </w:tc>
        <w:tc>
          <w:tcPr>
            <w:tcW w:w="992" w:type="dxa"/>
            <w:tcBorders>
              <w:top w:val="nil"/>
              <w:left w:val="nil"/>
              <w:bottom w:val="single" w:color="000000" w:sz="4" w:space="0"/>
              <w:right w:val="nil"/>
            </w:tcBorders>
            <w:vAlign w:val="center"/>
          </w:tcPr>
          <w:p w14:paraId="087FE041">
            <w:pPr>
              <w:widowControl/>
              <w:jc w:val="center"/>
              <w:rPr>
                <w:rFonts w:ascii="宋体" w:hAnsi="宋体" w:cs="宋体"/>
                <w:sz w:val="18"/>
                <w:szCs w:val="18"/>
              </w:rPr>
            </w:pPr>
            <w:r>
              <w:rPr>
                <w:rFonts w:hint="eastAsia" w:ascii="宋体" w:hAnsi="宋体" w:cs="宋体"/>
                <w:sz w:val="18"/>
                <w:szCs w:val="18"/>
              </w:rPr>
              <w:t>Y＜50</w:t>
            </w:r>
          </w:p>
        </w:tc>
      </w:tr>
      <w:tr w14:paraId="777AC01E">
        <w:tblPrEx>
          <w:tblCellMar>
            <w:top w:w="0" w:type="dxa"/>
            <w:left w:w="108" w:type="dxa"/>
            <w:bottom w:w="0" w:type="dxa"/>
            <w:right w:w="108" w:type="dxa"/>
          </w:tblCellMar>
        </w:tblPrEx>
        <w:trPr>
          <w:cantSplit/>
          <w:trHeight w:val="340" w:hRule="exact"/>
          <w:jc w:val="center"/>
        </w:trPr>
        <w:tc>
          <w:tcPr>
            <w:tcW w:w="2113" w:type="dxa"/>
            <w:vMerge w:val="restart"/>
            <w:tcBorders>
              <w:top w:val="nil"/>
              <w:left w:val="nil"/>
              <w:bottom w:val="single" w:color="000000" w:sz="4" w:space="0"/>
              <w:right w:val="single" w:color="000000" w:sz="4" w:space="0"/>
            </w:tcBorders>
            <w:vAlign w:val="center"/>
          </w:tcPr>
          <w:p w14:paraId="0F472DF8">
            <w:pPr>
              <w:widowControl/>
              <w:spacing w:line="240" w:lineRule="exact"/>
              <w:jc w:val="left"/>
              <w:rPr>
                <w:rFonts w:ascii="宋体" w:hAnsi="宋体" w:cs="宋体"/>
                <w:sz w:val="18"/>
                <w:szCs w:val="18"/>
              </w:rPr>
            </w:pPr>
            <w:r>
              <w:rPr>
                <w:rFonts w:hint="eastAsia" w:ascii="宋体" w:hAnsi="宋体" w:cs="宋体"/>
                <w:sz w:val="18"/>
                <w:szCs w:val="18"/>
              </w:rPr>
              <w:t>房地产开发经营</w:t>
            </w:r>
          </w:p>
        </w:tc>
        <w:tc>
          <w:tcPr>
            <w:tcW w:w="1369" w:type="dxa"/>
            <w:tcBorders>
              <w:top w:val="nil"/>
              <w:left w:val="nil"/>
              <w:bottom w:val="nil"/>
              <w:right w:val="single" w:color="000000" w:sz="4" w:space="0"/>
            </w:tcBorders>
            <w:vAlign w:val="center"/>
          </w:tcPr>
          <w:p w14:paraId="61964698">
            <w:pPr>
              <w:widowControl/>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nil"/>
              <w:right w:val="single" w:color="000000" w:sz="4" w:space="0"/>
            </w:tcBorders>
            <w:vAlign w:val="center"/>
          </w:tcPr>
          <w:p w14:paraId="25037EEA">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nil"/>
              <w:right w:val="single" w:color="000000" w:sz="4" w:space="0"/>
            </w:tcBorders>
            <w:vAlign w:val="center"/>
          </w:tcPr>
          <w:p w14:paraId="3F44D2C2">
            <w:pPr>
              <w:widowControl/>
              <w:jc w:val="center"/>
              <w:rPr>
                <w:rFonts w:ascii="宋体" w:hAnsi="宋体" w:cs="宋体"/>
                <w:sz w:val="18"/>
                <w:szCs w:val="18"/>
              </w:rPr>
            </w:pPr>
            <w:r>
              <w:rPr>
                <w:rFonts w:hint="eastAsia" w:ascii="宋体" w:hAnsi="宋体" w:cs="宋体"/>
                <w:sz w:val="18"/>
                <w:szCs w:val="18"/>
              </w:rPr>
              <w:t>Y≥200000</w:t>
            </w:r>
          </w:p>
        </w:tc>
        <w:tc>
          <w:tcPr>
            <w:tcW w:w="1701" w:type="dxa"/>
            <w:tcBorders>
              <w:top w:val="nil"/>
              <w:left w:val="nil"/>
              <w:bottom w:val="nil"/>
              <w:right w:val="single" w:color="000000" w:sz="4" w:space="0"/>
            </w:tcBorders>
            <w:vAlign w:val="center"/>
          </w:tcPr>
          <w:p w14:paraId="60D3B08C">
            <w:pPr>
              <w:widowControl/>
              <w:jc w:val="center"/>
              <w:rPr>
                <w:rFonts w:ascii="宋体" w:hAnsi="宋体" w:cs="宋体"/>
                <w:sz w:val="18"/>
                <w:szCs w:val="18"/>
              </w:rPr>
            </w:pPr>
            <w:r>
              <w:rPr>
                <w:rFonts w:hint="eastAsia" w:ascii="宋体" w:hAnsi="宋体" w:cs="宋体"/>
                <w:sz w:val="18"/>
                <w:szCs w:val="18"/>
              </w:rPr>
              <w:t xml:space="preserve"> 1000≤Y＜200000</w:t>
            </w:r>
          </w:p>
        </w:tc>
        <w:tc>
          <w:tcPr>
            <w:tcW w:w="1426" w:type="dxa"/>
            <w:tcBorders>
              <w:top w:val="nil"/>
              <w:left w:val="nil"/>
              <w:bottom w:val="nil"/>
              <w:right w:val="single" w:color="000000" w:sz="4" w:space="0"/>
            </w:tcBorders>
            <w:vAlign w:val="center"/>
          </w:tcPr>
          <w:p w14:paraId="19D1060F">
            <w:pPr>
              <w:widowControl/>
              <w:jc w:val="center"/>
              <w:rPr>
                <w:rFonts w:ascii="宋体" w:hAnsi="宋体" w:cs="宋体"/>
                <w:sz w:val="18"/>
                <w:szCs w:val="18"/>
              </w:rPr>
            </w:pPr>
            <w:r>
              <w:rPr>
                <w:rFonts w:hint="eastAsia" w:ascii="宋体" w:hAnsi="宋体" w:cs="宋体"/>
                <w:sz w:val="18"/>
                <w:szCs w:val="18"/>
              </w:rPr>
              <w:t xml:space="preserve"> 100≤Y＜1000</w:t>
            </w:r>
          </w:p>
        </w:tc>
        <w:tc>
          <w:tcPr>
            <w:tcW w:w="992" w:type="dxa"/>
            <w:tcBorders>
              <w:top w:val="nil"/>
              <w:left w:val="nil"/>
              <w:bottom w:val="nil"/>
              <w:right w:val="nil"/>
            </w:tcBorders>
            <w:vAlign w:val="center"/>
          </w:tcPr>
          <w:p w14:paraId="43EB1BA4">
            <w:pPr>
              <w:widowControl/>
              <w:jc w:val="center"/>
              <w:rPr>
                <w:rFonts w:ascii="宋体" w:hAnsi="宋体" w:cs="宋体"/>
                <w:sz w:val="18"/>
                <w:szCs w:val="18"/>
              </w:rPr>
            </w:pPr>
            <w:r>
              <w:rPr>
                <w:rFonts w:hint="eastAsia" w:ascii="宋体" w:hAnsi="宋体" w:cs="宋体"/>
                <w:sz w:val="18"/>
                <w:szCs w:val="18"/>
              </w:rPr>
              <w:t>Y＜100</w:t>
            </w:r>
          </w:p>
        </w:tc>
      </w:tr>
      <w:tr w14:paraId="3BEA11B2">
        <w:tblPrEx>
          <w:tblCellMar>
            <w:top w:w="0" w:type="dxa"/>
            <w:left w:w="108" w:type="dxa"/>
            <w:bottom w:w="0" w:type="dxa"/>
            <w:right w:w="108" w:type="dxa"/>
          </w:tblCellMar>
        </w:tblPrEx>
        <w:trPr>
          <w:cantSplit/>
          <w:trHeight w:val="340" w:hRule="exact"/>
          <w:jc w:val="center"/>
        </w:trPr>
        <w:tc>
          <w:tcPr>
            <w:tcW w:w="2113" w:type="dxa"/>
            <w:vMerge w:val="continue"/>
            <w:tcBorders>
              <w:top w:val="nil"/>
              <w:left w:val="nil"/>
              <w:bottom w:val="single" w:color="000000" w:sz="4" w:space="0"/>
              <w:right w:val="single" w:color="000000" w:sz="4" w:space="0"/>
            </w:tcBorders>
            <w:vAlign w:val="center"/>
          </w:tcPr>
          <w:p w14:paraId="6C1BBAC4">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6C5777C2">
            <w:pPr>
              <w:widowControl/>
              <w:spacing w:line="240" w:lineRule="exact"/>
              <w:jc w:val="center"/>
              <w:rPr>
                <w:rFonts w:ascii="宋体" w:hAnsi="宋体" w:cs="宋体"/>
                <w:sz w:val="18"/>
                <w:szCs w:val="18"/>
              </w:rPr>
            </w:pPr>
            <w:r>
              <w:rPr>
                <w:rFonts w:hint="eastAsia" w:ascii="宋体" w:hAnsi="宋体" w:cs="宋体"/>
                <w:sz w:val="18"/>
                <w:szCs w:val="18"/>
              </w:rPr>
              <w:t>资产总额(Z)</w:t>
            </w:r>
          </w:p>
        </w:tc>
        <w:tc>
          <w:tcPr>
            <w:tcW w:w="709" w:type="dxa"/>
            <w:tcBorders>
              <w:top w:val="nil"/>
              <w:left w:val="nil"/>
              <w:bottom w:val="single" w:color="000000" w:sz="4" w:space="0"/>
              <w:right w:val="single" w:color="000000" w:sz="4" w:space="0"/>
            </w:tcBorders>
            <w:vAlign w:val="center"/>
          </w:tcPr>
          <w:p w14:paraId="22EED953">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78E3E388">
            <w:pPr>
              <w:widowControl/>
              <w:jc w:val="center"/>
              <w:rPr>
                <w:rFonts w:ascii="宋体" w:hAnsi="宋体" w:cs="宋体"/>
                <w:sz w:val="18"/>
                <w:szCs w:val="18"/>
              </w:rPr>
            </w:pPr>
            <w:r>
              <w:rPr>
                <w:rFonts w:hint="eastAsia" w:ascii="宋体" w:hAnsi="宋体" w:cs="宋体"/>
                <w:sz w:val="18"/>
                <w:szCs w:val="18"/>
              </w:rPr>
              <w:t>Z≥10000</w:t>
            </w:r>
          </w:p>
        </w:tc>
        <w:tc>
          <w:tcPr>
            <w:tcW w:w="1701" w:type="dxa"/>
            <w:tcBorders>
              <w:top w:val="nil"/>
              <w:left w:val="nil"/>
              <w:bottom w:val="single" w:color="000000" w:sz="4" w:space="0"/>
              <w:right w:val="single" w:color="000000" w:sz="4" w:space="0"/>
            </w:tcBorders>
            <w:vAlign w:val="center"/>
          </w:tcPr>
          <w:p w14:paraId="50602D84">
            <w:pPr>
              <w:widowControl/>
              <w:jc w:val="center"/>
              <w:rPr>
                <w:rFonts w:ascii="宋体" w:hAnsi="宋体" w:cs="宋体"/>
                <w:sz w:val="18"/>
                <w:szCs w:val="18"/>
              </w:rPr>
            </w:pPr>
            <w:r>
              <w:rPr>
                <w:rFonts w:hint="eastAsia" w:ascii="宋体" w:hAnsi="宋体" w:cs="宋体"/>
                <w:sz w:val="18"/>
                <w:szCs w:val="18"/>
              </w:rPr>
              <w:t>5000≤Z＜10000</w:t>
            </w:r>
          </w:p>
        </w:tc>
        <w:tc>
          <w:tcPr>
            <w:tcW w:w="1426" w:type="dxa"/>
            <w:tcBorders>
              <w:top w:val="nil"/>
              <w:left w:val="nil"/>
              <w:bottom w:val="single" w:color="000000" w:sz="4" w:space="0"/>
              <w:right w:val="single" w:color="000000" w:sz="4" w:space="0"/>
            </w:tcBorders>
            <w:vAlign w:val="center"/>
          </w:tcPr>
          <w:p w14:paraId="2E6871CA">
            <w:pPr>
              <w:widowControl/>
              <w:jc w:val="center"/>
              <w:rPr>
                <w:rFonts w:ascii="宋体" w:hAnsi="宋体" w:cs="宋体"/>
                <w:sz w:val="18"/>
                <w:szCs w:val="18"/>
              </w:rPr>
            </w:pPr>
            <w:r>
              <w:rPr>
                <w:rFonts w:hint="eastAsia" w:ascii="宋体" w:hAnsi="宋体" w:cs="宋体"/>
                <w:sz w:val="18"/>
                <w:szCs w:val="18"/>
              </w:rPr>
              <w:t xml:space="preserve">2000≤Z＜5000   </w:t>
            </w:r>
          </w:p>
        </w:tc>
        <w:tc>
          <w:tcPr>
            <w:tcW w:w="992" w:type="dxa"/>
            <w:tcBorders>
              <w:top w:val="nil"/>
              <w:left w:val="nil"/>
              <w:bottom w:val="single" w:color="000000" w:sz="4" w:space="0"/>
              <w:right w:val="nil"/>
            </w:tcBorders>
            <w:vAlign w:val="center"/>
          </w:tcPr>
          <w:p w14:paraId="5DE471E9">
            <w:pPr>
              <w:widowControl/>
              <w:jc w:val="center"/>
              <w:rPr>
                <w:rFonts w:ascii="宋体" w:hAnsi="宋体" w:cs="宋体"/>
                <w:sz w:val="18"/>
                <w:szCs w:val="18"/>
              </w:rPr>
            </w:pPr>
            <w:r>
              <w:rPr>
                <w:rFonts w:hint="eastAsia" w:ascii="宋体" w:hAnsi="宋体" w:cs="宋体"/>
                <w:sz w:val="18"/>
                <w:szCs w:val="18"/>
              </w:rPr>
              <w:t>Z＜2000</w:t>
            </w:r>
          </w:p>
        </w:tc>
      </w:tr>
      <w:tr w14:paraId="66E8D3DF">
        <w:tblPrEx>
          <w:tblCellMar>
            <w:top w:w="0" w:type="dxa"/>
            <w:left w:w="108" w:type="dxa"/>
            <w:bottom w:w="0" w:type="dxa"/>
            <w:right w:w="108" w:type="dxa"/>
          </w:tblCellMar>
        </w:tblPrEx>
        <w:trPr>
          <w:cantSplit/>
          <w:trHeight w:val="340" w:hRule="exact"/>
          <w:jc w:val="center"/>
        </w:trPr>
        <w:tc>
          <w:tcPr>
            <w:tcW w:w="2113" w:type="dxa"/>
            <w:vMerge w:val="restart"/>
            <w:tcBorders>
              <w:top w:val="nil"/>
              <w:left w:val="nil"/>
              <w:bottom w:val="single" w:color="000000" w:sz="4" w:space="0"/>
              <w:right w:val="single" w:color="000000" w:sz="4" w:space="0"/>
            </w:tcBorders>
            <w:vAlign w:val="center"/>
          </w:tcPr>
          <w:p w14:paraId="166FC4A8">
            <w:pPr>
              <w:widowControl/>
              <w:spacing w:line="240" w:lineRule="exact"/>
              <w:jc w:val="left"/>
              <w:rPr>
                <w:rFonts w:ascii="宋体" w:hAnsi="宋体" w:cs="宋体"/>
                <w:sz w:val="18"/>
                <w:szCs w:val="18"/>
              </w:rPr>
            </w:pPr>
            <w:r>
              <w:rPr>
                <w:rFonts w:hint="eastAsia" w:ascii="宋体" w:hAnsi="宋体" w:cs="宋体"/>
                <w:sz w:val="18"/>
                <w:szCs w:val="18"/>
              </w:rPr>
              <w:t>物业管理</w:t>
            </w:r>
          </w:p>
        </w:tc>
        <w:tc>
          <w:tcPr>
            <w:tcW w:w="1369" w:type="dxa"/>
            <w:tcBorders>
              <w:top w:val="nil"/>
              <w:left w:val="nil"/>
              <w:bottom w:val="nil"/>
              <w:right w:val="single" w:color="000000" w:sz="4" w:space="0"/>
            </w:tcBorders>
            <w:vAlign w:val="center"/>
          </w:tcPr>
          <w:p w14:paraId="104EEFCB">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225C3D7A">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610FF176">
            <w:pPr>
              <w:widowControl/>
              <w:jc w:val="center"/>
              <w:rPr>
                <w:rFonts w:ascii="宋体" w:hAnsi="宋体" w:cs="宋体"/>
                <w:sz w:val="18"/>
                <w:szCs w:val="18"/>
              </w:rPr>
            </w:pPr>
            <w:r>
              <w:rPr>
                <w:rFonts w:hint="eastAsia" w:ascii="宋体" w:hAnsi="宋体" w:cs="宋体"/>
                <w:sz w:val="18"/>
                <w:szCs w:val="18"/>
              </w:rPr>
              <w:t>X≥1000</w:t>
            </w:r>
          </w:p>
        </w:tc>
        <w:tc>
          <w:tcPr>
            <w:tcW w:w="1701" w:type="dxa"/>
            <w:tcBorders>
              <w:top w:val="nil"/>
              <w:left w:val="nil"/>
              <w:bottom w:val="nil"/>
              <w:right w:val="single" w:color="000000" w:sz="4" w:space="0"/>
            </w:tcBorders>
            <w:vAlign w:val="center"/>
          </w:tcPr>
          <w:p w14:paraId="32286E82">
            <w:pPr>
              <w:widowControl/>
              <w:jc w:val="center"/>
              <w:rPr>
                <w:rFonts w:ascii="宋体" w:hAnsi="宋体" w:cs="宋体"/>
                <w:sz w:val="18"/>
                <w:szCs w:val="18"/>
              </w:rPr>
            </w:pPr>
            <w:r>
              <w:rPr>
                <w:rFonts w:hint="eastAsia" w:ascii="宋体" w:hAnsi="宋体" w:cs="宋体"/>
                <w:sz w:val="18"/>
                <w:szCs w:val="18"/>
              </w:rPr>
              <w:t>300≤X＜1000</w:t>
            </w:r>
          </w:p>
        </w:tc>
        <w:tc>
          <w:tcPr>
            <w:tcW w:w="1426" w:type="dxa"/>
            <w:tcBorders>
              <w:top w:val="nil"/>
              <w:left w:val="nil"/>
              <w:bottom w:val="nil"/>
              <w:right w:val="single" w:color="000000" w:sz="4" w:space="0"/>
            </w:tcBorders>
            <w:vAlign w:val="center"/>
          </w:tcPr>
          <w:p w14:paraId="378D7273">
            <w:pPr>
              <w:widowControl/>
              <w:jc w:val="center"/>
              <w:rPr>
                <w:rFonts w:ascii="宋体" w:hAnsi="宋体" w:cs="宋体"/>
                <w:sz w:val="18"/>
                <w:szCs w:val="18"/>
              </w:rPr>
            </w:pPr>
            <w:r>
              <w:rPr>
                <w:rFonts w:hint="eastAsia" w:ascii="宋体" w:hAnsi="宋体" w:cs="宋体"/>
                <w:sz w:val="18"/>
                <w:szCs w:val="18"/>
              </w:rPr>
              <w:t xml:space="preserve">100≤X＜300 </w:t>
            </w:r>
          </w:p>
        </w:tc>
        <w:tc>
          <w:tcPr>
            <w:tcW w:w="992" w:type="dxa"/>
            <w:tcBorders>
              <w:top w:val="nil"/>
              <w:left w:val="nil"/>
              <w:bottom w:val="nil"/>
              <w:right w:val="nil"/>
            </w:tcBorders>
            <w:vAlign w:val="center"/>
          </w:tcPr>
          <w:p w14:paraId="6EC6E865">
            <w:pPr>
              <w:widowControl/>
              <w:jc w:val="center"/>
              <w:rPr>
                <w:rFonts w:ascii="宋体" w:hAnsi="宋体" w:cs="宋体"/>
                <w:sz w:val="18"/>
                <w:szCs w:val="18"/>
              </w:rPr>
            </w:pPr>
            <w:r>
              <w:rPr>
                <w:rFonts w:hint="eastAsia" w:ascii="宋体" w:hAnsi="宋体" w:cs="宋体"/>
                <w:sz w:val="18"/>
                <w:szCs w:val="18"/>
              </w:rPr>
              <w:t>X＜100</w:t>
            </w:r>
          </w:p>
        </w:tc>
      </w:tr>
      <w:tr w14:paraId="46CB3269">
        <w:tblPrEx>
          <w:tblCellMar>
            <w:top w:w="0" w:type="dxa"/>
            <w:left w:w="108" w:type="dxa"/>
            <w:bottom w:w="0" w:type="dxa"/>
            <w:right w:w="108" w:type="dxa"/>
          </w:tblCellMar>
        </w:tblPrEx>
        <w:trPr>
          <w:cantSplit/>
          <w:trHeight w:val="340" w:hRule="exact"/>
          <w:jc w:val="center"/>
        </w:trPr>
        <w:tc>
          <w:tcPr>
            <w:tcW w:w="2113" w:type="dxa"/>
            <w:vMerge w:val="continue"/>
            <w:tcBorders>
              <w:top w:val="nil"/>
              <w:left w:val="nil"/>
              <w:bottom w:val="single" w:color="000000" w:sz="4" w:space="0"/>
              <w:right w:val="single" w:color="000000" w:sz="4" w:space="0"/>
            </w:tcBorders>
            <w:vAlign w:val="center"/>
          </w:tcPr>
          <w:p w14:paraId="43AE27CD">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0F5EB5A5">
            <w:pPr>
              <w:widowControl/>
              <w:spacing w:line="240" w:lineRule="exact"/>
              <w:jc w:val="center"/>
              <w:rPr>
                <w:rFonts w:ascii="宋体" w:hAnsi="宋体" w:cs="宋体"/>
                <w:sz w:val="18"/>
                <w:szCs w:val="18"/>
              </w:rPr>
            </w:pPr>
            <w:r>
              <w:rPr>
                <w:rFonts w:hint="eastAsia" w:ascii="宋体" w:hAnsi="宋体" w:cs="宋体"/>
                <w:sz w:val="18"/>
                <w:szCs w:val="18"/>
              </w:rPr>
              <w:t>营业收入(Y)</w:t>
            </w:r>
          </w:p>
        </w:tc>
        <w:tc>
          <w:tcPr>
            <w:tcW w:w="709" w:type="dxa"/>
            <w:tcBorders>
              <w:top w:val="nil"/>
              <w:left w:val="nil"/>
              <w:bottom w:val="single" w:color="000000" w:sz="4" w:space="0"/>
              <w:right w:val="single" w:color="000000" w:sz="4" w:space="0"/>
            </w:tcBorders>
            <w:vAlign w:val="center"/>
          </w:tcPr>
          <w:p w14:paraId="4A9A7837">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5E0F107F">
            <w:pPr>
              <w:widowControl/>
              <w:jc w:val="center"/>
              <w:rPr>
                <w:rFonts w:ascii="宋体" w:hAnsi="宋体" w:cs="宋体"/>
                <w:sz w:val="18"/>
                <w:szCs w:val="18"/>
              </w:rPr>
            </w:pPr>
            <w:r>
              <w:rPr>
                <w:rFonts w:hint="eastAsia" w:ascii="宋体" w:hAnsi="宋体" w:cs="宋体"/>
                <w:sz w:val="18"/>
                <w:szCs w:val="18"/>
              </w:rPr>
              <w:t>Y≥5000</w:t>
            </w:r>
          </w:p>
        </w:tc>
        <w:tc>
          <w:tcPr>
            <w:tcW w:w="1701" w:type="dxa"/>
            <w:tcBorders>
              <w:top w:val="nil"/>
              <w:left w:val="nil"/>
              <w:bottom w:val="single" w:color="000000" w:sz="4" w:space="0"/>
              <w:right w:val="single" w:color="000000" w:sz="4" w:space="0"/>
            </w:tcBorders>
            <w:vAlign w:val="center"/>
          </w:tcPr>
          <w:p w14:paraId="62FC2552">
            <w:pPr>
              <w:widowControl/>
              <w:ind w:left="1" w:hanging="108"/>
              <w:jc w:val="center"/>
              <w:rPr>
                <w:rFonts w:ascii="宋体" w:hAnsi="宋体" w:cs="宋体"/>
                <w:sz w:val="18"/>
                <w:szCs w:val="18"/>
              </w:rPr>
            </w:pPr>
            <w:r>
              <w:rPr>
                <w:rFonts w:hint="eastAsia" w:ascii="宋体" w:hAnsi="宋体" w:cs="宋体"/>
                <w:sz w:val="18"/>
                <w:szCs w:val="18"/>
              </w:rPr>
              <w:t xml:space="preserve">1000≤Y＜5000 </w:t>
            </w:r>
          </w:p>
        </w:tc>
        <w:tc>
          <w:tcPr>
            <w:tcW w:w="1426" w:type="dxa"/>
            <w:tcBorders>
              <w:top w:val="nil"/>
              <w:left w:val="nil"/>
              <w:bottom w:val="single" w:color="000000" w:sz="4" w:space="0"/>
              <w:right w:val="single" w:color="000000" w:sz="4" w:space="0"/>
            </w:tcBorders>
            <w:vAlign w:val="center"/>
          </w:tcPr>
          <w:p w14:paraId="383E4019">
            <w:pPr>
              <w:widowControl/>
              <w:jc w:val="center"/>
              <w:rPr>
                <w:rFonts w:ascii="宋体" w:hAnsi="宋体" w:cs="宋体"/>
                <w:sz w:val="18"/>
                <w:szCs w:val="18"/>
              </w:rPr>
            </w:pPr>
            <w:r>
              <w:rPr>
                <w:rFonts w:hint="eastAsia" w:ascii="宋体" w:hAnsi="宋体" w:cs="宋体"/>
                <w:sz w:val="18"/>
                <w:szCs w:val="18"/>
              </w:rPr>
              <w:t xml:space="preserve"> 500≤Y＜1000</w:t>
            </w:r>
          </w:p>
        </w:tc>
        <w:tc>
          <w:tcPr>
            <w:tcW w:w="992" w:type="dxa"/>
            <w:tcBorders>
              <w:top w:val="nil"/>
              <w:left w:val="nil"/>
              <w:bottom w:val="single" w:color="000000" w:sz="4" w:space="0"/>
              <w:right w:val="nil"/>
            </w:tcBorders>
            <w:vAlign w:val="center"/>
          </w:tcPr>
          <w:p w14:paraId="70280EB2">
            <w:pPr>
              <w:widowControl/>
              <w:jc w:val="center"/>
              <w:rPr>
                <w:rFonts w:ascii="宋体" w:hAnsi="宋体" w:cs="宋体"/>
                <w:sz w:val="18"/>
                <w:szCs w:val="18"/>
              </w:rPr>
            </w:pPr>
            <w:r>
              <w:rPr>
                <w:rFonts w:hint="eastAsia" w:ascii="宋体" w:hAnsi="宋体" w:cs="宋体"/>
                <w:sz w:val="18"/>
                <w:szCs w:val="18"/>
              </w:rPr>
              <w:t>Y＜500</w:t>
            </w:r>
          </w:p>
        </w:tc>
      </w:tr>
      <w:tr w14:paraId="3A6EE79F">
        <w:tblPrEx>
          <w:tblCellMar>
            <w:top w:w="0" w:type="dxa"/>
            <w:left w:w="108" w:type="dxa"/>
            <w:bottom w:w="0" w:type="dxa"/>
            <w:right w:w="108" w:type="dxa"/>
          </w:tblCellMar>
        </w:tblPrEx>
        <w:trPr>
          <w:cantSplit/>
          <w:trHeight w:val="340" w:hRule="exact"/>
          <w:jc w:val="center"/>
        </w:trPr>
        <w:tc>
          <w:tcPr>
            <w:tcW w:w="2113" w:type="dxa"/>
            <w:vMerge w:val="restart"/>
            <w:tcBorders>
              <w:top w:val="nil"/>
              <w:left w:val="nil"/>
              <w:bottom w:val="single" w:color="000000" w:sz="4" w:space="0"/>
              <w:right w:val="single" w:color="000000" w:sz="4" w:space="0"/>
            </w:tcBorders>
            <w:vAlign w:val="center"/>
          </w:tcPr>
          <w:p w14:paraId="3159864A">
            <w:pPr>
              <w:widowControl/>
              <w:spacing w:line="240" w:lineRule="exact"/>
              <w:jc w:val="left"/>
              <w:rPr>
                <w:rFonts w:ascii="宋体" w:hAnsi="宋体" w:cs="宋体"/>
                <w:sz w:val="18"/>
                <w:szCs w:val="18"/>
              </w:rPr>
            </w:pPr>
            <w:r>
              <w:rPr>
                <w:rFonts w:hint="eastAsia" w:ascii="宋体" w:hAnsi="宋体" w:cs="宋体"/>
                <w:sz w:val="18"/>
                <w:szCs w:val="18"/>
              </w:rPr>
              <w:t>租赁和商务服务业</w:t>
            </w:r>
          </w:p>
        </w:tc>
        <w:tc>
          <w:tcPr>
            <w:tcW w:w="1369" w:type="dxa"/>
            <w:tcBorders>
              <w:top w:val="nil"/>
              <w:left w:val="nil"/>
              <w:bottom w:val="nil"/>
              <w:right w:val="single" w:color="000000" w:sz="4" w:space="0"/>
            </w:tcBorders>
            <w:vAlign w:val="center"/>
          </w:tcPr>
          <w:p w14:paraId="76237184">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nil"/>
              <w:right w:val="single" w:color="000000" w:sz="4" w:space="0"/>
            </w:tcBorders>
            <w:vAlign w:val="center"/>
          </w:tcPr>
          <w:p w14:paraId="149C7346">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nil"/>
              <w:right w:val="single" w:color="000000" w:sz="4" w:space="0"/>
            </w:tcBorders>
            <w:vAlign w:val="center"/>
          </w:tcPr>
          <w:p w14:paraId="462C4F20">
            <w:pPr>
              <w:widowControl/>
              <w:jc w:val="center"/>
              <w:rPr>
                <w:rFonts w:ascii="宋体" w:hAnsi="宋体" w:cs="宋体"/>
                <w:sz w:val="18"/>
                <w:szCs w:val="18"/>
              </w:rPr>
            </w:pPr>
            <w:r>
              <w:rPr>
                <w:rFonts w:hint="eastAsia" w:ascii="宋体" w:hAnsi="宋体" w:cs="宋体"/>
                <w:sz w:val="18"/>
                <w:szCs w:val="18"/>
              </w:rPr>
              <w:t>X≥300</w:t>
            </w:r>
          </w:p>
        </w:tc>
        <w:tc>
          <w:tcPr>
            <w:tcW w:w="1701" w:type="dxa"/>
            <w:tcBorders>
              <w:top w:val="nil"/>
              <w:left w:val="nil"/>
              <w:bottom w:val="nil"/>
              <w:right w:val="single" w:color="000000" w:sz="4" w:space="0"/>
            </w:tcBorders>
            <w:vAlign w:val="center"/>
          </w:tcPr>
          <w:p w14:paraId="72C1B61A">
            <w:pPr>
              <w:widowControl/>
              <w:ind w:left="1" w:hanging="108"/>
              <w:jc w:val="center"/>
              <w:rPr>
                <w:rFonts w:ascii="宋体" w:hAnsi="宋体" w:cs="宋体"/>
                <w:sz w:val="18"/>
                <w:szCs w:val="18"/>
              </w:rPr>
            </w:pPr>
            <w:r>
              <w:rPr>
                <w:rFonts w:hint="eastAsia" w:ascii="宋体" w:hAnsi="宋体" w:cs="宋体"/>
                <w:sz w:val="18"/>
                <w:szCs w:val="18"/>
              </w:rPr>
              <w:t xml:space="preserve">100≤X＜300 </w:t>
            </w:r>
          </w:p>
        </w:tc>
        <w:tc>
          <w:tcPr>
            <w:tcW w:w="1426" w:type="dxa"/>
            <w:tcBorders>
              <w:top w:val="nil"/>
              <w:left w:val="nil"/>
              <w:bottom w:val="nil"/>
              <w:right w:val="single" w:color="000000" w:sz="4" w:space="0"/>
            </w:tcBorders>
            <w:vAlign w:val="center"/>
          </w:tcPr>
          <w:p w14:paraId="72C96645">
            <w:pPr>
              <w:widowControl/>
              <w:jc w:val="center"/>
              <w:rPr>
                <w:rFonts w:ascii="宋体" w:hAnsi="宋体" w:cs="宋体"/>
                <w:sz w:val="18"/>
                <w:szCs w:val="18"/>
              </w:rPr>
            </w:pPr>
            <w:r>
              <w:rPr>
                <w:rFonts w:hint="eastAsia" w:ascii="宋体" w:hAnsi="宋体" w:cs="宋体"/>
                <w:sz w:val="18"/>
                <w:szCs w:val="18"/>
              </w:rPr>
              <w:t xml:space="preserve"> 10≤X＜100</w:t>
            </w:r>
          </w:p>
        </w:tc>
        <w:tc>
          <w:tcPr>
            <w:tcW w:w="992" w:type="dxa"/>
            <w:tcBorders>
              <w:top w:val="nil"/>
              <w:left w:val="nil"/>
              <w:bottom w:val="nil"/>
              <w:right w:val="nil"/>
            </w:tcBorders>
            <w:vAlign w:val="center"/>
          </w:tcPr>
          <w:p w14:paraId="4040E5E1">
            <w:pPr>
              <w:widowControl/>
              <w:jc w:val="center"/>
              <w:rPr>
                <w:rFonts w:ascii="宋体" w:hAnsi="宋体" w:cs="宋体"/>
                <w:sz w:val="18"/>
                <w:szCs w:val="18"/>
              </w:rPr>
            </w:pPr>
            <w:r>
              <w:rPr>
                <w:rFonts w:hint="eastAsia" w:ascii="宋体" w:hAnsi="宋体" w:cs="宋体"/>
                <w:sz w:val="18"/>
                <w:szCs w:val="18"/>
              </w:rPr>
              <w:t>X＜10</w:t>
            </w:r>
          </w:p>
        </w:tc>
      </w:tr>
      <w:tr w14:paraId="56B7F9D1">
        <w:tblPrEx>
          <w:tblCellMar>
            <w:top w:w="0" w:type="dxa"/>
            <w:left w:w="108" w:type="dxa"/>
            <w:bottom w:w="0" w:type="dxa"/>
            <w:right w:w="108" w:type="dxa"/>
          </w:tblCellMar>
        </w:tblPrEx>
        <w:trPr>
          <w:cantSplit/>
          <w:trHeight w:val="340" w:hRule="exact"/>
          <w:jc w:val="center"/>
        </w:trPr>
        <w:tc>
          <w:tcPr>
            <w:tcW w:w="2113" w:type="dxa"/>
            <w:vMerge w:val="continue"/>
            <w:tcBorders>
              <w:top w:val="nil"/>
              <w:left w:val="nil"/>
              <w:bottom w:val="single" w:color="000000" w:sz="4" w:space="0"/>
              <w:right w:val="single" w:color="000000" w:sz="4" w:space="0"/>
            </w:tcBorders>
            <w:vAlign w:val="center"/>
          </w:tcPr>
          <w:p w14:paraId="71AF55B8">
            <w:pPr>
              <w:widowControl/>
              <w:jc w:val="left"/>
              <w:rPr>
                <w:rFonts w:ascii="宋体" w:hAnsi="宋体" w:cs="宋体"/>
                <w:sz w:val="18"/>
                <w:szCs w:val="18"/>
              </w:rPr>
            </w:pPr>
          </w:p>
        </w:tc>
        <w:tc>
          <w:tcPr>
            <w:tcW w:w="1369" w:type="dxa"/>
            <w:tcBorders>
              <w:top w:val="nil"/>
              <w:left w:val="nil"/>
              <w:bottom w:val="single" w:color="000000" w:sz="4" w:space="0"/>
              <w:right w:val="single" w:color="000000" w:sz="4" w:space="0"/>
            </w:tcBorders>
            <w:vAlign w:val="center"/>
          </w:tcPr>
          <w:p w14:paraId="069D3B49">
            <w:pPr>
              <w:widowControl/>
              <w:spacing w:line="240" w:lineRule="exact"/>
              <w:jc w:val="center"/>
              <w:rPr>
                <w:rFonts w:ascii="宋体" w:hAnsi="宋体" w:cs="宋体"/>
                <w:sz w:val="18"/>
                <w:szCs w:val="18"/>
              </w:rPr>
            </w:pPr>
            <w:r>
              <w:rPr>
                <w:rFonts w:hint="eastAsia" w:ascii="宋体" w:hAnsi="宋体" w:cs="宋体"/>
                <w:sz w:val="18"/>
                <w:szCs w:val="18"/>
              </w:rPr>
              <w:t>资产总额(Z)</w:t>
            </w:r>
          </w:p>
        </w:tc>
        <w:tc>
          <w:tcPr>
            <w:tcW w:w="709" w:type="dxa"/>
            <w:tcBorders>
              <w:top w:val="nil"/>
              <w:left w:val="nil"/>
              <w:bottom w:val="single" w:color="000000" w:sz="4" w:space="0"/>
              <w:right w:val="single" w:color="000000" w:sz="4" w:space="0"/>
            </w:tcBorders>
            <w:vAlign w:val="center"/>
          </w:tcPr>
          <w:p w14:paraId="7BB1544A">
            <w:pPr>
              <w:widowControl/>
              <w:jc w:val="center"/>
              <w:rPr>
                <w:rFonts w:ascii="宋体" w:hAnsi="宋体" w:cs="宋体"/>
                <w:sz w:val="18"/>
                <w:szCs w:val="18"/>
              </w:rPr>
            </w:pPr>
            <w:r>
              <w:rPr>
                <w:rFonts w:hint="eastAsia" w:ascii="宋体" w:hAnsi="宋体" w:cs="宋体"/>
                <w:sz w:val="18"/>
                <w:szCs w:val="18"/>
              </w:rPr>
              <w:t>万元</w:t>
            </w:r>
          </w:p>
        </w:tc>
        <w:tc>
          <w:tcPr>
            <w:tcW w:w="1125" w:type="dxa"/>
            <w:tcBorders>
              <w:top w:val="nil"/>
              <w:left w:val="nil"/>
              <w:bottom w:val="single" w:color="000000" w:sz="4" w:space="0"/>
              <w:right w:val="single" w:color="000000" w:sz="4" w:space="0"/>
            </w:tcBorders>
            <w:vAlign w:val="center"/>
          </w:tcPr>
          <w:p w14:paraId="6EBAF349">
            <w:pPr>
              <w:widowControl/>
              <w:jc w:val="center"/>
              <w:rPr>
                <w:rFonts w:ascii="宋体" w:hAnsi="宋体" w:cs="宋体"/>
                <w:sz w:val="18"/>
                <w:szCs w:val="18"/>
              </w:rPr>
            </w:pPr>
            <w:r>
              <w:rPr>
                <w:rFonts w:hint="eastAsia" w:ascii="宋体" w:hAnsi="宋体" w:cs="宋体"/>
                <w:sz w:val="18"/>
                <w:szCs w:val="18"/>
              </w:rPr>
              <w:t>Z≥120000</w:t>
            </w:r>
          </w:p>
        </w:tc>
        <w:tc>
          <w:tcPr>
            <w:tcW w:w="1701" w:type="dxa"/>
            <w:tcBorders>
              <w:top w:val="nil"/>
              <w:left w:val="nil"/>
              <w:bottom w:val="single" w:color="000000" w:sz="4" w:space="0"/>
              <w:right w:val="single" w:color="000000" w:sz="4" w:space="0"/>
            </w:tcBorders>
            <w:vAlign w:val="center"/>
          </w:tcPr>
          <w:p w14:paraId="7B809AC1">
            <w:pPr>
              <w:widowControl/>
              <w:jc w:val="center"/>
              <w:rPr>
                <w:rFonts w:ascii="宋体" w:hAnsi="宋体" w:cs="宋体"/>
                <w:sz w:val="18"/>
                <w:szCs w:val="18"/>
              </w:rPr>
            </w:pPr>
            <w:r>
              <w:rPr>
                <w:rFonts w:hint="eastAsia" w:ascii="宋体" w:hAnsi="宋体" w:cs="宋体"/>
                <w:sz w:val="18"/>
                <w:szCs w:val="18"/>
              </w:rPr>
              <w:t xml:space="preserve"> 8000≤Z＜120000</w:t>
            </w:r>
          </w:p>
        </w:tc>
        <w:tc>
          <w:tcPr>
            <w:tcW w:w="1426" w:type="dxa"/>
            <w:tcBorders>
              <w:top w:val="nil"/>
              <w:left w:val="nil"/>
              <w:bottom w:val="single" w:color="000000" w:sz="4" w:space="0"/>
              <w:right w:val="single" w:color="000000" w:sz="4" w:space="0"/>
            </w:tcBorders>
            <w:vAlign w:val="center"/>
          </w:tcPr>
          <w:p w14:paraId="3A2A716A">
            <w:pPr>
              <w:widowControl/>
              <w:jc w:val="center"/>
              <w:rPr>
                <w:rFonts w:ascii="宋体" w:hAnsi="宋体" w:cs="宋体"/>
                <w:sz w:val="18"/>
                <w:szCs w:val="18"/>
              </w:rPr>
            </w:pPr>
            <w:r>
              <w:rPr>
                <w:rFonts w:hint="eastAsia" w:ascii="宋体" w:hAnsi="宋体" w:cs="宋体"/>
                <w:sz w:val="18"/>
                <w:szCs w:val="18"/>
              </w:rPr>
              <w:t xml:space="preserve"> 100≤Z＜8000</w:t>
            </w:r>
          </w:p>
        </w:tc>
        <w:tc>
          <w:tcPr>
            <w:tcW w:w="992" w:type="dxa"/>
            <w:tcBorders>
              <w:top w:val="nil"/>
              <w:left w:val="nil"/>
              <w:bottom w:val="single" w:color="000000" w:sz="4" w:space="0"/>
              <w:right w:val="nil"/>
            </w:tcBorders>
            <w:vAlign w:val="center"/>
          </w:tcPr>
          <w:p w14:paraId="09233DCC">
            <w:pPr>
              <w:widowControl/>
              <w:jc w:val="center"/>
              <w:rPr>
                <w:rFonts w:ascii="宋体" w:hAnsi="宋体" w:cs="宋体"/>
                <w:sz w:val="18"/>
                <w:szCs w:val="18"/>
              </w:rPr>
            </w:pPr>
            <w:r>
              <w:rPr>
                <w:rFonts w:hint="eastAsia" w:ascii="宋体" w:hAnsi="宋体" w:cs="宋体"/>
                <w:sz w:val="18"/>
                <w:szCs w:val="18"/>
              </w:rPr>
              <w:t>Z＜100</w:t>
            </w:r>
          </w:p>
        </w:tc>
      </w:tr>
      <w:tr w14:paraId="70571636">
        <w:tblPrEx>
          <w:tblCellMar>
            <w:top w:w="0" w:type="dxa"/>
            <w:left w:w="108" w:type="dxa"/>
            <w:bottom w:w="0" w:type="dxa"/>
            <w:right w:w="108" w:type="dxa"/>
          </w:tblCellMar>
        </w:tblPrEx>
        <w:trPr>
          <w:trHeight w:val="397" w:hRule="exact"/>
          <w:jc w:val="center"/>
        </w:trPr>
        <w:tc>
          <w:tcPr>
            <w:tcW w:w="2113" w:type="dxa"/>
            <w:tcBorders>
              <w:top w:val="nil"/>
              <w:left w:val="nil"/>
              <w:bottom w:val="single" w:color="000000" w:sz="4" w:space="0"/>
              <w:right w:val="single" w:color="000000" w:sz="4" w:space="0"/>
            </w:tcBorders>
            <w:vAlign w:val="center"/>
          </w:tcPr>
          <w:p w14:paraId="5B7C329B">
            <w:pPr>
              <w:widowControl/>
              <w:spacing w:line="240" w:lineRule="exact"/>
              <w:jc w:val="left"/>
              <w:rPr>
                <w:rFonts w:ascii="宋体" w:hAnsi="宋体" w:cs="宋体"/>
                <w:sz w:val="18"/>
                <w:szCs w:val="18"/>
              </w:rPr>
            </w:pPr>
            <w:r>
              <w:rPr>
                <w:rFonts w:hint="eastAsia" w:ascii="宋体" w:hAnsi="宋体" w:cs="宋体"/>
                <w:sz w:val="18"/>
                <w:szCs w:val="18"/>
              </w:rPr>
              <w:t>其他未列明行业 *</w:t>
            </w:r>
          </w:p>
        </w:tc>
        <w:tc>
          <w:tcPr>
            <w:tcW w:w="1369" w:type="dxa"/>
            <w:tcBorders>
              <w:top w:val="nil"/>
              <w:left w:val="nil"/>
              <w:bottom w:val="single" w:color="000000" w:sz="4" w:space="0"/>
              <w:right w:val="single" w:color="000000" w:sz="4" w:space="0"/>
            </w:tcBorders>
            <w:vAlign w:val="center"/>
          </w:tcPr>
          <w:p w14:paraId="09338633">
            <w:pPr>
              <w:widowControl/>
              <w:jc w:val="center"/>
              <w:rPr>
                <w:rFonts w:ascii="宋体" w:hAnsi="宋体" w:cs="宋体"/>
                <w:sz w:val="18"/>
                <w:szCs w:val="18"/>
              </w:rPr>
            </w:pPr>
            <w:r>
              <w:rPr>
                <w:rFonts w:hint="eastAsia" w:ascii="宋体" w:hAnsi="宋体" w:cs="宋体"/>
                <w:sz w:val="18"/>
                <w:szCs w:val="18"/>
              </w:rPr>
              <w:t>从业人员(X)</w:t>
            </w:r>
          </w:p>
        </w:tc>
        <w:tc>
          <w:tcPr>
            <w:tcW w:w="709" w:type="dxa"/>
            <w:tcBorders>
              <w:top w:val="nil"/>
              <w:left w:val="nil"/>
              <w:bottom w:val="single" w:color="000000" w:sz="4" w:space="0"/>
              <w:right w:val="single" w:color="000000" w:sz="4" w:space="0"/>
            </w:tcBorders>
            <w:vAlign w:val="center"/>
          </w:tcPr>
          <w:p w14:paraId="3C5AD432">
            <w:pPr>
              <w:widowControl/>
              <w:jc w:val="center"/>
              <w:rPr>
                <w:rFonts w:ascii="宋体" w:hAnsi="宋体" w:cs="宋体"/>
                <w:sz w:val="18"/>
                <w:szCs w:val="18"/>
              </w:rPr>
            </w:pPr>
            <w:r>
              <w:rPr>
                <w:rFonts w:hint="eastAsia" w:ascii="宋体" w:hAnsi="宋体" w:cs="宋体"/>
                <w:sz w:val="18"/>
                <w:szCs w:val="18"/>
              </w:rPr>
              <w:t>人</w:t>
            </w:r>
          </w:p>
        </w:tc>
        <w:tc>
          <w:tcPr>
            <w:tcW w:w="1125" w:type="dxa"/>
            <w:tcBorders>
              <w:top w:val="nil"/>
              <w:left w:val="nil"/>
              <w:bottom w:val="single" w:color="000000" w:sz="4" w:space="0"/>
              <w:right w:val="single" w:color="000000" w:sz="4" w:space="0"/>
            </w:tcBorders>
            <w:vAlign w:val="center"/>
          </w:tcPr>
          <w:p w14:paraId="55BC3EDA">
            <w:pPr>
              <w:widowControl/>
              <w:jc w:val="center"/>
              <w:rPr>
                <w:rFonts w:ascii="宋体" w:hAnsi="宋体" w:cs="宋体"/>
                <w:sz w:val="18"/>
                <w:szCs w:val="18"/>
              </w:rPr>
            </w:pPr>
            <w:r>
              <w:rPr>
                <w:rFonts w:hint="eastAsia" w:ascii="宋体" w:hAnsi="宋体" w:cs="宋体"/>
                <w:sz w:val="18"/>
                <w:szCs w:val="18"/>
              </w:rPr>
              <w:t>X≥300</w:t>
            </w:r>
          </w:p>
        </w:tc>
        <w:tc>
          <w:tcPr>
            <w:tcW w:w="1701" w:type="dxa"/>
            <w:tcBorders>
              <w:top w:val="nil"/>
              <w:left w:val="nil"/>
              <w:bottom w:val="single" w:color="000000" w:sz="4" w:space="0"/>
              <w:right w:val="single" w:color="000000" w:sz="4" w:space="0"/>
            </w:tcBorders>
            <w:vAlign w:val="center"/>
          </w:tcPr>
          <w:p w14:paraId="486C4FEA">
            <w:pPr>
              <w:widowControl/>
              <w:ind w:left="1" w:hanging="108"/>
              <w:jc w:val="center"/>
              <w:rPr>
                <w:rFonts w:ascii="宋体" w:hAnsi="宋体" w:cs="宋体"/>
                <w:sz w:val="18"/>
                <w:szCs w:val="18"/>
              </w:rPr>
            </w:pPr>
            <w:r>
              <w:rPr>
                <w:rFonts w:hint="eastAsia" w:ascii="宋体" w:hAnsi="宋体" w:cs="宋体"/>
                <w:sz w:val="18"/>
                <w:szCs w:val="18"/>
              </w:rPr>
              <w:t xml:space="preserve">100≤X＜300 </w:t>
            </w:r>
          </w:p>
        </w:tc>
        <w:tc>
          <w:tcPr>
            <w:tcW w:w="1426" w:type="dxa"/>
            <w:tcBorders>
              <w:top w:val="nil"/>
              <w:left w:val="nil"/>
              <w:bottom w:val="single" w:color="000000" w:sz="4" w:space="0"/>
              <w:right w:val="single" w:color="000000" w:sz="4" w:space="0"/>
            </w:tcBorders>
            <w:vAlign w:val="center"/>
          </w:tcPr>
          <w:p w14:paraId="10DFD7A2">
            <w:pPr>
              <w:widowControl/>
              <w:jc w:val="center"/>
              <w:rPr>
                <w:rFonts w:ascii="宋体" w:hAnsi="宋体" w:cs="宋体"/>
                <w:sz w:val="18"/>
                <w:szCs w:val="18"/>
              </w:rPr>
            </w:pPr>
            <w:r>
              <w:rPr>
                <w:rFonts w:hint="eastAsia" w:ascii="宋体" w:hAnsi="宋体" w:cs="宋体"/>
                <w:sz w:val="18"/>
                <w:szCs w:val="18"/>
              </w:rPr>
              <w:t xml:space="preserve"> 10≤X＜100</w:t>
            </w:r>
          </w:p>
        </w:tc>
        <w:tc>
          <w:tcPr>
            <w:tcW w:w="992" w:type="dxa"/>
            <w:tcBorders>
              <w:top w:val="nil"/>
              <w:left w:val="nil"/>
              <w:bottom w:val="single" w:color="000000" w:sz="4" w:space="0"/>
              <w:right w:val="nil"/>
            </w:tcBorders>
            <w:vAlign w:val="center"/>
          </w:tcPr>
          <w:p w14:paraId="11EB7E26">
            <w:pPr>
              <w:widowControl/>
              <w:jc w:val="center"/>
              <w:rPr>
                <w:rFonts w:ascii="宋体" w:hAnsi="宋体" w:cs="宋体"/>
                <w:sz w:val="18"/>
                <w:szCs w:val="18"/>
              </w:rPr>
            </w:pPr>
            <w:r>
              <w:rPr>
                <w:rFonts w:hint="eastAsia" w:ascii="宋体" w:hAnsi="宋体" w:cs="宋体"/>
                <w:sz w:val="18"/>
                <w:szCs w:val="18"/>
              </w:rPr>
              <w:t>X＜10</w:t>
            </w:r>
          </w:p>
        </w:tc>
      </w:tr>
    </w:tbl>
    <w:p w14:paraId="45CC2CCB">
      <w:pPr>
        <w:widowControl/>
        <w:spacing w:line="540" w:lineRule="exact"/>
        <w:rPr>
          <w:rFonts w:ascii="仿宋_GB2312" w:eastAsia="仿宋_GB2312" w:cs="宋体"/>
          <w:spacing w:val="8"/>
          <w:sz w:val="32"/>
          <w:szCs w:val="32"/>
        </w:rPr>
      </w:pPr>
    </w:p>
    <w:p w14:paraId="2DAFFAAD">
      <w:pPr>
        <w:widowControl/>
        <w:jc w:val="left"/>
        <w:rPr>
          <w:rFonts w:ascii="宋体" w:hAnsi="宋体" w:cs="宋体"/>
          <w:b/>
          <w:bCs/>
          <w:spacing w:val="8"/>
          <w:sz w:val="24"/>
        </w:rPr>
      </w:pPr>
      <w:r>
        <w:rPr>
          <w:rFonts w:hint="eastAsia" w:ascii="宋体" w:hAnsi="宋体" w:cs="宋体"/>
          <w:b/>
          <w:bCs/>
          <w:spacing w:val="8"/>
          <w:sz w:val="24"/>
        </w:rPr>
        <w:t>《</w:t>
      </w:r>
      <w:r>
        <w:rPr>
          <w:rFonts w:hint="eastAsia" w:ascii="宋体" w:hAnsi="宋体" w:cs="宋体"/>
          <w:b/>
          <w:bCs/>
          <w:sz w:val="24"/>
        </w:rPr>
        <w:t>统计上大中小微型企业划分标准</w:t>
      </w:r>
      <w:r>
        <w:rPr>
          <w:rFonts w:hint="eastAsia" w:ascii="宋体" w:hAnsi="宋体" w:cs="宋体"/>
          <w:b/>
          <w:bCs/>
          <w:spacing w:val="8"/>
          <w:sz w:val="24"/>
        </w:rPr>
        <w:t>》说明：</w:t>
      </w:r>
    </w:p>
    <w:p w14:paraId="19698D12">
      <w:pPr>
        <w:pStyle w:val="21"/>
        <w:adjustRightInd w:val="0"/>
        <w:snapToGrid w:val="0"/>
        <w:spacing w:line="360" w:lineRule="auto"/>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1.大型、中型和小型企业须同时满足所列指标的下限，否则下划一档；微型企业只须满足所列指标中的一项即可。</w:t>
      </w:r>
    </w:p>
    <w:bookmarkEnd w:id="115"/>
    <w:p w14:paraId="58F4AE81">
      <w:pPr>
        <w:adjustRightInd w:val="0"/>
        <w:snapToGrid w:val="0"/>
        <w:spacing w:line="360" w:lineRule="auto"/>
        <w:ind w:firstLine="480" w:firstLineChars="200"/>
        <w:jc w:val="left"/>
        <w:outlineLvl w:val="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4095A90">
      <w:pPr>
        <w:adjustRightInd w:val="0"/>
        <w:snapToGrid w:val="0"/>
        <w:spacing w:line="360" w:lineRule="auto"/>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5B102AC">
      <w:pPr>
        <w:pStyle w:val="935"/>
        <w:spacing w:before="143" w:after="0" w:line="360" w:lineRule="auto"/>
        <w:jc w:val="center"/>
        <w:outlineLvl w:val="1"/>
        <w:rPr>
          <w:rFonts w:ascii="宋体" w:hAnsi="宋体"/>
          <w:lang w:eastAsia="zh-CN"/>
        </w:rPr>
      </w:pPr>
      <w:r>
        <w:rPr>
          <w:lang w:eastAsia="zh-CN"/>
        </w:rPr>
        <w:br w:type="page"/>
      </w:r>
      <w:r>
        <w:rPr>
          <w:rFonts w:hint="eastAsia" w:ascii="宋体" w:hAnsi="宋体"/>
          <w:lang w:eastAsia="zh-CN"/>
        </w:rPr>
        <w:t>十</w:t>
      </w:r>
      <w:r>
        <w:rPr>
          <w:rFonts w:ascii="宋体" w:hAnsi="宋体"/>
          <w:lang w:eastAsia="zh-CN"/>
        </w:rPr>
        <w:t>六</w:t>
      </w:r>
      <w:r>
        <w:rPr>
          <w:rFonts w:hint="eastAsia" w:ascii="宋体" w:hAnsi="宋体"/>
          <w:lang w:eastAsia="zh-CN"/>
        </w:rPr>
        <w:t>、资格承诺函</w:t>
      </w:r>
    </w:p>
    <w:p w14:paraId="7993D23D">
      <w:pPr>
        <w:widowControl/>
        <w:shd w:val="clear" w:color="auto" w:fill="FFFFFF"/>
        <w:spacing w:line="560" w:lineRule="exact"/>
        <w:jc w:val="left"/>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（采购人、采购代理机构）  </w:t>
      </w:r>
    </w:p>
    <w:p w14:paraId="45D4D9C5">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我单位参与</w:t>
      </w:r>
      <w:r>
        <w:rPr>
          <w:rFonts w:hint="eastAsia" w:ascii="宋体" w:hAnsi="宋体" w:cs="宋体"/>
          <w:sz w:val="24"/>
          <w:szCs w:val="24"/>
          <w:u w:val="single"/>
        </w:rPr>
        <w:t xml:space="preserve">         （项目名称）</w:t>
      </w:r>
      <w:r>
        <w:rPr>
          <w:rFonts w:hint="eastAsia" w:ascii="宋体" w:hAnsi="宋体" w:cs="宋体"/>
          <w:sz w:val="24"/>
          <w:szCs w:val="24"/>
        </w:rPr>
        <w:t>项目的招标活动，现承诺如下：</w:t>
      </w:r>
    </w:p>
    <w:p w14:paraId="0ABDB77F">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1、我方具有良好的商业信誉和健全的财务会计制度。</w:t>
      </w:r>
    </w:p>
    <w:p w14:paraId="3DCC4382">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2、我方具有履行合同所必需的设备和专业技术能力。</w:t>
      </w:r>
    </w:p>
    <w:p w14:paraId="63CCCDE2">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3 、我方具有依法缴纳税收和社会保障资金的良好记录。</w:t>
      </w:r>
    </w:p>
    <w:p w14:paraId="1D6DDC83">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4、我方参加本项目采购活动前三年内，在经营活动中没有重大违法记录。</w:t>
      </w:r>
    </w:p>
    <w:p w14:paraId="36E64076">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若我单位承诺不实，自愿承担提供虚假材料谋取中标、成交的法律责任。</w:t>
      </w:r>
    </w:p>
    <w:p w14:paraId="102CD505">
      <w:pPr>
        <w:widowControl/>
        <w:shd w:val="clear" w:color="auto" w:fill="FFFFFF"/>
        <w:spacing w:line="560" w:lineRule="exact"/>
        <w:ind w:firstLine="640"/>
        <w:jc w:val="left"/>
        <w:rPr>
          <w:rFonts w:ascii="宋体" w:hAnsi="宋体" w:cs="宋体"/>
          <w:sz w:val="24"/>
          <w:szCs w:val="24"/>
        </w:rPr>
      </w:pPr>
    </w:p>
    <w:p w14:paraId="74DB7642">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投标（响应）供应商（全称）：</w:t>
      </w:r>
      <w:r>
        <w:rPr>
          <w:rFonts w:hint="eastAsia" w:ascii="宋体" w:hAnsi="宋体" w:cs="宋体"/>
          <w:sz w:val="24"/>
          <w:szCs w:val="24"/>
          <w:u w:val="single"/>
        </w:rPr>
        <w:t>           </w:t>
      </w:r>
      <w:r>
        <w:rPr>
          <w:rFonts w:hint="eastAsia" w:ascii="宋体" w:hAnsi="宋体" w:cs="宋体"/>
          <w:sz w:val="24"/>
          <w:szCs w:val="24"/>
        </w:rPr>
        <w:t> </w:t>
      </w:r>
    </w:p>
    <w:p w14:paraId="0F5E1F34">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供应商法定代表人或授权代表（签字或签章）：</w:t>
      </w:r>
      <w:r>
        <w:rPr>
          <w:rFonts w:hint="eastAsia" w:ascii="宋体" w:hAnsi="宋体" w:cs="宋体"/>
          <w:sz w:val="24"/>
          <w:szCs w:val="24"/>
          <w:u w:val="single"/>
        </w:rPr>
        <w:t>        </w:t>
      </w:r>
    </w:p>
    <w:p w14:paraId="19BABB5C">
      <w:pPr>
        <w:widowControl/>
        <w:shd w:val="clear" w:color="auto" w:fill="FFFFFF"/>
        <w:spacing w:line="560" w:lineRule="exact"/>
        <w:ind w:firstLine="640"/>
        <w:jc w:val="left"/>
        <w:rPr>
          <w:rFonts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w:t>
      </w:r>
    </w:p>
    <w:p w14:paraId="489932D3">
      <w:pPr>
        <w:widowControl/>
        <w:shd w:val="clear" w:color="auto" w:fill="FFFFFF"/>
        <w:spacing w:line="560" w:lineRule="exact"/>
        <w:jc w:val="left"/>
        <w:rPr>
          <w:rFonts w:ascii="宋体" w:hAnsi="宋体" w:cs="宋体"/>
          <w:sz w:val="24"/>
          <w:szCs w:val="24"/>
        </w:rPr>
      </w:pPr>
      <w:r>
        <w:rPr>
          <w:rFonts w:hint="eastAsia" w:ascii="宋体" w:hAnsi="宋体" w:cs="宋体"/>
          <w:sz w:val="24"/>
          <w:szCs w:val="24"/>
        </w:rPr>
        <w:t>﹍﹍﹍﹍﹍﹍﹍﹍﹍﹍﹍﹍﹍﹍﹍﹍﹍﹍﹍﹍﹍﹍﹍﹍</w:t>
      </w:r>
    </w:p>
    <w:p w14:paraId="30B5C885">
      <w:pPr>
        <w:spacing w:line="360" w:lineRule="auto"/>
        <w:rPr>
          <w:rFonts w:ascii="宋体" w:hAnsi="宋体" w:cs="宋体"/>
          <w:sz w:val="24"/>
          <w:szCs w:val="24"/>
        </w:rPr>
      </w:pPr>
      <w:r>
        <w:rPr>
          <w:rFonts w:hint="eastAsia" w:ascii="宋体" w:hAnsi="宋体" w:cs="宋体"/>
          <w:sz w:val="24"/>
          <w:szCs w:val="24"/>
        </w:rPr>
        <w:t>说明：1. 供应商可自行选择是否提供本承诺函，若不提供本承诺函的，应按采购文件要求提供相应的证明材料。</w:t>
      </w:r>
    </w:p>
    <w:p w14:paraId="3D9891E6">
      <w:pPr>
        <w:spacing w:line="360" w:lineRule="auto"/>
        <w:rPr>
          <w:rFonts w:ascii="宋体" w:hAnsi="宋体" w:cs="Arial"/>
          <w:sz w:val="24"/>
          <w:szCs w:val="24"/>
        </w:rPr>
      </w:pPr>
      <w:r>
        <w:rPr>
          <w:rFonts w:hint="eastAsia" w:ascii="宋体" w:hAnsi="宋体" w:cs="宋体"/>
          <w:sz w:val="24"/>
          <w:szCs w:val="24"/>
        </w:rPr>
        <w:t>2. 供应商可删减承诺事项，删减的承诺事项须按采购文件要求提供相应的证明材料。比如删去本承诺函第 3 项的，则应按采购文件要求提供依法缴纳税收和社会保障资金的良好记录。</w:t>
      </w:r>
    </w:p>
    <w:p w14:paraId="4A55707A">
      <w:pPr>
        <w:rPr>
          <w:rFonts w:ascii="宋体" w:hAnsi="宋体"/>
        </w:rPr>
      </w:pPr>
    </w:p>
    <w:sectPr>
      <w:headerReference r:id="rId5" w:type="default"/>
      <w:footerReference r:id="rId6" w:type="default"/>
      <w:footerReference r:id="rId7" w:type="even"/>
      <w:pgSz w:w="11906" w:h="16838"/>
      <w:pgMar w:top="1440" w:right="1797"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3000509000000000000"/>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roman"/>
    <w:pitch w:val="default"/>
    <w:sig w:usb0="00000287" w:usb1="00000000" w:usb2="00000000" w:usb3="00000000" w:csb0="2000009F" w:csb1="DFD70000"/>
  </w:font>
  <w:font w:name="Taip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新魏">
    <w:panose1 w:val="02010800040101010101"/>
    <w:charset w:val="86"/>
    <w:family w:val="auto"/>
    <w:pitch w:val="default"/>
    <w:sig w:usb0="00000001" w:usb1="080F0000" w:usb2="00000000" w:usb3="00000000" w:csb0="00040000" w:csb1="00000000"/>
  </w:font>
  <w:font w:name="方正行楷简体">
    <w:panose1 w:val="02010601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长城仿宋">
    <w:altName w:val="仿宋"/>
    <w:panose1 w:val="00000000000000000000"/>
    <w:charset w:val="00"/>
    <w:family w:val="auto"/>
    <w:pitch w:val="default"/>
    <w:sig w:usb0="00000000" w:usb1="00000000" w:usb2="00000000" w:usb3="00000000" w:csb0="00000000" w:csb1="00000000"/>
  </w:font>
  <w:font w:name="Trebuchet MS">
    <w:panose1 w:val="020B0603020202020204"/>
    <w:charset w:val="00"/>
    <w:family w:val="swiss"/>
    <w:pitch w:val="default"/>
    <w:sig w:usb0="00000687" w:usb1="00000000" w:usb2="00000000" w:usb3="00000000" w:csb0="2000009F" w:csb1="00000000"/>
  </w:font>
  <w:font w:name="宋体-18030">
    <w:altName w:val="宋体"/>
    <w:panose1 w:val="00000000000000000000"/>
    <w:charset w:val="86"/>
    <w:family w:val="modern"/>
    <w:pitch w:val="default"/>
    <w:sig w:usb0="00000000" w:usb1="00000000" w:usb2="000A005E" w:usb3="00000000" w:csb0="00040001" w:csb1="00000000"/>
  </w:font>
  <w:font w:name="隶书">
    <w:panose1 w:val="0201050906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KSOFF9CBECC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145BF">
    <w:pPr>
      <w:pStyle w:val="36"/>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21</w:t>
    </w:r>
    <w:r>
      <w:rPr>
        <w:rFonts w:ascii="宋体" w:hAnsi="宋体"/>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2D402">
    <w:pPr>
      <w:pStyle w:val="36"/>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align>top</wp:align>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D47A2BF">
                          <w:pPr>
                            <w:pStyle w:val="36"/>
                            <w:jc w:val="center"/>
                          </w:pPr>
                          <w:r>
                            <w:fldChar w:fldCharType="begin"/>
                          </w:r>
                          <w:r>
                            <w:rPr>
                              <w:rStyle w:val="59"/>
                            </w:rPr>
                            <w:instrText xml:space="preserve"> PAGE </w:instrText>
                          </w:r>
                          <w:r>
                            <w:fldChar w:fldCharType="separate"/>
                          </w:r>
                          <w:r>
                            <w:rPr>
                              <w:rStyle w:val="59"/>
                            </w:rPr>
                            <w:t>41</w:t>
                          </w:r>
                          <w:r>
                            <w:fldChar w:fldCharType="end"/>
                          </w:r>
                        </w:p>
                        <w:p w14:paraId="660FBC14"/>
                      </w:txbxContent>
                    </wps:txbx>
                    <wps:bodyPr wrap="none" lIns="0" tIns="0" rIns="0" bIns="0" anchor="t" anchorCtr="0" upright="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H4HVhLjAQAAzgMAAA4A&#10;AAAAAAAAAQAgAAAAHgEAAGRycy9lMm9Eb2MueG1sUEsFBgAAAAAGAAYAWQEAAHMFAAAAAA==&#10;">
              <v:fill on="f" focussize="0,0"/>
              <v:stroke on="f"/>
              <v:imagedata o:title=""/>
              <o:lock v:ext="edit" aspectratio="f"/>
              <v:textbox inset="0mm,0mm,0mm,0mm" style="mso-fit-shape-to-text:t;">
                <w:txbxContent>
                  <w:p w14:paraId="0D47A2BF">
                    <w:pPr>
                      <w:pStyle w:val="36"/>
                      <w:jc w:val="center"/>
                    </w:pPr>
                    <w:r>
                      <w:fldChar w:fldCharType="begin"/>
                    </w:r>
                    <w:r>
                      <w:rPr>
                        <w:rStyle w:val="59"/>
                      </w:rPr>
                      <w:instrText xml:space="preserve"> PAGE </w:instrText>
                    </w:r>
                    <w:r>
                      <w:fldChar w:fldCharType="separate"/>
                    </w:r>
                    <w:r>
                      <w:rPr>
                        <w:rStyle w:val="59"/>
                      </w:rPr>
                      <w:t>41</w:t>
                    </w:r>
                    <w:r>
                      <w:fldChar w:fldCharType="end"/>
                    </w:r>
                  </w:p>
                  <w:p w14:paraId="660FBC1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89B38">
    <w:pPr>
      <w:pStyle w:val="36"/>
      <w:jc w:val="center"/>
      <w:rPr>
        <w:b/>
        <w:i/>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57</w:t>
    </w:r>
    <w:r>
      <w:rPr>
        <w:rFonts w:ascii="宋体" w:hAnsi="宋体"/>
        <w:sz w:val="21"/>
        <w:szCs w:val="21"/>
      </w:rPr>
      <w:fldChar w:fldCharType="end"/>
    </w:r>
  </w:p>
  <w:p w14:paraId="085A4D3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C37AF">
    <w:pPr>
      <w:pStyle w:val="36"/>
      <w:framePr w:wrap="around" w:vAnchor="text" w:hAnchor="margin" w:xAlign="center" w:y="1"/>
      <w:rPr>
        <w:rStyle w:val="59"/>
      </w:rPr>
    </w:pPr>
    <w:r>
      <w:fldChar w:fldCharType="begin"/>
    </w:r>
    <w:r>
      <w:rPr>
        <w:rStyle w:val="59"/>
      </w:rPr>
      <w:instrText xml:space="preserve">PAGE  </w:instrText>
    </w:r>
    <w:r>
      <w:fldChar w:fldCharType="separate"/>
    </w:r>
    <w:r>
      <w:rPr>
        <w:rStyle w:val="59"/>
      </w:rPr>
      <w:t>1</w:t>
    </w:r>
    <w:r>
      <w:fldChar w:fldCharType="end"/>
    </w:r>
  </w:p>
  <w:p w14:paraId="3000A3CE">
    <w:pPr>
      <w:pStyle w:val="36"/>
    </w:pPr>
  </w:p>
  <w:p w14:paraId="5CFAAE6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790F5">
    <w:pPr>
      <w:pStyle w:val="37"/>
      <w:pBdr>
        <w:bottom w:val="none" w:color="000000" w:sz="0" w:space="0"/>
      </w:pBdr>
    </w:pPr>
  </w:p>
  <w:p w14:paraId="6DB1B78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AA1139"/>
    <w:multiLevelType w:val="singleLevel"/>
    <w:tmpl w:val="96AA1139"/>
    <w:lvl w:ilvl="0" w:tentative="0">
      <w:start w:val="1"/>
      <w:numFmt w:val="decimal"/>
      <w:suff w:val="nothing"/>
      <w:lvlText w:val="%1."/>
      <w:lvlJc w:val="left"/>
      <w:pPr>
        <w:ind w:left="0" w:firstLine="0"/>
      </w:pPr>
      <w:rPr>
        <w:rFonts w:hint="default"/>
      </w:rPr>
    </w:lvl>
  </w:abstractNum>
  <w:abstractNum w:abstractNumId="1">
    <w:nsid w:val="BCEDB7D0"/>
    <w:multiLevelType w:val="singleLevel"/>
    <w:tmpl w:val="BCEDB7D0"/>
    <w:lvl w:ilvl="0" w:tentative="0">
      <w:start w:val="1"/>
      <w:numFmt w:val="decimal"/>
      <w:suff w:val="nothing"/>
      <w:lvlText w:val="%1."/>
      <w:lvlJc w:val="left"/>
      <w:pPr>
        <w:ind w:left="0" w:firstLine="0"/>
      </w:pPr>
      <w:rPr>
        <w:rFonts w:hint="default"/>
      </w:rPr>
    </w:lvl>
  </w:abstractNum>
  <w:abstractNum w:abstractNumId="2">
    <w:nsid w:val="1EBF0653"/>
    <w:multiLevelType w:val="singleLevel"/>
    <w:tmpl w:val="1EBF0653"/>
    <w:lvl w:ilvl="0" w:tentative="0">
      <w:start w:val="1"/>
      <w:numFmt w:val="chineseCounting"/>
      <w:suff w:val="nothing"/>
      <w:lvlText w:val="%1、"/>
      <w:lvlJc w:val="left"/>
      <w:rPr>
        <w:rFonts w:hint="eastAsia"/>
      </w:rPr>
    </w:lvl>
  </w:abstractNum>
  <w:abstractNum w:abstractNumId="3">
    <w:nsid w:val="2B3A1E28"/>
    <w:multiLevelType w:val="multilevel"/>
    <w:tmpl w:val="2B3A1E28"/>
    <w:lvl w:ilvl="0" w:tentative="0">
      <w:start w:val="1"/>
      <w:numFmt w:val="upperLetter"/>
      <w:pStyle w:val="24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30D2F17"/>
    <w:multiLevelType w:val="multilevel"/>
    <w:tmpl w:val="330D2F17"/>
    <w:lvl w:ilvl="0" w:tentative="0">
      <w:start w:val="1"/>
      <w:numFmt w:val="japaneseCounting"/>
      <w:lvlText w:val="%1、"/>
      <w:lvlJc w:val="left"/>
      <w:pPr>
        <w:tabs>
          <w:tab w:val="left" w:pos="885"/>
        </w:tabs>
        <w:ind w:left="885" w:hanging="885"/>
      </w:pPr>
      <w:rPr>
        <w:rFonts w:hint="eastAsia"/>
        <w:sz w:val="4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ABEACBF"/>
    <w:multiLevelType w:val="singleLevel"/>
    <w:tmpl w:val="3ABEACBF"/>
    <w:lvl w:ilvl="0" w:tentative="0">
      <w:start w:val="1"/>
      <w:numFmt w:val="decimal"/>
      <w:suff w:val="nothing"/>
      <w:lvlText w:val="%1."/>
      <w:lvlJc w:val="left"/>
      <w:pPr>
        <w:ind w:left="0" w:firstLine="0"/>
      </w:pPr>
      <w:rPr>
        <w:rFonts w:hint="default"/>
      </w:rPr>
    </w:lvl>
  </w:abstractNum>
  <w:abstractNum w:abstractNumId="6">
    <w:nsid w:val="5D91490E"/>
    <w:multiLevelType w:val="multilevel"/>
    <w:tmpl w:val="5D91490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7">
    <w:nsid w:val="6E3F44BF"/>
    <w:multiLevelType w:val="multilevel"/>
    <w:tmpl w:val="6E3F44BF"/>
    <w:lvl w:ilvl="0" w:tentative="0">
      <w:start w:val="1"/>
      <w:numFmt w:val="decimal"/>
      <w:pStyle w:val="6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578E72B"/>
    <w:multiLevelType w:val="singleLevel"/>
    <w:tmpl w:val="7578E72B"/>
    <w:lvl w:ilvl="0" w:tentative="0">
      <w:start w:val="4"/>
      <w:numFmt w:val="chineseCounting"/>
      <w:suff w:val="nothing"/>
      <w:lvlText w:val="%1、"/>
      <w:lvlJc w:val="left"/>
      <w:rPr>
        <w:rFonts w:hint="eastAsia"/>
      </w:rPr>
    </w:lvl>
  </w:abstractNum>
  <w:abstractNum w:abstractNumId="9">
    <w:nsid w:val="77536D68"/>
    <w:multiLevelType w:val="singleLevel"/>
    <w:tmpl w:val="77536D68"/>
    <w:lvl w:ilvl="0" w:tentative="0">
      <w:start w:val="1"/>
      <w:numFmt w:val="decimal"/>
      <w:suff w:val="nothing"/>
      <w:lvlText w:val="%1."/>
      <w:lvlJc w:val="left"/>
      <w:pPr>
        <w:ind w:left="0" w:firstLine="0"/>
      </w:pPr>
      <w:rPr>
        <w:rFonts w:hint="default"/>
      </w:rPr>
    </w:lvl>
  </w:abstractNum>
  <w:abstractNum w:abstractNumId="10">
    <w:nsid w:val="7D691738"/>
    <w:multiLevelType w:val="singleLevel"/>
    <w:tmpl w:val="7D691738"/>
    <w:lvl w:ilvl="0" w:tentative="0">
      <w:start w:val="19"/>
      <w:numFmt w:val="decimal"/>
      <w:suff w:val="nothing"/>
      <w:lvlText w:val="%1、"/>
      <w:lvlJc w:val="left"/>
    </w:lvl>
  </w:abstractNum>
  <w:num w:numId="1">
    <w:abstractNumId w:val="6"/>
  </w:num>
  <w:num w:numId="2">
    <w:abstractNumId w:val="7"/>
  </w:num>
  <w:num w:numId="3">
    <w:abstractNumId w:val="3"/>
  </w:num>
  <w:num w:numId="4">
    <w:abstractNumId w:val="2"/>
  </w:num>
  <w:num w:numId="5">
    <w:abstractNumId w:val="5"/>
  </w:num>
  <w:num w:numId="6">
    <w:abstractNumId w:val="9"/>
  </w:num>
  <w:num w:numId="7">
    <w:abstractNumId w:val="1"/>
  </w:num>
  <w:num w:numId="8">
    <w:abstractNumId w:val="8"/>
  </w:num>
  <w:num w:numId="9">
    <w:abstractNumId w:val="0"/>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wNGVhNWU4MDAxYTNmYThlYTM0NjMzZWQ2ODdiMmIifQ=="/>
  </w:docVars>
  <w:rsids>
    <w:rsidRoot w:val="000A251C"/>
    <w:rsid w:val="00002092"/>
    <w:rsid w:val="000120C9"/>
    <w:rsid w:val="000149C9"/>
    <w:rsid w:val="00020FA4"/>
    <w:rsid w:val="00033C50"/>
    <w:rsid w:val="000346CB"/>
    <w:rsid w:val="0004725B"/>
    <w:rsid w:val="00050501"/>
    <w:rsid w:val="00062943"/>
    <w:rsid w:val="000A251C"/>
    <w:rsid w:val="000A4343"/>
    <w:rsid w:val="000B2B26"/>
    <w:rsid w:val="000C239D"/>
    <w:rsid w:val="000D452B"/>
    <w:rsid w:val="000D7402"/>
    <w:rsid w:val="000E0271"/>
    <w:rsid w:val="000E1CDC"/>
    <w:rsid w:val="000E56D4"/>
    <w:rsid w:val="0011227B"/>
    <w:rsid w:val="00115B10"/>
    <w:rsid w:val="00121A25"/>
    <w:rsid w:val="00122905"/>
    <w:rsid w:val="00126EDC"/>
    <w:rsid w:val="0013234B"/>
    <w:rsid w:val="00134EA1"/>
    <w:rsid w:val="00151517"/>
    <w:rsid w:val="001562A5"/>
    <w:rsid w:val="00163B12"/>
    <w:rsid w:val="00183894"/>
    <w:rsid w:val="00185D30"/>
    <w:rsid w:val="001866A8"/>
    <w:rsid w:val="00191E64"/>
    <w:rsid w:val="00192E7A"/>
    <w:rsid w:val="001A3944"/>
    <w:rsid w:val="001B5470"/>
    <w:rsid w:val="001B5E72"/>
    <w:rsid w:val="001C5D45"/>
    <w:rsid w:val="001D4145"/>
    <w:rsid w:val="001E1B3B"/>
    <w:rsid w:val="001E37F5"/>
    <w:rsid w:val="001F7B4F"/>
    <w:rsid w:val="002054E7"/>
    <w:rsid w:val="00205F93"/>
    <w:rsid w:val="00215BCF"/>
    <w:rsid w:val="00220B0E"/>
    <w:rsid w:val="00231181"/>
    <w:rsid w:val="002348FC"/>
    <w:rsid w:val="002351B1"/>
    <w:rsid w:val="00254973"/>
    <w:rsid w:val="00254D70"/>
    <w:rsid w:val="00255717"/>
    <w:rsid w:val="00273CB2"/>
    <w:rsid w:val="00277B6C"/>
    <w:rsid w:val="00283DB3"/>
    <w:rsid w:val="00296B26"/>
    <w:rsid w:val="00296E5E"/>
    <w:rsid w:val="002970E7"/>
    <w:rsid w:val="002B15A0"/>
    <w:rsid w:val="002B1AD2"/>
    <w:rsid w:val="002C1CA2"/>
    <w:rsid w:val="002C3620"/>
    <w:rsid w:val="002D0B19"/>
    <w:rsid w:val="002E2C75"/>
    <w:rsid w:val="002F50FA"/>
    <w:rsid w:val="00314A6C"/>
    <w:rsid w:val="0031625A"/>
    <w:rsid w:val="003262D5"/>
    <w:rsid w:val="00331644"/>
    <w:rsid w:val="00342E4A"/>
    <w:rsid w:val="00361C8D"/>
    <w:rsid w:val="00382C7F"/>
    <w:rsid w:val="003905C9"/>
    <w:rsid w:val="003924F2"/>
    <w:rsid w:val="0039723E"/>
    <w:rsid w:val="003A167C"/>
    <w:rsid w:val="003A6A61"/>
    <w:rsid w:val="003A75C9"/>
    <w:rsid w:val="003B0CDB"/>
    <w:rsid w:val="003B200E"/>
    <w:rsid w:val="003B201E"/>
    <w:rsid w:val="003C1310"/>
    <w:rsid w:val="003C5F18"/>
    <w:rsid w:val="003D0A3C"/>
    <w:rsid w:val="003E4BFE"/>
    <w:rsid w:val="0040089E"/>
    <w:rsid w:val="00410C51"/>
    <w:rsid w:val="00412ACF"/>
    <w:rsid w:val="00425621"/>
    <w:rsid w:val="00443DD4"/>
    <w:rsid w:val="00452341"/>
    <w:rsid w:val="0046019E"/>
    <w:rsid w:val="00470B9B"/>
    <w:rsid w:val="00472936"/>
    <w:rsid w:val="004A48CC"/>
    <w:rsid w:val="004B4F45"/>
    <w:rsid w:val="004C511C"/>
    <w:rsid w:val="004C5678"/>
    <w:rsid w:val="004D0F5B"/>
    <w:rsid w:val="004E31DA"/>
    <w:rsid w:val="004E4DEE"/>
    <w:rsid w:val="004F0274"/>
    <w:rsid w:val="004F2464"/>
    <w:rsid w:val="004F69D1"/>
    <w:rsid w:val="005050C1"/>
    <w:rsid w:val="005339A0"/>
    <w:rsid w:val="005378B9"/>
    <w:rsid w:val="00554E46"/>
    <w:rsid w:val="00566B3D"/>
    <w:rsid w:val="005729D6"/>
    <w:rsid w:val="00574910"/>
    <w:rsid w:val="00574D93"/>
    <w:rsid w:val="00595735"/>
    <w:rsid w:val="005B7668"/>
    <w:rsid w:val="005F26F8"/>
    <w:rsid w:val="00617A21"/>
    <w:rsid w:val="00623139"/>
    <w:rsid w:val="00634E86"/>
    <w:rsid w:val="00642FAF"/>
    <w:rsid w:val="0065397E"/>
    <w:rsid w:val="00695B5E"/>
    <w:rsid w:val="006C66C5"/>
    <w:rsid w:val="007031E3"/>
    <w:rsid w:val="00714D4A"/>
    <w:rsid w:val="00714E9E"/>
    <w:rsid w:val="0071672B"/>
    <w:rsid w:val="007252F5"/>
    <w:rsid w:val="0073345E"/>
    <w:rsid w:val="0075235D"/>
    <w:rsid w:val="00757CEF"/>
    <w:rsid w:val="00772964"/>
    <w:rsid w:val="00782C26"/>
    <w:rsid w:val="007832CD"/>
    <w:rsid w:val="007906E6"/>
    <w:rsid w:val="0079392F"/>
    <w:rsid w:val="007D0BDC"/>
    <w:rsid w:val="007D400A"/>
    <w:rsid w:val="008126FC"/>
    <w:rsid w:val="008204D5"/>
    <w:rsid w:val="0082753E"/>
    <w:rsid w:val="00827A2F"/>
    <w:rsid w:val="00843C9F"/>
    <w:rsid w:val="0084678C"/>
    <w:rsid w:val="008532C6"/>
    <w:rsid w:val="0085627B"/>
    <w:rsid w:val="00857EFC"/>
    <w:rsid w:val="00863E24"/>
    <w:rsid w:val="00864AA4"/>
    <w:rsid w:val="00866B2C"/>
    <w:rsid w:val="008807AE"/>
    <w:rsid w:val="00882C53"/>
    <w:rsid w:val="008B173B"/>
    <w:rsid w:val="008C6696"/>
    <w:rsid w:val="008D1795"/>
    <w:rsid w:val="008D3432"/>
    <w:rsid w:val="008E66C1"/>
    <w:rsid w:val="008F2F96"/>
    <w:rsid w:val="009116C9"/>
    <w:rsid w:val="00916E2B"/>
    <w:rsid w:val="009179C8"/>
    <w:rsid w:val="00927F89"/>
    <w:rsid w:val="00953451"/>
    <w:rsid w:val="0096459D"/>
    <w:rsid w:val="00982B79"/>
    <w:rsid w:val="00983440"/>
    <w:rsid w:val="009858C9"/>
    <w:rsid w:val="00987B99"/>
    <w:rsid w:val="009C0402"/>
    <w:rsid w:val="009C3DE1"/>
    <w:rsid w:val="009C670B"/>
    <w:rsid w:val="009C670D"/>
    <w:rsid w:val="009D5879"/>
    <w:rsid w:val="009F57D6"/>
    <w:rsid w:val="00A011BC"/>
    <w:rsid w:val="00A24FE0"/>
    <w:rsid w:val="00A26F04"/>
    <w:rsid w:val="00A3350E"/>
    <w:rsid w:val="00A63630"/>
    <w:rsid w:val="00A67EA3"/>
    <w:rsid w:val="00A80D75"/>
    <w:rsid w:val="00A85798"/>
    <w:rsid w:val="00AA4ECA"/>
    <w:rsid w:val="00AB5BFB"/>
    <w:rsid w:val="00AC3FC8"/>
    <w:rsid w:val="00AD01B6"/>
    <w:rsid w:val="00AD4024"/>
    <w:rsid w:val="00AE253D"/>
    <w:rsid w:val="00AE78C2"/>
    <w:rsid w:val="00AF1AE9"/>
    <w:rsid w:val="00AF3FC7"/>
    <w:rsid w:val="00AF550C"/>
    <w:rsid w:val="00AF57BB"/>
    <w:rsid w:val="00AF5A99"/>
    <w:rsid w:val="00B05309"/>
    <w:rsid w:val="00B10DCA"/>
    <w:rsid w:val="00B22819"/>
    <w:rsid w:val="00B43747"/>
    <w:rsid w:val="00B73708"/>
    <w:rsid w:val="00B8209D"/>
    <w:rsid w:val="00BB532F"/>
    <w:rsid w:val="00BC4700"/>
    <w:rsid w:val="00BD19AC"/>
    <w:rsid w:val="00BD3891"/>
    <w:rsid w:val="00BE1F38"/>
    <w:rsid w:val="00BE28DE"/>
    <w:rsid w:val="00BE295E"/>
    <w:rsid w:val="00BF4EFB"/>
    <w:rsid w:val="00C040EA"/>
    <w:rsid w:val="00C07EB7"/>
    <w:rsid w:val="00C12B17"/>
    <w:rsid w:val="00C26828"/>
    <w:rsid w:val="00C454B1"/>
    <w:rsid w:val="00C45E21"/>
    <w:rsid w:val="00C51916"/>
    <w:rsid w:val="00C53B68"/>
    <w:rsid w:val="00C7676D"/>
    <w:rsid w:val="00C81C3D"/>
    <w:rsid w:val="00C870D5"/>
    <w:rsid w:val="00C87B2B"/>
    <w:rsid w:val="00C90DE3"/>
    <w:rsid w:val="00CA7CEF"/>
    <w:rsid w:val="00CB4021"/>
    <w:rsid w:val="00CE525F"/>
    <w:rsid w:val="00CF05BF"/>
    <w:rsid w:val="00CF69B2"/>
    <w:rsid w:val="00D03BDA"/>
    <w:rsid w:val="00D13BE9"/>
    <w:rsid w:val="00D15BD3"/>
    <w:rsid w:val="00D315AC"/>
    <w:rsid w:val="00D4352A"/>
    <w:rsid w:val="00D7013B"/>
    <w:rsid w:val="00D7037A"/>
    <w:rsid w:val="00D74E60"/>
    <w:rsid w:val="00D74F98"/>
    <w:rsid w:val="00DC3136"/>
    <w:rsid w:val="00DF289D"/>
    <w:rsid w:val="00E13034"/>
    <w:rsid w:val="00E14541"/>
    <w:rsid w:val="00E17482"/>
    <w:rsid w:val="00E22E1C"/>
    <w:rsid w:val="00E4392E"/>
    <w:rsid w:val="00E52DBE"/>
    <w:rsid w:val="00E62AD8"/>
    <w:rsid w:val="00E65313"/>
    <w:rsid w:val="00E704D7"/>
    <w:rsid w:val="00E70EF7"/>
    <w:rsid w:val="00E81139"/>
    <w:rsid w:val="00E8266A"/>
    <w:rsid w:val="00E93E2F"/>
    <w:rsid w:val="00EB63D7"/>
    <w:rsid w:val="00EB7C5C"/>
    <w:rsid w:val="00ED07C9"/>
    <w:rsid w:val="00ED0A6B"/>
    <w:rsid w:val="00EE79DA"/>
    <w:rsid w:val="00EF67BF"/>
    <w:rsid w:val="00F16EAA"/>
    <w:rsid w:val="00F23377"/>
    <w:rsid w:val="00F2462F"/>
    <w:rsid w:val="00F34963"/>
    <w:rsid w:val="00F35969"/>
    <w:rsid w:val="00F36DC4"/>
    <w:rsid w:val="00F3742A"/>
    <w:rsid w:val="00F76F76"/>
    <w:rsid w:val="00F80785"/>
    <w:rsid w:val="00F835BB"/>
    <w:rsid w:val="00FB6124"/>
    <w:rsid w:val="00FC0771"/>
    <w:rsid w:val="00FC23E3"/>
    <w:rsid w:val="00FC31D0"/>
    <w:rsid w:val="01FA47FF"/>
    <w:rsid w:val="022655F4"/>
    <w:rsid w:val="024037B1"/>
    <w:rsid w:val="0261662C"/>
    <w:rsid w:val="027B7696"/>
    <w:rsid w:val="028D7421"/>
    <w:rsid w:val="02EE5D82"/>
    <w:rsid w:val="02F17C97"/>
    <w:rsid w:val="03805FE7"/>
    <w:rsid w:val="05570CC9"/>
    <w:rsid w:val="055B2AED"/>
    <w:rsid w:val="06A55667"/>
    <w:rsid w:val="07500389"/>
    <w:rsid w:val="076A5F83"/>
    <w:rsid w:val="0791652A"/>
    <w:rsid w:val="07EA76F2"/>
    <w:rsid w:val="09A8284D"/>
    <w:rsid w:val="0A2E1A6A"/>
    <w:rsid w:val="0ABA3D6E"/>
    <w:rsid w:val="0BD75957"/>
    <w:rsid w:val="0BF7590B"/>
    <w:rsid w:val="0C1508C2"/>
    <w:rsid w:val="0C3B50BE"/>
    <w:rsid w:val="0C766008"/>
    <w:rsid w:val="0CB24163"/>
    <w:rsid w:val="0CC91E8D"/>
    <w:rsid w:val="0D3B1C5E"/>
    <w:rsid w:val="0DD0226D"/>
    <w:rsid w:val="0DE819AF"/>
    <w:rsid w:val="0E4E099A"/>
    <w:rsid w:val="0E8D6D9D"/>
    <w:rsid w:val="0EFE3455"/>
    <w:rsid w:val="0F2509E1"/>
    <w:rsid w:val="100D1BA1"/>
    <w:rsid w:val="107E75D5"/>
    <w:rsid w:val="10861954"/>
    <w:rsid w:val="109527F8"/>
    <w:rsid w:val="1202500A"/>
    <w:rsid w:val="12370C10"/>
    <w:rsid w:val="12912D49"/>
    <w:rsid w:val="132E5750"/>
    <w:rsid w:val="13EC4BAC"/>
    <w:rsid w:val="13F40A9C"/>
    <w:rsid w:val="1452345A"/>
    <w:rsid w:val="14A40AC9"/>
    <w:rsid w:val="14F56243"/>
    <w:rsid w:val="15ED5544"/>
    <w:rsid w:val="1601182F"/>
    <w:rsid w:val="164943F3"/>
    <w:rsid w:val="173F35A6"/>
    <w:rsid w:val="183E4C9C"/>
    <w:rsid w:val="18400BAA"/>
    <w:rsid w:val="18B369CF"/>
    <w:rsid w:val="18EA11A6"/>
    <w:rsid w:val="192113E3"/>
    <w:rsid w:val="19946E8F"/>
    <w:rsid w:val="19A76BC3"/>
    <w:rsid w:val="19DC1643"/>
    <w:rsid w:val="19EB6CCD"/>
    <w:rsid w:val="19EE25D4"/>
    <w:rsid w:val="1A581C34"/>
    <w:rsid w:val="1A63339D"/>
    <w:rsid w:val="1A8567D8"/>
    <w:rsid w:val="1B3C5D1B"/>
    <w:rsid w:val="1B54551B"/>
    <w:rsid w:val="1BC5531A"/>
    <w:rsid w:val="1CA47A0D"/>
    <w:rsid w:val="1DA71C76"/>
    <w:rsid w:val="1DD91608"/>
    <w:rsid w:val="1DFB6D33"/>
    <w:rsid w:val="1F303A5C"/>
    <w:rsid w:val="1F4B7148"/>
    <w:rsid w:val="1F8D56E1"/>
    <w:rsid w:val="200C7514"/>
    <w:rsid w:val="20662DFA"/>
    <w:rsid w:val="206F7A3C"/>
    <w:rsid w:val="20E4475B"/>
    <w:rsid w:val="20F458BF"/>
    <w:rsid w:val="22522331"/>
    <w:rsid w:val="22797ECF"/>
    <w:rsid w:val="22D24584"/>
    <w:rsid w:val="22FE66E6"/>
    <w:rsid w:val="248C6BB8"/>
    <w:rsid w:val="24A36755"/>
    <w:rsid w:val="24E54A43"/>
    <w:rsid w:val="2542416B"/>
    <w:rsid w:val="25814CD5"/>
    <w:rsid w:val="25D91E9A"/>
    <w:rsid w:val="27E64D5A"/>
    <w:rsid w:val="283A50A6"/>
    <w:rsid w:val="284160AC"/>
    <w:rsid w:val="285B1E8D"/>
    <w:rsid w:val="29BC1237"/>
    <w:rsid w:val="2AA1650B"/>
    <w:rsid w:val="2B8101F0"/>
    <w:rsid w:val="2B8955DA"/>
    <w:rsid w:val="2C951AFB"/>
    <w:rsid w:val="2D69467B"/>
    <w:rsid w:val="2E152772"/>
    <w:rsid w:val="2EFC073A"/>
    <w:rsid w:val="2F203445"/>
    <w:rsid w:val="2F7A7203"/>
    <w:rsid w:val="2FCD5708"/>
    <w:rsid w:val="30BE11AD"/>
    <w:rsid w:val="32BA668B"/>
    <w:rsid w:val="3351139E"/>
    <w:rsid w:val="342818DA"/>
    <w:rsid w:val="351738B1"/>
    <w:rsid w:val="35A3118C"/>
    <w:rsid w:val="35A63D7A"/>
    <w:rsid w:val="35DE2E9D"/>
    <w:rsid w:val="360F1FD4"/>
    <w:rsid w:val="36655BAF"/>
    <w:rsid w:val="37BB02FF"/>
    <w:rsid w:val="380B7A30"/>
    <w:rsid w:val="381059C0"/>
    <w:rsid w:val="39442F74"/>
    <w:rsid w:val="398B2DF8"/>
    <w:rsid w:val="39E92488"/>
    <w:rsid w:val="3AAF1389"/>
    <w:rsid w:val="3AEA295B"/>
    <w:rsid w:val="3B2C76BF"/>
    <w:rsid w:val="3B4756B8"/>
    <w:rsid w:val="3C2348AB"/>
    <w:rsid w:val="3D306A52"/>
    <w:rsid w:val="3E021CDF"/>
    <w:rsid w:val="3EDA6843"/>
    <w:rsid w:val="3F3146B5"/>
    <w:rsid w:val="3F375520"/>
    <w:rsid w:val="3FED6EDC"/>
    <w:rsid w:val="40300A1D"/>
    <w:rsid w:val="40522F20"/>
    <w:rsid w:val="40A71C96"/>
    <w:rsid w:val="4153703F"/>
    <w:rsid w:val="42371B07"/>
    <w:rsid w:val="430D7D9A"/>
    <w:rsid w:val="43CB0F0F"/>
    <w:rsid w:val="43D8711D"/>
    <w:rsid w:val="44185880"/>
    <w:rsid w:val="44B00772"/>
    <w:rsid w:val="45A50E10"/>
    <w:rsid w:val="46472A10"/>
    <w:rsid w:val="467807AC"/>
    <w:rsid w:val="46B4513B"/>
    <w:rsid w:val="470D4E2E"/>
    <w:rsid w:val="47155747"/>
    <w:rsid w:val="472E6565"/>
    <w:rsid w:val="47573126"/>
    <w:rsid w:val="48D57A1C"/>
    <w:rsid w:val="49045803"/>
    <w:rsid w:val="49C05025"/>
    <w:rsid w:val="4A071DEE"/>
    <w:rsid w:val="4A4C4EB1"/>
    <w:rsid w:val="4B584C10"/>
    <w:rsid w:val="4B716315"/>
    <w:rsid w:val="4C5D0E15"/>
    <w:rsid w:val="4C8320BD"/>
    <w:rsid w:val="4C962AE5"/>
    <w:rsid w:val="4CE51013"/>
    <w:rsid w:val="4D8847AD"/>
    <w:rsid w:val="4DC21784"/>
    <w:rsid w:val="4DDE0433"/>
    <w:rsid w:val="4DE1199C"/>
    <w:rsid w:val="4E2A7AF6"/>
    <w:rsid w:val="4F2F4167"/>
    <w:rsid w:val="50DB0242"/>
    <w:rsid w:val="515027FF"/>
    <w:rsid w:val="51622DF4"/>
    <w:rsid w:val="5271751B"/>
    <w:rsid w:val="52C11D9C"/>
    <w:rsid w:val="53992FA9"/>
    <w:rsid w:val="541F1318"/>
    <w:rsid w:val="54660E6B"/>
    <w:rsid w:val="5638638F"/>
    <w:rsid w:val="56772C07"/>
    <w:rsid w:val="5761062C"/>
    <w:rsid w:val="596628ED"/>
    <w:rsid w:val="5A187F3D"/>
    <w:rsid w:val="5A5D1881"/>
    <w:rsid w:val="5AC12D75"/>
    <w:rsid w:val="5B5136B5"/>
    <w:rsid w:val="5C1D1170"/>
    <w:rsid w:val="5D0946FC"/>
    <w:rsid w:val="5DA0285D"/>
    <w:rsid w:val="5E622685"/>
    <w:rsid w:val="5EAD2A08"/>
    <w:rsid w:val="5F7E0093"/>
    <w:rsid w:val="607A0C02"/>
    <w:rsid w:val="610A2344"/>
    <w:rsid w:val="63486C4F"/>
    <w:rsid w:val="64273BE5"/>
    <w:rsid w:val="65B0090D"/>
    <w:rsid w:val="65B711C0"/>
    <w:rsid w:val="662C2CAA"/>
    <w:rsid w:val="67CC6DC1"/>
    <w:rsid w:val="68694BBB"/>
    <w:rsid w:val="68CF45AF"/>
    <w:rsid w:val="691C07CD"/>
    <w:rsid w:val="694641F3"/>
    <w:rsid w:val="696E178E"/>
    <w:rsid w:val="69D34437"/>
    <w:rsid w:val="6A0C6E44"/>
    <w:rsid w:val="6A883E48"/>
    <w:rsid w:val="6B2F0040"/>
    <w:rsid w:val="6B400AE2"/>
    <w:rsid w:val="6C0879F3"/>
    <w:rsid w:val="6C3B33D5"/>
    <w:rsid w:val="6CEB2A7E"/>
    <w:rsid w:val="6D077FFF"/>
    <w:rsid w:val="6D641FC0"/>
    <w:rsid w:val="6D912293"/>
    <w:rsid w:val="6EB64819"/>
    <w:rsid w:val="6EF410D7"/>
    <w:rsid w:val="6EFA3169"/>
    <w:rsid w:val="6FEB09AD"/>
    <w:rsid w:val="709B5A6D"/>
    <w:rsid w:val="70C45F77"/>
    <w:rsid w:val="70CC1BE0"/>
    <w:rsid w:val="70E64AB8"/>
    <w:rsid w:val="71556CC8"/>
    <w:rsid w:val="71D76A8E"/>
    <w:rsid w:val="72FD42D3"/>
    <w:rsid w:val="733502B6"/>
    <w:rsid w:val="73F7771C"/>
    <w:rsid w:val="74091010"/>
    <w:rsid w:val="74C17EFE"/>
    <w:rsid w:val="74EC0AA3"/>
    <w:rsid w:val="751E6DE9"/>
    <w:rsid w:val="75236FA2"/>
    <w:rsid w:val="762A469F"/>
    <w:rsid w:val="76582B84"/>
    <w:rsid w:val="76634EDD"/>
    <w:rsid w:val="76CE7055"/>
    <w:rsid w:val="76E84D07"/>
    <w:rsid w:val="773C34D7"/>
    <w:rsid w:val="78A35A19"/>
    <w:rsid w:val="796706F8"/>
    <w:rsid w:val="79B83F8D"/>
    <w:rsid w:val="7A0D0BE7"/>
    <w:rsid w:val="7A141AFC"/>
    <w:rsid w:val="7A212F9C"/>
    <w:rsid w:val="7A2E3EB3"/>
    <w:rsid w:val="7A8B73C4"/>
    <w:rsid w:val="7C2B1CA0"/>
    <w:rsid w:val="7CFB7AD5"/>
    <w:rsid w:val="7D4E40AF"/>
    <w:rsid w:val="7D6122BE"/>
    <w:rsid w:val="7E5A5D44"/>
    <w:rsid w:val="7E9E38EB"/>
    <w:rsid w:val="7EB42631"/>
    <w:rsid w:val="7EFE70D2"/>
    <w:rsid w:val="7F50001A"/>
    <w:rsid w:val="7F677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semiHidden="0"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qFormat="1" w:unhideWhenUsed="0" w:uiPriority="0" w:semiHidden="0" w:name="List Bullet 5"/>
    <w:lsdException w:qFormat="1" w:uiPriority="99"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219"/>
    <w:qFormat/>
    <w:uiPriority w:val="9"/>
    <w:pPr>
      <w:keepNext/>
      <w:jc w:val="center"/>
      <w:outlineLvl w:val="0"/>
    </w:pPr>
    <w:rPr>
      <w:rFonts w:ascii="楷体_GB2312" w:eastAsia="楷体_GB2312"/>
      <w:sz w:val="28"/>
      <w:szCs w:val="28"/>
    </w:rPr>
  </w:style>
  <w:style w:type="paragraph" w:styleId="3">
    <w:name w:val="heading 2"/>
    <w:basedOn w:val="1"/>
    <w:next w:val="4"/>
    <w:link w:val="220"/>
    <w:qFormat/>
    <w:uiPriority w:val="9"/>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69"/>
    <w:qFormat/>
    <w:uiPriority w:val="9"/>
    <w:pPr>
      <w:keepNext/>
      <w:keepLines/>
      <w:spacing w:before="260" w:after="260" w:line="416" w:lineRule="auto"/>
      <w:outlineLvl w:val="2"/>
    </w:pPr>
    <w:rPr>
      <w:b/>
      <w:bCs/>
      <w:sz w:val="32"/>
      <w:szCs w:val="32"/>
    </w:rPr>
  </w:style>
  <w:style w:type="paragraph" w:styleId="6">
    <w:name w:val="heading 4"/>
    <w:basedOn w:val="1"/>
    <w:next w:val="1"/>
    <w:link w:val="70"/>
    <w:qFormat/>
    <w:uiPriority w:val="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222"/>
    <w:qFormat/>
    <w:uiPriority w:val="9"/>
    <w:pPr>
      <w:keepNext/>
      <w:outlineLvl w:val="4"/>
    </w:pPr>
    <w:rPr>
      <w:rFonts w:ascii="宋体"/>
      <w:color w:val="000000"/>
      <w:sz w:val="28"/>
      <w:szCs w:val="28"/>
    </w:rPr>
  </w:style>
  <w:style w:type="paragraph" w:styleId="8">
    <w:name w:val="heading 6"/>
    <w:basedOn w:val="1"/>
    <w:next w:val="1"/>
    <w:link w:val="22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24"/>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2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26"/>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21"/>
    <w:qFormat/>
    <w:uiPriority w:val="0"/>
    <w:pPr>
      <w:ind w:firstLine="420"/>
    </w:pPr>
    <w:rPr>
      <w:szCs w:val="21"/>
    </w:rPr>
  </w:style>
  <w:style w:type="paragraph" w:styleId="12">
    <w:name w:val="List 3"/>
    <w:basedOn w:val="1"/>
    <w:qFormat/>
    <w:uiPriority w:val="0"/>
    <w:pPr>
      <w:ind w:left="100" w:hanging="200"/>
    </w:pPr>
    <w:rPr>
      <w:szCs w:val="21"/>
    </w:rPr>
  </w:style>
  <w:style w:type="paragraph" w:styleId="13">
    <w:name w:val="toc 7"/>
    <w:basedOn w:val="1"/>
    <w:next w:val="1"/>
    <w:qFormat/>
    <w:uiPriority w:val="39"/>
    <w:pPr>
      <w:ind w:left="1260"/>
      <w:jc w:val="left"/>
    </w:pPr>
    <w:rPr>
      <w:szCs w:val="21"/>
    </w:rPr>
  </w:style>
  <w:style w:type="paragraph" w:styleId="14">
    <w:name w:val="List Number 2"/>
    <w:basedOn w:val="1"/>
    <w:unhideWhenUsed/>
    <w:qFormat/>
    <w:uiPriority w:val="99"/>
    <w:pPr>
      <w:ind w:left="620" w:hanging="420"/>
      <w:contextualSpacing/>
    </w:pPr>
    <w:rPr>
      <w:szCs w:val="24"/>
    </w:rPr>
  </w:style>
  <w:style w:type="paragraph" w:styleId="15">
    <w:name w:val="List Number"/>
    <w:basedOn w:val="16"/>
    <w:qFormat/>
    <w:uiPriority w:val="0"/>
    <w:pPr>
      <w:widowControl/>
      <w:spacing w:before="120" w:after="240" w:line="240" w:lineRule="atLeast"/>
      <w:ind w:left="720" w:right="720" w:hanging="360"/>
    </w:pPr>
    <w:rPr>
      <w:rFonts w:ascii="宋体" w:hAnsi="Garamond"/>
      <w:spacing w:val="-5"/>
      <w:sz w:val="24"/>
      <w:szCs w:val="20"/>
    </w:rPr>
  </w:style>
  <w:style w:type="paragraph" w:styleId="16">
    <w:name w:val="List"/>
    <w:basedOn w:val="1"/>
    <w:qFormat/>
    <w:uiPriority w:val="0"/>
    <w:pPr>
      <w:ind w:left="200" w:hanging="200"/>
    </w:pPr>
    <w:rPr>
      <w:szCs w:val="21"/>
    </w:rPr>
  </w:style>
  <w:style w:type="paragraph" w:styleId="17">
    <w:name w:val="caption"/>
    <w:basedOn w:val="1"/>
    <w:next w:val="1"/>
    <w:link w:val="406"/>
    <w:unhideWhenUsed/>
    <w:qFormat/>
    <w:uiPriority w:val="35"/>
    <w:pPr>
      <w:spacing w:line="276" w:lineRule="auto"/>
    </w:pPr>
    <w:rPr>
      <w:b/>
      <w:bCs/>
      <w:color w:val="4F81BD"/>
      <w:sz w:val="18"/>
      <w:szCs w:val="18"/>
    </w:rPr>
  </w:style>
  <w:style w:type="paragraph" w:styleId="18">
    <w:name w:val="Document Map"/>
    <w:basedOn w:val="1"/>
    <w:link w:val="227"/>
    <w:qFormat/>
    <w:uiPriority w:val="99"/>
    <w:pPr>
      <w:shd w:val="clear" w:color="auto" w:fill="000080"/>
    </w:pPr>
    <w:rPr>
      <w:szCs w:val="21"/>
    </w:rPr>
  </w:style>
  <w:style w:type="paragraph" w:styleId="19">
    <w:name w:val="toa heading"/>
    <w:basedOn w:val="1"/>
    <w:next w:val="1"/>
    <w:qFormat/>
    <w:uiPriority w:val="0"/>
    <w:pPr>
      <w:spacing w:before="120" w:line="360" w:lineRule="auto"/>
      <w:ind w:firstLine="480" w:firstLineChars="200"/>
    </w:pPr>
    <w:rPr>
      <w:rFonts w:ascii="Arial" w:hAnsi="Arial"/>
      <w:kern w:val="2"/>
      <w:szCs w:val="24"/>
    </w:rPr>
  </w:style>
  <w:style w:type="paragraph" w:styleId="20">
    <w:name w:val="annotation text"/>
    <w:basedOn w:val="1"/>
    <w:link w:val="228"/>
    <w:unhideWhenUsed/>
    <w:qFormat/>
    <w:uiPriority w:val="99"/>
    <w:pPr>
      <w:jc w:val="left"/>
    </w:pPr>
  </w:style>
  <w:style w:type="paragraph" w:styleId="21">
    <w:name w:val="Body Text 3"/>
    <w:basedOn w:val="1"/>
    <w:link w:val="229"/>
    <w:qFormat/>
    <w:uiPriority w:val="0"/>
    <w:rPr>
      <w:rFonts w:ascii="仿宋_GB2312" w:hAnsi="Arial" w:eastAsia="仿宋_GB2312"/>
      <w:sz w:val="32"/>
      <w:szCs w:val="32"/>
    </w:rPr>
  </w:style>
  <w:style w:type="paragraph" w:styleId="22">
    <w:name w:val="Body Text"/>
    <w:basedOn w:val="1"/>
    <w:link w:val="230"/>
    <w:qFormat/>
    <w:uiPriority w:val="0"/>
    <w:rPr>
      <w:rFonts w:ascii="楷体_GB2312" w:hAnsi="Arial" w:eastAsia="楷体_GB2312"/>
      <w:sz w:val="28"/>
      <w:szCs w:val="28"/>
    </w:rPr>
  </w:style>
  <w:style w:type="paragraph" w:styleId="23">
    <w:name w:val="Body Text Indent"/>
    <w:basedOn w:val="1"/>
    <w:link w:val="231"/>
    <w:unhideWhenUsed/>
    <w:qFormat/>
    <w:uiPriority w:val="99"/>
    <w:pPr>
      <w:spacing w:after="120"/>
      <w:ind w:left="420"/>
    </w:pPr>
  </w:style>
  <w:style w:type="paragraph" w:styleId="24">
    <w:name w:val="List 2"/>
    <w:basedOn w:val="1"/>
    <w:qFormat/>
    <w:uiPriority w:val="0"/>
    <w:pPr>
      <w:ind w:left="100" w:hanging="200"/>
    </w:pPr>
    <w:rPr>
      <w:szCs w:val="21"/>
    </w:rPr>
  </w:style>
  <w:style w:type="paragraph" w:styleId="25">
    <w:name w:val="Block Text"/>
    <w:basedOn w:val="1"/>
    <w:qFormat/>
    <w:uiPriority w:val="0"/>
    <w:pPr>
      <w:ind w:left="630" w:right="630"/>
      <w:jc w:val="center"/>
    </w:pPr>
    <w:rPr>
      <w:rFonts w:ascii="宋体"/>
      <w:b/>
      <w:sz w:val="32"/>
      <w:szCs w:val="24"/>
    </w:rPr>
  </w:style>
  <w:style w:type="paragraph" w:styleId="26">
    <w:name w:val="index 4"/>
    <w:basedOn w:val="1"/>
    <w:next w:val="1"/>
    <w:unhideWhenUsed/>
    <w:qFormat/>
    <w:uiPriority w:val="99"/>
    <w:pPr>
      <w:ind w:left="600"/>
    </w:pPr>
    <w:rPr>
      <w:szCs w:val="24"/>
    </w:rPr>
  </w:style>
  <w:style w:type="paragraph" w:styleId="27">
    <w:name w:val="toc 5"/>
    <w:basedOn w:val="1"/>
    <w:next w:val="1"/>
    <w:qFormat/>
    <w:uiPriority w:val="39"/>
    <w:pPr>
      <w:ind w:left="840"/>
      <w:jc w:val="left"/>
    </w:pPr>
    <w:rPr>
      <w:szCs w:val="21"/>
    </w:rPr>
  </w:style>
  <w:style w:type="paragraph" w:styleId="28">
    <w:name w:val="toc 3"/>
    <w:basedOn w:val="1"/>
    <w:next w:val="1"/>
    <w:qFormat/>
    <w:uiPriority w:val="0"/>
    <w:pPr>
      <w:ind w:left="420"/>
      <w:jc w:val="left"/>
    </w:pPr>
    <w:rPr>
      <w:i/>
      <w:iCs/>
      <w:szCs w:val="24"/>
    </w:rPr>
  </w:style>
  <w:style w:type="paragraph" w:styleId="29">
    <w:name w:val="Plain Text"/>
    <w:basedOn w:val="1"/>
    <w:link w:val="232"/>
    <w:qFormat/>
    <w:uiPriority w:val="99"/>
    <w:rPr>
      <w:rFonts w:ascii="宋体" w:hAnsi="Courier New" w:cs="Courier New"/>
      <w:szCs w:val="21"/>
    </w:rPr>
  </w:style>
  <w:style w:type="paragraph" w:styleId="30">
    <w:name w:val="List Bullet 5"/>
    <w:basedOn w:val="1"/>
    <w:qFormat/>
    <w:uiPriority w:val="0"/>
    <w:pPr>
      <w:spacing w:line="312" w:lineRule="atLeast"/>
    </w:pPr>
    <w:rPr>
      <w:szCs w:val="20"/>
    </w:rPr>
  </w:style>
  <w:style w:type="paragraph" w:styleId="31">
    <w:name w:val="toc 8"/>
    <w:basedOn w:val="1"/>
    <w:next w:val="1"/>
    <w:qFormat/>
    <w:uiPriority w:val="39"/>
    <w:pPr>
      <w:ind w:left="1470"/>
      <w:jc w:val="left"/>
    </w:pPr>
    <w:rPr>
      <w:szCs w:val="21"/>
    </w:rPr>
  </w:style>
  <w:style w:type="paragraph" w:styleId="32">
    <w:name w:val="Date"/>
    <w:basedOn w:val="1"/>
    <w:next w:val="1"/>
    <w:link w:val="233"/>
    <w:qFormat/>
    <w:uiPriority w:val="0"/>
    <w:rPr>
      <w:sz w:val="24"/>
      <w:szCs w:val="24"/>
    </w:rPr>
  </w:style>
  <w:style w:type="paragraph" w:styleId="33">
    <w:name w:val="Body Text Indent 2"/>
    <w:basedOn w:val="1"/>
    <w:link w:val="234"/>
    <w:qFormat/>
    <w:uiPriority w:val="0"/>
    <w:pPr>
      <w:ind w:left="630" w:firstLine="645"/>
    </w:pPr>
    <w:rPr>
      <w:rFonts w:ascii="Arial" w:hAnsi="Arial" w:eastAsia="仿宋_GB2312" w:cs="Arial"/>
      <w:sz w:val="32"/>
      <w:szCs w:val="32"/>
    </w:rPr>
  </w:style>
  <w:style w:type="paragraph" w:styleId="34">
    <w:name w:val="endnote text"/>
    <w:basedOn w:val="1"/>
    <w:link w:val="217"/>
    <w:semiHidden/>
    <w:unhideWhenUsed/>
    <w:qFormat/>
    <w:uiPriority w:val="99"/>
    <w:rPr>
      <w:sz w:val="20"/>
    </w:rPr>
  </w:style>
  <w:style w:type="paragraph" w:styleId="35">
    <w:name w:val="Balloon Text"/>
    <w:basedOn w:val="1"/>
    <w:link w:val="235"/>
    <w:qFormat/>
    <w:uiPriority w:val="0"/>
    <w:rPr>
      <w:sz w:val="18"/>
      <w:szCs w:val="18"/>
    </w:rPr>
  </w:style>
  <w:style w:type="paragraph" w:styleId="36">
    <w:name w:val="footer"/>
    <w:basedOn w:val="1"/>
    <w:link w:val="236"/>
    <w:qFormat/>
    <w:uiPriority w:val="99"/>
    <w:pPr>
      <w:tabs>
        <w:tab w:val="center" w:pos="4153"/>
        <w:tab w:val="right" w:pos="8306"/>
      </w:tabs>
      <w:jc w:val="left"/>
    </w:pPr>
    <w:rPr>
      <w:sz w:val="18"/>
      <w:szCs w:val="18"/>
    </w:rPr>
  </w:style>
  <w:style w:type="paragraph" w:styleId="37">
    <w:name w:val="header"/>
    <w:basedOn w:val="1"/>
    <w:link w:val="237"/>
    <w:qFormat/>
    <w:uiPriority w:val="0"/>
    <w:pPr>
      <w:pBdr>
        <w:bottom w:val="single" w:color="000000" w:sz="6" w:space="1"/>
      </w:pBdr>
      <w:tabs>
        <w:tab w:val="center" w:pos="4153"/>
        <w:tab w:val="right" w:pos="8306"/>
      </w:tabs>
      <w:jc w:val="center"/>
    </w:pPr>
    <w:rPr>
      <w:sz w:val="18"/>
      <w:szCs w:val="18"/>
    </w:rPr>
  </w:style>
  <w:style w:type="paragraph" w:styleId="38">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39">
    <w:name w:val="toc 4"/>
    <w:basedOn w:val="1"/>
    <w:next w:val="1"/>
    <w:qFormat/>
    <w:uiPriority w:val="39"/>
    <w:pPr>
      <w:ind w:left="630"/>
      <w:jc w:val="left"/>
    </w:pPr>
    <w:rPr>
      <w:szCs w:val="21"/>
    </w:rPr>
  </w:style>
  <w:style w:type="paragraph" w:styleId="40">
    <w:name w:val="Subtitle"/>
    <w:basedOn w:val="1"/>
    <w:next w:val="1"/>
    <w:link w:val="83"/>
    <w:qFormat/>
    <w:uiPriority w:val="11"/>
    <w:pPr>
      <w:spacing w:before="200" w:after="200"/>
    </w:pPr>
    <w:rPr>
      <w:sz w:val="24"/>
      <w:szCs w:val="24"/>
    </w:rPr>
  </w:style>
  <w:style w:type="paragraph" w:styleId="41">
    <w:name w:val="footnote text"/>
    <w:basedOn w:val="1"/>
    <w:link w:val="216"/>
    <w:unhideWhenUsed/>
    <w:qFormat/>
    <w:uiPriority w:val="99"/>
    <w:pPr>
      <w:spacing w:after="40"/>
    </w:pPr>
    <w:rPr>
      <w:sz w:val="18"/>
    </w:rPr>
  </w:style>
  <w:style w:type="paragraph" w:styleId="42">
    <w:name w:val="toc 6"/>
    <w:basedOn w:val="1"/>
    <w:next w:val="1"/>
    <w:qFormat/>
    <w:uiPriority w:val="39"/>
    <w:pPr>
      <w:ind w:left="1050"/>
      <w:jc w:val="left"/>
    </w:pPr>
    <w:rPr>
      <w:szCs w:val="21"/>
    </w:rPr>
  </w:style>
  <w:style w:type="paragraph" w:styleId="43">
    <w:name w:val="Body Text Indent 3"/>
    <w:basedOn w:val="1"/>
    <w:link w:val="238"/>
    <w:qFormat/>
    <w:uiPriority w:val="99"/>
    <w:pPr>
      <w:ind w:left="645" w:firstLine="645"/>
    </w:pPr>
    <w:rPr>
      <w:rFonts w:ascii="Arial" w:hAnsi="Arial" w:eastAsia="仿宋_GB2312" w:cs="Arial"/>
      <w:color w:val="FFFF00"/>
      <w:sz w:val="32"/>
      <w:szCs w:val="32"/>
    </w:rPr>
  </w:style>
  <w:style w:type="paragraph" w:styleId="44">
    <w:name w:val="table of figures"/>
    <w:basedOn w:val="1"/>
    <w:next w:val="1"/>
    <w:qFormat/>
    <w:uiPriority w:val="99"/>
    <w:pPr>
      <w:ind w:left="840" w:hanging="420"/>
    </w:pPr>
    <w:rPr>
      <w:szCs w:val="21"/>
    </w:rPr>
  </w:style>
  <w:style w:type="paragraph" w:styleId="45">
    <w:name w:val="toc 2"/>
    <w:basedOn w:val="1"/>
    <w:next w:val="1"/>
    <w:qFormat/>
    <w:uiPriority w:val="39"/>
    <w:pPr>
      <w:ind w:left="210"/>
      <w:jc w:val="left"/>
    </w:pPr>
    <w:rPr>
      <w:smallCaps/>
      <w:szCs w:val="24"/>
    </w:rPr>
  </w:style>
  <w:style w:type="paragraph" w:styleId="46">
    <w:name w:val="toc 9"/>
    <w:basedOn w:val="1"/>
    <w:next w:val="1"/>
    <w:qFormat/>
    <w:uiPriority w:val="39"/>
    <w:pPr>
      <w:ind w:left="1680"/>
      <w:jc w:val="left"/>
    </w:pPr>
    <w:rPr>
      <w:szCs w:val="21"/>
    </w:rPr>
  </w:style>
  <w:style w:type="paragraph" w:styleId="47">
    <w:name w:val="Body Text 2"/>
    <w:basedOn w:val="1"/>
    <w:link w:val="239"/>
    <w:qFormat/>
    <w:uiPriority w:val="0"/>
    <w:pPr>
      <w:widowControl/>
      <w:jc w:val="center"/>
    </w:pPr>
    <w:rPr>
      <w:rFonts w:ascii="楷体_GB2312" w:eastAsia="楷体_GB2312"/>
      <w:sz w:val="28"/>
      <w:szCs w:val="28"/>
    </w:rPr>
  </w:style>
  <w:style w:type="paragraph" w:styleId="48">
    <w:name w:val="Normal (Web)"/>
    <w:basedOn w:val="1"/>
    <w:link w:val="407"/>
    <w:qFormat/>
    <w:uiPriority w:val="0"/>
    <w:pPr>
      <w:widowControl/>
      <w:spacing w:before="100" w:beforeAutospacing="1" w:after="100" w:afterAutospacing="1"/>
      <w:jc w:val="left"/>
    </w:pPr>
    <w:rPr>
      <w:rFonts w:ascii="宋体" w:hAnsi="宋体" w:cs="宋体"/>
      <w:sz w:val="24"/>
      <w:szCs w:val="24"/>
    </w:rPr>
  </w:style>
  <w:style w:type="paragraph" w:styleId="49">
    <w:name w:val="index 1"/>
    <w:basedOn w:val="1"/>
    <w:next w:val="1"/>
    <w:semiHidden/>
    <w:qFormat/>
    <w:uiPriority w:val="0"/>
    <w:pPr>
      <w:spacing w:line="240" w:lineRule="atLeast"/>
    </w:pPr>
    <w:rPr>
      <w:b/>
      <w:bCs/>
      <w:szCs w:val="21"/>
    </w:rPr>
  </w:style>
  <w:style w:type="paragraph" w:styleId="50">
    <w:name w:val="Title"/>
    <w:basedOn w:val="1"/>
    <w:next w:val="1"/>
    <w:link w:val="82"/>
    <w:qFormat/>
    <w:uiPriority w:val="10"/>
    <w:pPr>
      <w:spacing w:before="300" w:after="200"/>
      <w:contextualSpacing/>
    </w:pPr>
    <w:rPr>
      <w:sz w:val="48"/>
      <w:szCs w:val="48"/>
    </w:rPr>
  </w:style>
  <w:style w:type="paragraph" w:styleId="51">
    <w:name w:val="annotation subject"/>
    <w:basedOn w:val="20"/>
    <w:next w:val="20"/>
    <w:link w:val="240"/>
    <w:qFormat/>
    <w:uiPriority w:val="0"/>
    <w:rPr>
      <w:b/>
      <w:bCs/>
      <w:szCs w:val="21"/>
    </w:rPr>
  </w:style>
  <w:style w:type="paragraph" w:styleId="52">
    <w:name w:val="Body Text First Indent"/>
    <w:basedOn w:val="22"/>
    <w:link w:val="241"/>
    <w:qFormat/>
    <w:uiPriority w:val="0"/>
    <w:pPr>
      <w:spacing w:line="360" w:lineRule="auto"/>
      <w:ind w:firstLine="200"/>
    </w:pPr>
    <w:rPr>
      <w:rFonts w:ascii="仿宋_GB2312" w:hAnsi="Times New Roman" w:eastAsia="仿宋_GB2312"/>
      <w:sz w:val="30"/>
      <w:szCs w:val="30"/>
    </w:rPr>
  </w:style>
  <w:style w:type="paragraph" w:styleId="53">
    <w:name w:val="Body Text First Indent 2"/>
    <w:basedOn w:val="23"/>
    <w:link w:val="242"/>
    <w:qFormat/>
    <w:uiPriority w:val="99"/>
    <w:pPr>
      <w:spacing w:after="0" w:line="360" w:lineRule="auto"/>
      <w:ind w:left="0" w:firstLine="420"/>
    </w:pPr>
    <w:rPr>
      <w:rFonts w:ascii="宋体" w:hAnsi="宋体"/>
      <w:szCs w:val="20"/>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rPr>
  </w:style>
  <w:style w:type="character" w:styleId="58">
    <w:name w:val="endnote reference"/>
    <w:semiHidden/>
    <w:unhideWhenUsed/>
    <w:qFormat/>
    <w:uiPriority w:val="99"/>
    <w:rPr>
      <w:vertAlign w:val="superscript"/>
    </w:rPr>
  </w:style>
  <w:style w:type="character" w:styleId="59">
    <w:name w:val="page number"/>
    <w:qFormat/>
    <w:uiPriority w:val="0"/>
  </w:style>
  <w:style w:type="character" w:styleId="60">
    <w:name w:val="FollowedHyperlink"/>
    <w:qFormat/>
    <w:uiPriority w:val="0"/>
    <w:rPr>
      <w:color w:val="800080"/>
      <w:u w:val="single"/>
    </w:rPr>
  </w:style>
  <w:style w:type="character" w:styleId="61">
    <w:name w:val="Emphasis"/>
    <w:qFormat/>
    <w:uiPriority w:val="20"/>
    <w:rPr>
      <w:i/>
      <w:iCs/>
    </w:rPr>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character" w:styleId="64">
    <w:name w:val="footnote reference"/>
    <w:unhideWhenUsed/>
    <w:qFormat/>
    <w:uiPriority w:val="99"/>
    <w:rPr>
      <w:vertAlign w:val="superscript"/>
    </w:rPr>
  </w:style>
  <w:style w:type="paragraph" w:customStyle="1" w:styleId="6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6">
    <w:name w:val="样式1"/>
    <w:basedOn w:val="1"/>
    <w:qFormat/>
    <w:uiPriority w:val="0"/>
    <w:pPr>
      <w:numPr>
        <w:ilvl w:val="0"/>
        <w:numId w:val="2"/>
      </w:numPr>
    </w:pPr>
    <w:rPr>
      <w:rFonts w:ascii="宋体" w:hAnsi="宋体"/>
      <w:szCs w:val="21"/>
    </w:rPr>
  </w:style>
  <w:style w:type="paragraph" w:customStyle="1" w:styleId="67">
    <w:name w:val="样式2"/>
    <w:basedOn w:val="1"/>
    <w:qFormat/>
    <w:uiPriority w:val="0"/>
    <w:pPr>
      <w:ind w:left="624" w:hanging="720"/>
    </w:pPr>
    <w:rPr>
      <w:rFonts w:ascii="黑体" w:eastAsia="黑体"/>
      <w:b/>
      <w:sz w:val="30"/>
      <w:szCs w:val="24"/>
    </w:rPr>
  </w:style>
  <w:style w:type="paragraph" w:customStyle="1" w:styleId="68">
    <w:name w:val="普通正文"/>
    <w:basedOn w:val="1"/>
    <w:qFormat/>
    <w:uiPriority w:val="0"/>
    <w:pPr>
      <w:spacing w:before="120" w:after="120" w:line="360" w:lineRule="auto"/>
      <w:ind w:firstLine="480"/>
      <w:jc w:val="left"/>
    </w:pPr>
    <w:rPr>
      <w:rFonts w:ascii="Arial" w:hAnsi="Arial"/>
      <w:sz w:val="24"/>
      <w:szCs w:val="24"/>
    </w:rPr>
  </w:style>
  <w:style w:type="character" w:customStyle="1" w:styleId="69">
    <w:name w:val="标题 3 字符"/>
    <w:link w:val="5"/>
    <w:qFormat/>
    <w:uiPriority w:val="9"/>
    <w:rPr>
      <w:rFonts w:ascii="Times New Roman" w:hAnsi="Times New Roman" w:eastAsia="宋体" w:cs="Times New Roman"/>
      <w:b/>
      <w:bCs/>
      <w:sz w:val="32"/>
      <w:szCs w:val="32"/>
    </w:rPr>
  </w:style>
  <w:style w:type="character" w:customStyle="1" w:styleId="70">
    <w:name w:val="标题 4 字符"/>
    <w:link w:val="6"/>
    <w:qFormat/>
    <w:uiPriority w:val="9"/>
    <w:rPr>
      <w:rFonts w:ascii="Arial" w:hAnsi="Arial" w:eastAsia="黑体" w:cs="Arial"/>
      <w:b/>
      <w:bCs/>
      <w:sz w:val="28"/>
      <w:szCs w:val="28"/>
    </w:rPr>
  </w:style>
  <w:style w:type="character" w:customStyle="1" w:styleId="71">
    <w:name w:val="Heading 1 Char"/>
    <w:qFormat/>
    <w:uiPriority w:val="9"/>
    <w:rPr>
      <w:rFonts w:ascii="Arial" w:hAnsi="Arial" w:eastAsia="Arial" w:cs="Arial"/>
      <w:sz w:val="40"/>
      <w:szCs w:val="40"/>
    </w:rPr>
  </w:style>
  <w:style w:type="character" w:customStyle="1" w:styleId="72">
    <w:name w:val="Heading 2 Char"/>
    <w:qFormat/>
    <w:uiPriority w:val="9"/>
    <w:rPr>
      <w:rFonts w:ascii="Arial" w:hAnsi="Arial" w:eastAsia="Arial" w:cs="Arial"/>
      <w:sz w:val="34"/>
    </w:rPr>
  </w:style>
  <w:style w:type="character" w:customStyle="1" w:styleId="73">
    <w:name w:val="Heading 3 Char"/>
    <w:qFormat/>
    <w:uiPriority w:val="9"/>
    <w:rPr>
      <w:rFonts w:ascii="Arial" w:hAnsi="Arial" w:eastAsia="Arial" w:cs="Arial"/>
      <w:sz w:val="30"/>
      <w:szCs w:val="30"/>
    </w:rPr>
  </w:style>
  <w:style w:type="character" w:customStyle="1" w:styleId="74">
    <w:name w:val="Heading 4 Char"/>
    <w:qFormat/>
    <w:uiPriority w:val="9"/>
    <w:rPr>
      <w:rFonts w:ascii="Arial" w:hAnsi="Arial" w:eastAsia="Arial" w:cs="Arial"/>
      <w:b/>
      <w:bCs/>
      <w:sz w:val="26"/>
      <w:szCs w:val="26"/>
    </w:rPr>
  </w:style>
  <w:style w:type="character" w:customStyle="1" w:styleId="75">
    <w:name w:val="Heading 5 Char"/>
    <w:qFormat/>
    <w:uiPriority w:val="9"/>
    <w:rPr>
      <w:rFonts w:ascii="Arial" w:hAnsi="Arial" w:eastAsia="Arial" w:cs="Arial"/>
      <w:b/>
      <w:bCs/>
      <w:sz w:val="24"/>
      <w:szCs w:val="24"/>
    </w:rPr>
  </w:style>
  <w:style w:type="character" w:customStyle="1" w:styleId="76">
    <w:name w:val="Heading 6 Char"/>
    <w:qFormat/>
    <w:uiPriority w:val="9"/>
    <w:rPr>
      <w:rFonts w:ascii="Arial" w:hAnsi="Arial" w:eastAsia="Arial" w:cs="Arial"/>
      <w:b/>
      <w:bCs/>
      <w:sz w:val="22"/>
      <w:szCs w:val="22"/>
    </w:rPr>
  </w:style>
  <w:style w:type="character" w:customStyle="1" w:styleId="77">
    <w:name w:val="Heading 7 Char"/>
    <w:qFormat/>
    <w:uiPriority w:val="9"/>
    <w:rPr>
      <w:rFonts w:ascii="Arial" w:hAnsi="Arial" w:eastAsia="Arial" w:cs="Arial"/>
      <w:b/>
      <w:bCs/>
      <w:i/>
      <w:iCs/>
      <w:sz w:val="22"/>
      <w:szCs w:val="22"/>
    </w:rPr>
  </w:style>
  <w:style w:type="character" w:customStyle="1" w:styleId="78">
    <w:name w:val="Heading 8 Char"/>
    <w:qFormat/>
    <w:uiPriority w:val="9"/>
    <w:rPr>
      <w:rFonts w:ascii="Arial" w:hAnsi="Arial" w:eastAsia="Arial" w:cs="Arial"/>
      <w:i/>
      <w:iCs/>
      <w:sz w:val="22"/>
      <w:szCs w:val="22"/>
    </w:rPr>
  </w:style>
  <w:style w:type="character" w:customStyle="1" w:styleId="79">
    <w:name w:val="Heading 9 Char"/>
    <w:qFormat/>
    <w:uiPriority w:val="9"/>
    <w:rPr>
      <w:rFonts w:ascii="Arial" w:hAnsi="Arial" w:eastAsia="Arial" w:cs="Arial"/>
      <w:i/>
      <w:iCs/>
      <w:sz w:val="21"/>
      <w:szCs w:val="21"/>
    </w:rPr>
  </w:style>
  <w:style w:type="paragraph" w:styleId="80">
    <w:name w:val="List Paragraph"/>
    <w:basedOn w:val="1"/>
    <w:qFormat/>
    <w:uiPriority w:val="0"/>
    <w:pPr>
      <w:widowControl/>
      <w:ind w:left="720"/>
      <w:contextualSpacing/>
      <w:jc w:val="left"/>
    </w:pPr>
    <w:rPr>
      <w:rFonts w:ascii="Calibri" w:hAnsi="Calibri"/>
      <w:sz w:val="24"/>
      <w:szCs w:val="24"/>
      <w:lang w:eastAsia="en-US" w:bidi="en-US"/>
    </w:rPr>
  </w:style>
  <w:style w:type="paragraph" w:styleId="81">
    <w:name w:val="No Spacing"/>
    <w:link w:val="488"/>
    <w:qFormat/>
    <w:uiPriority w:val="1"/>
    <w:pPr>
      <w:widowControl w:val="0"/>
      <w:jc w:val="both"/>
    </w:pPr>
    <w:rPr>
      <w:rFonts w:ascii="Times New Roman" w:hAnsi="Times New Roman" w:eastAsia="宋体" w:cs="Times New Roman"/>
      <w:sz w:val="21"/>
      <w:szCs w:val="21"/>
      <w:lang w:val="en-US" w:eastAsia="zh-CN" w:bidi="ar-SA"/>
    </w:rPr>
  </w:style>
  <w:style w:type="character" w:customStyle="1" w:styleId="82">
    <w:name w:val="标题 字符"/>
    <w:link w:val="50"/>
    <w:qFormat/>
    <w:uiPriority w:val="10"/>
    <w:rPr>
      <w:sz w:val="48"/>
      <w:szCs w:val="48"/>
    </w:rPr>
  </w:style>
  <w:style w:type="character" w:customStyle="1" w:styleId="83">
    <w:name w:val="副标题 字符"/>
    <w:link w:val="40"/>
    <w:qFormat/>
    <w:uiPriority w:val="11"/>
    <w:rPr>
      <w:sz w:val="24"/>
      <w:szCs w:val="24"/>
    </w:rPr>
  </w:style>
  <w:style w:type="paragraph" w:styleId="84">
    <w:name w:val="Quote"/>
    <w:basedOn w:val="1"/>
    <w:next w:val="1"/>
    <w:link w:val="85"/>
    <w:qFormat/>
    <w:uiPriority w:val="29"/>
    <w:pPr>
      <w:ind w:left="720" w:right="720"/>
    </w:pPr>
    <w:rPr>
      <w:i/>
    </w:rPr>
  </w:style>
  <w:style w:type="character" w:customStyle="1" w:styleId="85">
    <w:name w:val="引用 字符"/>
    <w:link w:val="84"/>
    <w:qFormat/>
    <w:uiPriority w:val="29"/>
    <w:rPr>
      <w:i/>
    </w:rPr>
  </w:style>
  <w:style w:type="paragraph" w:styleId="86">
    <w:name w:val="Intense Quote"/>
    <w:basedOn w:val="1"/>
    <w:next w:val="1"/>
    <w:link w:val="8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7">
    <w:name w:val="明显引用 字符"/>
    <w:link w:val="86"/>
    <w:qFormat/>
    <w:uiPriority w:val="30"/>
    <w:rPr>
      <w:i/>
    </w:rPr>
  </w:style>
  <w:style w:type="character" w:customStyle="1" w:styleId="88">
    <w:name w:val="Header Char"/>
    <w:qFormat/>
    <w:uiPriority w:val="99"/>
  </w:style>
  <w:style w:type="character" w:customStyle="1" w:styleId="89">
    <w:name w:val="Footer Char"/>
    <w:qFormat/>
    <w:uiPriority w:val="99"/>
  </w:style>
  <w:style w:type="character" w:customStyle="1" w:styleId="90">
    <w:name w:val="Caption Char"/>
    <w:qFormat/>
    <w:uiPriority w:val="99"/>
  </w:style>
  <w:style w:type="table" w:customStyle="1" w:styleId="91">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2">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3">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4">
    <w:name w:val="无格式表格 31"/>
    <w:qFormat/>
    <w:uiPriority w:val="99"/>
    <w:tblPr>
      <w:tblCellMar>
        <w:top w:w="0" w:type="dxa"/>
        <w:left w:w="0" w:type="dxa"/>
        <w:bottom w:w="0" w:type="dxa"/>
        <w:right w:w="0" w:type="dxa"/>
      </w:tblCellMar>
    </w:tblPr>
  </w:style>
  <w:style w:type="table" w:customStyle="1" w:styleId="95">
    <w:name w:val="无格式表格 41"/>
    <w:qFormat/>
    <w:uiPriority w:val="99"/>
    <w:tblPr>
      <w:tblCellMar>
        <w:top w:w="0" w:type="dxa"/>
        <w:left w:w="0" w:type="dxa"/>
        <w:bottom w:w="0" w:type="dxa"/>
        <w:right w:w="0" w:type="dxa"/>
      </w:tblCellMar>
    </w:tblPr>
  </w:style>
  <w:style w:type="table" w:customStyle="1" w:styleId="96">
    <w:name w:val="无格式表格 51"/>
    <w:qFormat/>
    <w:uiPriority w:val="99"/>
    <w:tblPr>
      <w:tblCellMar>
        <w:top w:w="0" w:type="dxa"/>
        <w:left w:w="0" w:type="dxa"/>
        <w:bottom w:w="0" w:type="dxa"/>
        <w:right w:w="0" w:type="dxa"/>
      </w:tblCellMar>
    </w:tblPr>
  </w:style>
  <w:style w:type="table" w:customStyle="1" w:styleId="97">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8">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9">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0">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1">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2">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3">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4">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5">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6">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7">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8">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9">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0">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1">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8">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5">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6">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7">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3">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4">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5">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6">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7">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8">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9">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0">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1">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2">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3">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4">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5">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6">
    <w:name w:val="清单表 1 浅色1"/>
    <w:qFormat/>
    <w:uiPriority w:val="99"/>
    <w:tblPr>
      <w:tblCellMar>
        <w:top w:w="0" w:type="dxa"/>
        <w:left w:w="0" w:type="dxa"/>
        <w:bottom w:w="0" w:type="dxa"/>
        <w:right w:w="0" w:type="dxa"/>
      </w:tblCellMar>
    </w:tblPr>
  </w:style>
  <w:style w:type="table" w:customStyle="1" w:styleId="147">
    <w:name w:val="List Table 1 Light - Accent 1"/>
    <w:qFormat/>
    <w:uiPriority w:val="99"/>
    <w:tblPr>
      <w:tblCellMar>
        <w:top w:w="0" w:type="dxa"/>
        <w:left w:w="0" w:type="dxa"/>
        <w:bottom w:w="0" w:type="dxa"/>
        <w:right w:w="0" w:type="dxa"/>
      </w:tblCellMar>
    </w:tblPr>
  </w:style>
  <w:style w:type="table" w:customStyle="1" w:styleId="148">
    <w:name w:val="List Table 1 Light - Accent 2"/>
    <w:qFormat/>
    <w:uiPriority w:val="99"/>
    <w:tblPr>
      <w:tblCellMar>
        <w:top w:w="0" w:type="dxa"/>
        <w:left w:w="0" w:type="dxa"/>
        <w:bottom w:w="0" w:type="dxa"/>
        <w:right w:w="0" w:type="dxa"/>
      </w:tblCellMar>
    </w:tblPr>
  </w:style>
  <w:style w:type="table" w:customStyle="1" w:styleId="149">
    <w:name w:val="List Table 1 Light - Accent 3"/>
    <w:qFormat/>
    <w:uiPriority w:val="99"/>
    <w:tblPr>
      <w:tblCellMar>
        <w:top w:w="0" w:type="dxa"/>
        <w:left w:w="0" w:type="dxa"/>
        <w:bottom w:w="0" w:type="dxa"/>
        <w:right w:w="0" w:type="dxa"/>
      </w:tblCellMar>
    </w:tblPr>
  </w:style>
  <w:style w:type="table" w:customStyle="1" w:styleId="150">
    <w:name w:val="List Table 1 Light - Accent 4"/>
    <w:qFormat/>
    <w:uiPriority w:val="99"/>
    <w:tblPr>
      <w:tblCellMar>
        <w:top w:w="0" w:type="dxa"/>
        <w:left w:w="0" w:type="dxa"/>
        <w:bottom w:w="0" w:type="dxa"/>
        <w:right w:w="0" w:type="dxa"/>
      </w:tblCellMar>
    </w:tblPr>
  </w:style>
  <w:style w:type="table" w:customStyle="1" w:styleId="151">
    <w:name w:val="List Table 1 Light - Accent 5"/>
    <w:qFormat/>
    <w:uiPriority w:val="99"/>
    <w:tblPr>
      <w:tblCellMar>
        <w:top w:w="0" w:type="dxa"/>
        <w:left w:w="0" w:type="dxa"/>
        <w:bottom w:w="0" w:type="dxa"/>
        <w:right w:w="0" w:type="dxa"/>
      </w:tblCellMar>
    </w:tblPr>
  </w:style>
  <w:style w:type="table" w:customStyle="1" w:styleId="152">
    <w:name w:val="List Table 1 Light - Accent 6"/>
    <w:qFormat/>
    <w:uiPriority w:val="99"/>
    <w:tblPr>
      <w:tblCellMar>
        <w:top w:w="0" w:type="dxa"/>
        <w:left w:w="0" w:type="dxa"/>
        <w:bottom w:w="0" w:type="dxa"/>
        <w:right w:w="0" w:type="dxa"/>
      </w:tblCellMar>
    </w:tblPr>
  </w:style>
  <w:style w:type="table" w:customStyle="1" w:styleId="153">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4">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5">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7">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8">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9">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0">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1">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2">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3">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4">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5">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6">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7">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8">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9">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0">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1">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2">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3">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4">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5">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6">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7">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8">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1">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8">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89">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0">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1">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2">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3">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4">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5">
    <w:name w:val="Lined - Accent"/>
    <w:qFormat/>
    <w:uiPriority w:val="99"/>
    <w:rPr>
      <w:color w:val="404040"/>
    </w:rPr>
    <w:tblPr>
      <w:tblCellMar>
        <w:top w:w="0" w:type="dxa"/>
        <w:left w:w="0" w:type="dxa"/>
        <w:bottom w:w="0" w:type="dxa"/>
        <w:right w:w="0" w:type="dxa"/>
      </w:tblCellMar>
    </w:tblPr>
  </w:style>
  <w:style w:type="table" w:customStyle="1" w:styleId="196">
    <w:name w:val="Lined - Accent 1"/>
    <w:qFormat/>
    <w:uiPriority w:val="99"/>
    <w:rPr>
      <w:color w:val="404040"/>
    </w:rPr>
    <w:tblPr>
      <w:tblCellMar>
        <w:top w:w="0" w:type="dxa"/>
        <w:left w:w="0" w:type="dxa"/>
        <w:bottom w:w="0" w:type="dxa"/>
        <w:right w:w="0" w:type="dxa"/>
      </w:tblCellMar>
    </w:tblPr>
  </w:style>
  <w:style w:type="table" w:customStyle="1" w:styleId="197">
    <w:name w:val="Lined - Accent 2"/>
    <w:qFormat/>
    <w:uiPriority w:val="99"/>
    <w:rPr>
      <w:color w:val="404040"/>
    </w:rPr>
    <w:tblPr>
      <w:tblCellMar>
        <w:top w:w="0" w:type="dxa"/>
        <w:left w:w="0" w:type="dxa"/>
        <w:bottom w:w="0" w:type="dxa"/>
        <w:right w:w="0" w:type="dxa"/>
      </w:tblCellMar>
    </w:tblPr>
  </w:style>
  <w:style w:type="table" w:customStyle="1" w:styleId="198">
    <w:name w:val="Lined - Accent 3"/>
    <w:qFormat/>
    <w:uiPriority w:val="99"/>
    <w:rPr>
      <w:color w:val="404040"/>
    </w:rPr>
    <w:tblPr>
      <w:tblCellMar>
        <w:top w:w="0" w:type="dxa"/>
        <w:left w:w="0" w:type="dxa"/>
        <w:bottom w:w="0" w:type="dxa"/>
        <w:right w:w="0" w:type="dxa"/>
      </w:tblCellMar>
    </w:tblPr>
  </w:style>
  <w:style w:type="table" w:customStyle="1" w:styleId="199">
    <w:name w:val="Lined - Accent 4"/>
    <w:qFormat/>
    <w:uiPriority w:val="99"/>
    <w:rPr>
      <w:color w:val="404040"/>
    </w:rPr>
    <w:tblPr>
      <w:tblCellMar>
        <w:top w:w="0" w:type="dxa"/>
        <w:left w:w="0" w:type="dxa"/>
        <w:bottom w:w="0" w:type="dxa"/>
        <w:right w:w="0" w:type="dxa"/>
      </w:tblCellMar>
    </w:tblPr>
  </w:style>
  <w:style w:type="table" w:customStyle="1" w:styleId="200">
    <w:name w:val="Lined - Accent 5"/>
    <w:qFormat/>
    <w:uiPriority w:val="99"/>
    <w:rPr>
      <w:color w:val="404040"/>
    </w:rPr>
    <w:tblPr>
      <w:tblCellMar>
        <w:top w:w="0" w:type="dxa"/>
        <w:left w:w="0" w:type="dxa"/>
        <w:bottom w:w="0" w:type="dxa"/>
        <w:right w:w="0" w:type="dxa"/>
      </w:tblCellMar>
    </w:tblPr>
  </w:style>
  <w:style w:type="table" w:customStyle="1" w:styleId="201">
    <w:name w:val="Lined - Accent 6"/>
    <w:qFormat/>
    <w:uiPriority w:val="99"/>
    <w:rPr>
      <w:color w:val="404040"/>
    </w:rPr>
    <w:tblPr>
      <w:tblCellMar>
        <w:top w:w="0" w:type="dxa"/>
        <w:left w:w="0" w:type="dxa"/>
        <w:bottom w:w="0" w:type="dxa"/>
        <w:right w:w="0" w:type="dxa"/>
      </w:tblCellMar>
    </w:tblPr>
  </w:style>
  <w:style w:type="table" w:customStyle="1" w:styleId="20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0">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6">
    <w:name w:val="脚注文本 字符"/>
    <w:link w:val="41"/>
    <w:qFormat/>
    <w:uiPriority w:val="99"/>
    <w:rPr>
      <w:sz w:val="18"/>
    </w:rPr>
  </w:style>
  <w:style w:type="character" w:customStyle="1" w:styleId="217">
    <w:name w:val="尾注文本 字符"/>
    <w:link w:val="34"/>
    <w:qFormat/>
    <w:uiPriority w:val="99"/>
    <w:rPr>
      <w:sz w:val="20"/>
    </w:rPr>
  </w:style>
  <w:style w:type="paragraph" w:customStyle="1" w:styleId="218">
    <w:name w:val="TOC 标题1"/>
    <w:unhideWhenUsed/>
    <w:qFormat/>
    <w:uiPriority w:val="39"/>
    <w:rPr>
      <w:rFonts w:ascii="Times New Roman" w:hAnsi="Times New Roman" w:eastAsia="宋体" w:cs="Times New Roman"/>
      <w:lang w:val="en-US" w:eastAsia="zh-CN" w:bidi="ar-SA"/>
    </w:rPr>
  </w:style>
  <w:style w:type="character" w:customStyle="1" w:styleId="219">
    <w:name w:val="标题 1 字符"/>
    <w:link w:val="2"/>
    <w:qFormat/>
    <w:uiPriority w:val="9"/>
    <w:rPr>
      <w:rFonts w:ascii="楷体_GB2312" w:hAnsi="Times New Roman" w:eastAsia="楷体_GB2312" w:cs="Times New Roman"/>
      <w:sz w:val="28"/>
      <w:szCs w:val="28"/>
    </w:rPr>
  </w:style>
  <w:style w:type="character" w:customStyle="1" w:styleId="220">
    <w:name w:val="标题 2 字符"/>
    <w:link w:val="3"/>
    <w:qFormat/>
    <w:uiPriority w:val="9"/>
    <w:rPr>
      <w:rFonts w:ascii="Arial" w:hAnsi="Arial" w:eastAsia="幼圆" w:cs="Arial"/>
      <w:b/>
      <w:bCs/>
      <w:sz w:val="44"/>
      <w:szCs w:val="44"/>
    </w:rPr>
  </w:style>
  <w:style w:type="character" w:customStyle="1" w:styleId="221">
    <w:name w:val="正文缩进 字符"/>
    <w:link w:val="4"/>
    <w:qFormat/>
    <w:uiPriority w:val="0"/>
    <w:rPr>
      <w:szCs w:val="21"/>
    </w:rPr>
  </w:style>
  <w:style w:type="character" w:customStyle="1" w:styleId="222">
    <w:name w:val="标题 5 字符"/>
    <w:link w:val="7"/>
    <w:qFormat/>
    <w:uiPriority w:val="9"/>
    <w:rPr>
      <w:rFonts w:ascii="宋体" w:hAnsi="Times New Roman" w:eastAsia="宋体" w:cs="Times New Roman"/>
      <w:color w:val="000000"/>
      <w:sz w:val="28"/>
      <w:szCs w:val="28"/>
    </w:rPr>
  </w:style>
  <w:style w:type="character" w:customStyle="1" w:styleId="223">
    <w:name w:val="标题 6 字符"/>
    <w:link w:val="8"/>
    <w:qFormat/>
    <w:uiPriority w:val="0"/>
    <w:rPr>
      <w:rFonts w:ascii="Arial" w:hAnsi="Arial" w:eastAsia="黑体"/>
      <w:b/>
      <w:bCs/>
      <w:sz w:val="24"/>
      <w:szCs w:val="24"/>
    </w:rPr>
  </w:style>
  <w:style w:type="character" w:customStyle="1" w:styleId="224">
    <w:name w:val="标题 7 字符"/>
    <w:link w:val="9"/>
    <w:qFormat/>
    <w:uiPriority w:val="0"/>
    <w:rPr>
      <w:b/>
      <w:bCs/>
      <w:sz w:val="24"/>
      <w:szCs w:val="24"/>
    </w:rPr>
  </w:style>
  <w:style w:type="character" w:customStyle="1" w:styleId="225">
    <w:name w:val="标题 8 字符"/>
    <w:link w:val="10"/>
    <w:qFormat/>
    <w:uiPriority w:val="0"/>
    <w:rPr>
      <w:rFonts w:ascii="Arial" w:hAnsi="Arial" w:eastAsia="黑体"/>
      <w:sz w:val="24"/>
      <w:szCs w:val="24"/>
    </w:rPr>
  </w:style>
  <w:style w:type="character" w:customStyle="1" w:styleId="226">
    <w:name w:val="标题 9 字符"/>
    <w:link w:val="11"/>
    <w:qFormat/>
    <w:uiPriority w:val="0"/>
    <w:rPr>
      <w:rFonts w:ascii="Arial" w:hAnsi="Arial" w:eastAsia="黑体"/>
      <w:sz w:val="21"/>
      <w:szCs w:val="21"/>
    </w:rPr>
  </w:style>
  <w:style w:type="character" w:customStyle="1" w:styleId="227">
    <w:name w:val="文档结构图 字符"/>
    <w:link w:val="18"/>
    <w:qFormat/>
    <w:uiPriority w:val="99"/>
    <w:rPr>
      <w:rFonts w:ascii="Times New Roman" w:hAnsi="Times New Roman" w:eastAsia="宋体" w:cs="Times New Roman"/>
      <w:szCs w:val="21"/>
      <w:shd w:val="clear" w:color="auto" w:fill="000080"/>
    </w:rPr>
  </w:style>
  <w:style w:type="character" w:customStyle="1" w:styleId="228">
    <w:name w:val="批注文字 字符"/>
    <w:basedOn w:val="56"/>
    <w:link w:val="20"/>
    <w:qFormat/>
    <w:uiPriority w:val="99"/>
  </w:style>
  <w:style w:type="character" w:customStyle="1" w:styleId="229">
    <w:name w:val="正文文本 3 字符"/>
    <w:link w:val="21"/>
    <w:qFormat/>
    <w:uiPriority w:val="0"/>
    <w:rPr>
      <w:rFonts w:ascii="仿宋_GB2312" w:hAnsi="Arial" w:eastAsia="仿宋_GB2312" w:cs="Times New Roman"/>
      <w:sz w:val="32"/>
      <w:szCs w:val="32"/>
    </w:rPr>
  </w:style>
  <w:style w:type="character" w:customStyle="1" w:styleId="230">
    <w:name w:val="正文文本 字符"/>
    <w:link w:val="22"/>
    <w:qFormat/>
    <w:uiPriority w:val="99"/>
    <w:rPr>
      <w:rFonts w:ascii="楷体_GB2312" w:hAnsi="Arial" w:eastAsia="楷体_GB2312" w:cs="Times New Roman"/>
      <w:sz w:val="28"/>
      <w:szCs w:val="28"/>
    </w:rPr>
  </w:style>
  <w:style w:type="character" w:customStyle="1" w:styleId="231">
    <w:name w:val="正文文本缩进 字符"/>
    <w:basedOn w:val="56"/>
    <w:link w:val="23"/>
    <w:qFormat/>
    <w:uiPriority w:val="0"/>
  </w:style>
  <w:style w:type="character" w:customStyle="1" w:styleId="232">
    <w:name w:val="纯文本 字符"/>
    <w:link w:val="29"/>
    <w:qFormat/>
    <w:uiPriority w:val="99"/>
    <w:rPr>
      <w:rFonts w:ascii="宋体" w:hAnsi="Courier New" w:eastAsia="宋体" w:cs="Courier New"/>
      <w:szCs w:val="21"/>
    </w:rPr>
  </w:style>
  <w:style w:type="character" w:customStyle="1" w:styleId="233">
    <w:name w:val="日期 字符"/>
    <w:link w:val="32"/>
    <w:qFormat/>
    <w:uiPriority w:val="0"/>
    <w:rPr>
      <w:rFonts w:ascii="Times New Roman" w:hAnsi="Times New Roman" w:eastAsia="宋体" w:cs="Times New Roman"/>
      <w:sz w:val="24"/>
      <w:szCs w:val="24"/>
    </w:rPr>
  </w:style>
  <w:style w:type="character" w:customStyle="1" w:styleId="234">
    <w:name w:val="正文文本缩进 2 字符"/>
    <w:link w:val="33"/>
    <w:qFormat/>
    <w:uiPriority w:val="0"/>
    <w:rPr>
      <w:rFonts w:ascii="Arial" w:hAnsi="Arial" w:eastAsia="仿宋_GB2312" w:cs="Arial"/>
      <w:sz w:val="32"/>
      <w:szCs w:val="32"/>
    </w:rPr>
  </w:style>
  <w:style w:type="character" w:customStyle="1" w:styleId="235">
    <w:name w:val="批注框文本 字符"/>
    <w:link w:val="35"/>
    <w:qFormat/>
    <w:uiPriority w:val="0"/>
    <w:rPr>
      <w:rFonts w:ascii="Times New Roman" w:hAnsi="Times New Roman" w:eastAsia="宋体" w:cs="Times New Roman"/>
      <w:sz w:val="18"/>
      <w:szCs w:val="18"/>
    </w:rPr>
  </w:style>
  <w:style w:type="character" w:customStyle="1" w:styleId="236">
    <w:name w:val="页脚 字符"/>
    <w:link w:val="36"/>
    <w:qFormat/>
    <w:uiPriority w:val="99"/>
    <w:rPr>
      <w:rFonts w:ascii="Times New Roman" w:hAnsi="Times New Roman" w:eastAsia="宋体" w:cs="Times New Roman"/>
      <w:sz w:val="18"/>
      <w:szCs w:val="18"/>
    </w:rPr>
  </w:style>
  <w:style w:type="character" w:customStyle="1" w:styleId="237">
    <w:name w:val="页眉 字符"/>
    <w:link w:val="37"/>
    <w:qFormat/>
    <w:uiPriority w:val="0"/>
    <w:rPr>
      <w:rFonts w:ascii="Times New Roman" w:hAnsi="Times New Roman" w:eastAsia="宋体" w:cs="Times New Roman"/>
      <w:sz w:val="18"/>
      <w:szCs w:val="18"/>
    </w:rPr>
  </w:style>
  <w:style w:type="character" w:customStyle="1" w:styleId="238">
    <w:name w:val="正文文本缩进 3 字符"/>
    <w:link w:val="43"/>
    <w:qFormat/>
    <w:uiPriority w:val="99"/>
    <w:rPr>
      <w:rFonts w:ascii="Arial" w:hAnsi="Arial" w:eastAsia="仿宋_GB2312" w:cs="Arial"/>
      <w:color w:val="FFFF00"/>
      <w:sz w:val="32"/>
      <w:szCs w:val="32"/>
    </w:rPr>
  </w:style>
  <w:style w:type="character" w:customStyle="1" w:styleId="239">
    <w:name w:val="正文文本 2 字符"/>
    <w:link w:val="47"/>
    <w:qFormat/>
    <w:uiPriority w:val="0"/>
    <w:rPr>
      <w:rFonts w:ascii="楷体_GB2312" w:hAnsi="Times New Roman" w:eastAsia="楷体_GB2312" w:cs="Times New Roman"/>
      <w:sz w:val="28"/>
      <w:szCs w:val="28"/>
    </w:rPr>
  </w:style>
  <w:style w:type="character" w:customStyle="1" w:styleId="240">
    <w:name w:val="批注主题 字符"/>
    <w:link w:val="51"/>
    <w:qFormat/>
    <w:uiPriority w:val="0"/>
    <w:rPr>
      <w:rFonts w:ascii="Times New Roman" w:hAnsi="Times New Roman" w:eastAsia="宋体" w:cs="Times New Roman"/>
      <w:b/>
      <w:bCs/>
      <w:szCs w:val="21"/>
    </w:rPr>
  </w:style>
  <w:style w:type="character" w:customStyle="1" w:styleId="241">
    <w:name w:val="正文文本首行缩进 字符"/>
    <w:link w:val="52"/>
    <w:qFormat/>
    <w:uiPriority w:val="0"/>
    <w:rPr>
      <w:rFonts w:ascii="仿宋_GB2312" w:hAnsi="Times New Roman" w:eastAsia="仿宋_GB2312" w:cs="Times New Roman"/>
      <w:sz w:val="30"/>
      <w:szCs w:val="30"/>
    </w:rPr>
  </w:style>
  <w:style w:type="character" w:customStyle="1" w:styleId="242">
    <w:name w:val="正文文本首行缩进 2 字符"/>
    <w:link w:val="53"/>
    <w:qFormat/>
    <w:uiPriority w:val="99"/>
    <w:rPr>
      <w:rFonts w:ascii="宋体" w:hAnsi="宋体" w:eastAsia="宋体" w:cs="Times New Roman"/>
      <w:szCs w:val="20"/>
    </w:rPr>
  </w:style>
  <w:style w:type="character" w:customStyle="1" w:styleId="243">
    <w:name w:val="已访问的超链接1"/>
    <w:qFormat/>
    <w:uiPriority w:val="0"/>
    <w:rPr>
      <w:color w:val="800080"/>
      <w:u w:val="single"/>
    </w:rPr>
  </w:style>
  <w:style w:type="character" w:customStyle="1" w:styleId="244">
    <w:name w:val="font5 Char"/>
    <w:qFormat/>
    <w:uiPriority w:val="0"/>
    <w:rPr>
      <w:rFonts w:ascii="宋体" w:hAnsi="宋体" w:eastAsia="宋体"/>
      <w:sz w:val="28"/>
      <w:szCs w:val="28"/>
      <w:lang w:val="en-US" w:eastAsia="zh-CN" w:bidi="ar-SA"/>
    </w:rPr>
  </w:style>
  <w:style w:type="character" w:customStyle="1" w:styleId="245">
    <w:name w:val="二级目录 Char"/>
    <w:link w:val="246"/>
    <w:qFormat/>
    <w:uiPriority w:val="0"/>
    <w:rPr>
      <w:b/>
      <w:sz w:val="30"/>
      <w:szCs w:val="28"/>
    </w:rPr>
  </w:style>
  <w:style w:type="paragraph" w:customStyle="1" w:styleId="246">
    <w:name w:val="二级目录"/>
    <w:next w:val="1"/>
    <w:link w:val="245"/>
    <w:qFormat/>
    <w:uiPriority w:val="0"/>
    <w:pPr>
      <w:numPr>
        <w:ilvl w:val="0"/>
        <w:numId w:val="3"/>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7">
    <w:name w:val="列出段落 Char"/>
    <w:link w:val="248"/>
    <w:qFormat/>
    <w:uiPriority w:val="0"/>
    <w:rPr>
      <w:rFonts w:ascii="Calibri" w:hAnsi="Calibri"/>
      <w:sz w:val="24"/>
      <w:szCs w:val="24"/>
      <w:lang w:eastAsia="en-US" w:bidi="en-US"/>
    </w:rPr>
  </w:style>
  <w:style w:type="paragraph" w:customStyle="1" w:styleId="248">
    <w:name w:val="列出段落1"/>
    <w:basedOn w:val="1"/>
    <w:link w:val="247"/>
    <w:qFormat/>
    <w:uiPriority w:val="34"/>
    <w:pPr>
      <w:widowControl/>
      <w:ind w:left="720"/>
      <w:contextualSpacing/>
      <w:jc w:val="left"/>
    </w:pPr>
    <w:rPr>
      <w:rFonts w:ascii="Calibri" w:hAnsi="Calibri"/>
      <w:sz w:val="24"/>
      <w:szCs w:val="24"/>
      <w:lang w:eastAsia="en-US" w:bidi="en-US"/>
    </w:rPr>
  </w:style>
  <w:style w:type="paragraph" w:customStyle="1" w:styleId="249">
    <w:name w:val="Body Text(ch)"/>
    <w:basedOn w:val="1"/>
    <w:next w:val="22"/>
    <w:qFormat/>
    <w:uiPriority w:val="0"/>
    <w:pPr>
      <w:spacing w:after="120"/>
    </w:pPr>
    <w:rPr>
      <w:rFonts w:ascii="宋体" w:hAnsi="Arial"/>
      <w:bCs/>
      <w:iCs/>
      <w:szCs w:val="24"/>
    </w:rPr>
  </w:style>
  <w:style w:type="paragraph" w:customStyle="1" w:styleId="25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2">
    <w:name w:val="Char"/>
    <w:basedOn w:val="1"/>
    <w:qFormat/>
    <w:uiPriority w:val="0"/>
    <w:pPr>
      <w:tabs>
        <w:tab w:val="left" w:pos="360"/>
      </w:tabs>
      <w:ind w:firstLine="200"/>
    </w:pPr>
    <w:rPr>
      <w:sz w:val="28"/>
      <w:szCs w:val="30"/>
    </w:rPr>
  </w:style>
  <w:style w:type="paragraph" w:customStyle="1" w:styleId="253">
    <w:name w:val="Char111"/>
    <w:basedOn w:val="18"/>
    <w:qFormat/>
    <w:uiPriority w:val="0"/>
    <w:rPr>
      <w:rFonts w:ascii="Tahoma" w:hAnsi="Tahoma"/>
      <w:sz w:val="24"/>
      <w:szCs w:val="24"/>
    </w:rPr>
  </w:style>
  <w:style w:type="paragraph" w:customStyle="1" w:styleId="254">
    <w:name w:val="table_lines"/>
    <w:basedOn w:val="1"/>
    <w:qFormat/>
    <w:uiPriority w:val="0"/>
    <w:pPr>
      <w:widowControl/>
      <w:jc w:val="left"/>
    </w:pPr>
    <w:rPr>
      <w:sz w:val="20"/>
      <w:szCs w:val="20"/>
      <w:lang w:val="de-DE" w:eastAsia="de-DE"/>
    </w:rPr>
  </w:style>
  <w:style w:type="paragraph" w:customStyle="1" w:styleId="25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7">
    <w:name w:val="Char Char Char Char"/>
    <w:basedOn w:val="18"/>
    <w:qFormat/>
    <w:uiPriority w:val="0"/>
    <w:pPr>
      <w:spacing w:line="360" w:lineRule="auto"/>
    </w:pPr>
    <w:rPr>
      <w:rFonts w:ascii="Tahoma" w:hAnsi="Tahoma"/>
      <w:sz w:val="24"/>
      <w:szCs w:val="24"/>
    </w:rPr>
  </w:style>
  <w:style w:type="paragraph" w:customStyle="1" w:styleId="258">
    <w:name w:val="4"/>
    <w:basedOn w:val="1"/>
    <w:next w:val="43"/>
    <w:qFormat/>
    <w:uiPriority w:val="0"/>
    <w:pPr>
      <w:spacing w:line="360" w:lineRule="auto"/>
      <w:ind w:firstLine="420"/>
    </w:pPr>
    <w:rPr>
      <w:color w:val="FF0000"/>
      <w:sz w:val="24"/>
      <w:szCs w:val="24"/>
    </w:rPr>
  </w:style>
  <w:style w:type="paragraph" w:customStyle="1" w:styleId="25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0">
    <w:name w:val="Char Char Char Char Char Char Char Char Char Char"/>
    <w:basedOn w:val="1"/>
    <w:qFormat/>
    <w:uiPriority w:val="0"/>
    <w:pPr>
      <w:spacing w:line="360" w:lineRule="auto"/>
    </w:pPr>
    <w:rPr>
      <w:sz w:val="24"/>
      <w:szCs w:val="20"/>
    </w:rPr>
  </w:style>
  <w:style w:type="paragraph" w:customStyle="1" w:styleId="26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1">
    <w:name w:val="Char Char Char Char1"/>
    <w:basedOn w:val="18"/>
    <w:qFormat/>
    <w:uiPriority w:val="0"/>
    <w:pPr>
      <w:spacing w:line="360" w:lineRule="auto"/>
    </w:pPr>
    <w:rPr>
      <w:rFonts w:ascii="Tahoma" w:hAnsi="Tahoma"/>
      <w:sz w:val="24"/>
      <w:szCs w:val="24"/>
    </w:rPr>
  </w:style>
  <w:style w:type="paragraph" w:customStyle="1" w:styleId="272">
    <w:name w:val="table_1stline"/>
    <w:basedOn w:val="1"/>
    <w:qFormat/>
    <w:uiPriority w:val="0"/>
    <w:pPr>
      <w:widowControl/>
      <w:spacing w:before="120"/>
      <w:jc w:val="left"/>
    </w:pPr>
    <w:rPr>
      <w:bCs/>
      <w:sz w:val="20"/>
      <w:szCs w:val="20"/>
      <w:lang w:val="de-DE" w:eastAsia="de-DE"/>
    </w:rPr>
  </w:style>
  <w:style w:type="paragraph" w:customStyle="1" w:styleId="27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4">
    <w:name w:val="修订1"/>
    <w:semiHidden/>
    <w:qFormat/>
    <w:uiPriority w:val="99"/>
    <w:rPr>
      <w:rFonts w:ascii="Times New Roman" w:hAnsi="Times New Roman" w:eastAsia="宋体" w:cs="Times New Roman"/>
      <w:sz w:val="21"/>
      <w:szCs w:val="21"/>
      <w:lang w:val="en-US" w:eastAsia="zh-CN" w:bidi="ar-SA"/>
    </w:rPr>
  </w:style>
  <w:style w:type="paragraph" w:customStyle="1" w:styleId="275">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76">
    <w:name w:val="文本块1"/>
    <w:basedOn w:val="1"/>
    <w:qFormat/>
    <w:uiPriority w:val="0"/>
    <w:pPr>
      <w:ind w:left="420" w:right="33"/>
      <w:jc w:val="left"/>
    </w:pPr>
    <w:rPr>
      <w:sz w:val="24"/>
      <w:szCs w:val="20"/>
    </w:rPr>
  </w:style>
  <w:style w:type="character" w:customStyle="1" w:styleId="277">
    <w:name w:val="Title Char"/>
    <w:qFormat/>
    <w:uiPriority w:val="10"/>
    <w:rPr>
      <w:sz w:val="48"/>
      <w:szCs w:val="48"/>
    </w:rPr>
  </w:style>
  <w:style w:type="character" w:customStyle="1" w:styleId="278">
    <w:name w:val="Subtitle Char"/>
    <w:qFormat/>
    <w:uiPriority w:val="11"/>
    <w:rPr>
      <w:sz w:val="24"/>
      <w:szCs w:val="24"/>
    </w:rPr>
  </w:style>
  <w:style w:type="table" w:customStyle="1" w:styleId="279">
    <w:name w:val="网格型1"/>
    <w:basedOn w:val="54"/>
    <w:qFormat/>
    <w:uiPriority w:val="39"/>
    <w:rPr>
      <w:rFonts w:ascii="Calibri" w:hAnsi="Calibri"/>
      <w:sz w:val="21"/>
      <w:szCs w:val="22"/>
    </w:rPr>
  </w:style>
  <w:style w:type="table" w:customStyle="1" w:styleId="280">
    <w:name w:val="Table Grid Light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281">
    <w:name w:val="Plain Table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282">
    <w:name w:val="Plain Table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283">
    <w:name w:val="Plain Table 31"/>
    <w:qFormat/>
    <w:uiPriority w:val="99"/>
    <w:tblPr>
      <w:tblCellMar>
        <w:top w:w="0" w:type="dxa"/>
        <w:left w:w="0" w:type="dxa"/>
        <w:bottom w:w="0" w:type="dxa"/>
        <w:right w:w="0" w:type="dxa"/>
      </w:tblCellMar>
    </w:tblPr>
  </w:style>
  <w:style w:type="table" w:customStyle="1" w:styleId="284">
    <w:name w:val="Plain Table 41"/>
    <w:qFormat/>
    <w:uiPriority w:val="99"/>
    <w:tblPr>
      <w:tblCellMar>
        <w:top w:w="0" w:type="dxa"/>
        <w:left w:w="0" w:type="dxa"/>
        <w:bottom w:w="0" w:type="dxa"/>
        <w:right w:w="0" w:type="dxa"/>
      </w:tblCellMar>
    </w:tblPr>
  </w:style>
  <w:style w:type="table" w:customStyle="1" w:styleId="285">
    <w:name w:val="Plain Table 51"/>
    <w:qFormat/>
    <w:uiPriority w:val="99"/>
    <w:tblPr>
      <w:tblCellMar>
        <w:top w:w="0" w:type="dxa"/>
        <w:left w:w="0" w:type="dxa"/>
        <w:bottom w:w="0" w:type="dxa"/>
        <w:right w:w="0" w:type="dxa"/>
      </w:tblCellMar>
    </w:tblPr>
  </w:style>
  <w:style w:type="table" w:customStyle="1" w:styleId="286">
    <w:name w:val="Grid Table 1 Light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287">
    <w:name w:val="Grid Table 1 Light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88">
    <w:name w:val="Grid Table 1 Light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89">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90">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91">
    <w:name w:val="Grid Table 1 Light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92">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293">
    <w:name w:val="Grid Table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294">
    <w:name w:val="Grid Table 2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295">
    <w:name w:val="Grid Table 2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96">
    <w:name w:val="Grid Table 2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97">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98">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299">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300">
    <w:name w:val="Grid Table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301">
    <w:name w:val="Grid Table 3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302">
    <w:name w:val="Grid Table 3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303">
    <w:name w:val="Grid Table 3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304">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305">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306">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307">
    <w:name w:val="Grid Table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308">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309">
    <w:name w:val="Grid Table 4 - Accent 2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310">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311">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312">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313">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314">
    <w:name w:val="Grid Table 5 Dark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5">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6">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7">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8">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9">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20">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21">
    <w:name w:val="Grid Table 6 Colorful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322">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323">
    <w:name w:val="Grid Table 6 Colorful - Accent 2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324">
    <w:name w:val="Grid Table 6 Colorful - Accent 3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325">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326">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327">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328">
    <w:name w:val="Grid Table 7 Colorful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329">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330">
    <w:name w:val="Grid Table 7 Colorful - Accent 2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331">
    <w:name w:val="Grid Table 7 Colorful - Accent 3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332">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333">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334">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335">
    <w:name w:val="List Table 1 Light1"/>
    <w:qFormat/>
    <w:uiPriority w:val="99"/>
    <w:tblPr>
      <w:tblCellMar>
        <w:top w:w="0" w:type="dxa"/>
        <w:left w:w="0" w:type="dxa"/>
        <w:bottom w:w="0" w:type="dxa"/>
        <w:right w:w="0" w:type="dxa"/>
      </w:tblCellMar>
    </w:tblPr>
  </w:style>
  <w:style w:type="table" w:customStyle="1" w:styleId="336">
    <w:name w:val="List Table 1 Light - Accent 11"/>
    <w:qFormat/>
    <w:uiPriority w:val="99"/>
    <w:tblPr>
      <w:tblCellMar>
        <w:top w:w="0" w:type="dxa"/>
        <w:left w:w="0" w:type="dxa"/>
        <w:bottom w:w="0" w:type="dxa"/>
        <w:right w:w="0" w:type="dxa"/>
      </w:tblCellMar>
    </w:tblPr>
  </w:style>
  <w:style w:type="table" w:customStyle="1" w:styleId="337">
    <w:name w:val="List Table 1 Light - Accent 21"/>
    <w:qFormat/>
    <w:uiPriority w:val="99"/>
    <w:tblPr>
      <w:tblCellMar>
        <w:top w:w="0" w:type="dxa"/>
        <w:left w:w="0" w:type="dxa"/>
        <w:bottom w:w="0" w:type="dxa"/>
        <w:right w:w="0" w:type="dxa"/>
      </w:tblCellMar>
    </w:tblPr>
  </w:style>
  <w:style w:type="table" w:customStyle="1" w:styleId="338">
    <w:name w:val="List Table 1 Light - Accent 31"/>
    <w:qFormat/>
    <w:uiPriority w:val="99"/>
    <w:tblPr>
      <w:tblCellMar>
        <w:top w:w="0" w:type="dxa"/>
        <w:left w:w="0" w:type="dxa"/>
        <w:bottom w:w="0" w:type="dxa"/>
        <w:right w:w="0" w:type="dxa"/>
      </w:tblCellMar>
    </w:tblPr>
  </w:style>
  <w:style w:type="table" w:customStyle="1" w:styleId="339">
    <w:name w:val="List Table 1 Light - Accent 41"/>
    <w:qFormat/>
    <w:uiPriority w:val="99"/>
    <w:tblPr>
      <w:tblCellMar>
        <w:top w:w="0" w:type="dxa"/>
        <w:left w:w="0" w:type="dxa"/>
        <w:bottom w:w="0" w:type="dxa"/>
        <w:right w:w="0" w:type="dxa"/>
      </w:tblCellMar>
    </w:tblPr>
  </w:style>
  <w:style w:type="table" w:customStyle="1" w:styleId="340">
    <w:name w:val="List Table 1 Light - Accent 51"/>
    <w:qFormat/>
    <w:uiPriority w:val="99"/>
    <w:tblPr>
      <w:tblCellMar>
        <w:top w:w="0" w:type="dxa"/>
        <w:left w:w="0" w:type="dxa"/>
        <w:bottom w:w="0" w:type="dxa"/>
        <w:right w:w="0" w:type="dxa"/>
      </w:tblCellMar>
    </w:tblPr>
  </w:style>
  <w:style w:type="table" w:customStyle="1" w:styleId="341">
    <w:name w:val="List Table 1 Light - Accent 61"/>
    <w:qFormat/>
    <w:uiPriority w:val="99"/>
    <w:tblPr>
      <w:tblCellMar>
        <w:top w:w="0" w:type="dxa"/>
        <w:left w:w="0" w:type="dxa"/>
        <w:bottom w:w="0" w:type="dxa"/>
        <w:right w:w="0" w:type="dxa"/>
      </w:tblCellMar>
    </w:tblPr>
  </w:style>
  <w:style w:type="table" w:customStyle="1" w:styleId="342">
    <w:name w:val="List Table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343">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344">
    <w:name w:val="List Table 2 - Accent 2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345">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346">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347">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348">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349">
    <w:name w:val="List Table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350">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351">
    <w:name w:val="List Table 3 - Accent 2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352">
    <w:name w:val="List Table 3 - Accent 3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353">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354">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355">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356">
    <w:name w:val="List Table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357">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358">
    <w:name w:val="List Table 4 - Accent 2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359">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360">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361">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362">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363">
    <w:name w:val="List Table 5 Dark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364">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365">
    <w:name w:val="List Table 5 Dark - Accent 2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366">
    <w:name w:val="List Table 5 Dark - Accent 3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367">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368">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369">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370">
    <w:name w:val="List Table 6 Colorful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371">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372">
    <w:name w:val="List Table 6 Colorful - Accent 21"/>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373">
    <w:name w:val="List Table 6 Colorful - Accent 31"/>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374">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375">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376">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377">
    <w:name w:val="List Table 7 Colorful1"/>
    <w:qFormat/>
    <w:uiPriority w:val="99"/>
    <w:tblPr>
      <w:tblBorders>
        <w:right w:val="single" w:color="7F7F7F" w:sz="4" w:space="0"/>
      </w:tblBorders>
      <w:tblCellMar>
        <w:top w:w="0" w:type="dxa"/>
        <w:left w:w="0" w:type="dxa"/>
        <w:bottom w:w="0" w:type="dxa"/>
        <w:right w:w="0" w:type="dxa"/>
      </w:tblCellMar>
    </w:tblPr>
  </w:style>
  <w:style w:type="table" w:customStyle="1" w:styleId="378">
    <w:name w:val="List Table 7 Colorful - Accent 11"/>
    <w:qFormat/>
    <w:uiPriority w:val="99"/>
    <w:tblPr>
      <w:tblBorders>
        <w:right w:val="single" w:color="4F81BD" w:sz="4" w:space="0"/>
      </w:tblBorders>
      <w:tblCellMar>
        <w:top w:w="0" w:type="dxa"/>
        <w:left w:w="0" w:type="dxa"/>
        <w:bottom w:w="0" w:type="dxa"/>
        <w:right w:w="0" w:type="dxa"/>
      </w:tblCellMar>
    </w:tblPr>
  </w:style>
  <w:style w:type="table" w:customStyle="1" w:styleId="379">
    <w:name w:val="List Table 7 Colorful - Accent 21"/>
    <w:qFormat/>
    <w:uiPriority w:val="99"/>
    <w:tblPr>
      <w:tblBorders>
        <w:right w:val="single" w:color="D99695" w:sz="4" w:space="0"/>
      </w:tblBorders>
      <w:tblCellMar>
        <w:top w:w="0" w:type="dxa"/>
        <w:left w:w="0" w:type="dxa"/>
        <w:bottom w:w="0" w:type="dxa"/>
        <w:right w:w="0" w:type="dxa"/>
      </w:tblCellMar>
    </w:tblPr>
  </w:style>
  <w:style w:type="table" w:customStyle="1" w:styleId="380">
    <w:name w:val="List Table 7 Colorful - Accent 31"/>
    <w:qFormat/>
    <w:uiPriority w:val="99"/>
    <w:tblPr>
      <w:tblBorders>
        <w:right w:val="single" w:color="C3D69B" w:sz="4" w:space="0"/>
      </w:tblBorders>
      <w:tblCellMar>
        <w:top w:w="0" w:type="dxa"/>
        <w:left w:w="0" w:type="dxa"/>
        <w:bottom w:w="0" w:type="dxa"/>
        <w:right w:w="0" w:type="dxa"/>
      </w:tblCellMar>
    </w:tblPr>
  </w:style>
  <w:style w:type="table" w:customStyle="1" w:styleId="381">
    <w:name w:val="List Table 7 Colorful - Accent 41"/>
    <w:qFormat/>
    <w:uiPriority w:val="99"/>
    <w:tblPr>
      <w:tblBorders>
        <w:right w:val="single" w:color="B2A1C6" w:sz="4" w:space="0"/>
      </w:tblBorders>
      <w:tblCellMar>
        <w:top w:w="0" w:type="dxa"/>
        <w:left w:w="0" w:type="dxa"/>
        <w:bottom w:w="0" w:type="dxa"/>
        <w:right w:w="0" w:type="dxa"/>
      </w:tblCellMar>
    </w:tblPr>
  </w:style>
  <w:style w:type="table" w:customStyle="1" w:styleId="382">
    <w:name w:val="List Table 7 Colorful - Accent 51"/>
    <w:qFormat/>
    <w:uiPriority w:val="99"/>
    <w:tblPr>
      <w:tblBorders>
        <w:right w:val="single" w:color="92CCDC" w:sz="4" w:space="0"/>
      </w:tblBorders>
      <w:tblCellMar>
        <w:top w:w="0" w:type="dxa"/>
        <w:left w:w="0" w:type="dxa"/>
        <w:bottom w:w="0" w:type="dxa"/>
        <w:right w:w="0" w:type="dxa"/>
      </w:tblCellMar>
    </w:tblPr>
  </w:style>
  <w:style w:type="table" w:customStyle="1" w:styleId="383">
    <w:name w:val="List Table 7 Colorful - Accent 61"/>
    <w:qFormat/>
    <w:uiPriority w:val="99"/>
    <w:tblPr>
      <w:tblBorders>
        <w:right w:val="single" w:color="FAC090" w:sz="4" w:space="0"/>
      </w:tblBorders>
      <w:tblCellMar>
        <w:top w:w="0" w:type="dxa"/>
        <w:left w:w="0" w:type="dxa"/>
        <w:bottom w:w="0" w:type="dxa"/>
        <w:right w:w="0" w:type="dxa"/>
      </w:tblCellMar>
    </w:tblPr>
  </w:style>
  <w:style w:type="table" w:customStyle="1" w:styleId="384">
    <w:name w:val="Lined - Accent1"/>
    <w:qFormat/>
    <w:uiPriority w:val="99"/>
    <w:rPr>
      <w:color w:val="404040"/>
    </w:rPr>
    <w:tblPr>
      <w:tblCellMar>
        <w:top w:w="0" w:type="dxa"/>
        <w:left w:w="0" w:type="dxa"/>
        <w:bottom w:w="0" w:type="dxa"/>
        <w:right w:w="0" w:type="dxa"/>
      </w:tblCellMar>
    </w:tblPr>
  </w:style>
  <w:style w:type="table" w:customStyle="1" w:styleId="385">
    <w:name w:val="Lined - Accent 11"/>
    <w:qFormat/>
    <w:uiPriority w:val="99"/>
    <w:rPr>
      <w:color w:val="404040"/>
    </w:rPr>
    <w:tblPr>
      <w:tblCellMar>
        <w:top w:w="0" w:type="dxa"/>
        <w:left w:w="0" w:type="dxa"/>
        <w:bottom w:w="0" w:type="dxa"/>
        <w:right w:w="0" w:type="dxa"/>
      </w:tblCellMar>
    </w:tblPr>
  </w:style>
  <w:style w:type="table" w:customStyle="1" w:styleId="386">
    <w:name w:val="Lined - Accent 21"/>
    <w:qFormat/>
    <w:uiPriority w:val="99"/>
    <w:rPr>
      <w:color w:val="404040"/>
    </w:rPr>
    <w:tblPr>
      <w:tblCellMar>
        <w:top w:w="0" w:type="dxa"/>
        <w:left w:w="0" w:type="dxa"/>
        <w:bottom w:w="0" w:type="dxa"/>
        <w:right w:w="0" w:type="dxa"/>
      </w:tblCellMar>
    </w:tblPr>
  </w:style>
  <w:style w:type="table" w:customStyle="1" w:styleId="387">
    <w:name w:val="Lined - Accent 31"/>
    <w:qFormat/>
    <w:uiPriority w:val="99"/>
    <w:rPr>
      <w:color w:val="404040"/>
    </w:rPr>
    <w:tblPr>
      <w:tblCellMar>
        <w:top w:w="0" w:type="dxa"/>
        <w:left w:w="0" w:type="dxa"/>
        <w:bottom w:w="0" w:type="dxa"/>
        <w:right w:w="0" w:type="dxa"/>
      </w:tblCellMar>
    </w:tblPr>
  </w:style>
  <w:style w:type="table" w:customStyle="1" w:styleId="388">
    <w:name w:val="Lined - Accent 41"/>
    <w:qFormat/>
    <w:uiPriority w:val="99"/>
    <w:rPr>
      <w:color w:val="404040"/>
    </w:rPr>
    <w:tblPr>
      <w:tblCellMar>
        <w:top w:w="0" w:type="dxa"/>
        <w:left w:w="0" w:type="dxa"/>
        <w:bottom w:w="0" w:type="dxa"/>
        <w:right w:w="0" w:type="dxa"/>
      </w:tblCellMar>
    </w:tblPr>
  </w:style>
  <w:style w:type="table" w:customStyle="1" w:styleId="389">
    <w:name w:val="Lined - Accent 51"/>
    <w:qFormat/>
    <w:uiPriority w:val="99"/>
    <w:rPr>
      <w:color w:val="404040"/>
    </w:rPr>
    <w:tblPr>
      <w:tblCellMar>
        <w:top w:w="0" w:type="dxa"/>
        <w:left w:w="0" w:type="dxa"/>
        <w:bottom w:w="0" w:type="dxa"/>
        <w:right w:w="0" w:type="dxa"/>
      </w:tblCellMar>
    </w:tblPr>
  </w:style>
  <w:style w:type="table" w:customStyle="1" w:styleId="390">
    <w:name w:val="Lined - Accent 61"/>
    <w:qFormat/>
    <w:uiPriority w:val="99"/>
    <w:rPr>
      <w:color w:val="404040"/>
    </w:rPr>
    <w:tblPr>
      <w:tblCellMar>
        <w:top w:w="0" w:type="dxa"/>
        <w:left w:w="0" w:type="dxa"/>
        <w:bottom w:w="0" w:type="dxa"/>
        <w:right w:w="0" w:type="dxa"/>
      </w:tblCellMar>
    </w:tblPr>
  </w:style>
  <w:style w:type="table" w:customStyle="1" w:styleId="391">
    <w:name w:val="Bordered &amp; Lined - Accent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392">
    <w:name w:val="Bordered &amp; Lined - Accent 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393">
    <w:name w:val="Bordered &amp; Lined - Accent 2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394">
    <w:name w:val="Bordered &amp; Lined - Accent 3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395">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396">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397">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398">
    <w:name w:val="Bordered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399">
    <w:name w:val="Bordered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400">
    <w:name w:val="Bordered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401">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402">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403">
    <w:name w:val="Bordered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404">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405">
    <w:name w:val="Footnote Text Char"/>
    <w:qFormat/>
    <w:uiPriority w:val="99"/>
    <w:rPr>
      <w:sz w:val="18"/>
    </w:rPr>
  </w:style>
  <w:style w:type="character" w:customStyle="1" w:styleId="406">
    <w:name w:val="题注 字符"/>
    <w:link w:val="17"/>
    <w:qFormat/>
    <w:uiPriority w:val="35"/>
    <w:rPr>
      <w:b/>
      <w:bCs/>
      <w:color w:val="4F81BD"/>
      <w:sz w:val="18"/>
      <w:szCs w:val="18"/>
    </w:rPr>
  </w:style>
  <w:style w:type="character" w:customStyle="1" w:styleId="407">
    <w:name w:val="普通(网站) 字符"/>
    <w:link w:val="48"/>
    <w:qFormat/>
    <w:uiPriority w:val="0"/>
    <w:rPr>
      <w:rFonts w:ascii="宋体" w:hAnsi="宋体" w:cs="宋体"/>
      <w:sz w:val="24"/>
      <w:szCs w:val="24"/>
    </w:rPr>
  </w:style>
  <w:style w:type="character" w:customStyle="1" w:styleId="408">
    <w:name w:val="paramlista1"/>
    <w:qFormat/>
    <w:uiPriority w:val="0"/>
    <w:rPr>
      <w:rFonts w:ascii="Calibri" w:hAnsi="Calibri" w:eastAsia="宋体" w:cs="Times New Roman"/>
      <w:sz w:val="18"/>
      <w:szCs w:val="18"/>
    </w:rPr>
  </w:style>
  <w:style w:type="character" w:customStyle="1" w:styleId="409">
    <w:name w:val="Table Text Char"/>
    <w:link w:val="410"/>
    <w:qFormat/>
    <w:uiPriority w:val="0"/>
    <w:rPr>
      <w:rFonts w:cs="Arial"/>
      <w:sz w:val="21"/>
      <w:szCs w:val="21"/>
    </w:rPr>
  </w:style>
  <w:style w:type="paragraph" w:customStyle="1" w:styleId="410">
    <w:name w:val="Table Text"/>
    <w:basedOn w:val="1"/>
    <w:link w:val="409"/>
    <w:qFormat/>
    <w:uiPriority w:val="0"/>
    <w:pPr>
      <w:spacing w:before="80" w:after="80" w:line="240" w:lineRule="atLeast"/>
      <w:jc w:val="left"/>
    </w:pPr>
    <w:rPr>
      <w:rFonts w:cs="Arial"/>
      <w:szCs w:val="21"/>
    </w:rPr>
  </w:style>
  <w:style w:type="character" w:customStyle="1" w:styleId="411">
    <w:name w:val="文档结构图 Char2"/>
    <w:semiHidden/>
    <w:qFormat/>
    <w:uiPriority w:val="99"/>
    <w:rPr>
      <w:rFonts w:ascii="宋体"/>
      <w:sz w:val="18"/>
      <w:szCs w:val="18"/>
    </w:rPr>
  </w:style>
  <w:style w:type="character" w:customStyle="1" w:styleId="412">
    <w:name w:val="项目编号A Char Char"/>
    <w:link w:val="413"/>
    <w:qFormat/>
    <w:uiPriority w:val="0"/>
    <w:rPr>
      <w:sz w:val="24"/>
      <w:szCs w:val="24"/>
    </w:rPr>
  </w:style>
  <w:style w:type="paragraph" w:customStyle="1" w:styleId="413">
    <w:name w:val="项目编号A"/>
    <w:link w:val="412"/>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414">
    <w:name w:val="正文文本缩进 Char2"/>
    <w:semiHidden/>
    <w:qFormat/>
    <w:uiPriority w:val="99"/>
    <w:rPr>
      <w:sz w:val="21"/>
      <w:szCs w:val="22"/>
    </w:rPr>
  </w:style>
  <w:style w:type="character" w:customStyle="1" w:styleId="415">
    <w:name w:val="带缩进的正文 Char Char"/>
    <w:link w:val="416"/>
    <w:qFormat/>
    <w:uiPriority w:val="0"/>
    <w:rPr>
      <w:rFonts w:ascii="Calibri" w:hAnsi="Calibri"/>
      <w:sz w:val="24"/>
      <w:szCs w:val="22"/>
    </w:rPr>
  </w:style>
  <w:style w:type="paragraph" w:customStyle="1" w:styleId="416">
    <w:name w:val="带缩进的正文"/>
    <w:basedOn w:val="1"/>
    <w:link w:val="415"/>
    <w:qFormat/>
    <w:uiPriority w:val="0"/>
    <w:pPr>
      <w:spacing w:line="360" w:lineRule="auto"/>
      <w:ind w:firstLine="480"/>
    </w:pPr>
    <w:rPr>
      <w:rFonts w:ascii="Calibri" w:hAnsi="Calibri"/>
      <w:sz w:val="24"/>
    </w:rPr>
  </w:style>
  <w:style w:type="character" w:customStyle="1" w:styleId="417">
    <w:name w:val="Char Char17"/>
    <w:qFormat/>
    <w:uiPriority w:val="0"/>
    <w:rPr>
      <w:rFonts w:ascii="Arial" w:hAnsi="Arial" w:eastAsia="黑体"/>
      <w:b/>
      <w:spacing w:val="-2"/>
      <w:position w:val="-6"/>
      <w:sz w:val="24"/>
    </w:rPr>
  </w:style>
  <w:style w:type="character" w:customStyle="1" w:styleId="418">
    <w:name w:val="表格 Char Char"/>
    <w:link w:val="419"/>
    <w:qFormat/>
    <w:uiPriority w:val="0"/>
    <w:rPr>
      <w:rFonts w:ascii="Arial" w:hAnsi="Arial"/>
      <w:sz w:val="24"/>
      <w:szCs w:val="24"/>
    </w:rPr>
  </w:style>
  <w:style w:type="paragraph" w:customStyle="1" w:styleId="419">
    <w:name w:val="表格"/>
    <w:basedOn w:val="1"/>
    <w:link w:val="418"/>
    <w:qFormat/>
    <w:uiPriority w:val="0"/>
    <w:rPr>
      <w:rFonts w:ascii="Arial" w:hAnsi="Arial"/>
      <w:sz w:val="24"/>
      <w:szCs w:val="24"/>
    </w:rPr>
  </w:style>
  <w:style w:type="character" w:customStyle="1" w:styleId="420">
    <w:name w:val="normal91"/>
    <w:qFormat/>
    <w:uiPriority w:val="0"/>
    <w:rPr>
      <w:rFonts w:ascii="Calibri" w:hAnsi="Calibri" w:eastAsia="宋体" w:cs="Times New Roman"/>
      <w:sz w:val="20"/>
      <w:szCs w:val="20"/>
    </w:rPr>
  </w:style>
  <w:style w:type="character" w:customStyle="1" w:styleId="421">
    <w:name w:val="font121"/>
    <w:qFormat/>
    <w:uiPriority w:val="0"/>
    <w:rPr>
      <w:rFonts w:hint="eastAsia" w:ascii="宋体" w:hAnsi="宋体" w:eastAsia="宋体" w:cs="宋体"/>
      <w:b/>
      <w:color w:val="000000"/>
      <w:sz w:val="20"/>
      <w:szCs w:val="20"/>
      <w:u w:val="none"/>
    </w:rPr>
  </w:style>
  <w:style w:type="character" w:customStyle="1" w:styleId="422">
    <w:name w:val="font81"/>
    <w:qFormat/>
    <w:uiPriority w:val="0"/>
    <w:rPr>
      <w:rFonts w:hint="eastAsia" w:ascii="宋体" w:hAnsi="宋体" w:eastAsia="宋体" w:cs="宋体"/>
      <w:b/>
      <w:color w:val="000000"/>
      <w:sz w:val="20"/>
      <w:szCs w:val="20"/>
      <w:u w:val="none"/>
    </w:rPr>
  </w:style>
  <w:style w:type="character" w:customStyle="1" w:styleId="423">
    <w:name w:val="Char Char16"/>
    <w:qFormat/>
    <w:uiPriority w:val="0"/>
    <w:rPr>
      <w:rFonts w:ascii="宋体"/>
      <w:b/>
      <w:spacing w:val="-2"/>
      <w:position w:val="-6"/>
      <w:sz w:val="24"/>
    </w:rPr>
  </w:style>
  <w:style w:type="character" w:customStyle="1" w:styleId="424">
    <w:name w:val="普通文字 Char Char Char"/>
    <w:qFormat/>
    <w:uiPriority w:val="0"/>
    <w:rPr>
      <w:rFonts w:ascii="宋体" w:hAnsi="Courier New" w:eastAsia="宋体" w:cs="Courier New"/>
      <w:sz w:val="21"/>
      <w:szCs w:val="21"/>
      <w:lang w:val="en-US" w:eastAsia="zh-CN" w:bidi="ar-SA"/>
    </w:rPr>
  </w:style>
  <w:style w:type="character" w:customStyle="1" w:styleId="425">
    <w:name w:val="font"/>
    <w:qFormat/>
    <w:uiPriority w:val="0"/>
  </w:style>
  <w:style w:type="character" w:customStyle="1" w:styleId="426">
    <w:name w:val="正文缩进 Char2"/>
    <w:qFormat/>
    <w:uiPriority w:val="0"/>
    <w:rPr>
      <w:rFonts w:eastAsia="宋体"/>
      <w:sz w:val="21"/>
      <w:lang w:val="en-US" w:eastAsia="zh-CN" w:bidi="ar-SA"/>
    </w:rPr>
  </w:style>
  <w:style w:type="character" w:customStyle="1" w:styleId="427">
    <w:name w:val="font131"/>
    <w:qFormat/>
    <w:uiPriority w:val="0"/>
    <w:rPr>
      <w:rFonts w:hint="eastAsia" w:ascii="宋体" w:hAnsi="宋体" w:eastAsia="宋体" w:cs="宋体"/>
      <w:color w:val="000000"/>
      <w:sz w:val="18"/>
      <w:szCs w:val="18"/>
      <w:u w:val="none"/>
    </w:rPr>
  </w:style>
  <w:style w:type="character" w:customStyle="1" w:styleId="428">
    <w:name w:val="font21"/>
    <w:qFormat/>
    <w:uiPriority w:val="0"/>
    <w:rPr>
      <w:rFonts w:hint="eastAsia" w:ascii="楷体" w:hAnsi="楷体" w:eastAsia="楷体" w:cs="楷体"/>
      <w:color w:val="000000"/>
      <w:sz w:val="22"/>
      <w:szCs w:val="22"/>
      <w:u w:val="none"/>
    </w:rPr>
  </w:style>
  <w:style w:type="character" w:customStyle="1" w:styleId="429">
    <w:name w:val="font141"/>
    <w:qFormat/>
    <w:uiPriority w:val="0"/>
    <w:rPr>
      <w:rFonts w:hint="eastAsia" w:ascii="宋体" w:hAnsi="宋体" w:eastAsia="宋体" w:cs="宋体"/>
      <w:color w:val="000000"/>
      <w:sz w:val="20"/>
      <w:szCs w:val="20"/>
      <w:u w:val="none"/>
    </w:rPr>
  </w:style>
  <w:style w:type="character" w:customStyle="1" w:styleId="430">
    <w:name w:val="Char Char19"/>
    <w:qFormat/>
    <w:uiPriority w:val="0"/>
    <w:rPr>
      <w:rFonts w:ascii="Arial" w:hAnsi="Arial" w:eastAsia="黑体"/>
      <w:b/>
      <w:bCs/>
      <w:sz w:val="28"/>
      <w:szCs w:val="28"/>
    </w:rPr>
  </w:style>
  <w:style w:type="character" w:customStyle="1" w:styleId="431">
    <w:name w:val="font61"/>
    <w:qFormat/>
    <w:uiPriority w:val="0"/>
    <w:rPr>
      <w:rFonts w:ascii="Arial" w:hAnsi="Arial" w:cs="Arial"/>
      <w:b/>
      <w:color w:val="000000"/>
      <w:sz w:val="20"/>
      <w:szCs w:val="20"/>
      <w:u w:val="none"/>
    </w:rPr>
  </w:style>
  <w:style w:type="character" w:customStyle="1" w:styleId="432">
    <w:name w:val="副标题 Char2"/>
    <w:qFormat/>
    <w:uiPriority w:val="11"/>
    <w:rPr>
      <w:rFonts w:ascii="Cambria" w:hAnsi="Cambria" w:cs="Times New Roman"/>
      <w:b/>
      <w:bCs/>
      <w:sz w:val="32"/>
      <w:szCs w:val="32"/>
    </w:rPr>
  </w:style>
  <w:style w:type="character" w:customStyle="1" w:styleId="433">
    <w:name w:val="模板正文 Char"/>
    <w:link w:val="434"/>
    <w:qFormat/>
    <w:uiPriority w:val="0"/>
    <w:rPr>
      <w:rFonts w:ascii="Calibri" w:hAnsi="Calibri"/>
      <w:sz w:val="28"/>
      <w:szCs w:val="21"/>
    </w:rPr>
  </w:style>
  <w:style w:type="paragraph" w:customStyle="1" w:styleId="434">
    <w:name w:val="模板正文"/>
    <w:basedOn w:val="1"/>
    <w:link w:val="433"/>
    <w:qFormat/>
    <w:uiPriority w:val="0"/>
    <w:pPr>
      <w:spacing w:line="360" w:lineRule="auto"/>
      <w:ind w:firstLine="200"/>
    </w:pPr>
    <w:rPr>
      <w:rFonts w:ascii="Calibri" w:hAnsi="Calibri"/>
      <w:sz w:val="28"/>
      <w:szCs w:val="21"/>
    </w:rPr>
  </w:style>
  <w:style w:type="character" w:customStyle="1" w:styleId="435">
    <w:name w:val="+正文 Char3"/>
    <w:link w:val="436"/>
    <w:qFormat/>
    <w:uiPriority w:val="0"/>
    <w:rPr>
      <w:sz w:val="28"/>
    </w:rPr>
  </w:style>
  <w:style w:type="paragraph" w:customStyle="1" w:styleId="436">
    <w:name w:val="+正文"/>
    <w:basedOn w:val="1"/>
    <w:link w:val="435"/>
    <w:qFormat/>
    <w:uiPriority w:val="0"/>
    <w:pPr>
      <w:spacing w:line="360" w:lineRule="auto"/>
      <w:ind w:firstLine="200"/>
    </w:pPr>
    <w:rPr>
      <w:sz w:val="28"/>
      <w:szCs w:val="20"/>
    </w:rPr>
  </w:style>
  <w:style w:type="character" w:customStyle="1" w:styleId="437">
    <w:name w:val="apple-converted-space"/>
    <w:qFormat/>
    <w:uiPriority w:val="0"/>
  </w:style>
  <w:style w:type="character" w:customStyle="1" w:styleId="438">
    <w:name w:val="页脚 Char2"/>
    <w:semiHidden/>
    <w:qFormat/>
    <w:uiPriority w:val="99"/>
    <w:rPr>
      <w:sz w:val="18"/>
      <w:szCs w:val="18"/>
    </w:rPr>
  </w:style>
  <w:style w:type="character" w:customStyle="1" w:styleId="439">
    <w:name w:val="批注文字 Char1"/>
    <w:qFormat/>
    <w:uiPriority w:val="99"/>
    <w:rPr>
      <w:rFonts w:ascii="Times New Roman" w:hAnsi="Times New Roman" w:eastAsia="宋体" w:cs="Times New Roman"/>
      <w:szCs w:val="24"/>
    </w:rPr>
  </w:style>
  <w:style w:type="character" w:customStyle="1" w:styleId="440">
    <w:name w:val="flname8"/>
    <w:qFormat/>
    <w:uiPriority w:val="0"/>
  </w:style>
  <w:style w:type="character" w:customStyle="1" w:styleId="441">
    <w:name w:val="标题 3 Char1"/>
    <w:qFormat/>
    <w:uiPriority w:val="0"/>
    <w:rPr>
      <w:b/>
      <w:sz w:val="32"/>
    </w:rPr>
  </w:style>
  <w:style w:type="character" w:customStyle="1" w:styleId="442">
    <w:name w:val="style31"/>
    <w:qFormat/>
    <w:uiPriority w:val="0"/>
    <w:rPr>
      <w:sz w:val="21"/>
      <w:szCs w:val="21"/>
    </w:rPr>
  </w:style>
  <w:style w:type="character" w:customStyle="1" w:styleId="443">
    <w:name w:val="font111"/>
    <w:qFormat/>
    <w:uiPriority w:val="0"/>
    <w:rPr>
      <w:rFonts w:hint="eastAsia" w:ascii="宋体" w:hAnsi="宋体" w:eastAsia="宋体" w:cs="宋体"/>
      <w:color w:val="000000"/>
      <w:sz w:val="21"/>
      <w:szCs w:val="21"/>
      <w:u w:val="none"/>
    </w:rPr>
  </w:style>
  <w:style w:type="character" w:customStyle="1" w:styleId="444">
    <w:name w:val="font31"/>
    <w:qFormat/>
    <w:uiPriority w:val="0"/>
    <w:rPr>
      <w:rFonts w:hint="eastAsia" w:ascii="宋体" w:hAnsi="宋体" w:eastAsia="宋体" w:cs="宋体"/>
      <w:b/>
      <w:color w:val="000000"/>
      <w:sz w:val="24"/>
      <w:szCs w:val="24"/>
      <w:u w:val="none"/>
    </w:rPr>
  </w:style>
  <w:style w:type="character" w:customStyle="1" w:styleId="445">
    <w:name w:val="Char Char171"/>
    <w:qFormat/>
    <w:uiPriority w:val="0"/>
    <w:rPr>
      <w:rFonts w:ascii="Arial" w:hAnsi="Arial" w:eastAsia="黑体"/>
      <w:b/>
      <w:spacing w:val="-2"/>
      <w:position w:val="-6"/>
      <w:sz w:val="24"/>
    </w:rPr>
  </w:style>
  <w:style w:type="character" w:customStyle="1" w:styleId="446">
    <w:name w:val="Char Char191"/>
    <w:qFormat/>
    <w:uiPriority w:val="0"/>
    <w:rPr>
      <w:rFonts w:ascii="Arial" w:hAnsi="Arial" w:eastAsia="黑体"/>
      <w:b/>
      <w:bCs/>
      <w:sz w:val="28"/>
      <w:szCs w:val="28"/>
    </w:rPr>
  </w:style>
  <w:style w:type="character" w:customStyle="1" w:styleId="447">
    <w:name w:val="页眉 Char1"/>
    <w:qFormat/>
    <w:uiPriority w:val="99"/>
    <w:rPr>
      <w:sz w:val="18"/>
      <w:szCs w:val="18"/>
    </w:rPr>
  </w:style>
  <w:style w:type="character" w:customStyle="1" w:styleId="448">
    <w:name w:val="Char Char20"/>
    <w:qFormat/>
    <w:uiPriority w:val="0"/>
    <w:rPr>
      <w:rFonts w:ascii="楷体_GB2312" w:eastAsia="楷体_GB2312"/>
      <w:sz w:val="28"/>
    </w:rPr>
  </w:style>
  <w:style w:type="character" w:customStyle="1" w:styleId="449">
    <w:name w:val="标题2 Char"/>
    <w:link w:val="450"/>
    <w:qFormat/>
    <w:uiPriority w:val="0"/>
    <w:rPr>
      <w:rFonts w:ascii="宋体" w:hAnsi="宋体"/>
      <w:b/>
      <w:bCs/>
      <w:sz w:val="28"/>
      <w:szCs w:val="28"/>
    </w:rPr>
  </w:style>
  <w:style w:type="paragraph" w:customStyle="1" w:styleId="450">
    <w:name w:val="标题2"/>
    <w:basedOn w:val="3"/>
    <w:next w:val="1"/>
    <w:link w:val="449"/>
    <w:qFormat/>
    <w:uiPriority w:val="0"/>
    <w:pPr>
      <w:spacing w:before="0" w:after="0" w:line="360" w:lineRule="auto"/>
      <w:ind w:left="425"/>
      <w:jc w:val="left"/>
    </w:pPr>
    <w:rPr>
      <w:rFonts w:ascii="宋体" w:hAnsi="宋体" w:eastAsia="宋体" w:cs="Times New Roman"/>
      <w:sz w:val="28"/>
      <w:szCs w:val="28"/>
    </w:rPr>
  </w:style>
  <w:style w:type="character" w:customStyle="1" w:styleId="451">
    <w:name w:val="标题 1 Char1"/>
    <w:qFormat/>
    <w:uiPriority w:val="0"/>
    <w:rPr>
      <w:b/>
      <w:sz w:val="44"/>
    </w:rPr>
  </w:style>
  <w:style w:type="character" w:customStyle="1" w:styleId="452">
    <w:name w:val="Table Heading Char1"/>
    <w:link w:val="453"/>
    <w:qFormat/>
    <w:uiPriority w:val="0"/>
    <w:rPr>
      <w:rFonts w:ascii="Book Antiqua" w:hAnsi="Book Antiqua" w:eastAsia="黑体" w:cs="Book Antiqua"/>
      <w:bCs/>
      <w:sz w:val="21"/>
      <w:szCs w:val="21"/>
    </w:rPr>
  </w:style>
  <w:style w:type="paragraph" w:customStyle="1" w:styleId="453">
    <w:name w:val="Table Heading"/>
    <w:basedOn w:val="1"/>
    <w:link w:val="452"/>
    <w:qFormat/>
    <w:uiPriority w:val="0"/>
    <w:pPr>
      <w:keepNext/>
      <w:spacing w:before="80" w:after="80" w:line="240" w:lineRule="atLeast"/>
      <w:jc w:val="left"/>
    </w:pPr>
    <w:rPr>
      <w:rFonts w:ascii="Book Antiqua" w:hAnsi="Book Antiqua" w:eastAsia="黑体" w:cs="Book Antiqua"/>
      <w:bCs/>
      <w:szCs w:val="21"/>
    </w:rPr>
  </w:style>
  <w:style w:type="character" w:customStyle="1" w:styleId="454">
    <w:name w:val="bodybold1"/>
    <w:qFormat/>
    <w:uiPriority w:val="0"/>
    <w:rPr>
      <w:rFonts w:ascii="Taipei" w:hAnsi="Taipei"/>
      <w:b/>
      <w:bCs/>
      <w:color w:val="0066FF"/>
      <w:sz w:val="26"/>
      <w:szCs w:val="26"/>
      <w:u w:val="none"/>
    </w:rPr>
  </w:style>
  <w:style w:type="character" w:customStyle="1" w:styleId="455">
    <w:name w:val="批注主题 Char1"/>
    <w:qFormat/>
    <w:uiPriority w:val="99"/>
    <w:rPr>
      <w:rFonts w:ascii="Calibri" w:hAnsi="Calibri" w:eastAsia="宋体" w:cs="Times New Roman"/>
      <w:b/>
      <w:bCs/>
      <w:sz w:val="21"/>
      <w:szCs w:val="22"/>
    </w:rPr>
  </w:style>
  <w:style w:type="character" w:customStyle="1" w:styleId="456">
    <w:name w:val="正文文本缩进 3 Char1"/>
    <w:semiHidden/>
    <w:qFormat/>
    <w:uiPriority w:val="99"/>
    <w:rPr>
      <w:rFonts w:ascii="Calibri" w:hAnsi="Calibri" w:eastAsia="宋体" w:cs="Times New Roman"/>
      <w:sz w:val="16"/>
      <w:szCs w:val="16"/>
    </w:rPr>
  </w:style>
  <w:style w:type="character" w:customStyle="1" w:styleId="457">
    <w:name w:val="批注文字 Char2"/>
    <w:qFormat/>
    <w:uiPriority w:val="99"/>
    <w:rPr>
      <w:sz w:val="21"/>
      <w:szCs w:val="22"/>
    </w:rPr>
  </w:style>
  <w:style w:type="character" w:customStyle="1" w:styleId="458">
    <w:name w:val="页码2"/>
    <w:qFormat/>
    <w:uiPriority w:val="0"/>
  </w:style>
  <w:style w:type="character" w:customStyle="1" w:styleId="459">
    <w:name w:val="武汉表格 Char"/>
    <w:link w:val="460"/>
    <w:qFormat/>
    <w:uiPriority w:val="0"/>
    <w:rPr>
      <w:rFonts w:eastAsia="黑体"/>
      <w:sz w:val="21"/>
      <w:szCs w:val="21"/>
    </w:rPr>
  </w:style>
  <w:style w:type="paragraph" w:customStyle="1" w:styleId="460">
    <w:name w:val="武汉表格"/>
    <w:basedOn w:val="1"/>
    <w:link w:val="459"/>
    <w:qFormat/>
    <w:uiPriority w:val="0"/>
    <w:rPr>
      <w:rFonts w:eastAsia="黑体"/>
      <w:szCs w:val="21"/>
    </w:rPr>
  </w:style>
  <w:style w:type="character" w:customStyle="1" w:styleId="461">
    <w:name w:val="se11"/>
    <w:qFormat/>
    <w:uiPriority w:val="0"/>
    <w:rPr>
      <w:rFonts w:ascii="Tahoma" w:hAnsi="Tahoma" w:cs="Times New Roman"/>
      <w:color w:val="000000"/>
      <w:sz w:val="24"/>
      <w:lang w:bidi="ar-SA"/>
    </w:rPr>
  </w:style>
  <w:style w:type="character" w:customStyle="1" w:styleId="462">
    <w:name w:val="p0 Char"/>
    <w:link w:val="463"/>
    <w:qFormat/>
    <w:uiPriority w:val="0"/>
    <w:rPr>
      <w:sz w:val="21"/>
      <w:szCs w:val="21"/>
    </w:rPr>
  </w:style>
  <w:style w:type="paragraph" w:customStyle="1" w:styleId="463">
    <w:name w:val="p0"/>
    <w:basedOn w:val="1"/>
    <w:link w:val="462"/>
    <w:qFormat/>
    <w:uiPriority w:val="0"/>
    <w:pPr>
      <w:widowControl/>
    </w:pPr>
    <w:rPr>
      <w:szCs w:val="21"/>
    </w:rPr>
  </w:style>
  <w:style w:type="character" w:customStyle="1" w:styleId="464">
    <w:name w:val="项目编号B Char"/>
    <w:link w:val="465"/>
    <w:qFormat/>
    <w:uiPriority w:val="0"/>
    <w:rPr>
      <w:sz w:val="24"/>
      <w:szCs w:val="24"/>
    </w:rPr>
  </w:style>
  <w:style w:type="paragraph" w:customStyle="1" w:styleId="465">
    <w:name w:val="项目编号B"/>
    <w:link w:val="464"/>
    <w:qFormat/>
    <w:uiPriority w:val="0"/>
    <w:pPr>
      <w:tabs>
        <w:tab w:val="left" w:pos="960"/>
        <w:tab w:val="left" w:pos="1260"/>
      </w:tabs>
      <w:spacing w:line="360" w:lineRule="auto"/>
      <w:ind w:left="432" w:hanging="432"/>
    </w:pPr>
    <w:rPr>
      <w:rFonts w:ascii="Times New Roman" w:hAnsi="Times New Roman" w:eastAsia="宋体" w:cs="Times New Roman"/>
      <w:sz w:val="24"/>
      <w:szCs w:val="24"/>
      <w:lang w:val="en-US" w:eastAsia="zh-CN" w:bidi="ar-SA"/>
    </w:rPr>
  </w:style>
  <w:style w:type="character" w:customStyle="1" w:styleId="466">
    <w:name w:val="样式6 Char Char"/>
    <w:link w:val="467"/>
    <w:qFormat/>
    <w:uiPriority w:val="0"/>
    <w:rPr>
      <w:rFonts w:ascii="宋体" w:hAnsi="宋体"/>
      <w:sz w:val="28"/>
      <w:szCs w:val="28"/>
    </w:rPr>
  </w:style>
  <w:style w:type="paragraph" w:customStyle="1" w:styleId="467">
    <w:name w:val="样式6"/>
    <w:basedOn w:val="1"/>
    <w:link w:val="466"/>
    <w:qFormat/>
    <w:uiPriority w:val="0"/>
    <w:pPr>
      <w:spacing w:line="360" w:lineRule="auto"/>
      <w:ind w:left="980" w:hanging="420"/>
    </w:pPr>
    <w:rPr>
      <w:rFonts w:ascii="宋体" w:hAnsi="宋体"/>
      <w:sz w:val="28"/>
      <w:szCs w:val="28"/>
    </w:rPr>
  </w:style>
  <w:style w:type="character" w:customStyle="1" w:styleId="468">
    <w:name w:val="fontstyle01"/>
    <w:qFormat/>
    <w:uiPriority w:val="0"/>
    <w:rPr>
      <w:rFonts w:ascii="楷体" w:hAnsi="楷体"/>
      <w:color w:val="000000"/>
      <w:sz w:val="24"/>
      <w:szCs w:val="24"/>
    </w:rPr>
  </w:style>
  <w:style w:type="character" w:customStyle="1" w:styleId="469">
    <w:name w:val="Char Char201"/>
    <w:qFormat/>
    <w:uiPriority w:val="0"/>
    <w:rPr>
      <w:rFonts w:ascii="楷体_GB2312" w:eastAsia="楷体_GB2312"/>
      <w:sz w:val="28"/>
    </w:rPr>
  </w:style>
  <w:style w:type="character" w:customStyle="1" w:styleId="470">
    <w:name w:val="正文文本缩进 2 Char2"/>
    <w:semiHidden/>
    <w:qFormat/>
    <w:uiPriority w:val="99"/>
    <w:rPr>
      <w:sz w:val="21"/>
      <w:szCs w:val="22"/>
    </w:rPr>
  </w:style>
  <w:style w:type="character" w:customStyle="1" w:styleId="471">
    <w:name w:val="正文首行缩进 Char2"/>
    <w:qFormat/>
    <w:uiPriority w:val="99"/>
    <w:rPr>
      <w:rFonts w:ascii="楷体_GB2312" w:hAnsi="Arial" w:eastAsia="楷体_GB2312"/>
      <w:sz w:val="21"/>
      <w:szCs w:val="24"/>
    </w:rPr>
  </w:style>
  <w:style w:type="character" w:customStyle="1" w:styleId="472">
    <w:name w:val="样式 正文文本缩进 + 左  0 字符 Char Char"/>
    <w:link w:val="473"/>
    <w:qFormat/>
    <w:uiPriority w:val="0"/>
    <w:rPr>
      <w:rFonts w:cs="宋体"/>
      <w:sz w:val="24"/>
    </w:rPr>
  </w:style>
  <w:style w:type="paragraph" w:customStyle="1" w:styleId="473">
    <w:name w:val="样式 正文文本缩进 + 左  0 字符"/>
    <w:basedOn w:val="23"/>
    <w:link w:val="472"/>
    <w:qFormat/>
    <w:uiPriority w:val="0"/>
    <w:pPr>
      <w:spacing w:after="0" w:line="360" w:lineRule="auto"/>
      <w:ind w:left="0" w:firstLine="250"/>
    </w:pPr>
    <w:rPr>
      <w:rFonts w:cs="宋体"/>
      <w:sz w:val="24"/>
      <w:szCs w:val="20"/>
    </w:rPr>
  </w:style>
  <w:style w:type="character" w:customStyle="1" w:styleId="474">
    <w:name w:val="font41"/>
    <w:qFormat/>
    <w:uiPriority w:val="0"/>
    <w:rPr>
      <w:rFonts w:hint="eastAsia" w:ascii="宋体" w:hAnsi="宋体" w:eastAsia="宋体" w:cs="宋体"/>
      <w:color w:val="000000"/>
      <w:sz w:val="20"/>
      <w:szCs w:val="20"/>
      <w:u w:val="none"/>
    </w:rPr>
  </w:style>
  <w:style w:type="character" w:customStyle="1" w:styleId="475">
    <w:name w:val="标题 3 Char Char"/>
    <w:qFormat/>
    <w:uiPriority w:val="0"/>
    <w:rPr>
      <w:rFonts w:eastAsia="宋体"/>
      <w:b/>
      <w:sz w:val="32"/>
      <w:lang w:val="en-US" w:eastAsia="zh-CN" w:bidi="ar-SA"/>
    </w:rPr>
  </w:style>
  <w:style w:type="character" w:customStyle="1" w:styleId="476">
    <w:name w:val="Char Char151"/>
    <w:qFormat/>
    <w:uiPriority w:val="0"/>
    <w:rPr>
      <w:rFonts w:ascii="Arial" w:hAnsi="Arial" w:eastAsia="黑体"/>
      <w:spacing w:val="-2"/>
      <w:position w:val="-6"/>
      <w:sz w:val="24"/>
    </w:rPr>
  </w:style>
  <w:style w:type="character" w:customStyle="1" w:styleId="477">
    <w:name w:val="批注引用1"/>
    <w:qFormat/>
    <w:uiPriority w:val="0"/>
    <w:rPr>
      <w:sz w:val="21"/>
      <w:szCs w:val="21"/>
    </w:rPr>
  </w:style>
  <w:style w:type="character" w:customStyle="1" w:styleId="478">
    <w:name w:val="font71"/>
    <w:qFormat/>
    <w:uiPriority w:val="0"/>
    <w:rPr>
      <w:rFonts w:ascii="Arial" w:hAnsi="Arial" w:cs="Arial"/>
      <w:color w:val="000000"/>
      <w:sz w:val="20"/>
      <w:szCs w:val="20"/>
      <w:u w:val="none"/>
    </w:rPr>
  </w:style>
  <w:style w:type="character" w:customStyle="1" w:styleId="479">
    <w:name w:val="font51"/>
    <w:qFormat/>
    <w:uiPriority w:val="0"/>
    <w:rPr>
      <w:rFonts w:ascii="Arial" w:hAnsi="Arial" w:cs="Arial"/>
      <w:color w:val="000000"/>
      <w:sz w:val="20"/>
      <w:szCs w:val="20"/>
      <w:u w:val="none"/>
    </w:rPr>
  </w:style>
  <w:style w:type="character" w:customStyle="1" w:styleId="480">
    <w:name w:val="正文文本 Char1"/>
    <w:qFormat/>
    <w:uiPriority w:val="99"/>
    <w:rPr>
      <w:rFonts w:ascii="Times New Roman" w:hAnsi="Times New Roman" w:eastAsia="宋体" w:cs="Times New Roman"/>
      <w:szCs w:val="24"/>
    </w:rPr>
  </w:style>
  <w:style w:type="character" w:customStyle="1" w:styleId="481">
    <w:name w:val="页眉 Char2"/>
    <w:semiHidden/>
    <w:qFormat/>
    <w:uiPriority w:val="99"/>
    <w:rPr>
      <w:sz w:val="18"/>
      <w:szCs w:val="18"/>
    </w:rPr>
  </w:style>
  <w:style w:type="character" w:customStyle="1" w:styleId="482">
    <w:name w:val="正文首行缩进 Char1"/>
    <w:qFormat/>
    <w:uiPriority w:val="99"/>
    <w:rPr>
      <w:rFonts w:ascii="Times New Roman" w:hAnsi="Times New Roman" w:eastAsia="宋体" w:cs="Times New Roman"/>
      <w:szCs w:val="24"/>
    </w:rPr>
  </w:style>
  <w:style w:type="character" w:customStyle="1" w:styleId="483">
    <w:name w:val="标书正文 Char"/>
    <w:link w:val="484"/>
    <w:qFormat/>
    <w:uiPriority w:val="0"/>
    <w:rPr>
      <w:rFonts w:ascii="Calibri" w:hAnsi="Calibri"/>
    </w:rPr>
  </w:style>
  <w:style w:type="paragraph" w:customStyle="1" w:styleId="484">
    <w:name w:val="标书正文"/>
    <w:basedOn w:val="1"/>
    <w:link w:val="483"/>
    <w:qFormat/>
    <w:uiPriority w:val="0"/>
    <w:pPr>
      <w:spacing w:before="120" w:line="360" w:lineRule="auto"/>
      <w:ind w:firstLine="200"/>
    </w:pPr>
    <w:rPr>
      <w:rFonts w:ascii="Calibri" w:hAnsi="Calibri"/>
      <w:sz w:val="20"/>
      <w:szCs w:val="20"/>
    </w:rPr>
  </w:style>
  <w:style w:type="character" w:customStyle="1" w:styleId="485">
    <w:name w:val="font91"/>
    <w:qFormat/>
    <w:uiPriority w:val="0"/>
    <w:rPr>
      <w:rFonts w:hint="eastAsia" w:ascii="宋体" w:hAnsi="宋体" w:eastAsia="宋体" w:cs="宋体"/>
      <w:color w:val="000000"/>
      <w:sz w:val="20"/>
      <w:szCs w:val="20"/>
      <w:u w:val="none"/>
    </w:rPr>
  </w:style>
  <w:style w:type="character" w:customStyle="1" w:styleId="486">
    <w:name w:val="批注引用2"/>
    <w:qFormat/>
    <w:uiPriority w:val="0"/>
    <w:rPr>
      <w:sz w:val="21"/>
      <w:szCs w:val="21"/>
    </w:rPr>
  </w:style>
  <w:style w:type="character" w:customStyle="1" w:styleId="487">
    <w:name w:val="页码1"/>
    <w:qFormat/>
    <w:uiPriority w:val="0"/>
  </w:style>
  <w:style w:type="character" w:customStyle="1" w:styleId="488">
    <w:name w:val="无间隔 字符"/>
    <w:link w:val="81"/>
    <w:qFormat/>
    <w:uiPriority w:val="1"/>
    <w:rPr>
      <w:sz w:val="21"/>
      <w:szCs w:val="21"/>
    </w:rPr>
  </w:style>
  <w:style w:type="character" w:customStyle="1" w:styleId="489">
    <w:name w:val="标准文本 Char"/>
    <w:link w:val="490"/>
    <w:qFormat/>
    <w:uiPriority w:val="0"/>
    <w:rPr>
      <w:rFonts w:cs="宋体"/>
      <w:sz w:val="21"/>
      <w:szCs w:val="21"/>
    </w:rPr>
  </w:style>
  <w:style w:type="paragraph" w:customStyle="1" w:styleId="490">
    <w:name w:val="标准文本"/>
    <w:basedOn w:val="1"/>
    <w:link w:val="489"/>
    <w:qFormat/>
    <w:uiPriority w:val="0"/>
    <w:pPr>
      <w:spacing w:line="360" w:lineRule="auto"/>
      <w:ind w:firstLine="420"/>
    </w:pPr>
    <w:rPr>
      <w:rFonts w:cs="宋体"/>
      <w:szCs w:val="21"/>
    </w:rPr>
  </w:style>
  <w:style w:type="character" w:customStyle="1" w:styleId="491">
    <w:name w:val="GEO正文 Char"/>
    <w:link w:val="492"/>
    <w:qFormat/>
    <w:uiPriority w:val="0"/>
    <w:rPr>
      <w:rFonts w:eastAsia="仿宋_GB2312"/>
      <w:sz w:val="28"/>
    </w:rPr>
  </w:style>
  <w:style w:type="paragraph" w:customStyle="1" w:styleId="492">
    <w:name w:val="GEO正文"/>
    <w:basedOn w:val="1"/>
    <w:link w:val="491"/>
    <w:qFormat/>
    <w:uiPriority w:val="0"/>
    <w:pPr>
      <w:spacing w:line="360" w:lineRule="auto"/>
      <w:ind w:firstLine="200"/>
    </w:pPr>
    <w:rPr>
      <w:rFonts w:eastAsia="仿宋_GB2312"/>
      <w:sz w:val="28"/>
      <w:szCs w:val="20"/>
    </w:rPr>
  </w:style>
  <w:style w:type="character" w:customStyle="1" w:styleId="493">
    <w:name w:val="纯文本 Char2"/>
    <w:qFormat/>
    <w:uiPriority w:val="99"/>
    <w:rPr>
      <w:rFonts w:ascii="宋体" w:hAnsi="Courier New" w:eastAsia="宋体" w:cs="Courier New"/>
      <w:szCs w:val="21"/>
    </w:rPr>
  </w:style>
  <w:style w:type="character" w:customStyle="1" w:styleId="494">
    <w:name w:val="批注框文本 Char1"/>
    <w:qFormat/>
    <w:uiPriority w:val="99"/>
    <w:rPr>
      <w:sz w:val="18"/>
      <w:szCs w:val="18"/>
    </w:rPr>
  </w:style>
  <w:style w:type="character" w:customStyle="1" w:styleId="495">
    <w:name w:val="文档结构图 Char1"/>
    <w:qFormat/>
    <w:uiPriority w:val="99"/>
    <w:rPr>
      <w:rFonts w:ascii="宋体" w:hAnsi="Calibri" w:eastAsia="宋体" w:cs="Times New Roman"/>
      <w:sz w:val="18"/>
      <w:szCs w:val="18"/>
    </w:rPr>
  </w:style>
  <w:style w:type="character" w:customStyle="1" w:styleId="496">
    <w:name w:val="正文（首行缩进两字） Char Char"/>
    <w:qFormat/>
    <w:uiPriority w:val="0"/>
    <w:rPr>
      <w:rFonts w:eastAsia="宋体"/>
      <w:sz w:val="24"/>
      <w:lang w:val="en-US" w:eastAsia="zh-CN" w:bidi="ar-SA"/>
    </w:rPr>
  </w:style>
  <w:style w:type="character" w:customStyle="1" w:styleId="497">
    <w:name w:val="副标题 Char1"/>
    <w:qFormat/>
    <w:uiPriority w:val="11"/>
    <w:rPr>
      <w:rFonts w:ascii="Cambria" w:hAnsi="Cambria" w:cs="Times New Roman"/>
      <w:b/>
      <w:bCs/>
      <w:sz w:val="32"/>
      <w:szCs w:val="32"/>
    </w:rPr>
  </w:style>
  <w:style w:type="character" w:customStyle="1" w:styleId="498">
    <w:name w:val="Char Char15"/>
    <w:qFormat/>
    <w:uiPriority w:val="0"/>
    <w:rPr>
      <w:rFonts w:ascii="Arial" w:hAnsi="Arial" w:eastAsia="黑体"/>
      <w:spacing w:val="-2"/>
      <w:position w:val="-6"/>
      <w:sz w:val="24"/>
    </w:rPr>
  </w:style>
  <w:style w:type="character" w:customStyle="1" w:styleId="499">
    <w:name w:val="pt9-hui-line201"/>
    <w:qFormat/>
    <w:uiPriority w:val="0"/>
    <w:rPr>
      <w:color w:val="333333"/>
      <w:spacing w:val="300"/>
      <w:sz w:val="18"/>
      <w:szCs w:val="18"/>
      <w:u w:val="none"/>
    </w:rPr>
  </w:style>
  <w:style w:type="character" w:customStyle="1" w:styleId="500">
    <w:name w:val="批注主题 Char2"/>
    <w:semiHidden/>
    <w:qFormat/>
    <w:uiPriority w:val="99"/>
    <w:rPr>
      <w:b/>
      <w:bCs/>
      <w:sz w:val="21"/>
      <w:szCs w:val="22"/>
    </w:rPr>
  </w:style>
  <w:style w:type="character" w:customStyle="1" w:styleId="501">
    <w:name w:val="方案文档 Char"/>
    <w:link w:val="502"/>
    <w:qFormat/>
    <w:uiPriority w:val="0"/>
    <w:rPr>
      <w:sz w:val="24"/>
      <w:szCs w:val="24"/>
    </w:rPr>
  </w:style>
  <w:style w:type="paragraph" w:customStyle="1" w:styleId="502">
    <w:name w:val="方案文档"/>
    <w:link w:val="501"/>
    <w:qFormat/>
    <w:uiPriority w:val="0"/>
    <w:pPr>
      <w:spacing w:line="360" w:lineRule="auto"/>
      <w:ind w:firstLine="200"/>
    </w:pPr>
    <w:rPr>
      <w:rFonts w:ascii="Times New Roman" w:hAnsi="Times New Roman" w:eastAsia="宋体" w:cs="Times New Roman"/>
      <w:sz w:val="24"/>
      <w:szCs w:val="24"/>
      <w:lang w:val="en-US" w:eastAsia="zh-CN" w:bidi="ar-SA"/>
    </w:rPr>
  </w:style>
  <w:style w:type="character" w:customStyle="1" w:styleId="503">
    <w:name w:val="样式7 Char Char"/>
    <w:link w:val="504"/>
    <w:qFormat/>
    <w:uiPriority w:val="0"/>
    <w:rPr>
      <w:rFonts w:ascii="宋体" w:hAnsi="宋体"/>
      <w:sz w:val="28"/>
      <w:szCs w:val="28"/>
    </w:rPr>
  </w:style>
  <w:style w:type="paragraph" w:customStyle="1" w:styleId="504">
    <w:name w:val="样式7"/>
    <w:basedOn w:val="1"/>
    <w:link w:val="503"/>
    <w:qFormat/>
    <w:uiPriority w:val="0"/>
    <w:pPr>
      <w:spacing w:line="360" w:lineRule="auto"/>
      <w:ind w:left="980" w:hanging="420"/>
    </w:pPr>
    <w:rPr>
      <w:rFonts w:ascii="宋体" w:hAnsi="宋体"/>
      <w:sz w:val="28"/>
      <w:szCs w:val="28"/>
    </w:rPr>
  </w:style>
  <w:style w:type="character" w:customStyle="1" w:styleId="505">
    <w:name w:val="_正文段落 Char Char"/>
    <w:link w:val="506"/>
    <w:qFormat/>
    <w:uiPriority w:val="0"/>
    <w:rPr>
      <w:rFonts w:ascii="宋体" w:hAnsi="宋体"/>
      <w:sz w:val="24"/>
      <w:szCs w:val="28"/>
    </w:rPr>
  </w:style>
  <w:style w:type="paragraph" w:customStyle="1" w:styleId="506">
    <w:name w:val="_正文段落"/>
    <w:basedOn w:val="1"/>
    <w:link w:val="505"/>
    <w:qFormat/>
    <w:uiPriority w:val="0"/>
    <w:pPr>
      <w:spacing w:line="360" w:lineRule="auto"/>
      <w:ind w:firstLine="480"/>
    </w:pPr>
    <w:rPr>
      <w:rFonts w:ascii="宋体" w:hAnsi="宋体"/>
      <w:sz w:val="24"/>
      <w:szCs w:val="28"/>
    </w:rPr>
  </w:style>
  <w:style w:type="character" w:customStyle="1" w:styleId="507">
    <w:name w:val="n正文 Char"/>
    <w:link w:val="508"/>
    <w:qFormat/>
    <w:uiPriority w:val="0"/>
    <w:rPr>
      <w:rFonts w:eastAsia="仿宋_GB2312"/>
      <w:color w:val="000000"/>
      <w:sz w:val="28"/>
      <w:szCs w:val="28"/>
    </w:rPr>
  </w:style>
  <w:style w:type="paragraph" w:customStyle="1" w:styleId="508">
    <w:name w:val="n正文"/>
    <w:link w:val="507"/>
    <w:qFormat/>
    <w:uiPriority w:val="0"/>
    <w:pPr>
      <w:spacing w:line="360" w:lineRule="auto"/>
      <w:ind w:firstLine="200"/>
    </w:pPr>
    <w:rPr>
      <w:rFonts w:ascii="Times New Roman" w:hAnsi="Times New Roman" w:eastAsia="仿宋_GB2312" w:cs="Times New Roman"/>
      <w:color w:val="000000"/>
      <w:sz w:val="28"/>
      <w:szCs w:val="28"/>
      <w:lang w:val="en-US" w:eastAsia="zh-CN" w:bidi="ar-SA"/>
    </w:rPr>
  </w:style>
  <w:style w:type="character" w:customStyle="1" w:styleId="509">
    <w:name w:val="Char Char181"/>
    <w:qFormat/>
    <w:uiPriority w:val="0"/>
    <w:rPr>
      <w:rFonts w:ascii="宋体"/>
      <w:b/>
      <w:spacing w:val="-2"/>
      <w:position w:val="-6"/>
      <w:sz w:val="28"/>
    </w:rPr>
  </w:style>
  <w:style w:type="character" w:customStyle="1" w:styleId="510">
    <w:name w:val="htd0"/>
    <w:qFormat/>
    <w:uiPriority w:val="0"/>
  </w:style>
  <w:style w:type="character" w:customStyle="1" w:styleId="511">
    <w:name w:val="font191"/>
    <w:qFormat/>
    <w:uiPriority w:val="0"/>
    <w:rPr>
      <w:rFonts w:ascii="Arial" w:hAnsi="Arial" w:cs="Arial"/>
      <w:b/>
      <w:color w:val="000000"/>
      <w:sz w:val="20"/>
      <w:szCs w:val="20"/>
      <w:u w:val="none"/>
    </w:rPr>
  </w:style>
  <w:style w:type="character" w:customStyle="1" w:styleId="512">
    <w:name w:val="正文文本缩进 2 Char1"/>
    <w:qFormat/>
    <w:uiPriority w:val="99"/>
    <w:rPr>
      <w:rFonts w:ascii="Calibri" w:hAnsi="Calibri" w:eastAsia="宋体" w:cs="Times New Roman"/>
    </w:rPr>
  </w:style>
  <w:style w:type="character" w:customStyle="1" w:styleId="513">
    <w:name w:val="页脚 Char1"/>
    <w:qFormat/>
    <w:uiPriority w:val="99"/>
    <w:rPr>
      <w:sz w:val="18"/>
      <w:szCs w:val="18"/>
    </w:rPr>
  </w:style>
  <w:style w:type="character" w:customStyle="1" w:styleId="514">
    <w:name w:val="Char Char6"/>
    <w:qFormat/>
    <w:uiPriority w:val="0"/>
    <w:rPr>
      <w:b/>
      <w:bCs/>
      <w:sz w:val="44"/>
      <w:szCs w:val="44"/>
    </w:rPr>
  </w:style>
  <w:style w:type="character" w:customStyle="1" w:styleId="515">
    <w:name w:val="段落 Char1"/>
    <w:link w:val="516"/>
    <w:qFormat/>
    <w:uiPriority w:val="0"/>
    <w:rPr>
      <w:rFonts w:eastAsia="仿宋_GB2312"/>
      <w:sz w:val="24"/>
      <w:szCs w:val="24"/>
    </w:rPr>
  </w:style>
  <w:style w:type="paragraph" w:customStyle="1" w:styleId="516">
    <w:name w:val="段落"/>
    <w:link w:val="515"/>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character" w:customStyle="1" w:styleId="517">
    <w:name w:val="Char Char18"/>
    <w:qFormat/>
    <w:uiPriority w:val="0"/>
    <w:rPr>
      <w:rFonts w:ascii="宋体"/>
      <w:b/>
      <w:spacing w:val="-2"/>
      <w:position w:val="-6"/>
      <w:sz w:val="28"/>
    </w:rPr>
  </w:style>
  <w:style w:type="character" w:customStyle="1" w:styleId="518">
    <w:name w:val="Char Char161"/>
    <w:qFormat/>
    <w:uiPriority w:val="0"/>
    <w:rPr>
      <w:rFonts w:ascii="宋体"/>
      <w:b/>
      <w:spacing w:val="-2"/>
      <w:position w:val="-6"/>
      <w:sz w:val="24"/>
    </w:rPr>
  </w:style>
  <w:style w:type="character" w:customStyle="1" w:styleId="519">
    <w:name w:val="font01"/>
    <w:qFormat/>
    <w:uiPriority w:val="0"/>
    <w:rPr>
      <w:rFonts w:hint="eastAsia" w:ascii="楷体" w:hAnsi="楷体" w:eastAsia="楷体" w:cs="楷体"/>
      <w:color w:val="FF0000"/>
      <w:sz w:val="22"/>
      <w:szCs w:val="22"/>
      <w:u w:val="none"/>
    </w:rPr>
  </w:style>
  <w:style w:type="character" w:customStyle="1" w:styleId="520">
    <w:name w:val="样式 正文缩进 + 首行缩进:  2 字符 Char Char"/>
    <w:link w:val="521"/>
    <w:qFormat/>
    <w:uiPriority w:val="0"/>
    <w:rPr>
      <w:rFonts w:cs="宋体"/>
      <w:sz w:val="24"/>
    </w:rPr>
  </w:style>
  <w:style w:type="paragraph" w:customStyle="1" w:styleId="521">
    <w:name w:val="样式 正文缩进 + 首行缩进:  2 字符"/>
    <w:basedOn w:val="4"/>
    <w:link w:val="520"/>
    <w:qFormat/>
    <w:uiPriority w:val="0"/>
    <w:pPr>
      <w:spacing w:line="360" w:lineRule="auto"/>
      <w:ind w:firstLine="200"/>
    </w:pPr>
    <w:rPr>
      <w:rFonts w:cs="宋体"/>
      <w:sz w:val="24"/>
      <w:szCs w:val="20"/>
    </w:rPr>
  </w:style>
  <w:style w:type="character" w:customStyle="1" w:styleId="522">
    <w:name w:val="正文文本缩进 Char1"/>
    <w:qFormat/>
    <w:uiPriority w:val="99"/>
    <w:rPr>
      <w:rFonts w:ascii="Calibri" w:hAnsi="Calibri" w:eastAsia="宋体" w:cs="Times New Roman"/>
    </w:rPr>
  </w:style>
  <w:style w:type="character" w:customStyle="1" w:styleId="523">
    <w:name w:val="正文（绿盟科技） Char"/>
    <w:link w:val="524"/>
    <w:qFormat/>
    <w:uiPriority w:val="0"/>
    <w:rPr>
      <w:rFonts w:ascii="Arial" w:hAnsi="Arial"/>
      <w:sz w:val="21"/>
      <w:szCs w:val="21"/>
    </w:rPr>
  </w:style>
  <w:style w:type="paragraph" w:customStyle="1" w:styleId="524">
    <w:name w:val="正文（绿盟科技）"/>
    <w:link w:val="523"/>
    <w:qFormat/>
    <w:uiPriority w:val="0"/>
    <w:pPr>
      <w:spacing w:line="300" w:lineRule="auto"/>
    </w:pPr>
    <w:rPr>
      <w:rFonts w:ascii="Arial" w:hAnsi="Arial" w:eastAsia="宋体" w:cs="Times New Roman"/>
      <w:sz w:val="21"/>
      <w:szCs w:val="21"/>
      <w:lang w:val="en-US" w:eastAsia="zh-CN" w:bidi="ar-SA"/>
    </w:rPr>
  </w:style>
  <w:style w:type="paragraph" w:customStyle="1" w:styleId="525">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26">
    <w:name w:val="xl46"/>
    <w:basedOn w:val="1"/>
    <w:qFormat/>
    <w:uiPriority w:val="0"/>
    <w:pPr>
      <w:widowControl/>
      <w:spacing w:before="100" w:beforeAutospacing="1" w:after="100" w:afterAutospacing="1"/>
      <w:jc w:val="left"/>
    </w:pPr>
    <w:rPr>
      <w:rFonts w:ascii="Arial Unicode MS" w:hAnsi="Arial Unicode MS" w:eastAsia="Arial Unicode MS"/>
      <w:sz w:val="24"/>
      <w:szCs w:val="24"/>
    </w:rPr>
  </w:style>
  <w:style w:type="paragraph" w:customStyle="1" w:styleId="527">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28">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29">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530">
    <w:name w:val="技术方案正文样式"/>
    <w:basedOn w:val="1"/>
    <w:qFormat/>
    <w:uiPriority w:val="0"/>
    <w:pPr>
      <w:spacing w:line="400" w:lineRule="exact"/>
      <w:ind w:firstLine="480"/>
    </w:pPr>
    <w:rPr>
      <w:rFonts w:ascii="宋体" w:hAnsi="宋体" w:cs="宋体"/>
      <w:sz w:val="24"/>
      <w:szCs w:val="21"/>
    </w:rPr>
  </w:style>
  <w:style w:type="paragraph" w:customStyle="1" w:styleId="531">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532">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33">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34">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35">
    <w:name w:val="Style First line:  2 ch"/>
    <w:basedOn w:val="1"/>
    <w:qFormat/>
    <w:uiPriority w:val="0"/>
    <w:pPr>
      <w:spacing w:line="440" w:lineRule="exact"/>
      <w:ind w:firstLine="200"/>
    </w:pPr>
    <w:rPr>
      <w:sz w:val="24"/>
      <w:szCs w:val="24"/>
    </w:rPr>
  </w:style>
  <w:style w:type="paragraph" w:customStyle="1" w:styleId="536">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37">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538">
    <w:name w:val="Char Char2 Char"/>
    <w:basedOn w:val="1"/>
    <w:qFormat/>
    <w:uiPriority w:val="0"/>
    <w:pPr>
      <w:keepNext/>
      <w:keepLines/>
      <w:pageBreakBefore/>
      <w:tabs>
        <w:tab w:val="left" w:pos="390"/>
      </w:tabs>
      <w:ind w:left="390" w:hanging="390"/>
    </w:pPr>
    <w:rPr>
      <w:szCs w:val="20"/>
    </w:rPr>
  </w:style>
  <w:style w:type="paragraph" w:customStyle="1" w:styleId="539">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40">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41">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542">
    <w:name w:val="纯文本2"/>
    <w:basedOn w:val="1"/>
    <w:qFormat/>
    <w:uiPriority w:val="0"/>
    <w:rPr>
      <w:rFonts w:ascii="宋体" w:hAnsi="Courier New"/>
      <w:szCs w:val="21"/>
    </w:rPr>
  </w:style>
  <w:style w:type="paragraph" w:customStyle="1" w:styleId="543">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544">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45">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46">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547">
    <w:name w:val="样式 首行缩进:  2.25 字符"/>
    <w:basedOn w:val="1"/>
    <w:qFormat/>
    <w:uiPriority w:val="0"/>
    <w:pPr>
      <w:spacing w:line="360" w:lineRule="auto"/>
      <w:ind w:firstLine="225"/>
    </w:pPr>
    <w:rPr>
      <w:rFonts w:cs="宋体"/>
      <w:sz w:val="24"/>
      <w:szCs w:val="20"/>
    </w:rPr>
  </w:style>
  <w:style w:type="paragraph" w:customStyle="1" w:styleId="548">
    <w:name w:val="正文文本缩进 21"/>
    <w:basedOn w:val="1"/>
    <w:qFormat/>
    <w:uiPriority w:val="0"/>
    <w:pPr>
      <w:spacing w:line="520" w:lineRule="exact"/>
      <w:ind w:firstLine="560"/>
    </w:pPr>
    <w:rPr>
      <w:rFonts w:ascii="楷体_GB2312" w:eastAsia="楷体_GB2312"/>
      <w:sz w:val="28"/>
      <w:szCs w:val="28"/>
    </w:rPr>
  </w:style>
  <w:style w:type="paragraph" w:customStyle="1" w:styleId="549">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50">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55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552">
    <w:name w:val="列出段落11"/>
    <w:basedOn w:val="1"/>
    <w:qFormat/>
    <w:uiPriority w:val="0"/>
    <w:pPr>
      <w:ind w:firstLine="420"/>
    </w:pPr>
    <w:rPr>
      <w:szCs w:val="24"/>
    </w:rPr>
  </w:style>
  <w:style w:type="paragraph" w:customStyle="1" w:styleId="553">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554">
    <w:name w:val="居中图片"/>
    <w:basedOn w:val="1"/>
    <w:qFormat/>
    <w:uiPriority w:val="0"/>
    <w:pPr>
      <w:jc w:val="center"/>
    </w:pPr>
    <w:rPr>
      <w:rFonts w:ascii="Calibri" w:hAnsi="Calibri" w:eastAsia="仿宋"/>
      <w:sz w:val="28"/>
      <w:szCs w:val="21"/>
    </w:rPr>
  </w:style>
  <w:style w:type="paragraph" w:customStyle="1" w:styleId="555">
    <w:name w:val="注示头"/>
    <w:basedOn w:val="1"/>
    <w:qFormat/>
    <w:uiPriority w:val="0"/>
    <w:pPr>
      <w:pBdr>
        <w:top w:val="single" w:color="000000" w:sz="4" w:space="1"/>
      </w:pBdr>
    </w:pPr>
    <w:rPr>
      <w:rFonts w:ascii="Arial" w:hAnsi="Arial" w:eastAsia="黑体"/>
      <w:sz w:val="18"/>
      <w:szCs w:val="20"/>
    </w:rPr>
  </w:style>
  <w:style w:type="paragraph" w:customStyle="1" w:styleId="556">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57">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58">
    <w:name w:val="批注主题2"/>
    <w:basedOn w:val="20"/>
    <w:next w:val="20"/>
    <w:qFormat/>
    <w:uiPriority w:val="0"/>
    <w:rPr>
      <w:rFonts w:ascii="Calibri" w:hAnsi="Calibri"/>
      <w:b/>
      <w:bCs/>
    </w:rPr>
  </w:style>
  <w:style w:type="paragraph" w:customStyle="1" w:styleId="559">
    <w:name w:val="正文缩进2"/>
    <w:basedOn w:val="1"/>
    <w:qFormat/>
    <w:uiPriority w:val="0"/>
    <w:pPr>
      <w:ind w:firstLine="420"/>
    </w:pPr>
    <w:rPr>
      <w:szCs w:val="20"/>
    </w:rPr>
  </w:style>
  <w:style w:type="paragraph" w:customStyle="1" w:styleId="560">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561">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62">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563">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564">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65">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566">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567">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568">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569">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570">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571">
    <w:name w:val="内容标题"/>
    <w:basedOn w:val="1"/>
    <w:qFormat/>
    <w:uiPriority w:val="0"/>
    <w:pPr>
      <w:shd w:val="clear" w:color="auto" w:fill="000080"/>
    </w:pPr>
    <w:rPr>
      <w:rFonts w:ascii="Tahoma" w:hAnsi="Tahoma"/>
      <w:sz w:val="24"/>
      <w:szCs w:val="24"/>
      <w:shd w:val="clear" w:color="auto" w:fill="000080"/>
    </w:rPr>
  </w:style>
  <w:style w:type="paragraph" w:customStyle="1" w:styleId="57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573">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574">
    <w:name w:val="标题4"/>
    <w:basedOn w:val="5"/>
    <w:qFormat/>
    <w:uiPriority w:val="0"/>
    <w:pPr>
      <w:spacing w:before="120" w:after="120" w:line="415" w:lineRule="auto"/>
      <w:jc w:val="center"/>
    </w:pPr>
    <w:rPr>
      <w:rFonts w:eastAsia="仿宋_GB2312"/>
      <w:bCs w:val="0"/>
      <w:szCs w:val="20"/>
    </w:rPr>
  </w:style>
  <w:style w:type="paragraph" w:customStyle="1" w:styleId="575">
    <w:name w:val="表格文本"/>
    <w:basedOn w:val="1"/>
    <w:qFormat/>
    <w:uiPriority w:val="0"/>
    <w:pPr>
      <w:tabs>
        <w:tab w:val="decimal" w:pos="0"/>
      </w:tabs>
      <w:jc w:val="left"/>
    </w:pPr>
    <w:rPr>
      <w:rFonts w:ascii="Arial" w:hAnsi="Arial"/>
      <w:szCs w:val="21"/>
    </w:rPr>
  </w:style>
  <w:style w:type="paragraph" w:customStyle="1" w:styleId="576">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77">
    <w:name w:val="日期2"/>
    <w:basedOn w:val="1"/>
    <w:next w:val="1"/>
    <w:qFormat/>
    <w:uiPriority w:val="0"/>
    <w:pPr>
      <w:ind w:left="100"/>
    </w:pPr>
    <w:rPr>
      <w:rFonts w:ascii="仿宋_GB2312" w:eastAsia="仿宋_GB2312"/>
      <w:b/>
      <w:sz w:val="36"/>
      <w:szCs w:val="24"/>
    </w:rPr>
  </w:style>
  <w:style w:type="paragraph" w:customStyle="1" w:styleId="578">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579">
    <w:name w:val="Char1"/>
    <w:basedOn w:val="1"/>
    <w:qFormat/>
    <w:uiPriority w:val="0"/>
    <w:pPr>
      <w:tabs>
        <w:tab w:val="left" w:pos="840"/>
      </w:tabs>
      <w:ind w:left="840" w:hanging="420"/>
    </w:pPr>
    <w:rPr>
      <w:sz w:val="24"/>
      <w:szCs w:val="24"/>
    </w:rPr>
  </w:style>
  <w:style w:type="paragraph" w:customStyle="1" w:styleId="580">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81">
    <w:name w:val="文档结构图1"/>
    <w:basedOn w:val="1"/>
    <w:qFormat/>
    <w:uiPriority w:val="0"/>
    <w:rPr>
      <w:rFonts w:ascii="宋体"/>
      <w:sz w:val="18"/>
      <w:szCs w:val="18"/>
    </w:rPr>
  </w:style>
  <w:style w:type="paragraph" w:customStyle="1" w:styleId="582">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83">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84">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85">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586">
    <w:name w:val="02-标书-标题2"/>
    <w:qFormat/>
    <w:uiPriority w:val="0"/>
    <w:pPr>
      <w:spacing w:line="360" w:lineRule="auto"/>
      <w:outlineLvl w:val="1"/>
    </w:pPr>
    <w:rPr>
      <w:rFonts w:ascii="黑体" w:hAnsi="宋体" w:eastAsia="黑体" w:cs="Times New Roman"/>
      <w:sz w:val="32"/>
      <w:szCs w:val="28"/>
      <w:lang w:val="en-US" w:eastAsia="zh-CN" w:bidi="ar-SA"/>
    </w:rPr>
  </w:style>
  <w:style w:type="paragraph" w:customStyle="1" w:styleId="587">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88">
    <w:name w:val="普通(网站)2"/>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589">
    <w:name w:val="列表1"/>
    <w:basedOn w:val="1"/>
    <w:qFormat/>
    <w:uiPriority w:val="0"/>
    <w:pPr>
      <w:ind w:left="200" w:hanging="200"/>
    </w:pPr>
    <w:rPr>
      <w:szCs w:val="24"/>
    </w:rPr>
  </w:style>
  <w:style w:type="paragraph" w:customStyle="1" w:styleId="590">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591">
    <w:name w:val="正文文本 32"/>
    <w:basedOn w:val="1"/>
    <w:qFormat/>
    <w:uiPriority w:val="0"/>
    <w:rPr>
      <w:rFonts w:ascii="仿宋_GB2312" w:hAnsi="Arial" w:eastAsia="仿宋_GB2312"/>
      <w:sz w:val="32"/>
      <w:szCs w:val="20"/>
    </w:rPr>
  </w:style>
  <w:style w:type="paragraph" w:customStyle="1" w:styleId="592">
    <w:name w:val="03-标书-标题3"/>
    <w:qFormat/>
    <w:uiPriority w:val="0"/>
    <w:pPr>
      <w:spacing w:line="360" w:lineRule="auto"/>
      <w:ind w:left="1080"/>
      <w:outlineLvl w:val="2"/>
    </w:pPr>
    <w:rPr>
      <w:rFonts w:ascii="黑体" w:hAnsi="宋体" w:eastAsia="黑体" w:cs="Times New Roman"/>
      <w:sz w:val="28"/>
      <w:szCs w:val="24"/>
      <w:lang w:val="en-US" w:eastAsia="zh-CN" w:bidi="ar-SA"/>
    </w:rPr>
  </w:style>
  <w:style w:type="paragraph" w:customStyle="1" w:styleId="593">
    <w:name w:val="表格正文"/>
    <w:basedOn w:val="1"/>
    <w:qFormat/>
    <w:uiPriority w:val="0"/>
    <w:pPr>
      <w:jc w:val="center"/>
    </w:pPr>
    <w:rPr>
      <w:rFonts w:eastAsia="仿宋_GB2312"/>
      <w:szCs w:val="24"/>
    </w:rPr>
  </w:style>
  <w:style w:type="paragraph" w:customStyle="1" w:styleId="594">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595">
    <w:name w:val="样式 首行缩进:  0 字符"/>
    <w:basedOn w:val="1"/>
    <w:qFormat/>
    <w:uiPriority w:val="0"/>
    <w:pPr>
      <w:spacing w:line="360" w:lineRule="auto"/>
      <w:ind w:firstLine="200"/>
    </w:pPr>
    <w:rPr>
      <w:rFonts w:cs="宋体"/>
      <w:sz w:val="24"/>
      <w:szCs w:val="20"/>
    </w:rPr>
  </w:style>
  <w:style w:type="paragraph" w:customStyle="1" w:styleId="596">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597">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98">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9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600">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01">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602">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3">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604">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5">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6">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7">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608">
    <w:name w:val="目录标题"/>
    <w:next w:val="502"/>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609">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10">
    <w:name w:val="Char Char1 Char Char Char Char Char Char Char Char"/>
    <w:basedOn w:val="1"/>
    <w:qFormat/>
    <w:uiPriority w:val="0"/>
    <w:pPr>
      <w:spacing w:line="360" w:lineRule="auto"/>
    </w:pPr>
    <w:rPr>
      <w:szCs w:val="24"/>
    </w:rPr>
  </w:style>
  <w:style w:type="paragraph" w:customStyle="1" w:styleId="611">
    <w:name w:val="正文文本 22"/>
    <w:basedOn w:val="1"/>
    <w:qFormat/>
    <w:uiPriority w:val="0"/>
    <w:pPr>
      <w:spacing w:after="120" w:line="480" w:lineRule="auto"/>
    </w:pPr>
    <w:rPr>
      <w:szCs w:val="24"/>
    </w:rPr>
  </w:style>
  <w:style w:type="paragraph" w:customStyle="1" w:styleId="612">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eastAsia="楷体_GB2312" w:cs="宋体"/>
      <w:bCs w:val="0"/>
      <w:color w:val="000000"/>
      <w:sz w:val="28"/>
      <w:szCs w:val="28"/>
    </w:rPr>
  </w:style>
  <w:style w:type="paragraph" w:customStyle="1" w:styleId="613">
    <w:name w:val="正文文本缩进1"/>
    <w:basedOn w:val="1"/>
    <w:qFormat/>
    <w:uiPriority w:val="0"/>
    <w:pPr>
      <w:ind w:firstLine="645"/>
    </w:pPr>
    <w:rPr>
      <w:rFonts w:ascii="楷体_GB2312" w:eastAsia="楷体_GB2312"/>
      <w:sz w:val="32"/>
      <w:szCs w:val="20"/>
    </w:rPr>
  </w:style>
  <w:style w:type="paragraph" w:customStyle="1" w:styleId="614">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15">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16">
    <w:name w:val="正文文本 21"/>
    <w:basedOn w:val="1"/>
    <w:qFormat/>
    <w:uiPriority w:val="0"/>
    <w:pPr>
      <w:spacing w:after="120" w:line="480" w:lineRule="auto"/>
    </w:pPr>
    <w:rPr>
      <w:szCs w:val="24"/>
    </w:rPr>
  </w:style>
  <w:style w:type="paragraph" w:customStyle="1" w:styleId="617">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18">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19">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20">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621">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622">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23">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24">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625">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626">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27">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28">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29">
    <w:name w:val="xl45"/>
    <w:basedOn w:val="1"/>
    <w:qFormat/>
    <w:uiPriority w:val="0"/>
    <w:pPr>
      <w:widowControl/>
      <w:spacing w:before="100" w:beforeAutospacing="1" w:after="100" w:afterAutospacing="1"/>
      <w:jc w:val="left"/>
    </w:pPr>
    <w:rPr>
      <w:rFonts w:hint="eastAsia" w:ascii="黑体" w:hAnsi="Arial Unicode MS" w:eastAsia="黑体"/>
      <w:b/>
      <w:bCs/>
      <w:sz w:val="24"/>
      <w:szCs w:val="24"/>
    </w:rPr>
  </w:style>
  <w:style w:type="paragraph" w:customStyle="1" w:styleId="630">
    <w:name w:val="图表目录1"/>
    <w:basedOn w:val="30"/>
    <w:qFormat/>
    <w:uiPriority w:val="0"/>
    <w:pPr>
      <w:spacing w:after="120" w:line="360" w:lineRule="auto"/>
      <w:jc w:val="center"/>
    </w:pPr>
    <w:rPr>
      <w:rFonts w:ascii="楷体"/>
      <w:sz w:val="28"/>
    </w:rPr>
  </w:style>
  <w:style w:type="paragraph" w:customStyle="1" w:styleId="631">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32">
    <w:name w:val="font0"/>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633">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34">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635">
    <w:name w:val="样式4"/>
    <w:basedOn w:val="1"/>
    <w:qFormat/>
    <w:uiPriority w:val="0"/>
    <w:pPr>
      <w:spacing w:line="440" w:lineRule="exact"/>
      <w:ind w:left="-2"/>
    </w:pPr>
    <w:rPr>
      <w:rFonts w:ascii="宋体" w:hAnsi="宋体"/>
      <w:sz w:val="28"/>
      <w:szCs w:val="24"/>
    </w:rPr>
  </w:style>
  <w:style w:type="paragraph" w:customStyle="1" w:styleId="636">
    <w:name w:val="列表2"/>
    <w:basedOn w:val="1"/>
    <w:qFormat/>
    <w:uiPriority w:val="0"/>
    <w:pPr>
      <w:ind w:left="200" w:hanging="200"/>
    </w:pPr>
    <w:rPr>
      <w:szCs w:val="24"/>
    </w:rPr>
  </w:style>
  <w:style w:type="paragraph" w:customStyle="1" w:styleId="637">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38">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39">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0">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41">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642">
    <w:name w:val="文字"/>
    <w:basedOn w:val="1"/>
    <w:qFormat/>
    <w:uiPriority w:val="0"/>
    <w:pPr>
      <w:tabs>
        <w:tab w:val="left" w:pos="8520"/>
      </w:tabs>
      <w:spacing w:line="312" w:lineRule="auto"/>
      <w:ind w:right="-210" w:firstLine="556"/>
    </w:pPr>
    <w:rPr>
      <w:rFonts w:ascii="楷体_GB2312" w:eastAsia="楷体_GB2312"/>
      <w:sz w:val="28"/>
      <w:szCs w:val="20"/>
    </w:rPr>
  </w:style>
  <w:style w:type="paragraph" w:customStyle="1" w:styleId="643">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4">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5">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646">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7">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648">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649">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50">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51">
    <w:name w:val="普通(网站)1"/>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652">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53">
    <w:name w:val="缺省文本"/>
    <w:basedOn w:val="1"/>
    <w:qFormat/>
    <w:uiPriority w:val="0"/>
    <w:pPr>
      <w:spacing w:line="360" w:lineRule="auto"/>
      <w:ind w:firstLine="200"/>
      <w:jc w:val="left"/>
    </w:pPr>
    <w:rPr>
      <w:sz w:val="24"/>
      <w:szCs w:val="24"/>
    </w:rPr>
  </w:style>
  <w:style w:type="paragraph" w:customStyle="1" w:styleId="654">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5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656">
    <w:name w:val="纯文本1"/>
    <w:basedOn w:val="1"/>
    <w:qFormat/>
    <w:uiPriority w:val="0"/>
    <w:rPr>
      <w:rFonts w:ascii="宋体" w:hAnsi="Courier New"/>
      <w:szCs w:val="21"/>
    </w:rPr>
  </w:style>
  <w:style w:type="paragraph" w:customStyle="1" w:styleId="657">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658">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59">
    <w:name w:val="GP正文(首行缩进)"/>
    <w:basedOn w:val="1"/>
    <w:qFormat/>
    <w:uiPriority w:val="0"/>
    <w:pPr>
      <w:spacing w:line="360" w:lineRule="auto"/>
      <w:ind w:firstLine="200"/>
      <w:jc w:val="left"/>
    </w:pPr>
    <w:rPr>
      <w:sz w:val="24"/>
      <w:szCs w:val="21"/>
    </w:rPr>
  </w:style>
  <w:style w:type="paragraph" w:customStyle="1" w:styleId="660">
    <w:name w:val="无间隔1"/>
    <w:qFormat/>
    <w:uiPriority w:val="0"/>
    <w:pPr>
      <w:widowControl w:val="0"/>
      <w:jc w:val="both"/>
    </w:pPr>
    <w:rPr>
      <w:rFonts w:ascii="Calibri" w:hAnsi="Calibri" w:eastAsia="宋体" w:cs="黑体"/>
      <w:sz w:val="21"/>
      <w:szCs w:val="22"/>
      <w:lang w:val="en-US" w:eastAsia="zh-CN" w:bidi="ar-SA"/>
    </w:rPr>
  </w:style>
  <w:style w:type="paragraph" w:customStyle="1" w:styleId="661">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2">
    <w:name w:val="日期3"/>
    <w:basedOn w:val="1"/>
    <w:next w:val="1"/>
    <w:qFormat/>
    <w:uiPriority w:val="0"/>
    <w:pPr>
      <w:ind w:left="100"/>
    </w:pPr>
    <w:rPr>
      <w:rFonts w:ascii="仿宋_GB2312" w:eastAsia="仿宋_GB2312"/>
      <w:b/>
      <w:sz w:val="36"/>
      <w:szCs w:val="24"/>
    </w:rPr>
  </w:style>
  <w:style w:type="paragraph" w:customStyle="1" w:styleId="663">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4">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65">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66">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667">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66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rPr>
  </w:style>
  <w:style w:type="paragraph" w:customStyle="1" w:styleId="669">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670">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671">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72">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73">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74">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75">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76">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677">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78">
    <w:name w:val="Char2"/>
    <w:basedOn w:val="1"/>
    <w:qFormat/>
    <w:uiPriority w:val="0"/>
    <w:pPr>
      <w:tabs>
        <w:tab w:val="left" w:pos="360"/>
      </w:tabs>
    </w:pPr>
    <w:rPr>
      <w:sz w:val="24"/>
      <w:szCs w:val="24"/>
    </w:rPr>
  </w:style>
  <w:style w:type="paragraph" w:customStyle="1" w:styleId="679">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680">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81">
    <w:name w:val="xl13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2">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683">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84">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685">
    <w:name w:val="正文格式"/>
    <w:basedOn w:val="1"/>
    <w:qFormat/>
    <w:uiPriority w:val="0"/>
    <w:pPr>
      <w:widowControl/>
      <w:spacing w:line="400" w:lineRule="exact"/>
      <w:ind w:firstLine="482"/>
    </w:pPr>
    <w:rPr>
      <w:rFonts w:ascii="Arial" w:hAnsi="Arial" w:eastAsia="新宋体"/>
      <w:sz w:val="24"/>
      <w:szCs w:val="20"/>
    </w:rPr>
  </w:style>
  <w:style w:type="paragraph" w:customStyle="1" w:styleId="686">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687">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688">
    <w:name w:val="xl224"/>
    <w:basedOn w:val="1"/>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89">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90">
    <w:name w:val="文本块2"/>
    <w:basedOn w:val="1"/>
    <w:qFormat/>
    <w:uiPriority w:val="0"/>
    <w:pPr>
      <w:ind w:left="630" w:right="630"/>
      <w:jc w:val="center"/>
    </w:pPr>
    <w:rPr>
      <w:rFonts w:ascii="宋体"/>
      <w:b/>
      <w:sz w:val="32"/>
      <w:szCs w:val="24"/>
    </w:rPr>
  </w:style>
  <w:style w:type="paragraph" w:customStyle="1" w:styleId="691">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692">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69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694">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95">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96">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97">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98">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699">
    <w:name w:val="样式 行距: 1.5 倍行距"/>
    <w:basedOn w:val="1"/>
    <w:qFormat/>
    <w:uiPriority w:val="0"/>
    <w:pPr>
      <w:spacing w:line="360" w:lineRule="auto"/>
    </w:pPr>
    <w:rPr>
      <w:rFonts w:ascii="宋体" w:hAnsi="宋体"/>
      <w:bCs/>
      <w:sz w:val="28"/>
      <w:szCs w:val="20"/>
    </w:rPr>
  </w:style>
  <w:style w:type="paragraph" w:customStyle="1" w:styleId="700">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01">
    <w:name w:val="04-标书-标题4"/>
    <w:basedOn w:val="1"/>
    <w:qFormat/>
    <w:uiPriority w:val="0"/>
    <w:pPr>
      <w:widowControl/>
      <w:tabs>
        <w:tab w:val="left" w:pos="360"/>
      </w:tabs>
      <w:spacing w:line="360" w:lineRule="auto"/>
      <w:ind w:firstLine="480"/>
    </w:pPr>
    <w:rPr>
      <w:rFonts w:ascii="宋体" w:hAnsi="宋体" w:eastAsia="黑体"/>
      <w:color w:val="000000"/>
      <w:sz w:val="24"/>
      <w:szCs w:val="21"/>
    </w:rPr>
  </w:style>
  <w:style w:type="paragraph" w:customStyle="1" w:styleId="702">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703">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04">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05">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06">
    <w:name w:val="正文４"/>
    <w:basedOn w:val="1"/>
    <w:qFormat/>
    <w:uiPriority w:val="0"/>
    <w:pPr>
      <w:spacing w:line="360" w:lineRule="auto"/>
      <w:ind w:firstLine="480"/>
    </w:pPr>
    <w:rPr>
      <w:sz w:val="24"/>
      <w:szCs w:val="20"/>
    </w:rPr>
  </w:style>
  <w:style w:type="paragraph" w:customStyle="1" w:styleId="70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paragraph" w:customStyle="1" w:styleId="708">
    <w:name w:val="Char Char 字元 字元 字元 Char Char Char Char"/>
    <w:basedOn w:val="1"/>
    <w:unhideWhenUsed/>
    <w:qFormat/>
    <w:uiPriority w:val="99"/>
    <w:pPr>
      <w:spacing w:line="360" w:lineRule="auto"/>
    </w:pPr>
    <w:rPr>
      <w:rFonts w:hint="eastAsia"/>
      <w:szCs w:val="24"/>
    </w:rPr>
  </w:style>
  <w:style w:type="paragraph" w:customStyle="1" w:styleId="709">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10">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11">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712">
    <w:name w:val="Char11"/>
    <w:basedOn w:val="1"/>
    <w:qFormat/>
    <w:uiPriority w:val="0"/>
    <w:rPr>
      <w:rFonts w:ascii="Tahoma" w:hAnsi="Tahoma"/>
      <w:sz w:val="24"/>
      <w:szCs w:val="20"/>
    </w:rPr>
  </w:style>
  <w:style w:type="paragraph" w:customStyle="1" w:styleId="713">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14">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715">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716">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17">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18">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19">
    <w:name w:val="一级标题"/>
    <w:basedOn w:val="2"/>
    <w:qFormat/>
    <w:uiPriority w:val="0"/>
    <w:pPr>
      <w:keepNext w:val="0"/>
      <w:spacing w:line="360" w:lineRule="auto"/>
    </w:pPr>
    <w:rPr>
      <w:rFonts w:ascii="宋体" w:hAnsi="宋体" w:eastAsia="宋体"/>
      <w:b/>
      <w:sz w:val="32"/>
    </w:rPr>
  </w:style>
  <w:style w:type="paragraph" w:customStyle="1" w:styleId="720">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21">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22">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23">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24">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25">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26">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727">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28">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729">
    <w:name w:val="图5"/>
    <w:basedOn w:val="1"/>
    <w:qFormat/>
    <w:uiPriority w:val="0"/>
    <w:pPr>
      <w:spacing w:line="220" w:lineRule="exact"/>
      <w:jc w:val="center"/>
    </w:pPr>
    <w:rPr>
      <w:rFonts w:ascii="仿宋_GB2312" w:eastAsia="仿宋_GB2312"/>
      <w:szCs w:val="20"/>
    </w:rPr>
  </w:style>
  <w:style w:type="paragraph" w:customStyle="1" w:styleId="730">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31">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732">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33">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34">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35">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736">
    <w:name w:val="_Style 1"/>
    <w:basedOn w:val="1"/>
    <w:qFormat/>
    <w:uiPriority w:val="34"/>
    <w:pPr>
      <w:spacing w:line="400" w:lineRule="exact"/>
      <w:ind w:firstLine="420"/>
      <w:jc w:val="left"/>
    </w:pPr>
    <w:rPr>
      <w:rFonts w:ascii="Calibri" w:hAnsi="Calibri" w:eastAsia="仿宋_GB2312"/>
      <w:sz w:val="24"/>
    </w:rPr>
  </w:style>
  <w:style w:type="paragraph" w:customStyle="1" w:styleId="737">
    <w:name w:val="文档结构图2"/>
    <w:basedOn w:val="1"/>
    <w:qFormat/>
    <w:uiPriority w:val="0"/>
    <w:rPr>
      <w:rFonts w:ascii="宋体"/>
      <w:sz w:val="18"/>
      <w:szCs w:val="18"/>
    </w:rPr>
  </w:style>
  <w:style w:type="paragraph" w:customStyle="1" w:styleId="738">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739">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40">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41">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42">
    <w:name w:val="正文4"/>
    <w:basedOn w:val="1"/>
    <w:qFormat/>
    <w:uiPriority w:val="0"/>
    <w:pPr>
      <w:spacing w:line="360" w:lineRule="auto"/>
      <w:ind w:firstLine="480"/>
    </w:pPr>
    <w:rPr>
      <w:rFonts w:ascii="楷体_GB2312" w:hAnsi="宋体" w:eastAsia="楷体_GB2312"/>
      <w:sz w:val="24"/>
      <w:szCs w:val="20"/>
    </w:rPr>
  </w:style>
  <w:style w:type="paragraph" w:customStyle="1" w:styleId="743">
    <w:name w:val="_Style 6"/>
    <w:basedOn w:val="1"/>
    <w:qFormat/>
    <w:uiPriority w:val="34"/>
    <w:pPr>
      <w:ind w:firstLine="420"/>
    </w:pPr>
    <w:rPr>
      <w:szCs w:val="24"/>
    </w:rPr>
  </w:style>
  <w:style w:type="paragraph" w:customStyle="1" w:styleId="744">
    <w:name w:val="xl47"/>
    <w:basedOn w:val="1"/>
    <w:qFormat/>
    <w:uiPriority w:val="0"/>
    <w:pPr>
      <w:widowControl/>
      <w:spacing w:before="100" w:beforeAutospacing="1" w:after="100" w:afterAutospacing="1"/>
      <w:jc w:val="center"/>
    </w:pPr>
    <w:rPr>
      <w:rFonts w:hint="eastAsia" w:ascii="黑体" w:hAnsi="Arial Unicode MS" w:eastAsia="黑体"/>
      <w:b/>
      <w:bCs/>
      <w:sz w:val="24"/>
      <w:szCs w:val="24"/>
    </w:rPr>
  </w:style>
  <w:style w:type="paragraph" w:customStyle="1" w:styleId="745">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46">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47">
    <w:name w:val="TOC 标题2"/>
    <w:basedOn w:val="2"/>
    <w:next w:val="1"/>
    <w:qFormat/>
    <w:uiPriority w:val="0"/>
    <w:pPr>
      <w:keepLines/>
      <w:widowControl/>
      <w:spacing w:before="240" w:line="259" w:lineRule="auto"/>
      <w:jc w:val="left"/>
      <w:outlineLvl w:val="9"/>
    </w:pPr>
    <w:rPr>
      <w:rFonts w:ascii="Cambria" w:hAnsi="Cambria" w:eastAsia="宋体" w:cs="黑体"/>
      <w:color w:val="365F90"/>
      <w:sz w:val="32"/>
      <w:szCs w:val="32"/>
    </w:rPr>
  </w:style>
  <w:style w:type="paragraph" w:customStyle="1" w:styleId="748">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49">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50">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51">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752">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53">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54">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55">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756">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57">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58">
    <w:name w:val="Style Heading 3H31.1.1标题 3Level 3 Headlevel_3PIM 3h3sect1.2...."/>
    <w:basedOn w:val="5"/>
    <w:qFormat/>
    <w:uiPriority w:val="0"/>
    <w:pPr>
      <w:spacing w:before="120" w:after="120" w:line="360" w:lineRule="auto"/>
      <w:ind w:left="720" w:hanging="720"/>
    </w:pPr>
    <w:rPr>
      <w:rFonts w:eastAsia="黑体"/>
      <w:sz w:val="24"/>
      <w:szCs w:val="20"/>
    </w:rPr>
  </w:style>
  <w:style w:type="paragraph" w:customStyle="1" w:styleId="759">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6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761">
    <w:name w:val="列表格式"/>
    <w:basedOn w:val="14"/>
    <w:qFormat/>
    <w:uiPriority w:val="0"/>
    <w:pPr>
      <w:tabs>
        <w:tab w:val="left" w:pos="780"/>
      </w:tabs>
      <w:spacing w:line="360" w:lineRule="auto"/>
      <w:ind w:left="0" w:firstLine="200"/>
    </w:pPr>
  </w:style>
  <w:style w:type="paragraph" w:customStyle="1" w:styleId="762">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63">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764">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65">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6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767">
    <w:name w:val="DLP正文"/>
    <w:basedOn w:val="1"/>
    <w:qFormat/>
    <w:uiPriority w:val="0"/>
    <w:pPr>
      <w:ind w:firstLine="473"/>
    </w:pPr>
    <w:rPr>
      <w:rFonts w:hAnsi="宋体"/>
    </w:rPr>
  </w:style>
  <w:style w:type="paragraph" w:customStyle="1" w:styleId="768">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769">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70">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71">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72">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73">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774">
    <w:name w:val="正文首行缩进1"/>
    <w:basedOn w:val="1"/>
    <w:qFormat/>
    <w:uiPriority w:val="0"/>
    <w:pPr>
      <w:spacing w:line="360" w:lineRule="auto"/>
      <w:ind w:firstLine="420"/>
    </w:pPr>
    <w:rPr>
      <w:rFonts w:ascii="Arial" w:hAnsi="Arial"/>
      <w:sz w:val="20"/>
      <w:szCs w:val="21"/>
    </w:rPr>
  </w:style>
  <w:style w:type="paragraph" w:customStyle="1" w:styleId="775">
    <w:name w:val="列出段落4"/>
    <w:basedOn w:val="1"/>
    <w:qFormat/>
    <w:uiPriority w:val="0"/>
    <w:pPr>
      <w:ind w:firstLine="420"/>
    </w:pPr>
    <w:rPr>
      <w:rFonts w:ascii="Calibri" w:hAnsi="Calibri"/>
    </w:rPr>
  </w:style>
  <w:style w:type="paragraph" w:customStyle="1" w:styleId="776">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77">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78">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79">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80">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81">
    <w:name w:val="正文 首行缩进:  2 字符 Char"/>
    <w:basedOn w:val="1"/>
    <w:qFormat/>
    <w:uiPriority w:val="0"/>
    <w:pPr>
      <w:spacing w:line="360" w:lineRule="auto"/>
      <w:ind w:firstLine="480"/>
    </w:pPr>
    <w:rPr>
      <w:rFonts w:cs="宋体"/>
      <w:sz w:val="24"/>
      <w:szCs w:val="20"/>
    </w:rPr>
  </w:style>
  <w:style w:type="paragraph" w:customStyle="1" w:styleId="782">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83">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784">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85">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86">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87">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788">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789">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90">
    <w:name w:val="正文缩进1"/>
    <w:basedOn w:val="1"/>
    <w:qFormat/>
    <w:uiPriority w:val="0"/>
    <w:pPr>
      <w:ind w:firstLine="420"/>
    </w:pPr>
    <w:rPr>
      <w:szCs w:val="20"/>
    </w:rPr>
  </w:style>
  <w:style w:type="paragraph" w:customStyle="1" w:styleId="791">
    <w:name w:val="无间隔2"/>
    <w:qFormat/>
    <w:uiPriority w:val="0"/>
    <w:pPr>
      <w:widowControl w:val="0"/>
      <w:jc w:val="both"/>
    </w:pPr>
    <w:rPr>
      <w:rFonts w:ascii="Calibri" w:hAnsi="Calibri" w:eastAsia="宋体" w:cs="黑体"/>
      <w:sz w:val="21"/>
      <w:szCs w:val="22"/>
      <w:lang w:val="en-US" w:eastAsia="zh-CN" w:bidi="ar-SA"/>
    </w:rPr>
  </w:style>
  <w:style w:type="paragraph" w:customStyle="1" w:styleId="792">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793">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794">
    <w:name w:val="GP正文(无首行缩进)"/>
    <w:basedOn w:val="1"/>
    <w:qFormat/>
    <w:uiPriority w:val="0"/>
    <w:pPr>
      <w:spacing w:line="360" w:lineRule="auto"/>
      <w:ind w:firstLine="480"/>
      <w:jc w:val="left"/>
    </w:pPr>
    <w:rPr>
      <w:rFonts w:hAnsi="宋体"/>
      <w:sz w:val="24"/>
      <w:szCs w:val="24"/>
    </w:rPr>
  </w:style>
  <w:style w:type="paragraph" w:customStyle="1" w:styleId="795">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96">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797">
    <w:name w:val="正文首行缩进2"/>
    <w:basedOn w:val="1"/>
    <w:qFormat/>
    <w:uiPriority w:val="0"/>
    <w:pPr>
      <w:spacing w:line="360" w:lineRule="auto"/>
      <w:ind w:firstLine="420"/>
    </w:pPr>
    <w:rPr>
      <w:rFonts w:ascii="Arial" w:hAnsi="Arial"/>
      <w:sz w:val="20"/>
      <w:szCs w:val="21"/>
    </w:rPr>
  </w:style>
  <w:style w:type="paragraph" w:customStyle="1" w:styleId="798">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99">
    <w:name w:val="正文文本 31"/>
    <w:basedOn w:val="1"/>
    <w:qFormat/>
    <w:uiPriority w:val="0"/>
    <w:rPr>
      <w:rFonts w:ascii="仿宋_GB2312" w:hAnsi="Arial" w:eastAsia="仿宋_GB2312"/>
      <w:sz w:val="32"/>
      <w:szCs w:val="20"/>
    </w:rPr>
  </w:style>
  <w:style w:type="paragraph" w:customStyle="1" w:styleId="800">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01">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02">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03">
    <w:name w:val="正文(首行缩进)"/>
    <w:basedOn w:val="1"/>
    <w:qFormat/>
    <w:uiPriority w:val="0"/>
    <w:pPr>
      <w:spacing w:line="360" w:lineRule="auto"/>
      <w:ind w:firstLine="480"/>
      <w:jc w:val="left"/>
    </w:pPr>
    <w:rPr>
      <w:rFonts w:ascii="楷体_GB2312" w:hAnsi="宋体" w:eastAsia="楷体_GB2312"/>
      <w:color w:val="000000"/>
      <w:sz w:val="24"/>
      <w:szCs w:val="24"/>
    </w:rPr>
  </w:style>
  <w:style w:type="paragraph" w:customStyle="1" w:styleId="804">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05">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06">
    <w:name w:val="Table Paragraph"/>
    <w:basedOn w:val="1"/>
    <w:qFormat/>
    <w:uiPriority w:val="1"/>
    <w:pPr>
      <w:jc w:val="left"/>
    </w:pPr>
    <w:rPr>
      <w:rFonts w:ascii="Calibri" w:hAnsi="Calibri" w:cs="黑体"/>
      <w:sz w:val="22"/>
      <w:lang w:eastAsia="en-US"/>
    </w:rPr>
  </w:style>
  <w:style w:type="paragraph" w:customStyle="1" w:styleId="807">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80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809">
    <w:name w:val="二级标题"/>
    <w:basedOn w:val="3"/>
    <w:qFormat/>
    <w:uiPriority w:val="0"/>
    <w:pPr>
      <w:keepNext w:val="0"/>
      <w:keepLines w:val="0"/>
      <w:tabs>
        <w:tab w:val="left" w:pos="0"/>
      </w:tabs>
      <w:spacing w:before="0" w:after="0" w:line="360" w:lineRule="auto"/>
      <w:jc w:val="left"/>
    </w:pPr>
    <w:rPr>
      <w:rFonts w:ascii="宋体" w:hAnsi="宋体" w:eastAsia="宋体" w:cs="Times New Roman"/>
      <w:bCs w:val="0"/>
      <w:sz w:val="32"/>
      <w:szCs w:val="21"/>
    </w:rPr>
  </w:style>
  <w:style w:type="paragraph" w:customStyle="1" w:styleId="810">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11">
    <w:name w:val="正文段"/>
    <w:basedOn w:val="1"/>
    <w:qFormat/>
    <w:uiPriority w:val="0"/>
    <w:pPr>
      <w:widowControl/>
      <w:spacing w:after="240" w:line="360" w:lineRule="atLeast"/>
      <w:ind w:firstLine="454"/>
    </w:pPr>
    <w:rPr>
      <w:rFonts w:ascii="宋体"/>
      <w:sz w:val="24"/>
      <w:szCs w:val="20"/>
    </w:rPr>
  </w:style>
  <w:style w:type="paragraph" w:customStyle="1" w:styleId="812">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1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814">
    <w:name w:val="22h222heading2hiddenhead"/>
    <w:basedOn w:val="1"/>
    <w:qFormat/>
    <w:uiPriority w:val="0"/>
    <w:pPr>
      <w:widowControl/>
      <w:spacing w:before="100" w:beforeAutospacing="1" w:after="100" w:afterAutospacing="1"/>
      <w:jc w:val="left"/>
    </w:pPr>
    <w:rPr>
      <w:rFonts w:ascii="宋体" w:hAnsi="宋体" w:cs="宋体"/>
      <w:sz w:val="24"/>
      <w:szCs w:val="24"/>
    </w:rPr>
  </w:style>
  <w:style w:type="paragraph" w:customStyle="1" w:styleId="815">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16">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17">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18">
    <w:name w:val="_Style 5"/>
    <w:basedOn w:val="1"/>
    <w:qFormat/>
    <w:uiPriority w:val="0"/>
    <w:rPr>
      <w:szCs w:val="24"/>
    </w:rPr>
  </w:style>
  <w:style w:type="paragraph" w:customStyle="1" w:styleId="819">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2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821">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22">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823">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824">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25">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26">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27">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28">
    <w:name w:val="批注主题1"/>
    <w:basedOn w:val="20"/>
    <w:next w:val="20"/>
    <w:qFormat/>
    <w:uiPriority w:val="0"/>
    <w:rPr>
      <w:rFonts w:ascii="Calibri" w:hAnsi="Calibri"/>
      <w:b/>
      <w:bCs/>
    </w:rPr>
  </w:style>
  <w:style w:type="paragraph" w:customStyle="1" w:styleId="829">
    <w:name w:val="文档正文"/>
    <w:basedOn w:val="1"/>
    <w:qFormat/>
    <w:uiPriority w:val="99"/>
    <w:pPr>
      <w:spacing w:line="312" w:lineRule="atLeast"/>
      <w:ind w:firstLine="567"/>
    </w:pPr>
    <w:rPr>
      <w:rFonts w:ascii="长城仿宋" w:eastAsia="长城仿宋"/>
      <w:sz w:val="28"/>
      <w:szCs w:val="20"/>
    </w:rPr>
  </w:style>
  <w:style w:type="paragraph" w:customStyle="1" w:styleId="83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1">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32">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eastAsia="黑体" w:cs="Times New Roman"/>
      <w:bCs w:val="0"/>
      <w:sz w:val="30"/>
      <w:szCs w:val="20"/>
    </w:rPr>
  </w:style>
  <w:style w:type="paragraph" w:customStyle="1" w:styleId="833">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834">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835">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836">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837">
    <w:name w:val="表1"/>
    <w:basedOn w:val="1"/>
    <w:qFormat/>
    <w:uiPriority w:val="0"/>
    <w:pPr>
      <w:widowControl/>
      <w:spacing w:line="360" w:lineRule="auto"/>
      <w:ind w:left="900"/>
      <w:jc w:val="center"/>
    </w:pPr>
    <w:rPr>
      <w:rFonts w:ascii="Verdana" w:hAnsi="Verdana" w:cs="宋体"/>
      <w:szCs w:val="28"/>
    </w:rPr>
  </w:style>
  <w:style w:type="paragraph" w:customStyle="1" w:styleId="838">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39">
    <w:name w:val="正文文本缩进2"/>
    <w:basedOn w:val="1"/>
    <w:qFormat/>
    <w:uiPriority w:val="0"/>
    <w:pPr>
      <w:ind w:firstLine="645"/>
    </w:pPr>
    <w:rPr>
      <w:rFonts w:ascii="楷体_GB2312" w:eastAsia="楷体_GB2312"/>
      <w:sz w:val="32"/>
      <w:szCs w:val="20"/>
    </w:rPr>
  </w:style>
  <w:style w:type="paragraph" w:customStyle="1" w:styleId="840">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1">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42">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43">
    <w:name w:val="DLP3.4.4"/>
    <w:basedOn w:val="1"/>
    <w:qFormat/>
    <w:uiPriority w:val="0"/>
    <w:pPr>
      <w:keepNext/>
      <w:keepLines/>
      <w:spacing w:before="260" w:after="260" w:line="416" w:lineRule="auto"/>
      <w:ind w:left="1820" w:hanging="420"/>
      <w:outlineLvl w:val="2"/>
    </w:pPr>
    <w:rPr>
      <w:b/>
      <w:sz w:val="30"/>
      <w:szCs w:val="24"/>
    </w:rPr>
  </w:style>
  <w:style w:type="paragraph" w:customStyle="1" w:styleId="844">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845">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846">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847">
    <w:name w:val="_Style 2"/>
    <w:basedOn w:val="1"/>
    <w:qFormat/>
    <w:uiPriority w:val="34"/>
    <w:pPr>
      <w:ind w:firstLine="420"/>
    </w:pPr>
    <w:rPr>
      <w:rFonts w:ascii="Calibri" w:hAnsi="Calibri"/>
    </w:rPr>
  </w:style>
  <w:style w:type="paragraph" w:customStyle="1" w:styleId="848">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9">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50">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851">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852">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853">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54">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855">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56">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57">
    <w:name w:val="段"/>
    <w:qFormat/>
    <w:uiPriority w:val="0"/>
    <w:pPr>
      <w:ind w:firstLine="200"/>
      <w:jc w:val="both"/>
    </w:pPr>
    <w:rPr>
      <w:rFonts w:ascii="宋体" w:hAnsi="Times New Roman" w:eastAsia="宋体" w:cs="Times New Roman"/>
      <w:sz w:val="21"/>
      <w:lang w:val="en-US" w:eastAsia="zh-CN" w:bidi="ar-SA"/>
    </w:rPr>
  </w:style>
  <w:style w:type="paragraph" w:customStyle="1" w:styleId="858">
    <w:name w:val="列出段落2"/>
    <w:basedOn w:val="1"/>
    <w:qFormat/>
    <w:uiPriority w:val="99"/>
    <w:pPr>
      <w:ind w:firstLine="420"/>
    </w:pPr>
    <w:rPr>
      <w:rFonts w:ascii="Calibri" w:hAnsi="Calibri" w:eastAsia="仿宋_GB2312"/>
      <w:sz w:val="24"/>
    </w:rPr>
  </w:style>
  <w:style w:type="paragraph" w:customStyle="1" w:styleId="859">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0">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1">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862">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3">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4">
    <w:name w:val="中等深浅网格 21"/>
    <w:qFormat/>
    <w:uiPriority w:val="1"/>
    <w:pPr>
      <w:widowControl w:val="0"/>
      <w:jc w:val="both"/>
    </w:pPr>
    <w:rPr>
      <w:rFonts w:ascii="Calibri" w:hAnsi="Calibri" w:eastAsia="宋体" w:cs="Times New Roman"/>
      <w:sz w:val="21"/>
      <w:szCs w:val="22"/>
      <w:lang w:val="en-US" w:eastAsia="zh-CN" w:bidi="ar-SA"/>
    </w:rPr>
  </w:style>
  <w:style w:type="paragraph" w:customStyle="1" w:styleId="865">
    <w:name w:val="正文符号编号"/>
    <w:basedOn w:val="1"/>
    <w:qFormat/>
    <w:uiPriority w:val="0"/>
    <w:pPr>
      <w:tabs>
        <w:tab w:val="left" w:pos="1395"/>
      </w:tabs>
      <w:spacing w:line="360" w:lineRule="auto"/>
      <w:ind w:left="1395" w:hanging="600"/>
    </w:pPr>
    <w:rPr>
      <w:sz w:val="24"/>
      <w:szCs w:val="20"/>
    </w:rPr>
  </w:style>
  <w:style w:type="paragraph" w:customStyle="1" w:styleId="866">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7">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8">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9">
    <w:name w:val="正文文本缩进 22"/>
    <w:basedOn w:val="1"/>
    <w:qFormat/>
    <w:uiPriority w:val="0"/>
    <w:pPr>
      <w:spacing w:line="520" w:lineRule="exact"/>
      <w:ind w:firstLine="560"/>
    </w:pPr>
    <w:rPr>
      <w:rFonts w:ascii="楷体_GB2312" w:eastAsia="楷体_GB2312"/>
      <w:sz w:val="28"/>
      <w:szCs w:val="28"/>
    </w:rPr>
  </w:style>
  <w:style w:type="paragraph" w:customStyle="1" w:styleId="870">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871">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2">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73">
    <w:name w:val="表头"/>
    <w:basedOn w:val="1"/>
    <w:qFormat/>
    <w:uiPriority w:val="0"/>
    <w:pPr>
      <w:spacing w:line="360" w:lineRule="auto"/>
      <w:jc w:val="center"/>
    </w:pPr>
    <w:rPr>
      <w:rFonts w:ascii="Calibri" w:hAnsi="Calibri" w:cs="宋体"/>
      <w:b/>
      <w:bCs/>
      <w:color w:val="000000"/>
      <w:szCs w:val="20"/>
    </w:rPr>
  </w:style>
  <w:style w:type="paragraph" w:customStyle="1" w:styleId="874">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5">
    <w:name w:val="列出段落3"/>
    <w:basedOn w:val="1"/>
    <w:qFormat/>
    <w:uiPriority w:val="0"/>
    <w:pPr>
      <w:ind w:firstLine="420"/>
    </w:pPr>
    <w:rPr>
      <w:rFonts w:ascii="Calibri" w:hAnsi="Calibri"/>
    </w:rPr>
  </w:style>
  <w:style w:type="paragraph" w:customStyle="1" w:styleId="876">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77">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8">
    <w:name w:val="功能配置 2"/>
    <w:basedOn w:val="1"/>
    <w:qFormat/>
    <w:uiPriority w:val="0"/>
    <w:pPr>
      <w:tabs>
        <w:tab w:val="left" w:pos="420"/>
      </w:tabs>
      <w:spacing w:line="360" w:lineRule="auto"/>
      <w:ind w:left="105"/>
    </w:pPr>
    <w:rPr>
      <w:rFonts w:ascii="宋体" w:hAnsi="宋体"/>
      <w:b/>
      <w:bCs/>
      <w:szCs w:val="24"/>
    </w:rPr>
  </w:style>
  <w:style w:type="paragraph" w:customStyle="1" w:styleId="879">
    <w:name w:val="TOC 标题11"/>
    <w:basedOn w:val="2"/>
    <w:next w:val="1"/>
    <w:qFormat/>
    <w:uiPriority w:val="0"/>
    <w:pPr>
      <w:keepLines/>
      <w:widowControl/>
      <w:spacing w:before="240" w:line="259" w:lineRule="auto"/>
      <w:jc w:val="left"/>
      <w:outlineLvl w:val="9"/>
    </w:pPr>
    <w:rPr>
      <w:rFonts w:ascii="Cambria" w:hAnsi="Cambria" w:eastAsia="宋体" w:cs="黑体"/>
      <w:color w:val="365F90"/>
      <w:sz w:val="32"/>
      <w:szCs w:val="32"/>
    </w:rPr>
  </w:style>
  <w:style w:type="paragraph" w:customStyle="1" w:styleId="880">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81">
    <w:name w:val="2级段落"/>
    <w:basedOn w:val="1"/>
    <w:next w:val="1"/>
    <w:qFormat/>
    <w:uiPriority w:val="0"/>
    <w:pPr>
      <w:ind w:firstLine="200"/>
      <w:outlineLvl w:val="1"/>
    </w:pPr>
    <w:rPr>
      <w:rFonts w:ascii="楷体" w:hAnsi="楷体" w:eastAsia="楷体"/>
      <w:sz w:val="32"/>
      <w:szCs w:val="32"/>
    </w:rPr>
  </w:style>
  <w:style w:type="paragraph" w:customStyle="1" w:styleId="882">
    <w:name w:val="标准"/>
    <w:basedOn w:val="1"/>
    <w:qFormat/>
    <w:uiPriority w:val="0"/>
    <w:pPr>
      <w:spacing w:line="240" w:lineRule="atLeast"/>
    </w:pPr>
    <w:rPr>
      <w:rFonts w:eastAsia="楷体_GB2312"/>
      <w:sz w:val="24"/>
      <w:szCs w:val="20"/>
    </w:rPr>
  </w:style>
  <w:style w:type="paragraph" w:customStyle="1" w:styleId="883">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4">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5">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886">
    <w:name w:val="表格文字"/>
    <w:basedOn w:val="1"/>
    <w:qFormat/>
    <w:uiPriority w:val="0"/>
    <w:pPr>
      <w:tabs>
        <w:tab w:val="left" w:pos="7740"/>
      </w:tabs>
      <w:jc w:val="center"/>
    </w:pPr>
    <w:rPr>
      <w:rFonts w:ascii="宋体" w:hAnsi="宋体"/>
      <w:sz w:val="24"/>
      <w:szCs w:val="20"/>
    </w:rPr>
  </w:style>
  <w:style w:type="paragraph" w:customStyle="1" w:styleId="887">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888">
    <w:name w:val="01-标书-标题1"/>
    <w:next w:val="1"/>
    <w:qFormat/>
    <w:uiPriority w:val="0"/>
    <w:pPr>
      <w:spacing w:line="360" w:lineRule="auto"/>
      <w:outlineLvl w:val="0"/>
    </w:pPr>
    <w:rPr>
      <w:rFonts w:ascii="黑体" w:hAnsi="宋体" w:eastAsia="黑体" w:cs="Times New Roman"/>
      <w:sz w:val="44"/>
      <w:szCs w:val="32"/>
      <w:lang w:val="en-US" w:eastAsia="zh-CN" w:bidi="ar-SA"/>
    </w:rPr>
  </w:style>
  <w:style w:type="paragraph" w:customStyle="1" w:styleId="889">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890">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891">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92">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893">
    <w:name w:val="正文缩近"/>
    <w:basedOn w:val="1"/>
    <w:qFormat/>
    <w:uiPriority w:val="0"/>
    <w:pPr>
      <w:spacing w:line="360" w:lineRule="auto"/>
      <w:ind w:firstLine="200"/>
    </w:pPr>
    <w:rPr>
      <w:sz w:val="24"/>
      <w:szCs w:val="24"/>
    </w:rPr>
  </w:style>
  <w:style w:type="paragraph" w:customStyle="1" w:styleId="894">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895">
    <w:name w:val="Style Heading 2 节 + Before:  0.35 line After:  0.35 line"/>
    <w:basedOn w:val="620"/>
    <w:qFormat/>
    <w:uiPriority w:val="0"/>
    <w:pPr>
      <w:tabs>
        <w:tab w:val="clear" w:pos="576"/>
      </w:tabs>
      <w:spacing w:before="109" w:after="109"/>
      <w:ind w:left="0" w:firstLine="0"/>
    </w:pPr>
    <w:rPr>
      <w:szCs w:val="20"/>
    </w:rPr>
  </w:style>
  <w:style w:type="paragraph" w:customStyle="1" w:styleId="896">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7">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898">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99">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0">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901">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2">
    <w:name w:val="表格文字1"/>
    <w:basedOn w:val="1"/>
    <w:qFormat/>
    <w:uiPriority w:val="0"/>
    <w:pPr>
      <w:jc w:val="center"/>
    </w:pPr>
    <w:rPr>
      <w:rFonts w:ascii="宋体" w:hAnsi="宋体"/>
      <w:szCs w:val="21"/>
      <w:shd w:val="clear" w:color="auto" w:fill="FFFFFF"/>
    </w:rPr>
  </w:style>
  <w:style w:type="paragraph" w:customStyle="1" w:styleId="903">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904">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5">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6">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7">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908">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909">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0">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1">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912">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913">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14">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5">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16">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7">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918">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9">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920">
    <w:name w:val="日期1"/>
    <w:basedOn w:val="1"/>
    <w:next w:val="1"/>
    <w:qFormat/>
    <w:uiPriority w:val="0"/>
    <w:pPr>
      <w:spacing w:line="312" w:lineRule="atLeast"/>
      <w:jc w:val="right"/>
    </w:pPr>
    <w:rPr>
      <w:rFonts w:ascii="黑体" w:eastAsia="黑体"/>
      <w:b/>
      <w:sz w:val="32"/>
      <w:szCs w:val="20"/>
    </w:rPr>
  </w:style>
  <w:style w:type="paragraph" w:customStyle="1" w:styleId="921">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92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23">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924">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25">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character" w:customStyle="1" w:styleId="926">
    <w:name w:val="NormalCharacter1"/>
    <w:semiHidden/>
    <w:qFormat/>
    <w:uiPriority w:val="0"/>
  </w:style>
  <w:style w:type="paragraph" w:customStyle="1" w:styleId="927">
    <w:name w:val="正文_0"/>
    <w:qFormat/>
    <w:uiPriority w:val="0"/>
    <w:pPr>
      <w:widowControl w:val="0"/>
      <w:jc w:val="both"/>
    </w:pPr>
    <w:rPr>
      <w:rFonts w:ascii="Calibri" w:hAnsi="Calibri" w:eastAsia="宋体" w:cs="Times New Roman"/>
      <w:sz w:val="21"/>
      <w:szCs w:val="22"/>
      <w:lang w:val="en-US" w:eastAsia="zh-CN" w:bidi="ar-SA"/>
    </w:rPr>
  </w:style>
  <w:style w:type="character" w:customStyle="1" w:styleId="928">
    <w:name w:val="font112"/>
    <w:qFormat/>
    <w:uiPriority w:val="0"/>
    <w:rPr>
      <w:rFonts w:ascii="Times New Roman" w:hAnsi="Times New Roman" w:cs="Times New Roman"/>
      <w:color w:val="000000"/>
      <w:sz w:val="20"/>
      <w:szCs w:val="20"/>
      <w:u w:val="none"/>
    </w:rPr>
  </w:style>
  <w:style w:type="character" w:customStyle="1" w:styleId="929">
    <w:name w:val="未处理的提及1"/>
    <w:unhideWhenUsed/>
    <w:qFormat/>
    <w:uiPriority w:val="99"/>
    <w:rPr>
      <w:color w:val="605E5C"/>
      <w:shd w:val="clear" w:color="auto" w:fill="E1DFDD"/>
    </w:rPr>
  </w:style>
  <w:style w:type="paragraph" w:customStyle="1" w:styleId="930">
    <w:name w:val="表文"/>
    <w:autoRedefine/>
    <w:qFormat/>
    <w:uiPriority w:val="0"/>
    <w:pPr>
      <w:widowControl w:val="0"/>
      <w:jc w:val="center"/>
    </w:pPr>
    <w:rPr>
      <w:rFonts w:ascii="宋体" w:hAnsi="宋体" w:eastAsia="仿宋" w:cs="Times New Roman"/>
      <w:lang w:val="en-US" w:eastAsia="zh-CN" w:bidi="ar-SA"/>
    </w:rPr>
  </w:style>
  <w:style w:type="paragraph" w:customStyle="1" w:styleId="931">
    <w:name w:val="正文（缩进）"/>
    <w:basedOn w:val="1"/>
    <w:next w:val="1"/>
    <w:qFormat/>
    <w:uiPriority w:val="0"/>
    <w:pPr>
      <w:ind w:firstLine="480" w:firstLineChars="200"/>
    </w:pPr>
    <w:rPr>
      <w:rFonts w:ascii="Calibri" w:hAnsi="Calibri"/>
      <w:kern w:val="2"/>
    </w:rPr>
  </w:style>
  <w:style w:type="table" w:customStyle="1" w:styleId="932">
    <w:name w:val="Table Normal"/>
    <w:semiHidden/>
    <w:unhideWhenUsed/>
    <w:qFormat/>
    <w:uiPriority w:val="0"/>
    <w:tblPr>
      <w:tblCellMar>
        <w:top w:w="0" w:type="dxa"/>
        <w:left w:w="0" w:type="dxa"/>
        <w:bottom w:w="0" w:type="dxa"/>
        <w:right w:w="0" w:type="dxa"/>
      </w:tblCellMar>
    </w:tblPr>
  </w:style>
  <w:style w:type="paragraph" w:customStyle="1" w:styleId="933">
    <w:name w:val="0正文"/>
    <w:basedOn w:val="1"/>
    <w:unhideWhenUsed/>
    <w:qFormat/>
    <w:uiPriority w:val="0"/>
    <w:pPr>
      <w:ind w:firstLine="480" w:firstLineChars="200"/>
      <w:jc w:val="left"/>
    </w:pPr>
    <w:rPr>
      <w:rFonts w:ascii="宋体" w:hAnsi="宋体"/>
      <w:kern w:val="2"/>
      <w:szCs w:val="24"/>
    </w:rPr>
  </w:style>
  <w:style w:type="paragraph" w:customStyle="1" w:styleId="934">
    <w:name w:val="修订11"/>
    <w:hidden/>
    <w:unhideWhenUsed/>
    <w:qFormat/>
    <w:uiPriority w:val="99"/>
    <w:rPr>
      <w:rFonts w:ascii="Times New Roman" w:hAnsi="Times New Roman" w:eastAsia="宋体" w:cs="Times New Roman"/>
      <w:kern w:val="2"/>
      <w:sz w:val="21"/>
      <w:szCs w:val="24"/>
      <w:lang w:val="en-US" w:eastAsia="zh-CN" w:bidi="ar-SA"/>
    </w:rPr>
  </w:style>
  <w:style w:type="paragraph" w:customStyle="1" w:styleId="935">
    <w:name w:val="标题 31"/>
    <w:basedOn w:val="1"/>
    <w:next w:val="790"/>
    <w:qFormat/>
    <w:uiPriority w:val="0"/>
    <w:pPr>
      <w:keepNext/>
      <w:keepLines/>
      <w:spacing w:before="260" w:after="260" w:line="416" w:lineRule="auto"/>
      <w:outlineLvl w:val="2"/>
    </w:pPr>
    <w:rPr>
      <w:b/>
      <w:sz w:val="32"/>
      <w:szCs w:val="20"/>
      <w:lang w:eastAsia="en-US"/>
    </w:rPr>
  </w:style>
  <w:style w:type="paragraph" w:customStyle="1" w:styleId="936">
    <w:name w:val="正文文本1"/>
    <w:basedOn w:val="1"/>
    <w:qFormat/>
    <w:uiPriority w:val="0"/>
    <w:rPr>
      <w:rFonts w:ascii="楷体_GB2312" w:hAnsi="Arial" w:eastAsia="楷体_GB2312"/>
      <w:sz w:val="28"/>
      <w:szCs w:val="20"/>
      <w:lang w:eastAsia="en-US"/>
    </w:rPr>
  </w:style>
  <w:style w:type="paragraph" w:customStyle="1" w:styleId="937">
    <w:name w:val="列表段落1"/>
    <w:basedOn w:val="1"/>
    <w:qFormat/>
    <w:uiPriority w:val="1"/>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D3F440-A095-40E9-BB79-DE1878B921A8}">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61</Pages>
  <Words>18991</Words>
  <Characters>20111</Characters>
  <Lines>242</Lines>
  <Paragraphs>68</Paragraphs>
  <TotalTime>20</TotalTime>
  <ScaleCrop>false</ScaleCrop>
  <LinksUpToDate>false</LinksUpToDate>
  <CharactersWithSpaces>21607</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2026-07-23T07:39:00Z</dcterms:created>
  <dc:creator>赵国</dc:creator>
  <cp:lastModifiedBy>54978</cp:lastModifiedBy>
  <dcterms:modified xsi:type="dcterms:W3CDTF">2026-08-05T02:07:10Z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582DC388DA604BBBB9BF6CAE741B4918_13</vt:lpwstr>
  </property>
  <property fmtid="{D5CDD505-2E9C-101B-9397-08002B2CF9AE}" pid="4" name="KSOTemplateDocerSaveRecord">
    <vt:lpwstr>eyJoZGlkIjoiM2MyZWM1ZTJlOGI5ZjQ4YmIwNGI3NjRjODZjYjM1NjkiLCJ1c2VySWQiOiIxMDQyMzcwNzQyIn0=</vt:lpwstr>
  </property>
</Properties>
</file>