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仿宋" w:hAnsi="仿宋" w:eastAsia="仿宋" w:cs="仿宋"/>
          <w:b/>
          <w:bCs/>
          <w:sz w:val="84"/>
          <w:szCs w:val="24"/>
        </w:rPr>
      </w:pPr>
      <w:r>
        <w:rPr>
          <w:rFonts w:hint="eastAsia" w:ascii="仿宋" w:hAnsi="仿宋" w:eastAsia="仿宋" w:cs="仿宋"/>
          <w:b/>
          <w:bCs/>
          <w:sz w:val="84"/>
          <w:szCs w:val="24"/>
        </w:rPr>
      </w:r>
      <w:r/>
    </w:p>
    <w:p>
      <w:pPr>
        <w:jc w:val="center"/>
        <w:spacing w:before="120" w:after="120" w:line="360" w:lineRule="auto"/>
        <w:rPr>
          <w:rFonts w:hint="eastAsia" w:ascii="仿宋" w:hAnsi="仿宋" w:eastAsia="仿宋" w:cs="仿宋"/>
          <w:b/>
          <w:bCs/>
          <w:sz w:val="84"/>
          <w:szCs w:val="24"/>
        </w:rPr>
      </w:pPr>
      <w:r>
        <w:rPr>
          <w:rFonts w:hint="eastAsia" w:ascii="Times New Roman" w:hAnsi="Times New Roman" w:eastAsia="黑体"/>
          <w:b/>
          <w:bCs/>
          <w:sz w:val="84"/>
          <w:szCs w:val="24"/>
        </w:rPr>
        <w:t xml:space="preserve">竞争性磋商文件</w:t>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b/>
          <w:sz w:val="30"/>
          <w:szCs w:val="30"/>
          <w:highlight w:val="yellow"/>
        </w:rPr>
      </w:pPr>
      <w:r>
        <w:rPr>
          <w:rFonts w:hint="eastAsia" w:ascii="Times New Roman" w:hAnsi="Times New Roman" w:cs="宋体"/>
          <w:b/>
          <w:sz w:val="30"/>
          <w:szCs w:val="30"/>
        </w:rPr>
        <w:t xml:space="preserve">项目名称：</w:t>
      </w:r>
      <w:r>
        <w:rPr>
          <w:rFonts w:hint="eastAsia" w:ascii="Times New Roman" w:hAnsi="Times New Roman"/>
          <w:b/>
          <w:sz w:val="30"/>
          <w:szCs w:val="30"/>
          <w:lang w:eastAsia="zh-CN"/>
        </w:rPr>
        <w:t xml:space="preserve">宿迁市国有资产智慧监管一体化平台项目</w:t>
      </w:r>
      <w:r>
        <w:rPr>
          <w:rFonts w:hint="eastAsia" w:ascii="Times New Roman" w:hAnsi="Times New Roman"/>
          <w:b/>
          <w:sz w:val="30"/>
          <w:szCs w:val="30"/>
        </w:rPr>
        <w:tab/>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rFonts w:ascii="Times New Roman" w:hAnsi="Times New Roman" w:cs="宋体"/>
          <w:b/>
          <w:sz w:val="30"/>
          <w:szCs w:val="30"/>
          <w:highlight w:val="yellow"/>
        </w:rPr>
      </w:pPr>
      <w:r>
        <w:rPr>
          <w:rFonts w:hint="eastAsia" w:ascii="Times New Roman" w:hAnsi="Times New Roman" w:cs="宋体"/>
          <w:b/>
          <w:sz w:val="30"/>
          <w:szCs w:val="30"/>
        </w:rPr>
        <w:t xml:space="preserve">项目编号：</w:t>
      </w:r>
      <w:r>
        <w:rPr>
          <w:rFonts w:hint="eastAsia" w:ascii="Times New Roman" w:hAnsi="Times New Roman"/>
          <w:b/>
          <w:sz w:val="30"/>
          <w:szCs w:val="30"/>
          <w:highlight w:val="none"/>
          <w:lang w:eastAsia="zh-CN"/>
        </w:rPr>
        <w:t xml:space="preserve">JSZC-321300-JZCG-C2026-0072</w:t>
      </w:r>
      <w:r>
        <w:rPr>
          <w:rFonts w:hint="eastAsia" w:ascii="Times New Roman" w:hAnsi="Times New Roman"/>
          <w:b/>
          <w:sz w:val="30"/>
          <w:szCs w:val="30"/>
          <w:highlight w:val="none"/>
        </w:rPr>
        <w:tab/>
      </w:r>
      <w:r/>
    </w:p>
    <w:p>
      <w:pPr>
        <w:ind w:left="2800" w:hanging="2800"/>
        <w:rPr>
          <w:rFonts w:ascii="Times New Roman" w:hAnsi="Times New Roman"/>
          <w:sz w:val="28"/>
          <w:szCs w:val="28"/>
        </w:rPr>
      </w:pPr>
      <w:r>
        <w:rPr>
          <w:rFonts w:ascii="Times New Roman" w:hAnsi="Times New Roman"/>
          <w:sz w:val="28"/>
          <w:szCs w:val="28"/>
        </w:rPr>
      </w:r>
      <w:r/>
    </w:p>
    <w:p>
      <w:pPr>
        <w:ind w:left="2800" w:hanging="2800"/>
        <w:rPr>
          <w:b/>
          <w:sz w:val="28"/>
          <w:szCs w:val="28"/>
        </w:rPr>
      </w:pPr>
      <w:r>
        <w:rPr>
          <w:rFonts w:ascii="Times New Roman" w:hAnsi="Times New Roman"/>
          <w:sz w:val="28"/>
          <w:szCs w:val="28"/>
        </w:rPr>
        <w:t xml:space="preserve">       </w:t>
      </w:r>
      <w:r>
        <w:rPr>
          <w:rFonts w:hint="eastAsia" w:ascii="Times New Roman" w:hAnsi="Times New Roman"/>
          <w:sz w:val="28"/>
          <w:szCs w:val="28"/>
        </w:rPr>
        <w:t xml:space="preserve">   </w:t>
      </w:r>
      <w:r>
        <w:rPr>
          <w:rFonts w:ascii="Times New Roman" w:hAnsi="Times New Roman"/>
          <w:b/>
          <w:sz w:val="28"/>
          <w:szCs w:val="28"/>
        </w:rPr>
        <w:t xml:space="preserve"> </w:t>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tbl>
      <w:tblPr>
        <w:tblStyle w:val="745"/>
        <w:tblpPr w:horzAnchor="page" w:tblpXSpec="center" w:vertAnchor="text" w:tblpY="466" w:leftFromText="180" w:topFromText="0" w:rightFromText="180" w:bottomFromText="0"/>
        <w:tblW w:w="0" w:type="auto"/>
        <w:jc w:val="center"/>
        <w:tblLayout w:type="autofit"/>
        <w:tblCellMar>
          <w:left w:w="108" w:type="dxa"/>
          <w:top w:w="0" w:type="dxa"/>
          <w:right w:w="108" w:type="dxa"/>
          <w:bottom w:w="0" w:type="dxa"/>
        </w:tblCellMar>
        <w:tblLook w:val="04A0" w:firstRow="1" w:lastRow="0" w:firstColumn="1" w:lastColumn="0" w:noHBand="0" w:noVBand="1"/>
      </w:tblPr>
      <w:tblGrid>
        <w:gridCol w:w="2923"/>
        <w:gridCol w:w="4677"/>
      </w:tblGrid>
      <w:tr>
        <w:trPr>
          <w:jc w:val="center"/>
          <w:trHeight w:val="586"/>
        </w:trPr>
        <w:tc>
          <w:tcPr>
            <w:tcBorders>
              <w:top w:val="none" w:color="000000" w:sz="4" w:space="0"/>
              <w:left w:val="none" w:color="000000" w:sz="4" w:space="0"/>
              <w:bottom w:val="none" w:color="000000" w:sz="4" w:space="0"/>
              <w:right w:val="none" w:color="000000" w:sz="4" w:space="0"/>
            </w:tcBorders>
            <w:tcW w:w="2923" w:type="dxa"/>
            <w:vAlign w:val="center"/>
            <w:textDirection w:val="lrTb"/>
            <w:noWrap w:val="false"/>
          </w:tcPr>
          <w:p>
            <w:pPr>
              <w:jc w:val="center"/>
              <w:spacing w:line="500" w:lineRule="exact"/>
              <w:rPr>
                <w:rFonts w:hint="eastAsia" w:ascii="仿宋" w:hAnsi="仿宋" w:eastAsia="仿宋" w:cs="仿宋"/>
                <w:sz w:val="24"/>
                <w:szCs w:val="24"/>
              </w:rPr>
            </w:pPr>
            <w:r>
              <w:rPr>
                <w:rFonts w:hint="eastAsia" w:ascii="Times New Roman" w:hAnsi="Times New Roman"/>
                <w:b/>
                <w:bCs/>
                <w:spacing w:val="45"/>
                <w:sz w:val="32"/>
                <w:szCs w:val="24"/>
              </w:rPr>
              <w:t xml:space="preserve">采  购 人</w:t>
            </w:r>
            <w:r>
              <w:rPr>
                <w:rFonts w:hint="eastAsia" w:ascii="Times New Roman" w:hAnsi="Times New Roman"/>
                <w:b/>
                <w:bCs/>
                <w:spacing w:val="1"/>
                <w:sz w:val="32"/>
                <w:szCs w:val="24"/>
              </w:rPr>
              <w:t xml:space="preserve">：</w:t>
            </w:r>
            <w:r/>
          </w:p>
        </w:tc>
        <w:tc>
          <w:tcPr>
            <w:tcBorders>
              <w:top w:val="none" w:color="000000" w:sz="4" w:space="0"/>
              <w:left w:val="none" w:color="000000" w:sz="4" w:space="0"/>
              <w:bottom w:val="none" w:color="000000" w:sz="4" w:space="0"/>
              <w:right w:val="none" w:color="000000" w:sz="4" w:space="0"/>
            </w:tcBorders>
            <w:tcW w:w="4677" w:type="dxa"/>
            <w:vAlign w:val="center"/>
            <w:textDirection w:val="lrTb"/>
            <w:noWrap w:val="false"/>
          </w:tcPr>
          <w:p>
            <w:pPr>
              <w:jc w:val="left"/>
              <w:spacing w:line="500" w:lineRule="exact"/>
              <w:rPr>
                <w:rFonts w:hint="eastAsia" w:asciiTheme="minorEastAsia" w:hAnsiTheme="minorEastAsia" w:eastAsiaTheme="minorEastAsia" w:cstheme="minorEastAsia"/>
                <w:b/>
                <w:bCs/>
                <w:sz w:val="32"/>
                <w:szCs w:val="24"/>
                <w:lang w:eastAsia="zh-CN"/>
              </w:rPr>
            </w:pPr>
            <w:r>
              <w:rPr>
                <w:rFonts w:hint="eastAsia" w:asciiTheme="minorEastAsia" w:hAnsiTheme="minorEastAsia" w:eastAsiaTheme="minorEastAsia" w:cstheme="minorEastAsia"/>
                <w:b/>
                <w:bCs/>
                <w:sz w:val="32"/>
                <w:szCs w:val="24"/>
                <w:lang w:eastAsia="zh-CN"/>
              </w:rPr>
              <w:t xml:space="preserve">宿迁市财政局</w:t>
            </w:r>
            <w:r/>
          </w:p>
          <w:p>
            <w:pPr>
              <w:jc w:val="left"/>
              <w:spacing w:line="500" w:lineRule="exact"/>
              <w:rPr>
                <w:rFonts w:hint="eastAsia" w:ascii="仿宋" w:hAnsi="仿宋" w:cs="仿宋"/>
                <w:sz w:val="24"/>
                <w:szCs w:val="24"/>
              </w:rPr>
            </w:pPr>
            <w:r>
              <w:rPr>
                <w:rFonts w:hint="eastAsia" w:ascii="宋体" w:hAnsi="宋体" w:cs="宋体"/>
                <w:b/>
                <w:bCs/>
                <w:sz w:val="32"/>
                <w:szCs w:val="24"/>
              </w:rPr>
              <w:t xml:space="preserve">宿迁市楚润数据集团有限公司</w:t>
            </w:r>
            <w:r/>
          </w:p>
        </w:tc>
      </w:tr>
      <w:tr>
        <w:trPr>
          <w:jc w:val="center"/>
          <w:trHeight w:val="617"/>
        </w:trPr>
        <w:tc>
          <w:tcPr>
            <w:tcBorders>
              <w:top w:val="none" w:color="000000" w:sz="4" w:space="0"/>
              <w:left w:val="none" w:color="000000" w:sz="4" w:space="0"/>
              <w:bottom w:val="none" w:color="000000" w:sz="4" w:space="0"/>
              <w:right w:val="none" w:color="000000" w:sz="4" w:space="0"/>
            </w:tcBorders>
            <w:tcW w:w="2923" w:type="dxa"/>
            <w:vAlign w:val="center"/>
            <w:textDirection w:val="lrTb"/>
            <w:noWrap w:val="false"/>
          </w:tcPr>
          <w:p>
            <w:pPr>
              <w:jc w:val="center"/>
              <w:spacing w:line="500" w:lineRule="exact"/>
              <w:rPr>
                <w:rFonts w:ascii="Times New Roman" w:hAnsi="Times New Roman"/>
                <w:b/>
                <w:bCs/>
                <w:spacing w:val="45"/>
                <w:sz w:val="32"/>
                <w:szCs w:val="24"/>
              </w:rPr>
            </w:pPr>
            <w:r>
              <w:rPr>
                <w:rFonts w:hint="eastAsia" w:ascii="Times New Roman" w:hAnsi="Times New Roman"/>
                <w:b/>
                <w:bCs/>
                <w:sz w:val="32"/>
                <w:szCs w:val="24"/>
              </w:rPr>
              <w:t xml:space="preserve">采购代理机构：</w:t>
            </w:r>
            <w:r/>
          </w:p>
        </w:tc>
        <w:tc>
          <w:tcPr>
            <w:tcBorders>
              <w:top w:val="none" w:color="000000" w:sz="4" w:space="0"/>
              <w:left w:val="none" w:color="000000" w:sz="4" w:space="0"/>
              <w:bottom w:val="none" w:color="000000" w:sz="4" w:space="0"/>
              <w:right w:val="none" w:color="000000" w:sz="4" w:space="0"/>
            </w:tcBorders>
            <w:tcW w:w="4677" w:type="dxa"/>
            <w:vAlign w:val="center"/>
            <w:textDirection w:val="lrTb"/>
            <w:noWrap w:val="false"/>
          </w:tcPr>
          <w:p>
            <w:pPr>
              <w:jc w:val="left"/>
              <w:spacing w:line="500" w:lineRule="exact"/>
              <w:rPr>
                <w:rFonts w:hint="eastAsia" w:ascii="仿宋" w:hAnsi="仿宋" w:cs="仿宋"/>
                <w:sz w:val="24"/>
                <w:szCs w:val="24"/>
              </w:rPr>
            </w:pPr>
            <w:r>
              <w:rPr>
                <w:rFonts w:hint="eastAsia" w:ascii="Times New Roman" w:hAnsi="Times New Roman"/>
                <w:b/>
                <w:bCs/>
                <w:sz w:val="32"/>
                <w:szCs w:val="24"/>
              </w:rPr>
              <w:t xml:space="preserve">宿迁市公共资源交易中心</w:t>
            </w:r>
            <w:r/>
          </w:p>
        </w:tc>
      </w:tr>
    </w:tbl>
    <w:p>
      <w:pPr>
        <w:jc w:val="left"/>
        <w:spacing w:line="360" w:lineRule="auto"/>
        <w:rPr>
          <w:rFonts w:hint="eastAsia" w:ascii="宋体" w:hAnsi="宋体" w:cs="宋体"/>
          <w:sz w:val="24"/>
          <w:szCs w:val="24"/>
        </w:rPr>
      </w:pPr>
      <w:r>
        <w:rPr>
          <w:rFonts w:hint="eastAsia" w:ascii="宋体" w:hAnsi="宋体" w:cs="宋体"/>
          <w:sz w:val="24"/>
          <w:szCs w:val="24"/>
        </w:rPr>
      </w:r>
      <w:r/>
    </w:p>
    <w:p>
      <w:pPr>
        <w:jc w:val="center"/>
        <w:spacing w:before="120" w:after="120" w:line="360" w:lineRule="auto"/>
        <w:rPr>
          <w:rFonts w:ascii="Arial" w:hAnsi="Arial"/>
          <w:b/>
          <w:sz w:val="32"/>
          <w:szCs w:val="24"/>
        </w:rPr>
      </w:pPr>
      <w:r>
        <w:rPr>
          <w:rFonts w:ascii="Arial" w:hAnsi="Arial"/>
          <w:b/>
          <w:sz w:val="32"/>
          <w:szCs w:val="24"/>
        </w:rPr>
      </w:r>
      <w:r/>
    </w:p>
    <w:p>
      <w:pPr>
        <w:jc w:val="center"/>
        <w:spacing w:before="120" w:after="120" w:line="360" w:lineRule="auto"/>
        <w:rPr>
          <w:rFonts w:ascii="Arial" w:hAnsi="Arial"/>
          <w:b/>
          <w:sz w:val="32"/>
          <w:szCs w:val="24"/>
        </w:rPr>
      </w:pPr>
      <w:r>
        <w:rPr>
          <w:rFonts w:ascii="Arial" w:hAnsi="Arial"/>
          <w:b/>
          <w:sz w:val="32"/>
          <w:szCs w:val="24"/>
        </w:rPr>
      </w:r>
      <w:r/>
    </w:p>
    <w:p>
      <w:pPr>
        <w:jc w:val="center"/>
        <w:spacing w:before="120" w:after="120" w:line="360" w:lineRule="auto"/>
        <w:rPr>
          <w:rFonts w:ascii="Times New Roman" w:hAnsi="Times New Roman"/>
          <w:b/>
          <w:bCs/>
          <w:sz w:val="32"/>
          <w:szCs w:val="32"/>
          <w:highlight w:val="none"/>
        </w:rPr>
      </w:pPr>
      <w:r>
        <w:rPr>
          <w:rFonts w:ascii="Times New Roman" w:hAnsi="Times New Roman"/>
          <w:b/>
          <w:bCs/>
          <w:sz w:val="32"/>
          <w:szCs w:val="32"/>
          <w:highlight w:val="none"/>
        </w:rPr>
      </w:r>
      <w:r/>
    </w:p>
    <w:p>
      <w:pPr>
        <w:jc w:val="center"/>
        <w:spacing w:before="120" w:after="120" w:line="360" w:lineRule="auto"/>
        <w:rPr>
          <w:rFonts w:hint="eastAsia" w:ascii="Times New Roman" w:hAnsi="Times New Roman" w:cs="宋体"/>
          <w:b/>
          <w:bCs/>
          <w:sz w:val="32"/>
          <w:szCs w:val="32"/>
          <w:highlight w:val="none"/>
        </w:rPr>
      </w:pPr>
      <w:r>
        <w:rPr>
          <w:rFonts w:ascii="Times New Roman" w:hAnsi="Times New Roman"/>
          <w:b/>
          <w:sz w:val="32"/>
          <w:szCs w:val="24"/>
        </w:rPr>
        <w:t xml:space="preserve">202</w:t>
      </w:r>
      <w:r>
        <w:rPr>
          <w:rFonts w:hint="eastAsia" w:ascii="Times New Roman" w:hAnsi="Times New Roman"/>
          <w:b/>
          <w:sz w:val="32"/>
          <w:szCs w:val="24"/>
        </w:rPr>
        <w:t xml:space="preserve">6</w:t>
      </w:r>
      <w:r>
        <w:rPr>
          <w:rFonts w:hint="eastAsia" w:ascii="Times New Roman" w:hAnsi="Times New Roman" w:cs="宋体"/>
          <w:b/>
          <w:sz w:val="32"/>
          <w:szCs w:val="24"/>
        </w:rPr>
        <w:t xml:space="preserve">年</w:t>
      </w:r>
      <w:r>
        <w:rPr>
          <w:rFonts w:hint="eastAsia" w:ascii="Times New Roman" w:hAnsi="Times New Roman" w:cs="宋体"/>
          <w:b/>
          <w:sz w:val="32"/>
          <w:szCs w:val="24"/>
          <w:highlight w:val="none"/>
          <w:lang w:val="en-US" w:eastAsia="zh-CN"/>
        </w:rPr>
        <w:t xml:space="preserve">9</w:t>
      </w:r>
      <w:r>
        <w:rPr>
          <w:rFonts w:hint="eastAsia" w:ascii="Times New Roman" w:hAnsi="Times New Roman" w:cs="宋体"/>
          <w:b/>
          <w:sz w:val="32"/>
          <w:szCs w:val="24"/>
          <w:highlight w:val="none"/>
        </w:rPr>
        <w:t xml:space="preserve">月</w:t>
      </w:r>
      <w:r>
        <w:rPr>
          <w:rFonts w:hint="eastAsia" w:ascii="Times New Roman" w:hAnsi="Times New Roman" w:cs="宋体"/>
          <w:b/>
          <w:bCs/>
          <w:sz w:val="32"/>
          <w:szCs w:val="32"/>
          <w:highlight w:val="none"/>
          <w:lang w:val="en-US" w:eastAsia="zh-CN"/>
        </w:rPr>
        <w:t xml:space="preserve">9</w:t>
      </w:r>
      <w:r>
        <w:rPr>
          <w:rFonts w:hint="eastAsia" w:ascii="Times New Roman" w:hAnsi="Times New Roman" w:cs="宋体"/>
          <w:b/>
          <w:sz w:val="32"/>
          <w:szCs w:val="24"/>
          <w:highlight w:val="none"/>
        </w:rPr>
        <w:t xml:space="preserve">日</w:t>
      </w:r>
      <w:r/>
    </w:p>
    <w:p>
      <w:pPr>
        <w:jc w:val="center"/>
        <w:rPr>
          <w:rFonts w:ascii="Times New Roman" w:hAnsi="Times New Roman" w:eastAsia="黑体"/>
          <w:sz w:val="36"/>
        </w:rPr>
      </w:pPr>
      <w:r>
        <w:rPr>
          <w:rFonts w:ascii="Times New Roman" w:hAnsi="Times New Roman" w:eastAsia="黑体"/>
          <w:sz w:val="36"/>
        </w:rPr>
      </w:r>
      <w:r/>
    </w:p>
    <w:p>
      <w:pPr>
        <w:rPr>
          <w:rFonts w:hint="eastAsia" w:ascii="Times New Roman" w:hAnsi="Times New Roman" w:eastAsia="黑体"/>
          <w:sz w:val="36"/>
        </w:rPr>
      </w:pPr>
      <w:r>
        <w:rPr>
          <w:rFonts w:hint="eastAsia" w:ascii="Times New Roman" w:hAnsi="Times New Roman" w:eastAsia="黑体"/>
          <w:sz w:val="36"/>
        </w:rPr>
        <w:br w:type="page" w:clear="all"/>
      </w:r>
      <w:r/>
    </w:p>
    <w:p>
      <w:pPr>
        <w:jc w:val="center"/>
        <w:rPr>
          <w:rFonts w:hint="eastAsia" w:ascii="Times New Roman" w:hAnsi="Times New Roman" w:eastAsia="黑体"/>
          <w:sz w:val="36"/>
        </w:rPr>
      </w:pPr>
      <w:r>
        <w:rPr>
          <w:rFonts w:hint="eastAsia" w:ascii="Times New Roman" w:hAnsi="Times New Roman" w:eastAsia="黑体"/>
          <w:sz w:val="36"/>
        </w:rPr>
      </w:r>
      <w:r/>
    </w:p>
    <w:p>
      <w:pPr>
        <w:jc w:val="center"/>
        <w:rPr>
          <w:rFonts w:hint="eastAsia" w:ascii="Times New Roman" w:hAnsi="Times New Roman" w:eastAsia="黑体"/>
          <w:sz w:val="36"/>
        </w:rPr>
      </w:pPr>
      <w:r>
        <w:rPr>
          <w:rFonts w:hint="eastAsia" w:ascii="Times New Roman" w:hAnsi="Times New Roman" w:eastAsia="黑体"/>
          <w:sz w:val="36"/>
        </w:rPr>
      </w:r>
      <w:r/>
    </w:p>
    <w:p>
      <w:pPr>
        <w:jc w:val="center"/>
        <w:rPr>
          <w:rFonts w:ascii="Times New Roman" w:hAnsi="Times New Roman" w:eastAsia="黑体"/>
          <w:sz w:val="36"/>
        </w:rPr>
      </w:pPr>
      <w:r>
        <w:rPr>
          <w:rFonts w:hint="eastAsia" w:ascii="Times New Roman" w:hAnsi="Times New Roman" w:eastAsia="黑体"/>
          <w:sz w:val="36"/>
        </w:rPr>
        <w:t xml:space="preserve">目    录</w:t>
      </w:r>
      <w:r/>
    </w:p>
    <w:p>
      <w:pPr>
        <w:pStyle w:val="823"/>
        <w:spacing w:before="0" w:after="0" w:line="700" w:lineRule="exact"/>
        <w:tabs>
          <w:tab w:val="right" w:pos="8306" w:leader="dot"/>
        </w:tabs>
        <w:rPr>
          <w:rFonts w:ascii="Times New Roman" w:hAnsi="Times New Roman" w:eastAsia="黑体"/>
          <w:b w:val="0"/>
          <w:bCs w:val="0"/>
          <w:caps w:val="0"/>
          <w:sz w:val="32"/>
        </w:rPr>
      </w:pPr>
      <w:r>
        <w:rPr>
          <w:rFonts w:hint="eastAsia" w:ascii="Times New Roman" w:hAnsi="Times New Roman" w:eastAsia="黑体"/>
          <w:b w:val="0"/>
          <w:bCs w:val="0"/>
          <w:caps w:val="0"/>
          <w:sz w:val="32"/>
        </w:rPr>
        <w:fldChar w:fldCharType="begin"/>
      </w:r>
      <w:r>
        <w:rPr>
          <w:rFonts w:hint="eastAsia" w:ascii="Times New Roman" w:hAnsi="Times New Roman" w:eastAsia="黑体"/>
          <w:b w:val="0"/>
          <w:bCs w:val="0"/>
          <w:caps w:val="0"/>
          <w:sz w:val="32"/>
        </w:rPr>
        <w:instrText xml:space="preserve">TOC \o "1-1" \h \u </w:instrText>
      </w:r>
      <w:r>
        <w:rPr>
          <w:rFonts w:hint="eastAsia" w:ascii="Times New Roman" w:hAnsi="Times New Roman" w:eastAsia="黑体"/>
          <w:b w:val="0"/>
          <w:bCs w:val="0"/>
          <w:caps w:val="0"/>
          <w:sz w:val="32"/>
        </w:rPr>
        <w:fldChar w:fldCharType="separate"/>
      </w:r>
      <w:r>
        <w:fldChar w:fldCharType="begin"/>
      </w:r>
      <w:r>
        <w:instrText xml:space="preserve"> HYPERLINK \l "_Toc7294" </w:instrText>
      </w:r>
      <w:r>
        <w:fldChar w:fldCharType="separate"/>
      </w:r>
      <w:r>
        <w:rPr>
          <w:rFonts w:hint="eastAsia" w:ascii="Times New Roman" w:hAnsi="Times New Roman" w:eastAsia="黑体" w:cs="黑体"/>
          <w:b w:val="0"/>
          <w:bCs w:val="0"/>
          <w:caps w:val="0"/>
          <w:sz w:val="32"/>
          <w:szCs w:val="44"/>
        </w:rPr>
        <w:t xml:space="preserve">第一章  磋商邀请</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_Toc7294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3</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pStyle w:val="823"/>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"_Toc3297" </w:instrText>
      </w:r>
      <w:r>
        <w:fldChar w:fldCharType="separate"/>
      </w:r>
      <w:r>
        <w:rPr>
          <w:rFonts w:hint="eastAsia" w:ascii="Times New Roman" w:hAnsi="Times New Roman" w:eastAsia="黑体"/>
          <w:b w:val="0"/>
          <w:bCs w:val="0"/>
          <w:caps w:val="0"/>
          <w:sz w:val="32"/>
        </w:rPr>
        <w:t xml:space="preserve">第二章  供应商须知</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_Toc3297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6</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pStyle w:val="823"/>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"_Toc21941" </w:instrText>
      </w:r>
      <w:r>
        <w:fldChar w:fldCharType="separate"/>
      </w:r>
      <w:r>
        <w:rPr>
          <w:rFonts w:hint="eastAsia" w:ascii="Times New Roman" w:hAnsi="Times New Roman" w:eastAsia="黑体"/>
          <w:b w:val="0"/>
          <w:bCs w:val="0"/>
          <w:caps w:val="0"/>
          <w:sz w:val="32"/>
        </w:rPr>
        <w:t xml:space="preserve">第三章  评审方法与评审标准</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_Toc21941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20</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pStyle w:val="823"/>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"_Toc1519" </w:instrText>
      </w:r>
      <w:r>
        <w:fldChar w:fldCharType="separate"/>
      </w:r>
      <w:r>
        <w:rPr>
          <w:rFonts w:ascii="Times New Roman" w:hAnsi="Times New Roman" w:eastAsia="黑体"/>
          <w:b w:val="0"/>
          <w:bCs w:val="0"/>
          <w:caps w:val="0"/>
          <w:sz w:val="32"/>
          <w:szCs w:val="44"/>
        </w:rPr>
        <w:t xml:space="preserve">第四</w:t>
      </w:r>
      <w:r>
        <w:rPr>
          <w:rFonts w:hint="eastAsia" w:ascii="Times New Roman" w:hAnsi="Times New Roman" w:eastAsia="黑体"/>
          <w:b w:val="0"/>
          <w:bCs w:val="0"/>
          <w:caps w:val="0"/>
          <w:sz w:val="32"/>
          <w:szCs w:val="44"/>
        </w:rPr>
        <w:t xml:space="preserve">章  </w:t>
      </w:r>
      <w:r>
        <w:rPr>
          <w:rFonts w:ascii="Times New Roman" w:hAnsi="Times New Roman" w:eastAsia="黑体"/>
          <w:b w:val="0"/>
          <w:bCs w:val="0"/>
          <w:caps w:val="0"/>
          <w:sz w:val="32"/>
          <w:szCs w:val="44"/>
        </w:rPr>
        <w:t xml:space="preserve">采购需求</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_Toc1519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22</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pStyle w:val="823"/>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"_Toc2833" </w:instrText>
      </w:r>
      <w:r>
        <w:fldChar w:fldCharType="separate"/>
      </w:r>
      <w:r>
        <w:rPr>
          <w:rFonts w:hint="eastAsia" w:ascii="Times New Roman" w:hAnsi="Times New Roman" w:eastAsia="黑体"/>
          <w:b w:val="0"/>
          <w:bCs w:val="0"/>
          <w:caps w:val="0"/>
          <w:sz w:val="32"/>
          <w:szCs w:val="44"/>
        </w:rPr>
        <w:t xml:space="preserve">第五章  合同文本</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_Toc2833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24</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pStyle w:val="823"/>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"_Toc22631" </w:instrText>
      </w:r>
      <w:r>
        <w:fldChar w:fldCharType="separate"/>
      </w:r>
      <w:r>
        <w:rPr>
          <w:rFonts w:hint="eastAsia" w:ascii="Times New Roman" w:hAnsi="Times New Roman" w:eastAsia="黑体"/>
          <w:b w:val="0"/>
          <w:bCs w:val="0"/>
          <w:caps w:val="0"/>
          <w:sz w:val="32"/>
          <w:szCs w:val="44"/>
        </w:rPr>
        <w:t xml:space="preserve">第六章  响应文件格式</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_Toc22631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44</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jc w:val="center"/>
        <w:spacing w:line="700" w:lineRule="exact"/>
        <w:rPr>
          <w:rFonts w:ascii="Times New Roman" w:hAnsi="Times New Roman" w:eastAsia="黑体"/>
          <w:sz w:val="32"/>
        </w:rPr>
      </w:pPr>
      <w:r>
        <w:rPr>
          <w:rFonts w:hint="eastAsia" w:ascii="Times New Roman" w:hAnsi="Times New Roman" w:eastAsia="黑体"/>
          <w:sz w:val="32"/>
        </w:rPr>
        <w:fldChar w:fldCharType="end"/>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rPr>
          <w:rFonts w:ascii="Times New Roman" w:hAnsi="Times New Roman" w:eastAsia="黑体"/>
          <w:sz w:val="32"/>
        </w:rPr>
      </w:pPr>
      <w:r>
        <w:rPr>
          <w:rFonts w:hint="eastAsia" w:ascii="Times New Roman" w:hAnsi="Times New Roman" w:eastAsia="黑体"/>
          <w:sz w:val="32"/>
        </w:rPr>
        <w:br w:type="page" w:clear="all"/>
      </w:r>
      <w:r/>
    </w:p>
    <w:p>
      <w:pPr>
        <w:pStyle w:val="795"/>
        <w:jc w:val="center"/>
        <w:rPr>
          <w:rFonts w:hint="eastAsia" w:ascii="黑体" w:hAnsi="黑体" w:eastAsia="黑体" w:cs="黑体"/>
          <w:sz w:val="44"/>
          <w:szCs w:val="44"/>
        </w:rPr>
      </w:pPr>
      <w:r/>
      <w:bookmarkStart w:id="0" w:name="_Toc13414"/>
      <w:r/>
      <w:bookmarkStart w:id="1" w:name="_Toc7294"/>
      <w:r/>
      <w:bookmarkStart w:id="2" w:name="_Toc27259"/>
      <w:r/>
      <w:bookmarkStart w:id="3" w:name="_Toc141869960"/>
      <w:r>
        <w:rPr>
          <w:rFonts w:hint="eastAsia" w:ascii="黑体" w:hAnsi="黑体" w:eastAsia="黑体" w:cs="黑体"/>
          <w:sz w:val="44"/>
          <w:szCs w:val="44"/>
        </w:rPr>
        <w:t xml:space="preserve">第一章  磋商邀请</w:t>
      </w:r>
      <w:bookmarkEnd w:id="0"/>
      <w:r/>
      <w:bookmarkEnd w:id="1"/>
      <w:r/>
      <w:bookmarkEnd w:id="2"/>
      <w:r/>
      <w:r/>
    </w:p>
    <w:p>
      <w:pPr>
        <w:ind w:firstLine="480"/>
        <w:spacing w:line="520" w:lineRule="exact"/>
        <w:rPr>
          <w:rFonts w:ascii="Times New Roman" w:hAnsi="Times New Roman" w:cs="宋体"/>
          <w:sz w:val="24"/>
          <w:szCs w:val="24"/>
        </w:rPr>
      </w:pPr>
      <w:r>
        <w:rPr>
          <w:rFonts w:hint="eastAsia" w:ascii="宋体" w:hAnsi="宋体"/>
          <w:sz w:val="24"/>
          <w:szCs w:val="24"/>
        </w:rPr>
        <w:t xml:space="preserve">受</w:t>
      </w:r>
      <w:r>
        <w:rPr>
          <w:rFonts w:hint="eastAsia" w:ascii="宋体" w:hAnsi="宋体"/>
          <w:sz w:val="24"/>
          <w:szCs w:val="24"/>
          <w:u w:val="single"/>
        </w:rPr>
        <w:t xml:space="preserve">宿迁市财政局、宿迁市楚润数据集团有限公司</w:t>
      </w:r>
      <w:r>
        <w:rPr>
          <w:rFonts w:hint="eastAsia" w:ascii="宋体" w:hAnsi="宋体"/>
          <w:sz w:val="24"/>
          <w:szCs w:val="24"/>
        </w:rPr>
        <w:t xml:space="preserve">的委托，</w:t>
      </w:r>
      <w:r>
        <w:rPr>
          <w:rFonts w:hint="eastAsia" w:ascii="Times New Roman" w:hAnsi="Times New Roman" w:cs="方正仿宋_GBK"/>
          <w:sz w:val="24"/>
          <w:szCs w:val="24"/>
          <w:u w:val="single"/>
        </w:rPr>
        <w:t xml:space="preserve">宿迁市公共资源交易中心</w:t>
      </w:r>
      <w:r>
        <w:rPr>
          <w:rFonts w:hint="eastAsia" w:ascii="Times New Roman" w:hAnsi="Times New Roman" w:cs="方正仿宋_GBK"/>
          <w:sz w:val="24"/>
          <w:szCs w:val="24"/>
        </w:rPr>
        <w:t xml:space="preserve">就</w:t>
      </w:r>
      <w:r>
        <w:rPr>
          <w:rFonts w:hint="eastAsia" w:ascii="宋体" w:hAnsi="宋体"/>
          <w:sz w:val="24"/>
          <w:szCs w:val="24"/>
          <w:u w:val="single"/>
          <w:lang w:eastAsia="zh-CN"/>
        </w:rPr>
        <w:t xml:space="preserve">宿迁市国有资产智慧监管一体化平台项目</w:t>
      </w:r>
      <w:r>
        <w:rPr>
          <w:rFonts w:hint="eastAsia" w:ascii="宋体" w:hAnsi="宋体"/>
          <w:sz w:val="24"/>
          <w:szCs w:val="24"/>
        </w:rPr>
        <w:t xml:space="preserve">(</w:t>
      </w:r>
      <w:r>
        <w:rPr>
          <w:rFonts w:hint="eastAsia" w:ascii="宋体" w:hAnsi="宋体"/>
          <w:sz w:val="24"/>
          <w:szCs w:val="24"/>
          <w:u w:val="single"/>
          <w:lang w:eastAsia="zh-CN"/>
        </w:rPr>
        <w:t xml:space="preserve">JSZC-321300-JZCG-C2026-0072</w:t>
      </w:r>
      <w:r>
        <w:rPr>
          <w:rFonts w:hint="eastAsia" w:ascii="宋体" w:hAnsi="宋体"/>
          <w:sz w:val="24"/>
          <w:szCs w:val="24"/>
        </w:rPr>
        <w:t xml:space="preserve">)</w:t>
      </w:r>
      <w:r>
        <w:rPr>
          <w:rFonts w:hint="eastAsia" w:ascii="Times New Roman" w:hAnsi="Times New Roman" w:cs="宋体"/>
          <w:sz w:val="24"/>
          <w:szCs w:val="24"/>
        </w:rPr>
        <w:t xml:space="preserve">进行竞争性磋商采购，欢迎符合条件的供应商参加磋商。</w:t>
      </w:r>
      <w:r/>
    </w:p>
    <w:p>
      <w:pPr>
        <w:ind w:firstLine="480"/>
        <w:spacing w:line="500" w:lineRule="exact"/>
        <w:rPr>
          <w:rFonts w:ascii="Times New Roman" w:hAnsi="Times New Roman" w:cs="仿宋"/>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仿宋"/>
          <w:sz w:val="24"/>
          <w:szCs w:val="24"/>
        </w:rPr>
        <w:t xml:space="preserve">项目概况</w:t>
      </w:r>
      <w:r/>
    </w:p>
    <w:p>
      <w:pPr>
        <w:ind w:firstLine="480"/>
        <w:spacing w:line="500" w:lineRule="exact"/>
        <w:rPr>
          <w:rFonts w:ascii="Times New Roman" w:hAnsi="Times New Roman" w:cs="仿宋"/>
          <w:sz w:val="24"/>
          <w:szCs w:val="24"/>
        </w:rPr>
        <w:pBdr>
          <w:top w:val="single" w:color="000000" w:sz="4" w:space="0"/>
          <w:left w:val="single" w:color="000000" w:sz="4" w:space="3"/>
          <w:bottom w:val="single" w:color="000000" w:sz="4" w:space="0"/>
          <w:right w:val="single" w:color="000000" w:sz="4" w:space="3"/>
        </w:pBdr>
      </w:pPr>
      <w:r>
        <w:rPr>
          <w:rFonts w:hint="eastAsia" w:ascii="宋体" w:hAnsi="宋体"/>
          <w:sz w:val="24"/>
          <w:szCs w:val="24"/>
          <w:u w:val="single"/>
          <w:lang w:eastAsia="zh-CN"/>
        </w:rPr>
        <w:t xml:space="preserve">宿迁市国有资产智慧监管一体化平台项目</w:t>
      </w:r>
      <w:r>
        <w:rPr>
          <w:rFonts w:hint="eastAsia" w:ascii="Times New Roman" w:hAnsi="Times New Roman" w:cs="仿宋"/>
          <w:sz w:val="24"/>
          <w:szCs w:val="24"/>
        </w:rPr>
        <w:t xml:space="preserve">的潜在供应商可在</w:t>
      </w:r>
      <w:r>
        <w:rPr>
          <w:rFonts w:hint="eastAsia" w:ascii="Times New Roman" w:hAnsi="Times New Roman" w:cs="方正仿宋_GBK"/>
          <w:sz w:val="24"/>
          <w:szCs w:val="24"/>
        </w:rPr>
        <w:t xml:space="preserve">“江苏政府采购网”、“宿迁市政府采购网”</w:t>
      </w:r>
      <w:r>
        <w:rPr>
          <w:rFonts w:hint="eastAsia" w:ascii="Times New Roman" w:hAnsi="Times New Roman" w:cs="仿宋"/>
          <w:sz w:val="24"/>
          <w:szCs w:val="24"/>
        </w:rPr>
        <w:t xml:space="preserve">自行免费获取磋商文件，并于</w:t>
      </w:r>
      <w:r>
        <w:rPr>
          <w:rFonts w:hint="eastAsia" w:ascii="Times New Roman" w:hAnsi="Times New Roman" w:cs="仿宋"/>
          <w:sz w:val="24"/>
          <w:szCs w:val="24"/>
          <w:u w:val="single"/>
        </w:rPr>
        <w:t xml:space="preserve">2026</w:t>
      </w:r>
      <w:r>
        <w:rPr>
          <w:rFonts w:hint="eastAsia" w:ascii="Times New Roman" w:hAnsi="Times New Roman" w:cs="仿宋"/>
          <w:bCs/>
          <w:sz w:val="24"/>
          <w:szCs w:val="24"/>
          <w:u w:val="single"/>
        </w:rPr>
        <w:t xml:space="preserve">年</w:t>
      </w:r>
      <w:r>
        <w:rPr>
          <w:rFonts w:hint="eastAsia" w:ascii="Times New Roman" w:hAnsi="Times New Roman" w:cs="仿宋"/>
          <w:bCs/>
          <w:sz w:val="24"/>
          <w:szCs w:val="24"/>
          <w:u w:val="single"/>
          <w:lang w:val="en-US" w:eastAsia="zh-CN"/>
        </w:rPr>
        <w:t xml:space="preserve">9</w:t>
      </w:r>
      <w:r>
        <w:rPr>
          <w:rFonts w:hint="eastAsia" w:ascii="Times New Roman" w:hAnsi="Times New Roman" w:cs="仿宋"/>
          <w:bCs/>
          <w:sz w:val="24"/>
          <w:szCs w:val="24"/>
          <w:u w:val="single"/>
        </w:rPr>
        <w:t xml:space="preserve">月</w:t>
      </w:r>
      <w:r>
        <w:rPr>
          <w:rFonts w:hint="eastAsia" w:ascii="Times New Roman" w:hAnsi="Times New Roman" w:cs="仿宋"/>
          <w:sz w:val="24"/>
          <w:szCs w:val="24"/>
          <w:u w:val="single"/>
          <w:lang w:val="en-US" w:eastAsia="zh-CN"/>
        </w:rPr>
        <w:t xml:space="preserve">21</w:t>
      </w:r>
      <w:r>
        <w:rPr>
          <w:rFonts w:hint="eastAsia" w:ascii="Times New Roman" w:hAnsi="Times New Roman" w:cs="仿宋"/>
          <w:bCs/>
          <w:sz w:val="24"/>
          <w:szCs w:val="24"/>
          <w:u w:val="single"/>
        </w:rPr>
        <w:t xml:space="preserve">日15点00分（</w:t>
      </w:r>
      <w:r>
        <w:rPr>
          <w:rFonts w:hint="eastAsia" w:ascii="Times New Roman" w:hAnsi="Times New Roman" w:cs="仿宋"/>
          <w:bCs/>
          <w:sz w:val="24"/>
          <w:szCs w:val="24"/>
        </w:rPr>
        <w:t xml:space="preserve">北京时间）前递交响应文件</w:t>
      </w:r>
      <w:r>
        <w:rPr>
          <w:rFonts w:hint="eastAsia" w:ascii="Times New Roman" w:hAnsi="Times New Roman" w:cs="仿宋"/>
          <w:sz w:val="24"/>
          <w:szCs w:val="24"/>
        </w:rPr>
        <w:t xml:space="preserve">。</w:t>
      </w:r>
      <w:r/>
    </w:p>
    <w:p>
      <w:pPr>
        <w:pStyle w:val="796"/>
        <w:ind w:firstLine="321"/>
        <w:spacing w:before="0" w:after="0" w:line="520" w:lineRule="exact"/>
        <w:rPr>
          <w:rFonts w:eastAsia="宋体"/>
          <w:b/>
          <w:bCs/>
          <w:sz w:val="32"/>
        </w:rPr>
      </w:pPr>
      <w:r/>
      <w:bookmarkStart w:id="4" w:name="_Toc28359079"/>
      <w:r/>
      <w:bookmarkStart w:id="5" w:name="_Toc28359002"/>
      <w:r/>
      <w:bookmarkStart w:id="6" w:name="_Toc38985263"/>
      <w:r/>
      <w:bookmarkStart w:id="7" w:name="_Toc35393790"/>
      <w:r/>
      <w:bookmarkStart w:id="8" w:name="_Toc35393621"/>
      <w:r/>
      <w:bookmarkStart w:id="9" w:name="_Hlk24379207"/>
      <w:r>
        <w:rPr>
          <w:rFonts w:hint="eastAsia" w:eastAsia="宋体"/>
          <w:b/>
          <w:bCs/>
          <w:sz w:val="32"/>
        </w:rPr>
        <w:t xml:space="preserve">一、项目基本情况</w:t>
      </w:r>
      <w:bookmarkEnd w:id="4"/>
      <w:r/>
      <w:bookmarkEnd w:id="5"/>
      <w:r/>
      <w:bookmarkEnd w:id="6"/>
      <w:r/>
      <w:bookmarkEnd w:id="7"/>
      <w:r/>
      <w:bookmarkEnd w:id="8"/>
      <w:r/>
      <w:bookmarkEnd w:id="9"/>
      <w:r/>
      <w:r/>
    </w:p>
    <w:p>
      <w:pPr>
        <w:ind w:firstLine="480"/>
        <w:spacing w:line="480" w:lineRule="exact"/>
        <w:rPr>
          <w:rFonts w:hint="eastAsia" w:ascii="Times New Roman" w:hAnsi="Times New Roman" w:eastAsia="宋体" w:cs="仿宋"/>
          <w:sz w:val="24"/>
          <w:szCs w:val="24"/>
          <w:lang w:eastAsia="zh-CN"/>
        </w:rPr>
      </w:pPr>
      <w:r>
        <w:rPr>
          <w:rFonts w:hint="eastAsia" w:ascii="Times New Roman" w:hAnsi="Times New Roman" w:cs="仿宋"/>
          <w:sz w:val="24"/>
          <w:szCs w:val="24"/>
        </w:rPr>
        <w:t xml:space="preserve">1.项目编号：</w:t>
      </w:r>
      <w:r>
        <w:rPr>
          <w:rFonts w:hint="eastAsia" w:ascii="Times New Roman" w:hAnsi="Times New Roman" w:cs="仿宋"/>
          <w:sz w:val="24"/>
          <w:szCs w:val="24"/>
          <w:lang w:eastAsia="zh-CN"/>
        </w:rPr>
        <w:t xml:space="preserve">JSZC-321300-JZCG-C2026-0072</w:t>
      </w:r>
      <w:r/>
    </w:p>
    <w:p>
      <w:pPr>
        <w:ind w:firstLine="480"/>
        <w:spacing w:line="480" w:lineRule="exact"/>
        <w:rPr>
          <w:rFonts w:hint="eastAsia" w:ascii="Times New Roman" w:hAnsi="Times New Roman" w:eastAsia="宋体" w:cs="仿宋"/>
          <w:sz w:val="24"/>
          <w:szCs w:val="24"/>
          <w:lang w:eastAsia="zh-CN"/>
        </w:rPr>
      </w:pPr>
      <w:r>
        <w:rPr>
          <w:rFonts w:hint="eastAsia" w:ascii="Times New Roman" w:hAnsi="Times New Roman" w:cs="仿宋"/>
          <w:sz w:val="24"/>
          <w:szCs w:val="24"/>
        </w:rPr>
        <w:t xml:space="preserve">2.项目名称：</w:t>
      </w:r>
      <w:r>
        <w:rPr>
          <w:rFonts w:hint="eastAsia" w:ascii="Times New Roman" w:hAnsi="Times New Roman" w:cs="仿宋"/>
          <w:sz w:val="24"/>
          <w:szCs w:val="24"/>
          <w:lang w:eastAsia="zh-CN"/>
        </w:rPr>
        <w:t xml:space="preserve">宿迁市国有资产智慧监管一体化平台项目</w:t>
      </w:r>
      <w:r/>
    </w:p>
    <w:p>
      <w:pPr>
        <w:ind w:firstLine="480"/>
        <w:spacing w:line="480" w:lineRule="exact"/>
        <w:rPr>
          <w:rFonts w:hint="eastAsia" w:ascii="仿宋" w:hAnsi="仿宋"/>
          <w:sz w:val="24"/>
          <w:szCs w:val="24"/>
        </w:rPr>
      </w:pPr>
      <w:r>
        <w:rPr>
          <w:rFonts w:hint="eastAsia" w:ascii="Times New Roman" w:hAnsi="Times New Roman" w:cs="仿宋"/>
          <w:sz w:val="24"/>
          <w:szCs w:val="24"/>
        </w:rPr>
        <w:t xml:space="preserve">3.预算金额：138.45万元</w:t>
      </w:r>
      <w:r/>
    </w:p>
    <w:p>
      <w:pPr>
        <w:ind w:firstLine="480"/>
        <w:spacing w:line="480" w:lineRule="exact"/>
        <w:rPr>
          <w:rFonts w:hint="eastAsia" w:ascii="仿宋" w:hAnsi="仿宋"/>
          <w:sz w:val="24"/>
          <w:szCs w:val="24"/>
        </w:rPr>
      </w:pPr>
      <w:r>
        <w:rPr>
          <w:rFonts w:hint="eastAsia" w:ascii="Times New Roman" w:hAnsi="Times New Roman" w:cs="仿宋"/>
          <w:sz w:val="24"/>
          <w:szCs w:val="24"/>
        </w:rPr>
        <w:t xml:space="preserve">4.本项目设定最高限价，最高限价</w:t>
      </w:r>
      <w:r>
        <w:rPr>
          <w:rFonts w:hint="eastAsia" w:ascii="Times New Roman" w:hAnsi="Times New Roman" w:eastAsia="宋体" w:cs="仿宋"/>
          <w:sz w:val="24"/>
          <w:szCs w:val="24"/>
        </w:rPr>
        <w:t xml:space="preserve">为：</w:t>
      </w:r>
      <w:bookmarkStart w:id="10" w:name="EB6c1f3d39c6914ae1bada8ccaa777b37a"/>
      <w:r>
        <w:rPr>
          <w:rFonts w:hint="eastAsia" w:ascii="Times New Roman" w:hAnsi="Times New Roman" w:cs="仿宋"/>
          <w:sz w:val="24"/>
          <w:szCs w:val="24"/>
          <w:lang w:val="en-US" w:eastAsia="zh-CN"/>
        </w:rPr>
        <w:t xml:space="preserve">129.7</w:t>
      </w:r>
      <w:r>
        <w:rPr>
          <w:rFonts w:hint="eastAsia" w:ascii="Times New Roman" w:hAnsi="Times New Roman" w:eastAsia="宋体" w:cs="仿宋"/>
          <w:sz w:val="24"/>
          <w:szCs w:val="24"/>
        </w:rPr>
        <w:t xml:space="preserve">万元</w:t>
      </w:r>
      <w:bookmarkEnd w:id="10"/>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5.采购需求（简介）：以人工智能、大数据、地理信息等技术为核心，全面提升我市国有资产精细化、数字化、智能化治理水平。具体详见采购需求部分。</w:t>
      </w:r>
      <w:r/>
    </w:p>
    <w:p>
      <w:pPr>
        <w:ind w:firstLine="480"/>
        <w:spacing w:line="480" w:lineRule="exact"/>
        <w:rPr>
          <w:rFonts w:ascii="Times New Roman" w:hAnsi="Times New Roman" w:cs="仿宋"/>
          <w:sz w:val="24"/>
          <w:szCs w:val="24"/>
          <w:highlight w:val="yellow"/>
        </w:rPr>
      </w:pPr>
      <w:r>
        <w:rPr>
          <w:rFonts w:hint="eastAsia" w:ascii="Times New Roman" w:hAnsi="Times New Roman" w:cs="仿宋"/>
          <w:sz w:val="24"/>
          <w:szCs w:val="24"/>
        </w:rPr>
        <w:t xml:space="preserve">6.合同履</w:t>
      </w:r>
      <w:r>
        <w:rPr>
          <w:rFonts w:hint="eastAsia" w:ascii="Times New Roman" w:hAnsi="Times New Roman" w:eastAsia="宋体" w:cs="仿宋"/>
          <w:sz w:val="24"/>
          <w:szCs w:val="24"/>
        </w:rPr>
        <w:t xml:space="preserve">行期限：</w:t>
      </w:r>
      <w:r>
        <w:rPr>
          <w:rFonts w:hint="eastAsia" w:ascii="Times New Roman" w:hAnsi="Times New Roman" w:cs="仿宋"/>
          <w:sz w:val="24"/>
          <w:szCs w:val="24"/>
          <w:lang w:val="en-US" w:eastAsia="zh-CN"/>
        </w:rPr>
        <w:t xml:space="preserve">3年</w:t>
      </w:r>
      <w:r>
        <w:rPr>
          <w:rFonts w:hint="eastAsia" w:ascii="Times New Roman" w:hAnsi="Times New Roman" w:eastAsia="宋体" w:cs="仿宋"/>
          <w:sz w:val="24"/>
          <w:szCs w:val="24"/>
        </w:rPr>
        <w:t xml:space="preserve">。</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7.本项目</w:t>
      </w:r>
      <w:r>
        <w:rPr>
          <w:rFonts w:hint="eastAsia" w:ascii="Times New Roman" w:hAnsi="Times New Roman" w:cs="仿宋"/>
          <w:sz w:val="24"/>
          <w:szCs w:val="24"/>
          <w:u w:val="single"/>
        </w:rPr>
        <w:t xml:space="preserve"> 不接受 </w:t>
      </w:r>
      <w:r>
        <w:rPr>
          <w:rFonts w:hint="eastAsia" w:ascii="Times New Roman" w:hAnsi="Times New Roman" w:cs="仿宋"/>
          <w:sz w:val="24"/>
          <w:szCs w:val="24"/>
        </w:rPr>
        <w:t xml:space="preserve">联合体磋商。</w:t>
      </w:r>
      <w:r/>
    </w:p>
    <w:p>
      <w:pPr>
        <w:pStyle w:val="796"/>
        <w:ind w:firstLine="321"/>
        <w:spacing w:before="0" w:after="0" w:line="520" w:lineRule="exact"/>
        <w:rPr>
          <w:rFonts w:eastAsia="宋体"/>
          <w:b/>
          <w:bCs/>
          <w:sz w:val="32"/>
        </w:rPr>
      </w:pPr>
      <w:r/>
      <w:bookmarkStart w:id="11" w:name="_Toc28359080"/>
      <w:r/>
      <w:bookmarkStart w:id="12" w:name="_Toc38985264"/>
      <w:r/>
      <w:bookmarkStart w:id="13" w:name="_Toc35393622"/>
      <w:r/>
      <w:bookmarkStart w:id="14" w:name="_Toc28359003"/>
      <w:r/>
      <w:bookmarkStart w:id="15" w:name="_Toc35393791"/>
      <w:r>
        <w:rPr>
          <w:rFonts w:hint="eastAsia" w:eastAsia="宋体"/>
          <w:b/>
          <w:bCs/>
          <w:sz w:val="32"/>
        </w:rPr>
        <w:t xml:space="preserve">二、申请人的资格要求</w:t>
      </w:r>
      <w:bookmarkEnd w:id="11"/>
      <w:r/>
      <w:bookmarkEnd w:id="12"/>
      <w:r/>
      <w:bookmarkEnd w:id="13"/>
      <w:r/>
      <w:bookmarkEnd w:id="14"/>
      <w:r/>
      <w:bookmarkEnd w:id="15"/>
      <w:r/>
      <w:r/>
    </w:p>
    <w:p>
      <w:pPr>
        <w:ind w:firstLine="482"/>
        <w:spacing w:line="480" w:lineRule="exact"/>
        <w:rPr>
          <w:rFonts w:ascii="Times New Roman" w:hAnsi="Times New Roman" w:cs="仿宋"/>
          <w:sz w:val="24"/>
          <w:szCs w:val="24"/>
        </w:rPr>
      </w:pPr>
      <w:r/>
      <w:bookmarkStart w:id="16" w:name="_Toc28359004"/>
      <w:r/>
      <w:bookmarkStart w:id="17" w:name="_Toc35393792"/>
      <w:r/>
      <w:bookmarkStart w:id="18" w:name="_Toc38985265"/>
      <w:r/>
      <w:bookmarkStart w:id="19" w:name="_Toc28359081"/>
      <w:r/>
      <w:bookmarkStart w:id="20" w:name="_Toc35393623"/>
      <w:r>
        <w:rPr>
          <w:rFonts w:hint="eastAsia" w:ascii="Times New Roman" w:hAnsi="Times New Roman" w:cs="仿宋"/>
          <w:sz w:val="24"/>
          <w:szCs w:val="24"/>
        </w:rPr>
        <w:t xml:space="preserve">（一）通用资格要求</w:t>
      </w:r>
      <w:r/>
    </w:p>
    <w:p>
      <w:pPr>
        <w:ind w:firstLine="482"/>
        <w:spacing w:line="480" w:lineRule="exact"/>
        <w:rPr>
          <w:rFonts w:hint="eastAsia" w:ascii="宋体" w:hAnsi="宋体" w:cs="宋体"/>
          <w:sz w:val="24"/>
          <w:szCs w:val="24"/>
        </w:rPr>
      </w:pPr>
      <w:r>
        <w:rPr>
          <w:rFonts w:hint="eastAsia" w:ascii="Times New Roman" w:hAnsi="Times New Roman" w:cs="仿宋"/>
          <w:sz w:val="24"/>
          <w:szCs w:val="24"/>
        </w:rPr>
        <w:t xml:space="preserve">1.</w:t>
      </w:r>
      <w:r>
        <w:rPr>
          <w:rFonts w:hint="eastAsia" w:ascii="宋体" w:hAnsi="宋体" w:cs="宋体"/>
          <w:sz w:val="24"/>
          <w:szCs w:val="24"/>
        </w:rPr>
        <w:t xml:space="preserve">具备《中华人民共和国政府采购法》第二十二条第一款规定的6项条件（按要求提供磋商响应函）。</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w:t>
      </w:r>
      <w:r>
        <w:rPr>
          <w:rFonts w:hint="eastAsia" w:ascii="宋体" w:hAnsi="宋体" w:cs="宋体"/>
          <w:sz w:val="24"/>
          <w:szCs w:val="24"/>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pStyle w:val="1484"/>
        <w:ind w:firstLine="480"/>
        <w:spacing w:after="0" w:line="480" w:lineRule="exact"/>
        <w:tabs>
          <w:tab w:val="left" w:pos="312" w:leader="none"/>
        </w:tabs>
        <w:rPr>
          <w:rFonts w:hint="eastAsia" w:ascii="方正仿宋_GBK" w:hAnsi="方正仿宋_GBK" w:eastAsia="方正仿宋_GBK" w:cs="方正仿宋_GBK"/>
        </w:rPr>
      </w:pPr>
      <w:r>
        <w:rPr>
          <w:rFonts w:hint="eastAsia" w:eastAsia="宋体" w:cs="仿宋"/>
        </w:rPr>
        <w:t xml:space="preserve">3.落实政府采购政策需满足的资格要求：本项目为专门面向中小企业采购的项目（按要求提供中小企业声明函或残疾人福利性单位声明函或监狱企业证明文件）。</w:t>
      </w:r>
      <w:r/>
    </w:p>
    <w:p>
      <w:pPr>
        <w:ind w:firstLine="482"/>
        <w:spacing w:line="480" w:lineRule="exact"/>
        <w:rPr>
          <w:rFonts w:ascii="Times New Roman" w:hAnsi="Times New Roman" w:cs="仿宋"/>
          <w:sz w:val="24"/>
          <w:szCs w:val="24"/>
          <w:highlight w:val="yellow"/>
        </w:rPr>
      </w:pPr>
      <w:r>
        <w:rPr>
          <w:rFonts w:hint="eastAsia" w:ascii="Times New Roman" w:hAnsi="Times New Roman" w:cs="仿宋"/>
          <w:sz w:val="24"/>
          <w:szCs w:val="24"/>
        </w:rPr>
        <w:t xml:space="preserve">（二）本项目的特定资格要求：无。</w:t>
      </w:r>
      <w:r/>
    </w:p>
    <w:p>
      <w:pPr>
        <w:pStyle w:val="796"/>
        <w:ind w:firstLine="321"/>
        <w:spacing w:before="0" w:after="0" w:line="520" w:lineRule="exact"/>
        <w:rPr>
          <w:rFonts w:eastAsia="宋体"/>
          <w:b/>
          <w:bCs/>
          <w:sz w:val="32"/>
        </w:rPr>
      </w:pPr>
      <w:r>
        <w:rPr>
          <w:rFonts w:hint="eastAsia" w:eastAsia="宋体"/>
          <w:b/>
          <w:bCs/>
          <w:sz w:val="32"/>
        </w:rPr>
        <w:t xml:space="preserve">三、获取磋商文件</w:t>
      </w:r>
      <w:bookmarkEnd w:id="16"/>
      <w:r/>
      <w:bookmarkEnd w:id="17"/>
      <w:r/>
      <w:bookmarkEnd w:id="18"/>
      <w:r/>
      <w:bookmarkEnd w:id="19"/>
      <w:r/>
      <w:bookmarkEnd w:id="20"/>
      <w:r/>
      <w:r/>
    </w:p>
    <w:p>
      <w:pPr>
        <w:ind w:firstLine="482"/>
        <w:spacing w:line="480" w:lineRule="exact"/>
        <w:rPr>
          <w:rFonts w:ascii="Times New Roman" w:hAnsi="Times New Roman" w:cs="仿宋"/>
          <w:sz w:val="24"/>
          <w:szCs w:val="24"/>
        </w:rPr>
      </w:pPr>
      <w:r/>
      <w:bookmarkStart w:id="21" w:name="_Toc28359005"/>
      <w:r/>
      <w:bookmarkStart w:id="22" w:name="_Toc28359082"/>
      <w:r/>
      <w:bookmarkStart w:id="23" w:name="_Toc35393793"/>
      <w:r/>
      <w:bookmarkStart w:id="24" w:name="_Toc38985266"/>
      <w:r/>
      <w:bookmarkStart w:id="25" w:name="_Toc35393624"/>
      <w:r>
        <w:rPr>
          <w:rFonts w:hint="eastAsia" w:ascii="Times New Roman" w:hAnsi="Times New Roman" w:cs="仿宋"/>
          <w:sz w:val="24"/>
          <w:szCs w:val="24"/>
        </w:rPr>
        <w:t xml:space="preserve">1.时间：</w:t>
      </w:r>
      <w:r>
        <w:rPr>
          <w:rFonts w:hint="eastAsia" w:ascii="宋体" w:hAnsi="宋体" w:cs="宋体"/>
          <w:sz w:val="24"/>
          <w:szCs w:val="24"/>
        </w:rPr>
        <w:t xml:space="preserve">自磋商文件公告发布之日起5个工作日。</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2.方式：供应商应在磋商文件提供的时间内，通过“苏采云”系统（网址： http</w:t>
      </w:r>
      <w:r>
        <w:rPr>
          <w:rFonts w:hint="eastAsia" w:ascii="Times New Roman" w:hAnsi="Times New Roman" w:cs="仿宋"/>
          <w:sz w:val="24"/>
          <w:szCs w:val="24"/>
          <w:lang w:val="en-US" w:eastAsia="zh-CN"/>
        </w:rPr>
        <w:t xml:space="preserve">s</w:t>
      </w:r>
      <w:r>
        <w:rPr>
          <w:rFonts w:hint="eastAsia" w:ascii="Times New Roman" w:hAnsi="Times New Roman" w:cs="仿宋"/>
          <w:sz w:val="24"/>
          <w:szCs w:val="24"/>
        </w:rPr>
        <w:t xml:space="preserve">://jszfcg.jsczt.cn/），使用CA锁登录系统后，找到本项目获取磋商文件（后缀名为“.kedt”）。</w:t>
      </w:r>
      <w:bookmarkEnd w:id="21"/>
      <w:r/>
      <w:bookmarkEnd w:id="22"/>
      <w:r/>
      <w:bookmarkEnd w:id="23"/>
      <w:r/>
      <w:bookmarkEnd w:id="24"/>
      <w:r/>
      <w:bookmarkEnd w:id="25"/>
      <w:r/>
      <w:r/>
    </w:p>
    <w:p>
      <w:pPr>
        <w:pStyle w:val="796"/>
        <w:ind w:firstLine="321"/>
        <w:spacing w:before="0" w:after="0" w:line="520" w:lineRule="exact"/>
        <w:rPr>
          <w:rFonts w:eastAsia="宋体"/>
          <w:b/>
          <w:bCs/>
          <w:sz w:val="32"/>
        </w:rPr>
      </w:pPr>
      <w:r/>
      <w:bookmarkStart w:id="26" w:name="_Toc38985267"/>
      <w:r/>
      <w:bookmarkStart w:id="27" w:name="_Toc28359084"/>
      <w:r/>
      <w:bookmarkStart w:id="28" w:name="_Toc28359007"/>
      <w:r/>
      <w:bookmarkStart w:id="29" w:name="_Toc35393625"/>
      <w:r/>
      <w:bookmarkStart w:id="30" w:name="_Toc35393794"/>
      <w:r>
        <w:rPr>
          <w:rFonts w:hint="eastAsia" w:eastAsia="宋体"/>
          <w:b/>
          <w:bCs/>
          <w:sz w:val="32"/>
        </w:rPr>
        <w:t xml:space="preserve">四、提交响应文件截止时间、磋商时间及地点</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1. 提交响应文件截止时间、磋商时间：2026年</w:t>
      </w:r>
      <w:r>
        <w:rPr>
          <w:rFonts w:hint="eastAsia" w:ascii="Times New Roman" w:hAnsi="Times New Roman" w:cs="仿宋"/>
          <w:sz w:val="24"/>
          <w:szCs w:val="24"/>
          <w:highlight w:val="none"/>
          <w:u w:val="single"/>
          <w:lang w:val="en-US" w:eastAsia="zh-CN"/>
        </w:rPr>
        <w:t xml:space="preserve">9</w:t>
      </w:r>
      <w:r>
        <w:rPr>
          <w:rFonts w:hint="eastAsia" w:ascii="Times New Roman" w:hAnsi="Times New Roman" w:cs="仿宋"/>
          <w:sz w:val="24"/>
          <w:szCs w:val="24"/>
          <w:highlight w:val="none"/>
        </w:rPr>
        <w:t xml:space="preserve">月</w:t>
      </w:r>
      <w:r>
        <w:rPr>
          <w:rFonts w:hint="eastAsia" w:ascii="Times New Roman" w:hAnsi="Times New Roman" w:cs="仿宋"/>
          <w:sz w:val="24"/>
          <w:szCs w:val="24"/>
          <w:highlight w:val="none"/>
          <w:u w:val="single"/>
          <w:lang w:val="en-US" w:eastAsia="zh-CN"/>
        </w:rPr>
        <w:t xml:space="preserve">21</w:t>
      </w:r>
      <w:r>
        <w:rPr>
          <w:rFonts w:hint="eastAsia" w:ascii="Times New Roman" w:hAnsi="Times New Roman" w:cs="仿宋"/>
          <w:sz w:val="24"/>
          <w:szCs w:val="24"/>
        </w:rPr>
        <w:t xml:space="preserve">日15点00分（北京时间）。</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 地点：“苏采云”政府采购交易系统网上开标大厅。</w:t>
      </w:r>
      <w:r/>
    </w:p>
    <w:p>
      <w:pPr>
        <w:pStyle w:val="796"/>
        <w:ind w:firstLine="321"/>
        <w:spacing w:before="0" w:after="0" w:line="520" w:lineRule="exact"/>
        <w:rPr>
          <w:rFonts w:eastAsia="宋体"/>
          <w:b/>
          <w:bCs/>
          <w:sz w:val="32"/>
        </w:rPr>
      </w:pPr>
      <w:r>
        <w:rPr>
          <w:rFonts w:hint="eastAsia" w:eastAsia="宋体"/>
          <w:b/>
          <w:bCs/>
          <w:sz w:val="32"/>
        </w:rPr>
        <w:t xml:space="preserve">五、公告期限</w:t>
      </w:r>
      <w:bookmarkEnd w:id="26"/>
      <w:r/>
      <w:bookmarkEnd w:id="27"/>
      <w:r/>
      <w:bookmarkEnd w:id="28"/>
      <w:r/>
      <w:bookmarkEnd w:id="29"/>
      <w:r/>
      <w:bookmarkEnd w:id="30"/>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lang w:val="en"/>
        </w:rPr>
        <w:t xml:space="preserve">自本公告发布之日起3个工作日。</w:t>
      </w:r>
      <w:r/>
    </w:p>
    <w:p>
      <w:pPr>
        <w:pStyle w:val="796"/>
        <w:ind w:firstLine="321"/>
        <w:spacing w:before="0" w:after="0" w:line="520" w:lineRule="exact"/>
        <w:rPr>
          <w:rFonts w:eastAsia="宋体"/>
          <w:b/>
          <w:bCs/>
          <w:sz w:val="32"/>
        </w:rPr>
      </w:pPr>
      <w:r>
        <w:rPr>
          <w:rFonts w:hint="eastAsia" w:eastAsia="宋体"/>
          <w:b/>
          <w:bCs/>
          <w:sz w:val="32"/>
        </w:rPr>
        <w:t xml:space="preserve">六、其他补充事宜</w:t>
      </w:r>
      <w:r/>
    </w:p>
    <w:p>
      <w:pPr>
        <w:ind w:firstLine="480"/>
        <w:spacing w:line="480" w:lineRule="exact"/>
        <w:rPr>
          <w:rFonts w:ascii="Times New Roman" w:hAnsi="Times New Roman" w:cs="仿宋"/>
          <w:sz w:val="24"/>
          <w:szCs w:val="24"/>
        </w:rPr>
      </w:pPr>
      <w:r/>
      <w:bookmarkStart w:id="31" w:name="EB64e1f522fd8c43fcb4d3ba471386b3e7"/>
      <w:r/>
      <w:bookmarkStart w:id="32" w:name="_Toc28359085"/>
      <w:r/>
      <w:bookmarkStart w:id="33" w:name="_Toc35393627"/>
      <w:r/>
      <w:bookmarkStart w:id="34" w:name="_Toc38985269"/>
      <w:r/>
      <w:bookmarkStart w:id="35" w:name="_Toc28359008"/>
      <w:r/>
      <w:bookmarkStart w:id="36" w:name="_Toc35393796"/>
      <w:r>
        <w:rPr>
          <w:rFonts w:hint="eastAsia" w:ascii="Times New Roman" w:hAnsi="Times New Roman" w:cs="仿宋"/>
          <w:sz w:val="24"/>
          <w:szCs w:val="24"/>
        </w:rPr>
        <w:t xml:space="preserve">1. 磋商公告发布媒体：江苏政府采购网、宿迁市政府采购网等。</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2. “CA”数字证书办理：“苏采云”系统目前仅支持“苏采云”系统下的意源CA。省内各地区办理的“苏采云”系统下的意源CA全省通用。宿迁地区CA数字证书办理联系方式：18351098172。</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3. 宿迁地区“苏采云”系统技术支持客服电话：0527-84363067、0519-86722806。</w:t>
      </w:r>
      <w:bookmarkEnd w:id="31"/>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4. 质疑渠道：供应商登录“苏采云”系统“项目质疑申请”模块向采购人提出，质疑处理联系方式详见“采购人信息”；财政部门投诉受理电话：0527-84363063。</w:t>
      </w:r>
      <w:r/>
    </w:p>
    <w:p>
      <w:pPr>
        <w:pStyle w:val="796"/>
        <w:ind w:firstLine="321"/>
        <w:spacing w:before="0" w:after="0" w:line="520" w:lineRule="exact"/>
        <w:rPr>
          <w:rFonts w:eastAsia="宋体"/>
          <w:b/>
          <w:bCs/>
          <w:sz w:val="32"/>
        </w:rPr>
      </w:pPr>
      <w:r>
        <w:rPr>
          <w:rFonts w:hint="eastAsia" w:eastAsia="宋体"/>
          <w:b/>
          <w:bCs/>
          <w:sz w:val="32"/>
        </w:rPr>
        <w:t xml:space="preserve">七、本次磋商联系方式</w:t>
      </w:r>
      <w:bookmarkEnd w:id="32"/>
      <w:r/>
      <w:bookmarkEnd w:id="33"/>
      <w:r/>
      <w:bookmarkEnd w:id="34"/>
      <w:r/>
      <w:bookmarkEnd w:id="35"/>
      <w:r/>
      <w:bookmarkEnd w:id="36"/>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1.采购人信息</w:t>
      </w:r>
      <w:r/>
    </w:p>
    <w:p>
      <w:pPr>
        <w:ind w:firstLine="482"/>
        <w:spacing w:line="480" w:lineRule="exact"/>
        <w:rPr>
          <w:rFonts w:ascii="Times New Roman" w:hAnsi="Times New Roman" w:cs="仿宋"/>
          <w:sz w:val="24"/>
          <w:szCs w:val="24"/>
          <w:u w:val="single"/>
        </w:rPr>
      </w:pPr>
      <w:r>
        <w:rPr>
          <w:rFonts w:hint="eastAsia" w:ascii="Times New Roman" w:hAnsi="Times New Roman" w:cs="仿宋"/>
          <w:spacing w:val="90"/>
          <w:sz w:val="24"/>
          <w:szCs w:val="24"/>
        </w:rPr>
        <w:t xml:space="preserve">名 </w:t>
      </w:r>
      <w:r>
        <w:rPr>
          <w:rFonts w:hint="eastAsia" w:ascii="Times New Roman" w:hAnsi="Times New Roman" w:cs="仿宋"/>
          <w:sz w:val="24"/>
          <w:szCs w:val="24"/>
        </w:rPr>
        <w:t xml:space="preserve">称：</w:t>
      </w:r>
      <w:r>
        <w:rPr>
          <w:rFonts w:hint="eastAsia" w:ascii="Times New Roman" w:hAnsi="Times New Roman" w:cs="仿宋"/>
          <w:sz w:val="24"/>
          <w:szCs w:val="24"/>
          <w:u w:val="single"/>
        </w:rPr>
        <w:t xml:space="preserve"> 宿迁市财政局、宿迁市楚润数据集团有限公司 </w:t>
      </w:r>
      <w:r/>
    </w:p>
    <w:p>
      <w:pPr>
        <w:ind w:firstLine="482"/>
        <w:spacing w:line="480" w:lineRule="exact"/>
        <w:rPr>
          <w:rFonts w:ascii="Times New Roman" w:hAnsi="Times New Roman" w:cs="仿宋"/>
          <w:sz w:val="24"/>
          <w:szCs w:val="24"/>
        </w:rPr>
      </w:pPr>
      <w:r>
        <w:rPr>
          <w:rFonts w:hint="eastAsia" w:ascii="Times New Roman" w:hAnsi="Times New Roman" w:cs="仿宋"/>
          <w:spacing w:val="240"/>
          <w:sz w:val="24"/>
          <w:szCs w:val="24"/>
        </w:rPr>
        <w:t xml:space="preserve">地</w:t>
      </w:r>
      <w:r>
        <w:rPr>
          <w:rFonts w:hint="eastAsia" w:ascii="Times New Roman" w:hAnsi="Times New Roman" w:cs="仿宋"/>
          <w:sz w:val="24"/>
          <w:szCs w:val="24"/>
        </w:rPr>
        <w:t xml:space="preserve">址：</w:t>
      </w:r>
      <w:r>
        <w:rPr>
          <w:rFonts w:hint="eastAsia" w:ascii="Times New Roman" w:hAnsi="Times New Roman" w:cs="仿宋"/>
          <w:sz w:val="24"/>
          <w:szCs w:val="24"/>
          <w:u w:val="single"/>
        </w:rPr>
        <w:t xml:space="preserve"> 江苏省宿迁市人民大道1号、宿城区发展大道2496号 </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联 系 人：</w:t>
      </w:r>
      <w:r>
        <w:rPr>
          <w:rFonts w:hint="eastAsia" w:ascii="Times New Roman" w:hAnsi="Times New Roman" w:cs="仿宋"/>
          <w:sz w:val="24"/>
          <w:szCs w:val="24"/>
          <w:u w:val="single"/>
        </w:rPr>
        <w:t xml:space="preserve"> 陈博、李明</w:t>
      </w:r>
      <w:r>
        <w:rPr>
          <w:rFonts w:hint="eastAsia" w:ascii="Times New Roman" w:hAnsi="Times New Roman" w:cs="仿宋"/>
          <w:sz w:val="24"/>
          <w:szCs w:val="24"/>
        </w:rPr>
        <w:t xml:space="preserve">           </w:t>
      </w:r>
      <w:r/>
    </w:p>
    <w:p>
      <w:pPr>
        <w:ind w:firstLine="482"/>
        <w:spacing w:line="480" w:lineRule="exact"/>
        <w:rPr>
          <w:rFonts w:hint="eastAsia" w:ascii="Times New Roman" w:hAnsi="Times New Roman" w:eastAsia="宋体"/>
          <w:sz w:val="24"/>
          <w:szCs w:val="24"/>
          <w:u w:val="single"/>
          <w:lang w:val="en-US" w:eastAsia="zh-CN"/>
        </w:rPr>
      </w:pPr>
      <w:r>
        <w:rPr>
          <w:rFonts w:hint="eastAsia" w:ascii="Times New Roman" w:hAnsi="Times New Roman" w:cs="仿宋"/>
          <w:sz w:val="24"/>
          <w:szCs w:val="24"/>
        </w:rPr>
        <w:t xml:space="preserve">联系方式</w:t>
      </w:r>
      <w:bookmarkStart w:id="37" w:name="_Toc28359009"/>
      <w:r/>
      <w:bookmarkStart w:id="38" w:name="_Toc28359086"/>
      <w:r>
        <w:rPr>
          <w:rFonts w:hint="eastAsia" w:ascii="Times New Roman" w:hAnsi="Times New Roman" w:cs="仿宋"/>
          <w:sz w:val="24"/>
          <w:szCs w:val="24"/>
        </w:rPr>
        <w:t xml:space="preserve">：</w:t>
      </w:r>
      <w:r>
        <w:rPr>
          <w:rFonts w:hint="eastAsia" w:ascii="Times New Roman" w:hAnsi="Times New Roman" w:cs="仿宋"/>
          <w:sz w:val="24"/>
          <w:szCs w:val="24"/>
          <w:u w:val="single"/>
        </w:rPr>
        <w:t xml:space="preserve"> 0527-84363112、0527-80522817</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2.采购代理机构信息</w:t>
      </w:r>
      <w:bookmarkEnd w:id="37"/>
      <w:r/>
      <w:bookmarkEnd w:id="38"/>
      <w:r/>
      <w:r/>
    </w:p>
    <w:p>
      <w:pPr>
        <w:ind w:firstLine="482"/>
        <w:spacing w:line="480" w:lineRule="exact"/>
        <w:rPr>
          <w:rFonts w:ascii="Times New Roman" w:hAnsi="Times New Roman" w:cs="仿宋"/>
          <w:sz w:val="24"/>
          <w:szCs w:val="24"/>
        </w:rPr>
      </w:pPr>
      <w:r>
        <w:rPr>
          <w:rFonts w:hint="eastAsia" w:ascii="Times New Roman" w:hAnsi="Times New Roman" w:cs="仿宋"/>
          <w:spacing w:val="240"/>
          <w:sz w:val="24"/>
          <w:szCs w:val="24"/>
        </w:rPr>
        <w:t xml:space="preserve">名</w:t>
      </w:r>
      <w:r>
        <w:rPr>
          <w:rFonts w:hint="eastAsia" w:ascii="Times New Roman" w:hAnsi="Times New Roman" w:cs="仿宋"/>
          <w:sz w:val="24"/>
          <w:szCs w:val="24"/>
        </w:rPr>
        <w:t xml:space="preserve">称：</w:t>
      </w:r>
      <w:r>
        <w:rPr>
          <w:rFonts w:hint="eastAsia" w:ascii="Times New Roman" w:hAnsi="Times New Roman" w:cs="仿宋"/>
          <w:sz w:val="24"/>
          <w:szCs w:val="24"/>
          <w:u w:val="single"/>
        </w:rPr>
        <w:t xml:space="preserve">宿迁市公共资源交易中心</w:t>
      </w:r>
      <w:r/>
    </w:p>
    <w:p>
      <w:pPr>
        <w:ind w:firstLine="482"/>
        <w:spacing w:line="480" w:lineRule="exact"/>
        <w:rPr>
          <w:rFonts w:ascii="Times New Roman" w:hAnsi="Times New Roman" w:cs="仿宋"/>
          <w:sz w:val="24"/>
          <w:szCs w:val="24"/>
        </w:rPr>
      </w:pPr>
      <w:r>
        <w:rPr>
          <w:rFonts w:hint="eastAsia" w:ascii="Times New Roman" w:hAnsi="Times New Roman" w:cs="仿宋"/>
          <w:spacing w:val="240"/>
          <w:sz w:val="24"/>
          <w:szCs w:val="24"/>
        </w:rPr>
        <w:t xml:space="preserve">地</w:t>
      </w:r>
      <w:r>
        <w:rPr>
          <w:rFonts w:hint="eastAsia" w:ascii="Times New Roman" w:hAnsi="Times New Roman" w:cs="仿宋"/>
          <w:sz w:val="24"/>
          <w:szCs w:val="24"/>
        </w:rPr>
        <w:t xml:space="preserve">址：</w:t>
      </w:r>
      <w:r>
        <w:rPr>
          <w:rFonts w:hint="eastAsia" w:ascii="Times New Roman" w:hAnsi="Times New Roman" w:cs="仿宋"/>
          <w:sz w:val="24"/>
          <w:szCs w:val="24"/>
          <w:u w:val="single"/>
        </w:rPr>
        <w:t xml:space="preserve">宿迁市洪泽湖路889号“便民方舟”2号楼</w:t>
      </w:r>
      <w:r/>
    </w:p>
    <w:p>
      <w:pPr>
        <w:ind w:firstLine="482"/>
        <w:spacing w:line="480" w:lineRule="exact"/>
        <w:rPr>
          <w:rFonts w:ascii="Times New Roman" w:hAnsi="Times New Roman" w:cs="仿宋"/>
          <w:sz w:val="24"/>
          <w:szCs w:val="24"/>
          <w:u w:val="single"/>
        </w:rPr>
      </w:pPr>
      <w:r>
        <w:rPr>
          <w:rFonts w:hint="eastAsia" w:ascii="Times New Roman" w:hAnsi="Times New Roman" w:cs="仿宋"/>
          <w:spacing w:val="60"/>
          <w:sz w:val="24"/>
          <w:szCs w:val="24"/>
        </w:rPr>
        <w:t xml:space="preserve">联系</w:t>
      </w:r>
      <w:r>
        <w:rPr>
          <w:rFonts w:hint="eastAsia" w:ascii="Times New Roman" w:hAnsi="Times New Roman" w:cs="仿宋"/>
          <w:sz w:val="24"/>
          <w:szCs w:val="24"/>
        </w:rPr>
        <w:t xml:space="preserve">人：</w:t>
      </w:r>
      <w:r>
        <w:rPr>
          <w:rFonts w:hint="eastAsia" w:ascii="Times New Roman" w:hAnsi="Times New Roman" w:cs="仿宋"/>
          <w:sz w:val="24"/>
          <w:szCs w:val="24"/>
          <w:u w:val="single"/>
        </w:rPr>
        <w:t xml:space="preserve">   李想         </w:t>
      </w:r>
      <w:r/>
    </w:p>
    <w:p>
      <w:pPr>
        <w:ind w:firstLine="482"/>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联系方式：</w:t>
      </w:r>
      <w:r>
        <w:rPr>
          <w:rFonts w:hint="eastAsia" w:ascii="Times New Roman" w:hAnsi="Times New Roman" w:cs="仿宋"/>
          <w:sz w:val="24"/>
          <w:szCs w:val="24"/>
          <w:u w:val="single"/>
        </w:rPr>
        <w:t xml:space="preserve">0527-84396035</w:t>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795"/>
        <w:jc w:val="center"/>
        <w:spacing w:before="200"/>
        <w:rPr>
          <w:rFonts w:ascii="Times New Roman" w:hAnsi="Times New Roman" w:eastAsia="黑体"/>
          <w:sz w:val="44"/>
        </w:rPr>
      </w:pPr>
      <w:r>
        <w:rPr>
          <w:rFonts w:hint="eastAsia" w:ascii="Times New Roman" w:hAnsi="Times New Roman" w:eastAsia="黑体"/>
          <w:sz w:val="44"/>
        </w:rPr>
        <w:br w:type="page" w:clear="all"/>
      </w:r>
      <w:bookmarkStart w:id="39" w:name="_Toc706"/>
      <w:r/>
      <w:bookmarkStart w:id="40" w:name="_Toc3297"/>
      <w:r/>
      <w:bookmarkStart w:id="41" w:name="_Toc11816"/>
      <w:r>
        <w:rPr>
          <w:rFonts w:hint="eastAsia" w:ascii="Times New Roman" w:hAnsi="Times New Roman" w:eastAsia="黑体"/>
          <w:sz w:val="44"/>
        </w:rPr>
        <w:t xml:space="preserve">第二章  供应商须知</w:t>
      </w:r>
      <w:bookmarkEnd w:id="3"/>
      <w:r/>
      <w:bookmarkEnd w:id="39"/>
      <w:r/>
      <w:bookmarkEnd w:id="40"/>
      <w:r/>
      <w:bookmarkEnd w:id="41"/>
      <w:r/>
      <w:bookmarkStart w:id="42" w:name="EB154f34bfcea5417199f8cf429c255bfe"/>
      <w:r/>
      <w:bookmarkEnd w:id="42"/>
      <w:r/>
      <w:bookmarkStart w:id="43" w:name="EBa8c69c4726824205bbf6fbe49f912e2d"/>
      <w:r/>
      <w:bookmarkEnd w:id="43"/>
      <w:r/>
      <w:r/>
    </w:p>
    <w:p>
      <w:pPr>
        <w:pStyle w:val="796"/>
        <w:spacing w:before="0" w:line="520" w:lineRule="exact"/>
        <w:rPr>
          <w:rFonts w:eastAsia="宋体"/>
          <w:b/>
          <w:bCs/>
          <w:sz w:val="32"/>
        </w:rPr>
      </w:pPr>
      <w:r/>
      <w:bookmarkStart w:id="44" w:name="_Toc141869961"/>
      <w:r>
        <w:rPr>
          <w:rFonts w:hint="eastAsia" w:eastAsia="宋体"/>
          <w:b/>
          <w:bCs/>
          <w:sz w:val="32"/>
        </w:rPr>
        <w:t xml:space="preserve">供应商须知前附表：</w:t>
      </w:r>
      <w:bookmarkEnd w:id="44"/>
      <w:r/>
      <w:r/>
    </w:p>
    <w:tbl>
      <w:tblPr>
        <w:tblStyle w:val="745"/>
        <w:tblW w:w="906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1984"/>
        <w:gridCol w:w="5975"/>
      </w:tblGrid>
      <w:tr>
        <w:trPr>
          <w:trHeight w:val="728"/>
        </w:trPr>
        <w:tc>
          <w:tcPr>
            <w:tcW w:w="1101" w:type="dxa"/>
            <w:vAlign w:val="center"/>
            <w:textDirection w:val="lrTb"/>
            <w:noWrap w:val="false"/>
          </w:tcPr>
          <w:p>
            <w:pPr>
              <w:jc w:val="center"/>
              <w:rPr>
                <w:rFonts w:hint="eastAsia" w:ascii="仿宋_GB2312" w:hAnsi="仿宋"/>
                <w:b/>
                <w:sz w:val="24"/>
                <w:szCs w:val="24"/>
              </w:rPr>
            </w:pPr>
            <w:r>
              <w:rPr>
                <w:rFonts w:hint="eastAsia" w:ascii="仿宋_GB2312" w:hAnsi="仿宋"/>
                <w:b/>
                <w:sz w:val="24"/>
                <w:szCs w:val="24"/>
              </w:rPr>
              <w:t xml:space="preserve">序号</w:t>
            </w:r>
            <w:r/>
          </w:p>
        </w:tc>
        <w:tc>
          <w:tcPr>
            <w:tcW w:w="1984" w:type="dxa"/>
            <w:vAlign w:val="center"/>
            <w:textDirection w:val="lrTb"/>
            <w:noWrap w:val="false"/>
          </w:tcPr>
          <w:p>
            <w:pPr>
              <w:jc w:val="center"/>
              <w:rPr>
                <w:rFonts w:hint="eastAsia" w:ascii="仿宋_GB2312" w:hAnsi="仿宋"/>
                <w:b/>
                <w:sz w:val="24"/>
                <w:szCs w:val="24"/>
              </w:rPr>
            </w:pPr>
            <w:r>
              <w:rPr>
                <w:rFonts w:hint="eastAsia" w:ascii="仿宋_GB2312" w:hAnsi="仿宋"/>
                <w:b/>
                <w:sz w:val="24"/>
                <w:szCs w:val="24"/>
              </w:rPr>
              <w:t xml:space="preserve">内容</w:t>
            </w:r>
            <w:r/>
          </w:p>
        </w:tc>
        <w:tc>
          <w:tcPr>
            <w:tcW w:w="5975" w:type="dxa"/>
            <w:vAlign w:val="center"/>
            <w:textDirection w:val="lrTb"/>
            <w:noWrap w:val="false"/>
          </w:tcPr>
          <w:p>
            <w:pPr>
              <w:jc w:val="center"/>
              <w:rPr>
                <w:rFonts w:hint="eastAsia" w:ascii="仿宋_GB2312" w:hAnsi="仿宋"/>
                <w:b/>
                <w:sz w:val="24"/>
                <w:szCs w:val="24"/>
              </w:rPr>
            </w:pPr>
            <w:r>
              <w:rPr>
                <w:rFonts w:hint="eastAsia" w:ascii="仿宋_GB2312" w:hAnsi="仿宋"/>
                <w:b/>
                <w:sz w:val="24"/>
                <w:szCs w:val="24"/>
              </w:rPr>
              <w:t xml:space="preserve">说明及要求</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1</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项目类别</w:t>
            </w:r>
            <w:r/>
          </w:p>
        </w:tc>
        <w:tc>
          <w:tcPr>
            <w:tcW w:w="5975" w:type="dxa"/>
            <w:vAlign w:val="center"/>
            <w:textDirection w:val="lrTb"/>
            <w:noWrap w:val="false"/>
          </w:tcPr>
          <w:p>
            <w:pPr>
              <w:jc w:val="left"/>
              <w:spacing w:line="360" w:lineRule="exact"/>
              <w:rPr>
                <w:rFonts w:ascii="Times New Roman" w:hAnsi="Times New Roman" w:cs="仿宋"/>
                <w:sz w:val="24"/>
                <w:szCs w:val="24"/>
              </w:rPr>
            </w:pPr>
            <w:r>
              <w:rPr>
                <w:rFonts w:hint="eastAsia" w:ascii="Times New Roman" w:hAnsi="Times New Roman" w:cs="仿宋"/>
                <w:sz w:val="24"/>
                <w:szCs w:val="24"/>
              </w:rPr>
              <w:t xml:space="preserve">本项目</w:t>
            </w:r>
            <w:bookmarkStart w:id="45" w:name="EB9a5853ee094f4f0ea6ec3169265f6f2c"/>
            <w:r>
              <w:rPr>
                <w:rFonts w:hint="eastAsia" w:ascii="Times New Roman" w:hAnsi="Times New Roman" w:cs="仿宋"/>
                <w:sz w:val="24"/>
                <w:szCs w:val="24"/>
              </w:rPr>
              <w:t xml:space="preserve">属性按以下第</w:t>
            </w:r>
            <w:r>
              <w:rPr>
                <w:rFonts w:hint="eastAsia" w:ascii="Times New Roman" w:hAnsi="Times New Roman" w:cs="仿宋"/>
                <w:b/>
                <w:bCs/>
                <w:sz w:val="24"/>
                <w:u w:val="single"/>
              </w:rPr>
              <w:t xml:space="preserve">2 </w:t>
            </w:r>
            <w:r>
              <w:rPr>
                <w:rFonts w:hint="eastAsia" w:ascii="Times New Roman" w:hAnsi="Times New Roman" w:cs="仿宋"/>
                <w:sz w:val="24"/>
                <w:szCs w:val="24"/>
              </w:rPr>
              <w:t xml:space="preserve">种确定：</w:t>
            </w:r>
            <w:r/>
          </w:p>
          <w:p>
            <w:pPr>
              <w:jc w:val="left"/>
              <w:spacing w:line="360" w:lineRule="exact"/>
              <w:rPr>
                <w:rFonts w:ascii="Times New Roman" w:hAnsi="Times New Roman" w:cs="仿宋"/>
                <w:sz w:val="24"/>
                <w:szCs w:val="24"/>
              </w:rPr>
            </w:pPr>
            <w:r>
              <w:rPr>
                <w:rFonts w:hint="eastAsia" w:ascii="Times New Roman" w:hAnsi="Times New Roman" w:cs="仿宋"/>
                <w:sz w:val="24"/>
                <w:szCs w:val="24"/>
              </w:rPr>
              <w:t xml:space="preserve">1</w:t>
            </w:r>
            <w:bookmarkEnd w:id="45"/>
            <w:r>
              <w:rPr>
                <w:rFonts w:hint="eastAsia" w:ascii="Times New Roman" w:hAnsi="Times New Roman" w:cs="仿宋"/>
                <w:sz w:val="24"/>
                <w:szCs w:val="24"/>
              </w:rPr>
              <w:t xml:space="preserve">.货物</w:t>
            </w:r>
            <w:bookmarkStart w:id="46" w:name="EBd5c6c026f9674c39b21b31ecd0c1e7fa"/>
            <w:r>
              <w:rPr>
                <w:rFonts w:hint="eastAsia" w:ascii="Times New Roman" w:hAnsi="Times New Roman" w:cs="仿宋"/>
                <w:sz w:val="24"/>
                <w:szCs w:val="24"/>
              </w:rPr>
              <w:t xml:space="preserve">采购；2.</w:t>
            </w:r>
            <w:bookmarkEnd w:id="46"/>
            <w:r>
              <w:rPr>
                <w:rFonts w:hint="eastAsia" w:ascii="Times New Roman" w:hAnsi="Times New Roman" w:cs="仿宋"/>
                <w:sz w:val="24"/>
                <w:szCs w:val="24"/>
              </w:rPr>
              <w:t xml:space="preserve">服务</w:t>
            </w:r>
            <w:bookmarkStart w:id="47" w:name="EBf7d2a4f44ecb4166a93ea852e73be69f"/>
            <w:r>
              <w:rPr>
                <w:rFonts w:hint="eastAsia" w:ascii="Times New Roman" w:hAnsi="Times New Roman" w:cs="仿宋"/>
                <w:sz w:val="24"/>
                <w:szCs w:val="24"/>
              </w:rPr>
              <w:t xml:space="preserve">采购；3.</w:t>
            </w:r>
            <w:bookmarkEnd w:id="47"/>
            <w:r>
              <w:rPr>
                <w:rFonts w:hint="eastAsia" w:ascii="Times New Roman" w:hAnsi="Times New Roman" w:cs="仿宋"/>
                <w:sz w:val="24"/>
                <w:szCs w:val="24"/>
              </w:rPr>
              <w:t xml:space="preserve">工程采购。</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2</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响应有效期</w:t>
            </w:r>
            <w:r/>
          </w:p>
        </w:tc>
        <w:tc>
          <w:tcPr>
            <w:tcW w:w="5975" w:type="dxa"/>
            <w:vAlign w:val="center"/>
            <w:textDirection w:val="lrTb"/>
            <w:noWrap w:val="false"/>
          </w:tcPr>
          <w:p>
            <w:pPr>
              <w:jc w:val="left"/>
              <w:spacing w:line="360" w:lineRule="exact"/>
              <w:rPr>
                <w:rFonts w:ascii="Times New Roman" w:hAnsi="Times New Roman" w:cs="仿宋"/>
                <w:sz w:val="24"/>
                <w:szCs w:val="24"/>
              </w:rPr>
            </w:pPr>
            <w:r>
              <w:rPr>
                <w:rFonts w:hint="eastAsia" w:ascii="Times New Roman" w:hAnsi="Times New Roman" w:cs="仿宋"/>
                <w:sz w:val="24"/>
                <w:szCs w:val="24"/>
              </w:rPr>
              <w:t xml:space="preserve">90日（从提交响应文件截止之日起算）</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3</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响应文件份数</w:t>
            </w:r>
            <w:r/>
          </w:p>
        </w:tc>
        <w:tc>
          <w:tcPr>
            <w:tcW w:w="5975" w:type="dxa"/>
            <w:vAlign w:val="center"/>
            <w:textDirection w:val="lrTb"/>
            <w:noWrap w:val="false"/>
          </w:tcPr>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提交加密电子响应文件1份。</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4</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进口产品</w:t>
            </w:r>
            <w:r/>
          </w:p>
        </w:tc>
        <w:tc>
          <w:tcPr>
            <w:tcW w:w="5975" w:type="dxa"/>
            <w:vAlign w:val="center"/>
            <w:textDirection w:val="lrTb"/>
            <w:noWrap w:val="false"/>
          </w:tcPr>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按以下第</w:t>
            </w:r>
            <w:r>
              <w:rPr>
                <w:rFonts w:hint="eastAsia" w:ascii="Times New Roman" w:hAnsi="Times New Roman" w:cs="仿宋"/>
                <w:sz w:val="24"/>
                <w:szCs w:val="24"/>
                <w:u w:val="single"/>
              </w:rPr>
              <w:t xml:space="preserve"> </w:t>
            </w:r>
            <w:r>
              <w:rPr>
                <w:rFonts w:hint="eastAsia" w:ascii="Times New Roman" w:hAnsi="Times New Roman" w:cs="仿宋"/>
                <w:b/>
                <w:bCs/>
                <w:sz w:val="24"/>
                <w:u w:val="single"/>
              </w:rPr>
              <w:t xml:space="preserve">2</w:t>
            </w:r>
            <w:r>
              <w:rPr>
                <w:rFonts w:hint="eastAsia" w:ascii="Times New Roman" w:hAnsi="Times New Roman" w:cs="仿宋"/>
                <w:sz w:val="24"/>
                <w:szCs w:val="24"/>
              </w:rPr>
              <w:t xml:space="preserve">种方式确定：</w:t>
            </w:r>
            <w:r/>
          </w:p>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1.接受进口产品。</w:t>
            </w:r>
            <w:bookmarkStart w:id="48" w:name="OLE_LINK8"/>
            <w:r>
              <w:rPr>
                <w:rFonts w:hint="eastAsia" w:ascii="Times New Roman" w:hAnsi="Times New Roman" w:cs="仿宋"/>
                <w:sz w:val="24"/>
              </w:rPr>
              <w:t xml:space="preserve">应当符合《政</w:t>
            </w:r>
            <w:bookmarkStart w:id="49" w:name="OLE_LINK1"/>
            <w:r>
              <w:rPr>
                <w:rFonts w:hint="eastAsia" w:ascii="Times New Roman" w:hAnsi="Times New Roman" w:cs="仿宋"/>
                <w:sz w:val="24"/>
              </w:rPr>
              <w:t xml:space="preserve">府采购进口产品管理办法</w:t>
            </w:r>
            <w:bookmarkEnd w:id="49"/>
            <w:r>
              <w:rPr>
                <w:rFonts w:hint="eastAsia" w:ascii="Times New Roman" w:hAnsi="Times New Roman" w:cs="仿宋"/>
                <w:sz w:val="24"/>
              </w:rPr>
              <w:t xml:space="preserve">》（财库〔2007〕119号）《关于政府采购进口产品管理有关问题的通知》（财办库〔2008〕248号）等相关规定</w:t>
            </w:r>
            <w:r>
              <w:rPr>
                <w:rFonts w:hint="eastAsia" w:ascii="Times New Roman" w:hAnsi="Times New Roman" w:cs="仿宋"/>
                <w:sz w:val="24"/>
                <w:szCs w:val="24"/>
              </w:rPr>
              <w:t xml:space="preserve">；</w:t>
            </w:r>
            <w:bookmarkEnd w:id="48"/>
            <w:r/>
            <w:r/>
          </w:p>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2. 不接受进口产品。</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5</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评审方法</w:t>
            </w:r>
            <w:r/>
          </w:p>
        </w:tc>
        <w:tc>
          <w:tcPr>
            <w:tcW w:w="5975" w:type="dxa"/>
            <w:vAlign w:val="center"/>
            <w:textDirection w:val="lrTb"/>
            <w:noWrap w:val="false"/>
          </w:tcPr>
          <w:p>
            <w:pPr>
              <w:pStyle w:val="1066"/>
              <w:spacing w:line="360" w:lineRule="exact"/>
              <w:rPr>
                <w:rFonts w:ascii="Times New Roman" w:hAnsi="Times New Roman" w:cs="仿宋"/>
                <w:sz w:val="24"/>
              </w:rPr>
            </w:pPr>
            <w:r>
              <w:rPr>
                <w:rFonts w:hint="eastAsia" w:ascii="Times New Roman" w:hAnsi="Times New Roman" w:cs="仿宋"/>
                <w:sz w:val="24"/>
                <w:szCs w:val="24"/>
              </w:rPr>
              <w:t xml:space="preserve">综合评分法。具体细则详见磋商文件评审方法和评审标准部分。</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6</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确定成交人</w:t>
            </w:r>
            <w:r/>
          </w:p>
        </w:tc>
        <w:tc>
          <w:tcPr>
            <w:tcW w:w="5975" w:type="dxa"/>
            <w:vAlign w:val="center"/>
            <w:textDirection w:val="lrTb"/>
            <w:noWrap w:val="false"/>
          </w:tcPr>
          <w:p>
            <w:pPr>
              <w:jc w:val="left"/>
              <w:spacing w:line="360" w:lineRule="exact"/>
              <w:widowControl/>
              <w:rPr>
                <w:rFonts w:hint="eastAsia" w:ascii="Times New Roman" w:hAnsi="Times New Roman" w:cs="仿宋"/>
                <w:sz w:val="24"/>
                <w:szCs w:val="24"/>
              </w:rPr>
            </w:pPr>
            <w:r>
              <w:rPr>
                <w:rFonts w:hint="eastAsia" w:ascii="Times New Roman" w:hAnsi="Times New Roman" w:cs="仿宋"/>
                <w:sz w:val="24"/>
                <w:szCs w:val="24"/>
              </w:rPr>
              <w:t xml:space="preserve">采购人按照规定在磋商小组推荐的中标候选人中确定成交人。</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7</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分包要求</w:t>
            </w:r>
            <w:r/>
          </w:p>
        </w:tc>
        <w:tc>
          <w:tcPr>
            <w:tcW w:w="5975" w:type="dxa"/>
            <w:vAlign w:val="center"/>
            <w:textDirection w:val="lrTb"/>
            <w:noWrap w:val="false"/>
          </w:tcPr>
          <w:p>
            <w:pPr>
              <w:jc w:val="left"/>
              <w:spacing w:line="360" w:lineRule="exact"/>
              <w:widowControl/>
              <w:rPr>
                <w:rFonts w:ascii="Times New Roman" w:hAnsi="Times New Roman" w:cs="仿宋"/>
                <w:sz w:val="24"/>
                <w:szCs w:val="24"/>
              </w:rPr>
            </w:pPr>
            <w:r/>
            <w:bookmarkStart w:id="50" w:name="EBebac1462c5d9459fbda8a75065c2455d"/>
            <w:r>
              <w:rPr>
                <w:rFonts w:hint="eastAsia" w:ascii="Times New Roman" w:hAnsi="Times New Roman" w:cs="仿宋"/>
                <w:sz w:val="24"/>
                <w:szCs w:val="24"/>
              </w:rPr>
              <w:t xml:space="preserve">本项目的非主体、非关键性工作是否允许分包按以下第</w:t>
            </w:r>
            <w:r>
              <w:rPr>
                <w:rFonts w:hint="eastAsia" w:ascii="Times New Roman" w:hAnsi="Times New Roman" w:cs="仿宋"/>
                <w:sz w:val="24"/>
                <w:szCs w:val="24"/>
                <w:u w:val="single"/>
              </w:rPr>
              <w:t xml:space="preserve"> </w:t>
            </w:r>
            <w:r>
              <w:rPr>
                <w:rFonts w:hint="eastAsia" w:ascii="Times New Roman" w:hAnsi="Times New Roman" w:cs="仿宋"/>
                <w:b/>
                <w:bCs/>
                <w:sz w:val="24"/>
                <w:u w:val="single"/>
              </w:rPr>
              <w:t xml:space="preserve">2</w:t>
            </w:r>
            <w:r>
              <w:rPr>
                <w:rFonts w:hint="eastAsia" w:ascii="Times New Roman" w:hAnsi="Times New Roman" w:cs="仿宋"/>
                <w:sz w:val="24"/>
                <w:szCs w:val="24"/>
              </w:rPr>
              <w:t xml:space="preserve">种方式确定：</w:t>
            </w:r>
            <w:r/>
          </w:p>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1.</w:t>
            </w:r>
            <w:bookmarkEnd w:id="50"/>
            <w:r>
              <w:rPr>
                <w:rFonts w:hint="eastAsia" w:ascii="Times New Roman" w:hAnsi="Times New Roman" w:cs="仿宋"/>
                <w:sz w:val="24"/>
                <w:szCs w:val="24"/>
              </w:rPr>
              <w:t xml:space="preserve">允许分包，</w:t>
            </w:r>
            <w:bookmarkStart w:id="51" w:name="EB512ba06683724173802e2aae54a26079"/>
            <w:r>
              <w:rPr>
                <w:rFonts w:hint="eastAsia" w:ascii="Times New Roman" w:hAnsi="Times New Roman" w:cs="仿宋"/>
                <w:sz w:val="24"/>
                <w:szCs w:val="24"/>
              </w:rPr>
              <w:t xml:space="preserve">允许大中型企业向一家或者多家小微企业分包，分包具体内容、金额或比例：</w:t>
            </w:r>
            <w:bookmarkEnd w:id="51"/>
            <w:r>
              <w:rPr>
                <w:rFonts w:hint="eastAsia" w:ascii="Times New Roman" w:hAnsi="Times New Roman" w:cs="仿宋"/>
                <w:sz w:val="24"/>
                <w:szCs w:val="24"/>
              </w:rPr>
              <w:t xml:space="preserve">无</w:t>
            </w:r>
            <w:r/>
          </w:p>
          <w:p>
            <w:pPr>
              <w:jc w:val="left"/>
              <w:spacing w:line="360" w:lineRule="exact"/>
              <w:widowControl/>
              <w:rPr>
                <w:rFonts w:ascii="Times New Roman" w:hAnsi="Times New Roman" w:cs="仿宋"/>
                <w:sz w:val="24"/>
              </w:rPr>
            </w:pPr>
            <w:r>
              <w:rPr>
                <w:rFonts w:hint="eastAsia" w:ascii="Times New Roman" w:hAnsi="Times New Roman" w:cs="仿宋"/>
                <w:sz w:val="24"/>
                <w:szCs w:val="24"/>
              </w:rPr>
              <w:t xml:space="preserve">2.不允许分包。</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8</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代理费用收取方式及标准</w:t>
            </w:r>
            <w:r/>
          </w:p>
        </w:tc>
        <w:tc>
          <w:tcPr>
            <w:tcW w:w="5975" w:type="dxa"/>
            <w:vAlign w:val="center"/>
            <w:textDirection w:val="lrTb"/>
            <w:noWrap w:val="false"/>
          </w:tcPr>
          <w:p>
            <w:pPr>
              <w:jc w:val="left"/>
              <w:spacing w:line="360" w:lineRule="exact"/>
              <w:widowControl/>
              <w:rPr>
                <w:rFonts w:ascii="Times New Roman" w:hAnsi="Times New Roman" w:cs="仿宋"/>
                <w:sz w:val="24"/>
                <w:szCs w:val="24"/>
              </w:rPr>
            </w:pPr>
            <w:r/>
            <w:bookmarkStart w:id="52" w:name="EB494c0bc35e674ba8ba0c8d892ff35fa5"/>
            <w:r>
              <w:rPr>
                <w:rFonts w:hint="eastAsia" w:ascii="Times New Roman" w:hAnsi="Times New Roman" w:cs="仿宋"/>
                <w:sz w:val="24"/>
                <w:szCs w:val="24"/>
              </w:rPr>
              <w:t xml:space="preserve">本项目不收取代理费。</w:t>
            </w:r>
            <w:bookmarkEnd w:id="52"/>
            <w:r/>
            <w:r/>
          </w:p>
        </w:tc>
      </w:tr>
      <w:tr>
        <w:trPr>
          <w:trHeight w:val="604"/>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9</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其他</w:t>
            </w:r>
            <w:r/>
          </w:p>
        </w:tc>
        <w:tc>
          <w:tcPr>
            <w:tcW w:w="5975" w:type="dxa"/>
            <w:vAlign w:val="center"/>
            <w:textDirection w:val="lrTb"/>
            <w:noWrap w:val="false"/>
          </w:tcPr>
          <w:p>
            <w:pPr>
              <w:jc w:val="left"/>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无</w:t>
            </w:r>
            <w:r/>
          </w:p>
        </w:tc>
      </w:tr>
    </w:tbl>
    <w:p>
      <w:pPr>
        <w:rPr>
          <w:rFonts w:hint="eastAsia" w:ascii="仿宋" w:hAnsi="仿宋" w:eastAsia="仿宋" w:cs="仿宋"/>
        </w:rPr>
      </w:pPr>
      <w:r/>
      <w:bookmarkStart w:id="53" w:name="EBc9d8a0a6c333409599b28034cbc893d2"/>
      <w:r/>
      <w:bookmarkEnd w:id="53"/>
      <w:r/>
      <w:bookmarkStart w:id="54" w:name="_Toc141869962"/>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jc w:val="left"/>
        <w:widowControl/>
        <w:rPr>
          <w:rFonts w:ascii="Arial" w:hAnsi="Arial" w:cs="Arial"/>
          <w:b/>
          <w:bCs/>
          <w:sz w:val="32"/>
        </w:rPr>
      </w:pPr>
      <w:r>
        <w:rPr>
          <w:b/>
          <w:bCs/>
          <w:sz w:val="32"/>
        </w:rPr>
        <w:br w:type="page" w:clear="all"/>
      </w:r>
      <w:r/>
    </w:p>
    <w:p>
      <w:pPr>
        <w:pStyle w:val="796"/>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一、总 则</w:t>
      </w:r>
      <w:bookmarkEnd w:id="54"/>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1、采购方式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本次采购采取竞争性磋商方式。</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2、合格的供应商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2.1合格的供应商必须符合磋商文件第一章《磋商邀请》第二条及供应商须知前附表相关规定，且具备完成本项目的能力，成交后不允许转包。</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2.2满足本文件实质性要求的规定。</w:t>
      </w:r>
      <w:r/>
    </w:p>
    <w:p>
      <w:pPr>
        <w:ind w:firstLine="480"/>
        <w:spacing w:line="480" w:lineRule="exact"/>
        <w:rPr>
          <w:rFonts w:hint="eastAsia" w:ascii="宋体" w:hAnsi="宋体"/>
          <w:b/>
          <w:sz w:val="24"/>
          <w:highlight w:val="white"/>
        </w:rPr>
      </w:pPr>
      <w:r>
        <w:rPr>
          <w:rFonts w:hint="eastAsia" w:ascii="宋体" w:hAnsi="宋体"/>
          <w:b/>
          <w:sz w:val="24"/>
          <w:highlight w:val="white"/>
        </w:rPr>
        <w:t xml:space="preserve">3、适用法律和标准</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3.1本次</w:t>
      </w:r>
      <w:r>
        <w:rPr>
          <w:rFonts w:hint="eastAsia" w:ascii="Times New Roman" w:hAnsi="Times New Roman"/>
          <w:sz w:val="24"/>
          <w:highlight w:val="white"/>
        </w:rPr>
        <w:t xml:space="preserve">磋商</w:t>
      </w:r>
      <w:r>
        <w:rPr>
          <w:rFonts w:hint="eastAsia" w:ascii="Times New Roman" w:hAnsi="Times New Roman" w:cs="仿宋"/>
          <w:sz w:val="24"/>
        </w:rPr>
        <w:t xml:space="preserve">及由</w:t>
      </w:r>
      <w:r>
        <w:rPr>
          <w:rFonts w:hint="eastAsia" w:ascii="Times New Roman" w:hAnsi="Times New Roman"/>
          <w:sz w:val="24"/>
          <w:highlight w:val="white"/>
        </w:rPr>
        <w:t xml:space="preserve">磋商</w:t>
      </w:r>
      <w:r>
        <w:rPr>
          <w:rFonts w:hint="eastAsia" w:ascii="Times New Roman" w:hAnsi="Times New Roman" w:cs="仿宋"/>
          <w:sz w:val="24"/>
        </w:rPr>
        <w:t xml:space="preserve">产生的合同受中华人民共和国的相关法律、法规制约和保护。</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3.2 在本项目政府采购活动过程中，如果所执行的标准有更新的，按照最新标准执行。</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4、费用</w:t>
      </w:r>
      <w:r/>
    </w:p>
    <w:p>
      <w:pPr>
        <w:ind w:firstLine="480"/>
        <w:spacing w:line="480" w:lineRule="exact"/>
        <w:rPr>
          <w:rFonts w:ascii="Times New Roman" w:hAnsi="Times New Roman" w:cs="仿宋"/>
          <w:sz w:val="24"/>
        </w:rPr>
      </w:pPr>
      <w:r>
        <w:rPr>
          <w:rFonts w:hint="eastAsia" w:ascii="Times New Roman" w:hAnsi="Times New Roman" w:cs="仿宋"/>
          <w:sz w:val="24"/>
        </w:rPr>
        <w:t xml:space="preserve">供应商应自行承担所有参加磋商活动有关的费用。</w:t>
      </w:r>
      <w:r/>
    </w:p>
    <w:p>
      <w:pPr>
        <w:pStyle w:val="796"/>
        <w:ind w:firstLine="320"/>
        <w:spacing w:before="0" w:after="0" w:line="520" w:lineRule="exact"/>
        <w:rPr>
          <w:rFonts w:hint="eastAsia" w:ascii="黑体" w:hAnsi="黑体" w:eastAsia="黑体" w:cs="黑体"/>
          <w:sz w:val="32"/>
        </w:rPr>
      </w:pPr>
      <w:r/>
      <w:bookmarkStart w:id="55" w:name="_Toc141869963"/>
      <w:r>
        <w:rPr>
          <w:rFonts w:hint="eastAsia" w:ascii="黑体" w:hAnsi="黑体" w:eastAsia="黑体" w:cs="黑体"/>
          <w:sz w:val="32"/>
        </w:rPr>
        <w:t xml:space="preserve">二、竞争性磋商文件</w:t>
      </w:r>
      <w:bookmarkEnd w:id="55"/>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5、磋商文件构成</w:t>
      </w:r>
      <w:r/>
    </w:p>
    <w:p>
      <w:pPr>
        <w:ind w:firstLine="480"/>
        <w:spacing w:line="480" w:lineRule="exact"/>
        <w:rPr>
          <w:rFonts w:ascii="Times New Roman" w:hAnsi="Times New Roman" w:cs="仿宋"/>
          <w:sz w:val="24"/>
        </w:rPr>
      </w:pPr>
      <w:r>
        <w:rPr>
          <w:rFonts w:hint="eastAsia" w:ascii="Times New Roman" w:hAnsi="Times New Roman" w:cs="仿宋"/>
          <w:sz w:val="24"/>
        </w:rPr>
        <w:t xml:space="preserve">5.1磋商文件由以下部分组成：</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第一章：磋商邀请；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第二章：供应商须知；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第三章：评审方法与评审标准；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第五章：合同文本；</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第六章：响应文件格式。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请仔细检查磋商文件是否齐全，如有缺漏请立即与代理机构联系解决。</w:t>
      </w:r>
      <w:r/>
    </w:p>
    <w:p>
      <w:pPr>
        <w:ind w:firstLine="480"/>
        <w:spacing w:line="480" w:lineRule="exact"/>
        <w:rPr>
          <w:rFonts w:ascii="Times New Roman" w:hAnsi="Times New Roman" w:cs="仿宋"/>
          <w:sz w:val="24"/>
        </w:rPr>
      </w:pPr>
      <w:r>
        <w:rPr>
          <w:rFonts w:hint="eastAsia" w:ascii="Times New Roman" w:hAnsi="Times New Roman" w:cs="仿宋"/>
          <w:sz w:val="24"/>
        </w:rPr>
        <w:t xml:space="preserve">5.2供应商应认真阅读磋商文件中所有的事项、格式、条款和规范等要求。按磋商文件要求和规定编制响应文件。</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6、政府采购政策</w:t>
      </w:r>
      <w:r/>
    </w:p>
    <w:p>
      <w:pPr>
        <w:ind w:firstLine="482"/>
        <w:spacing w:line="480" w:lineRule="exact"/>
        <w:rPr>
          <w:rFonts w:ascii="Times New Roman" w:hAnsi="Times New Roman" w:cs="仿宋"/>
          <w:b/>
          <w:sz w:val="24"/>
          <w:u w:val="single"/>
        </w:rPr>
      </w:pPr>
      <w:r>
        <w:rPr>
          <w:rFonts w:hint="eastAsia" w:ascii="Times New Roman" w:hAnsi="Times New Roman" w:cs="仿宋"/>
          <w:b/>
          <w:bCs/>
          <w:sz w:val="24"/>
        </w:rPr>
        <w:t xml:space="preserve">本项目落实的政府采购政策对应序号为</w:t>
      </w:r>
      <w:r>
        <w:rPr>
          <w:rFonts w:hint="eastAsia" w:ascii="Times New Roman" w:hAnsi="Times New Roman" w:cs="仿宋"/>
          <w:b/>
          <w:bCs/>
          <w:sz w:val="24"/>
          <w:u w:val="single"/>
        </w:rPr>
        <w:t xml:space="preserve">6.1</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6.1中小企业政策</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本项目按以下第</w:t>
      </w:r>
      <w:r>
        <w:rPr>
          <w:rFonts w:hint="eastAsia" w:ascii="Times New Roman" w:hAnsi="Times New Roman" w:cs="仿宋"/>
          <w:b/>
          <w:bCs/>
          <w:sz w:val="24"/>
          <w:u w:val="single"/>
        </w:rPr>
        <w:t xml:space="preserve">（</w:t>
      </w:r>
      <w:r>
        <w:rPr>
          <w:rFonts w:hint="eastAsia" w:ascii="Times New Roman" w:hAnsi="Times New Roman" w:cs="仿宋"/>
          <w:b/>
          <w:bCs/>
          <w:sz w:val="24"/>
          <w:u w:val="single"/>
          <w:lang w:val="en-US" w:eastAsia="zh-CN"/>
        </w:rPr>
        <w:t xml:space="preserve">1</w:t>
      </w:r>
      <w:r>
        <w:rPr>
          <w:rFonts w:hint="eastAsia" w:ascii="Times New Roman" w:hAnsi="Times New Roman" w:cs="仿宋"/>
          <w:b/>
          <w:bCs/>
          <w:sz w:val="24"/>
          <w:u w:val="single"/>
        </w:rPr>
        <w:t xml:space="preserve">）</w:t>
      </w:r>
      <w:r>
        <w:rPr>
          <w:rFonts w:hint="eastAsia" w:ascii="Times New Roman" w:hAnsi="Times New Roman" w:cs="仿宋"/>
          <w:sz w:val="24"/>
        </w:rPr>
        <w:t xml:space="preserve">种政策确定本项目落实的中小企业政策：</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（1）本项目专门面向中小企业（含监狱与戒毒企业、残疾人福利企业）采购。</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（2）对符合规定情形的小微企业报价给予</w:t>
      </w:r>
      <w:r>
        <w:rPr>
          <w:rFonts w:hint="eastAsia" w:ascii="Times New Roman" w:hAnsi="Times New Roman" w:cs="仿宋"/>
          <w:sz w:val="24"/>
          <w:u w:val="single"/>
        </w:rPr>
        <w:t xml:space="preserve">15%</w:t>
      </w:r>
      <w:r>
        <w:rPr>
          <w:rFonts w:hint="eastAsia" w:ascii="Times New Roman" w:hAnsi="Times New Roman" w:cs="仿宋"/>
          <w:sz w:val="24"/>
        </w:rPr>
        <w:t xml:space="preserve">扣除，用扣除后的价格参加评审。</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在服务采购项目中，服务由中小企业承接，即提供服务的人员为中小企业依照《中华人民共和国劳动合同法》订立劳动合同的从业人员。</w:t>
      </w:r>
      <w:r/>
    </w:p>
    <w:p>
      <w:pPr>
        <w:ind w:firstLine="480"/>
        <w:spacing w:line="480" w:lineRule="exact"/>
        <w:rPr>
          <w:rFonts w:ascii="Times New Roman" w:hAnsi="Times New Roman" w:cs="仿宋"/>
          <w:sz w:val="24"/>
        </w:rPr>
      </w:pPr>
      <w:r>
        <w:rPr>
          <w:rFonts w:hint="eastAsia" w:ascii="Times New Roman" w:hAnsi="Times New Roman" w:cs="仿宋_GB2312"/>
          <w:sz w:val="24"/>
        </w:rPr>
        <w:t xml:space="preserve">在货物采购项目中，货物由中小企业制造，即货物由中小企业生产且使用该中小企业商号或者注册商标。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注：①参加磋商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②参加磋商的监狱企业，视同小型、微型企业。监狱企业应当按照《财政部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③参加磋商的残疾人福利性单位，视同小型、微型企业。残疾人福利性单位应当按照《财政部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sz w:val="24"/>
          <w:u w:val="single"/>
        </w:rPr>
        <w:t xml:space="preserve">5</w:t>
      </w:r>
      <w:r>
        <w:rPr>
          <w:rFonts w:hint="eastAsia" w:ascii="Times New Roman" w:hAnsi="Times New Roman" w:cs="仿宋"/>
          <w:sz w:val="24"/>
        </w:rPr>
        <w:t xml:space="preserve">%（工程项目为</w:t>
      </w:r>
      <w:r>
        <w:rPr>
          <w:rFonts w:hint="eastAsia" w:ascii="Times New Roman" w:hAnsi="Times New Roman" w:cs="仿宋"/>
          <w:sz w:val="24"/>
          <w:u w:val="single"/>
        </w:rPr>
        <w:t xml:space="preserve">2</w:t>
      </w:r>
      <w:r>
        <w:rPr>
          <w:rFonts w:hint="eastAsia" w:ascii="Times New Roman" w:hAnsi="Times New Roman" w:cs="仿宋"/>
          <w:sz w:val="24"/>
        </w:rPr>
        <w:t xml:space="preserve">%）的扣除，用扣除后的价格参加评审。（是否接受联合体以“项目基本情况”相关内容为准，是否允许大中型企业向一家或者多家小微企业分包以“供应商须知前附表”、“采购需求”相关内容为准。）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⑤联合体各方均为小型、微型企业（残疾人福利单位、监狱企业）的，联合体享受15%价格扣除，用扣除后的价格参与评审。</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6.2采购本国产品的支持政策</w:t>
      </w:r>
      <w:r/>
    </w:p>
    <w:p>
      <w:pPr>
        <w:ind w:firstLine="480"/>
        <w:spacing w:line="480" w:lineRule="exact"/>
        <w:rPr>
          <w:rFonts w:hint="eastAsia" w:ascii="宋体" w:hAnsi="宋体"/>
          <w:bCs/>
          <w:sz w:val="24"/>
          <w:szCs w:val="24"/>
        </w:rPr>
      </w:pPr>
      <w:r>
        <w:rPr>
          <w:rFonts w:hint="eastAsia" w:ascii="Times New Roman" w:hAnsi="Times New Roman" w:cs="仿宋"/>
          <w:sz w:val="24"/>
        </w:rPr>
        <w:t xml:space="preserve">6.2.1 </w:t>
      </w:r>
      <w:r>
        <w:rPr>
          <w:rFonts w:hint="eastAsia" w:ascii="宋体" w:hAnsi="宋体"/>
          <w:bCs/>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480" w:lineRule="exact"/>
        <w:rPr>
          <w:rFonts w:hint="eastAsia" w:ascii="宋体" w:hAnsi="宋体"/>
          <w:bCs/>
          <w:sz w:val="24"/>
          <w:szCs w:val="24"/>
        </w:rPr>
      </w:pPr>
      <w:r>
        <w:rPr>
          <w:rFonts w:hint="eastAsia" w:ascii="宋体" w:hAnsi="宋体"/>
          <w:bCs/>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6.2.2本项目政府采购活动中既有本国产品又有非本国产品参与竞争的，依法对本国产品给予价格评审优惠，对本国产品的报价给予</w:t>
      </w:r>
      <w:r>
        <w:rPr>
          <w:rFonts w:hint="eastAsia" w:ascii="Times New Roman" w:hAnsi="Times New Roman" w:cs="仿宋"/>
          <w:b/>
          <w:bCs/>
          <w:sz w:val="24"/>
          <w:u w:val="single"/>
        </w:rPr>
        <w:t xml:space="preserve">20%</w:t>
      </w:r>
      <w:r>
        <w:rPr>
          <w:rFonts w:hint="eastAsia" w:ascii="Times New Roman" w:hAnsi="Times New Roman" w:cs="仿宋"/>
          <w:sz w:val="24"/>
        </w:rPr>
        <w:t xml:space="preserve">的价格扣除，用扣除后的价格参与评审。</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6.2.3 当采购项目或者采购包中含有多种产品，供应商为该采购项目或者采购包提供的符合本国产品标准的产品成本之和占该供应商提供的全部产品成本之和的比例达到</w:t>
      </w:r>
      <w:r>
        <w:rPr>
          <w:rFonts w:hint="eastAsia" w:ascii="Times New Roman" w:hAnsi="Times New Roman" w:cs="仿宋"/>
          <w:b/>
          <w:bCs/>
          <w:sz w:val="24"/>
        </w:rPr>
        <w:t xml:space="preserve">80%以上</w:t>
      </w:r>
      <w:r>
        <w:rPr>
          <w:rFonts w:hint="eastAsia" w:ascii="Times New Roman" w:hAnsi="Times New Roman" w:cs="仿宋"/>
          <w:sz w:val="24"/>
        </w:rPr>
        <w:t xml:space="preserve">时（供应商需在“第六章 响应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6.2.4 供应商需按照磋商文件的要求提供《关于符合本国产品标准的声明函》，如不提供将不享受本国产品价格评审优惠。</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6.2.5 供应商需在《关于符合本国产品标准的声明函》中逐一、准确填写产品名称、厂名、生产厂址三项信息（用斜线划除的地方无需填写），三项信息中任意一项未填写的视为该项产品不符合本国产品标准，不享受本国产品价格评审优惠。</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6.2.6 磋商过程中，如发现供应商在《关于符合本国产品标准的声明函》内容含义不明确、同类事项与响应文件表述不一致或者有明显文字错误等情况的，磋商小组应当以书面形式要求供应商作出必要的澄清、说明或者补正。经澄清、说明或者补正的仍然不符合《国务院办公厅关于在政府采购中实施本国产品标准及相关政策的通知》（国办发〔2025〕34号）和磋商文件规定的，供应商提供的相关产品视为不符合本国产品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6.3节能产品、环境标志产品</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6.3.1拟采购的产品属于政府强制采购的节能产品品目清单范围的，供应商须提供国家确定的认证机构出具的、处于有效期之内的节能产品认证证书，否则其响应文件按无效标处理。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6.3.2拟采购的产品属于优先采购的节能产品、环境标志产品品目清单范围的，对提供有效节能产品、环境标志产品认证证书的供应商加分。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6.4政府采购需求标准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6.4.1商品包装、快递包装政府采购需求标准（试行）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6.4.2绿色数据中心政府采购需求标准（试行）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6.4.3绿色建材政府采购需求标准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6.5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7、磋商文件的澄清或修改</w:t>
      </w:r>
      <w:r/>
    </w:p>
    <w:p>
      <w:pPr>
        <w:ind w:firstLine="482"/>
        <w:spacing w:line="480" w:lineRule="exact"/>
        <w:rPr>
          <w:rFonts w:ascii="Times New Roman" w:hAnsi="Times New Roman" w:cs="仿宋"/>
          <w:sz w:val="24"/>
        </w:rPr>
      </w:pPr>
      <w:r>
        <w:rPr>
          <w:rFonts w:hint="eastAsia" w:ascii="Times New Roman" w:hAnsi="Times New Roman" w:cs="仿宋"/>
          <w:sz w:val="24"/>
        </w:rPr>
        <w:t xml:space="preserve">7.1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在提交首次响应文件截止时间至少5日前，以书面形式通知所有获取磋商文件的供应商；不足5日的，采购人、采购代理机构应顺延提交首次响应文件截止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7.2磋商文件的澄清或者修改将在原公告媒体上发布更正公告，澄清、修改文件均作为磋商文件的组成部分，并对供应商具有约束力。</w:t>
      </w:r>
      <w:r/>
    </w:p>
    <w:p>
      <w:pPr>
        <w:ind w:firstLine="480"/>
        <w:spacing w:line="480" w:lineRule="exact"/>
        <w:rPr>
          <w:rFonts w:ascii="Times New Roman" w:hAnsi="Times New Roman" w:cs="仿宋"/>
          <w:sz w:val="24"/>
        </w:rPr>
      </w:pPr>
      <w:r>
        <w:rPr>
          <w:rFonts w:hint="eastAsia" w:ascii="Times New Roman" w:hAnsi="Times New Roman" w:cs="仿宋"/>
          <w:sz w:val="24"/>
        </w:rPr>
        <w:t xml:space="preserve">7.3供应商应及时登录“苏采云”系统获取、查看澄清答疑文件（修改后磋商文件），否则造成的相关责任由供应商承担。</w:t>
      </w:r>
      <w:r/>
    </w:p>
    <w:p>
      <w:pPr>
        <w:pStyle w:val="796"/>
        <w:ind w:firstLine="320"/>
        <w:spacing w:before="0" w:after="0" w:line="520" w:lineRule="exact"/>
        <w:rPr>
          <w:rFonts w:hint="eastAsia" w:ascii="黑体" w:hAnsi="黑体" w:eastAsia="黑体" w:cs="黑体"/>
          <w:sz w:val="32"/>
        </w:rPr>
      </w:pPr>
      <w:r/>
      <w:bookmarkStart w:id="56" w:name="_Toc141869964"/>
      <w:r>
        <w:rPr>
          <w:rFonts w:hint="eastAsia" w:ascii="黑体" w:hAnsi="黑体" w:eastAsia="黑体" w:cs="黑体"/>
          <w:sz w:val="32"/>
        </w:rPr>
        <w:t xml:space="preserve">三、响应文件的编制</w:t>
      </w:r>
      <w:bookmarkEnd w:id="56"/>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8、响应文件的编制要求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8.1供应商应仔细阅读“磋商文件”的所有内容，保证所提供的全部资料的真实性、完整性及有效性，以使其响应对“磋商文件”作出实质性响应。</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8.2响应文件要求加盖电子签章之处，应按要求加盖供应商数字证书的电子签章。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8.3本项目通过“苏采云”系统进行电子磋商，供应商使用政府采购客户端工具制作并通过“苏采云”系统提交响应文件，如响应文件制作工具内容与“江苏政府采购网”“宿迁市政府采购网”发布的磋商文件不一致的，以“江苏政府采购网”“宿迁市政府采购网”发布的磋商文件为准。</w:t>
      </w:r>
      <w:r/>
    </w:p>
    <w:p>
      <w:pPr>
        <w:ind w:firstLine="482"/>
        <w:spacing w:line="480" w:lineRule="exact"/>
        <w:rPr>
          <w:rFonts w:ascii="Times New Roman" w:hAnsi="Times New Roman"/>
          <w:b/>
          <w:sz w:val="24"/>
        </w:rPr>
      </w:pPr>
      <w:r>
        <w:rPr>
          <w:rFonts w:ascii="Times New Roman" w:hAnsi="Times New Roman"/>
          <w:b/>
          <w:sz w:val="24"/>
        </w:rPr>
        <w:t xml:space="preserve">9、响应文件构成</w:t>
      </w:r>
      <w:r/>
    </w:p>
    <w:p>
      <w:pPr>
        <w:ind w:firstLine="482"/>
        <w:spacing w:line="480" w:lineRule="exact"/>
        <w:rPr>
          <w:rFonts w:ascii="Times New Roman" w:hAnsi="Times New Roman"/>
          <w:b/>
          <w:sz w:val="24"/>
        </w:rPr>
      </w:pPr>
      <w:r/>
      <w:bookmarkStart w:id="57" w:name="EBd2e6df6607b447c7a4370e6531238d19"/>
      <w:r>
        <w:rPr>
          <w:rFonts w:ascii="Times New Roman" w:hAnsi="Times New Roman"/>
          <w:sz w:val="24"/>
          <w:szCs w:val="21"/>
        </w:rPr>
        <w:t xml:space="preserve">9.1响应文件包括磋商</w:t>
      </w:r>
      <w:r>
        <w:rPr>
          <w:rFonts w:hint="eastAsia" w:ascii="Times New Roman" w:hAnsi="Times New Roman"/>
          <w:sz w:val="24"/>
          <w:szCs w:val="21"/>
        </w:rPr>
        <w:t xml:space="preserve">申请</w:t>
      </w:r>
      <w:r>
        <w:rPr>
          <w:rFonts w:ascii="Times New Roman" w:hAnsi="Times New Roman"/>
          <w:sz w:val="24"/>
          <w:szCs w:val="21"/>
        </w:rPr>
        <w:t xml:space="preserve">函</w:t>
      </w:r>
      <w:r>
        <w:rPr>
          <w:rFonts w:hint="eastAsia" w:ascii="Times New Roman" w:hAnsi="Times New Roman"/>
          <w:sz w:val="24"/>
          <w:szCs w:val="21"/>
        </w:rPr>
        <w:t xml:space="preserve">、</w:t>
      </w:r>
      <w:r>
        <w:rPr>
          <w:rFonts w:ascii="Times New Roman" w:hAnsi="Times New Roman"/>
          <w:sz w:val="24"/>
          <w:szCs w:val="21"/>
        </w:rPr>
        <w:t xml:space="preserve">资格证明文件、分项报价表、响应及偏离表、其他证明文件等部分。</w:t>
      </w:r>
      <w:r>
        <w:rPr>
          <w:rFonts w:ascii="Times New Roman" w:hAnsi="Times New Roman"/>
          <w:sz w:val="24"/>
        </w:rPr>
        <w:t xml:space="preserve">响应文件构成资料为非中文时应提供中文译版。</w:t>
      </w:r>
      <w:r/>
    </w:p>
    <w:p>
      <w:pPr>
        <w:ind w:firstLine="482"/>
        <w:spacing w:line="480" w:lineRule="exact"/>
        <w:rPr>
          <w:rFonts w:ascii="Times New Roman" w:hAnsi="Times New Roman"/>
          <w:b/>
          <w:sz w:val="24"/>
        </w:rPr>
      </w:pPr>
      <w:r>
        <w:rPr>
          <w:rFonts w:ascii="Times New Roman" w:hAnsi="Times New Roman"/>
          <w:b/>
          <w:sz w:val="24"/>
        </w:rPr>
        <w:t xml:space="preserve">9.2磋商文件要求提供证书证件等原件电子件的，供应商提供的电子件应是对证书证件等原件通过扫描、拍照等方式进行数字化的可被</w:t>
      </w:r>
      <w:r>
        <w:rPr>
          <w:rFonts w:ascii="Times New Roman" w:hAnsi="Times New Roman"/>
          <w:b/>
          <w:bCs/>
          <w:sz w:val="24"/>
        </w:rPr>
        <w:t xml:space="preserve">“苏采云”</w:t>
      </w:r>
      <w:r>
        <w:rPr>
          <w:rFonts w:ascii="Times New Roman" w:hAnsi="Times New Roman"/>
          <w:b/>
          <w:sz w:val="24"/>
        </w:rPr>
        <w:t xml:space="preserve">系统识别的数字文件，否则磋商小组可以视其未提供。无论何种原因，即使供应商磋商时携带了证书证明资料的原件，但电子响应文件中未包含相关资料电子件的，磋商小组可以视同其未提供。</w:t>
      </w:r>
      <w:bookmarkEnd w:id="57"/>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10、响应文件的报价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10.1分次报价，供应商响应文件中的报价作为第一次报价，不公开；以最后报价作为价格分计算。</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10.2报价注意事项：报价一律以人民币计算，以元为单位标注，最多保留至小数点后四位，磋商文件有规定的按磋商文件执行。</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11、磋商保证金</w:t>
      </w:r>
      <w:r/>
    </w:p>
    <w:p>
      <w:pPr>
        <w:ind w:firstLine="480"/>
        <w:spacing w:line="480" w:lineRule="exact"/>
        <w:rPr>
          <w:rFonts w:ascii="Times New Roman" w:hAnsi="Times New Roman" w:cs="仿宋"/>
          <w:sz w:val="24"/>
        </w:rPr>
      </w:pPr>
      <w:r/>
      <w:bookmarkStart w:id="58" w:name="EB2c6535ca97b046d89f956e109e785ae2"/>
      <w:r>
        <w:rPr>
          <w:rFonts w:hint="eastAsia" w:ascii="Times New Roman" w:hAnsi="Times New Roman" w:cs="仿宋"/>
          <w:sz w:val="24"/>
        </w:rPr>
        <w:t xml:space="preserve">本项目不收取磋商保证金。</w:t>
      </w:r>
      <w:bookmarkEnd w:id="58"/>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12、响应有效期</w:t>
      </w:r>
      <w:r/>
    </w:p>
    <w:p>
      <w:pPr>
        <w:ind w:firstLine="480"/>
        <w:spacing w:line="480" w:lineRule="exact"/>
        <w:rPr>
          <w:rFonts w:ascii="Times New Roman" w:hAnsi="Times New Roman" w:cs="仿宋"/>
          <w:sz w:val="24"/>
        </w:rPr>
      </w:pPr>
      <w:r/>
      <w:bookmarkStart w:id="59" w:name="_Toc141869965"/>
      <w:r>
        <w:rPr>
          <w:rFonts w:hint="eastAsia" w:ascii="Times New Roman" w:hAnsi="Times New Roman" w:cs="仿宋"/>
          <w:sz w:val="24"/>
        </w:rPr>
        <w:t xml:space="preserve">12.1在供应商须知前附表规定的响应有效期内，响应有效期从提交响应文件的截止之日起算。响应有效期比规定短的将被视为未实质性响应磋商文件。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12.2</w:t>
      </w:r>
      <w:r>
        <w:rPr>
          <w:rFonts w:hint="eastAsia" w:ascii="宋体" w:hAnsi="宋体"/>
          <w:bCs/>
          <w:sz w:val="24"/>
          <w:szCs w:val="21"/>
        </w:rPr>
        <w:t xml:space="preserve">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得修改其响应文件。</w:t>
      </w:r>
      <w:r>
        <w:rPr>
          <w:rFonts w:hint="eastAsia" w:ascii="宋体" w:hAnsi="宋体"/>
          <w:sz w:val="24"/>
          <w:szCs w:val="24"/>
        </w:rPr>
        <w:t xml:space="preserve">受磋商有效期约束的所有权利与义务均延长至新的有效期</w:t>
      </w:r>
      <w:r>
        <w:rPr>
          <w:rFonts w:hint="eastAsia" w:ascii="宋体" w:hAnsi="宋体"/>
          <w:bCs/>
          <w:sz w:val="24"/>
          <w:szCs w:val="21"/>
        </w:rPr>
        <w:t xml:space="preserve">。</w:t>
      </w:r>
      <w:r/>
    </w:p>
    <w:p>
      <w:pPr>
        <w:pStyle w:val="796"/>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四、响应文件的提交</w:t>
      </w:r>
      <w:bookmarkEnd w:id="59"/>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13、响应文件的提交</w:t>
      </w:r>
      <w:r/>
    </w:p>
    <w:p>
      <w:pPr>
        <w:ind w:firstLine="480"/>
        <w:spacing w:line="480" w:lineRule="exact"/>
        <w:widowControl/>
        <w:rPr>
          <w:rFonts w:ascii="Times New Roman" w:hAnsi="Times New Roman" w:cs="仿宋"/>
          <w:sz w:val="24"/>
        </w:rPr>
      </w:pPr>
      <w:r>
        <w:rPr>
          <w:rFonts w:hint="eastAsia" w:ascii="Times New Roman" w:hAnsi="Times New Roman" w:cs="仿宋"/>
          <w:sz w:val="24"/>
        </w:rPr>
        <w:t xml:space="preserve">13.1供应商应在磋商文件规定的响应截止时间前提交响应文件。供应商应将电子响应文件上传至“苏采云”系统对应的采购包中。除磋商文件另有规定外，供应商所提交的响应文件不予退还。</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13.2响应文件的修改或撤回：在响应截止时间前，供应商可以撤回或重新提交响应文件。响应文件以最终完成上传的为准。</w:t>
      </w:r>
      <w:r/>
    </w:p>
    <w:p>
      <w:pPr>
        <w:ind w:right="105" w:firstLine="480"/>
        <w:spacing w:line="480" w:lineRule="exact"/>
        <w:rPr>
          <w:rFonts w:ascii="Times New Roman" w:hAnsi="Times New Roman" w:cs="仿宋"/>
          <w:b/>
          <w:sz w:val="24"/>
          <w:u w:val="single"/>
        </w:rPr>
      </w:pPr>
      <w:r>
        <w:rPr>
          <w:rFonts w:hint="eastAsia" w:ascii="Times New Roman" w:hAnsi="Times New Roman" w:cs="仿宋"/>
          <w:sz w:val="24"/>
        </w:rPr>
        <w:t xml:space="preserve">13.3采购人、采购代理机构可以通过修改磋商文件酌情延长响应文件接收截止日期，在此情况下，供应商的所有权利和义务以及供应商受制约的截止日期均应以延长后新的截止日期为准。</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14、响应文件被拒绝接收的情形</w:t>
      </w:r>
      <w:r/>
    </w:p>
    <w:p>
      <w:pPr>
        <w:ind w:right="105" w:firstLine="480"/>
        <w:spacing w:line="480" w:lineRule="exact"/>
        <w:rPr>
          <w:rFonts w:ascii="Times New Roman" w:hAnsi="Times New Roman" w:cs="仿宋"/>
          <w:sz w:val="24"/>
        </w:rPr>
      </w:pPr>
      <w:r>
        <w:rPr>
          <w:rFonts w:hint="eastAsia" w:ascii="Times New Roman" w:hAnsi="Times New Roman" w:cs="仿宋"/>
          <w:sz w:val="24"/>
        </w:rPr>
        <w:t xml:space="preserve">在磋商文件规定的响应截止时间后上传的响应文件。</w:t>
      </w:r>
      <w:r/>
    </w:p>
    <w:p>
      <w:pPr>
        <w:pStyle w:val="796"/>
        <w:ind w:firstLine="320"/>
        <w:spacing w:before="0" w:after="0" w:line="520" w:lineRule="exact"/>
        <w:rPr>
          <w:rFonts w:hint="eastAsia" w:ascii="黑体" w:hAnsi="黑体" w:eastAsia="黑体" w:cs="黑体"/>
          <w:sz w:val="32"/>
        </w:rPr>
      </w:pPr>
      <w:r/>
      <w:bookmarkStart w:id="60" w:name="_Toc141869967"/>
      <w:r>
        <w:rPr>
          <w:rFonts w:hint="eastAsia" w:ascii="黑体" w:hAnsi="黑体" w:eastAsia="黑体" w:cs="黑体"/>
          <w:sz w:val="32"/>
        </w:rPr>
        <w:t xml:space="preserve">五、磋商程序及最后报价</w:t>
      </w:r>
      <w:bookmarkEnd w:id="60"/>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15、磋商会议</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15.1采购代理机构按磋商文件规定的时间、地点组织磋商。供应商应当按照规定，在“苏采云”系统规定的时间内对磋商响应文件进行解密。</w:t>
      </w:r>
      <w:r/>
    </w:p>
    <w:p>
      <w:pPr>
        <w:ind w:firstLine="480"/>
        <w:spacing w:line="480" w:lineRule="exact"/>
        <w:rPr>
          <w:rFonts w:ascii="Times New Roman" w:hAnsi="Times New Roman" w:cs="仿宋"/>
          <w:sz w:val="24"/>
        </w:rPr>
      </w:pPr>
      <w:r>
        <w:rPr>
          <w:rFonts w:hint="eastAsia" w:ascii="Times New Roman" w:hAnsi="Times New Roman" w:cs="仿宋"/>
          <w:b/>
          <w:sz w:val="24"/>
        </w:rPr>
        <w:t xml:space="preserve">15.2供应商用于解密的CA证书应为该响应文件生成加密、上传的同一把CA证书。供应商应登录“苏采云”系统进入“开标大厅”，在系统约定时间内使用CA证书解密，未在成功解密的，视为其放弃磋商。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15.3供应商在磋商全过程中应保持通讯畅通，及时登录</w:t>
      </w:r>
      <w:r>
        <w:rPr>
          <w:rFonts w:hint="eastAsia" w:ascii="Times New Roman" w:hAnsi="Times New Roman" w:cs="仿宋"/>
          <w:b/>
          <w:bCs/>
          <w:sz w:val="24"/>
        </w:rPr>
        <w:t xml:space="preserve">“苏采云”系统</w:t>
      </w:r>
      <w:r>
        <w:rPr>
          <w:rFonts w:hint="eastAsia" w:ascii="Times New Roman" w:hAnsi="Times New Roman" w:cs="仿宋"/>
          <w:sz w:val="24"/>
        </w:rPr>
        <w:t xml:space="preserve">查阅、答复相关信息。</w:t>
      </w:r>
      <w:r/>
    </w:p>
    <w:p>
      <w:pPr>
        <w:ind w:firstLine="480"/>
        <w:spacing w:line="480" w:lineRule="exact"/>
        <w:rPr>
          <w:rFonts w:ascii="Times New Roman" w:hAnsi="Times New Roman" w:cs="仿宋"/>
          <w:sz w:val="24"/>
        </w:rPr>
      </w:pPr>
      <w:r>
        <w:rPr>
          <w:rFonts w:hint="eastAsia" w:ascii="Times New Roman" w:hAnsi="Times New Roman" w:cs="仿宋"/>
          <w:b/>
          <w:sz w:val="24"/>
        </w:rPr>
        <w:t xml:space="preserve">16、磋商小组</w:t>
      </w:r>
      <w:bookmarkStart w:id="61" w:name="OLE_LINK3"/>
      <w:r/>
      <w:r/>
    </w:p>
    <w:p>
      <w:pPr>
        <w:ind w:firstLine="482"/>
        <w:spacing w:line="480" w:lineRule="exact"/>
        <w:rPr>
          <w:rFonts w:ascii="Times New Roman" w:hAnsi="Times New Roman" w:cs="仿宋"/>
          <w:b/>
          <w:sz w:val="24"/>
        </w:rPr>
      </w:pPr>
      <w:r>
        <w:rPr>
          <w:rFonts w:hint="eastAsia" w:ascii="宋体" w:hAnsi="宋体"/>
          <w:sz w:val="24"/>
          <w:szCs w:val="24"/>
        </w:rPr>
        <w:t xml:space="preserve">磋商小组由采购人代表和评审专家组成，且人员构成符合政府采购有关规定。</w:t>
      </w:r>
      <w:bookmarkEnd w:id="61"/>
      <w:r>
        <w:rPr>
          <w:rFonts w:hint="eastAsia" w:ascii="Times New Roman" w:hAnsi="Times New Roman" w:cs="仿宋"/>
          <w:sz w:val="24"/>
        </w:rPr>
        <w:t xml:space="preserve">磋商小组负责具体评审事务，按客观、公正、审慎的原则独立履行相关职责。</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17、磋商程序</w:t>
      </w:r>
      <w:r/>
    </w:p>
    <w:p>
      <w:pPr>
        <w:ind w:firstLine="480"/>
        <w:spacing w:line="460" w:lineRule="exact"/>
        <w:rPr>
          <w:rFonts w:ascii="Times New Roman" w:hAnsi="Times New Roman"/>
          <w:bCs/>
          <w:sz w:val="24"/>
          <w:szCs w:val="21"/>
        </w:rPr>
      </w:pPr>
      <w:r>
        <w:rPr>
          <w:rFonts w:hint="eastAsia" w:ascii="Times New Roman" w:hAnsi="Times New Roman"/>
          <w:bCs/>
          <w:sz w:val="24"/>
          <w:szCs w:val="21"/>
        </w:rPr>
        <w:t xml:space="preserve">17.1资格审查</w:t>
      </w:r>
      <w:r/>
    </w:p>
    <w:p>
      <w:pPr>
        <w:ind w:firstLine="480"/>
        <w:spacing w:line="460" w:lineRule="exact"/>
        <w:rPr>
          <w:rFonts w:ascii="Times New Roman" w:hAnsi="Times New Roman"/>
          <w:bCs/>
          <w:sz w:val="24"/>
          <w:szCs w:val="21"/>
        </w:rPr>
      </w:pPr>
      <w:r>
        <w:rPr>
          <w:rFonts w:hint="eastAsia" w:ascii="Times New Roman" w:hAnsi="Times New Roman"/>
          <w:bCs/>
          <w:sz w:val="24"/>
          <w:szCs w:val="21"/>
        </w:rPr>
        <w:t xml:space="preserve">由磋商小组依据法律法规和磋商文件的规定，对响应文件中的资格证明文件进行审查，以确定供应商是否具备参加磋商的资格。</w:t>
      </w:r>
      <w:r/>
    </w:p>
    <w:p>
      <w:pPr>
        <w:ind w:firstLine="480"/>
        <w:spacing w:line="460" w:lineRule="exact"/>
        <w:rPr>
          <w:rFonts w:ascii="Times New Roman" w:hAnsi="Times New Roman" w:cs="仿宋"/>
          <w:sz w:val="24"/>
          <w:szCs w:val="24"/>
        </w:rPr>
      </w:pPr>
      <w:r>
        <w:rPr>
          <w:rFonts w:hint="eastAsia" w:ascii="Times New Roman" w:hAnsi="Times New Roman" w:cs="仿宋"/>
          <w:sz w:val="24"/>
          <w:szCs w:val="24"/>
        </w:rPr>
        <w:t xml:space="preserve">信用信息查询：磋商小组查询供应商的信用信息，以确定供应商是否具备磋商资格。查询结果留存并归档。</w:t>
      </w:r>
      <w:r/>
    </w:p>
    <w:p>
      <w:pPr>
        <w:ind w:firstLine="480"/>
        <w:spacing w:line="480" w:lineRule="exact"/>
        <w:rPr>
          <w:rFonts w:ascii="Times New Roman" w:hAnsi="Times New Roman"/>
          <w:bCs/>
          <w:sz w:val="24"/>
          <w:szCs w:val="21"/>
        </w:rPr>
      </w:pPr>
      <w:r>
        <w:rPr>
          <w:rFonts w:hint="eastAsia" w:ascii="Times New Roman" w:hAnsi="Times New Roman"/>
          <w:bCs/>
          <w:sz w:val="24"/>
          <w:szCs w:val="21"/>
        </w:rPr>
        <w:t xml:space="preserve">17.2符合性审查</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依据磋商文件的规定，由磋商小组从响应文件的有效性、完整性和对磋商文件的响应程度进行审查，以确定是否对磋商文件的实质性要求作出响应。</w:t>
      </w:r>
      <w:r>
        <w:rPr>
          <w:rFonts w:hint="eastAsia" w:ascii="Times New Roman" w:hAnsi="Times New Roman"/>
          <w:sz w:val="24"/>
          <w:szCs w:val="24"/>
        </w:rPr>
        <w:t xml:space="preserve">实质性响应的响应文件应该是与磋商文件要求的条款、条件和规格相符，没有重大偏离。所谓重大偏离是指与磋商文件规定的实质性要求存在负偏离，或者在实质上与磋商文件不一致，纠正这些偏离将会对其他实质性响应要求的供应商的竞争产生不公正的影响。重大偏离由磋商小组按照少数服从多数的原则认定。</w:t>
      </w:r>
      <w:r/>
    </w:p>
    <w:p>
      <w:pPr>
        <w:ind w:firstLine="480"/>
        <w:spacing w:line="480" w:lineRule="exact"/>
        <w:rPr>
          <w:rFonts w:ascii="Times New Roman" w:hAnsi="Times New Roman"/>
          <w:sz w:val="24"/>
          <w:szCs w:val="24"/>
        </w:rPr>
      </w:pPr>
      <w:r>
        <w:rPr>
          <w:rFonts w:hint="eastAsia" w:ascii="Times New Roman" w:hAnsi="Times New Roman"/>
          <w:bCs/>
          <w:sz w:val="24"/>
          <w:szCs w:val="21"/>
        </w:rPr>
        <w:t xml:space="preserve">17.3未通过资格审查或符合性审查的供应商，磋商小组将在</w:t>
      </w:r>
      <w:r>
        <w:rPr>
          <w:rFonts w:hint="eastAsia" w:ascii="Times New Roman" w:hAnsi="Times New Roman"/>
          <w:sz w:val="24"/>
          <w:szCs w:val="24"/>
        </w:rPr>
        <w:t xml:space="preserve">“苏采云”系统</w:t>
      </w:r>
      <w:r>
        <w:rPr>
          <w:rFonts w:hint="eastAsia" w:ascii="Times New Roman" w:hAnsi="Times New Roman"/>
          <w:bCs/>
          <w:sz w:val="24"/>
          <w:szCs w:val="21"/>
        </w:rPr>
        <w:t xml:space="preserve">中告知未通过资格审查或符合性审查的原因。评审结束后，磋商小组将不再告知未通过资格审查或符合性审查的原因。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17.4磋商小组认定响应文件的响应性，仅根据响应文件本身的内容，而不寻求外部的证据。对于未实质性响应的响应文件，供应商不能通过修正或撤销不符之处，而使其成为实质性响应。</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17.5相同品牌产品响应</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提供相同品牌产品且通过资格审查、符合性审查的不同供应商参加同一合同项下响应的，按一家供应商计算，评审后得分最高的同品牌供应商获得成交供应商推荐资格；评审得分相同的，报价最低的同品牌供应商获得成交供应商推荐资格；评审得分且报价相同的，采取随机抽取方式确定，其他同品牌供应商不作为成交候选人。</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17.6磋商</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17.6.1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17.6.2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17.7有关问题的澄清</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对磋商文件中含义不明确、同类问题表述不一致或者有明显文字和计算错误的内容，磋商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p>
    <w:p>
      <w:pPr>
        <w:ind w:firstLine="480"/>
        <w:spacing w:line="480" w:lineRule="exact"/>
        <w:tabs>
          <w:tab w:val="left" w:pos="900" w:leader="none"/>
        </w:tabs>
        <w:rPr>
          <w:rFonts w:ascii="Times New Roman" w:hAnsi="Times New Roman"/>
          <w:sz w:val="24"/>
          <w:szCs w:val="24"/>
        </w:rPr>
      </w:pPr>
      <w:r>
        <w:rPr>
          <w:rFonts w:hint="eastAsia" w:ascii="Times New Roman" w:hAnsi="Times New Roman"/>
          <w:bCs/>
          <w:sz w:val="24"/>
          <w:szCs w:val="21"/>
        </w:rPr>
        <w:t xml:space="preserve">17.8最后报价</w:t>
      </w:r>
      <w:r/>
    </w:p>
    <w:p>
      <w:pPr>
        <w:ind w:firstLine="480"/>
        <w:spacing w:line="480" w:lineRule="exact"/>
        <w:tabs>
          <w:tab w:val="left" w:pos="900" w:leader="none"/>
        </w:tabs>
        <w:rPr>
          <w:rFonts w:ascii="Times New Roman" w:hAnsi="Times New Roman"/>
          <w:sz w:val="24"/>
          <w:szCs w:val="24"/>
        </w:rPr>
      </w:pPr>
      <w:r>
        <w:rPr>
          <w:rFonts w:hint="eastAsia" w:ascii="Times New Roman" w:hAnsi="Times New Roman" w:cs="仿宋"/>
          <w:sz w:val="24"/>
        </w:rPr>
        <w:t xml:space="preserve">17.8.1磋商结束后，磋商小组将在“苏采云”系统向所有实质性响应的供应商发布“最后报价要求函”及最后报价格式表，并要求在规定时间内提交最后报价。在提交最后报价之前，供应商可以根据情况退出磋商，并在“苏采云”系统中提交“退出磋商函”并加盖CA电子公章。因供应商原因导致未提交最后报价或供应商退出磋商的，磋商小组应将其作为无效标处理。最后报价是供应商响应文件的有效组成部分。</w:t>
      </w:r>
      <w:bookmarkStart w:id="62" w:name="EB7c676092b0b54336b4f7c76350bf2f81"/>
      <w:r/>
      <w:r/>
    </w:p>
    <w:p>
      <w:pPr>
        <w:ind w:firstLine="482"/>
        <w:spacing w:line="480" w:lineRule="exact"/>
        <w:tabs>
          <w:tab w:val="left" w:pos="900" w:leader="none"/>
        </w:tabs>
        <w:rPr>
          <w:rFonts w:ascii="Times New Roman" w:hAnsi="Times New Roman"/>
          <w:sz w:val="24"/>
          <w:szCs w:val="24"/>
        </w:rPr>
      </w:pPr>
      <w:r>
        <w:rPr>
          <w:rFonts w:hint="eastAsia" w:ascii="Times New Roman" w:hAnsi="Times New Roman" w:cs="仿宋"/>
          <w:b/>
          <w:sz w:val="24"/>
        </w:rPr>
        <w:t xml:space="preserve">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p>
    <w:p>
      <w:pPr>
        <w:ind w:firstLine="480"/>
        <w:spacing w:line="480" w:lineRule="exact"/>
        <w:tabs>
          <w:tab w:val="left" w:pos="900" w:leader="none"/>
        </w:tabs>
        <w:rPr>
          <w:rFonts w:ascii="Times New Roman" w:hAnsi="Times New Roman"/>
          <w:sz w:val="24"/>
          <w:szCs w:val="24"/>
        </w:rPr>
      </w:pPr>
      <w:r>
        <w:rPr>
          <w:rFonts w:hint="eastAsia" w:ascii="Times New Roman" w:hAnsi="Times New Roman" w:cs="仿宋"/>
          <w:sz w:val="24"/>
        </w:rPr>
        <w:t xml:space="preserve">17.8.3供应商在首次响应文件中的报价为首次报价。最后报价是供应商响应文件的有效组成部分。最后报价时如磋商小组未要求分项报价的，供应商各分项报价按首次报价（总价）与最后报价（总价）比例进行同比调整。</w:t>
      </w:r>
      <w:bookmarkEnd w:id="62"/>
      <w:r/>
      <w:r/>
    </w:p>
    <w:p>
      <w:pPr>
        <w:ind w:firstLine="480"/>
        <w:spacing w:line="480" w:lineRule="exact"/>
        <w:tabs>
          <w:tab w:val="left" w:pos="900" w:leader="none"/>
        </w:tabs>
        <w:rPr>
          <w:rFonts w:ascii="Times New Roman" w:hAnsi="Times New Roman" w:cs="仿宋"/>
          <w:sz w:val="24"/>
        </w:rPr>
      </w:pPr>
      <w:r>
        <w:rPr>
          <w:rFonts w:hint="eastAsia" w:ascii="Times New Roman" w:hAnsi="Times New Roman" w:cs="仿宋"/>
          <w:sz w:val="24"/>
        </w:rPr>
        <w:t xml:space="preserve">17.8.4磋商报价表中大、小写应一致，如出现不一致情况的，以大写为准。磋商报价表内容与分项报价表内容应一致。如出现不一致情况，以磋商报价表内容为准，修正分项报价表。</w:t>
      </w:r>
      <w:r/>
    </w:p>
    <w:p>
      <w:pPr>
        <w:ind w:firstLine="480"/>
        <w:spacing w:line="480" w:lineRule="exact"/>
        <w:tabs>
          <w:tab w:val="left" w:pos="900" w:leader="none"/>
        </w:tabs>
        <w:rPr>
          <w:rFonts w:ascii="Times New Roman" w:hAnsi="Times New Roman" w:cs="仿宋"/>
          <w:sz w:val="24"/>
        </w:rPr>
      </w:pPr>
      <w:r>
        <w:rPr>
          <w:rFonts w:hint="eastAsia" w:ascii="Times New Roman" w:hAnsi="Times New Roman" w:cs="仿宋"/>
          <w:sz w:val="24"/>
        </w:rPr>
        <w:t xml:space="preserve">17.8.5项目评审中，不得去掉最后报价中的最高报价和最低报价。</w:t>
      </w:r>
      <w:r/>
    </w:p>
    <w:p>
      <w:pPr>
        <w:ind w:firstLine="480"/>
        <w:spacing w:line="480" w:lineRule="exact"/>
        <w:tabs>
          <w:tab w:val="left" w:pos="900" w:leader="none"/>
        </w:tabs>
        <w:rPr>
          <w:rFonts w:ascii="Times New Roman" w:hAnsi="Times New Roman" w:cs="仿宋"/>
          <w:sz w:val="24"/>
        </w:rPr>
      </w:pPr>
      <w:r>
        <w:rPr>
          <w:rFonts w:hint="eastAsia" w:ascii="Times New Roman" w:hAnsi="Times New Roman" w:cs="仿宋"/>
          <w:sz w:val="24"/>
        </w:rPr>
        <w:t xml:space="preserve">17.8.6符合《政府采购竞争性磋商采购方式</w:t>
      </w:r>
      <w:r>
        <w:rPr>
          <w:rFonts w:hint="eastAsia" w:ascii="Times New Roman" w:hAnsi="Times New Roman" w:cs="仿宋"/>
          <w:sz w:val="24"/>
          <w:lang w:val="en-US" w:eastAsia="zh-CN"/>
        </w:rPr>
        <w:t xml:space="preserve">管</w:t>
      </w:r>
      <w:r>
        <w:rPr>
          <w:rFonts w:hint="eastAsia" w:ascii="Times New Roman" w:hAnsi="Times New Roman" w:cs="仿宋"/>
          <w:sz w:val="24"/>
        </w:rPr>
        <w:t xml:space="preserve">理暂行办法》第三条第一款第四项及《财政部关于竞争性磋商采购方式管理暂行办法有关问题的补充通知》（财库[2015]124号）规定情形的，提交最后报价的供应商可以为2家。</w:t>
      </w:r>
      <w:r/>
    </w:p>
    <w:p>
      <w:pPr>
        <w:ind w:firstLine="480"/>
        <w:spacing w:line="480" w:lineRule="exact"/>
        <w:rPr>
          <w:rFonts w:hint="eastAsia" w:ascii="Times New Roman" w:hAnsi="Times New Roman"/>
          <w:sz w:val="24"/>
          <w:szCs w:val="24"/>
        </w:rPr>
      </w:pPr>
      <w:r/>
      <w:bookmarkStart w:id="63" w:name="_Hlk204074773"/>
      <w:r>
        <w:rPr>
          <w:rFonts w:hint="eastAsia" w:ascii="Times New Roman" w:hAnsi="Times New Roman"/>
          <w:sz w:val="24"/>
          <w:szCs w:val="24"/>
        </w:rPr>
        <w:t xml:space="preserve">17.9 异常低价响应审查</w:t>
      </w:r>
      <w:r/>
    </w:p>
    <w:p>
      <w:pPr>
        <w:ind w:firstLine="480"/>
        <w:spacing w:line="480" w:lineRule="exact"/>
        <w:rPr>
          <w:rFonts w:hint="eastAsia" w:ascii="Times New Roman" w:hAnsi="Times New Roman"/>
          <w:sz w:val="24"/>
          <w:szCs w:val="24"/>
        </w:rPr>
      </w:pPr>
      <w:r>
        <w:rPr>
          <w:rFonts w:hint="eastAsia" w:ascii="Times New Roman" w:hAnsi="Times New Roman"/>
          <w:sz w:val="24"/>
          <w:szCs w:val="24"/>
        </w:rPr>
        <w:t xml:space="preserve">17.9.1评审过程中出现下列情形之一的，评审委员会应当启动异常低价响应审查程序：</w:t>
      </w:r>
      <w:r/>
    </w:p>
    <w:p>
      <w:pPr>
        <w:ind w:firstLine="480"/>
        <w:spacing w:line="480" w:lineRule="exact"/>
        <w:rPr>
          <w:rFonts w:hint="eastAsia" w:ascii="Times New Roman" w:hAnsi="Times New Roman"/>
          <w:sz w:val="24"/>
          <w:szCs w:val="24"/>
        </w:rPr>
      </w:pPr>
      <w:r>
        <w:rPr>
          <w:rFonts w:hint="eastAsia" w:ascii="Times New Roman" w:hAnsi="Times New Roman"/>
          <w:sz w:val="24"/>
          <w:szCs w:val="24"/>
        </w:rPr>
        <w:t xml:space="preserve">（1）响应报价低于全部通过符合性审查供应商响应报价平均值50%的，即响应报价&lt;全部通过符合性审查供应商响应报价平均值×50%；</w:t>
      </w:r>
      <w:r/>
    </w:p>
    <w:p>
      <w:pPr>
        <w:ind w:firstLine="480"/>
        <w:spacing w:line="480" w:lineRule="exact"/>
        <w:rPr>
          <w:rFonts w:hint="eastAsia" w:ascii="Times New Roman" w:hAnsi="Times New Roman"/>
          <w:sz w:val="24"/>
          <w:szCs w:val="24"/>
        </w:rPr>
      </w:pPr>
      <w:r>
        <w:rPr>
          <w:rFonts w:hint="eastAsia" w:ascii="Times New Roman" w:hAnsi="Times New Roman"/>
          <w:sz w:val="24"/>
          <w:szCs w:val="24"/>
        </w:rPr>
        <w:t xml:space="preserve">（2）响应报价低于通过符合性审查的次低报价供应商响应报价50%的，即响应报价&lt;通过符合性审查的次低报价供应商响应报价×50%；</w:t>
      </w:r>
      <w:r/>
    </w:p>
    <w:p>
      <w:pPr>
        <w:ind w:firstLine="480"/>
        <w:spacing w:line="480" w:lineRule="exact"/>
        <w:rPr>
          <w:rFonts w:hint="eastAsia" w:ascii="Times New Roman" w:hAnsi="Times New Roman"/>
          <w:sz w:val="24"/>
          <w:szCs w:val="24"/>
        </w:rPr>
      </w:pPr>
      <w:r>
        <w:rPr>
          <w:rFonts w:hint="eastAsia" w:ascii="Times New Roman" w:hAnsi="Times New Roman"/>
          <w:sz w:val="24"/>
          <w:szCs w:val="24"/>
        </w:rPr>
        <w:t xml:space="preserve">（3）响应报价低于采购项目最高限价45%的，即响应报价&lt;采购项目最高限价×45%；</w:t>
      </w:r>
      <w:r/>
    </w:p>
    <w:p>
      <w:pPr>
        <w:ind w:firstLine="480"/>
        <w:spacing w:line="480" w:lineRule="exact"/>
        <w:rPr>
          <w:rFonts w:hint="eastAsia" w:ascii="Times New Roman" w:hAnsi="Times New Roman"/>
          <w:sz w:val="24"/>
          <w:szCs w:val="24"/>
        </w:rPr>
      </w:pPr>
      <w:r>
        <w:rPr>
          <w:rFonts w:hint="eastAsia" w:ascii="Times New Roman" w:hAnsi="Times New Roman"/>
          <w:sz w:val="24"/>
          <w:szCs w:val="24"/>
        </w:rPr>
        <w:t xml:space="preserve">（4）评审委员会基于专业判断，认为供应商报价过低，有可能影响产品质量或者不能诚信履约的其他情形。</w:t>
      </w:r>
      <w:r/>
    </w:p>
    <w:p>
      <w:pPr>
        <w:ind w:firstLine="480"/>
        <w:spacing w:line="480" w:lineRule="exact"/>
        <w:rPr>
          <w:rFonts w:hint="eastAsia" w:ascii="Times New Roman" w:hAnsi="Times New Roman"/>
          <w:sz w:val="24"/>
          <w:szCs w:val="24"/>
        </w:rPr>
      </w:pPr>
      <w:r>
        <w:rPr>
          <w:rFonts w:hint="eastAsia" w:ascii="Times New Roman" w:hAnsi="Times New Roman"/>
          <w:sz w:val="24"/>
          <w:szCs w:val="24"/>
        </w:rPr>
        <w:t xml:space="preserve">17.9.2 评审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ind w:firstLine="480"/>
        <w:spacing w:line="480" w:lineRule="exact"/>
        <w:rPr>
          <w:rFonts w:hint="eastAsia" w:ascii="Times New Roman" w:hAnsi="Times New Roman" w:cs="仿宋"/>
          <w:sz w:val="24"/>
        </w:rPr>
      </w:pPr>
      <w:r>
        <w:rPr>
          <w:rFonts w:hint="eastAsia" w:ascii="Times New Roman" w:hAnsi="Times New Roman"/>
          <w:sz w:val="24"/>
          <w:szCs w:val="24"/>
        </w:rPr>
        <w:t xml:space="preserve">评审委员会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bookmarkEnd w:id="63"/>
      <w:r/>
      <w:r/>
    </w:p>
    <w:p>
      <w:pPr>
        <w:ind w:firstLine="480"/>
        <w:spacing w:line="480" w:lineRule="exact"/>
        <w:tabs>
          <w:tab w:val="left" w:pos="900" w:leader="none"/>
        </w:tabs>
        <w:rPr>
          <w:rFonts w:ascii="Times New Roman" w:hAnsi="Times New Roman"/>
          <w:sz w:val="24"/>
          <w:szCs w:val="24"/>
        </w:rPr>
      </w:pPr>
      <w:r/>
      <w:bookmarkStart w:id="64" w:name="_Toc141869966"/>
      <w:r>
        <w:rPr>
          <w:rFonts w:hint="eastAsia" w:ascii="Times New Roman" w:hAnsi="Times New Roman"/>
          <w:bCs/>
          <w:sz w:val="24"/>
          <w:szCs w:val="21"/>
        </w:rPr>
        <w:t xml:space="preserve">17.10推荐成交候选供应商</w:t>
      </w:r>
      <w:r/>
    </w:p>
    <w:p>
      <w:pPr>
        <w:ind w:firstLine="477"/>
        <w:spacing w:after="120" w:line="480" w:lineRule="exact"/>
        <w:tabs>
          <w:tab w:val="left" w:pos="900" w:leader="none"/>
        </w:tabs>
        <w:rPr>
          <w:rFonts w:ascii="Times New Roman" w:hAnsi="Times New Roman" w:cs="仿宋"/>
          <w:sz w:val="24"/>
        </w:rPr>
      </w:pPr>
      <w:r/>
      <w:bookmarkStart w:id="65" w:name="OLE_LINK5"/>
      <w:r>
        <w:rPr>
          <w:rFonts w:hint="eastAsia" w:ascii="Times New Roman" w:hAnsi="Times New Roman" w:cs="仿宋"/>
          <w:sz w:val="24"/>
        </w:rPr>
        <w:t xml:space="preserve">磋商小组根据综合评分情况，按照评审得分由高到低顺序推荐3名成交候选供应商，并编写评审报告</w:t>
      </w:r>
      <w:bookmarkEnd w:id="65"/>
      <w:r>
        <w:rPr>
          <w:rFonts w:hint="eastAsia" w:ascii="Times New Roman" w:hAnsi="Times New Roman" w:cs="仿宋"/>
          <w:sz w:val="24"/>
        </w:rPr>
        <w:t xml:space="preserve">。符合本磋商文件17.8.6情形的，可以推荐2名成交候选供应商。评审得分相同的，按照最后报价由低到高的顺序推荐。评审得分且最后报价相同的，按照技术指标优劣顺序推荐。</w:t>
      </w:r>
      <w:r/>
    </w:p>
    <w:p>
      <w:pPr>
        <w:pStyle w:val="796"/>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六、无效响应、采购活动终止、</w:t>
      </w:r>
      <w:bookmarkEnd w:id="64"/>
      <w:r>
        <w:rPr>
          <w:rFonts w:hint="eastAsia" w:ascii="黑体" w:hAnsi="黑体" w:eastAsia="黑体" w:cs="黑体"/>
          <w:sz w:val="32"/>
        </w:rPr>
        <w:t xml:space="preserve">恶意串通及取消成交候选资格情形</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18、无效响应情形</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18.1供应商同一采购包提交两个以上（含两个）不同的响应文件或者最后报价的。</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18.2供应商不符合磋商文件规定资格要求的或响应文件未按规定提交资质证件的。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18.3供应商的报价超过了采购预算或最高限价的。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18.4响应文件未通过符合性审查的。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18.5响应文件出现重大偏离，不符合磋商文件中规定的实质性要求的（★部分为实质性要求）。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18.6响应文件未按照磋商文件要求加盖CA电子公章的。</w:t>
      </w:r>
      <w:r/>
    </w:p>
    <w:p>
      <w:pPr>
        <w:ind w:firstLine="480"/>
        <w:spacing w:line="480" w:lineRule="exact"/>
        <w:rPr>
          <w:rFonts w:hint="eastAsia" w:ascii="Times New Roman" w:hAnsi="Times New Roman" w:cs="仿宋"/>
          <w:sz w:val="24"/>
        </w:rPr>
      </w:pPr>
      <w:r/>
      <w:bookmarkStart w:id="66" w:name="_Hlk204074427"/>
      <w:r>
        <w:rPr>
          <w:rFonts w:hint="eastAsia" w:ascii="Times New Roman" w:hAnsi="Times New Roman" w:cs="仿宋"/>
          <w:sz w:val="24"/>
        </w:rPr>
        <w:t xml:space="preserve">18.7磋商小组启动异常低价响应审查后，供应商不提供书面说明、证明材料，或者磋商小组认为供应商提供的书面说明、证明材料不能证明其最后报价合理性的。</w:t>
      </w:r>
      <w:bookmarkEnd w:id="66"/>
      <w:r/>
      <w:r/>
    </w:p>
    <w:p>
      <w:pPr>
        <w:ind w:firstLine="482"/>
        <w:spacing w:line="480" w:lineRule="exact"/>
        <w:rPr>
          <w:rFonts w:ascii="Times New Roman" w:hAnsi="Times New Roman" w:cs="仿宋"/>
          <w:sz w:val="24"/>
        </w:rPr>
      </w:pPr>
      <w:r>
        <w:rPr>
          <w:rFonts w:hint="eastAsia" w:ascii="Times New Roman" w:hAnsi="Times New Roman" w:cs="仿宋"/>
          <w:sz w:val="24"/>
        </w:rPr>
        <w:t xml:space="preserve">18.8响应文件含有采购人不能接受的附加条件的。</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18.9供应商有本磋商文件规定的恶意串通情形的。</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18.10法律、法规规定的其它情况。</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19、采购活动终止情形</w:t>
      </w:r>
      <w:r/>
    </w:p>
    <w:p>
      <w:pPr>
        <w:ind w:firstLine="482"/>
        <w:spacing w:line="480" w:lineRule="exact"/>
        <w:rPr>
          <w:rFonts w:ascii="Times New Roman" w:hAnsi="Times New Roman" w:cs="仿宋"/>
          <w:bCs/>
          <w:sz w:val="24"/>
        </w:rPr>
      </w:pPr>
      <w:r>
        <w:rPr>
          <w:rFonts w:hint="eastAsia" w:ascii="Times New Roman" w:hAnsi="Times New Roman" w:cs="仿宋"/>
          <w:bCs/>
          <w:sz w:val="24"/>
        </w:rPr>
        <w:t xml:space="preserve">19.1因情况变化，不再符合规定的竞争性磋商采购方式适用情形的；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19.2符合专业条件的供应商或者对磋商文件作实质响应的供应商不足3家的（符合17.8.6情形除外）。</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19.3出现影响采购公正的违法、违规行为的。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19.4因重大变故，采购任务取消的。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19.5磋商小组认定磋商文件存在歧义、重大缺陷导致评审工作无法进行。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19.6在苏采云系统规定时间内成功解密电子响应文件的供应商不足3家的。</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20、恶意串通情形</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20.1供应商直接或间接从采购人或采购代理机构处获得其他供应商的相关情况并修改其响应文件；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20.2供应商接受采购人或采购代理机构授意撤换、修改响应文件；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20.3供应商之间协商报价、技术方案等响应文件实质性内容；</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20.4属于同一集团、协会、商会等组织成员的供应商按照该组织要求协同参与政府采购活动的；</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20.5不同供应商的电子响应文件由同一台电子设备编制、打包、加密或者上传；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20.6供应商之间事先约定由某一特定供应商成交；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20.7供应商之间商定部分供应商放弃参加政府采购活动或者放弃成交；</w:t>
      </w:r>
      <w:r/>
    </w:p>
    <w:p>
      <w:pPr>
        <w:ind w:firstLine="482"/>
        <w:spacing w:line="480" w:lineRule="exact"/>
        <w:rPr>
          <w:rFonts w:ascii="Times New Roman" w:hAnsi="Times New Roman" w:cs="仿宋"/>
          <w:sz w:val="24"/>
        </w:rPr>
      </w:pPr>
      <w:r>
        <w:rPr>
          <w:rFonts w:hint="eastAsia" w:ascii="Times New Roman" w:hAnsi="Times New Roman" w:cs="仿宋"/>
          <w:sz w:val="24"/>
        </w:rPr>
        <w:t xml:space="preserve">20.8供应商与采购人或采购代理机构之间、供应商相互之间为谋求特定供应商成交或者排斥其他供应商的其他串通行为。</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21、</w:t>
      </w:r>
      <w:bookmarkStart w:id="67" w:name="OLE_LINK2"/>
      <w:r>
        <w:rPr>
          <w:rFonts w:hint="eastAsia" w:ascii="Times New Roman" w:hAnsi="Times New Roman" w:cs="仿宋"/>
          <w:b/>
          <w:sz w:val="24"/>
        </w:rPr>
        <w:t xml:space="preserve">取消成交（候选）供应商资格</w:t>
      </w:r>
      <w:bookmarkEnd w:id="67"/>
      <w:r>
        <w:rPr>
          <w:rFonts w:hint="eastAsia" w:ascii="Times New Roman" w:hAnsi="Times New Roman" w:cs="仿宋"/>
          <w:b/>
          <w:sz w:val="24"/>
        </w:rPr>
        <w:t xml:space="preserve">条款</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21.1提供虚假材料谋取成交的；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21.2采取不正当手段诋毁、排挤其他供应商的；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21.3与采购人、其他供应商或者采购代理机构恶意串通的；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21.4向采购人、采购代理机构行贿或者提供其他不正当利益的；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21.5未在规定时间内与采购人签订采购合同的；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21.6法律、法规规定的其它情况。</w:t>
      </w:r>
      <w:r/>
    </w:p>
    <w:p>
      <w:pPr>
        <w:pStyle w:val="796"/>
        <w:ind w:firstLine="320"/>
        <w:spacing w:before="0" w:after="0" w:line="520" w:lineRule="exact"/>
        <w:rPr>
          <w:rFonts w:hint="eastAsia" w:ascii="黑体" w:hAnsi="黑体" w:eastAsia="黑体" w:cs="黑体"/>
          <w:sz w:val="32"/>
        </w:rPr>
      </w:pPr>
      <w:r/>
      <w:bookmarkStart w:id="68" w:name="_Toc141869968"/>
      <w:r>
        <w:rPr>
          <w:rFonts w:hint="eastAsia" w:ascii="黑体" w:hAnsi="黑体" w:eastAsia="黑体" w:cs="黑体"/>
          <w:sz w:val="32"/>
        </w:rPr>
        <w:t xml:space="preserve">七、成交及合同签订</w:t>
      </w:r>
      <w:bookmarkEnd w:id="68"/>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22、确定成交供应商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22.1采购人应当在收到评审报告后5个工作日内，从评审报告提出的成交候选供应商中，按照排序由高到低的原则确定成交供应商。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22.2在成交供应商确定后2个工作日内，采购人或采购代理机构将在财政部门指定信息媒体上发布成交结果公告，公告期限为1个工作日。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22.3采购人确定正被列为失信被执行人的供应商为成交人的，成交结果无效。</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23、成交通知书</w:t>
      </w:r>
      <w:r/>
    </w:p>
    <w:p>
      <w:pPr>
        <w:ind w:firstLine="482"/>
        <w:spacing w:line="480" w:lineRule="exact"/>
        <w:rPr>
          <w:rFonts w:ascii="Times New Roman" w:hAnsi="Times New Roman" w:cs="仿宋"/>
          <w:sz w:val="24"/>
        </w:rPr>
      </w:pPr>
      <w:r>
        <w:rPr>
          <w:rFonts w:hint="eastAsia" w:ascii="Times New Roman" w:hAnsi="Times New Roman" w:cs="仿宋"/>
          <w:sz w:val="24"/>
        </w:rPr>
        <w:t xml:space="preserve">23.1在公告成交结果的同时，采购代理机构向成交供应商发出成交通知书。成交供应商使用CA数字证书登录“苏采云”系统及时下载成交通知书。</w:t>
      </w:r>
      <w:r/>
    </w:p>
    <w:p>
      <w:pPr>
        <w:ind w:firstLine="482"/>
        <w:spacing w:line="480" w:lineRule="exact"/>
        <w:rPr>
          <w:rFonts w:ascii="Times New Roman" w:hAnsi="Times New Roman" w:cs="仿宋"/>
          <w:sz w:val="24"/>
        </w:rPr>
      </w:pPr>
      <w:r>
        <w:rPr>
          <w:rFonts w:hint="eastAsia" w:ascii="Times New Roman" w:hAnsi="Times New Roman" w:cs="仿宋"/>
          <w:sz w:val="24"/>
        </w:rPr>
        <w:t xml:space="preserve">23.2</w:t>
      </w:r>
      <w:r>
        <w:rPr>
          <w:rFonts w:hint="eastAsia" w:ascii="宋体" w:hAnsi="宋体"/>
          <w:sz w:val="24"/>
          <w:szCs w:val="24"/>
        </w:rPr>
        <w:t xml:space="preserve">成交通知书发出后，采购人改变成交结果的或者成交供应商放弃成交项目的，应当依法承担法律责任。</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24、签订和公告合同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24.1采购人与成交供应商应当在成交通知书发出之日起30日内，</w:t>
      </w:r>
      <w:r>
        <w:rPr>
          <w:rFonts w:hint="eastAsia" w:ascii="宋体" w:hAnsi="宋体"/>
          <w:sz w:val="24"/>
          <w:szCs w:val="24"/>
        </w:rPr>
        <w:t xml:space="preserve">按照磋商文件确定的事项与采购人签订政府采购合同。</w:t>
      </w:r>
      <w:r>
        <w:rPr>
          <w:rFonts w:hint="eastAsia" w:ascii="Times New Roman" w:hAnsi="Times New Roman" w:cs="仿宋"/>
          <w:sz w:val="24"/>
        </w:rPr>
        <w:t xml:space="preserve">竞争性磋商文件、成交供应商的响应文件以及磋商过程中有关澄清文件均作为合同附件。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24.3采购人在自合同签订之日起2个工作日内，将合同在指定的媒体上公告。</w:t>
      </w:r>
      <w:r/>
    </w:p>
    <w:p>
      <w:pPr>
        <w:ind w:firstLine="482"/>
        <w:spacing w:line="480" w:lineRule="exact"/>
        <w:rPr>
          <w:rFonts w:ascii="Times New Roman" w:hAnsi="Times New Roman" w:cs="仿宋"/>
          <w:b/>
          <w:sz w:val="24"/>
        </w:rPr>
      </w:pPr>
      <w:r/>
      <w:bookmarkStart w:id="69" w:name="_Toc141869969"/>
      <w:r>
        <w:rPr>
          <w:rFonts w:hint="eastAsia" w:ascii="Times New Roman" w:hAnsi="Times New Roman" w:cs="仿宋"/>
          <w:b/>
          <w:sz w:val="24"/>
        </w:rPr>
        <w:t xml:space="preserve">25、履约保证金</w:t>
      </w:r>
      <w:r/>
    </w:p>
    <w:p>
      <w:pPr>
        <w:ind w:firstLine="480"/>
        <w:spacing w:line="480" w:lineRule="exact"/>
        <w:rPr>
          <w:rFonts w:ascii="Times New Roman" w:hAnsi="Times New Roman" w:cs="仿宋"/>
          <w:sz w:val="24"/>
          <w:lang w:val="zh-CN"/>
        </w:rPr>
      </w:pPr>
      <w:r>
        <w:rPr>
          <w:rFonts w:hint="eastAsia" w:ascii="Times New Roman" w:hAnsi="Times New Roman" w:cs="仿宋"/>
          <w:sz w:val="24"/>
          <w:lang w:val="zh-CN"/>
        </w:rPr>
        <w:t xml:space="preserve">按照以下第</w:t>
      </w:r>
      <w:r>
        <w:rPr>
          <w:rFonts w:hint="eastAsia" w:ascii="Times New Roman" w:hAnsi="Times New Roman" w:cs="仿宋"/>
          <w:b/>
          <w:bCs/>
          <w:sz w:val="24"/>
          <w:u w:val="single"/>
        </w:rPr>
        <w:t xml:space="preserve">（1）</w:t>
      </w:r>
      <w:r>
        <w:rPr>
          <w:rFonts w:hint="eastAsia" w:ascii="Times New Roman" w:hAnsi="Times New Roman" w:cs="仿宋"/>
          <w:sz w:val="24"/>
          <w:lang w:val="zh-CN"/>
        </w:rPr>
        <w:t xml:space="preserve">方式确定履约保证</w:t>
      </w:r>
      <w:r>
        <w:rPr>
          <w:rFonts w:hint="eastAsia" w:ascii="Times New Roman" w:hAnsi="Times New Roman" w:cs="仿宋"/>
          <w:sz w:val="24"/>
        </w:rPr>
        <w:t xml:space="preserve">金</w:t>
      </w:r>
      <w:r>
        <w:rPr>
          <w:rFonts w:hint="eastAsia" w:ascii="Times New Roman" w:hAnsi="Times New Roman" w:cs="仿宋"/>
          <w:sz w:val="24"/>
          <w:lang w:val="zh-CN"/>
        </w:rPr>
        <w:t xml:space="preserve">收取方式。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（1）本项目不收取履约保证金。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（2）本项目收取履约保证金。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25.1履约保证金提交形式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25.2履约保证金提交金额</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按采购合同总价的</w:t>
      </w:r>
      <w:r>
        <w:rPr>
          <w:rFonts w:hint="eastAsia" w:ascii="Times New Roman" w:hAnsi="Times New Roman" w:cs="仿宋"/>
          <w:sz w:val="24"/>
          <w:u w:val="single"/>
        </w:rPr>
        <w:t xml:space="preserve"> / </w:t>
      </w:r>
      <w:r>
        <w:rPr>
          <w:rFonts w:hint="eastAsia" w:ascii="Times New Roman" w:hAnsi="Times New Roman" w:cs="仿宋"/>
          <w:sz w:val="24"/>
        </w:rPr>
        <w:t xml:space="preserve">%提交。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支持和鼓励成交供应商使用江苏政府采购电子履约保函（保险）代替缴纳履约保证金，成交供应商如使用江苏政府采购电子履约保函（保险）的，可按采购合同总价的</w:t>
      </w:r>
      <w:r>
        <w:rPr>
          <w:rFonts w:hint="eastAsia" w:ascii="Times New Roman" w:hAnsi="Times New Roman" w:cs="仿宋"/>
          <w:sz w:val="24"/>
          <w:u w:val="single"/>
        </w:rPr>
        <w:t xml:space="preserve"> / </w:t>
      </w:r>
      <w:r>
        <w:rPr>
          <w:rFonts w:hint="eastAsia" w:ascii="Times New Roman" w:hAnsi="Times New Roman" w:cs="仿宋"/>
          <w:sz w:val="24"/>
        </w:rPr>
        <w:t xml:space="preserve">% 提交。</w:t>
      </w:r>
      <w:bookmarkStart w:id="70" w:name="_Hlk187842952"/>
      <w:r>
        <w:rPr>
          <w:rFonts w:hint="eastAsia" w:ascii="Times New Roman" w:hAnsi="Times New Roman" w:cs="仿宋"/>
          <w:sz w:val="24"/>
        </w:rPr>
        <w:t xml:space="preserve">办理流程、偿付等内容见江苏政府采购网“保险保函”模块。</w:t>
      </w:r>
      <w:bookmarkEnd w:id="70"/>
      <w:r/>
      <w:r/>
    </w:p>
    <w:p>
      <w:pPr>
        <w:ind w:firstLine="480"/>
        <w:spacing w:line="480" w:lineRule="exact"/>
        <w:rPr>
          <w:rFonts w:ascii="Times New Roman" w:hAnsi="Times New Roman" w:cs="仿宋"/>
          <w:sz w:val="24"/>
        </w:rPr>
      </w:pPr>
      <w:r>
        <w:rPr>
          <w:rFonts w:hint="eastAsia" w:ascii="Times New Roman" w:hAnsi="Times New Roman" w:cs="仿宋"/>
          <w:sz w:val="24"/>
        </w:rPr>
        <w:t xml:space="preserve">25.3履约保证金退还方式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25.4履约保证金退还条件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具有验收合格相关证明材料。</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25.5履约保证金退还时间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采购人收到成交供应商退付申请后5个工作日内退还。</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25.6履约保证金不予退还情形</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除不可抗力外，成交供应商不履行与采购人订立的采购合同的，履约保证金不予退还，给采购人造成的损失超过履约保证金数额的，还应对超过部分予以赔偿。</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25.7逾期退还履约保证金违约责任</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采购人逾期退还履约保证金的，除应退还履约保证金外，还应按中国人民银行同期贷款基准利率上浮20％后的利率支付超期资金占用费，但因成交供应商自身原因导致无法及时退还的除外。</w:t>
      </w:r>
      <w:r/>
    </w:p>
    <w:p>
      <w:pPr>
        <w:ind w:firstLine="482"/>
        <w:spacing w:line="480" w:lineRule="exact"/>
        <w:rPr>
          <w:rFonts w:ascii="Times New Roman" w:hAnsi="Times New Roman" w:cs="仿宋"/>
          <w:b/>
          <w:bCs/>
          <w:sz w:val="24"/>
          <w:szCs w:val="24"/>
        </w:rPr>
      </w:pPr>
      <w:r>
        <w:rPr>
          <w:rFonts w:hint="eastAsia" w:ascii="Times New Roman" w:hAnsi="Times New Roman" w:cs="仿宋"/>
          <w:b/>
          <w:sz w:val="24"/>
        </w:rPr>
        <w:t xml:space="preserve">26、线上融资</w:t>
      </w:r>
      <w:r/>
    </w:p>
    <w:p>
      <w:pPr>
        <w:ind w:firstLine="480"/>
        <w:spacing w:line="480" w:lineRule="exact"/>
        <w:rPr>
          <w:rFonts w:ascii="Times New Roman" w:hAnsi="Times New Roman" w:cs="仿宋"/>
          <w:b/>
          <w:bCs/>
          <w:sz w:val="24"/>
          <w:szCs w:val="24"/>
        </w:rPr>
      </w:pPr>
      <w:r>
        <w:rPr>
          <w:rFonts w:hint="eastAsia" w:ascii="宋体" w:hAnsi="宋体"/>
          <w:bCs/>
          <w:sz w:val="24"/>
          <w:szCs w:val="24"/>
        </w:rPr>
        <w:t xml:space="preserve">成交供应商可凭政府采购合同办理融资贷款，详情见江苏政府采购网“政采贷”专栏。</w:t>
      </w:r>
      <w:r/>
    </w:p>
    <w:p>
      <w:pPr>
        <w:ind w:firstLine="482"/>
        <w:spacing w:line="480" w:lineRule="exact"/>
        <w:rPr>
          <w:rFonts w:ascii="Times New Roman" w:hAnsi="Times New Roman" w:cs="仿宋"/>
          <w:sz w:val="24"/>
        </w:rPr>
      </w:pPr>
      <w:r>
        <w:rPr>
          <w:rFonts w:hint="eastAsia" w:ascii="Times New Roman" w:hAnsi="Times New Roman" w:cs="仿宋"/>
          <w:b/>
          <w:sz w:val="24"/>
        </w:rPr>
        <w:t xml:space="preserve">27、合同履行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27.1政府采购合同订立后，合同各方不得擅自变更、中止或者终止合同。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69"/>
      <w:r/>
      <w:r/>
    </w:p>
    <w:p>
      <w:pPr>
        <w:pStyle w:val="796"/>
        <w:ind w:firstLine="320"/>
        <w:spacing w:before="0" w:after="0" w:line="520" w:lineRule="exact"/>
        <w:rPr>
          <w:rFonts w:hint="eastAsia" w:ascii="黑体" w:hAnsi="黑体" w:eastAsia="黑体" w:cs="黑体"/>
          <w:sz w:val="32"/>
        </w:rPr>
      </w:pPr>
      <w:r/>
      <w:bookmarkStart w:id="71" w:name="_Toc141869970"/>
      <w:r>
        <w:rPr>
          <w:rFonts w:hint="eastAsia" w:ascii="黑体" w:hAnsi="黑体" w:eastAsia="黑体" w:cs="黑体"/>
          <w:sz w:val="32"/>
        </w:rPr>
        <w:t xml:space="preserve">八、质疑与投诉</w:t>
      </w:r>
      <w:bookmarkEnd w:id="71"/>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28、质疑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28.1供应商认为采购文件、采购过程和成交结果使自己的权益受到损害的，可以在知道或者应知其权益受到损害之日起七个工作日内，</w:t>
      </w:r>
      <w:r>
        <w:rPr>
          <w:rFonts w:hint="eastAsia" w:ascii="Times New Roman" w:hAnsi="Times New Roman" w:cs="仿宋"/>
          <w:b/>
          <w:bCs/>
          <w:sz w:val="24"/>
        </w:rPr>
        <w:t xml:space="preserve">通过 CA 数字证书登录“苏采云”系统，从“项目质疑申请”模块向采购人提出质疑。</w:t>
      </w:r>
      <w:r>
        <w:rPr>
          <w:rFonts w:hint="eastAsia" w:ascii="Times New Roman" w:hAnsi="Times New Roman" w:cs="仿宋"/>
          <w:sz w:val="24"/>
        </w:rPr>
        <w:t xml:space="preserve">质疑联系部门、联系电话、通讯地址详见采购公告。</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28.2供应商应知其权益受到损害之日，是指：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（1）对本项目采购文件提出质疑的，为获取采购文件之日或者采购文件公告期限届满之日；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（2）对本项目采购过程提出质疑的，为各采购程序环节结束之日；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（3）对本项目中标或者成交结果提出质疑的，为中标或者成交结果公告期限届满之日。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28.3 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28.4供应商提出质疑应当提交质疑函和必要的证明材料。质疑函的必备内容：</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（1）供应商的姓名或者名称、地址、邮编、联系人及联系电话；</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（2）质疑项目的名称、编号；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（3）获取采购文件的时间；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（4）具体、明确的质疑事项和质疑事项相关的请求；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（5）事实依据；</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（6）必要的法律依据；</w:t>
      </w:r>
      <w:r/>
    </w:p>
    <w:p>
      <w:pPr>
        <w:ind w:firstLine="480"/>
        <w:spacing w:line="480" w:lineRule="exact"/>
        <w:rPr>
          <w:rFonts w:ascii="Times New Roman" w:hAnsi="Times New Roman" w:cs="仿宋"/>
          <w:sz w:val="24"/>
        </w:rPr>
      </w:pPr>
      <w:r>
        <w:rPr>
          <w:rFonts w:hint="eastAsia" w:ascii="Times New Roman" w:hAnsi="Times New Roman" w:cs="仿宋"/>
          <w:sz w:val="24"/>
        </w:rPr>
        <w:t xml:space="preserve">（7）提出质疑的日期；</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（8）供应商为自然人的，由本人签字；供应商为法人或者其他组织的，应当由法定代表人、主要负责人，或者其授权代表签字或者盖章，并盖公章。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28.5采购人、采购代理机构在收到质疑函后7个工作日内作出答复，并以书面形式通知质疑供应商和其他有关供应商，但质疑答复的内容不涉及商业秘密。</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29、投诉</w:t>
      </w:r>
      <w:r/>
    </w:p>
    <w:p>
      <w:pPr>
        <w:ind w:firstLine="482"/>
        <w:spacing w:line="480" w:lineRule="exact"/>
        <w:rPr>
          <w:rFonts w:ascii="Times New Roman" w:hAnsi="Times New Roman" w:cs="仿宋"/>
          <w:sz w:val="24"/>
        </w:rPr>
      </w:pPr>
      <w:r>
        <w:rPr>
          <w:rFonts w:hint="eastAsia" w:ascii="Times New Roman" w:hAnsi="Times New Roman" w:cs="仿宋"/>
          <w:sz w:val="24"/>
        </w:rPr>
        <w:t xml:space="preserve">质疑供应商对采购人、采购代理机构的答复不满意，或者采购人、采购代理机构未在规定时间内作出答复的，可以在答复期满后15个工作日内向同级财政部门提起投诉。</w:t>
      </w:r>
      <w:r/>
    </w:p>
    <w:p>
      <w:pPr>
        <w:rPr>
          <w:rFonts w:hint="eastAsia" w:ascii="仿宋" w:hAnsi="仿宋" w:eastAsia="仿宋" w:cs="仿宋"/>
        </w:rPr>
      </w:pPr>
      <w:r>
        <w:rPr>
          <w:rFonts w:hint="eastAsia" w:ascii="仿宋" w:hAnsi="仿宋" w:eastAsia="仿宋" w:cs="仿宋"/>
        </w:rPr>
        <w:br w:type="page" w:clear="all"/>
      </w:r>
      <w:r/>
    </w:p>
    <w:p>
      <w:pPr>
        <w:pStyle w:val="795"/>
        <w:jc w:val="center"/>
        <w:spacing w:before="200"/>
        <w:rPr>
          <w:rFonts w:ascii="Times New Roman" w:hAnsi="Times New Roman" w:eastAsia="黑体"/>
          <w:sz w:val="44"/>
        </w:rPr>
      </w:pPr>
      <w:r/>
      <w:bookmarkStart w:id="72" w:name="_Toc14692"/>
      <w:r/>
      <w:bookmarkStart w:id="73" w:name="_Toc3418"/>
      <w:r/>
      <w:bookmarkStart w:id="74" w:name="_Toc141869971"/>
      <w:r/>
      <w:bookmarkStart w:id="75" w:name="_Toc21941"/>
      <w:r>
        <w:rPr>
          <w:rFonts w:hint="eastAsia" w:ascii="Times New Roman" w:hAnsi="Times New Roman" w:eastAsia="黑体"/>
          <w:sz w:val="44"/>
        </w:rPr>
        <w:t xml:space="preserve">第三章  </w:t>
      </w:r>
      <w:bookmarkEnd w:id="72"/>
      <w:r/>
      <w:bookmarkEnd w:id="73"/>
      <w:r/>
      <w:bookmarkEnd w:id="74"/>
      <w:r>
        <w:rPr>
          <w:rFonts w:hint="eastAsia" w:ascii="Times New Roman" w:hAnsi="Times New Roman" w:eastAsia="黑体"/>
          <w:sz w:val="44"/>
        </w:rPr>
        <w:t xml:space="preserve">评审方法与评审标准</w:t>
      </w:r>
      <w:bookmarkEnd w:id="75"/>
      <w:r/>
      <w:r/>
    </w:p>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一、资格审查</w:t>
      </w:r>
      <w:r/>
    </w:p>
    <w:p>
      <w:pPr>
        <w:ind w:firstLine="480"/>
        <w:jc w:val="left"/>
        <w:spacing w:line="480" w:lineRule="exact"/>
        <w:rPr>
          <w:rFonts w:ascii="Times New Roman" w:hAnsi="Times New Roman" w:cs="仿宋"/>
          <w:sz w:val="24"/>
        </w:rPr>
      </w:pPr>
      <w:r>
        <w:rPr>
          <w:rFonts w:hint="eastAsia"/>
          <w:sz w:val="24"/>
          <w:szCs w:val="28"/>
        </w:rPr>
        <w:t xml:space="preserve">资格审查人员按照下列指标对各供应商的资格进行审查，未通过审查的为无效标，不参与评审。</w:t>
      </w:r>
      <w:r/>
    </w:p>
    <w:tbl>
      <w:tblPr>
        <w:tblStyle w:val="745"/>
        <w:tblW w:w="8668" w:type="dxa"/>
        <w:tblInd w:w="-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W w:w="4422"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资格审查因素</w:t>
            </w:r>
            <w:r/>
          </w:p>
        </w:tc>
        <w:tc>
          <w:tcPr>
            <w:tcW w:w="4246"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审查标准</w:t>
            </w:r>
            <w:r/>
          </w:p>
        </w:tc>
      </w:tr>
      <w:tr>
        <w:trPr/>
        <w:tc>
          <w:tcPr>
            <w:tcW w:w="4422"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磋商响应函</w:t>
            </w:r>
            <w:r/>
          </w:p>
        </w:tc>
        <w:tc>
          <w:tcPr>
            <w:tcW w:w="4246"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符合磋商文件要求</w:t>
            </w:r>
            <w:r/>
          </w:p>
        </w:tc>
      </w:tr>
      <w:tr>
        <w:trPr/>
        <w:tc>
          <w:tcPr>
            <w:tcW w:w="4422"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信用信息</w:t>
            </w:r>
            <w:r/>
          </w:p>
        </w:tc>
        <w:tc>
          <w:tcPr>
            <w:tcW w:w="4246"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符合磋商文件要求</w:t>
            </w:r>
            <w:r/>
          </w:p>
        </w:tc>
      </w:tr>
      <w:tr>
        <w:trPr/>
        <w:tc>
          <w:tcPr>
            <w:shd w:val="clear" w:color="auto" w:fill="auto"/>
            <w:tcW w:w="4422" w:type="dxa"/>
            <w:vAlign w:val="center"/>
            <w:textDirection w:val="lrTb"/>
            <w:noWrap w:val="false"/>
          </w:tcPr>
          <w:p>
            <w:pPr>
              <w:jc w:val="center"/>
              <w:spacing w:line="480" w:lineRule="exact"/>
              <w:rPr>
                <w:rFonts w:hint="eastAsia" w:ascii="Times New Roman" w:hAnsi="Times New Roman" w:eastAsia="宋体" w:cs="仿宋"/>
                <w:sz w:val="21"/>
                <w:szCs w:val="22"/>
                <w:highlight w:val="none"/>
                <w:lang w:val="en-US" w:eastAsia="zh-CN" w:bidi="ar-SA"/>
              </w:rPr>
            </w:pPr>
            <w:r>
              <w:rPr>
                <w:rFonts w:hint="eastAsia" w:ascii="Times New Roman" w:hAnsi="Times New Roman" w:cs="仿宋"/>
                <w:highlight w:val="none"/>
              </w:rPr>
              <w:t xml:space="preserve">中小企业或残疾人福利性单位声明函，或监狱企业证明文件</w:t>
            </w:r>
            <w:r/>
          </w:p>
        </w:tc>
        <w:tc>
          <w:tcPr>
            <w:shd w:val="clear" w:color="auto" w:fill="auto"/>
            <w:tcW w:w="4246" w:type="dxa"/>
            <w:vAlign w:val="center"/>
            <w:textDirection w:val="lrTb"/>
            <w:noWrap w:val="false"/>
          </w:tcPr>
          <w:p>
            <w:pPr>
              <w:jc w:val="center"/>
              <w:spacing w:line="480" w:lineRule="exact"/>
              <w:rPr>
                <w:rFonts w:hint="eastAsia" w:ascii="Times New Roman" w:hAnsi="Times New Roman" w:eastAsia="宋体" w:cs="仿宋"/>
                <w:sz w:val="21"/>
                <w:szCs w:val="22"/>
                <w:highlight w:val="none"/>
                <w:lang w:val="en-US" w:eastAsia="zh-CN" w:bidi="ar-SA"/>
              </w:rPr>
            </w:pPr>
            <w:r>
              <w:rPr>
                <w:rFonts w:hint="eastAsia" w:ascii="Times New Roman" w:hAnsi="Times New Roman" w:cs="仿宋"/>
                <w:highlight w:val="none"/>
              </w:rPr>
              <w:t xml:space="preserve">符合磋商文件要求</w:t>
            </w:r>
            <w:r/>
          </w:p>
        </w:tc>
      </w:tr>
    </w:tbl>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二、符合性审查</w:t>
      </w:r>
      <w:r/>
    </w:p>
    <w:tbl>
      <w:tblPr>
        <w:tblStyle w:val="745"/>
        <w:tblpPr w:horzAnchor="page" w:tblpX="1388" w:vertAnchor="text" w:tblpY="944" w:leftFromText="180" w:topFromText="0" w:rightFromText="180" w:bottomFromText="0"/>
        <w:tblW w:w="86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W w:w="436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符合性审查因素</w:t>
            </w:r>
            <w:r/>
          </w:p>
        </w:tc>
        <w:tc>
          <w:tcPr>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审查标准</w:t>
            </w:r>
            <w:r/>
          </w:p>
        </w:tc>
      </w:tr>
      <w:tr>
        <w:trPr/>
        <w:tc>
          <w:tcPr>
            <w:tcW w:w="436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法人授权书</w:t>
            </w:r>
            <w:r/>
          </w:p>
        </w:tc>
        <w:tc>
          <w:tcPr>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符合磋商文件要求</w:t>
            </w:r>
            <w:r/>
          </w:p>
        </w:tc>
      </w:tr>
      <w:tr>
        <w:trPr/>
        <w:tc>
          <w:tcPr>
            <w:shd w:val="clear" w:color="auto" w:fill="auto"/>
            <w:tcW w:w="4364" w:type="dxa"/>
            <w:vAlign w:val="center"/>
            <w:textDirection w:val="lrTb"/>
            <w:noWrap w:val="false"/>
          </w:tcPr>
          <w:p>
            <w:pPr>
              <w:jc w:val="center"/>
              <w:spacing w:line="480" w:lineRule="exact"/>
              <w:rPr>
                <w:rFonts w:hint="default" w:ascii="Times New Roman" w:hAnsi="Times New Roman" w:eastAsia="宋体" w:cs="仿宋"/>
                <w:sz w:val="21"/>
                <w:szCs w:val="22"/>
                <w:lang w:val="en-US" w:eastAsia="zh-CN" w:bidi="ar-SA"/>
              </w:rPr>
            </w:pPr>
            <w:r>
              <w:rPr>
                <w:rFonts w:hint="eastAsia" w:ascii="Times New Roman" w:hAnsi="Times New Roman" w:cs="仿宋"/>
              </w:rPr>
              <w:t xml:space="preserve">磋商报价表及报价</w:t>
            </w:r>
            <w:r/>
          </w:p>
        </w:tc>
        <w:tc>
          <w:tcPr>
            <w:shd w:val="clear" w:color="auto" w:fill="auto"/>
            <w:tcW w:w="4304" w:type="dxa"/>
            <w:vAlign w:val="center"/>
            <w:textDirection w:val="lrTb"/>
            <w:noWrap w:val="false"/>
          </w:tcPr>
          <w:p>
            <w:pPr>
              <w:jc w:val="center"/>
              <w:spacing w:line="480" w:lineRule="exact"/>
              <w:rPr>
                <w:rFonts w:hint="default" w:ascii="Times New Roman" w:hAnsi="Times New Roman" w:eastAsia="宋体" w:cs="仿宋"/>
                <w:sz w:val="21"/>
                <w:szCs w:val="22"/>
                <w:lang w:val="en-US" w:eastAsia="zh-CN" w:bidi="ar-SA"/>
              </w:rPr>
            </w:pPr>
            <w:r>
              <w:rPr>
                <w:rFonts w:hint="eastAsia" w:ascii="Times New Roman" w:hAnsi="Times New Roman" w:cs="仿宋"/>
              </w:rPr>
              <w:t xml:space="preserve">符合磋商文件要求</w:t>
            </w:r>
            <w:r/>
          </w:p>
        </w:tc>
      </w:tr>
      <w:tr>
        <w:trPr/>
        <w:tc>
          <w:tcPr>
            <w:shd w:val="clear" w:color="auto" w:fill="auto"/>
            <w:tcW w:w="4364" w:type="dxa"/>
            <w:vAlign w:val="center"/>
            <w:textDirection w:val="lrTb"/>
            <w:noWrap w:val="false"/>
          </w:tcPr>
          <w:p>
            <w:pPr>
              <w:jc w:val="center"/>
              <w:spacing w:line="480" w:lineRule="exact"/>
              <w:rPr>
                <w:rFonts w:hint="eastAsia" w:ascii="Times New Roman" w:hAnsi="Times New Roman" w:eastAsia="宋体" w:cs="仿宋"/>
                <w:sz w:val="21"/>
                <w:szCs w:val="22"/>
                <w:lang w:val="en-US" w:eastAsia="zh-CN" w:bidi="ar-SA"/>
              </w:rPr>
            </w:pPr>
            <w:r>
              <w:rPr>
                <w:rFonts w:hint="eastAsia" w:ascii="Times New Roman" w:hAnsi="Times New Roman" w:cs="仿宋"/>
              </w:rPr>
              <w:t xml:space="preserve">其他</w:t>
            </w:r>
            <w:r/>
          </w:p>
        </w:tc>
        <w:tc>
          <w:tcPr>
            <w:shd w:val="clear" w:color="auto" w:fill="auto"/>
            <w:tcW w:w="4304" w:type="dxa"/>
            <w:vAlign w:val="center"/>
            <w:textDirection w:val="lrTb"/>
            <w:noWrap w:val="false"/>
          </w:tcPr>
          <w:p>
            <w:pPr>
              <w:jc w:val="center"/>
              <w:spacing w:line="480" w:lineRule="exact"/>
              <w:rPr>
                <w:rFonts w:hint="eastAsia" w:ascii="Times New Roman" w:hAnsi="Times New Roman" w:eastAsia="宋体" w:cs="仿宋"/>
                <w:sz w:val="21"/>
                <w:szCs w:val="22"/>
                <w:lang w:val="en-US" w:eastAsia="zh-CN" w:bidi="ar-SA"/>
              </w:rPr>
            </w:pPr>
            <w:r>
              <w:rPr>
                <w:rFonts w:hint="eastAsia" w:ascii="Times New Roman" w:hAnsi="Times New Roman" w:cs="仿宋"/>
              </w:rPr>
              <w:t xml:space="preserve">符合磋商文件要求</w:t>
            </w:r>
            <w:r/>
          </w:p>
        </w:tc>
      </w:tr>
    </w:tbl>
    <w:p>
      <w:pPr>
        <w:ind w:firstLine="480"/>
        <w:jc w:val="left"/>
        <w:spacing w:line="480" w:lineRule="exact"/>
        <w:rPr>
          <w:rFonts w:ascii="方正仿宋_GBK" w:eastAsia="方正仿宋_GBK"/>
          <w:sz w:val="24"/>
        </w:rPr>
      </w:pPr>
      <w:r>
        <w:rPr>
          <w:rFonts w:hint="eastAsia"/>
          <w:sz w:val="24"/>
          <w:szCs w:val="28"/>
        </w:rPr>
        <w:t xml:space="preserve">磋商小组对符合资格的供应商的响应文件进行符合性审查，未通过审查的为无效标，不再参与评审。</w:t>
      </w:r>
      <w:r/>
    </w:p>
    <w:p>
      <w:pPr>
        <w:ind w:firstLine="482"/>
        <w:jc w:val="left"/>
        <w:spacing w:line="480" w:lineRule="exact"/>
        <w:rPr>
          <w:rFonts w:ascii="Times New Roman" w:hAnsi="Times New Roman" w:cs="仿宋"/>
          <w:b/>
          <w:sz w:val="24"/>
        </w:rPr>
      </w:pPr>
      <w:r>
        <w:rPr>
          <w:rFonts w:hint="eastAsia" w:ascii="Times New Roman" w:hAnsi="Times New Roman" w:cs="仿宋"/>
          <w:sz w:val="24"/>
        </w:rPr>
        <w:t xml:space="preserve">三</w:t>
      </w:r>
      <w:r>
        <w:rPr>
          <w:rFonts w:ascii="Times New Roman" w:hAnsi="Times New Roman" w:cs="仿宋"/>
          <w:sz w:val="24"/>
        </w:rPr>
        <w:t xml:space="preserve">、</w:t>
      </w:r>
      <w:r>
        <w:rPr>
          <w:rFonts w:hint="eastAsia" w:ascii="Times New Roman" w:hAnsi="Times New Roman" w:cs="仿宋"/>
          <w:b/>
          <w:sz w:val="24"/>
        </w:rPr>
        <w:t xml:space="preserve">评审方法</w:t>
      </w:r>
      <w:r/>
    </w:p>
    <w:p>
      <w:pPr>
        <w:ind w:firstLine="482"/>
        <w:jc w:val="left"/>
        <w:spacing w:line="480" w:lineRule="exact"/>
        <w:rPr>
          <w:rFonts w:ascii="Times New Roman" w:hAnsi="Times New Roman" w:cs="仿宋"/>
          <w:sz w:val="24"/>
        </w:rPr>
      </w:pPr>
      <w:r>
        <w:rPr>
          <w:rFonts w:hint="eastAsia" w:ascii="Times New Roman" w:hAnsi="Times New Roman" w:cs="仿宋"/>
          <w:sz w:val="24"/>
        </w:rPr>
        <w:t xml:space="preserve">采用综合评分法，按响应文件满足磋商文件全部实质性要求且按评审因素的量化指标评审得分最高的供应商为成交候选供应商的评审方法。</w:t>
      </w:r>
      <w:r/>
    </w:p>
    <w:p>
      <w:pPr>
        <w:ind w:firstLine="482"/>
        <w:jc w:val="left"/>
        <w:spacing w:line="480" w:lineRule="exact"/>
        <w:rPr>
          <w:rFonts w:ascii="Times New Roman" w:hAnsi="Times New Roman" w:cs="仿宋"/>
          <w:sz w:val="24"/>
        </w:rPr>
      </w:pPr>
      <w:r>
        <w:rPr>
          <w:rFonts w:hint="eastAsia" w:ascii="Times New Roman" w:hAnsi="Times New Roman" w:cs="仿宋"/>
          <w:sz w:val="24"/>
        </w:rPr>
        <w:t xml:space="preserve">综合评分保留至小数点后两位。</w:t>
      </w:r>
      <w:r/>
    </w:p>
    <w:p>
      <w:pPr>
        <w:ind w:firstLine="482"/>
        <w:jc w:val="left"/>
        <w:spacing w:line="480" w:lineRule="exact"/>
        <w:rPr>
          <w:rFonts w:ascii="Times New Roman" w:hAnsi="Times New Roman" w:cs="仿宋"/>
          <w:sz w:val="24"/>
        </w:rPr>
      </w:pPr>
      <w:r>
        <w:rPr>
          <w:rFonts w:hint="eastAsia" w:ascii="Times New Roman" w:hAnsi="Times New Roman" w:cs="仿宋"/>
          <w:sz w:val="24"/>
        </w:rPr>
        <w:t xml:space="preserve">磋商小组根据综合评分情况，按照评审得分由高到低顺序推荐成交候选供应商，并编写评审报告。磋商文件未规定的评标标准不得作为评审的依据。</w:t>
      </w:r>
      <w:r/>
    </w:p>
    <w:p>
      <w:pPr>
        <w:ind w:firstLine="482"/>
        <w:jc w:val="left"/>
        <w:spacing w:line="480" w:lineRule="exact"/>
        <w:rPr>
          <w:rFonts w:ascii="Times New Roman" w:hAnsi="Times New Roman" w:cs="仿宋"/>
          <w:sz w:val="24"/>
        </w:rPr>
      </w:pPr>
      <w:r/>
      <w:bookmarkStart w:id="76" w:name="EB1a5d8b2c3833482f95a1f101c76adb9d"/>
      <w:r>
        <w:rPr>
          <w:rFonts w:hint="eastAsia" w:ascii="Times New Roman" w:hAnsi="Times New Roman" w:cs="仿宋"/>
          <w:b/>
          <w:sz w:val="24"/>
        </w:rPr>
        <w:t xml:space="preserve">四</w:t>
      </w:r>
      <w:r>
        <w:rPr>
          <w:rFonts w:ascii="Times New Roman" w:hAnsi="Times New Roman" w:cs="仿宋"/>
          <w:b/>
          <w:sz w:val="24"/>
        </w:rPr>
        <w:t xml:space="preserve">、</w:t>
      </w:r>
      <w:bookmarkEnd w:id="76"/>
      <w:r>
        <w:rPr>
          <w:rFonts w:hint="eastAsia" w:ascii="Times New Roman" w:hAnsi="Times New Roman" w:cs="仿宋"/>
          <w:b/>
          <w:bCs/>
          <w:sz w:val="24"/>
        </w:rPr>
        <w:t xml:space="preserve">评审标准</w:t>
      </w:r>
      <w:r/>
    </w:p>
    <w:tbl>
      <w:tblPr>
        <w:tblStyle w:val="745"/>
        <w:tblW w:w="89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28"/>
        <w:gridCol w:w="1061"/>
        <w:gridCol w:w="6461"/>
      </w:tblGrid>
      <w:tr>
        <w:trPr>
          <w:jc w:val="center"/>
          <w:trHeight w:val="699"/>
        </w:trPr>
        <w:tc>
          <w:tcPr>
            <w:tcW w:w="1428" w:type="dxa"/>
            <w:vAlign w:val="center"/>
            <w:textDirection w:val="lrTb"/>
            <w:noWrap w:val="false"/>
          </w:tcPr>
          <w:p>
            <w:pPr>
              <w:jc w:val="center"/>
              <w:spacing w:line="400" w:lineRule="exact"/>
              <w:widowControl/>
              <w:rPr>
                <w:rFonts w:ascii="Times New Roman" w:hAnsi="Times New Roman" w:cs="宋体"/>
                <w:sz w:val="24"/>
                <w:szCs w:val="24"/>
              </w:rPr>
            </w:pPr>
            <w:r/>
            <w:bookmarkStart w:id="77" w:name="EBd5bea3a3c3254523b93c8abaa514fb10"/>
            <w:r/>
            <w:bookmarkEnd w:id="77"/>
            <w:r/>
            <w:bookmarkStart w:id="78" w:name="RANGE!A1"/>
            <w:r/>
            <w:bookmarkStart w:id="79" w:name="_Toc29751"/>
            <w:r/>
            <w:bookmarkStart w:id="80" w:name="_Toc81575168"/>
            <w:r/>
            <w:bookmarkStart w:id="81" w:name="_Toc81575205"/>
            <w:r>
              <w:rPr>
                <w:rFonts w:hint="eastAsia" w:ascii="Times New Roman" w:hAnsi="Times New Roman" w:cs="宋体"/>
                <w:sz w:val="24"/>
                <w:szCs w:val="24"/>
              </w:rPr>
              <w:t xml:space="preserve">评审因素</w:t>
            </w:r>
            <w:bookmarkEnd w:id="78"/>
            <w:r/>
            <w:r/>
          </w:p>
        </w:tc>
        <w:tc>
          <w:tcPr>
            <w:tcW w:w="1061" w:type="dxa"/>
            <w:vAlign w:val="center"/>
            <w:textDirection w:val="lrTb"/>
            <w:noWrap w:val="false"/>
          </w:tcPr>
          <w:p>
            <w:pPr>
              <w:jc w:val="center"/>
              <w:spacing w:line="400" w:lineRule="exact"/>
              <w:widowControl/>
              <w:rPr>
                <w:rFonts w:ascii="Times New Roman" w:hAnsi="Times New Roman" w:cs="宋体"/>
                <w:sz w:val="24"/>
                <w:szCs w:val="24"/>
              </w:rPr>
            </w:pPr>
            <w:r>
              <w:rPr>
                <w:rFonts w:hint="eastAsia" w:ascii="Times New Roman" w:hAnsi="Times New Roman" w:cs="宋体"/>
                <w:sz w:val="24"/>
                <w:szCs w:val="24"/>
              </w:rPr>
              <w:t xml:space="preserve">分数</w:t>
            </w:r>
            <w:r/>
          </w:p>
        </w:tc>
        <w:tc>
          <w:tcPr>
            <w:tcW w:w="6461" w:type="dxa"/>
            <w:vAlign w:val="center"/>
            <w:textDirection w:val="lrTb"/>
            <w:noWrap w:val="false"/>
          </w:tcPr>
          <w:p>
            <w:pPr>
              <w:jc w:val="center"/>
              <w:spacing w:line="400" w:lineRule="exact"/>
              <w:widowControl/>
              <w:rPr>
                <w:rFonts w:ascii="Times New Roman" w:hAnsi="Times New Roman" w:cs="宋体"/>
                <w:sz w:val="24"/>
                <w:szCs w:val="24"/>
              </w:rPr>
            </w:pPr>
            <w:r>
              <w:rPr>
                <w:rFonts w:hint="eastAsia" w:ascii="Times New Roman" w:hAnsi="Times New Roman" w:cs="宋体"/>
                <w:sz w:val="24"/>
                <w:szCs w:val="24"/>
              </w:rPr>
              <w:t xml:space="preserve">评审标准</w:t>
            </w:r>
            <w:r/>
          </w:p>
        </w:tc>
      </w:tr>
      <w:tr>
        <w:trPr>
          <w:jc w:val="center"/>
          <w:trHeight w:val="274"/>
        </w:trPr>
        <w:tc>
          <w:tcPr>
            <w:tcW w:w="1428" w:type="dxa"/>
            <w:vAlign w:val="center"/>
            <w:textDirection w:val="lrTb"/>
            <w:noWrap w:val="false"/>
          </w:tcPr>
          <w:p>
            <w:pPr>
              <w:jc w:val="center"/>
              <w:spacing w:line="400" w:lineRule="exact"/>
              <w:widowControl/>
              <w:rPr>
                <w:rFonts w:ascii="Times New Roman" w:hAnsi="Times New Roman" w:cs="宋体"/>
                <w:szCs w:val="21"/>
              </w:rPr>
            </w:pPr>
            <w:r>
              <w:rPr>
                <w:rFonts w:hint="eastAsia" w:ascii="Times New Roman" w:hAnsi="Times New Roman" w:cs="仿宋"/>
                <w:szCs w:val="21"/>
              </w:rPr>
              <w:t xml:space="preserve">磋商报价</w:t>
            </w:r>
            <w:r/>
          </w:p>
        </w:tc>
        <w:tc>
          <w:tcPr>
            <w:tcW w:w="1061" w:type="dxa"/>
            <w:vAlign w:val="center"/>
            <w:textDirection w:val="lrTb"/>
            <w:noWrap w:val="false"/>
          </w:tcPr>
          <w:p>
            <w:pPr>
              <w:jc w:val="center"/>
              <w:spacing w:line="400" w:lineRule="exact"/>
              <w:widowControl/>
              <w:rPr>
                <w:rFonts w:ascii="Times New Roman" w:hAnsi="Times New Roman" w:cs="宋体"/>
                <w:szCs w:val="21"/>
              </w:rPr>
            </w:pPr>
            <w:r>
              <w:rPr>
                <w:rFonts w:hint="eastAsia" w:ascii="Times New Roman" w:hAnsi="Times New Roman" w:cs="宋体"/>
                <w:szCs w:val="21"/>
              </w:rPr>
              <w:t xml:space="preserve">10.00分</w:t>
            </w:r>
            <w:r/>
          </w:p>
        </w:tc>
        <w:tc>
          <w:tcPr>
            <w:tcW w:w="6461" w:type="dxa"/>
            <w:vAlign w:val="center"/>
            <w:textDirection w:val="lrTb"/>
            <w:noWrap w:val="false"/>
          </w:tcPr>
          <w:p>
            <w:pPr>
              <w:pStyle w:val="917"/>
              <w:ind w:firstLine="0"/>
              <w:spacing w:line="400" w:lineRule="exact"/>
              <w:rPr>
                <w:rFonts w:hint="eastAsia" w:ascii="Times New Roman" w:hAnsi="Times New Roman" w:cs="仿宋"/>
                <w:b/>
                <w:bCs/>
                <w:szCs w:val="21"/>
              </w:rPr>
            </w:pPr>
            <w:r>
              <w:rPr>
                <w:rFonts w:ascii="Times New Roman" w:hAnsi="Times New Roman" w:cs="仿宋"/>
                <w:szCs w:val="21"/>
              </w:rPr>
              <w:t xml:space="preserve">采用低价优先法计算，</w:t>
            </w:r>
            <w:r>
              <w:rPr>
                <w:rFonts w:hint="eastAsia" w:ascii="Times New Roman" w:hAnsi="Times New Roman" w:cs="仿宋"/>
                <w:szCs w:val="21"/>
              </w:rPr>
              <w:t xml:space="preserve">即满足磋商文件要求且最后报价最低的供应商的价格为磋商基准价，其价格分为满分。其他供应商磋商报价得分=（磋商基准价/最后磋商报价）×10</w:t>
            </w:r>
            <w:r>
              <w:rPr>
                <w:rFonts w:ascii="Times New Roman" w:hAnsi="Times New Roman" w:cs="仿宋"/>
                <w:szCs w:val="21"/>
              </w:rPr>
              <w:t xml:space="preserve">。</w:t>
            </w:r>
            <w:r/>
          </w:p>
        </w:tc>
      </w:tr>
      <w:tr>
        <w:trPr>
          <w:jc w:val="center"/>
          <w:trHeight w:val="1115"/>
        </w:trPr>
        <w:tc>
          <w:tcPr>
            <w:tcW w:w="1428" w:type="dxa"/>
            <w:vAlign w:val="center"/>
            <w:textDirection w:val="lrTb"/>
            <w:noWrap w:val="false"/>
          </w:tcPr>
          <w:p>
            <w:pPr>
              <w:pStyle w:val="917"/>
              <w:ind w:firstLine="0"/>
              <w:spacing w:line="400" w:lineRule="exact"/>
              <w:rPr>
                <w:rFonts w:ascii="Times New Roman" w:hAnsi="Times New Roman" w:cs="仿宋"/>
                <w:szCs w:val="21"/>
              </w:rPr>
            </w:pPr>
            <w:r>
              <w:rPr>
                <w:rFonts w:hint="eastAsia" w:ascii="Times New Roman" w:hAnsi="Times New Roman" w:cs="仿宋"/>
                <w:szCs w:val="21"/>
              </w:rPr>
              <w:t xml:space="preserve">技术参数响应</w:t>
            </w:r>
            <w:r/>
          </w:p>
        </w:tc>
        <w:tc>
          <w:tcPr>
            <w:tcW w:w="1061" w:type="dxa"/>
            <w:vAlign w:val="center"/>
            <w:textDirection w:val="lrTb"/>
            <w:noWrap w:val="false"/>
          </w:tcPr>
          <w:p>
            <w:pPr>
              <w:pStyle w:val="917"/>
              <w:ind w:firstLine="0"/>
              <w:spacing w:line="400" w:lineRule="exact"/>
              <w:rPr>
                <w:rFonts w:ascii="Times New Roman" w:hAnsi="Times New Roman" w:cs="仿宋"/>
                <w:szCs w:val="21"/>
              </w:rPr>
            </w:pPr>
            <w:r>
              <w:rPr>
                <w:rFonts w:hint="eastAsia" w:ascii="Times New Roman" w:hAnsi="Times New Roman" w:eastAsia="宋体" w:cs="仿宋"/>
                <w:szCs w:val="21"/>
              </w:rPr>
              <w:t xml:space="preserve">3</w:t>
            </w:r>
            <w:r>
              <w:rPr>
                <w:rFonts w:hint="eastAsia" w:ascii="Times New Roman" w:hAnsi="Times New Roman" w:cs="仿宋"/>
                <w:szCs w:val="21"/>
                <w:lang w:val="en-US" w:eastAsia="zh-CN"/>
              </w:rPr>
              <w:t xml:space="preserve">2</w:t>
            </w:r>
            <w:r>
              <w:rPr>
                <w:rFonts w:hint="eastAsia" w:ascii="Times New Roman" w:hAnsi="Times New Roman" w:eastAsia="宋体" w:cs="仿宋"/>
                <w:szCs w:val="21"/>
              </w:rPr>
              <w:t xml:space="preserve">.</w:t>
            </w:r>
            <w:r>
              <w:rPr>
                <w:rFonts w:ascii="Times New Roman" w:hAnsi="Times New Roman" w:cs="仿宋"/>
                <w:szCs w:val="21"/>
              </w:rPr>
              <w:t xml:space="preserve">00</w:t>
            </w:r>
            <w:r>
              <w:rPr>
                <w:rFonts w:hint="eastAsia" w:ascii="Times New Roman" w:hAnsi="Times New Roman" w:cs="仿宋"/>
                <w:szCs w:val="21"/>
              </w:rPr>
              <w:t xml:space="preserve">分</w:t>
            </w:r>
            <w:r/>
          </w:p>
        </w:tc>
        <w:tc>
          <w:tcPr>
            <w:tcW w:w="6461" w:type="dxa"/>
            <w:vAlign w:val="center"/>
            <w:textDirection w:val="lrTb"/>
            <w:noWrap w:val="false"/>
          </w:tcPr>
          <w:p>
            <w:pPr>
              <w:pStyle w:val="917"/>
              <w:ind w:firstLine="0"/>
              <w:spacing w:line="400" w:lineRule="exact"/>
              <w:rPr>
                <w:rFonts w:hint="eastAsia" w:ascii="Times New Roman" w:hAnsi="Times New Roman" w:cs="仿宋"/>
                <w:szCs w:val="21"/>
              </w:rPr>
            </w:pPr>
            <w:r>
              <w:rPr>
                <w:rFonts w:hint="eastAsia" w:ascii="Times New Roman" w:hAnsi="Times New Roman" w:cs="仿宋"/>
                <w:szCs w:val="21"/>
              </w:rPr>
              <w:t xml:space="preserve">针对采购文件“第四章 采购需求”中的“三、建设内容-3.1技术参数”中“功能要求说明”所列内容（★项除外）进行评分，所投服务技术参数完全满足或优于采购文件技术参数要求的得32分。“▲”为重点参数要求，共25项，每有一项（一个句号的完整内容为一“项”）不满足的扣0.5分；其余为一般参数要求，共65项，每有一项（一个句号的完整内容为一“项”）负偏离扣0.3分，扣完为止。</w:t>
            </w:r>
            <w:r/>
          </w:p>
          <w:p>
            <w:pPr>
              <w:pStyle w:val="917"/>
              <w:ind w:firstLine="0"/>
              <w:spacing w:line="400" w:lineRule="exact"/>
              <w:rPr>
                <w:rFonts w:ascii="Times New Roman" w:hAnsi="Times New Roman" w:cs="仿宋"/>
                <w:szCs w:val="21"/>
              </w:rPr>
            </w:pPr>
            <w:r>
              <w:rPr>
                <w:rFonts w:hint="eastAsia" w:ascii="Times New Roman" w:hAnsi="Times New Roman" w:cs="仿宋"/>
                <w:szCs w:val="21"/>
              </w:rPr>
              <w:t xml:space="preserve">注：供应商针对本项评标内容在响应文件《技术响应偏离表》中逐条列出响应及偏离情况，未列出的对应项按负偏离进行扣分处理。</w:t>
            </w:r>
            <w:r/>
          </w:p>
        </w:tc>
      </w:tr>
      <w:tr>
        <w:trPr>
          <w:jc w:val="center"/>
          <w:trHeight w:val="1140"/>
        </w:trPr>
        <w:tc>
          <w:tcPr>
            <w:tcW w:w="1428" w:type="dxa"/>
            <w:vAlign w:val="center"/>
            <w:textDirection w:val="lrTb"/>
            <w:noWrap w:val="false"/>
          </w:tcPr>
          <w:p>
            <w:pPr>
              <w:jc w:val="center"/>
              <w:spacing w:line="400" w:lineRule="exact"/>
              <w:widowControl/>
              <w:rPr>
                <w:rFonts w:ascii="Times New Roman" w:hAnsi="Times New Roman" w:cs="宋体"/>
                <w:szCs w:val="21"/>
              </w:rPr>
            </w:pPr>
            <w:r>
              <w:rPr>
                <w:rFonts w:hint="eastAsia" w:ascii="Times New Roman" w:hAnsi="Times New Roman" w:cs="宋体"/>
                <w:szCs w:val="21"/>
              </w:rPr>
              <w:t xml:space="preserve">企业</w:t>
            </w:r>
            <w:r/>
          </w:p>
          <w:p>
            <w:pPr>
              <w:jc w:val="center"/>
              <w:spacing w:line="400" w:lineRule="exact"/>
              <w:widowControl/>
              <w:rPr>
                <w:rFonts w:ascii="Times New Roman" w:hAnsi="Times New Roman" w:cs="宋体"/>
                <w:szCs w:val="21"/>
              </w:rPr>
            </w:pPr>
            <w:r>
              <w:rPr>
                <w:rFonts w:hint="eastAsia" w:ascii="Times New Roman" w:hAnsi="Times New Roman" w:cs="宋体"/>
                <w:szCs w:val="21"/>
              </w:rPr>
              <w:t xml:space="preserve">业绩</w:t>
            </w:r>
            <w:r/>
          </w:p>
        </w:tc>
        <w:tc>
          <w:tcPr>
            <w:tcW w:w="1061" w:type="dxa"/>
            <w:vAlign w:val="center"/>
            <w:textDirection w:val="lrTb"/>
            <w:noWrap w:val="false"/>
          </w:tcPr>
          <w:p>
            <w:pPr>
              <w:jc w:val="center"/>
              <w:spacing w:line="400" w:lineRule="exact"/>
              <w:widowControl/>
              <w:rPr>
                <w:rFonts w:ascii="Times New Roman" w:hAnsi="Times New Roman" w:cs="宋体"/>
                <w:szCs w:val="21"/>
              </w:rPr>
            </w:pPr>
            <w:r>
              <w:rPr>
                <w:rFonts w:hint="eastAsia" w:ascii="Times New Roman" w:hAnsi="Times New Roman" w:cs="宋体"/>
                <w:szCs w:val="21"/>
                <w:lang w:val="en-US" w:eastAsia="zh-CN"/>
              </w:rPr>
              <w:t xml:space="preserve">9</w:t>
            </w:r>
            <w:r>
              <w:rPr>
                <w:rFonts w:hint="eastAsia" w:ascii="Times New Roman" w:hAnsi="Times New Roman" w:cs="宋体"/>
                <w:szCs w:val="21"/>
              </w:rPr>
              <w:t xml:space="preserve">.00分</w:t>
            </w:r>
            <w:r/>
          </w:p>
        </w:tc>
        <w:tc>
          <w:tcPr>
            <w:tcW w:w="6461" w:type="dxa"/>
            <w:vAlign w:val="center"/>
            <w:textDirection w:val="lrTb"/>
            <w:noWrap w:val="false"/>
          </w:tcPr>
          <w:p>
            <w:pPr>
              <w:jc w:val="left"/>
              <w:spacing w:line="400" w:lineRule="exact"/>
              <w:widowControl/>
              <w:rPr>
                <w:rFonts w:hint="eastAsia" w:ascii="Times New Roman" w:hAnsi="Times New Roman" w:eastAsia="宋体" w:cs="仿宋"/>
                <w:sz w:val="21"/>
                <w:szCs w:val="21"/>
                <w:lang w:val="en-US" w:eastAsia="zh-CN" w:bidi="ar-SA"/>
              </w:rPr>
            </w:pPr>
            <w:r>
              <w:rPr>
                <w:rFonts w:hint="eastAsia" w:ascii="Times New Roman" w:hAnsi="Times New Roman" w:cs="宋体"/>
                <w:szCs w:val="21"/>
              </w:rPr>
              <w:t xml:space="preserve">供应商自2023年1月1日以来（</w:t>
            </w:r>
            <w:r>
              <w:rPr>
                <w:rFonts w:hint="eastAsia" w:ascii="Times New Roman" w:hAnsi="Times New Roman" w:eastAsia="宋体" w:cs="仿宋"/>
                <w:sz w:val="21"/>
                <w:szCs w:val="21"/>
                <w:lang w:val="en-US" w:eastAsia="zh-CN" w:bidi="ar-SA"/>
              </w:rPr>
              <w:t xml:space="preserve">以合同签订时间为准）承担过类似信息化相关项目的，每有一个得3分，最高得</w:t>
            </w:r>
            <w:r>
              <w:rPr>
                <w:rFonts w:hint="eastAsia" w:ascii="Times New Roman" w:hAnsi="Times New Roman" w:cs="仿宋"/>
                <w:sz w:val="21"/>
                <w:szCs w:val="21"/>
                <w:lang w:val="en-US" w:eastAsia="zh-CN" w:bidi="ar-SA"/>
              </w:rPr>
              <w:t xml:space="preserve">9</w:t>
            </w:r>
            <w:r>
              <w:rPr>
                <w:rFonts w:hint="eastAsia" w:ascii="Times New Roman" w:hAnsi="Times New Roman" w:eastAsia="宋体" w:cs="仿宋"/>
                <w:sz w:val="21"/>
                <w:szCs w:val="21"/>
                <w:lang w:val="en-US" w:eastAsia="zh-CN" w:bidi="ar-SA"/>
              </w:rPr>
              <w:t xml:space="preserve">分。</w:t>
            </w:r>
            <w:r/>
          </w:p>
          <w:p>
            <w:pPr>
              <w:jc w:val="left"/>
              <w:spacing w:line="400" w:lineRule="exact"/>
              <w:widowControl/>
              <w:rPr>
                <w:rFonts w:ascii="Times New Roman" w:hAnsi="Times New Roman" w:cs="宋体"/>
                <w:szCs w:val="21"/>
              </w:rPr>
            </w:pPr>
            <w:r>
              <w:rPr>
                <w:rFonts w:hint="eastAsia" w:ascii="Times New Roman" w:hAnsi="Times New Roman" w:eastAsia="宋体" w:cs="仿宋"/>
                <w:sz w:val="21"/>
                <w:szCs w:val="21"/>
                <w:lang w:val="en-US" w:eastAsia="zh-CN" w:bidi="ar-SA"/>
              </w:rPr>
              <w:t xml:space="preserve">注：1.提供合同（主要</w:t>
            </w:r>
            <w:r>
              <w:rPr>
                <w:rFonts w:hint="eastAsia" w:ascii="Times New Roman" w:hAnsi="Times New Roman" w:eastAsia="宋体" w:cs="宋体"/>
                <w:szCs w:val="21"/>
                <w:lang w:val="en-US" w:eastAsia="zh-CN"/>
              </w:rPr>
              <w:t xml:space="preserve">内容、标的</w:t>
            </w:r>
            <w:r>
              <w:rPr>
                <w:rFonts w:hint="eastAsia" w:ascii="Times New Roman" w:hAnsi="Times New Roman" w:eastAsia="宋体" w:cs="宋体"/>
                <w:szCs w:val="21"/>
              </w:rPr>
              <w:t xml:space="preserve">、金额清晰可见）</w:t>
            </w:r>
            <w:r>
              <w:rPr>
                <w:rFonts w:hint="eastAsia" w:ascii="Times New Roman" w:hAnsi="Times New Roman" w:cs="宋体"/>
                <w:szCs w:val="21"/>
                <w:lang w:eastAsia="zh-CN"/>
              </w:rPr>
              <w:t xml:space="preserve">、</w:t>
            </w:r>
            <w:r>
              <w:rPr>
                <w:rFonts w:hint="eastAsia" w:ascii="Times New Roman" w:hAnsi="Times New Roman" w:eastAsia="宋体" w:cs="宋体"/>
                <w:szCs w:val="21"/>
              </w:rPr>
              <w:t xml:space="preserve">验收合格证明材料电子件，未提供或提供不全不得分</w:t>
            </w:r>
            <w:r>
              <w:rPr>
                <w:rFonts w:hint="eastAsia" w:ascii="Times New Roman" w:hAnsi="Times New Roman" w:eastAsia="宋体" w:cs="宋体"/>
                <w:szCs w:val="21"/>
                <w:lang w:val="en-US" w:eastAsia="zh-CN"/>
              </w:rPr>
              <w:t xml:space="preserve">。</w:t>
            </w:r>
            <w:r>
              <w:rPr>
                <w:rFonts w:hint="eastAsia" w:ascii="Times New Roman" w:hAnsi="Times New Roman" w:eastAsia="宋体" w:cs="宋体"/>
                <w:szCs w:val="21"/>
              </w:rPr>
              <w:t xml:space="preserve">2.一个单位分年度多次签订的合同，计</w:t>
            </w:r>
            <w:r>
              <w:rPr>
                <w:rFonts w:hint="eastAsia" w:ascii="Times New Roman" w:hAnsi="Times New Roman" w:cs="宋体"/>
                <w:szCs w:val="24"/>
              </w:rPr>
              <w:t xml:space="preserve">入一个业绩；同一个项目，分两期或以上完成的，计入一个业绩。</w:t>
            </w:r>
            <w:r/>
          </w:p>
        </w:tc>
      </w:tr>
      <w:tr>
        <w:trPr>
          <w:jc w:val="center"/>
          <w:trHeight w:val="1140"/>
        </w:trPr>
        <w:tc>
          <w:tcPr>
            <w:tcW w:w="1428" w:type="dxa"/>
            <w:vAlign w:val="center"/>
            <w:textDirection w:val="lrTb"/>
            <w:noWrap w:val="false"/>
          </w:tcPr>
          <w:p>
            <w:pPr>
              <w:jc w:val="center"/>
              <w:rPr>
                <w:rFonts w:hint="eastAsia" w:ascii="Times New Roman" w:hAnsi="Times New Roman"/>
                <w:color w:val="000000"/>
                <w:szCs w:val="21"/>
              </w:rPr>
            </w:pPr>
            <w:r>
              <w:rPr>
                <w:rFonts w:ascii="Times New Roman" w:hAnsi="Times New Roman"/>
                <w:color w:val="000000"/>
                <w:szCs w:val="21"/>
              </w:rPr>
              <w:t xml:space="preserve">相关证书</w:t>
            </w:r>
            <w:r/>
          </w:p>
        </w:tc>
        <w:tc>
          <w:tcPr>
            <w:tcW w:w="1061" w:type="dxa"/>
            <w:vAlign w:val="center"/>
            <w:textDirection w:val="lrTb"/>
            <w:noWrap w:val="false"/>
          </w:tcPr>
          <w:p>
            <w:pPr>
              <w:jc w:val="center"/>
              <w:rPr>
                <w:rFonts w:hint="eastAsia" w:ascii="Times New Roman" w:hAnsi="Times New Roman"/>
                <w:color w:val="000000"/>
                <w:szCs w:val="21"/>
              </w:rPr>
            </w:pPr>
            <w:r>
              <w:rPr>
                <w:rFonts w:hint="eastAsia" w:ascii="Times New Roman" w:hAnsi="Times New Roman"/>
                <w:color w:val="000000"/>
                <w:szCs w:val="21"/>
              </w:rPr>
              <w:t xml:space="preserve">4</w:t>
            </w:r>
            <w:r>
              <w:rPr>
                <w:rFonts w:ascii="Times New Roman" w:hAnsi="Times New Roman"/>
                <w:color w:val="000000"/>
                <w:szCs w:val="21"/>
              </w:rPr>
              <w:t xml:space="preserve">.00分</w:t>
            </w:r>
            <w:r/>
          </w:p>
        </w:tc>
        <w:tc>
          <w:tcPr>
            <w:tcW w:w="6461" w:type="dxa"/>
            <w:vAlign w:val="center"/>
            <w:textDirection w:val="lrTb"/>
            <w:noWrap w:val="false"/>
          </w:tcPr>
          <w:p>
            <w:pPr>
              <w:jc w:val="left"/>
              <w:spacing w:line="400" w:lineRule="exact"/>
              <w:widowControl/>
              <w:rPr>
                <w:rFonts w:hint="eastAsia" w:ascii="Times New Roman" w:hAnsi="Times New Roman"/>
                <w:color w:val="000000"/>
                <w:szCs w:val="21"/>
              </w:rPr>
            </w:pPr>
            <w:r>
              <w:rPr>
                <w:rFonts w:hint="eastAsia" w:ascii="Times New Roman" w:hAnsi="Times New Roman"/>
                <w:color w:val="000000"/>
                <w:szCs w:val="21"/>
              </w:rPr>
              <w:t xml:space="preserve">供应商具有“资产云”、“大数据”、“智能体”、“智能预警”系统相关功能的软件著作权的，每有一类得 1分，最高得3分。</w:t>
            </w:r>
            <w:r/>
          </w:p>
          <w:p>
            <w:pPr>
              <w:jc w:val="left"/>
              <w:spacing w:line="400" w:lineRule="exact"/>
              <w:widowControl/>
              <w:rPr>
                <w:rFonts w:ascii="Times New Roman" w:hAnsi="Times New Roman"/>
                <w:color w:val="000000"/>
              </w:rPr>
            </w:pPr>
            <w:r>
              <w:rPr>
                <w:rFonts w:hint="eastAsia" w:ascii="Times New Roman" w:hAnsi="Times New Roman"/>
                <w:color w:val="000000"/>
                <w:szCs w:val="21"/>
              </w:rPr>
              <w:t xml:space="preserve">注：1、提供证书电子件；2、供应商提供软件著作权名称可不完全一样，具有类似功能即可。</w:t>
            </w:r>
            <w:r/>
          </w:p>
        </w:tc>
      </w:tr>
      <w:tr>
        <w:trPr>
          <w:jc w:val="center"/>
          <w:trHeight w:val="1140"/>
        </w:trPr>
        <w:tc>
          <w:tcPr>
            <w:tcW w:w="1428" w:type="dxa"/>
            <w:vAlign w:val="center"/>
            <w:textDirection w:val="lrTb"/>
            <w:noWrap w:val="false"/>
          </w:tcPr>
          <w:p>
            <w:pPr>
              <w:jc w:val="center"/>
              <w:rPr>
                <w:rFonts w:hint="eastAsia" w:ascii="Times New Roman" w:hAnsi="Times New Roman" w:eastAsia="宋体"/>
                <w:color w:val="000000"/>
                <w:szCs w:val="21"/>
                <w:lang w:val="en-US" w:eastAsia="zh-CN"/>
              </w:rPr>
            </w:pPr>
            <w:r>
              <w:rPr>
                <w:rFonts w:hint="eastAsia" w:ascii="Times New Roman" w:hAnsi="Times New Roman"/>
                <w:color w:val="000000"/>
                <w:szCs w:val="21"/>
                <w:lang w:val="en-US" w:eastAsia="zh-CN"/>
              </w:rPr>
              <w:t xml:space="preserve">演示</w:t>
            </w:r>
            <w:r/>
          </w:p>
        </w:tc>
        <w:tc>
          <w:tcPr>
            <w:tcW w:w="1061" w:type="dxa"/>
            <w:vAlign w:val="center"/>
            <w:textDirection w:val="lrTb"/>
            <w:noWrap w:val="false"/>
          </w:tcPr>
          <w:p>
            <w:pPr>
              <w:jc w:val="center"/>
              <w:rPr>
                <w:rFonts w:hint="default" w:ascii="Times New Roman" w:hAnsi="Times New Roman" w:eastAsia="宋体"/>
                <w:color w:val="000000"/>
                <w:szCs w:val="21"/>
                <w:lang w:val="en-US" w:eastAsia="zh-CN"/>
              </w:rPr>
            </w:pPr>
            <w:r>
              <w:rPr>
                <w:rFonts w:hint="eastAsia" w:ascii="Times New Roman" w:hAnsi="Times New Roman"/>
                <w:color w:val="000000"/>
                <w:szCs w:val="21"/>
                <w:lang w:val="en-US" w:eastAsia="zh-CN"/>
              </w:rPr>
              <w:t xml:space="preserve">9.00</w:t>
            </w:r>
            <w:r/>
          </w:p>
        </w:tc>
        <w:tc>
          <w:tcPr>
            <w:tcW w:w="6461" w:type="dxa"/>
            <w:vAlign w:val="center"/>
            <w:textDirection w:val="lrTb"/>
            <w:noWrap w:val="false"/>
          </w:tcPr>
          <w:p>
            <w:pPr>
              <w:jc w:val="left"/>
              <w:spacing w:line="400" w:lineRule="exact"/>
              <w:widowControl/>
              <w:rPr>
                <w:rFonts w:hint="eastAsia" w:ascii="Times New Roman" w:hAnsi="Times New Roman" w:eastAsia="宋体"/>
                <w:color w:val="000000"/>
                <w:szCs w:val="21"/>
              </w:rPr>
            </w:pPr>
            <w:r>
              <w:rPr>
                <w:rFonts w:hint="eastAsia" w:ascii="Times New Roman" w:hAnsi="Times New Roman" w:eastAsia="宋体"/>
                <w:color w:val="000000"/>
                <w:szCs w:val="21"/>
              </w:rPr>
              <w:t xml:space="preserve">供应商根据“第四章 采购需求”中的“</w:t>
            </w:r>
            <w:r>
              <w:rPr>
                <w:rFonts w:hint="eastAsia" w:ascii="Times New Roman" w:hAnsi="Times New Roman" w:eastAsia="宋体"/>
                <w:color w:val="000000"/>
                <w:szCs w:val="21"/>
                <w:lang w:val="en-US" w:eastAsia="zh-CN"/>
              </w:rPr>
              <w:t xml:space="preserve">三、建设内容</w:t>
            </w:r>
            <w:r>
              <w:rPr>
                <w:rFonts w:hint="eastAsia" w:ascii="Times New Roman" w:hAnsi="Times New Roman" w:eastAsia="宋体"/>
                <w:color w:val="000000"/>
                <w:szCs w:val="21"/>
              </w:rPr>
              <w:t xml:space="preserve">-</w:t>
            </w:r>
            <w:r>
              <w:rPr>
                <w:rFonts w:hint="eastAsia" w:ascii="Times New Roman" w:hAnsi="Times New Roman" w:eastAsia="宋体"/>
                <w:color w:val="000000"/>
                <w:szCs w:val="21"/>
                <w:lang w:val="en-US" w:eastAsia="zh-CN"/>
              </w:rPr>
              <w:t xml:space="preserve">3.2演示</w:t>
            </w:r>
            <w:r>
              <w:rPr>
                <w:rFonts w:hint="eastAsia" w:ascii="Times New Roman" w:hAnsi="Times New Roman" w:eastAsia="宋体"/>
                <w:color w:val="000000"/>
                <w:szCs w:val="21"/>
              </w:rPr>
              <w:t xml:space="preserve">部分”要求提供软件系统功能演示视音频（PPT 等静态图片方式演示不得分），演示时间原则上不超过15分钟。供应商应将演示视频上传在响应文件组成——“视频演示”中，单个视频压缩包大小不得超过50M，数量不限，所有视频压缩包的总量不得超过300M，压缩包文件格式为zip格式，未按要求操作无法上传的，责任由供应商自负。未按要求上传的对应项不得分。</w:t>
            </w:r>
            <w:r/>
          </w:p>
          <w:p>
            <w:pPr>
              <w:jc w:val="left"/>
              <w:spacing w:line="400" w:lineRule="exact"/>
              <w:widowControl/>
              <w:rPr>
                <w:rFonts w:hint="eastAsia" w:ascii="Times New Roman" w:hAnsi="Times New Roman" w:eastAsia="宋体"/>
                <w:color w:val="000000"/>
                <w:szCs w:val="21"/>
              </w:rPr>
            </w:pPr>
            <w:r>
              <w:rPr>
                <w:rFonts w:hint="eastAsia" w:ascii="Times New Roman" w:hAnsi="Times New Roman" w:eastAsia="宋体"/>
                <w:color w:val="000000"/>
                <w:szCs w:val="21"/>
              </w:rPr>
              <w:t xml:space="preserve">1</w:t>
            </w:r>
            <w:r>
              <w:rPr>
                <w:rFonts w:hint="eastAsia" w:ascii="Times New Roman" w:hAnsi="Times New Roman" w:eastAsia="宋体"/>
                <w:color w:val="000000"/>
                <w:szCs w:val="21"/>
                <w:lang w:val="en-US" w:eastAsia="zh-CN"/>
              </w:rPr>
              <w:t xml:space="preserve">.</w:t>
            </w:r>
            <w:r>
              <w:rPr>
                <w:rFonts w:hint="eastAsia" w:ascii="Times New Roman" w:hAnsi="Times New Roman" w:eastAsia="宋体"/>
                <w:color w:val="000000"/>
                <w:szCs w:val="21"/>
              </w:rPr>
              <w:t xml:space="preserve"> AI智能分析-资产与财务数据对比监督演示：展示根据资产业务数据以及财务凭证数据，通过AI分析预警可能存在的账实不符、有卡无账、有账无卡、账值不一致的问题。</w:t>
            </w:r>
            <w:r>
              <w:rPr>
                <w:rFonts w:hint="eastAsia" w:ascii="Times New Roman" w:hAnsi="Times New Roman" w:eastAsia="宋体"/>
                <w:color w:val="000000"/>
                <w:szCs w:val="21"/>
                <w:lang w:val="en-US" w:eastAsia="zh-CN"/>
              </w:rPr>
              <w:t xml:space="preserve">全部满足得2分；否则不得分。</w:t>
            </w:r>
            <w:r/>
          </w:p>
          <w:p>
            <w:pPr>
              <w:jc w:val="left"/>
              <w:spacing w:line="400" w:lineRule="exact"/>
              <w:widowControl/>
              <w:rPr>
                <w:rFonts w:hint="eastAsia" w:ascii="Times New Roman" w:hAnsi="Times New Roman" w:eastAsia="宋体"/>
                <w:color w:val="000000"/>
                <w:szCs w:val="21"/>
              </w:rPr>
            </w:pPr>
            <w:r>
              <w:rPr>
                <w:rFonts w:hint="eastAsia" w:ascii="Times New Roman" w:hAnsi="Times New Roman" w:eastAsia="宋体"/>
                <w:color w:val="000000"/>
                <w:szCs w:val="21"/>
                <w:lang w:eastAsia="zh-CN"/>
              </w:rPr>
              <w:t xml:space="preserve">2</w:t>
            </w:r>
            <w:r>
              <w:rPr>
                <w:rFonts w:hint="eastAsia" w:ascii="Times New Roman" w:hAnsi="Times New Roman" w:eastAsia="宋体"/>
                <w:color w:val="000000"/>
                <w:szCs w:val="21"/>
                <w:lang w:val="en-US" w:eastAsia="zh-CN"/>
              </w:rPr>
              <w:t xml:space="preserve">.</w:t>
            </w:r>
            <w:r>
              <w:rPr>
                <w:rFonts w:hint="eastAsia" w:ascii="Times New Roman" w:hAnsi="Times New Roman" w:eastAsia="宋体"/>
                <w:color w:val="000000"/>
                <w:szCs w:val="21"/>
              </w:rPr>
              <w:t xml:space="preserve"> AI智能分析-资产与财务人员考核演示：展示根据资产业务数据以及财务凭证数据，设置多维度评分指标项，对单位的资产管理人员和财务会计人员进行AI智能评分。</w:t>
            </w:r>
            <w:r>
              <w:rPr>
                <w:rFonts w:hint="eastAsia" w:ascii="Times New Roman" w:hAnsi="Times New Roman" w:eastAsia="宋体"/>
                <w:color w:val="000000"/>
                <w:szCs w:val="21"/>
                <w:lang w:val="en-US" w:eastAsia="zh-CN"/>
              </w:rPr>
              <w:t xml:space="preserve">全部满足得2分；否则不得分。</w:t>
            </w:r>
            <w:r/>
          </w:p>
          <w:p>
            <w:pPr>
              <w:jc w:val="left"/>
              <w:spacing w:line="400" w:lineRule="exact"/>
              <w:widowControl/>
              <w:rPr>
                <w:rFonts w:hint="eastAsia" w:ascii="Times New Roman" w:hAnsi="Times New Roman" w:eastAsia="宋体"/>
                <w:color w:val="000000"/>
                <w:szCs w:val="21"/>
              </w:rPr>
            </w:pPr>
            <w:r>
              <w:rPr>
                <w:rFonts w:hint="eastAsia" w:ascii="Times New Roman" w:hAnsi="Times New Roman" w:eastAsia="宋体"/>
                <w:color w:val="000000"/>
                <w:szCs w:val="21"/>
                <w:lang w:eastAsia="zh-CN"/>
              </w:rPr>
              <w:t xml:space="preserve">3</w:t>
            </w:r>
            <w:r>
              <w:rPr>
                <w:rFonts w:hint="eastAsia" w:ascii="Times New Roman" w:hAnsi="Times New Roman" w:eastAsia="宋体"/>
                <w:color w:val="000000"/>
                <w:szCs w:val="21"/>
                <w:lang w:val="en-US" w:eastAsia="zh-CN"/>
              </w:rPr>
              <w:t xml:space="preserve">.</w:t>
            </w:r>
            <w:r>
              <w:rPr>
                <w:rFonts w:hint="eastAsia" w:ascii="Times New Roman" w:hAnsi="Times New Roman" w:eastAsia="宋体"/>
                <w:color w:val="000000"/>
                <w:szCs w:val="21"/>
              </w:rPr>
              <w:t xml:space="preserve"> AI智能分析-闲置资产监督演示：展示通过AI对闲置资产及购置资产、计划配置资产进行分析，从源头遏制重复购置和资源浪费。</w:t>
            </w:r>
            <w:r>
              <w:rPr>
                <w:rFonts w:hint="eastAsia" w:ascii="Times New Roman" w:hAnsi="Times New Roman" w:eastAsia="宋体"/>
                <w:color w:val="000000"/>
                <w:szCs w:val="21"/>
                <w:lang w:val="en-US" w:eastAsia="zh-CN"/>
              </w:rPr>
              <w:t xml:space="preserve">全部满足得1分；否则不得分。</w:t>
            </w:r>
            <w:r/>
          </w:p>
          <w:p>
            <w:pPr>
              <w:jc w:val="left"/>
              <w:spacing w:line="400" w:lineRule="exact"/>
              <w:widowControl/>
              <w:rPr>
                <w:rFonts w:hint="eastAsia" w:ascii="Times New Roman" w:hAnsi="Times New Roman" w:eastAsia="宋体"/>
                <w:color w:val="000000"/>
                <w:szCs w:val="21"/>
              </w:rPr>
            </w:pPr>
            <w:r>
              <w:rPr>
                <w:rFonts w:hint="eastAsia" w:ascii="Times New Roman" w:hAnsi="Times New Roman" w:eastAsia="宋体"/>
                <w:color w:val="000000"/>
                <w:szCs w:val="21"/>
                <w:lang w:eastAsia="zh-CN"/>
              </w:rPr>
              <w:t xml:space="preserve">4</w:t>
            </w:r>
            <w:r>
              <w:rPr>
                <w:rFonts w:hint="eastAsia" w:ascii="Times New Roman" w:hAnsi="Times New Roman" w:eastAsia="宋体"/>
                <w:color w:val="000000"/>
                <w:szCs w:val="21"/>
                <w:lang w:val="en-US" w:eastAsia="zh-CN"/>
              </w:rPr>
              <w:t xml:space="preserve">.</w:t>
            </w:r>
            <w:r>
              <w:rPr>
                <w:rFonts w:hint="eastAsia" w:ascii="Times New Roman" w:hAnsi="Times New Roman" w:eastAsia="宋体"/>
                <w:color w:val="000000"/>
                <w:szCs w:val="21"/>
              </w:rPr>
              <w:t xml:space="preserve"> AI智能分析-经营性资产智能监督演示：展示通过AI对经营性资产租赁行为和收益行为进行分析，判断是否存在租金明显偏低、超期未续约、收益入账异常的问题。</w:t>
            </w:r>
            <w:r>
              <w:rPr>
                <w:rFonts w:hint="eastAsia" w:ascii="Times New Roman" w:hAnsi="Times New Roman" w:eastAsia="宋体"/>
                <w:color w:val="000000"/>
                <w:szCs w:val="21"/>
                <w:lang w:val="en-US" w:eastAsia="zh-CN"/>
              </w:rPr>
              <w:t xml:space="preserve">全部满足得2分；否则不得分。</w:t>
            </w:r>
            <w:r/>
          </w:p>
          <w:p>
            <w:pPr>
              <w:jc w:val="left"/>
              <w:spacing w:line="400" w:lineRule="exact"/>
              <w:widowControl/>
              <w:rPr>
                <w:rFonts w:hint="eastAsia" w:ascii="Times New Roman" w:hAnsi="Times New Roman"/>
                <w:color w:val="000000"/>
                <w:szCs w:val="21"/>
              </w:rPr>
            </w:pPr>
            <w:r>
              <w:rPr>
                <w:rFonts w:hint="eastAsia" w:ascii="Times New Roman" w:hAnsi="Times New Roman" w:eastAsia="宋体"/>
                <w:color w:val="000000"/>
                <w:szCs w:val="21"/>
                <w:lang w:eastAsia="zh-CN"/>
              </w:rPr>
              <w:t xml:space="preserve">5</w:t>
            </w:r>
            <w:r>
              <w:rPr>
                <w:rFonts w:hint="eastAsia" w:ascii="Times New Roman" w:hAnsi="Times New Roman" w:eastAsia="宋体"/>
                <w:color w:val="000000"/>
                <w:szCs w:val="21"/>
                <w:lang w:val="en-US" w:eastAsia="zh-CN"/>
              </w:rPr>
              <w:t xml:space="preserve">.</w:t>
            </w:r>
            <w:r>
              <w:rPr>
                <w:rFonts w:hint="eastAsia" w:ascii="Times New Roman" w:hAnsi="Times New Roman" w:eastAsia="宋体"/>
                <w:color w:val="000000"/>
                <w:szCs w:val="21"/>
              </w:rPr>
              <w:t xml:space="preserve"> AI智能分析-智能分析报告自动生成演示：展示根据各类分析和预警结果，通过AI生成月度监管分析报告、高风险单位专项报告以及各类专项分析报告。</w:t>
            </w:r>
            <w:r>
              <w:rPr>
                <w:rFonts w:hint="eastAsia" w:ascii="Times New Roman" w:hAnsi="Times New Roman" w:eastAsia="宋体"/>
                <w:color w:val="000000"/>
                <w:szCs w:val="21"/>
                <w:lang w:val="en-US" w:eastAsia="zh-CN"/>
              </w:rPr>
              <w:t xml:space="preserve">全部满足得2分；否则不得分。</w:t>
            </w:r>
            <w:r/>
          </w:p>
        </w:tc>
      </w:tr>
      <w:tr>
        <w:trPr>
          <w:jc w:val="center"/>
          <w:trHeight w:val="329"/>
        </w:trPr>
        <w:tc>
          <w:tcPr>
            <w:tcW w:w="1428" w:type="dxa"/>
            <w:vAlign w:val="center"/>
            <w:textDirection w:val="lrTb"/>
            <w:noWrap w:val="false"/>
          </w:tcPr>
          <w:p>
            <w:pPr>
              <w:jc w:val="center"/>
              <w:spacing w:line="360" w:lineRule="exact"/>
              <w:widowControl/>
              <w:rPr>
                <w:rFonts w:ascii="Times New Roman" w:hAnsi="Times New Roman" w:cs="宋体"/>
                <w:szCs w:val="24"/>
              </w:rPr>
            </w:pPr>
            <w:r>
              <w:rPr>
                <w:rFonts w:hint="eastAsia" w:ascii="Times New Roman" w:hAnsi="Times New Roman" w:cs="宋体"/>
                <w:szCs w:val="24"/>
              </w:rPr>
              <w:t xml:space="preserve">项目组成员</w:t>
            </w:r>
            <w:r/>
          </w:p>
        </w:tc>
        <w:tc>
          <w:tcPr>
            <w:tcW w:w="1061" w:type="dxa"/>
            <w:vAlign w:val="center"/>
            <w:textDirection w:val="lrTb"/>
            <w:noWrap w:val="false"/>
          </w:tcPr>
          <w:p>
            <w:pPr>
              <w:jc w:val="center"/>
              <w:spacing w:line="360" w:lineRule="exact"/>
              <w:widowControl/>
              <w:rPr>
                <w:rFonts w:ascii="Times New Roman" w:hAnsi="Times New Roman" w:cs="宋体"/>
                <w:szCs w:val="24"/>
              </w:rPr>
            </w:pPr>
            <w:r>
              <w:rPr>
                <w:rFonts w:hint="eastAsia" w:ascii="Times New Roman" w:hAnsi="Times New Roman" w:cs="宋体"/>
                <w:szCs w:val="24"/>
                <w:lang w:val="en-US" w:eastAsia="zh-CN"/>
              </w:rPr>
              <w:t xml:space="preserve">6</w:t>
            </w:r>
            <w:r>
              <w:rPr>
                <w:rFonts w:hint="eastAsia" w:ascii="Times New Roman" w:hAnsi="Times New Roman" w:cs="宋体"/>
                <w:szCs w:val="24"/>
              </w:rPr>
              <w:t xml:space="preserve">.00分</w:t>
            </w:r>
            <w:r/>
          </w:p>
        </w:tc>
        <w:tc>
          <w:tcPr>
            <w:tcW w:w="6461" w:type="dxa"/>
            <w:vAlign w:val="center"/>
            <w:textDirection w:val="lrTb"/>
            <w:noWrap w:val="false"/>
          </w:tcPr>
          <w:p>
            <w:pPr>
              <w:jc w:val="left"/>
              <w:spacing w:line="400" w:lineRule="exact"/>
              <w:widowControl/>
              <w:rPr>
                <w:rFonts w:hint="eastAsia" w:ascii="Times New Roman" w:hAnsi="Times New Roman"/>
                <w:sz w:val="21"/>
              </w:rPr>
            </w:pPr>
            <w:r>
              <w:rPr>
                <w:rFonts w:hint="eastAsia" w:ascii="Times New Roman" w:hAnsi="Times New Roman"/>
                <w:sz w:val="21"/>
              </w:rPr>
              <w:t xml:space="preserve">供应商拟派项目组成员具有计算机技术与软件专业技术资格-软件设计师证书</w:t>
            </w:r>
            <w:r>
              <w:rPr>
                <w:rFonts w:hint="eastAsia" w:ascii="Times New Roman" w:hAnsi="Times New Roman"/>
                <w:sz w:val="21"/>
                <w:lang w:val="en-US" w:eastAsia="zh-CN"/>
              </w:rPr>
              <w:t xml:space="preserve">或</w:t>
            </w:r>
            <w:r>
              <w:rPr>
                <w:rFonts w:hint="eastAsia" w:ascii="Times New Roman" w:hAnsi="Times New Roman"/>
                <w:sz w:val="21"/>
              </w:rPr>
              <w:t xml:space="preserve">数据库系统工程师证书</w:t>
            </w:r>
            <w:r>
              <w:rPr>
                <w:rFonts w:hint="eastAsia" w:ascii="Times New Roman" w:hAnsi="Times New Roman"/>
                <w:sz w:val="21"/>
                <w:lang w:val="en-US" w:eastAsia="zh-CN"/>
              </w:rPr>
              <w:t xml:space="preserve">或</w:t>
            </w:r>
            <w:r>
              <w:rPr>
                <w:rFonts w:hint="eastAsia" w:ascii="Times New Roman" w:hAnsi="Times New Roman"/>
                <w:sz w:val="21"/>
              </w:rPr>
              <w:t xml:space="preserve">网络工程师</w:t>
            </w:r>
            <w:r>
              <w:rPr>
                <w:rFonts w:hint="eastAsia" w:ascii="Times New Roman" w:hAnsi="Times New Roman"/>
                <w:sz w:val="21"/>
                <w:lang w:val="en-US" w:eastAsia="zh-CN"/>
              </w:rPr>
              <w:t xml:space="preserve">或信息安全工程师</w:t>
            </w:r>
            <w:r>
              <w:rPr>
                <w:rFonts w:hint="eastAsia" w:ascii="Times New Roman" w:hAnsi="Times New Roman"/>
                <w:sz w:val="21"/>
              </w:rPr>
              <w:t xml:space="preserve">证书，每有一个证书得2分，最高得</w:t>
            </w:r>
            <w:r>
              <w:rPr>
                <w:rFonts w:hint="eastAsia" w:ascii="Times New Roman" w:hAnsi="Times New Roman"/>
                <w:sz w:val="21"/>
                <w:lang w:val="en-US" w:eastAsia="zh-CN"/>
              </w:rPr>
              <w:t xml:space="preserve">6</w:t>
            </w:r>
            <w:r>
              <w:rPr>
                <w:rFonts w:hint="eastAsia" w:ascii="Times New Roman" w:hAnsi="Times New Roman"/>
                <w:sz w:val="21"/>
              </w:rPr>
              <w:t xml:space="preserve">分。</w:t>
            </w:r>
            <w:r/>
          </w:p>
          <w:p>
            <w:pPr>
              <w:jc w:val="left"/>
              <w:spacing w:line="400" w:lineRule="exact"/>
              <w:widowControl/>
              <w:rPr>
                <w:rFonts w:ascii="Times New Roman" w:hAnsi="Times New Roman" w:cs="宋体"/>
                <w:szCs w:val="24"/>
                <w:highlight w:val="yellow"/>
              </w:rPr>
            </w:pPr>
            <w:r>
              <w:rPr>
                <w:rFonts w:hint="eastAsia" w:ascii="Times New Roman" w:hAnsi="Times New Roman"/>
                <w:sz w:val="21"/>
              </w:rPr>
              <w:t xml:space="preserve">注：1.提供相关证书电子件和2026年6月（含）以来任意一个月供应商为其缴纳的社会保险证明电子件，证明以社保主管部门出具的为准，否则不得分；2. 项目组成员（除项目负责人外）同一人具有多个证书，不重复计分，不同人具有相同证书，不重复计分。</w:t>
            </w:r>
            <w:r/>
          </w:p>
        </w:tc>
      </w:tr>
      <w:tr>
        <w:trPr>
          <w:jc w:val="center"/>
          <w:trHeight w:val="329"/>
        </w:trPr>
        <w:tc>
          <w:tcPr>
            <w:tcW w:w="1428" w:type="dxa"/>
            <w:vAlign w:val="center"/>
            <w:textDirection w:val="lrTb"/>
            <w:noWrap w:val="false"/>
          </w:tcPr>
          <w:p>
            <w:pPr>
              <w:jc w:val="center"/>
              <w:keepLines w:val="0"/>
              <w:keepNext w:val="0"/>
              <w:pageBreakBefore w:val="0"/>
              <w:spacing w:line="400" w:lineRule="exact"/>
              <w:widowControl w:val="off"/>
              <w:rPr>
                <w:rFonts w:hint="eastAsia" w:ascii="Times New Roman" w:hAnsi="Times New Roman" w:cs="宋体"/>
                <w:szCs w:val="21"/>
              </w:rPr>
            </w:pPr>
            <w:r/>
            <w:bookmarkStart w:id="82" w:name="_Toc10422"/>
            <w:r>
              <w:rPr>
                <w:rFonts w:hint="eastAsia" w:ascii="Times New Roman" w:hAnsi="Times New Roman" w:eastAsia="宋体"/>
                <w:sz w:val="21"/>
                <w:lang w:bidi="ar"/>
              </w:rPr>
              <w:t xml:space="preserve">项目实施方案</w:t>
            </w:r>
            <w:r/>
          </w:p>
        </w:tc>
        <w:tc>
          <w:tcPr>
            <w:tcW w:w="1061" w:type="dxa"/>
            <w:vAlign w:val="center"/>
            <w:textDirection w:val="lrTb"/>
            <w:noWrap w:val="false"/>
          </w:tcPr>
          <w:p>
            <w:pPr>
              <w:jc w:val="center"/>
              <w:keepLines w:val="0"/>
              <w:keepNext w:val="0"/>
              <w:pageBreakBefore w:val="0"/>
              <w:spacing w:line="400" w:lineRule="exact"/>
              <w:widowControl w:val="off"/>
              <w:rPr>
                <w:rFonts w:hint="eastAsia" w:ascii="Times New Roman" w:hAnsi="Times New Roman" w:cs="宋体"/>
                <w:szCs w:val="21"/>
              </w:rPr>
            </w:pPr>
            <w:r>
              <w:rPr>
                <w:rFonts w:hint="eastAsia" w:ascii="Times New Roman" w:hAnsi="Times New Roman" w:eastAsia="宋体"/>
                <w:sz w:val="21"/>
                <w:lang w:bidi="ar"/>
              </w:rPr>
              <w:t xml:space="preserve">5</w:t>
            </w:r>
            <w:r>
              <w:rPr>
                <w:rFonts w:ascii="Times New Roman" w:hAnsi="Times New Roman" w:eastAsia="宋体"/>
                <w:sz w:val="21"/>
                <w:lang w:bidi="ar"/>
              </w:rPr>
              <w:t xml:space="preserve">.00分</w:t>
            </w:r>
            <w:r/>
          </w:p>
        </w:tc>
        <w:tc>
          <w:tcPr>
            <w:tcW w:w="6461" w:type="dxa"/>
            <w:vAlign w:val="center"/>
            <w:textDirection w:val="lrTb"/>
            <w:noWrap w:val="false"/>
          </w:tcPr>
          <w:p>
            <w:pPr>
              <w:pStyle w:val="748"/>
              <w:ind w:firstLine="0"/>
              <w:keepLines w:val="0"/>
              <w:keepNext w:val="0"/>
              <w:pageBreakBefore w:val="0"/>
              <w:spacing w:line="400" w:lineRule="exact"/>
              <w:widowControl w:val="off"/>
              <w:rPr>
                <w:rFonts w:hint="eastAsia" w:ascii="Times New Roman" w:hAnsi="Times New Roman" w:cs="宋体"/>
                <w:szCs w:val="21"/>
              </w:rPr>
            </w:pPr>
            <w:r>
              <w:rPr>
                <w:rFonts w:hint="eastAsia" w:ascii="Times New Roman" w:hAnsi="Times New Roman" w:eastAsia="宋体"/>
                <w:b w:val="0"/>
                <w:bCs w:val="0"/>
                <w:color w:val="auto"/>
                <w:sz w:val="21"/>
                <w:szCs w:val="22"/>
                <w:lang w:bidi="ar"/>
              </w:rPr>
              <w:t xml:space="preserve">针对采购文件“第四章 采购需求-</w:t>
            </w:r>
            <w:r>
              <w:rPr>
                <w:rFonts w:hint="eastAsia" w:ascii="Times New Roman" w:hAnsi="Times New Roman" w:eastAsia="宋体" w:cs="Times New Roman"/>
                <w:b w:val="0"/>
                <w:bCs w:val="0"/>
                <w:color w:val="auto"/>
                <w:sz w:val="21"/>
                <w:szCs w:val="22"/>
                <w:lang w:val="en-US" w:eastAsia="zh-CN" w:bidi="ar-SA"/>
              </w:rPr>
              <w:t xml:space="preserve">四、项目实施</w:t>
            </w:r>
            <w:r>
              <w:rPr>
                <w:rFonts w:hint="eastAsia" w:ascii="Times New Roman" w:hAnsi="Times New Roman" w:eastAsia="宋体"/>
                <w:b w:val="0"/>
                <w:bCs w:val="0"/>
                <w:color w:val="auto"/>
                <w:sz w:val="21"/>
                <w:szCs w:val="22"/>
                <w:lang w:bidi="ar"/>
              </w:rPr>
              <w:t xml:space="preserve">要求”提供项目实施方案。优于采购需求的，得5分；满足采购需求的，得3分；其他情况不得分。</w:t>
            </w:r>
            <w:r/>
          </w:p>
        </w:tc>
      </w:tr>
      <w:tr>
        <w:trPr>
          <w:jc w:val="center"/>
          <w:trHeight w:val="329"/>
        </w:trPr>
        <w:tc>
          <w:tcPr>
            <w:shd w:val="clear" w:color="auto" w:fill="auto"/>
            <w:tcW w:w="1428" w:type="dxa"/>
            <w:vAlign w:val="center"/>
            <w:textDirection w:val="lrTb"/>
            <w:noWrap w:val="false"/>
          </w:tcPr>
          <w:p>
            <w:pPr>
              <w:jc w:val="center"/>
              <w:keepLines w:val="0"/>
              <w:keepNext w:val="0"/>
              <w:pageBreakBefore w:val="0"/>
              <w:spacing w:line="400" w:lineRule="exact"/>
              <w:widowControl w:val="off"/>
              <w:rPr>
                <w:rFonts w:hint="eastAsia" w:ascii="Times New Roman" w:hAnsi="Times New Roman" w:eastAsia="宋体" w:cs="宋体"/>
                <w:sz w:val="21"/>
                <w:szCs w:val="21"/>
                <w:lang w:val="en-US" w:eastAsia="zh-CN" w:bidi="ar-SA"/>
              </w:rPr>
            </w:pPr>
            <w:r>
              <w:rPr>
                <w:rFonts w:hint="eastAsia" w:ascii="Times New Roman" w:hAnsi="Times New Roman" w:eastAsia="宋体"/>
                <w:sz w:val="21"/>
              </w:rPr>
              <w:t xml:space="preserve">安全和保密方案</w:t>
            </w:r>
            <w:r/>
          </w:p>
        </w:tc>
        <w:tc>
          <w:tcPr>
            <w:shd w:val="clear" w:color="auto" w:fill="auto"/>
            <w:tcW w:w="1061" w:type="dxa"/>
            <w:vAlign w:val="center"/>
            <w:textDirection w:val="lrTb"/>
            <w:noWrap w:val="false"/>
          </w:tcPr>
          <w:p>
            <w:pPr>
              <w:jc w:val="center"/>
              <w:keepLines w:val="0"/>
              <w:keepNext w:val="0"/>
              <w:pageBreakBefore w:val="0"/>
              <w:spacing w:line="400" w:lineRule="exact"/>
              <w:widowControl w:val="off"/>
              <w:rPr>
                <w:rFonts w:hint="eastAsia" w:ascii="Times New Roman" w:hAnsi="Times New Roman" w:eastAsia="宋体" w:cs="宋体"/>
                <w:sz w:val="21"/>
                <w:szCs w:val="21"/>
                <w:lang w:val="en-US" w:eastAsia="zh-CN" w:bidi="ar-SA"/>
              </w:rPr>
            </w:pPr>
            <w:r>
              <w:rPr>
                <w:rFonts w:hint="eastAsia" w:ascii="Times New Roman" w:hAnsi="Times New Roman" w:eastAsia="宋体"/>
                <w:sz w:val="21"/>
                <w:lang w:bidi="ar"/>
              </w:rPr>
              <w:t xml:space="preserve">5.00分</w:t>
            </w:r>
            <w:r/>
          </w:p>
        </w:tc>
        <w:tc>
          <w:tcPr>
            <w:shd w:val="clear" w:color="auto" w:fill="auto"/>
            <w:tcW w:w="6461" w:type="dxa"/>
            <w:vAlign w:val="center"/>
            <w:textDirection w:val="lrTb"/>
            <w:noWrap w:val="false"/>
          </w:tcPr>
          <w:p>
            <w:pPr>
              <w:keepLines w:val="0"/>
              <w:keepNext w:val="0"/>
              <w:pageBreakBefore w:val="0"/>
              <w:spacing w:line="400" w:lineRule="exact"/>
              <w:widowControl w:val="off"/>
              <w:rPr>
                <w:rFonts w:hint="eastAsia" w:ascii="Times New Roman" w:hAnsi="Times New Roman" w:eastAsia="宋体" w:cs="宋体"/>
                <w:sz w:val="21"/>
                <w:szCs w:val="21"/>
                <w:lang w:val="en-US" w:eastAsia="zh-CN" w:bidi="ar-SA"/>
              </w:rPr>
            </w:pPr>
            <w:r>
              <w:rPr>
                <w:rFonts w:hint="eastAsia" w:ascii="Times New Roman" w:hAnsi="Times New Roman" w:eastAsia="宋体" w:cs="宋体"/>
                <w:sz w:val="21"/>
                <w:szCs w:val="21"/>
              </w:rPr>
              <w:t xml:space="preserve">针对采购文件“第四章 采购需求-</w:t>
            </w:r>
            <w:r>
              <w:rPr>
                <w:rFonts w:hint="eastAsia" w:ascii="Times New Roman" w:hAnsi="Times New Roman" w:cs="宋体"/>
                <w:sz w:val="21"/>
                <w:szCs w:val="21"/>
                <w:lang w:val="en-US" w:eastAsia="zh-CN"/>
              </w:rPr>
              <w:t xml:space="preserve">六</w:t>
            </w:r>
            <w:r>
              <w:rPr>
                <w:rFonts w:hint="eastAsia" w:ascii="Times New Roman" w:hAnsi="Times New Roman" w:eastAsia="宋体" w:cs="宋体"/>
                <w:sz w:val="21"/>
                <w:szCs w:val="21"/>
              </w:rPr>
              <w:t xml:space="preserve">、安全和保密要求”提供安全和保密方案。优于采购需求的，得5分；满足采购需求的，得3分；其他情况不得分。</w:t>
            </w:r>
            <w:r/>
          </w:p>
        </w:tc>
      </w:tr>
      <w:tr>
        <w:trPr>
          <w:jc w:val="center"/>
          <w:trHeight w:val="329"/>
        </w:trPr>
        <w:tc>
          <w:tcPr>
            <w:tcW w:w="1428" w:type="dxa"/>
            <w:vAlign w:val="center"/>
            <w:textDirection w:val="lrTb"/>
            <w:noWrap w:val="false"/>
          </w:tcPr>
          <w:p>
            <w:pPr>
              <w:jc w:val="center"/>
              <w:keepLines w:val="0"/>
              <w:keepNext w:val="0"/>
              <w:pageBreakBefore w:val="0"/>
              <w:spacing w:line="400" w:lineRule="exact"/>
              <w:widowControl w:val="off"/>
              <w:rPr>
                <w:rFonts w:hint="eastAsia" w:ascii="Times New Roman" w:hAnsi="Times New Roman" w:cs="宋体"/>
                <w:szCs w:val="21"/>
              </w:rPr>
            </w:pPr>
            <w:r>
              <w:rPr>
                <w:rFonts w:hint="eastAsia" w:ascii="Times New Roman" w:hAnsi="Times New Roman" w:eastAsia="宋体"/>
                <w:sz w:val="21"/>
                <w:lang w:bidi="ar"/>
              </w:rPr>
              <w:t xml:space="preserve">接口对接方案</w:t>
            </w:r>
            <w:r/>
          </w:p>
        </w:tc>
        <w:tc>
          <w:tcPr>
            <w:tcW w:w="1061" w:type="dxa"/>
            <w:vAlign w:val="center"/>
            <w:textDirection w:val="lrTb"/>
            <w:noWrap w:val="false"/>
          </w:tcPr>
          <w:p>
            <w:pPr>
              <w:jc w:val="center"/>
              <w:keepLines w:val="0"/>
              <w:keepNext w:val="0"/>
              <w:pageBreakBefore w:val="0"/>
              <w:spacing w:line="400" w:lineRule="exact"/>
              <w:widowControl w:val="off"/>
              <w:rPr>
                <w:rFonts w:hint="eastAsia" w:ascii="Times New Roman" w:hAnsi="Times New Roman" w:cs="宋体"/>
                <w:szCs w:val="21"/>
              </w:rPr>
            </w:pPr>
            <w:r>
              <w:rPr>
                <w:rFonts w:hint="eastAsia" w:ascii="Times New Roman" w:hAnsi="Times New Roman" w:eastAsia="宋体"/>
                <w:sz w:val="21"/>
                <w:lang w:bidi="ar"/>
              </w:rPr>
              <w:t xml:space="preserve">5</w:t>
            </w:r>
            <w:r>
              <w:rPr>
                <w:rFonts w:ascii="Times New Roman" w:hAnsi="Times New Roman" w:eastAsia="宋体"/>
                <w:sz w:val="21"/>
                <w:lang w:bidi="ar"/>
              </w:rPr>
              <w:t xml:space="preserve">.00分</w:t>
            </w:r>
            <w:r/>
          </w:p>
        </w:tc>
        <w:tc>
          <w:tcPr>
            <w:tcW w:w="6461" w:type="dxa"/>
            <w:vAlign w:val="center"/>
            <w:textDirection w:val="lrTb"/>
            <w:noWrap w:val="false"/>
          </w:tcPr>
          <w:p>
            <w:pPr>
              <w:pStyle w:val="748"/>
              <w:ind w:firstLine="0"/>
              <w:keepLines w:val="0"/>
              <w:keepNext w:val="0"/>
              <w:pageBreakBefore w:val="0"/>
              <w:spacing w:line="400" w:lineRule="exact"/>
              <w:widowControl w:val="off"/>
              <w:rPr>
                <w:rFonts w:hint="eastAsia" w:ascii="Times New Roman" w:hAnsi="Times New Roman" w:cs="宋体"/>
                <w:szCs w:val="21"/>
              </w:rPr>
            </w:pPr>
            <w:r>
              <w:rPr>
                <w:rFonts w:hint="eastAsia" w:ascii="Times New Roman" w:hAnsi="Times New Roman" w:eastAsia="宋体"/>
                <w:b w:val="0"/>
                <w:bCs w:val="0"/>
                <w:color w:val="auto"/>
                <w:sz w:val="21"/>
                <w:szCs w:val="22"/>
                <w:lang w:bidi="ar"/>
              </w:rPr>
              <w:t xml:space="preserve">针对采购文件“第四章 采购需求-七、接口对接要求”提供接口对接方案。优于采购需求的，得5分；满足采购需求的，得3分；其他情况不得分。</w:t>
            </w:r>
            <w:r/>
          </w:p>
        </w:tc>
      </w:tr>
      <w:tr>
        <w:trPr>
          <w:jc w:val="center"/>
          <w:trHeight w:val="329"/>
        </w:trPr>
        <w:tc>
          <w:tcPr>
            <w:tcW w:w="1428" w:type="dxa"/>
            <w:vAlign w:val="center"/>
            <w:textDirection w:val="lrTb"/>
            <w:noWrap w:val="false"/>
          </w:tcPr>
          <w:p>
            <w:pPr>
              <w:jc w:val="center"/>
              <w:keepLines w:val="0"/>
              <w:keepNext w:val="0"/>
              <w:pageBreakBefore w:val="0"/>
              <w:spacing w:line="400" w:lineRule="exact"/>
              <w:widowControl w:val="off"/>
              <w:rPr>
                <w:rFonts w:hint="eastAsia" w:ascii="Times New Roman" w:hAnsi="Times New Roman" w:cs="宋体"/>
                <w:szCs w:val="21"/>
              </w:rPr>
            </w:pPr>
            <w:r>
              <w:rPr>
                <w:rFonts w:hint="eastAsia" w:ascii="Times New Roman" w:hAnsi="Times New Roman" w:eastAsia="宋体"/>
                <w:sz w:val="21"/>
                <w:lang w:bidi="ar"/>
              </w:rPr>
              <w:t xml:space="preserve">人员培训</w:t>
            </w:r>
            <w:r>
              <w:rPr>
                <w:rFonts w:hint="eastAsia" w:ascii="Times New Roman" w:hAnsi="Times New Roman" w:eastAsia="宋体"/>
                <w:sz w:val="21"/>
              </w:rPr>
              <w:t xml:space="preserve">方案</w:t>
            </w:r>
            <w:r/>
          </w:p>
        </w:tc>
        <w:tc>
          <w:tcPr>
            <w:tcW w:w="1061" w:type="dxa"/>
            <w:vAlign w:val="center"/>
            <w:textDirection w:val="lrTb"/>
            <w:noWrap w:val="false"/>
          </w:tcPr>
          <w:p>
            <w:pPr>
              <w:jc w:val="center"/>
              <w:keepLines w:val="0"/>
              <w:keepNext w:val="0"/>
              <w:pageBreakBefore w:val="0"/>
              <w:spacing w:line="400" w:lineRule="exact"/>
              <w:widowControl w:val="off"/>
              <w:rPr>
                <w:rFonts w:hint="eastAsia" w:ascii="Times New Roman" w:hAnsi="Times New Roman" w:cs="宋体"/>
                <w:szCs w:val="21"/>
              </w:rPr>
            </w:pPr>
            <w:r>
              <w:rPr>
                <w:rFonts w:hint="eastAsia" w:ascii="Times New Roman" w:hAnsi="Times New Roman" w:eastAsia="宋体"/>
                <w:sz w:val="21"/>
                <w:lang w:bidi="ar"/>
              </w:rPr>
              <w:t xml:space="preserve">5</w:t>
            </w:r>
            <w:r>
              <w:rPr>
                <w:rFonts w:ascii="Times New Roman" w:hAnsi="Times New Roman" w:eastAsia="宋体"/>
                <w:sz w:val="21"/>
                <w:lang w:bidi="ar"/>
              </w:rPr>
              <w:t xml:space="preserve">.00分</w:t>
            </w:r>
            <w:r/>
          </w:p>
        </w:tc>
        <w:tc>
          <w:tcPr>
            <w:tcW w:w="6461" w:type="dxa"/>
            <w:vAlign w:val="center"/>
            <w:textDirection w:val="lrTb"/>
            <w:noWrap w:val="false"/>
          </w:tcPr>
          <w:p>
            <w:pPr>
              <w:keepLines w:val="0"/>
              <w:keepNext w:val="0"/>
              <w:pageBreakBefore w:val="0"/>
              <w:spacing w:line="400" w:lineRule="exact"/>
              <w:widowControl w:val="off"/>
              <w:rPr>
                <w:rFonts w:hint="eastAsia" w:ascii="Times New Roman" w:hAnsi="Times New Roman" w:cs="宋体"/>
                <w:szCs w:val="21"/>
              </w:rPr>
            </w:pPr>
            <w:r>
              <w:rPr>
                <w:rFonts w:hint="eastAsia" w:ascii="Times New Roman" w:hAnsi="Times New Roman" w:eastAsia="宋体" w:cs="宋体"/>
                <w:sz w:val="21"/>
                <w:szCs w:val="21"/>
              </w:rPr>
              <w:t xml:space="preserve">针对采购文件“第四章 采购需求-八、培训要求”提供人员培训方案。优于采购需求的，得5分；满足采购需求的，得3分；其他情况不得分。</w:t>
            </w:r>
            <w:r/>
          </w:p>
        </w:tc>
      </w:tr>
      <w:tr>
        <w:trPr>
          <w:jc w:val="center"/>
          <w:trHeight w:val="329"/>
        </w:trPr>
        <w:tc>
          <w:tcPr>
            <w:tcW w:w="1428" w:type="dxa"/>
            <w:vAlign w:val="center"/>
            <w:textDirection w:val="lrTb"/>
            <w:noWrap w:val="false"/>
          </w:tcPr>
          <w:p>
            <w:pPr>
              <w:jc w:val="center"/>
              <w:keepLines w:val="0"/>
              <w:keepNext w:val="0"/>
              <w:pageBreakBefore w:val="0"/>
              <w:spacing w:line="400" w:lineRule="exact"/>
              <w:widowControl w:val="off"/>
              <w:rPr>
                <w:rFonts w:hint="eastAsia" w:ascii="Times New Roman" w:hAnsi="Times New Roman" w:cs="宋体"/>
                <w:szCs w:val="21"/>
              </w:rPr>
            </w:pPr>
            <w:r>
              <w:rPr>
                <w:rFonts w:hint="eastAsia" w:ascii="Times New Roman" w:hAnsi="Times New Roman" w:cs="宋体"/>
                <w:sz w:val="21"/>
                <w:szCs w:val="21"/>
                <w:lang w:val="en-US" w:eastAsia="zh-CN"/>
              </w:rPr>
              <w:t xml:space="preserve">售后运维</w:t>
            </w:r>
            <w:r>
              <w:rPr>
                <w:rFonts w:hint="eastAsia" w:ascii="Times New Roman" w:hAnsi="Times New Roman" w:eastAsia="宋体" w:cs="宋体"/>
                <w:sz w:val="21"/>
                <w:szCs w:val="21"/>
              </w:rPr>
              <w:t xml:space="preserve">服务方案</w:t>
            </w:r>
            <w:r/>
          </w:p>
        </w:tc>
        <w:tc>
          <w:tcPr>
            <w:tcW w:w="1061" w:type="dxa"/>
            <w:vAlign w:val="center"/>
            <w:textDirection w:val="lrTb"/>
            <w:noWrap w:val="false"/>
          </w:tcPr>
          <w:p>
            <w:pPr>
              <w:jc w:val="center"/>
              <w:keepLines w:val="0"/>
              <w:keepNext w:val="0"/>
              <w:pageBreakBefore w:val="0"/>
              <w:spacing w:line="400" w:lineRule="exact"/>
              <w:widowControl w:val="off"/>
              <w:rPr>
                <w:rFonts w:hint="eastAsia" w:ascii="Times New Roman" w:hAnsi="Times New Roman" w:cs="宋体"/>
                <w:szCs w:val="21"/>
              </w:rPr>
            </w:pPr>
            <w:r>
              <w:rPr>
                <w:rFonts w:hint="eastAsia" w:ascii="Times New Roman" w:hAnsi="Times New Roman" w:eastAsia="宋体" w:cs="宋体"/>
                <w:sz w:val="21"/>
                <w:szCs w:val="21"/>
              </w:rPr>
              <w:t xml:space="preserve">5</w:t>
            </w:r>
            <w:r>
              <w:rPr>
                <w:rFonts w:ascii="Times New Roman" w:hAnsi="Times New Roman" w:eastAsia="宋体" w:cs="宋体"/>
                <w:sz w:val="21"/>
                <w:szCs w:val="21"/>
              </w:rPr>
              <w:t xml:space="preserve">.00分</w:t>
            </w:r>
            <w:r/>
          </w:p>
        </w:tc>
        <w:tc>
          <w:tcPr>
            <w:tcW w:w="6461" w:type="dxa"/>
            <w:vAlign w:val="center"/>
            <w:textDirection w:val="lrTb"/>
            <w:noWrap w:val="false"/>
          </w:tcPr>
          <w:p>
            <w:pPr>
              <w:numPr>
                <w:ilvl w:val="255"/>
                <w:numId w:val="0"/>
              </w:numPr>
              <w:ind w:left="0" w:firstLine="0"/>
              <w:keepLines w:val="0"/>
              <w:keepNext w:val="0"/>
              <w:pageBreakBefore w:val="0"/>
              <w:spacing w:line="400" w:lineRule="exact"/>
              <w:widowControl w:val="off"/>
              <w:rPr>
                <w:rFonts w:hint="eastAsia" w:ascii="Times New Roman" w:hAnsi="Times New Roman" w:cs="宋体"/>
                <w:szCs w:val="21"/>
              </w:rPr>
            </w:pPr>
            <w:r>
              <w:rPr>
                <w:rFonts w:hint="eastAsia" w:ascii="Times New Roman" w:hAnsi="Times New Roman" w:eastAsia="宋体" w:cs="宋体"/>
                <w:sz w:val="21"/>
                <w:szCs w:val="21"/>
              </w:rPr>
              <w:t xml:space="preserve">针对采购文件“第四章 采购需求-十、</w:t>
            </w:r>
            <w:r>
              <w:rPr>
                <w:rFonts w:hint="eastAsia" w:ascii="Times New Roman" w:hAnsi="Times New Roman" w:cs="宋体"/>
                <w:sz w:val="21"/>
                <w:szCs w:val="21"/>
                <w:lang w:val="en-US" w:eastAsia="zh-CN"/>
              </w:rPr>
              <w:t xml:space="preserve">售后运维</w:t>
            </w:r>
            <w:r>
              <w:rPr>
                <w:rFonts w:hint="eastAsia" w:ascii="Times New Roman" w:hAnsi="Times New Roman" w:eastAsia="宋体" w:cs="宋体"/>
                <w:sz w:val="21"/>
                <w:szCs w:val="21"/>
              </w:rPr>
              <w:t xml:space="preserve">服务</w:t>
            </w:r>
            <w:r>
              <w:rPr>
                <w:rFonts w:hint="eastAsia" w:ascii="Times New Roman" w:hAnsi="Times New Roman" w:cs="宋体"/>
                <w:sz w:val="21"/>
                <w:szCs w:val="21"/>
                <w:lang w:val="en-US" w:eastAsia="zh-CN"/>
              </w:rPr>
              <w:t xml:space="preserve">要求</w:t>
            </w:r>
            <w:r>
              <w:rPr>
                <w:rFonts w:hint="eastAsia" w:ascii="Times New Roman" w:hAnsi="Times New Roman" w:eastAsia="宋体" w:cs="宋体"/>
                <w:sz w:val="21"/>
                <w:szCs w:val="21"/>
              </w:rPr>
              <w:t xml:space="preserve">”提供维保服务方案。优于采购需求的，得5分；满足采购需求的，得3分；其他情况不得分。</w:t>
            </w:r>
            <w:r/>
          </w:p>
        </w:tc>
      </w:tr>
      <w:tr>
        <w:trPr>
          <w:jc w:val="center"/>
          <w:trHeight w:val="329"/>
        </w:trPr>
        <w:tc>
          <w:tcPr>
            <w:tcW w:w="1428" w:type="dxa"/>
            <w:vAlign w:val="center"/>
            <w:textDirection w:val="lrTb"/>
            <w:noWrap w:val="false"/>
          </w:tcPr>
          <w:p>
            <w:pPr>
              <w:jc w:val="center"/>
              <w:keepLines w:val="0"/>
              <w:keepNext w:val="0"/>
              <w:pageBreakBefore w:val="0"/>
              <w:spacing w:line="400" w:lineRule="exact"/>
              <w:widowControl w:val="off"/>
              <w:rPr>
                <w:rFonts w:hint="eastAsia" w:ascii="Times New Roman" w:hAnsi="Times New Roman" w:cs="宋体"/>
                <w:szCs w:val="21"/>
              </w:rPr>
            </w:pPr>
            <w:r>
              <w:rPr>
                <w:rFonts w:hint="eastAsia" w:ascii="Times New Roman" w:hAnsi="Times New Roman" w:eastAsia="宋体" w:cs="宋体"/>
                <w:sz w:val="21"/>
                <w:szCs w:val="21"/>
              </w:rPr>
              <w:t xml:space="preserve">数据更新方案</w:t>
            </w:r>
            <w:r/>
          </w:p>
        </w:tc>
        <w:tc>
          <w:tcPr>
            <w:tcW w:w="1061" w:type="dxa"/>
            <w:vAlign w:val="center"/>
            <w:textDirection w:val="lrTb"/>
            <w:noWrap w:val="false"/>
          </w:tcPr>
          <w:p>
            <w:pPr>
              <w:jc w:val="center"/>
              <w:keepLines w:val="0"/>
              <w:keepNext w:val="0"/>
              <w:pageBreakBefore w:val="0"/>
              <w:spacing w:line="400" w:lineRule="exact"/>
              <w:widowControl w:val="off"/>
              <w:rPr>
                <w:rFonts w:hint="eastAsia" w:ascii="Times New Roman" w:hAnsi="Times New Roman" w:cs="宋体"/>
                <w:szCs w:val="21"/>
              </w:rPr>
            </w:pPr>
            <w:r>
              <w:rPr>
                <w:rFonts w:hint="eastAsia" w:ascii="Times New Roman" w:hAnsi="Times New Roman" w:eastAsia="宋体" w:cs="宋体"/>
                <w:sz w:val="21"/>
                <w:szCs w:val="21"/>
              </w:rPr>
              <w:t xml:space="preserve">5</w:t>
            </w:r>
            <w:r>
              <w:rPr>
                <w:rFonts w:ascii="Times New Roman" w:hAnsi="Times New Roman" w:eastAsia="宋体" w:cs="宋体"/>
                <w:sz w:val="21"/>
                <w:szCs w:val="21"/>
              </w:rPr>
              <w:t xml:space="preserve">.00分</w:t>
            </w:r>
            <w:r/>
          </w:p>
        </w:tc>
        <w:tc>
          <w:tcPr>
            <w:tcW w:w="6461" w:type="dxa"/>
            <w:vAlign w:val="center"/>
            <w:textDirection w:val="lrTb"/>
            <w:noWrap w:val="false"/>
          </w:tcPr>
          <w:p>
            <w:pPr>
              <w:numPr>
                <w:ilvl w:val="255"/>
                <w:numId w:val="0"/>
              </w:numPr>
              <w:ind w:left="0" w:firstLine="0"/>
              <w:keepLines w:val="0"/>
              <w:keepNext w:val="0"/>
              <w:pageBreakBefore w:val="0"/>
              <w:spacing w:line="400" w:lineRule="exact"/>
              <w:widowControl w:val="off"/>
              <w:rPr>
                <w:rFonts w:hint="eastAsia" w:ascii="Times New Roman" w:hAnsi="Times New Roman" w:cs="宋体"/>
                <w:szCs w:val="21"/>
              </w:rPr>
            </w:pPr>
            <w:r>
              <w:rPr>
                <w:rFonts w:hint="eastAsia" w:ascii="Times New Roman" w:hAnsi="Times New Roman" w:eastAsia="宋体" w:cs="宋体"/>
                <w:sz w:val="21"/>
                <w:szCs w:val="21"/>
              </w:rPr>
              <w:t xml:space="preserve">针对采购文件“第四章 采购需求-十一、数据更新要求”提供数据更新方案。优于采购需求的，得5分；满足采购需求的，得3分；其他情况不得分。</w:t>
            </w:r>
            <w:bookmarkEnd w:id="79"/>
            <w:r/>
            <w:bookmarkEnd w:id="80"/>
            <w:r/>
            <w:bookmarkEnd w:id="81"/>
            <w:r/>
            <w:r/>
          </w:p>
        </w:tc>
      </w:tr>
    </w:tbl>
    <w:p>
      <w:pPr>
        <w:rPr>
          <w:rFonts w:ascii="Times New Roman" w:hAnsi="Times New Roman"/>
          <w:b/>
          <w:sz w:val="44"/>
          <w:szCs w:val="44"/>
        </w:rPr>
      </w:pPr>
      <w:r>
        <w:rPr>
          <w:rFonts w:ascii="Times New Roman" w:hAnsi="Times New Roman"/>
          <w:b/>
          <w:sz w:val="44"/>
          <w:szCs w:val="44"/>
        </w:rPr>
        <w:br w:type="page" w:clear="all"/>
      </w:r>
      <w:r/>
    </w:p>
    <w:p>
      <w:pPr>
        <w:jc w:val="center"/>
        <w:spacing w:line="500" w:lineRule="exact"/>
        <w:rPr>
          <w:rFonts w:ascii="Times New Roman" w:hAnsi="Times New Roman"/>
          <w:b/>
          <w:sz w:val="44"/>
          <w:szCs w:val="44"/>
        </w:rPr>
        <w:outlineLvl w:val="0"/>
      </w:pPr>
      <w:r/>
      <w:bookmarkStart w:id="83" w:name="_Toc31956"/>
      <w:r/>
      <w:bookmarkStart w:id="84" w:name="_Toc1519"/>
      <w:r>
        <w:rPr>
          <w:rFonts w:ascii="Times New Roman" w:hAnsi="Times New Roman"/>
          <w:b/>
          <w:sz w:val="44"/>
          <w:szCs w:val="44"/>
        </w:rPr>
        <w:t xml:space="preserve">第四</w:t>
      </w:r>
      <w:r>
        <w:rPr>
          <w:rFonts w:hint="eastAsia" w:ascii="Times New Roman" w:hAnsi="Times New Roman"/>
          <w:b/>
          <w:sz w:val="44"/>
          <w:szCs w:val="44"/>
        </w:rPr>
        <w:t xml:space="preserve">章  </w:t>
      </w:r>
      <w:r>
        <w:rPr>
          <w:rFonts w:ascii="Times New Roman" w:hAnsi="Times New Roman"/>
          <w:b/>
          <w:sz w:val="44"/>
          <w:szCs w:val="44"/>
        </w:rPr>
        <w:t xml:space="preserve">采购需求</w:t>
      </w:r>
      <w:bookmarkEnd w:id="82"/>
      <w:r/>
      <w:bookmarkEnd w:id="83"/>
      <w:r/>
      <w:bookmarkEnd w:id="84"/>
      <w:r/>
      <w:r/>
    </w:p>
    <w:p>
      <w:pPr>
        <w:pStyle w:val="764"/>
        <w:spacing w:before="240" w:beforeAutospacing="0" w:after="240" w:afterAutospacing="0"/>
        <w:rPr>
          <w:rFonts w:hint="eastAsia" w:ascii="黑体" w:hAnsi="黑体" w:eastAsia="黑体" w:cs="黑体"/>
          <w:bCs/>
          <w:sz w:val="32"/>
          <w:lang w:bidi="ar"/>
        </w:rPr>
        <w:outlineLvl w:val="1"/>
      </w:pPr>
      <w:r/>
      <w:bookmarkStart w:id="85" w:name="_Toc17639"/>
      <w:r/>
      <w:bookmarkStart w:id="86" w:name="_Toc22280"/>
      <w:r>
        <w:rPr>
          <w:rFonts w:hint="eastAsia" w:ascii="黑体" w:hAnsi="黑体" w:eastAsia="黑体" w:cs="黑体"/>
          <w:bCs/>
          <w:sz w:val="32"/>
          <w:lang w:bidi="ar"/>
        </w:rPr>
        <w:t xml:space="preserve">一、采购标的清单</w:t>
      </w:r>
      <w:r/>
    </w:p>
    <w:tbl>
      <w:tblPr>
        <w:tblStyle w:val="74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04"/>
        <w:gridCol w:w="4793"/>
        <w:gridCol w:w="3091"/>
      </w:tblGrid>
      <w:tr>
        <w:trPr>
          <w:cantSplit/>
          <w:jc w:val="center"/>
        </w:trPr>
        <w:tc>
          <w:tcPr>
            <w:tcW w:w="756" w:type="pct"/>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t xml:space="preserve">采购包号</w:t>
            </w:r>
            <w:r/>
          </w:p>
        </w:tc>
        <w:tc>
          <w:tcPr>
            <w:tcW w:w="2579" w:type="pct"/>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t xml:space="preserve">采购标的</w:t>
            </w:r>
            <w:r/>
          </w:p>
        </w:tc>
        <w:tc>
          <w:tcPr>
            <w:tcW w:w="1663" w:type="pct"/>
            <w:vAlign w:val="center"/>
            <w:textDirection w:val="lrTb"/>
            <w:noWrap w:val="false"/>
          </w:tcPr>
          <w:p>
            <w:pPr>
              <w:ind w:firstLine="480"/>
              <w:jc w:val="center"/>
              <w:spacing w:line="360" w:lineRule="exact"/>
              <w:rPr>
                <w:rFonts w:hint="eastAsia"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jc w:val="center"/>
          <w:trHeight w:val="291"/>
        </w:trPr>
        <w:tc>
          <w:tcPr>
            <w:tcW w:w="756" w:type="pct"/>
            <w:vAlign w:val="center"/>
            <w:textDirection w:val="lrTb"/>
            <w:noWrap w:val="false"/>
          </w:tcPr>
          <w:p>
            <w:pPr>
              <w:ind w:firstLine="480"/>
              <w:jc w:val="left"/>
              <w:spacing w:line="480" w:lineRule="exact"/>
              <w:tabs>
                <w:tab w:val="left" w:pos="2020" w:leader="none"/>
              </w:tabs>
              <w:rPr>
                <w:rFonts w:hint="eastAsia" w:ascii="宋体" w:hAnsi="宋体"/>
                <w:sz w:val="24"/>
                <w:szCs w:val="24"/>
              </w:rPr>
            </w:pPr>
            <w:r>
              <w:rPr>
                <w:rFonts w:hint="eastAsia" w:ascii="宋体" w:hAnsi="宋体"/>
                <w:sz w:val="24"/>
                <w:szCs w:val="24"/>
              </w:rPr>
              <w:t xml:space="preserve">1</w:t>
            </w:r>
            <w:r/>
          </w:p>
        </w:tc>
        <w:tc>
          <w:tcPr>
            <w:tcW w:w="2579" w:type="pct"/>
            <w:textDirection w:val="lrTb"/>
            <w:noWrap w:val="false"/>
          </w:tcPr>
          <w:p>
            <w:pPr>
              <w:jc w:val="left"/>
              <w:spacing w:line="480" w:lineRule="exact"/>
              <w:tabs>
                <w:tab w:val="left" w:pos="2020" w:leader="none"/>
              </w:tabs>
              <w:rPr>
                <w:rFonts w:hint="eastAsia" w:ascii="宋体" w:hAnsi="宋体" w:eastAsia="宋体"/>
                <w:sz w:val="24"/>
                <w:szCs w:val="24"/>
                <w:lang w:eastAsia="zh-CN"/>
              </w:rPr>
            </w:pPr>
            <w:r>
              <w:rPr>
                <w:rFonts w:hint="eastAsia" w:ascii="宋体" w:hAnsi="宋体"/>
                <w:sz w:val="24"/>
                <w:szCs w:val="24"/>
                <w:lang w:eastAsia="zh-CN"/>
              </w:rPr>
              <w:t xml:space="preserve">宿迁市国有资产智慧监管一体化平台项目</w:t>
            </w:r>
            <w:r/>
          </w:p>
        </w:tc>
        <w:tc>
          <w:tcPr>
            <w:tcW w:w="1663" w:type="pct"/>
            <w:vAlign w:val="center"/>
            <w:textDirection w:val="lrTb"/>
            <w:noWrap w:val="false"/>
          </w:tcPr>
          <w:p>
            <w:pPr>
              <w:jc w:val="center"/>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软件和信息技术服务业</w:t>
            </w:r>
            <w:r/>
          </w:p>
        </w:tc>
      </w:tr>
    </w:tbl>
    <w:p>
      <w:pPr>
        <w:pStyle w:val="764"/>
        <w:numPr>
          <w:ilvl w:val="0"/>
          <w:numId w:val="4"/>
        </w:numPr>
        <w:spacing w:before="240" w:beforeAutospacing="0" w:after="240" w:afterAutospacing="0"/>
        <w:rPr>
          <w:rFonts w:hint="eastAsia" w:ascii="黑体" w:hAnsi="黑体" w:eastAsia="黑体" w:cs="黑体"/>
          <w:bCs/>
          <w:sz w:val="32"/>
          <w:lang w:bidi="ar"/>
        </w:rPr>
        <w:outlineLvl w:val="1"/>
      </w:pPr>
      <w:r/>
      <w:bookmarkStart w:id="87" w:name="_Toc148981260"/>
      <w:r>
        <w:rPr>
          <w:rFonts w:hint="eastAsia" w:ascii="黑体" w:hAnsi="黑体" w:eastAsia="黑体" w:cs="黑体"/>
          <w:bCs/>
          <w:sz w:val="32"/>
          <w:lang w:bidi="ar"/>
        </w:rPr>
        <w:t xml:space="preserve">项目概述</w:t>
      </w:r>
      <w:bookmarkEnd w:id="87"/>
      <w:r/>
      <w:r/>
    </w:p>
    <w:p>
      <w:pPr>
        <w:ind w:firstLine="480"/>
        <w:spacing w:line="480" w:lineRule="exact"/>
        <w:rPr>
          <w:rFonts w:ascii="Times New Roman" w:hAnsi="Times New Roman" w:cs="仿宋"/>
          <w:sz w:val="24"/>
        </w:rPr>
      </w:pPr>
      <w:r>
        <w:rPr>
          <w:rFonts w:hint="eastAsia" w:ascii="Times New Roman" w:hAnsi="Times New Roman" w:cs="仿宋"/>
          <w:sz w:val="24"/>
          <w:lang w:eastAsia="zh-CN"/>
        </w:rPr>
        <w:t xml:space="preserve">宿迁市国有资产智慧监管一体化平台项目以人工智能、大数据、地理信息等新一代信息技术为核心赋能，构建全域覆盖、智能高效、协同联动、闭环可控的现代化国有资产监管体系，全面提升我市国有资产精细化、数字化、智能化治理水平。</w:t>
      </w:r>
      <w:r/>
    </w:p>
    <w:p>
      <w:pPr>
        <w:pStyle w:val="764"/>
        <w:ind w:firstLine="320"/>
        <w:spacing w:before="240" w:beforeAutospacing="0" w:after="240" w:afterAutospacing="0"/>
        <w:rPr>
          <w:rFonts w:hint="default" w:ascii="黑体" w:hAnsi="黑体" w:eastAsia="黑体" w:cs="黑体"/>
          <w:bCs/>
          <w:sz w:val="32"/>
          <w:lang w:val="en-US" w:eastAsia="zh-CN" w:bidi="ar"/>
        </w:rPr>
        <w:outlineLvl w:val="1"/>
      </w:pPr>
      <w:r/>
      <w:bookmarkStart w:id="88" w:name="_Toc148981315"/>
      <w:r>
        <w:rPr>
          <w:rFonts w:hint="eastAsia" w:ascii="黑体" w:hAnsi="黑体" w:eastAsia="黑体" w:cs="黑体"/>
          <w:bCs/>
          <w:sz w:val="32"/>
          <w:lang w:val="en-US" w:eastAsia="zh-CN" w:bidi="ar"/>
        </w:rPr>
        <w:t xml:space="preserve">三</w:t>
      </w:r>
      <w:r>
        <w:rPr>
          <w:rFonts w:hint="eastAsia" w:ascii="黑体" w:hAnsi="黑体" w:eastAsia="黑体" w:cs="黑体"/>
          <w:bCs/>
          <w:sz w:val="32"/>
          <w:lang w:bidi="ar"/>
        </w:rPr>
        <w:t xml:space="preserve">、</w:t>
      </w:r>
      <w:r>
        <w:rPr>
          <w:rFonts w:hint="eastAsia" w:ascii="黑体" w:hAnsi="黑体" w:eastAsia="黑体" w:cs="黑体"/>
          <w:bCs/>
          <w:sz w:val="32"/>
          <w:lang w:val="en-US" w:eastAsia="zh-CN" w:bidi="ar"/>
        </w:rPr>
        <w:t xml:space="preserve">建设内容</w:t>
      </w:r>
      <w:r/>
    </w:p>
    <w:p>
      <w:pPr>
        <w:ind w:firstLine="480"/>
        <w:spacing w:line="480" w:lineRule="exact"/>
        <w:rPr>
          <w:rFonts w:hint="eastAsia" w:ascii="Times New Roman" w:hAnsi="Times New Roman" w:eastAsia="宋体" w:cs="仿宋"/>
          <w:sz w:val="24"/>
          <w:lang w:val="en-US" w:eastAsia="zh-CN"/>
        </w:rPr>
      </w:pPr>
      <w:r>
        <w:rPr>
          <w:rFonts w:hint="eastAsia" w:ascii="Times New Roman" w:hAnsi="Times New Roman" w:eastAsia="宋体" w:cs="仿宋"/>
          <w:sz w:val="24"/>
          <w:lang w:val="en-US" w:eastAsia="zh-CN"/>
        </w:rPr>
        <w:t xml:space="preserve">3.1 技术参数</w:t>
      </w:r>
      <w:bookmarkEnd w:id="88"/>
      <w:r/>
      <w:r/>
    </w:p>
    <w:tbl>
      <w:tblPr>
        <w:tblStyle w:val="767"/>
        <w:tblW w:w="0" w:type="auto"/>
        <w:tblInd w:w="5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7"/>
        <w:gridCol w:w="1272"/>
        <w:gridCol w:w="1830"/>
        <w:gridCol w:w="5116"/>
      </w:tblGrid>
      <w:tr>
        <w:trPr/>
        <w:tc>
          <w:tcPr>
            <w:tcW w:w="537" w:type="dxa"/>
            <w:vAlign w:val="center"/>
            <w:textDirection w:val="lrTb"/>
            <w:noWrap w:val="false"/>
          </w:tcPr>
          <w:p>
            <w:pPr>
              <w:pStyle w:val="766"/>
              <w:ind w:left="0" w:firstLine="0"/>
              <w:spacing w:line="240" w:lineRule="auto"/>
              <w:rPr>
                <w:b/>
                <w:bCs/>
              </w:rPr>
            </w:pPr>
            <w:r/>
            <w:bookmarkStart w:id="89" w:name="_Hlk221522180"/>
            <w:r/>
            <w:bookmarkStart w:id="90" w:name="_Toc142578284"/>
            <w:r/>
            <w:bookmarkStart w:id="91" w:name="_Hlk204677028"/>
            <w:r>
              <w:rPr>
                <w:rFonts w:hint="eastAsia"/>
                <w:b/>
                <w:bCs/>
              </w:rPr>
              <w:t xml:space="preserve">序号</w:t>
            </w:r>
            <w:r/>
          </w:p>
        </w:tc>
        <w:tc>
          <w:tcPr>
            <w:tcW w:w="1272" w:type="dxa"/>
            <w:vAlign w:val="center"/>
            <w:textDirection w:val="lrTb"/>
            <w:noWrap w:val="false"/>
          </w:tcPr>
          <w:p>
            <w:pPr>
              <w:pStyle w:val="766"/>
              <w:ind w:left="0" w:firstLine="0"/>
              <w:spacing w:line="240" w:lineRule="auto"/>
              <w:rPr>
                <w:b/>
                <w:bCs/>
              </w:rPr>
            </w:pPr>
            <w:r>
              <w:rPr>
                <w:rFonts w:hint="eastAsia"/>
                <w:b/>
                <w:bCs/>
              </w:rPr>
              <w:t xml:space="preserve">功能模块</w:t>
            </w:r>
            <w:r/>
          </w:p>
        </w:tc>
        <w:tc>
          <w:tcPr>
            <w:tcW w:w="1830" w:type="dxa"/>
            <w:vAlign w:val="center"/>
            <w:textDirection w:val="lrTb"/>
            <w:noWrap w:val="false"/>
          </w:tcPr>
          <w:p>
            <w:pPr>
              <w:pStyle w:val="766"/>
              <w:ind w:left="0" w:firstLine="0"/>
              <w:spacing w:line="240" w:lineRule="auto"/>
              <w:rPr>
                <w:b/>
                <w:bCs/>
              </w:rPr>
            </w:pPr>
            <w:r>
              <w:rPr>
                <w:rFonts w:hint="eastAsia"/>
                <w:b/>
                <w:bCs/>
              </w:rPr>
              <w:t xml:space="preserve">二级模块</w:t>
            </w:r>
            <w:r/>
          </w:p>
        </w:tc>
        <w:tc>
          <w:tcPr>
            <w:tcW w:w="5116" w:type="dxa"/>
            <w:vAlign w:val="center"/>
            <w:textDirection w:val="lrTb"/>
            <w:noWrap w:val="false"/>
          </w:tcPr>
          <w:p>
            <w:pPr>
              <w:pStyle w:val="766"/>
              <w:ind w:left="420" w:firstLine="422"/>
              <w:jc w:val="center"/>
              <w:spacing w:line="240" w:lineRule="auto"/>
              <w:rPr>
                <w:b/>
                <w:bCs/>
              </w:rPr>
            </w:pPr>
            <w:r>
              <w:rPr>
                <w:rFonts w:hint="eastAsia"/>
                <w:b/>
                <w:bCs/>
              </w:rPr>
              <w:t xml:space="preserve">功能要求说明</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W w:w="1272" w:type="dxa"/>
            <w:vAlign w:val="center"/>
            <w:vMerge w:val="restart"/>
            <w:textDirection w:val="lrTb"/>
            <w:noWrap w:val="false"/>
          </w:tcPr>
          <w:p>
            <w:pPr>
              <w:jc w:val="center"/>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购置管理</w:t>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资产配置标准库管理</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依据宿迁市资产配置标准，在系统内置各类资产配置标准（数量、价格、面积等），作为申报、审核的刚性依据。</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tcW w:w="1272" w:type="dxa"/>
            <w:vAlign w:val="center"/>
            <w:vMerge w:val="continue"/>
            <w:textDirection w:val="lrTb"/>
            <w:noWrap w:val="false"/>
          </w:tcPr>
          <w:p>
            <w:pPr>
              <w:jc w:val="center"/>
              <w:spacing w:after="0" w:line="240" w:lineRule="auto"/>
              <w:rPr>
                <w:rFonts w:hint="eastAsia"/>
                <w:b/>
                <w:bCs/>
              </w:rPr>
            </w:pPr>
            <w:r>
              <w:rPr>
                <w:rFonts w:hint="eastAsia"/>
                <w:b/>
                <w:bCs/>
              </w:rPr>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资产配置智能推荐与匹配</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单位申报前，系统自动推荐配置品类与数量，并优先匹配市级公物仓闲置资产，实现</w:t>
            </w:r>
            <w:r>
              <w:rPr>
                <w:rFonts w:hint="default" w:ascii="Times New Roman" w:hAnsi="Times New Roman" w:eastAsia="方正仿宋_GBK" w:cs="Times New Roman"/>
                <w:i w:val="0"/>
                <w:iCs w:val="0"/>
                <w:color w:val="000000"/>
                <w:sz w:val="24"/>
                <w:szCs w:val="24"/>
                <w:u w:val="none"/>
                <w:lang w:val="en-US" w:eastAsia="zh-CN" w:bidi="ar"/>
              </w:rPr>
              <w:t xml:space="preserve">“</w:t>
            </w:r>
            <w:r>
              <w:rPr>
                <w:rStyle w:val="1493"/>
                <w:lang w:val="en-US" w:eastAsia="zh-CN" w:bidi="ar"/>
              </w:rPr>
              <w:t xml:space="preserve">先调剂、后购置</w:t>
            </w:r>
            <w:r>
              <w:rPr>
                <w:rFonts w:hint="default" w:ascii="Times New Roman" w:hAnsi="Times New Roman" w:eastAsia="方正仿宋_GBK" w:cs="Times New Roman"/>
                <w:i w:val="0"/>
                <w:iCs w:val="0"/>
                <w:color w:val="000000"/>
                <w:sz w:val="24"/>
                <w:szCs w:val="24"/>
                <w:u w:val="none"/>
                <w:lang w:val="en-US" w:eastAsia="zh-CN" w:bidi="ar"/>
              </w:rPr>
              <w:t xml:space="preserve">”</w:t>
            </w:r>
            <w:r>
              <w:rPr>
                <w:rStyle w:val="1493"/>
                <w:lang w:val="en-US" w:eastAsia="zh-CN" w:bidi="ar"/>
              </w:rPr>
              <w:t xml:space="preserve">。</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tcW w:w="1272" w:type="dxa"/>
            <w:vAlign w:val="center"/>
            <w:vMerge w:val="continue"/>
            <w:textDirection w:val="lrTb"/>
            <w:noWrap w:val="false"/>
          </w:tcPr>
          <w:p>
            <w:pPr>
              <w:jc w:val="center"/>
              <w:spacing w:after="0" w:line="240" w:lineRule="auto"/>
              <w:rPr>
                <w:rFonts w:hint="eastAsia"/>
                <w:b/>
                <w:bCs/>
              </w:rPr>
            </w:pPr>
            <w:r>
              <w:rPr>
                <w:rFonts w:hint="eastAsia"/>
                <w:b/>
                <w:bCs/>
              </w:rPr>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资产配置线上申报</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lang w:bidi="ar"/>
              </w:rPr>
              <w:t xml:space="preserve">▲</w:t>
            </w:r>
            <w:r>
              <w:rPr>
                <w:rFonts w:hint="eastAsia" w:ascii="方正仿宋_GBK" w:hAnsi="方正仿宋_GBK" w:eastAsia="方正仿宋_GBK" w:cs="方正仿宋_GBK"/>
                <w:i w:val="0"/>
                <w:iCs w:val="0"/>
                <w:color w:val="000000"/>
                <w:sz w:val="24"/>
                <w:szCs w:val="24"/>
                <w:u w:val="none"/>
                <w:lang w:val="en-US" w:eastAsia="zh-CN" w:bidi="ar"/>
              </w:rPr>
              <w:t xml:space="preserve">单位在线填报资产购置申请，系统自动校验存量与配置标准，拦截超配、重复购置申请。</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tcW w:w="1272" w:type="dxa"/>
            <w:vAlign w:val="center"/>
            <w:vMerge w:val="continue"/>
            <w:textDirection w:val="lrTb"/>
            <w:noWrap w:val="false"/>
          </w:tcPr>
          <w:p>
            <w:pPr>
              <w:jc w:val="center"/>
              <w:spacing w:after="0" w:line="240" w:lineRule="auto"/>
              <w:rPr>
                <w:rFonts w:hint="eastAsia"/>
                <w:b/>
                <w:bCs/>
              </w:rPr>
            </w:pPr>
            <w:r>
              <w:rPr>
                <w:rFonts w:hint="eastAsia"/>
                <w:b/>
                <w:bCs/>
              </w:rPr>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资产配置单位初审</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lang w:bidi="ar"/>
              </w:rPr>
              <w:t xml:space="preserve">▲</w:t>
            </w:r>
            <w:r>
              <w:rPr>
                <w:rFonts w:hint="eastAsia" w:ascii="方正仿宋_GBK" w:hAnsi="方正仿宋_GBK" w:eastAsia="方正仿宋_GBK" w:cs="方正仿宋_GBK"/>
                <w:i w:val="0"/>
                <w:iCs w:val="0"/>
                <w:color w:val="000000"/>
                <w:sz w:val="24"/>
                <w:szCs w:val="24"/>
                <w:u w:val="none"/>
                <w:lang w:val="en-US" w:eastAsia="zh-CN" w:bidi="ar"/>
              </w:rPr>
              <w:t xml:space="preserve">支持预算单位内部对资产配置申报单进行初审，包括申报材料完整性、配置需求合理性、标准合规性校验，初审通过后提交至主管部门</w:t>
            </w:r>
            <w:r>
              <w:rPr>
                <w:rStyle w:val="1493"/>
                <w:lang w:val="en-US" w:eastAsia="zh-CN" w:bidi="ar"/>
              </w:rPr>
              <w:t xml:space="preserve">。</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tcW w:w="1272" w:type="dxa"/>
            <w:vAlign w:val="center"/>
            <w:vMerge w:val="continue"/>
            <w:textDirection w:val="lrTb"/>
            <w:noWrap w:val="false"/>
          </w:tcPr>
          <w:p>
            <w:pPr>
              <w:jc w:val="center"/>
              <w:spacing w:after="0" w:line="240" w:lineRule="auto"/>
              <w:rPr>
                <w:rFonts w:hint="eastAsia"/>
                <w:b/>
                <w:bCs/>
              </w:rPr>
            </w:pPr>
            <w:r>
              <w:rPr>
                <w:rFonts w:hint="eastAsia"/>
                <w:b/>
                <w:bCs/>
              </w:rPr>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资产配置主管部门复审</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lang w:bidi="ar"/>
              </w:rPr>
              <w:t xml:space="preserve">▲</w:t>
            </w:r>
            <w:r>
              <w:rPr>
                <w:rFonts w:hint="eastAsia" w:ascii="方正仿宋_GBK" w:hAnsi="方正仿宋_GBK" w:eastAsia="方正仿宋_GBK" w:cs="方正仿宋_GBK"/>
                <w:i w:val="0"/>
                <w:iCs w:val="0"/>
                <w:color w:val="000000"/>
                <w:sz w:val="24"/>
                <w:szCs w:val="24"/>
                <w:u w:val="none"/>
                <w:lang w:val="en-US" w:eastAsia="zh-CN" w:bidi="ar"/>
              </w:rPr>
              <w:t xml:space="preserve">支持主管部门对下属单位提交的申报单进行复审，重点审核配置需求的必要性、标准合规性、预算匹配性，复审通过后提交至财政部门</w:t>
            </w:r>
            <w:r>
              <w:rPr>
                <w:rStyle w:val="1493"/>
                <w:lang w:val="en-US" w:eastAsia="zh-CN" w:bidi="ar"/>
              </w:rPr>
              <w:t xml:space="preserve">。</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tcW w:w="1272" w:type="dxa"/>
            <w:vAlign w:val="center"/>
            <w:vMerge w:val="continue"/>
            <w:textDirection w:val="lrTb"/>
            <w:noWrap w:val="false"/>
          </w:tcPr>
          <w:p>
            <w:pPr>
              <w:jc w:val="center"/>
              <w:spacing w:after="0" w:line="240" w:lineRule="auto"/>
              <w:rPr>
                <w:rFonts w:hint="eastAsia"/>
                <w:b/>
                <w:bCs/>
              </w:rPr>
            </w:pPr>
            <w:r>
              <w:rPr>
                <w:rFonts w:hint="eastAsia"/>
                <w:b/>
                <w:bCs/>
              </w:rPr>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资产配置财政部门终审</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支持财政部门对申报单进行终审，结合年度预算、配置标准、存量资产情况、公物仓调剂情况，做出终审通过、驳回、调整的决定</w:t>
            </w:r>
            <w:r>
              <w:rPr>
                <w:rStyle w:val="1493"/>
                <w:lang w:val="en-US" w:eastAsia="zh-CN" w:bidi="ar"/>
              </w:rPr>
              <w:t xml:space="preserve">。</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tcW w:w="1272" w:type="dxa"/>
            <w:vAlign w:val="center"/>
            <w:vMerge w:val="continue"/>
            <w:textDirection w:val="lrTb"/>
            <w:noWrap w:val="false"/>
          </w:tcPr>
          <w:p>
            <w:pPr>
              <w:jc w:val="center"/>
              <w:spacing w:after="0" w:line="240" w:lineRule="auto"/>
              <w:rPr>
                <w:rFonts w:hint="eastAsia"/>
                <w:b/>
                <w:bCs/>
              </w:rPr>
            </w:pPr>
            <w:r>
              <w:rPr>
                <w:rFonts w:hint="eastAsia"/>
                <w:b/>
                <w:bCs/>
              </w:rPr>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资产配置审核驳回与整改</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支持审核驳回时填写驳回原因、整改要求，单位收到驳回通知后可修改申报内容重新提交，记录驳回与整改全流程</w:t>
            </w:r>
            <w:r>
              <w:rPr>
                <w:rStyle w:val="1493"/>
                <w:lang w:val="en-US" w:eastAsia="zh-CN" w:bidi="ar"/>
              </w:rPr>
              <w:t xml:space="preserve">。</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tcW w:w="1272" w:type="dxa"/>
            <w:vAlign w:val="center"/>
            <w:vMerge w:val="continue"/>
            <w:textDirection w:val="lrTb"/>
            <w:noWrap w:val="false"/>
          </w:tcPr>
          <w:p>
            <w:pPr>
              <w:jc w:val="center"/>
              <w:spacing w:after="0" w:line="240" w:lineRule="auto"/>
              <w:rPr>
                <w:rFonts w:hint="eastAsia"/>
                <w:b/>
                <w:bCs/>
              </w:rPr>
            </w:pPr>
            <w:r>
              <w:rPr>
                <w:rFonts w:hint="eastAsia"/>
                <w:b/>
                <w:bCs/>
              </w:rPr>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资产配置指标管理</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lang w:bidi="ar"/>
              </w:rPr>
              <w:t xml:space="preserve">▲</w:t>
            </w:r>
            <w:r>
              <w:rPr>
                <w:rFonts w:hint="eastAsia" w:ascii="方正仿宋_GBK" w:hAnsi="方正仿宋_GBK" w:eastAsia="方正仿宋_GBK" w:cs="方正仿宋_GBK"/>
                <w:i w:val="0"/>
                <w:iCs w:val="0"/>
                <w:color w:val="000000"/>
                <w:sz w:val="24"/>
                <w:szCs w:val="24"/>
                <w:u w:val="none"/>
                <w:lang w:val="en-US" w:eastAsia="zh-CN" w:bidi="ar"/>
              </w:rPr>
              <w:t xml:space="preserve">针对终审通过的资产配置审核结果，转为资产配置指标，并作为衡量资产配置执行的依据</w:t>
            </w:r>
            <w:r>
              <w:rPr>
                <w:rStyle w:val="1493"/>
                <w:lang w:val="en-US" w:eastAsia="zh-CN" w:bidi="ar"/>
              </w:rPr>
              <w:t xml:space="preserve">。</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tcW w:w="1272" w:type="dxa"/>
            <w:vAlign w:val="center"/>
            <w:vMerge w:val="continue"/>
            <w:textDirection w:val="lrTb"/>
            <w:noWrap w:val="false"/>
          </w:tcPr>
          <w:p>
            <w:pPr>
              <w:jc w:val="center"/>
              <w:spacing w:after="0" w:line="240" w:lineRule="auto"/>
              <w:rPr>
                <w:rFonts w:hint="eastAsia"/>
                <w:b/>
                <w:bCs/>
              </w:rPr>
            </w:pPr>
            <w:r>
              <w:rPr>
                <w:rFonts w:hint="eastAsia"/>
                <w:b/>
                <w:bCs/>
              </w:rPr>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资产配置指标关联卡片</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支持购置资产登记资产卡片时关联资产指标</w:t>
            </w:r>
            <w:r>
              <w:rPr>
                <w:rStyle w:val="1493"/>
                <w:lang w:val="en-US" w:eastAsia="zh-CN" w:bidi="ar"/>
              </w:rPr>
              <w:t xml:space="preserve">。</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tcW w:w="1272" w:type="dxa"/>
            <w:vAlign w:val="center"/>
            <w:vMerge w:val="continue"/>
            <w:textDirection w:val="lrTb"/>
            <w:noWrap w:val="false"/>
          </w:tcPr>
          <w:p>
            <w:pPr>
              <w:jc w:val="center"/>
              <w:spacing w:after="0" w:line="240" w:lineRule="auto"/>
              <w:rPr>
                <w:rFonts w:hint="eastAsia"/>
                <w:b/>
                <w:bCs/>
              </w:rPr>
            </w:pPr>
            <w:r>
              <w:rPr>
                <w:rFonts w:hint="eastAsia"/>
                <w:b/>
                <w:bCs/>
              </w:rPr>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资产配置执行跟踪</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跟踪资产配置后资产指标执行情况，自动预警超期未执行、超期未验收的项目。</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tcW w:w="1272" w:type="dxa"/>
            <w:vAlign w:val="center"/>
            <w:vMerge w:val="restart"/>
            <w:textDirection w:val="lrTb"/>
            <w:noWrap w:val="false"/>
          </w:tcPr>
          <w:p>
            <w:pPr>
              <w:jc w:val="center"/>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购置管理</w:t>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资产配置超配情况分析</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对全市各单位的资产超配情况进行多维度分析，包括超配资产类型、超配数量、超配金额、超配单位分布，形成超配分析报表</w:t>
            </w:r>
            <w:r>
              <w:rPr>
                <w:rStyle w:val="1493"/>
                <w:lang w:val="en-US" w:eastAsia="zh-CN" w:bidi="ar"/>
              </w:rPr>
              <w:t xml:space="preserve">。</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tcW w:w="1272" w:type="dxa"/>
            <w:vAlign w:val="center"/>
            <w:vMerge w:val="continue"/>
            <w:textDirection w:val="lrTb"/>
            <w:noWrap w:val="false"/>
          </w:tcPr>
          <w:p>
            <w:pPr>
              <w:jc w:val="center"/>
              <w:spacing w:after="0" w:line="240" w:lineRule="auto"/>
              <w:rPr>
                <w:rFonts w:hint="eastAsia"/>
                <w:b/>
                <w:bCs/>
              </w:rPr>
            </w:pPr>
            <w:r>
              <w:rPr>
                <w:rFonts w:hint="eastAsia"/>
                <w:b/>
                <w:bCs/>
              </w:rPr>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资产配置效率分析</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分析各单位资产配置的执行效率，包括申报审核周期、采购周期、验收周期、预算执行率，识别配置效率偏低的单位和环节</w:t>
            </w:r>
            <w:r>
              <w:rPr>
                <w:rStyle w:val="1493"/>
                <w:lang w:val="en-US" w:eastAsia="zh-CN" w:bidi="ar"/>
              </w:rPr>
              <w:t xml:space="preserve">。</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tcW w:w="1272" w:type="dxa"/>
            <w:vAlign w:val="center"/>
            <w:vMerge w:val="continue"/>
            <w:textDirection w:val="lrTb"/>
            <w:noWrap w:val="false"/>
          </w:tcPr>
          <w:p>
            <w:pPr>
              <w:jc w:val="center"/>
              <w:spacing w:after="0" w:line="240" w:lineRule="auto"/>
              <w:rPr>
                <w:rFonts w:hint="eastAsia"/>
                <w:b/>
                <w:bCs/>
              </w:rPr>
            </w:pPr>
            <w:r>
              <w:rPr>
                <w:rFonts w:hint="eastAsia"/>
                <w:b/>
                <w:bCs/>
              </w:rPr>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资产配置预算执行分析</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按单位、按资产类型、按时间维度分析资产配置预算的执行情况，包括预算下达金额、已执行金额、待执行金额、执行进度，自动预警预算执行进度偏慢的项目</w:t>
            </w:r>
            <w:r>
              <w:rPr>
                <w:rStyle w:val="1493"/>
                <w:lang w:val="en-US" w:eastAsia="zh-CN" w:bidi="ar"/>
              </w:rPr>
              <w:t xml:space="preserve">。</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tcW w:w="1272" w:type="dxa"/>
            <w:vAlign w:val="center"/>
            <w:vMerge w:val="continue"/>
            <w:textDirection w:val="lrTb"/>
            <w:noWrap w:val="false"/>
          </w:tcPr>
          <w:p>
            <w:pPr>
              <w:jc w:val="center"/>
              <w:spacing w:after="0" w:line="240" w:lineRule="auto"/>
              <w:rPr>
                <w:rFonts w:hint="eastAsia"/>
                <w:b/>
                <w:bCs/>
              </w:rPr>
            </w:pPr>
            <w:r>
              <w:rPr>
                <w:rFonts w:hint="eastAsia"/>
                <w:b/>
                <w:bCs/>
              </w:rPr>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资产配置综合统计报表</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生成全市资产配置情况的综合统计报表，支持按区域、单位、资产类型、时间维度的多维度查询、筛选、导出，为监管决策提供数据支撑</w:t>
            </w:r>
            <w:r>
              <w:rPr>
                <w:rStyle w:val="1493"/>
                <w:lang w:val="en-US" w:eastAsia="zh-CN" w:bidi="ar"/>
              </w:rPr>
              <w:t xml:space="preserve">。</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tcW w:w="1272" w:type="dxa"/>
            <w:vAlign w:val="center"/>
            <w:vMerge w:val="restart"/>
            <w:textDirection w:val="lrTb"/>
            <w:noWrap w:val="false"/>
          </w:tcPr>
          <w:p>
            <w:pPr>
              <w:jc w:val="center"/>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登记管理</w:t>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多源资产数据同步接入</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对接省资产云、预算管理一体化等系统，实时</w:t>
            </w:r>
            <w:r>
              <w:rPr>
                <w:rFonts w:hint="default" w:ascii="Times New Roman" w:hAnsi="Times New Roman" w:eastAsia="方正仿宋_GBK" w:cs="Times New Roman"/>
                <w:i w:val="0"/>
                <w:iCs w:val="0"/>
                <w:color w:val="000000"/>
                <w:sz w:val="24"/>
                <w:szCs w:val="24"/>
                <w:u w:val="none"/>
                <w:lang w:val="en-US" w:eastAsia="zh-CN" w:bidi="ar"/>
              </w:rPr>
              <w:t xml:space="preserve">/</w:t>
            </w:r>
            <w:r>
              <w:rPr>
                <w:rStyle w:val="1493"/>
                <w:lang w:val="en-US" w:eastAsia="zh-CN" w:bidi="ar"/>
              </w:rPr>
              <w:t xml:space="preserve">定时同步资产卡片、财务凭证、折旧信息等全量数据。</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tcW w:w="1272" w:type="dxa"/>
            <w:vAlign w:val="center"/>
            <w:vMerge w:val="continue"/>
            <w:textDirection w:val="lrTb"/>
            <w:noWrap w:val="false"/>
          </w:tcPr>
          <w:p>
            <w:pPr>
              <w:jc w:val="center"/>
              <w:spacing w:after="0" w:line="240" w:lineRule="auto"/>
              <w:rPr>
                <w:rFonts w:hint="eastAsia"/>
                <w:b/>
                <w:bCs/>
              </w:rPr>
            </w:pPr>
            <w:r>
              <w:rPr>
                <w:rFonts w:hint="eastAsia"/>
                <w:b/>
                <w:bCs/>
              </w:rPr>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资产数据同步接口管理</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对接财政一体化的资产云及会计核算信息系统，配置标准化的接口参数，实现资产卡片信息、凭证信息、账务数据的定时</w:t>
            </w:r>
            <w:r>
              <w:rPr>
                <w:rFonts w:hint="default" w:ascii="Times New Roman" w:hAnsi="Times New Roman" w:eastAsia="方正仿宋_GBK" w:cs="Times New Roman"/>
                <w:i w:val="0"/>
                <w:iCs w:val="0"/>
                <w:color w:val="000000"/>
                <w:sz w:val="24"/>
                <w:szCs w:val="24"/>
                <w:u w:val="none"/>
                <w:lang w:val="en-US" w:eastAsia="zh-CN" w:bidi="ar"/>
              </w:rPr>
              <w:t xml:space="preserve">/</w:t>
            </w:r>
            <w:r>
              <w:rPr>
                <w:rStyle w:val="1493"/>
                <w:lang w:val="en-US" w:eastAsia="zh-CN" w:bidi="ar"/>
              </w:rPr>
              <w:t xml:space="preserve">实时同步，支持接口监控、异常告警、数据补录。</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tcW w:w="1272" w:type="dxa"/>
            <w:vAlign w:val="center"/>
            <w:vMerge w:val="continue"/>
            <w:textDirection w:val="lrTb"/>
            <w:noWrap w:val="false"/>
          </w:tcPr>
          <w:p>
            <w:pPr>
              <w:jc w:val="center"/>
              <w:spacing w:after="0" w:line="240" w:lineRule="auto"/>
              <w:rPr>
                <w:rFonts w:hint="eastAsia"/>
                <w:b/>
                <w:bCs/>
              </w:rPr>
            </w:pPr>
            <w:r>
              <w:rPr>
                <w:rFonts w:hint="eastAsia"/>
                <w:b/>
                <w:bCs/>
              </w:rPr>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资产数据同步规则配置</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配置数据同步的规则，包括同步范围、同步频率、数据校验规则、异常处理规则，确保同步数据的准确性、完整性、一致性</w:t>
            </w:r>
            <w:r>
              <w:rPr>
                <w:rStyle w:val="1493"/>
                <w:lang w:val="en-US" w:eastAsia="zh-CN" w:bidi="ar"/>
              </w:rPr>
              <w:t xml:space="preserve">。</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tcW w:w="1272" w:type="dxa"/>
            <w:vAlign w:val="center"/>
            <w:vMerge w:val="restart"/>
            <w:textDirection w:val="lrTb"/>
            <w:noWrap w:val="false"/>
          </w:tcPr>
          <w:p>
            <w:pPr>
              <w:jc w:val="center"/>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登记管理</w:t>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资产数据同步监控</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lang w:bidi="ar"/>
              </w:rPr>
              <w:t xml:space="preserve">▲</w:t>
            </w:r>
            <w:r>
              <w:rPr>
                <w:rFonts w:hint="eastAsia" w:ascii="方正仿宋_GBK" w:hAnsi="方正仿宋_GBK" w:eastAsia="方正仿宋_GBK" w:cs="方正仿宋_GBK"/>
                <w:i w:val="0"/>
                <w:iCs w:val="0"/>
                <w:color w:val="000000"/>
                <w:sz w:val="24"/>
                <w:szCs w:val="24"/>
                <w:u w:val="none"/>
                <w:lang w:val="en-US" w:eastAsia="zh-CN" w:bidi="ar"/>
              </w:rPr>
              <w:t xml:space="preserve">实时监控数据同步的执行情况，包括同步成功</w:t>
            </w:r>
            <w:r>
              <w:rPr>
                <w:rFonts w:hint="default" w:ascii="Times New Roman" w:hAnsi="Times New Roman" w:eastAsia="方正仿宋_GBK" w:cs="Times New Roman"/>
                <w:i w:val="0"/>
                <w:iCs w:val="0"/>
                <w:color w:val="000000"/>
                <w:sz w:val="24"/>
                <w:szCs w:val="24"/>
                <w:u w:val="none"/>
                <w:lang w:val="en-US" w:eastAsia="zh-CN" w:bidi="ar"/>
              </w:rPr>
              <w:t xml:space="preserve">/</w:t>
            </w:r>
            <w:r>
              <w:rPr>
                <w:rStyle w:val="1493"/>
                <w:lang w:val="en-US" w:eastAsia="zh-CN" w:bidi="ar"/>
              </w:rPr>
              <w:t xml:space="preserve">失败条数、同步延迟、异常信息，自动告警同步失败、数据异常的情况，提供同步日志查询、问题追溯功能。</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tcW w:w="1272" w:type="dxa"/>
            <w:vAlign w:val="center"/>
            <w:vMerge w:val="continue"/>
            <w:textDirection w:val="lrTb"/>
            <w:noWrap w:val="false"/>
          </w:tcPr>
          <w:p>
            <w:pPr>
              <w:jc w:val="center"/>
              <w:spacing w:after="0" w:line="240" w:lineRule="auto"/>
              <w:rPr>
                <w:rFonts w:hint="eastAsia"/>
                <w:b/>
                <w:bCs/>
              </w:rPr>
            </w:pPr>
            <w:r>
              <w:rPr>
                <w:rFonts w:hint="eastAsia"/>
                <w:b/>
                <w:bCs/>
              </w:rPr>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资产数据异常处理</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lang w:bidi="ar"/>
              </w:rPr>
              <w:t xml:space="preserve">▲</w:t>
            </w:r>
            <w:r>
              <w:rPr>
                <w:rFonts w:hint="eastAsia" w:ascii="方正仿宋_GBK" w:hAnsi="方正仿宋_GBK" w:eastAsia="方正仿宋_GBK" w:cs="方正仿宋_GBK"/>
                <w:i w:val="0"/>
                <w:iCs w:val="0"/>
                <w:color w:val="000000"/>
                <w:sz w:val="24"/>
                <w:szCs w:val="24"/>
                <w:u w:val="none"/>
                <w:lang w:val="en-US" w:eastAsia="zh-CN" w:bidi="ar"/>
              </w:rPr>
              <w:t xml:space="preserve">针对同步过程中出现的异常数据、缺失数据、冲突数据，提供异常数据标记、人工核对、数据补录、冲突解决功能，确保资产数据的准确性</w:t>
            </w:r>
            <w:r>
              <w:rPr>
                <w:rStyle w:val="1493"/>
                <w:lang w:val="en-US" w:eastAsia="zh-CN" w:bidi="ar"/>
              </w:rPr>
              <w:t xml:space="preserve">。</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tcW w:w="1272" w:type="dxa"/>
            <w:vAlign w:val="center"/>
            <w:vMerge w:val="continue"/>
            <w:textDirection w:val="lrTb"/>
            <w:noWrap w:val="false"/>
          </w:tcPr>
          <w:p>
            <w:pPr>
              <w:jc w:val="center"/>
              <w:spacing w:after="0" w:line="240" w:lineRule="auto"/>
              <w:rPr>
                <w:rFonts w:hint="eastAsia"/>
                <w:b/>
                <w:bCs/>
              </w:rPr>
            </w:pPr>
            <w:r>
              <w:rPr>
                <w:rFonts w:hint="eastAsia"/>
                <w:b/>
                <w:bCs/>
              </w:rPr>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资产数据智能清洗与治理</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lang w:bidi="ar"/>
              </w:rPr>
              <w:t xml:space="preserve">▲</w:t>
            </w:r>
            <w:r>
              <w:rPr>
                <w:rFonts w:hint="eastAsia" w:ascii="方正仿宋_GBK" w:hAnsi="方正仿宋_GBK" w:eastAsia="方正仿宋_GBK" w:cs="方正仿宋_GBK"/>
                <w:i w:val="0"/>
                <w:iCs w:val="0"/>
                <w:color w:val="000000"/>
                <w:sz w:val="24"/>
                <w:szCs w:val="24"/>
                <w:u w:val="none"/>
                <w:lang w:val="en-US" w:eastAsia="zh-CN" w:bidi="ar"/>
              </w:rPr>
              <w:t xml:space="preserve">对同步的原始数据进行规则化清洗、异常值检测与智能修正，保障入仓数据质量。</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tcW w:w="1272" w:type="dxa"/>
            <w:vAlign w:val="center"/>
            <w:vMerge w:val="continue"/>
            <w:textDirection w:val="lrTb"/>
            <w:noWrap w:val="false"/>
          </w:tcPr>
          <w:p>
            <w:pPr>
              <w:jc w:val="center"/>
              <w:spacing w:after="0" w:line="240" w:lineRule="auto"/>
              <w:rPr>
                <w:rFonts w:hint="eastAsia"/>
                <w:b/>
                <w:bCs/>
              </w:rPr>
            </w:pPr>
            <w:r>
              <w:rPr>
                <w:rFonts w:hint="eastAsia"/>
                <w:b/>
                <w:bCs/>
              </w:rPr>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资产账务一致性自动比对（单位端）</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lang w:bidi="ar"/>
              </w:rPr>
              <w:t xml:space="preserve">▲</w:t>
            </w:r>
            <w:r>
              <w:rPr>
                <w:rFonts w:hint="eastAsia" w:ascii="方正仿宋_GBK" w:hAnsi="方正仿宋_GBK" w:eastAsia="方正仿宋_GBK" w:cs="方正仿宋_GBK"/>
                <w:i w:val="0"/>
                <w:iCs w:val="0"/>
                <w:color w:val="000000"/>
                <w:sz w:val="24"/>
                <w:szCs w:val="24"/>
                <w:u w:val="none"/>
                <w:lang w:val="en-US" w:eastAsia="zh-CN" w:bidi="ar"/>
              </w:rPr>
              <w:t xml:space="preserve">单位月结时，系统自动获取并比对资产账与财务账，高亮展示差异项，辅助快速定位问题。</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22</w:t>
            </w:r>
            <w:r/>
          </w:p>
        </w:tc>
        <w:tc>
          <w:tcPr>
            <w:tcW w:w="1272" w:type="dxa"/>
            <w:vAlign w:val="center"/>
            <w:vMerge w:val="continue"/>
            <w:textDirection w:val="lrTb"/>
            <w:noWrap w:val="false"/>
          </w:tcPr>
          <w:p>
            <w:pPr>
              <w:jc w:val="center"/>
              <w:spacing w:after="0" w:line="240" w:lineRule="auto"/>
              <w:rPr>
                <w:rFonts w:hint="eastAsia"/>
                <w:b/>
                <w:bCs/>
              </w:rPr>
            </w:pPr>
            <w:r>
              <w:rPr>
                <w:rFonts w:hint="eastAsia"/>
                <w:b/>
                <w:bCs/>
              </w:rPr>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账实不符问题闭环管理</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lang w:bidi="ar"/>
              </w:rPr>
              <w:t xml:space="preserve">▲</w:t>
            </w:r>
            <w:r>
              <w:rPr>
                <w:rFonts w:hint="eastAsia" w:ascii="方正仿宋_GBK" w:hAnsi="方正仿宋_GBK" w:eastAsia="方正仿宋_GBK" w:cs="方正仿宋_GBK"/>
                <w:i w:val="0"/>
                <w:iCs w:val="0"/>
                <w:color w:val="000000"/>
                <w:sz w:val="24"/>
                <w:szCs w:val="24"/>
                <w:u w:val="none"/>
                <w:lang w:val="en-US" w:eastAsia="zh-CN" w:bidi="ar"/>
              </w:rPr>
              <w:t xml:space="preserve">对发现的账实不符问题，形成线上问题清单，下发并跟踪单位整改反馈流程，实现闭环。</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23</w:t>
            </w:r>
            <w:r/>
          </w:p>
        </w:tc>
        <w:tc>
          <w:tcPr>
            <w:tcW w:w="1272" w:type="dxa"/>
            <w:vAlign w:val="center"/>
            <w:vMerge w:val="continue"/>
            <w:textDirection w:val="lrTb"/>
            <w:noWrap w:val="false"/>
          </w:tcPr>
          <w:p>
            <w:pPr>
              <w:jc w:val="center"/>
              <w:spacing w:after="0" w:line="240" w:lineRule="auto"/>
              <w:rPr>
                <w:rFonts w:hint="eastAsia"/>
                <w:b/>
                <w:bCs/>
              </w:rPr>
            </w:pPr>
            <w:r>
              <w:rPr>
                <w:rFonts w:hint="eastAsia"/>
                <w:b/>
                <w:bCs/>
              </w:rPr>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资产数据质量监测看板</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lang w:bidi="ar"/>
              </w:rPr>
              <w:t xml:space="preserve">▲</w:t>
            </w:r>
            <w:r>
              <w:rPr>
                <w:rFonts w:hint="eastAsia" w:ascii="方正仿宋_GBK" w:hAnsi="方正仿宋_GBK" w:eastAsia="方正仿宋_GBK" w:cs="方正仿宋_GBK"/>
                <w:i w:val="0"/>
                <w:iCs w:val="0"/>
                <w:color w:val="000000"/>
                <w:sz w:val="24"/>
                <w:szCs w:val="24"/>
                <w:u w:val="none"/>
                <w:lang w:val="en-US" w:eastAsia="zh-CN" w:bidi="ar"/>
              </w:rPr>
              <w:t xml:space="preserve">可视化展示全市资产数据质量评分、问题分布及整改率，实现数据质量可度量、可考核。</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24</w:t>
            </w:r>
            <w:r/>
          </w:p>
        </w:tc>
        <w:tc>
          <w:tcPr>
            <w:tcW w:w="1272" w:type="dxa"/>
            <w:vAlign w:val="center"/>
            <w:vMerge w:val="restart"/>
            <w:textDirection w:val="lrTb"/>
            <w:noWrap w:val="false"/>
          </w:tcPr>
          <w:p>
            <w:pPr>
              <w:jc w:val="center"/>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在建工程专项管理</w:t>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工程项目立项备案管理</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在线完成工程项目立项申报、多部门会审、批复归档，建立项目库统一管理基础信息。</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tcW w:w="1272" w:type="dxa"/>
            <w:vAlign w:val="center"/>
            <w:vMerge w:val="continue"/>
            <w:textDirection w:val="lrTb"/>
            <w:noWrap w:val="false"/>
          </w:tcPr>
          <w:p>
            <w:pPr>
              <w:jc w:val="center"/>
              <w:spacing w:after="0" w:line="240" w:lineRule="auto"/>
              <w:rPr>
                <w:rFonts w:hint="eastAsia"/>
                <w:b/>
                <w:bCs/>
              </w:rPr>
            </w:pPr>
            <w:r>
              <w:rPr>
                <w:rFonts w:hint="eastAsia"/>
                <w:b/>
                <w:bCs/>
              </w:rPr>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招投标资料电子化归档</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归集项目招投标全流程公告、文件、评标记录、合同等资料，实现关键信息结构化存档与检索。</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26</w:t>
            </w:r>
            <w:r/>
          </w:p>
        </w:tc>
        <w:tc>
          <w:tcPr>
            <w:tcW w:w="1272" w:type="dxa"/>
            <w:vAlign w:val="center"/>
            <w:vMerge w:val="continue"/>
            <w:textDirection w:val="lrTb"/>
            <w:noWrap w:val="false"/>
          </w:tcPr>
          <w:p>
            <w:pPr>
              <w:jc w:val="center"/>
              <w:spacing w:after="0" w:line="240" w:lineRule="auto"/>
              <w:rPr>
                <w:rFonts w:hint="eastAsia"/>
                <w:b/>
                <w:bCs/>
              </w:rPr>
            </w:pPr>
            <w:r>
              <w:rPr>
                <w:rFonts w:hint="eastAsia"/>
                <w:b/>
                <w:bCs/>
              </w:rPr>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施工合同全生命周期管理</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实现施工、采购等合同的线上起草、审批、签订、备案，并对核心条款进行结构化管控与到期提醒。</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27</w:t>
            </w:r>
            <w:r/>
          </w:p>
        </w:tc>
        <w:tc>
          <w:tcPr>
            <w:tcW w:w="1272" w:type="dxa"/>
            <w:vAlign w:val="center"/>
            <w:vMerge w:val="restart"/>
            <w:textDirection w:val="lrTb"/>
            <w:noWrap w:val="false"/>
          </w:tcPr>
          <w:p>
            <w:pPr>
              <w:jc w:val="center"/>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在建工程专项管理</w:t>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施工进度月度报备</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施工单位按月填报工程建设进度信息，主管部门在线审核，实时掌握项目施工推进情况。</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28</w:t>
            </w:r>
            <w:r/>
          </w:p>
        </w:tc>
        <w:tc>
          <w:tcPr>
            <w:tcW w:w="1272" w:type="dxa"/>
            <w:vAlign w:val="center"/>
            <w:vMerge w:val="continue"/>
            <w:textDirection w:val="lrTb"/>
            <w:noWrap w:val="false"/>
          </w:tcPr>
          <w:p>
            <w:pPr>
              <w:jc w:val="center"/>
              <w:spacing w:after="0" w:line="240" w:lineRule="auto"/>
              <w:rPr>
                <w:rFonts w:hint="eastAsia"/>
                <w:b/>
                <w:bCs/>
              </w:rPr>
            </w:pPr>
            <w:r>
              <w:rPr>
                <w:rFonts w:hint="eastAsia"/>
                <w:b/>
                <w:bCs/>
              </w:rPr>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工程变更线上审批</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lang w:bidi="ar"/>
              </w:rPr>
              <w:t xml:space="preserve">▲</w:t>
            </w:r>
            <w:r>
              <w:rPr>
                <w:rFonts w:hint="eastAsia" w:ascii="方正仿宋_GBK" w:hAnsi="方正仿宋_GBK" w:eastAsia="方正仿宋_GBK" w:cs="方正仿宋_GBK"/>
                <w:i w:val="0"/>
                <w:iCs w:val="0"/>
                <w:color w:val="000000"/>
                <w:sz w:val="24"/>
                <w:szCs w:val="24"/>
                <w:u w:val="none"/>
                <w:lang w:val="en-US" w:eastAsia="zh-CN" w:bidi="ar"/>
              </w:rPr>
              <w:t xml:space="preserve">工程发生变更时，在线提交变更申请、依据及预算，完成设计、监理、建设、财政等多级线上审批。</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29</w:t>
            </w:r>
            <w:r/>
          </w:p>
        </w:tc>
        <w:tc>
          <w:tcPr>
            <w:tcW w:w="1272" w:type="dxa"/>
            <w:vAlign w:val="center"/>
            <w:vMerge w:val="continue"/>
            <w:textDirection w:val="lrTb"/>
            <w:noWrap w:val="false"/>
          </w:tcPr>
          <w:p>
            <w:pPr>
              <w:jc w:val="center"/>
              <w:spacing w:after="0" w:line="240" w:lineRule="auto"/>
              <w:rPr>
                <w:rFonts w:hint="eastAsia"/>
                <w:b/>
                <w:bCs/>
              </w:rPr>
            </w:pPr>
            <w:r>
              <w:rPr>
                <w:rFonts w:hint="eastAsia"/>
                <w:b/>
                <w:bCs/>
              </w:rPr>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资金支付合规性动态核验</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lang w:bidi="ar"/>
              </w:rPr>
              <w:t xml:space="preserve">▲</w:t>
            </w:r>
            <w:r>
              <w:rPr>
                <w:rFonts w:hint="eastAsia" w:ascii="方正仿宋_GBK" w:hAnsi="方正仿宋_GBK" w:eastAsia="方正仿宋_GBK" w:cs="方正仿宋_GBK"/>
                <w:i w:val="0"/>
                <w:iCs w:val="0"/>
                <w:color w:val="000000"/>
                <w:sz w:val="24"/>
                <w:szCs w:val="24"/>
                <w:u w:val="none"/>
                <w:lang w:val="en-US" w:eastAsia="zh-CN" w:bidi="ar"/>
              </w:rPr>
              <w:t xml:space="preserve">将实际支付凭证与合同约定节点、工程进度自动匹配，对超额支付、无依据支付等情况实时预警。</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30</w:t>
            </w:r>
            <w:r/>
          </w:p>
        </w:tc>
        <w:tc>
          <w:tcPr>
            <w:tcW w:w="1272" w:type="dxa"/>
            <w:vAlign w:val="center"/>
            <w:vMerge w:val="continue"/>
            <w:textDirection w:val="lrTb"/>
            <w:noWrap w:val="false"/>
          </w:tcPr>
          <w:p>
            <w:pPr>
              <w:jc w:val="center"/>
              <w:spacing w:after="0" w:line="240" w:lineRule="auto"/>
              <w:rPr>
                <w:rFonts w:hint="eastAsia"/>
                <w:b/>
                <w:bCs/>
              </w:rPr>
            </w:pPr>
            <w:r>
              <w:rPr>
                <w:rFonts w:hint="eastAsia"/>
                <w:b/>
                <w:bCs/>
              </w:rPr>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工程决算进度跟踪</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lang w:bidi="ar"/>
              </w:rPr>
              <w:t xml:space="preserve">▲</w:t>
            </w:r>
            <w:r>
              <w:rPr>
                <w:rFonts w:hint="eastAsia" w:ascii="方正仿宋_GBK" w:hAnsi="方正仿宋_GBK" w:eastAsia="方正仿宋_GBK" w:cs="方正仿宋_GBK"/>
                <w:i w:val="0"/>
                <w:iCs w:val="0"/>
                <w:color w:val="000000"/>
                <w:sz w:val="24"/>
                <w:szCs w:val="24"/>
                <w:u w:val="none"/>
                <w:lang w:val="en-US" w:eastAsia="zh-CN" w:bidi="ar"/>
              </w:rPr>
              <w:t xml:space="preserve">跟踪项目竣工决算编制、报审进度，记录各环节节点，督促决算资料按期归集完善。</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31</w:t>
            </w:r>
            <w:r/>
          </w:p>
        </w:tc>
        <w:tc>
          <w:tcPr>
            <w:tcW w:w="1272" w:type="dxa"/>
            <w:vAlign w:val="center"/>
            <w:vMerge w:val="continue"/>
            <w:textDirection w:val="lrTb"/>
            <w:noWrap w:val="false"/>
          </w:tcPr>
          <w:p>
            <w:pPr>
              <w:jc w:val="center"/>
              <w:spacing w:after="0" w:line="240" w:lineRule="auto"/>
              <w:rPr>
                <w:rFonts w:hint="eastAsia"/>
                <w:b/>
                <w:bCs/>
              </w:rPr>
            </w:pPr>
            <w:r>
              <w:rPr>
                <w:rFonts w:hint="eastAsia"/>
                <w:b/>
                <w:bCs/>
              </w:rPr>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竣工验收备案</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录入项目竣工验收相关资料，完成验收流程线上备案，留存验收报告作为后续转固依据。</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32</w:t>
            </w:r>
            <w:r/>
          </w:p>
        </w:tc>
        <w:tc>
          <w:tcPr>
            <w:tcW w:w="1272" w:type="dxa"/>
            <w:vAlign w:val="center"/>
            <w:vMerge w:val="continue"/>
            <w:textDirection w:val="lrTb"/>
            <w:noWrap w:val="false"/>
          </w:tcPr>
          <w:p>
            <w:pPr>
              <w:jc w:val="center"/>
              <w:spacing w:after="0" w:line="240" w:lineRule="auto"/>
              <w:rPr>
                <w:rFonts w:hint="eastAsia"/>
                <w:b/>
                <w:bCs/>
              </w:rPr>
            </w:pPr>
            <w:r>
              <w:rPr>
                <w:rFonts w:hint="eastAsia"/>
                <w:b/>
                <w:bCs/>
              </w:rPr>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在建工程转固</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满足转固条件后发起在建工程结转固定资产流程，自动衔接资产卡片，完成账务数据联动。</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33</w:t>
            </w:r>
            <w:r/>
          </w:p>
        </w:tc>
        <w:tc>
          <w:tcPr>
            <w:tcW w:w="1272" w:type="dxa"/>
            <w:vAlign w:val="center"/>
            <w:vMerge w:val="continue"/>
            <w:textDirection w:val="lrTb"/>
            <w:noWrap w:val="false"/>
          </w:tcPr>
          <w:p>
            <w:pPr>
              <w:jc w:val="center"/>
              <w:spacing w:after="0" w:line="240" w:lineRule="auto"/>
              <w:rPr>
                <w:rFonts w:hint="eastAsia"/>
                <w:b/>
                <w:bCs/>
              </w:rPr>
            </w:pPr>
            <w:r>
              <w:rPr>
                <w:rFonts w:hint="eastAsia"/>
                <w:b/>
                <w:bCs/>
              </w:rPr>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在建工程台账管理</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建立在建工程项目全生命周期管理台账，记录项目进展、资金使用、风险状况等信息。</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34</w:t>
            </w:r>
            <w:r/>
          </w:p>
        </w:tc>
        <w:tc>
          <w:tcPr>
            <w:tcW w:w="1272" w:type="dxa"/>
            <w:vAlign w:val="center"/>
            <w:vMerge w:val="restart"/>
            <w:textDirection w:val="lrTb"/>
            <w:noWrap w:val="false"/>
          </w:tcPr>
          <w:p>
            <w:pPr>
              <w:jc w:val="center"/>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处置闭环管理</w:t>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资产处置数据同步</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lang w:bidi="ar"/>
              </w:rPr>
              <w:t xml:space="preserve">▲</w:t>
            </w:r>
            <w:r>
              <w:rPr>
                <w:rFonts w:hint="eastAsia" w:ascii="方正仿宋_GBK" w:hAnsi="方正仿宋_GBK" w:eastAsia="方正仿宋_GBK" w:cs="方正仿宋_GBK"/>
                <w:i w:val="0"/>
                <w:iCs w:val="0"/>
                <w:color w:val="000000"/>
                <w:sz w:val="24"/>
                <w:szCs w:val="24"/>
                <w:u w:val="none"/>
                <w:lang w:val="en-US" w:eastAsia="zh-CN" w:bidi="ar"/>
              </w:rPr>
              <w:t xml:space="preserve">对接财政一体化的资产云同步资产处置业务数据，包括处置申请、处置审批、处置结果、收益上缴等全流程数据，作为处置管理数据分析的基础，支持数据定时</w:t>
            </w:r>
            <w:r>
              <w:rPr>
                <w:rFonts w:hint="default" w:ascii="Times New Roman" w:hAnsi="Times New Roman" w:eastAsia="方正仿宋_GBK" w:cs="Times New Roman"/>
                <w:i w:val="0"/>
                <w:iCs w:val="0"/>
                <w:color w:val="000000"/>
                <w:sz w:val="24"/>
                <w:szCs w:val="24"/>
                <w:u w:val="none"/>
                <w:lang w:val="en-US" w:eastAsia="zh-CN" w:bidi="ar"/>
              </w:rPr>
              <w:t xml:space="preserve">/</w:t>
            </w:r>
            <w:r>
              <w:rPr>
                <w:rStyle w:val="1493"/>
                <w:lang w:val="en-US" w:eastAsia="zh-CN" w:bidi="ar"/>
              </w:rPr>
              <w:t xml:space="preserve">实时同步、异常监控。</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35</w:t>
            </w:r>
            <w:r/>
          </w:p>
        </w:tc>
        <w:tc>
          <w:tcPr>
            <w:tcW w:w="1272" w:type="dxa"/>
            <w:vAlign w:val="center"/>
            <w:vMerge w:val="continue"/>
            <w:textDirection w:val="lrTb"/>
            <w:noWrap w:val="false"/>
          </w:tcPr>
          <w:p>
            <w:pPr>
              <w:jc w:val="center"/>
              <w:spacing w:after="0" w:line="240" w:lineRule="auto"/>
              <w:rPr>
                <w:rFonts w:hint="eastAsia"/>
                <w:b/>
                <w:bCs/>
              </w:rPr>
            </w:pPr>
            <w:r>
              <w:rPr>
                <w:rFonts w:hint="eastAsia"/>
                <w:b/>
                <w:bCs/>
              </w:rPr>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资产处置规则配置</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lang w:bidi="ar"/>
              </w:rPr>
              <w:t xml:space="preserve">▲</w:t>
            </w:r>
            <w:r>
              <w:rPr>
                <w:rFonts w:hint="eastAsia" w:ascii="方正仿宋_GBK" w:hAnsi="方正仿宋_GBK" w:eastAsia="方正仿宋_GBK" w:cs="方正仿宋_GBK"/>
                <w:i w:val="0"/>
                <w:iCs w:val="0"/>
                <w:color w:val="000000"/>
                <w:sz w:val="24"/>
                <w:szCs w:val="24"/>
                <w:u w:val="none"/>
                <w:lang w:val="en-US" w:eastAsia="zh-CN" w:bidi="ar"/>
              </w:rPr>
              <w:t xml:space="preserve">配置资产处置的规则，包括处置条件、处置方式、审批流程、收益上缴要求、档案管理要求，确保资产处置全流程合规管控</w:t>
            </w:r>
            <w:r>
              <w:rPr>
                <w:rStyle w:val="1493"/>
                <w:lang w:val="en-US" w:eastAsia="zh-CN" w:bidi="ar"/>
              </w:rPr>
              <w:t xml:space="preserve">。</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36</w:t>
            </w:r>
            <w:r/>
          </w:p>
        </w:tc>
        <w:tc>
          <w:tcPr>
            <w:tcW w:w="1272" w:type="dxa"/>
            <w:vAlign w:val="center"/>
            <w:vMerge w:val="restart"/>
            <w:textDirection w:val="lrTb"/>
            <w:noWrap w:val="false"/>
          </w:tcPr>
          <w:p>
            <w:pPr>
              <w:jc w:val="center"/>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处置闭环管理</w:t>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处置结果与收益备案</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lang w:bidi="ar"/>
              </w:rPr>
              <w:t xml:space="preserve">▲</w:t>
            </w:r>
            <w:r>
              <w:rPr>
                <w:rFonts w:hint="eastAsia" w:ascii="方正仿宋_GBK" w:hAnsi="方正仿宋_GBK" w:eastAsia="方正仿宋_GBK" w:cs="方正仿宋_GBK"/>
                <w:i w:val="0"/>
                <w:iCs w:val="0"/>
                <w:color w:val="000000"/>
                <w:sz w:val="24"/>
                <w:szCs w:val="24"/>
                <w:u w:val="none"/>
                <w:lang w:val="en-US" w:eastAsia="zh-CN" w:bidi="ar"/>
              </w:rPr>
              <w:t xml:space="preserve">对完成处置的资产，在线登记处置结果、收益、缴款凭证、交易合同等，形成处置电子档案。</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37</w:t>
            </w:r>
            <w:r/>
          </w:p>
        </w:tc>
        <w:tc>
          <w:tcPr>
            <w:tcW w:w="1272" w:type="dxa"/>
            <w:vAlign w:val="center"/>
            <w:vMerge w:val="continue"/>
            <w:textDirection w:val="lrTb"/>
            <w:noWrap w:val="false"/>
          </w:tcPr>
          <w:p>
            <w:pPr>
              <w:jc w:val="center"/>
              <w:spacing w:after="0" w:line="240" w:lineRule="auto"/>
              <w:rPr>
                <w:rFonts w:hint="eastAsia"/>
                <w:b/>
                <w:bCs/>
              </w:rPr>
            </w:pPr>
            <w:r>
              <w:rPr>
                <w:rFonts w:hint="eastAsia"/>
                <w:b/>
                <w:bCs/>
              </w:rPr>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处置收益与非税收入自动对账</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lang w:bidi="ar"/>
              </w:rPr>
              <w:t xml:space="preserve">▲</w:t>
            </w:r>
            <w:r>
              <w:rPr>
                <w:rFonts w:hint="eastAsia" w:ascii="方正仿宋_GBK" w:hAnsi="方正仿宋_GBK" w:eastAsia="方正仿宋_GBK" w:cs="方正仿宋_GBK"/>
                <w:i w:val="0"/>
                <w:iCs w:val="0"/>
                <w:color w:val="000000"/>
                <w:sz w:val="24"/>
                <w:szCs w:val="24"/>
                <w:u w:val="none"/>
                <w:lang w:val="en-US" w:eastAsia="zh-CN" w:bidi="ar"/>
              </w:rPr>
              <w:t xml:space="preserve">对接非税收入系统，自动校验处置收益上缴票据的真伪与金额，并定期进行台账与资金到账情况自动对账。</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38</w:t>
            </w:r>
            <w:r/>
          </w:p>
        </w:tc>
        <w:tc>
          <w:tcPr>
            <w:tcW w:w="1272" w:type="dxa"/>
            <w:vAlign w:val="center"/>
            <w:vMerge w:val="continue"/>
            <w:textDirection w:val="lrTb"/>
            <w:noWrap w:val="false"/>
          </w:tcPr>
          <w:p>
            <w:pPr>
              <w:jc w:val="center"/>
              <w:spacing w:after="0" w:line="240" w:lineRule="auto"/>
              <w:rPr>
                <w:rFonts w:hint="eastAsia"/>
                <w:b/>
                <w:bCs/>
              </w:rPr>
            </w:pPr>
            <w:r>
              <w:rPr>
                <w:rFonts w:hint="eastAsia"/>
                <w:b/>
                <w:bCs/>
              </w:rPr>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处置收益汇总分析</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通过汇总分析和监督预警，跟踪处置流程进度、处置价款到账情况、收益上缴合规性，对处置程序不规范、收益滞留、未及时上缴等问题实时预警，确保资产处置全程合规、收益全额入库、台账动态更新，实现国有资产末端管控无死角</w:t>
            </w:r>
            <w:r>
              <w:rPr>
                <w:rStyle w:val="1493"/>
                <w:lang w:val="en-US" w:eastAsia="zh-CN" w:bidi="ar"/>
              </w:rPr>
              <w:t xml:space="preserve">。</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39</w:t>
            </w:r>
            <w:r/>
          </w:p>
        </w:tc>
        <w:tc>
          <w:tcPr>
            <w:tcW w:w="1272" w:type="dxa"/>
            <w:vAlign w:val="center"/>
            <w:vMerge w:val="continue"/>
            <w:textDirection w:val="lrTb"/>
            <w:noWrap w:val="false"/>
          </w:tcPr>
          <w:p>
            <w:pPr>
              <w:jc w:val="center"/>
              <w:spacing w:after="0" w:line="240" w:lineRule="auto"/>
              <w:rPr>
                <w:rFonts w:hint="eastAsia"/>
                <w:b/>
                <w:bCs/>
              </w:rPr>
            </w:pPr>
            <w:r>
              <w:rPr>
                <w:rFonts w:hint="eastAsia"/>
                <w:b/>
                <w:bCs/>
              </w:rPr>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资产处置情况统计分析</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按单位、资产类型、处置方式、时间维度，对全市资产处置情况进行多维度统计分析，包括处置资产数量、处置金额、收益金额、上缴金额、处置完成率，生成统计分析报表</w:t>
            </w:r>
            <w:r>
              <w:rPr>
                <w:rStyle w:val="1493"/>
                <w:lang w:val="en-US" w:eastAsia="zh-CN" w:bidi="ar"/>
              </w:rPr>
              <w:t xml:space="preserve">。</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40</w:t>
            </w:r>
            <w:r/>
          </w:p>
        </w:tc>
        <w:tc>
          <w:tcPr>
            <w:tcW w:w="1272" w:type="dxa"/>
            <w:vAlign w:val="center"/>
            <w:vMerge w:val="continue"/>
            <w:textDirection w:val="lrTb"/>
            <w:noWrap w:val="false"/>
          </w:tcPr>
          <w:p>
            <w:pPr>
              <w:jc w:val="center"/>
              <w:spacing w:after="0" w:line="240" w:lineRule="auto"/>
              <w:rPr>
                <w:rFonts w:hint="eastAsia"/>
                <w:b/>
                <w:bCs/>
              </w:rPr>
            </w:pPr>
            <w:r>
              <w:rPr>
                <w:rFonts w:hint="eastAsia"/>
                <w:b/>
                <w:bCs/>
              </w:rPr>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处置流程全景监控与风险预警</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可视化监控处置各环节状态与耗时；对程序不合规、收益未及时上缴等风险进行实时预警。</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41</w:t>
            </w:r>
            <w:r/>
          </w:p>
        </w:tc>
        <w:tc>
          <w:tcPr>
            <w:tcW w:w="1272" w:type="dxa"/>
            <w:vAlign w:val="center"/>
            <w:vMerge w:val="continue"/>
            <w:textDirection w:val="lrTb"/>
            <w:noWrap w:val="false"/>
          </w:tcPr>
          <w:p>
            <w:pPr>
              <w:jc w:val="center"/>
              <w:spacing w:after="0" w:line="240" w:lineRule="auto"/>
              <w:rPr>
                <w:rFonts w:hint="eastAsia"/>
                <w:b/>
                <w:bCs/>
              </w:rPr>
            </w:pPr>
            <w:r>
              <w:rPr>
                <w:rFonts w:hint="eastAsia"/>
                <w:b/>
                <w:bCs/>
              </w:rPr>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处置档案数字化管理</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对处置档案进行数字化管理，便于查询、调阅和长期保存。</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42</w:t>
            </w:r>
            <w:r/>
          </w:p>
        </w:tc>
        <w:tc>
          <w:tcPr>
            <w:tcW w:w="1272" w:type="dxa"/>
            <w:vAlign w:val="center"/>
            <w:vMerge w:val="restart"/>
            <w:textDirection w:val="lrTb"/>
            <w:noWrap w:val="false"/>
          </w:tcPr>
          <w:p>
            <w:pPr>
              <w:jc w:val="center"/>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公务用车监管</w:t>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公务用车系统对接</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lang w:bidi="ar"/>
              </w:rPr>
              <w:t xml:space="preserve">▲</w:t>
            </w:r>
            <w:r>
              <w:rPr>
                <w:rFonts w:hint="eastAsia" w:ascii="方正仿宋_GBK" w:hAnsi="方正仿宋_GBK" w:eastAsia="方正仿宋_GBK" w:cs="方正仿宋_GBK"/>
                <w:i w:val="0"/>
                <w:iCs w:val="0"/>
                <w:color w:val="000000"/>
                <w:sz w:val="24"/>
                <w:szCs w:val="24"/>
                <w:u w:val="none"/>
                <w:lang w:val="en-US" w:eastAsia="zh-CN" w:bidi="ar"/>
              </w:rPr>
              <w:t xml:space="preserve">对接市机关事务管理局公务用车系统，获取公务用车相关数据，作为公务用车监管的基础</w:t>
            </w:r>
            <w:r>
              <w:rPr>
                <w:rStyle w:val="1493"/>
                <w:lang w:val="en-US" w:eastAsia="zh-CN" w:bidi="ar"/>
              </w:rPr>
              <w:t xml:space="preserve">。</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43</w:t>
            </w:r>
            <w:r/>
          </w:p>
        </w:tc>
        <w:tc>
          <w:tcPr>
            <w:tcW w:w="1272" w:type="dxa"/>
            <w:vAlign w:val="center"/>
            <w:vMerge w:val="continue"/>
            <w:textDirection w:val="lrTb"/>
            <w:noWrap w:val="false"/>
          </w:tcPr>
          <w:p>
            <w:pPr>
              <w:jc w:val="center"/>
              <w:spacing w:after="0" w:line="240" w:lineRule="auto"/>
              <w:rPr>
                <w:rFonts w:hint="eastAsia"/>
                <w:b/>
                <w:bCs/>
              </w:rPr>
            </w:pPr>
            <w:r>
              <w:rPr>
                <w:rFonts w:hint="eastAsia"/>
                <w:b/>
                <w:bCs/>
              </w:rPr>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公务用车数据查询</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展示全市公务用车具体数据情况</w:t>
            </w:r>
            <w:r>
              <w:rPr>
                <w:rStyle w:val="1493"/>
                <w:lang w:val="en-US" w:eastAsia="zh-CN" w:bidi="ar"/>
              </w:rPr>
              <w:t xml:space="preserve">。</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44</w:t>
            </w:r>
            <w:r/>
          </w:p>
        </w:tc>
        <w:tc>
          <w:tcPr>
            <w:tcW w:w="1272" w:type="dxa"/>
            <w:vAlign w:val="center"/>
            <w:vMerge w:val="continue"/>
            <w:textDirection w:val="lrTb"/>
            <w:noWrap w:val="false"/>
          </w:tcPr>
          <w:p>
            <w:pPr>
              <w:jc w:val="center"/>
              <w:spacing w:after="0" w:line="240" w:lineRule="auto"/>
              <w:rPr>
                <w:rFonts w:hint="eastAsia"/>
                <w:b/>
                <w:bCs/>
              </w:rPr>
            </w:pPr>
            <w:r>
              <w:rPr>
                <w:rFonts w:hint="eastAsia"/>
                <w:b/>
                <w:bCs/>
              </w:rPr>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公务用车动态监控</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集成高精度</w:t>
            </w:r>
            <w:r>
              <w:rPr>
                <w:rFonts w:hint="default" w:ascii="Times New Roman" w:hAnsi="Times New Roman" w:eastAsia="方正仿宋_GBK" w:cs="Times New Roman"/>
                <w:i w:val="0"/>
                <w:iCs w:val="0"/>
                <w:color w:val="000000"/>
                <w:sz w:val="24"/>
                <w:szCs w:val="24"/>
                <w:u w:val="none"/>
                <w:lang w:val="en-US" w:eastAsia="zh-CN" w:bidi="ar"/>
              </w:rPr>
              <w:t xml:space="preserve">GPS</w:t>
            </w:r>
            <w:r>
              <w:rPr>
                <w:rStyle w:val="1493"/>
                <w:lang w:val="en-US" w:eastAsia="zh-CN" w:bidi="ar"/>
              </w:rPr>
              <w:t xml:space="preserve">定位、智能电子围栏、实时轨迹回溯功能，实现公车位置、行驶轨迹、停放区域</w:t>
            </w:r>
            <w:r>
              <w:rPr>
                <w:rFonts w:hint="default" w:ascii="Times New Roman" w:hAnsi="Times New Roman" w:eastAsia="方正仿宋_GBK" w:cs="Times New Roman"/>
                <w:i w:val="0"/>
                <w:iCs w:val="0"/>
                <w:color w:val="000000"/>
                <w:sz w:val="24"/>
                <w:szCs w:val="24"/>
                <w:u w:val="none"/>
                <w:lang w:val="en-US" w:eastAsia="zh-CN" w:bidi="ar"/>
              </w:rPr>
              <w:t xml:space="preserve">24</w:t>
            </w:r>
            <w:r>
              <w:rPr>
                <w:rStyle w:val="1493"/>
                <w:lang w:val="en-US" w:eastAsia="zh-CN" w:bidi="ar"/>
              </w:rPr>
              <w:t xml:space="preserve">小时动态监控。</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45</w:t>
            </w:r>
            <w:r/>
          </w:p>
        </w:tc>
        <w:tc>
          <w:tcPr>
            <w:tcW w:w="1272"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公务用车监管</w:t>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公务用车预警分析</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基于公务用车业务数据，全覆盖用车申请、分级审批、智能调度、油耗统计、维修报备、保养计划、年检管理、违章登记、报废注销全流程，自动预警公车私用、违规停放、超范围行驶、逾期未保养、频繁维修等问题，全面规范公务用车管理秩序</w:t>
            </w:r>
            <w:r>
              <w:rPr>
                <w:rStyle w:val="1493"/>
                <w:lang w:val="en-US" w:eastAsia="zh-CN" w:bidi="ar"/>
              </w:rPr>
              <w:t xml:space="preserve">。</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46</w:t>
            </w:r>
            <w:r/>
          </w:p>
        </w:tc>
        <w:tc>
          <w:tcPr>
            <w:tcW w:w="1272" w:type="dxa"/>
            <w:vAlign w:val="center"/>
            <w:vMerge w:val="restart"/>
            <w:textDirection w:val="lrTb"/>
            <w:noWrap w:val="false"/>
          </w:tcPr>
          <w:p>
            <w:pPr>
              <w:jc w:val="center"/>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经营性资产监管</w:t>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经营性资产专项台账</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建立土地、商铺、房屋等经营性资产的专项管理台账，记录位置、面积、产权、用途、经营状态等核心属性。</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47</w:t>
            </w:r>
            <w:r/>
          </w:p>
        </w:tc>
        <w:tc>
          <w:tcPr>
            <w:tcW w:w="1272" w:type="dxa"/>
            <w:vAlign w:val="center"/>
            <w:vMerge w:val="continue"/>
            <w:textDirection w:val="lrTb"/>
            <w:noWrap w:val="false"/>
          </w:tcPr>
          <w:p>
            <w:pPr>
              <w:jc w:val="center"/>
              <w:spacing w:after="0" w:line="240" w:lineRule="auto"/>
              <w:rPr>
                <w:rFonts w:hint="eastAsia"/>
                <w:b/>
                <w:bCs/>
              </w:rPr>
            </w:pPr>
            <w:r>
              <w:rPr>
                <w:rFonts w:hint="eastAsia"/>
                <w:b/>
                <w:bCs/>
              </w:rPr>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出租计划与公开招租管理</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lang w:bidi="ar"/>
              </w:rPr>
              <w:t xml:space="preserve">▲</w:t>
            </w:r>
            <w:r>
              <w:rPr>
                <w:rFonts w:hint="eastAsia" w:ascii="方正仿宋_GBK" w:hAnsi="方正仿宋_GBK" w:eastAsia="方正仿宋_GBK" w:cs="方正仿宋_GBK"/>
                <w:i w:val="0"/>
                <w:iCs w:val="0"/>
                <w:color w:val="000000"/>
                <w:sz w:val="24"/>
                <w:szCs w:val="24"/>
                <w:u w:val="none"/>
                <w:lang w:val="en-US" w:eastAsia="zh-CN" w:bidi="ar"/>
              </w:rPr>
              <w:t xml:space="preserve">单位拟出租资产需线上申报计划；对需公开招租的土地、商铺、房屋、车位等经营性国有资产，提供出租申请业务功能，关联资产卡片，实际出租业务闭环管理</w:t>
            </w:r>
            <w:r>
              <w:rPr>
                <w:rStyle w:val="1493"/>
                <w:lang w:val="en-US" w:eastAsia="zh-CN" w:bidi="ar"/>
              </w:rPr>
              <w:t xml:space="preserve">。</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48</w:t>
            </w:r>
            <w:r/>
          </w:p>
        </w:tc>
        <w:tc>
          <w:tcPr>
            <w:tcW w:w="1272" w:type="dxa"/>
            <w:vAlign w:val="center"/>
            <w:vMerge w:val="continue"/>
            <w:textDirection w:val="lrTb"/>
            <w:noWrap w:val="false"/>
          </w:tcPr>
          <w:p>
            <w:pPr>
              <w:jc w:val="center"/>
              <w:spacing w:after="0" w:line="240" w:lineRule="auto"/>
              <w:rPr>
                <w:rFonts w:hint="eastAsia"/>
                <w:b/>
                <w:bCs/>
              </w:rPr>
            </w:pPr>
            <w:r>
              <w:rPr>
                <w:rFonts w:hint="eastAsia"/>
                <w:b/>
                <w:bCs/>
              </w:rPr>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租赁合同全生命周期管理</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lang w:bidi="ar"/>
              </w:rPr>
              <w:t xml:space="preserve">▲</w:t>
            </w:r>
            <w:r>
              <w:rPr>
                <w:rFonts w:hint="eastAsia" w:ascii="方正仿宋_GBK" w:hAnsi="方正仿宋_GBK" w:eastAsia="方正仿宋_GBK" w:cs="方正仿宋_GBK"/>
                <w:i w:val="0"/>
                <w:iCs w:val="0"/>
                <w:color w:val="000000"/>
                <w:sz w:val="24"/>
                <w:szCs w:val="24"/>
                <w:u w:val="none"/>
                <w:lang w:val="en-US" w:eastAsia="zh-CN" w:bidi="ar"/>
              </w:rPr>
              <w:t xml:space="preserve">线上完成合同起草、审批、签订、备案，并对租金、租期、递增率等核心条款进行结构化管理和到期提醒。</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49</w:t>
            </w:r>
            <w:r/>
          </w:p>
        </w:tc>
        <w:tc>
          <w:tcPr>
            <w:tcW w:w="1272" w:type="dxa"/>
            <w:vAlign w:val="center"/>
            <w:vMerge w:val="continue"/>
            <w:textDirection w:val="lrTb"/>
            <w:noWrap w:val="false"/>
          </w:tcPr>
          <w:p>
            <w:pPr>
              <w:jc w:val="center"/>
              <w:spacing w:after="0" w:line="240" w:lineRule="auto"/>
              <w:rPr>
                <w:rFonts w:hint="eastAsia"/>
                <w:b/>
                <w:bCs/>
              </w:rPr>
            </w:pPr>
            <w:r>
              <w:rPr>
                <w:rFonts w:hint="eastAsia"/>
                <w:b/>
                <w:bCs/>
              </w:rPr>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租金自动计算、收缴与线上对账</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根据合同自动生成应收账单，支持线上支付，记录实收情况，并自动与应收账单、非税票据勾稽对账。</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50</w:t>
            </w:r>
            <w:r/>
          </w:p>
        </w:tc>
        <w:tc>
          <w:tcPr>
            <w:tcW w:w="1272" w:type="dxa"/>
            <w:vAlign w:val="center"/>
            <w:vMerge w:val="continue"/>
            <w:textDirection w:val="lrTb"/>
            <w:noWrap w:val="false"/>
          </w:tcPr>
          <w:p>
            <w:pPr>
              <w:jc w:val="center"/>
              <w:spacing w:after="0" w:line="240" w:lineRule="auto"/>
              <w:rPr>
                <w:rFonts w:hint="eastAsia"/>
                <w:b/>
                <w:bCs/>
              </w:rPr>
            </w:pPr>
            <w:r>
              <w:rPr>
                <w:rFonts w:hint="eastAsia"/>
                <w:b/>
                <w:bCs/>
              </w:rPr>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经营性资产综合预警</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对欠缴租金、合同到期未收回、低价出租、违规转租</w:t>
            </w:r>
            <w:r>
              <w:rPr>
                <w:rFonts w:hint="default" w:ascii="Times New Roman" w:hAnsi="Times New Roman" w:eastAsia="方正仿宋_GBK" w:cs="Times New Roman"/>
                <w:i w:val="0"/>
                <w:iCs w:val="0"/>
                <w:color w:val="000000"/>
                <w:sz w:val="24"/>
                <w:szCs w:val="24"/>
                <w:u w:val="none"/>
                <w:lang w:val="en-US" w:eastAsia="zh-CN" w:bidi="ar"/>
              </w:rPr>
              <w:t xml:space="preserve">/</w:t>
            </w:r>
            <w:r>
              <w:rPr>
                <w:rStyle w:val="1493"/>
                <w:lang w:val="en-US" w:eastAsia="zh-CN" w:bidi="ar"/>
              </w:rPr>
              <w:t xml:space="preserve">改变用途等问题进行多维度、智能化预警。</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51</w:t>
            </w:r>
            <w:r/>
          </w:p>
        </w:tc>
        <w:tc>
          <w:tcPr>
            <w:tcW w:w="1272" w:type="dxa"/>
            <w:vAlign w:val="center"/>
            <w:vMerge w:val="continue"/>
            <w:textDirection w:val="lrTb"/>
            <w:noWrap w:val="false"/>
          </w:tcPr>
          <w:p>
            <w:pPr>
              <w:jc w:val="center"/>
              <w:spacing w:after="0" w:line="240" w:lineRule="auto"/>
              <w:rPr>
                <w:rFonts w:hint="eastAsia"/>
                <w:b/>
                <w:bCs/>
              </w:rPr>
            </w:pPr>
            <w:r>
              <w:rPr>
                <w:rFonts w:hint="eastAsia"/>
                <w:b/>
                <w:bCs/>
              </w:rPr>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经营性资产收益分析</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分析经营性资产的出租率、收益率等指标，评估资产运营效益。</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52</w:t>
            </w:r>
            <w:r/>
          </w:p>
        </w:tc>
        <w:tc>
          <w:tcPr>
            <w:tcW w:w="1272" w:type="dxa"/>
            <w:vAlign w:val="center"/>
            <w:vMerge w:val="continue"/>
            <w:textDirection w:val="lrTb"/>
            <w:noWrap w:val="false"/>
          </w:tcPr>
          <w:p>
            <w:pPr>
              <w:jc w:val="center"/>
              <w:spacing w:after="0" w:line="240" w:lineRule="auto"/>
              <w:rPr>
                <w:rFonts w:hint="eastAsia"/>
                <w:b/>
                <w:bCs/>
              </w:rPr>
            </w:pPr>
            <w:r>
              <w:rPr>
                <w:rFonts w:hint="eastAsia"/>
                <w:b/>
                <w:bCs/>
              </w:rPr>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经营性资产风险评估</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对经营性资产面临的市场风险、信用风险等进行评估，制定风险防控措施。</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53</w:t>
            </w:r>
            <w:r/>
          </w:p>
        </w:tc>
        <w:tc>
          <w:tcPr>
            <w:tcW w:w="1272" w:type="dxa"/>
            <w:vAlign w:val="center"/>
            <w:vMerge w:val="continue"/>
            <w:textDirection w:val="lrTb"/>
            <w:noWrap w:val="false"/>
          </w:tcPr>
          <w:p>
            <w:pPr>
              <w:jc w:val="center"/>
              <w:spacing w:after="0" w:line="240" w:lineRule="auto"/>
              <w:rPr>
                <w:rFonts w:hint="eastAsia"/>
                <w:b/>
                <w:bCs/>
              </w:rPr>
            </w:pPr>
            <w:r>
              <w:rPr>
                <w:rFonts w:hint="eastAsia"/>
                <w:b/>
                <w:bCs/>
              </w:rPr>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经营性资产绩效评价</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对经营性资产的投资效益进行评价，分析投入产出比，为资产优化配置提供依据。</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54</w:t>
            </w:r>
            <w:r/>
          </w:p>
        </w:tc>
        <w:tc>
          <w:tcPr>
            <w:tcW w:w="1272"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经营性资产监管</w:t>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经营性资产全景视图</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提供经营性资产的全景视图，展示资产概况、收益、风险等关键信息。</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55</w:t>
            </w:r>
            <w:r/>
          </w:p>
        </w:tc>
        <w:tc>
          <w:tcPr>
            <w:tcW w:w="1272" w:type="dxa"/>
            <w:vAlign w:val="center"/>
            <w:vMerge w:val="restart"/>
            <w:textDirection w:val="lrTb"/>
            <w:noWrap w:val="false"/>
          </w:tcPr>
          <w:p>
            <w:pPr>
              <w:jc w:val="center"/>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大型仪器设备共享监管</w:t>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大型仪器数据查询</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查询本市的大型仪器具体情况</w:t>
            </w:r>
            <w:r>
              <w:rPr>
                <w:rStyle w:val="1493"/>
                <w:lang w:val="en-US" w:eastAsia="zh-CN" w:bidi="ar"/>
              </w:rPr>
              <w:t xml:space="preserve">。</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56</w:t>
            </w:r>
            <w:r/>
          </w:p>
        </w:tc>
        <w:tc>
          <w:tcPr>
            <w:tcW w:w="1272" w:type="dxa"/>
            <w:vAlign w:val="center"/>
            <w:vMerge w:val="continue"/>
            <w:textDirection w:val="lrTb"/>
            <w:noWrap w:val="false"/>
          </w:tcPr>
          <w:p>
            <w:pPr>
              <w:jc w:val="center"/>
              <w:spacing w:after="0" w:line="240" w:lineRule="auto"/>
              <w:rPr>
                <w:rFonts w:hint="eastAsia"/>
                <w:b/>
                <w:bCs/>
              </w:rPr>
            </w:pPr>
            <w:r>
              <w:rPr>
                <w:rFonts w:hint="eastAsia"/>
                <w:b/>
                <w:bCs/>
              </w:rPr>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大型仪器智能监管</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基于终端智能设备数据信息，监测设备开机率、使用率、共享次数、闲置时长、维保情况，精准统计设备使用效益</w:t>
            </w:r>
            <w:r>
              <w:rPr>
                <w:rStyle w:val="1493"/>
                <w:lang w:val="en-US" w:eastAsia="zh-CN" w:bidi="ar"/>
              </w:rPr>
              <w:t xml:space="preserve">。</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57</w:t>
            </w:r>
            <w:r/>
          </w:p>
        </w:tc>
        <w:tc>
          <w:tcPr>
            <w:tcW w:w="1272" w:type="dxa"/>
            <w:vAlign w:val="center"/>
            <w:vMerge w:val="restart"/>
            <w:textDirection w:val="lrTb"/>
            <w:noWrap w:val="false"/>
          </w:tcPr>
          <w:p>
            <w:pPr>
              <w:jc w:val="center"/>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公物仓调剂共享管理</w:t>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公物仓系统对接管理</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对接省级公物仓平台，实现市、省两级闲置资产数据实时同步与调剂申请流转。</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58</w:t>
            </w:r>
            <w:r/>
          </w:p>
        </w:tc>
        <w:tc>
          <w:tcPr>
            <w:tcW w:w="1272" w:type="dxa"/>
            <w:vAlign w:val="center"/>
            <w:vMerge w:val="continue"/>
            <w:textDirection w:val="lrTb"/>
            <w:noWrap w:val="false"/>
          </w:tcPr>
          <w:p>
            <w:pPr>
              <w:jc w:val="center"/>
              <w:spacing w:after="0" w:line="240" w:lineRule="auto"/>
              <w:rPr>
                <w:rFonts w:hint="eastAsia"/>
                <w:b/>
                <w:bCs/>
              </w:rPr>
            </w:pPr>
            <w:r>
              <w:rPr>
                <w:rFonts w:hint="eastAsia"/>
                <w:b/>
                <w:bCs/>
              </w:rPr>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市内公物仓资产统一入库与展示</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各单位将可调剂闲置资产信息统一备案录入市级公物仓，形成全市闲置资产</w:t>
            </w:r>
            <w:r>
              <w:rPr>
                <w:rFonts w:hint="default" w:ascii="Times New Roman" w:hAnsi="Times New Roman" w:eastAsia="方正仿宋_GBK" w:cs="Times New Roman"/>
                <w:i w:val="0"/>
                <w:iCs w:val="0"/>
                <w:color w:val="000000"/>
                <w:sz w:val="24"/>
                <w:szCs w:val="24"/>
                <w:u w:val="none"/>
                <w:lang w:val="en-US" w:eastAsia="zh-CN" w:bidi="ar"/>
              </w:rPr>
              <w:t xml:space="preserve">“</w:t>
            </w:r>
            <w:r>
              <w:rPr>
                <w:rStyle w:val="1493"/>
                <w:lang w:val="en-US" w:eastAsia="zh-CN" w:bidi="ar"/>
              </w:rPr>
              <w:t xml:space="preserve">蓄水池</w:t>
            </w:r>
            <w:r>
              <w:rPr>
                <w:rFonts w:hint="default" w:ascii="Times New Roman" w:hAnsi="Times New Roman" w:eastAsia="方正仿宋_GBK" w:cs="Times New Roman"/>
                <w:i w:val="0"/>
                <w:iCs w:val="0"/>
                <w:color w:val="000000"/>
                <w:sz w:val="24"/>
                <w:szCs w:val="24"/>
                <w:u w:val="none"/>
                <w:lang w:val="en-US" w:eastAsia="zh-CN" w:bidi="ar"/>
              </w:rPr>
              <w:t xml:space="preserve">”</w:t>
            </w:r>
            <w:r>
              <w:rPr>
                <w:rStyle w:val="1493"/>
                <w:lang w:val="en-US" w:eastAsia="zh-CN" w:bidi="ar"/>
              </w:rPr>
              <w:t xml:space="preserve">并线上展示。</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59</w:t>
            </w:r>
            <w:r/>
          </w:p>
        </w:tc>
        <w:tc>
          <w:tcPr>
            <w:tcW w:w="1272" w:type="dxa"/>
            <w:vAlign w:val="center"/>
            <w:vMerge w:val="continue"/>
            <w:textDirection w:val="lrTb"/>
            <w:noWrap w:val="false"/>
          </w:tcPr>
          <w:p>
            <w:pPr>
              <w:jc w:val="center"/>
              <w:spacing w:after="0" w:line="240" w:lineRule="auto"/>
              <w:rPr>
                <w:rFonts w:hint="eastAsia"/>
                <w:b/>
                <w:bCs/>
              </w:rPr>
            </w:pPr>
            <w:r>
              <w:rPr>
                <w:rFonts w:hint="eastAsia"/>
                <w:b/>
                <w:bCs/>
              </w:rPr>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智能匹配与调剂全流程网办</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系统可根据需求智能推荐匹配闲置资产；实现从线上申请、审核、资产划转、交接确认到卡片变更的全程网办。</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60</w:t>
            </w:r>
            <w:r/>
          </w:p>
        </w:tc>
        <w:tc>
          <w:tcPr>
            <w:tcW w:w="1272" w:type="dxa"/>
            <w:vAlign w:val="center"/>
            <w:vMerge w:val="continue"/>
            <w:textDirection w:val="lrTb"/>
            <w:noWrap w:val="false"/>
          </w:tcPr>
          <w:p>
            <w:pPr>
              <w:jc w:val="center"/>
              <w:spacing w:after="0" w:line="240" w:lineRule="auto"/>
              <w:rPr>
                <w:rFonts w:hint="eastAsia"/>
                <w:b/>
                <w:bCs/>
              </w:rPr>
            </w:pPr>
            <w:r>
              <w:rPr>
                <w:rFonts w:hint="eastAsia"/>
                <w:b/>
                <w:bCs/>
              </w:rPr>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公物仓资产效益分析</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分析公物仓资产的调剂率、利用率等指标，评估公物仓的运营效益。</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61</w:t>
            </w:r>
            <w:r/>
          </w:p>
        </w:tc>
        <w:tc>
          <w:tcPr>
            <w:tcW w:w="1272" w:type="dxa"/>
            <w:vAlign w:val="center"/>
            <w:vMerge w:val="restart"/>
            <w:textDirection w:val="lrTb"/>
            <w:noWrap w:val="false"/>
          </w:tcPr>
          <w:p>
            <w:pPr>
              <w:jc w:val="center"/>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监督预警管理</w:t>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监督模型配置平台</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提供监督模型配置界面，支持业务人员自定义风险规则、数据源、预警阈值与等级（黄、橙、红）。</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62</w:t>
            </w:r>
            <w:r/>
          </w:p>
        </w:tc>
        <w:tc>
          <w:tcPr>
            <w:tcW w:w="1272" w:type="dxa"/>
            <w:vAlign w:val="center"/>
            <w:vMerge w:val="continue"/>
            <w:textDirection w:val="lrTb"/>
            <w:noWrap w:val="false"/>
          </w:tcPr>
          <w:p>
            <w:pPr>
              <w:jc w:val="center"/>
              <w:spacing w:after="0" w:line="240" w:lineRule="auto"/>
              <w:rPr>
                <w:rFonts w:hint="eastAsia"/>
                <w:b/>
                <w:bCs/>
              </w:rPr>
            </w:pPr>
            <w:r>
              <w:rPr>
                <w:rFonts w:hint="eastAsia"/>
                <w:b/>
                <w:bCs/>
              </w:rPr>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规则引擎与多场景预警模型</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预置并支持配置资产闲置、配置超标、账实不符、收益流失、工程超付、公车运行异常等多业务场景规则预警模型。</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63</w:t>
            </w:r>
            <w:r/>
          </w:p>
        </w:tc>
        <w:tc>
          <w:tcPr>
            <w:tcW w:w="1272" w:type="dxa"/>
            <w:vAlign w:val="center"/>
            <w:vMerge w:val="continue"/>
            <w:textDirection w:val="lrTb"/>
            <w:noWrap w:val="false"/>
          </w:tcPr>
          <w:p>
            <w:pPr>
              <w:jc w:val="center"/>
              <w:spacing w:after="0" w:line="240" w:lineRule="auto"/>
              <w:rPr>
                <w:rFonts w:hint="eastAsia"/>
                <w:b/>
                <w:bCs/>
              </w:rPr>
            </w:pPr>
            <w:r>
              <w:rPr>
                <w:rFonts w:hint="eastAsia"/>
                <w:b/>
                <w:bCs/>
              </w:rPr>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智能预警引擎与任务自动分发</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基于预置模型对业务数据自动扫描，判定风险后根据等级与责任归属，将预警任务自动推送至对应责任人。</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64</w:t>
            </w:r>
            <w:r/>
          </w:p>
        </w:tc>
        <w:tc>
          <w:tcPr>
            <w:tcW w:w="1272" w:type="dxa"/>
            <w:vAlign w:val="center"/>
            <w:vMerge w:val="continue"/>
            <w:textDirection w:val="lrTb"/>
            <w:noWrap w:val="false"/>
          </w:tcPr>
          <w:p>
            <w:pPr>
              <w:jc w:val="center"/>
              <w:spacing w:after="0" w:line="240" w:lineRule="auto"/>
              <w:rPr>
                <w:rFonts w:hint="eastAsia"/>
                <w:b/>
                <w:bCs/>
              </w:rPr>
            </w:pPr>
            <w:r>
              <w:rPr>
                <w:rFonts w:hint="eastAsia"/>
                <w:b/>
                <w:bCs/>
              </w:rPr>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预警处置与整改闭环管理</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提供标准的线上整改反馈流程，实现全流程线上闭环管控与留痕。</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65</w:t>
            </w:r>
            <w:r/>
          </w:p>
        </w:tc>
        <w:tc>
          <w:tcPr>
            <w:tcW w:w="1272" w:type="dxa"/>
            <w:vAlign w:val="center"/>
            <w:vMerge w:val="continue"/>
            <w:textDirection w:val="lrTb"/>
            <w:noWrap w:val="false"/>
          </w:tcPr>
          <w:p>
            <w:pPr>
              <w:jc w:val="center"/>
              <w:spacing w:after="0" w:line="240" w:lineRule="auto"/>
              <w:rPr>
                <w:rFonts w:hint="eastAsia"/>
                <w:b/>
                <w:bCs/>
              </w:rPr>
            </w:pPr>
            <w:r>
              <w:rPr>
                <w:rFonts w:hint="eastAsia"/>
                <w:b/>
                <w:bCs/>
              </w:rPr>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预警中心全局视图</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在指挥大屏整合展示全市预警总量、风险等级分布、热点问题领域、处置效率趋势等，实现监管态势一屏统览。</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66</w:t>
            </w:r>
            <w:r/>
          </w:p>
        </w:tc>
        <w:tc>
          <w:tcPr>
            <w:tcW w:w="1272" w:type="dxa"/>
            <w:vAlign w:val="center"/>
            <w:vMerge w:val="restart"/>
            <w:textDirection w:val="lrTb"/>
            <w:noWrap w:val="false"/>
          </w:tcPr>
          <w:p>
            <w:pPr>
              <w:jc w:val="center"/>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监督预警管理</w:t>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预警数据分析报告</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定期生成预警数据分析报告，分析预警发生的原因、趋势和影响，为管理决策提供支持。</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67</w:t>
            </w:r>
            <w:r/>
          </w:p>
        </w:tc>
        <w:tc>
          <w:tcPr>
            <w:tcW w:w="1272" w:type="dxa"/>
            <w:vAlign w:val="center"/>
            <w:vMerge w:val="continue"/>
            <w:textDirection w:val="lrTb"/>
            <w:noWrap w:val="false"/>
          </w:tcPr>
          <w:p>
            <w:pPr>
              <w:jc w:val="center"/>
              <w:spacing w:after="0" w:line="240" w:lineRule="auto"/>
              <w:rPr>
                <w:rFonts w:hint="eastAsia"/>
                <w:b/>
                <w:bCs/>
              </w:rPr>
            </w:pPr>
            <w:r>
              <w:rPr>
                <w:rFonts w:hint="eastAsia"/>
                <w:b/>
                <w:bCs/>
              </w:rPr>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预警模型优化</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根据预警数据分析结果，不断优化预警模型，提高预警的准确性和有效性。</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68</w:t>
            </w:r>
            <w:r/>
          </w:p>
        </w:tc>
        <w:tc>
          <w:tcPr>
            <w:tcW w:w="1272" w:type="dxa"/>
            <w:vAlign w:val="center"/>
            <w:vMerge w:val="continue"/>
            <w:textDirection w:val="lrTb"/>
            <w:noWrap w:val="false"/>
          </w:tcPr>
          <w:p>
            <w:pPr>
              <w:jc w:val="center"/>
              <w:spacing w:after="0" w:line="240" w:lineRule="auto"/>
              <w:rPr>
                <w:rFonts w:hint="eastAsia"/>
                <w:b/>
                <w:bCs/>
              </w:rPr>
            </w:pPr>
            <w:r>
              <w:rPr>
                <w:rFonts w:hint="eastAsia"/>
                <w:b/>
                <w:bCs/>
              </w:rPr>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预警风险评估</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对预警风险进行评估，分析风险发生的可能性和影响程度，制定风险应对策略。</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69</w:t>
            </w:r>
            <w:r/>
          </w:p>
        </w:tc>
        <w:tc>
          <w:tcPr>
            <w:tcW w:w="1272" w:type="dxa"/>
            <w:vAlign w:val="center"/>
            <w:vMerge w:val="restart"/>
            <w:textDirection w:val="lrTb"/>
            <w:noWrap w:val="false"/>
          </w:tcPr>
          <w:p>
            <w:pPr>
              <w:jc w:val="center"/>
              <w:keepLines w:val="0"/>
              <w:keepNext w:val="0"/>
              <w:spacing w:after="0" w:line="240" w:lineRule="auto"/>
              <w:widowControl/>
              <w:rPr>
                <w:rFonts w:hint="eastAsia"/>
                <w:b/>
                <w:bCs/>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AI</w:t>
            </w:r>
            <w:r>
              <w:rPr>
                <w:rStyle w:val="1493"/>
                <w:lang w:val="en-US" w:eastAsia="zh-CN" w:bidi="ar"/>
              </w:rPr>
              <w:t xml:space="preserve">智能分析</w:t>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多源数据治理与融合中台</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lang w:bidi="ar"/>
              </w:rPr>
              <w:t xml:space="preserve">▲</w:t>
            </w:r>
            <w:r>
              <w:rPr>
                <w:rFonts w:hint="eastAsia" w:ascii="方正仿宋_GBK" w:hAnsi="方正仿宋_GBK" w:eastAsia="方正仿宋_GBK" w:cs="方正仿宋_GBK"/>
                <w:i w:val="0"/>
                <w:iCs w:val="0"/>
                <w:color w:val="000000"/>
                <w:sz w:val="24"/>
                <w:szCs w:val="24"/>
                <w:u w:val="none"/>
                <w:lang w:val="en-US" w:eastAsia="zh-CN" w:bidi="ar"/>
              </w:rPr>
              <w:t xml:space="preserve">构建统一数据中台，对来自资产、财务、工程、公车、纪检等多源异构数据进行清洗、标准化、关联与融合。</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70</w:t>
            </w:r>
            <w:r/>
          </w:p>
        </w:tc>
        <w:tc>
          <w:tcPr>
            <w:tcW w:w="1272" w:type="dxa"/>
            <w:vAlign w:val="center"/>
            <w:vMerge w:val="continue"/>
            <w:textDirection w:val="lrTb"/>
            <w:noWrap w:val="false"/>
          </w:tcPr>
          <w:p>
            <w:pPr>
              <w:jc w:val="center"/>
              <w:spacing w:after="0" w:line="240" w:lineRule="auto"/>
              <w:rPr>
                <w:rFonts w:hint="eastAsia"/>
                <w:b/>
                <w:bCs/>
              </w:rPr>
            </w:pPr>
            <w:r>
              <w:rPr>
                <w:rFonts w:hint="eastAsia"/>
                <w:b/>
                <w:bCs/>
              </w:rPr>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机器学习模型训练与赋能平台</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lang w:bidi="ar"/>
              </w:rPr>
              <w:t xml:space="preserve">▲</w:t>
            </w:r>
            <w:r>
              <w:rPr>
                <w:rFonts w:hint="eastAsia" w:ascii="方正仿宋_GBK" w:hAnsi="方正仿宋_GBK" w:eastAsia="方正仿宋_GBK" w:cs="方正仿宋_GBK"/>
                <w:i w:val="0"/>
                <w:iCs w:val="0"/>
                <w:color w:val="000000"/>
                <w:sz w:val="24"/>
                <w:szCs w:val="24"/>
                <w:u w:val="none"/>
                <w:lang w:val="en-US" w:eastAsia="zh-CN" w:bidi="ar"/>
              </w:rPr>
              <w:t xml:space="preserve">提供可视化的机器学习模型开发、训练、评估与部署环境，支持业务人员与数据专家协同开发定制化</w:t>
            </w:r>
            <w:r>
              <w:rPr>
                <w:rFonts w:hint="default" w:ascii="Times New Roman" w:hAnsi="Times New Roman" w:eastAsia="方正仿宋_GBK" w:cs="Times New Roman"/>
                <w:i w:val="0"/>
                <w:iCs w:val="0"/>
                <w:color w:val="000000"/>
                <w:sz w:val="24"/>
                <w:szCs w:val="24"/>
                <w:u w:val="none"/>
                <w:lang w:val="en-US" w:eastAsia="zh-CN" w:bidi="ar"/>
              </w:rPr>
              <w:t xml:space="preserve">AI</w:t>
            </w:r>
            <w:r>
              <w:rPr>
                <w:rStyle w:val="1493"/>
                <w:lang w:val="en-US" w:eastAsia="zh-CN" w:bidi="ar"/>
              </w:rPr>
              <w:t xml:space="preserve">模型。</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71</w:t>
            </w:r>
            <w:r/>
          </w:p>
        </w:tc>
        <w:tc>
          <w:tcPr>
            <w:tcW w:w="1272" w:type="dxa"/>
            <w:vAlign w:val="center"/>
            <w:vMerge w:val="continue"/>
            <w:textDirection w:val="lrTb"/>
            <w:noWrap w:val="false"/>
          </w:tcPr>
          <w:p>
            <w:pPr>
              <w:jc w:val="center"/>
              <w:spacing w:after="0" w:line="240" w:lineRule="auto"/>
              <w:rPr>
                <w:rFonts w:hint="eastAsia"/>
                <w:b/>
                <w:bCs/>
              </w:rPr>
            </w:pPr>
            <w:r>
              <w:rPr>
                <w:rFonts w:hint="eastAsia"/>
                <w:b/>
                <w:bCs/>
              </w:rPr>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自然语言处理（</w:t>
            </w:r>
            <w:r>
              <w:rPr>
                <w:rFonts w:hint="default" w:ascii="Times New Roman" w:hAnsi="Times New Roman" w:eastAsia="方正仿宋_GBK" w:cs="Times New Roman"/>
                <w:i w:val="0"/>
                <w:iCs w:val="0"/>
                <w:color w:val="000000"/>
                <w:sz w:val="24"/>
                <w:szCs w:val="24"/>
                <w:u w:val="none"/>
                <w:lang w:val="en-US" w:eastAsia="zh-CN" w:bidi="ar"/>
              </w:rPr>
              <w:t xml:space="preserve">NLP</w:t>
            </w:r>
            <w:r>
              <w:rPr>
                <w:rStyle w:val="1493"/>
                <w:lang w:val="en-US" w:eastAsia="zh-CN" w:bidi="ar"/>
              </w:rPr>
              <w:t xml:space="preserve">）分析</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lang w:bidi="ar"/>
              </w:rPr>
              <w:t xml:space="preserve">▲</w:t>
            </w:r>
            <w:r>
              <w:rPr>
                <w:rFonts w:hint="eastAsia" w:ascii="方正仿宋_GBK" w:hAnsi="方正仿宋_GBK" w:eastAsia="方正仿宋_GBK" w:cs="方正仿宋_GBK"/>
                <w:i w:val="0"/>
                <w:iCs w:val="0"/>
                <w:color w:val="000000"/>
                <w:sz w:val="24"/>
                <w:szCs w:val="24"/>
                <w:u w:val="none"/>
                <w:lang w:val="en-US" w:eastAsia="zh-CN" w:bidi="ar"/>
              </w:rPr>
              <w:t xml:space="preserve">对审计报告、合同文本、举报工单等非结构化数据进行语义分析，提取关键实体、问题分类，并与资产信息关联。</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72</w:t>
            </w:r>
            <w:r/>
          </w:p>
        </w:tc>
        <w:tc>
          <w:tcPr>
            <w:tcW w:w="1272" w:type="dxa"/>
            <w:vAlign w:val="center"/>
            <w:vMerge w:val="continue"/>
            <w:textDirection w:val="lrTb"/>
            <w:noWrap w:val="false"/>
          </w:tcPr>
          <w:p>
            <w:pPr>
              <w:jc w:val="center"/>
              <w:spacing w:after="0" w:line="240" w:lineRule="auto"/>
              <w:rPr>
                <w:rFonts w:hint="eastAsia"/>
                <w:b/>
                <w:bCs/>
              </w:rPr>
            </w:pPr>
            <w:r>
              <w:rPr>
                <w:rFonts w:hint="eastAsia"/>
                <w:b/>
                <w:bCs/>
              </w:rPr>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关联关系图谱分析</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构建</w:t>
            </w:r>
            <w:r>
              <w:rPr>
                <w:rFonts w:hint="default" w:ascii="Times New Roman" w:hAnsi="Times New Roman" w:eastAsia="方正仿宋_GBK" w:cs="Times New Roman"/>
                <w:i w:val="0"/>
                <w:iCs w:val="0"/>
                <w:color w:val="000000"/>
                <w:sz w:val="24"/>
                <w:szCs w:val="24"/>
                <w:u w:val="none"/>
                <w:lang w:val="en-US" w:eastAsia="zh-CN" w:bidi="ar"/>
              </w:rPr>
              <w:t xml:space="preserve">“</w:t>
            </w:r>
            <w:r>
              <w:rPr>
                <w:rStyle w:val="1493"/>
                <w:lang w:val="en-US" w:eastAsia="zh-CN" w:bidi="ar"/>
              </w:rPr>
              <w:t xml:space="preserve">单位</w:t>
            </w:r>
            <w:r>
              <w:rPr>
                <w:rFonts w:hint="default" w:ascii="Times New Roman" w:hAnsi="Times New Roman" w:eastAsia="方正仿宋_GBK" w:cs="Times New Roman"/>
                <w:i w:val="0"/>
                <w:iCs w:val="0"/>
                <w:color w:val="000000"/>
                <w:sz w:val="24"/>
                <w:szCs w:val="24"/>
                <w:u w:val="none"/>
                <w:lang w:val="en-US" w:eastAsia="zh-CN" w:bidi="ar"/>
              </w:rPr>
              <w:t xml:space="preserve">-</w:t>
            </w:r>
            <w:r>
              <w:rPr>
                <w:rStyle w:val="1493"/>
                <w:lang w:val="en-US" w:eastAsia="zh-CN" w:bidi="ar"/>
              </w:rPr>
              <w:t xml:space="preserve">人员</w:t>
            </w:r>
            <w:r>
              <w:rPr>
                <w:rFonts w:hint="default" w:ascii="Times New Roman" w:hAnsi="Times New Roman" w:eastAsia="方正仿宋_GBK" w:cs="Times New Roman"/>
                <w:i w:val="0"/>
                <w:iCs w:val="0"/>
                <w:color w:val="000000"/>
                <w:sz w:val="24"/>
                <w:szCs w:val="24"/>
                <w:u w:val="none"/>
                <w:lang w:val="en-US" w:eastAsia="zh-CN" w:bidi="ar"/>
              </w:rPr>
              <w:t xml:space="preserve">-</w:t>
            </w:r>
            <w:r>
              <w:rPr>
                <w:rStyle w:val="1493"/>
                <w:lang w:val="en-US" w:eastAsia="zh-CN" w:bidi="ar"/>
              </w:rPr>
              <w:t xml:space="preserve">资产</w:t>
            </w:r>
            <w:r>
              <w:rPr>
                <w:rFonts w:hint="default" w:ascii="Times New Roman" w:hAnsi="Times New Roman" w:eastAsia="方正仿宋_GBK" w:cs="Times New Roman"/>
                <w:i w:val="0"/>
                <w:iCs w:val="0"/>
                <w:color w:val="000000"/>
                <w:sz w:val="24"/>
                <w:szCs w:val="24"/>
                <w:u w:val="none"/>
                <w:lang w:val="en-US" w:eastAsia="zh-CN" w:bidi="ar"/>
              </w:rPr>
              <w:t xml:space="preserve">-</w:t>
            </w:r>
            <w:r>
              <w:rPr>
                <w:rStyle w:val="1493"/>
                <w:lang w:val="en-US" w:eastAsia="zh-CN" w:bidi="ar"/>
              </w:rPr>
              <w:t xml:space="preserve">项目</w:t>
            </w:r>
            <w:r>
              <w:rPr>
                <w:rFonts w:hint="default" w:ascii="Times New Roman" w:hAnsi="Times New Roman" w:eastAsia="方正仿宋_GBK" w:cs="Times New Roman"/>
                <w:i w:val="0"/>
                <w:iCs w:val="0"/>
                <w:color w:val="000000"/>
                <w:sz w:val="24"/>
                <w:szCs w:val="24"/>
                <w:u w:val="none"/>
                <w:lang w:val="en-US" w:eastAsia="zh-CN" w:bidi="ar"/>
              </w:rPr>
              <w:t xml:space="preserve">-</w:t>
            </w:r>
            <w:r>
              <w:rPr>
                <w:rStyle w:val="1493"/>
                <w:lang w:val="en-US" w:eastAsia="zh-CN" w:bidi="ar"/>
              </w:rPr>
              <w:t xml:space="preserve">资金</w:t>
            </w:r>
            <w:r>
              <w:rPr>
                <w:rFonts w:hint="default" w:ascii="Times New Roman" w:hAnsi="Times New Roman" w:eastAsia="方正仿宋_GBK" w:cs="Times New Roman"/>
                <w:i w:val="0"/>
                <w:iCs w:val="0"/>
                <w:color w:val="000000"/>
                <w:sz w:val="24"/>
                <w:szCs w:val="24"/>
                <w:u w:val="none"/>
                <w:lang w:val="en-US" w:eastAsia="zh-CN" w:bidi="ar"/>
              </w:rPr>
              <w:t xml:space="preserve">-</w:t>
            </w:r>
            <w:r>
              <w:rPr>
                <w:rStyle w:val="1493"/>
                <w:lang w:val="en-US" w:eastAsia="zh-CN" w:bidi="ar"/>
              </w:rPr>
              <w:t xml:space="preserve">合同</w:t>
            </w:r>
            <w:r>
              <w:rPr>
                <w:rFonts w:hint="default" w:ascii="Times New Roman" w:hAnsi="Times New Roman" w:eastAsia="方正仿宋_GBK" w:cs="Times New Roman"/>
                <w:i w:val="0"/>
                <w:iCs w:val="0"/>
                <w:color w:val="000000"/>
                <w:sz w:val="24"/>
                <w:szCs w:val="24"/>
                <w:u w:val="none"/>
                <w:lang w:val="en-US" w:eastAsia="zh-CN" w:bidi="ar"/>
              </w:rPr>
              <w:t xml:space="preserve">”</w:t>
            </w:r>
            <w:r>
              <w:rPr>
                <w:rStyle w:val="1493"/>
                <w:lang w:val="en-US" w:eastAsia="zh-CN" w:bidi="ar"/>
              </w:rPr>
              <w:t xml:space="preserve">多维关系图谱，深度挖掘隐藏的利益输送、关联交易等复杂风险网络。</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73</w:t>
            </w:r>
            <w:r/>
          </w:p>
        </w:tc>
        <w:tc>
          <w:tcPr>
            <w:tcW w:w="1272" w:type="dxa"/>
            <w:vAlign w:val="center"/>
            <w:vMerge w:val="continue"/>
            <w:textDirection w:val="lrTb"/>
            <w:noWrap w:val="false"/>
          </w:tcPr>
          <w:p>
            <w:pPr>
              <w:jc w:val="center"/>
              <w:spacing w:after="0" w:line="240" w:lineRule="auto"/>
              <w:rPr>
                <w:rFonts w:hint="eastAsia"/>
                <w:b/>
                <w:bCs/>
              </w:rPr>
            </w:pPr>
            <w:r>
              <w:rPr>
                <w:rFonts w:hint="eastAsia"/>
                <w:b/>
                <w:bCs/>
              </w:rPr>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异常模式主动发现</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利用无监督学习算法，在不预设规则的情况下，主动从海量数据中发现偏离正常模式的异常资产变动、处置行为。</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74</w:t>
            </w:r>
            <w:r/>
          </w:p>
        </w:tc>
        <w:tc>
          <w:tcPr>
            <w:tcW w:w="1272" w:type="dxa"/>
            <w:vAlign w:val="center"/>
            <w:vMerge w:val="continue"/>
            <w:textDirection w:val="lrTb"/>
            <w:noWrap w:val="false"/>
          </w:tcPr>
          <w:p>
            <w:pPr>
              <w:jc w:val="center"/>
              <w:spacing w:after="0" w:line="240" w:lineRule="auto"/>
              <w:rPr>
                <w:rFonts w:hint="eastAsia"/>
                <w:b/>
                <w:bCs/>
              </w:rPr>
            </w:pPr>
            <w:r>
              <w:rPr>
                <w:rFonts w:hint="eastAsia"/>
                <w:b/>
                <w:bCs/>
              </w:rPr>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趋势预测与风险预判</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基于时间序列分析、回归模型等，对资产闲置率、公车运行成本、工程超支概率、租金欠缴风险等进行趋势预测和早期风险预判。</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75</w:t>
            </w:r>
            <w:r/>
          </w:p>
        </w:tc>
        <w:tc>
          <w:tcPr>
            <w:tcW w:w="1272" w:type="dxa"/>
            <w:vAlign w:val="center"/>
            <w:vMerge w:val="continue"/>
            <w:textDirection w:val="lrTb"/>
            <w:noWrap w:val="false"/>
          </w:tcPr>
          <w:p>
            <w:pPr>
              <w:jc w:val="center"/>
              <w:spacing w:after="0" w:line="240" w:lineRule="auto"/>
              <w:rPr>
                <w:rFonts w:hint="eastAsia"/>
                <w:b/>
                <w:bCs/>
              </w:rPr>
            </w:pPr>
            <w:r>
              <w:rPr>
                <w:rFonts w:hint="eastAsia"/>
                <w:b/>
                <w:bCs/>
              </w:rPr>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智能分析及报告自动生成</w:t>
            </w:r>
            <w:r/>
          </w:p>
        </w:tc>
        <w:tc>
          <w:tcPr>
            <w:tcW w:w="5116" w:type="dxa"/>
            <w:vAlign w:val="center"/>
            <w:textDirection w:val="lrTb"/>
            <w:noWrap w:val="false"/>
          </w:tcPr>
          <w:p>
            <w:pPr>
              <w:jc w:val="left"/>
              <w:keepLines w:val="0"/>
              <w:keepNext w:val="0"/>
              <w:spacing w:after="0" w:line="240" w:lineRule="auto"/>
              <w:widowControl/>
              <w:rPr>
                <w:rFonts w:hint="default"/>
                <w:b/>
                <w:bCs/>
                <w:lang w:val="en-U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根据预设模板和分析结果，自动生成图文并茂的监管分析报告、高风险单位专项报告等，辅助决策；具有专业水准的资产评估、盘活等智能分析功能，辅助决策。</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76</w:t>
            </w:r>
            <w:r/>
          </w:p>
        </w:tc>
        <w:tc>
          <w:tcPr>
            <w:tcW w:w="1272"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AI</w:t>
            </w:r>
            <w:r>
              <w:rPr>
                <w:rStyle w:val="1493"/>
                <w:lang w:val="en-US" w:eastAsia="zh-CN" w:bidi="ar"/>
              </w:rPr>
              <w:t xml:space="preserve">智能分析</w:t>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AI</w:t>
            </w:r>
            <w:r>
              <w:rPr>
                <w:rStyle w:val="1493"/>
                <w:lang w:val="en-US" w:eastAsia="zh-CN" w:bidi="ar"/>
              </w:rPr>
              <w:t xml:space="preserve">模型性能监控</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lang w:bidi="ar"/>
              </w:rPr>
              <w:t xml:space="preserve">▲</w:t>
            </w:r>
            <w:r>
              <w:rPr>
                <w:rFonts w:hint="eastAsia" w:ascii="方正仿宋_GBK" w:hAnsi="方正仿宋_GBK" w:eastAsia="方正仿宋_GBK" w:cs="方正仿宋_GBK"/>
                <w:i w:val="0"/>
                <w:iCs w:val="0"/>
                <w:color w:val="000000"/>
                <w:sz w:val="24"/>
                <w:szCs w:val="24"/>
                <w:u w:val="none"/>
                <w:lang w:val="en-US" w:eastAsia="zh-CN" w:bidi="ar"/>
              </w:rPr>
              <w:t xml:space="preserve">对</w:t>
            </w:r>
            <w:r>
              <w:rPr>
                <w:rFonts w:hint="default" w:ascii="Times New Roman" w:hAnsi="Times New Roman" w:eastAsia="方正仿宋_GBK" w:cs="Times New Roman"/>
                <w:i w:val="0"/>
                <w:iCs w:val="0"/>
                <w:color w:val="000000"/>
                <w:sz w:val="24"/>
                <w:szCs w:val="24"/>
                <w:u w:val="none"/>
                <w:lang w:val="en-US" w:eastAsia="zh-CN" w:bidi="ar"/>
              </w:rPr>
              <w:t xml:space="preserve">AI</w:t>
            </w:r>
            <w:r>
              <w:rPr>
                <w:rStyle w:val="1493"/>
                <w:lang w:val="en-US" w:eastAsia="zh-CN" w:bidi="ar"/>
              </w:rPr>
              <w:t xml:space="preserve">模型的性能进行实时监控，确保模型的准确性和稳定性。</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77</w:t>
            </w:r>
            <w:r/>
          </w:p>
        </w:tc>
        <w:tc>
          <w:tcPr>
            <w:tcW w:w="1272" w:type="dxa"/>
            <w:vAlign w:val="center"/>
            <w:vMerge w:val="restart"/>
            <w:textDirection w:val="lrTb"/>
            <w:noWrap w:val="false"/>
          </w:tcPr>
          <w:p>
            <w:pPr>
              <w:jc w:val="center"/>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全域资产一张图管理</w:t>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GIS</w:t>
            </w:r>
            <w:r>
              <w:rPr>
                <w:rStyle w:val="1493"/>
                <w:lang w:val="en-US" w:eastAsia="zh-CN" w:bidi="ar"/>
              </w:rPr>
              <w:t xml:space="preserve">地理信息平台集成与资产落图</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集成专业</w:t>
            </w:r>
            <w:r>
              <w:rPr>
                <w:rFonts w:hint="default" w:ascii="Times New Roman" w:hAnsi="Times New Roman" w:eastAsia="方正仿宋_GBK" w:cs="Times New Roman"/>
                <w:i w:val="0"/>
                <w:iCs w:val="0"/>
                <w:color w:val="000000"/>
                <w:sz w:val="24"/>
                <w:szCs w:val="24"/>
                <w:u w:val="none"/>
                <w:lang w:val="en-US" w:eastAsia="zh-CN" w:bidi="ar"/>
              </w:rPr>
              <w:t xml:space="preserve">GIS</w:t>
            </w:r>
            <w:r>
              <w:rPr>
                <w:rStyle w:val="1493"/>
                <w:lang w:val="en-US" w:eastAsia="zh-CN" w:bidi="ar"/>
              </w:rPr>
              <w:t xml:space="preserve">平台，将全市土地、房屋、在建工程等空间类资产，通过坐标或地址解析精准映射到电子地图。</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78</w:t>
            </w:r>
            <w:r/>
          </w:p>
        </w:tc>
        <w:tc>
          <w:tcPr>
            <w:tcW w:w="1272" w:type="dxa"/>
            <w:vAlign w:val="center"/>
            <w:vMerge w:val="continue"/>
            <w:textDirection w:val="lrTb"/>
            <w:noWrap w:val="false"/>
          </w:tcPr>
          <w:p>
            <w:pPr>
              <w:jc w:val="center"/>
              <w:spacing w:after="0" w:line="240" w:lineRule="auto"/>
              <w:rPr>
                <w:rFonts w:hint="eastAsia"/>
                <w:b/>
                <w:bCs/>
              </w:rPr>
            </w:pPr>
            <w:r>
              <w:rPr>
                <w:rFonts w:hint="eastAsia"/>
                <w:b/>
                <w:bCs/>
              </w:rPr>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资产空间多维查询与统计分析</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支持在地图上按行政区划、自定义范围、资产类型、使用状态等进行空间与属性联合查询、筛选与统计。</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79</w:t>
            </w:r>
            <w:r/>
          </w:p>
        </w:tc>
        <w:tc>
          <w:tcPr>
            <w:tcW w:w="1272" w:type="dxa"/>
            <w:vAlign w:val="center"/>
            <w:vMerge w:val="continue"/>
            <w:textDirection w:val="lrTb"/>
            <w:noWrap w:val="false"/>
          </w:tcPr>
          <w:p>
            <w:pPr>
              <w:jc w:val="center"/>
              <w:spacing w:after="0" w:line="240" w:lineRule="auto"/>
              <w:rPr>
                <w:rFonts w:hint="eastAsia"/>
                <w:b/>
                <w:bCs/>
              </w:rPr>
            </w:pPr>
            <w:r>
              <w:rPr>
                <w:rFonts w:hint="eastAsia"/>
                <w:b/>
                <w:bCs/>
              </w:rPr>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资产空间分布统计</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以图表形式直观展示全市各类资产的密度分布、价值分布、闲置资产聚集区域，快速定位管理热点与盲区。</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80</w:t>
            </w:r>
            <w:r/>
          </w:p>
        </w:tc>
        <w:tc>
          <w:tcPr>
            <w:tcW w:w="1272" w:type="dxa"/>
            <w:vAlign w:val="center"/>
            <w:vMerge w:val="continue"/>
            <w:textDirection w:val="lrTb"/>
            <w:noWrap w:val="false"/>
          </w:tcPr>
          <w:p>
            <w:pPr>
              <w:jc w:val="center"/>
              <w:spacing w:after="0" w:line="240" w:lineRule="auto"/>
              <w:rPr>
                <w:rFonts w:hint="eastAsia"/>
                <w:b/>
                <w:bCs/>
              </w:rPr>
            </w:pPr>
            <w:r>
              <w:rPr>
                <w:rFonts w:hint="eastAsia"/>
                <w:b/>
                <w:bCs/>
              </w:rPr>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资产全景穿透式查看</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点击地图上任一资产图标，可穿透查看该资产的详情卡片、照片、权属、使用状态、价值、预警记录等全量信息。</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81</w:t>
            </w:r>
            <w:r/>
          </w:p>
        </w:tc>
        <w:tc>
          <w:tcPr>
            <w:tcW w:w="1272" w:type="dxa"/>
            <w:vAlign w:val="center"/>
            <w:vMerge w:val="restart"/>
            <w:textDirection w:val="lrTb"/>
            <w:noWrap w:val="false"/>
          </w:tcPr>
          <w:p>
            <w:pPr>
              <w:jc w:val="center"/>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智慧决策分析</w:t>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资产全景指挥舱（领导驾驶舱）</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为市级领导提供</w:t>
            </w:r>
            <w:r>
              <w:rPr>
                <w:rFonts w:hint="default" w:ascii="Times New Roman" w:hAnsi="Times New Roman" w:eastAsia="方正仿宋_GBK" w:cs="Times New Roman"/>
                <w:i w:val="0"/>
                <w:iCs w:val="0"/>
                <w:color w:val="000000"/>
                <w:sz w:val="24"/>
                <w:szCs w:val="24"/>
                <w:u w:val="none"/>
                <w:lang w:val="en-US" w:eastAsia="zh-CN" w:bidi="ar"/>
              </w:rPr>
              <w:t xml:space="preserve">“</w:t>
            </w:r>
            <w:r>
              <w:rPr>
                <w:rStyle w:val="1493"/>
                <w:lang w:val="en-US" w:eastAsia="zh-CN" w:bidi="ar"/>
              </w:rPr>
              <w:t xml:space="preserve">一屏统览</w:t>
            </w:r>
            <w:r>
              <w:rPr>
                <w:rFonts w:hint="default" w:ascii="Times New Roman" w:hAnsi="Times New Roman" w:eastAsia="方正仿宋_GBK" w:cs="Times New Roman"/>
                <w:i w:val="0"/>
                <w:iCs w:val="0"/>
                <w:color w:val="000000"/>
                <w:sz w:val="24"/>
                <w:szCs w:val="24"/>
                <w:u w:val="none"/>
                <w:lang w:val="en-US" w:eastAsia="zh-CN" w:bidi="ar"/>
              </w:rPr>
              <w:t xml:space="preserve">”</w:t>
            </w:r>
            <w:r>
              <w:rPr>
                <w:rStyle w:val="1493"/>
                <w:lang w:val="en-US" w:eastAsia="zh-CN" w:bidi="ar"/>
              </w:rPr>
              <w:t xml:space="preserve">决策视图，动态呈现国有资产总规模、资产负债、资产收益、盘活效率、风险预警等核心</w:t>
            </w:r>
            <w:r>
              <w:rPr>
                <w:rFonts w:hint="default" w:ascii="Times New Roman" w:hAnsi="Times New Roman" w:eastAsia="方正仿宋_GBK" w:cs="Times New Roman"/>
                <w:i w:val="0"/>
                <w:iCs w:val="0"/>
                <w:color w:val="000000"/>
                <w:sz w:val="24"/>
                <w:szCs w:val="24"/>
                <w:u w:val="none"/>
                <w:lang w:val="en-US" w:eastAsia="zh-CN" w:bidi="ar"/>
              </w:rPr>
              <w:t xml:space="preserve">KPI</w:t>
            </w:r>
            <w:r>
              <w:rPr>
                <w:rStyle w:val="1493"/>
                <w:lang w:val="en-US" w:eastAsia="zh-CN" w:bidi="ar"/>
              </w:rPr>
              <w:t xml:space="preserve">。</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82</w:t>
            </w:r>
            <w:r/>
          </w:p>
        </w:tc>
        <w:tc>
          <w:tcPr>
            <w:tcW w:w="1272" w:type="dxa"/>
            <w:vAlign w:val="center"/>
            <w:vMerge w:val="continue"/>
            <w:textDirection w:val="lrTb"/>
            <w:noWrap w:val="false"/>
          </w:tcPr>
          <w:p>
            <w:pPr>
              <w:jc w:val="center"/>
              <w:spacing w:after="0" w:line="240" w:lineRule="auto"/>
              <w:rPr>
                <w:rFonts w:hint="eastAsia"/>
                <w:b/>
                <w:bCs/>
              </w:rPr>
            </w:pPr>
            <w:r>
              <w:rPr>
                <w:rFonts w:hint="eastAsia"/>
                <w:b/>
                <w:bCs/>
              </w:rPr>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一屏总览</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围绕全市资产指标建设大屏、中屏等应用分析场景，围绕资产状态、资产区域、房产性质、取得方式、产权情况、资产排名等关键资产指标数据，统计分析全市资产情况，促进全市资产管理工作的规范化、科学化和信息化。</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83</w:t>
            </w:r>
            <w:r/>
          </w:p>
        </w:tc>
        <w:tc>
          <w:tcPr>
            <w:tcW w:w="1272" w:type="dxa"/>
            <w:vAlign w:val="center"/>
            <w:vMerge w:val="continue"/>
            <w:textDirection w:val="lrTb"/>
            <w:noWrap w:val="false"/>
          </w:tcPr>
          <w:p>
            <w:pPr>
              <w:jc w:val="center"/>
              <w:spacing w:after="0" w:line="240" w:lineRule="auto"/>
              <w:rPr>
                <w:rFonts w:hint="eastAsia"/>
                <w:b/>
                <w:bCs/>
              </w:rPr>
            </w:pPr>
            <w:r>
              <w:rPr>
                <w:rFonts w:hint="eastAsia"/>
                <w:b/>
                <w:bCs/>
              </w:rPr>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资产实时运行监测视图</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对接业务系统实时数据，动态滚动展示最新的资产配置、登记、处置、公车运行、工程进度等关键业务动态。</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84</w:t>
            </w:r>
            <w:r/>
          </w:p>
        </w:tc>
        <w:tc>
          <w:tcPr>
            <w:tcW w:w="1272" w:type="dxa"/>
            <w:vAlign w:val="center"/>
            <w:vMerge w:val="restart"/>
            <w:textDirection w:val="lrTb"/>
            <w:noWrap w:val="false"/>
          </w:tcPr>
          <w:p>
            <w:pPr>
              <w:jc w:val="center"/>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智慧决策分析</w:t>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多维度下钻分析</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支持对汇总指标进行多维度（时间、区域、单位、资产类别）的钻取、深度分析。</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85</w:t>
            </w:r>
            <w:r/>
          </w:p>
        </w:tc>
        <w:tc>
          <w:tcPr>
            <w:tcW w:w="1272" w:type="dxa"/>
            <w:vAlign w:val="center"/>
            <w:vMerge w:val="continue"/>
            <w:textDirection w:val="lrTb"/>
            <w:noWrap w:val="false"/>
          </w:tcPr>
          <w:p>
            <w:pPr>
              <w:jc w:val="center"/>
              <w:spacing w:after="0" w:line="240" w:lineRule="auto"/>
              <w:rPr>
                <w:rFonts w:hint="eastAsia"/>
                <w:b/>
                <w:bCs/>
              </w:rPr>
            </w:pPr>
            <w:r>
              <w:rPr>
                <w:rFonts w:hint="eastAsia"/>
                <w:b/>
                <w:bCs/>
              </w:rPr>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专项资产深度分析</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针对房屋、土地、车辆、大型设备等重点资产类型，进行专项的存量、结构、效益、对标及趋势预测分析。</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86</w:t>
            </w:r>
            <w:r/>
          </w:p>
        </w:tc>
        <w:tc>
          <w:tcPr>
            <w:tcW w:w="1272" w:type="dxa"/>
            <w:vAlign w:val="center"/>
            <w:vMerge w:val="restart"/>
            <w:textDirection w:val="lrTb"/>
            <w:noWrap w:val="false"/>
          </w:tcPr>
          <w:p>
            <w:pPr>
              <w:jc w:val="center"/>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数据中心</w:t>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统一数据标准与规范制定</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制定覆盖全业务、全流程的国有资产监管数据标准、编码规范、接口规范和质量稽核规则。</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87</w:t>
            </w:r>
            <w:r/>
          </w:p>
        </w:tc>
        <w:tc>
          <w:tcPr>
            <w:tcW w:w="1272" w:type="dxa"/>
            <w:vAlign w:val="center"/>
            <w:vMerge w:val="continue"/>
            <w:textDirection w:val="lrTb"/>
            <w:noWrap w:val="false"/>
          </w:tcPr>
          <w:p>
            <w:pPr>
              <w:jc w:val="center"/>
              <w:spacing w:after="0" w:line="240" w:lineRule="auto"/>
              <w:rPr>
                <w:rFonts w:hint="eastAsia"/>
                <w:b/>
                <w:bCs/>
              </w:rPr>
            </w:pPr>
            <w:r>
              <w:rPr>
                <w:rFonts w:hint="eastAsia"/>
                <w:b/>
                <w:bCs/>
              </w:rPr>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数据采集交换平台</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lang w:bidi="ar"/>
              </w:rPr>
              <w:t xml:space="preserve">▲</w:t>
            </w:r>
            <w:r>
              <w:rPr>
                <w:rFonts w:hint="eastAsia" w:ascii="方正仿宋_GBK" w:hAnsi="方正仿宋_GBK" w:eastAsia="方正仿宋_GBK" w:cs="方正仿宋_GBK"/>
                <w:i w:val="0"/>
                <w:iCs w:val="0"/>
                <w:color w:val="000000"/>
                <w:sz w:val="24"/>
                <w:szCs w:val="24"/>
                <w:u w:val="none"/>
                <w:lang w:val="en-US" w:eastAsia="zh-CN" w:bidi="ar"/>
              </w:rPr>
              <w:t xml:space="preserve">建设可扩展的数据采集交换平台，支持数据库对接、</w:t>
            </w:r>
            <w:r>
              <w:rPr>
                <w:rFonts w:hint="default" w:ascii="Times New Roman" w:hAnsi="Times New Roman" w:eastAsia="方正仿宋_GBK" w:cs="Times New Roman"/>
                <w:i w:val="0"/>
                <w:iCs w:val="0"/>
                <w:color w:val="000000"/>
                <w:sz w:val="24"/>
                <w:szCs w:val="24"/>
                <w:u w:val="none"/>
                <w:lang w:val="en-US" w:eastAsia="zh-CN" w:bidi="ar"/>
              </w:rPr>
              <w:t xml:space="preserve">API</w:t>
            </w:r>
            <w:r>
              <w:rPr>
                <w:rStyle w:val="1493"/>
                <w:lang w:val="en-US" w:eastAsia="zh-CN" w:bidi="ar"/>
              </w:rPr>
              <w:t xml:space="preserve">接口、文件导入等多种方式从内外系统获取数据。</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88</w:t>
            </w:r>
            <w:r/>
          </w:p>
        </w:tc>
        <w:tc>
          <w:tcPr>
            <w:tcW w:w="1272" w:type="dxa"/>
            <w:vAlign w:val="center"/>
            <w:vMerge w:val="continue"/>
            <w:textDirection w:val="lrTb"/>
            <w:noWrap w:val="false"/>
          </w:tcPr>
          <w:p>
            <w:pPr>
              <w:jc w:val="center"/>
              <w:spacing w:after="0" w:line="240" w:lineRule="auto"/>
              <w:rPr>
                <w:rFonts w:hint="eastAsia"/>
                <w:b/>
                <w:bCs/>
              </w:rPr>
            </w:pPr>
            <w:r>
              <w:rPr>
                <w:rFonts w:hint="eastAsia"/>
                <w:b/>
                <w:bCs/>
              </w:rPr>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核心监管主题库建设</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设计并建设资产主题库、财务主题库、项目主题库、公车主题库、空间主题库等，支撑上层应用。</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89</w:t>
            </w:r>
            <w:r/>
          </w:p>
        </w:tc>
        <w:tc>
          <w:tcPr>
            <w:tcW w:w="1272" w:type="dxa"/>
            <w:vAlign w:val="center"/>
            <w:vMerge w:val="continue"/>
            <w:textDirection w:val="lrTb"/>
            <w:noWrap w:val="false"/>
          </w:tcPr>
          <w:p>
            <w:pPr>
              <w:jc w:val="center"/>
              <w:spacing w:after="0" w:line="240" w:lineRule="auto"/>
              <w:rPr>
                <w:rFonts w:hint="eastAsia"/>
                <w:b/>
                <w:bCs/>
              </w:rPr>
            </w:pPr>
            <w:r>
              <w:rPr>
                <w:rFonts w:hint="eastAsia"/>
                <w:b/>
                <w:bCs/>
              </w:rPr>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数据质量管控中心</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实现数据质量规则的配置、定时稽核、问题发现、工单分发、整改跟踪、质量评分与报告生成的全流程管理。</w:t>
            </w:r>
            <w:r/>
          </w:p>
        </w:tc>
      </w:tr>
      <w:tr>
        <w:trPr/>
        <w:tc>
          <w:tcPr>
            <w:tcW w:w="537" w:type="dxa"/>
            <w:vAlign w:val="center"/>
            <w:textDirection w:val="lrTb"/>
            <w:noWrap w:val="false"/>
          </w:tcPr>
          <w:p>
            <w:pPr>
              <w:jc w:val="center"/>
              <w:keepLines w:val="0"/>
              <w:keepNext w:val="0"/>
              <w:spacing w:after="0" w:line="240" w:lineRule="auto"/>
              <w:widowControl/>
              <w:rPr>
                <w:rFonts w:hint="eastAsia"/>
                <w:b/>
                <w:bCs/>
              </w:rPr>
              <w:suppressLineNumbers w:val="0"/>
            </w:pPr>
            <w:r>
              <w:rPr>
                <w:rFonts w:hint="eastAsia" w:ascii="宋体" w:hAnsi="宋体" w:eastAsia="宋体" w:cs="宋体"/>
                <w:i w:val="0"/>
                <w:iCs w:val="0"/>
                <w:color w:val="000000"/>
                <w:sz w:val="22"/>
                <w:szCs w:val="22"/>
                <w:u w:val="none"/>
                <w:lang w:val="en-US" w:eastAsia="zh-CN" w:bidi="ar"/>
              </w:rPr>
              <w:t xml:space="preserve">90</w:t>
            </w:r>
            <w:r/>
          </w:p>
        </w:tc>
        <w:tc>
          <w:tcPr>
            <w:tcW w:w="1272" w:type="dxa"/>
            <w:vAlign w:val="center"/>
            <w:vMerge w:val="continue"/>
            <w:textDirection w:val="lrTb"/>
            <w:noWrap w:val="false"/>
          </w:tcPr>
          <w:p>
            <w:pPr>
              <w:jc w:val="center"/>
              <w:spacing w:after="0" w:line="240" w:lineRule="auto"/>
              <w:rPr>
                <w:rFonts w:hint="eastAsia"/>
                <w:b/>
                <w:bCs/>
              </w:rPr>
            </w:pPr>
            <w:r>
              <w:rPr>
                <w:rFonts w:hint="eastAsia"/>
                <w:b/>
                <w:bCs/>
              </w:rPr>
            </w:r>
            <w:r/>
          </w:p>
        </w:tc>
        <w:tc>
          <w:tcPr>
            <w:tcW w:w="1830"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数据共享服务门户</w:t>
            </w:r>
            <w:r/>
          </w:p>
        </w:tc>
        <w:tc>
          <w:tcPr>
            <w:tcW w:w="5116" w:type="dxa"/>
            <w:vAlign w:val="center"/>
            <w:textDirection w:val="lrTb"/>
            <w:noWrap w:val="false"/>
          </w:tcPr>
          <w:p>
            <w:pPr>
              <w:jc w:val="left"/>
              <w:keepLines w:val="0"/>
              <w:keepNext w:val="0"/>
              <w:spacing w:after="0" w:line="240" w:lineRule="auto"/>
              <w:widowControl/>
              <w:rPr>
                <w:rFonts w:hint="eastAsia"/>
                <w:b/>
                <w:bCs/>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以数据</w:t>
            </w:r>
            <w:r>
              <w:rPr>
                <w:rFonts w:hint="default" w:ascii="Times New Roman" w:hAnsi="Times New Roman" w:eastAsia="方正仿宋_GBK" w:cs="Times New Roman"/>
                <w:i w:val="0"/>
                <w:iCs w:val="0"/>
                <w:color w:val="000000"/>
                <w:sz w:val="24"/>
                <w:szCs w:val="24"/>
                <w:u w:val="none"/>
                <w:lang w:val="en-US" w:eastAsia="zh-CN" w:bidi="ar"/>
              </w:rPr>
              <w:t xml:space="preserve">API</w:t>
            </w:r>
            <w:r>
              <w:rPr>
                <w:rStyle w:val="1493"/>
                <w:lang w:val="en-US" w:eastAsia="zh-CN" w:bidi="ar"/>
              </w:rPr>
              <w:t xml:space="preserve">、报表等方式，向审计、大数据局等其他政务系统安全、受控地提供数据共享服务。</w:t>
            </w:r>
            <w:r/>
          </w:p>
        </w:tc>
      </w:tr>
      <w:tr>
        <w:trPr/>
        <w:tc>
          <w:tcPr>
            <w:tcW w:w="537" w:type="dxa"/>
            <w:vAlign w:val="center"/>
            <w:textDirection w:val="lrTb"/>
            <w:noWrap w:val="false"/>
          </w:tcPr>
          <w:p>
            <w:pPr>
              <w:jc w:val="center"/>
              <w:keepLines w:val="0"/>
              <w:keepNext w:val="0"/>
              <w:spacing w:after="0" w:line="240" w:lineRule="auto"/>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91</w:t>
            </w:r>
            <w:r/>
          </w:p>
        </w:tc>
        <w:tc>
          <w:tcPr>
            <w:tcW w:w="1272" w:type="dxa"/>
            <w:vAlign w:val="center"/>
            <w:textDirection w:val="lrTb"/>
            <w:noWrap w:val="false"/>
          </w:tcPr>
          <w:p>
            <w:pPr>
              <w:jc w:val="center"/>
              <w:spacing w:after="0" w:line="240" w:lineRule="auto"/>
              <w:rPr>
                <w:rFonts w:hint="eastAsia" w:eastAsia="宋体"/>
                <w:b/>
                <w:bCs/>
                <w:lang w:val="en-US" w:eastAsia="zh-CN"/>
              </w:rPr>
            </w:pPr>
            <w:r>
              <w:rPr>
                <w:rFonts w:hint="eastAsia"/>
                <w:b w:val="0"/>
                <w:bCs w:val="0"/>
                <w:lang w:val="en-US" w:eastAsia="zh-CN"/>
              </w:rPr>
              <w:t xml:space="preserve">其他</w:t>
            </w:r>
            <w:r/>
          </w:p>
        </w:tc>
        <w:tc>
          <w:tcPr>
            <w:tcW w:w="1830" w:type="dxa"/>
            <w:vAlign w:val="center"/>
            <w:textDirection w:val="lrTb"/>
            <w:noWrap w:val="false"/>
          </w:tcPr>
          <w:p>
            <w:pPr>
              <w:jc w:val="left"/>
              <w:keepLines w:val="0"/>
              <w:keepNext w:val="0"/>
              <w:spacing w:after="0" w:line="240" w:lineRule="auto"/>
              <w:widowControl/>
              <w:rPr>
                <w:rFonts w:hint="default" w:ascii="方正仿宋_GBK" w:hAnsi="方正仿宋_GBK" w:eastAsia="方正仿宋_GBK" w:cs="方正仿宋_GBK"/>
                <w:i w:val="0"/>
                <w:iCs w:val="0"/>
                <w:color w:val="000000"/>
                <w:sz w:val="24"/>
                <w:szCs w:val="24"/>
                <w:u w:val="none"/>
                <w:lang w:val="en-US" w:eastAsia="zh-CN" w:bidi="ar"/>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国产化要求</w:t>
            </w:r>
            <w:r/>
          </w:p>
        </w:tc>
        <w:tc>
          <w:tcPr>
            <w:tcW w:w="5116" w:type="dxa"/>
            <w:vAlign w:val="center"/>
            <w:textDirection w:val="lrTb"/>
            <w:noWrap w:val="false"/>
          </w:tcPr>
          <w:p>
            <w:pPr>
              <w:jc w:val="left"/>
              <w:keepLines w:val="0"/>
              <w:keepNext w:val="0"/>
              <w:spacing w:after="0" w:line="240" w:lineRule="auto"/>
              <w:widowControl/>
              <w:rPr>
                <w:rFonts w:hint="eastAsia" w:ascii="方正仿宋_GBK" w:hAnsi="方正仿宋_GBK" w:eastAsia="方正仿宋_GBK" w:cs="方正仿宋_GBK"/>
                <w:i w:val="0"/>
                <w:iCs w:val="0"/>
                <w:color w:val="000000"/>
                <w:sz w:val="24"/>
                <w:szCs w:val="24"/>
                <w:u w:val="none"/>
                <w:lang w:val="en-US" w:eastAsia="zh-CN" w:bidi="ar"/>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★成交供应商须在采购人提供的国产操作系统、国产化数据库等国产化环境中完成系统开发、部署等工作，并提供满足使用要求的国产中间件永久授权。</w:t>
            </w:r>
            <w:bookmarkEnd w:id="89"/>
            <w:r/>
            <w:r/>
          </w:p>
        </w:tc>
      </w:tr>
    </w:tbl>
    <w:p>
      <w:pPr>
        <w:ind w:firstLine="480"/>
        <w:spacing w:line="480" w:lineRule="exact"/>
        <w:rPr>
          <w:rFonts w:hint="eastAsia" w:ascii="Times New Roman" w:hAnsi="Times New Roman" w:eastAsia="宋体" w:cs="仿宋"/>
          <w:sz w:val="24"/>
          <w:lang w:val="en-US" w:eastAsia="zh-CN"/>
        </w:rPr>
      </w:pPr>
      <w:r>
        <w:rPr>
          <w:rFonts w:hint="eastAsia" w:ascii="Times New Roman" w:hAnsi="Times New Roman" w:eastAsia="宋体" w:cs="仿宋"/>
          <w:sz w:val="24"/>
          <w:lang w:val="en-US" w:eastAsia="zh-CN"/>
        </w:rPr>
        <w:t xml:space="preserve">3.2 演示部分</w:t>
      </w:r>
      <w:r/>
    </w:p>
    <w:tbl>
      <w:tblPr>
        <w:tblStyle w:val="7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43"/>
        <w:gridCol w:w="2224"/>
        <w:gridCol w:w="5121"/>
      </w:tblGrid>
      <w:tr>
        <w:trPr/>
        <w:tc>
          <w:tcPr>
            <w:tcW w:w="1943" w:type="dxa"/>
            <w:vAlign w:val="center"/>
            <w:textDirection w:val="lrTb"/>
            <w:noWrap w:val="false"/>
          </w:tcPr>
          <w:p>
            <w:pPr>
              <w:pStyle w:val="764"/>
              <w:jc w:val="center"/>
              <w:keepLines w:val="0"/>
              <w:keepNext w:val="0"/>
              <w:pageBreakBefore w:val="0"/>
              <w:spacing w:before="0" w:beforeAutospacing="0" w:after="0" w:afterAutospacing="0" w:line="240" w:lineRule="auto"/>
              <w:widowControl/>
              <w:rPr>
                <w:rFonts w:hint="eastAsia" w:ascii="Times New Roman" w:hAnsi="Times New Roman" w:eastAsia="方正仿宋_GBK" w:cs="方正仿宋_GBK"/>
                <w:b/>
                <w:bCs/>
                <w:color w:val="000000"/>
                <w:sz w:val="24"/>
                <w:u w:val="none"/>
                <w:shd w:val="clear" w:color="auto" w:fill="auto"/>
                <w:vertAlign w:val="baseline"/>
                <w:lang w:val="en-US" w:eastAsia="zh-CN" w:bidi="ar"/>
              </w:rPr>
              <w:outlineLvl w:val="1"/>
            </w:pPr>
            <w:r>
              <w:rPr>
                <w:rFonts w:hint="eastAsia" w:ascii="Times New Roman" w:hAnsi="Times New Roman" w:eastAsia="方正仿宋_GBK" w:cs="方正仿宋_GBK"/>
                <w:b/>
                <w:bCs/>
                <w:color w:val="000000"/>
                <w:sz w:val="24"/>
                <w:u w:val="none"/>
                <w:shd w:val="clear" w:color="auto" w:fill="auto"/>
                <w:vertAlign w:val="baseline"/>
                <w:lang w:val="en-US" w:eastAsia="zh-CN" w:bidi="ar"/>
              </w:rPr>
              <w:t xml:space="preserve">功能模块</w:t>
            </w:r>
            <w:r/>
          </w:p>
        </w:tc>
        <w:tc>
          <w:tcPr>
            <w:tcW w:w="2224" w:type="dxa"/>
            <w:vAlign w:val="center"/>
            <w:textDirection w:val="lrTb"/>
            <w:noWrap w:val="false"/>
          </w:tcPr>
          <w:p>
            <w:pPr>
              <w:pStyle w:val="764"/>
              <w:jc w:val="center"/>
              <w:keepLines w:val="0"/>
              <w:keepNext w:val="0"/>
              <w:pageBreakBefore w:val="0"/>
              <w:spacing w:before="0" w:beforeAutospacing="0" w:after="0" w:afterAutospacing="0" w:line="240" w:lineRule="auto"/>
              <w:widowControl/>
              <w:rPr>
                <w:rFonts w:hint="eastAsia" w:ascii="Times New Roman" w:hAnsi="Times New Roman" w:eastAsia="方正仿宋_GBK" w:cs="方正仿宋_GBK"/>
                <w:b/>
                <w:bCs/>
                <w:color w:val="000000"/>
                <w:sz w:val="24"/>
                <w:u w:val="none"/>
                <w:shd w:val="clear" w:color="auto" w:fill="auto"/>
                <w:vertAlign w:val="baseline"/>
                <w:lang w:val="en-US" w:eastAsia="zh-CN" w:bidi="ar"/>
              </w:rPr>
              <w:outlineLvl w:val="1"/>
            </w:pPr>
            <w:r>
              <w:rPr>
                <w:rFonts w:hint="eastAsia" w:ascii="Times New Roman" w:hAnsi="Times New Roman" w:eastAsia="方正仿宋_GBK" w:cs="方正仿宋_GBK"/>
                <w:b/>
                <w:bCs/>
                <w:color w:val="000000"/>
                <w:sz w:val="24"/>
                <w:u w:val="none"/>
                <w:shd w:val="clear" w:color="auto" w:fill="auto"/>
                <w:vertAlign w:val="baseline"/>
                <w:lang w:val="en-US" w:eastAsia="zh-CN" w:bidi="ar"/>
              </w:rPr>
              <w:t xml:space="preserve">二级功能</w:t>
            </w:r>
            <w:r/>
          </w:p>
        </w:tc>
        <w:tc>
          <w:tcPr>
            <w:tcW w:w="5121" w:type="dxa"/>
            <w:vAlign w:val="center"/>
            <w:textDirection w:val="lrTb"/>
            <w:noWrap w:val="false"/>
          </w:tcPr>
          <w:p>
            <w:pPr>
              <w:pStyle w:val="764"/>
              <w:jc w:val="center"/>
              <w:keepLines w:val="0"/>
              <w:keepNext w:val="0"/>
              <w:pageBreakBefore w:val="0"/>
              <w:spacing w:before="0" w:beforeAutospacing="0" w:after="0" w:afterAutospacing="0" w:line="240" w:lineRule="auto"/>
              <w:widowControl/>
              <w:rPr>
                <w:rFonts w:hint="eastAsia" w:ascii="Times New Roman" w:hAnsi="Times New Roman" w:eastAsia="方正仿宋_GBK" w:cs="方正仿宋_GBK"/>
                <w:b/>
                <w:bCs/>
                <w:color w:val="000000"/>
                <w:sz w:val="24"/>
                <w:u w:val="none"/>
                <w:shd w:val="clear" w:color="auto" w:fill="auto"/>
                <w:vertAlign w:val="baseline"/>
                <w:lang w:val="en-US" w:eastAsia="zh-CN" w:bidi="ar"/>
              </w:rPr>
              <w:outlineLvl w:val="1"/>
            </w:pPr>
            <w:r>
              <w:rPr>
                <w:rFonts w:hint="eastAsia" w:ascii="Times New Roman" w:hAnsi="Times New Roman" w:eastAsia="方正仿宋_GBK" w:cs="方正仿宋_GBK"/>
                <w:b/>
                <w:bCs/>
                <w:color w:val="000000"/>
                <w:sz w:val="24"/>
                <w:u w:val="none"/>
                <w:shd w:val="clear" w:color="auto" w:fill="auto"/>
                <w:vertAlign w:val="baseline"/>
                <w:lang w:val="en-US" w:eastAsia="zh-CN" w:bidi="ar"/>
              </w:rPr>
              <w:t xml:space="preserve">功能描述</w:t>
            </w:r>
            <w:r/>
          </w:p>
        </w:tc>
      </w:tr>
      <w:tr>
        <w:trPr/>
        <w:tc>
          <w:tcPr>
            <w:tcW w:w="1943" w:type="dxa"/>
            <w:vAlign w:val="center"/>
            <w:vMerge w:val="restart"/>
            <w:textDirection w:val="lrTb"/>
            <w:noWrap w:val="false"/>
          </w:tcPr>
          <w:p>
            <w:pPr>
              <w:pStyle w:val="764"/>
              <w:jc w:val="center"/>
              <w:keepLines w:val="0"/>
              <w:keepNext w:val="0"/>
              <w:pageBreakBefore w:val="0"/>
              <w:spacing w:before="0" w:beforeAutospacing="0" w:after="0" w:afterAutospacing="0" w:line="240" w:lineRule="auto"/>
              <w:widowControl/>
              <w:rPr>
                <w:rFonts w:hint="eastAsia" w:ascii="Times New Roman" w:hAnsi="Times New Roman" w:eastAsia="方正仿宋_GBK" w:cs="方正仿宋_GBK"/>
                <w:bCs w:val="0"/>
                <w:color w:val="000000"/>
                <w:sz w:val="24"/>
                <w:u w:val="none"/>
                <w:shd w:val="clear" w:color="auto" w:fill="auto"/>
                <w:vertAlign w:val="baseline"/>
                <w:lang w:val="en-US" w:eastAsia="zh-CN" w:bidi="ar"/>
              </w:rPr>
              <w:outlineLvl w:val="1"/>
            </w:pPr>
            <w:r>
              <w:rPr>
                <w:rFonts w:hint="eastAsia" w:ascii="Times New Roman" w:hAnsi="Times New Roman" w:eastAsia="方正仿宋_GBK" w:cs="方正仿宋_GBK"/>
                <w:b/>
                <w:bCs/>
                <w:color w:val="000000"/>
                <w:sz w:val="24"/>
                <w:szCs w:val="24"/>
                <w:u w:val="none"/>
                <w:shd w:val="clear" w:color="auto" w:fill="auto"/>
                <w:lang w:val="en-US" w:eastAsia="zh-CN" w:bidi="ar"/>
              </w:rPr>
              <w:t xml:space="preserve">AI智能分析</w:t>
            </w:r>
            <w:r/>
          </w:p>
        </w:tc>
        <w:tc>
          <w:tcPr>
            <w:tcW w:w="2224" w:type="dxa"/>
            <w:vAlign w:val="center"/>
            <w:textDirection w:val="lrTb"/>
            <w:noWrap w:val="false"/>
          </w:tcPr>
          <w:p>
            <w:pPr>
              <w:pStyle w:val="764"/>
              <w:jc w:val="center"/>
              <w:keepLines w:val="0"/>
              <w:keepNext w:val="0"/>
              <w:pageBreakBefore w:val="0"/>
              <w:spacing w:before="0" w:beforeAutospacing="0" w:after="0" w:afterAutospacing="0" w:line="240" w:lineRule="auto"/>
              <w:widowControl/>
              <w:rPr>
                <w:rFonts w:hint="eastAsia" w:ascii="Times New Roman" w:hAnsi="Times New Roman" w:eastAsia="方正仿宋_GBK" w:cs="方正仿宋_GBK"/>
                <w:bCs w:val="0"/>
                <w:color w:val="000000"/>
                <w:sz w:val="24"/>
                <w:u w:val="none"/>
                <w:shd w:val="clear" w:color="auto" w:fill="auto"/>
                <w:vertAlign w:val="baseline"/>
                <w:lang w:val="en-US" w:eastAsia="zh-CN" w:bidi="ar"/>
              </w:rPr>
              <w:outlineLvl w:val="1"/>
            </w:pPr>
            <w:r>
              <w:rPr>
                <w:rFonts w:hint="eastAsia" w:ascii="Times New Roman" w:hAnsi="Times New Roman" w:eastAsia="方正仿宋_GBK" w:cs="方正仿宋_GBK"/>
                <w:color w:val="000000"/>
                <w:sz w:val="24"/>
                <w:szCs w:val="24"/>
                <w:u w:val="none"/>
                <w:shd w:val="clear" w:color="auto" w:fill="auto"/>
                <w:lang w:val="en-US" w:eastAsia="zh-CN" w:bidi="ar"/>
              </w:rPr>
              <w:t xml:space="preserve">资产与财务数据对比监督演示</w:t>
            </w:r>
            <w:r/>
          </w:p>
        </w:tc>
        <w:tc>
          <w:tcPr>
            <w:tcW w:w="5121" w:type="dxa"/>
            <w:vAlign w:val="center"/>
            <w:textDirection w:val="lrTb"/>
            <w:noWrap w:val="false"/>
          </w:tcPr>
          <w:p>
            <w:pPr>
              <w:pStyle w:val="764"/>
              <w:jc w:val="center"/>
              <w:keepLines w:val="0"/>
              <w:keepNext w:val="0"/>
              <w:pageBreakBefore w:val="0"/>
              <w:spacing w:before="0" w:beforeAutospacing="0" w:after="0" w:afterAutospacing="0" w:line="240" w:lineRule="auto"/>
              <w:widowControl/>
              <w:rPr>
                <w:rFonts w:hint="eastAsia" w:ascii="Times New Roman" w:hAnsi="Times New Roman" w:eastAsia="方正仿宋_GBK" w:cs="方正仿宋_GBK"/>
                <w:bCs w:val="0"/>
                <w:color w:val="000000"/>
                <w:sz w:val="24"/>
                <w:u w:val="none"/>
                <w:shd w:val="clear" w:color="auto" w:fill="auto"/>
                <w:vertAlign w:val="baseline"/>
                <w:lang w:val="en-US" w:eastAsia="zh-CN" w:bidi="ar"/>
              </w:rPr>
              <w:outlineLvl w:val="1"/>
            </w:pPr>
            <w:r>
              <w:rPr>
                <w:rFonts w:hint="eastAsia" w:ascii="Times New Roman" w:hAnsi="Times New Roman" w:eastAsia="方正仿宋_GBK" w:cs="方正仿宋_GBK"/>
                <w:color w:val="000000"/>
                <w:sz w:val="24"/>
                <w:szCs w:val="24"/>
                <w:u w:val="none"/>
                <w:shd w:val="clear" w:color="auto" w:fill="auto"/>
                <w:lang w:val="en-US" w:eastAsia="zh-CN" w:bidi="ar"/>
              </w:rPr>
              <w:t xml:space="preserve">展示根据资产业务数据以及财务凭证数据，通过AI分析预警可能存在的账实不符、有卡无账、有账无卡、账值不一致的问题。</w:t>
            </w:r>
            <w:r/>
          </w:p>
        </w:tc>
      </w:tr>
      <w:tr>
        <w:trPr/>
        <w:tc>
          <w:tcPr>
            <w:tcW w:w="1943" w:type="dxa"/>
            <w:vAlign w:val="center"/>
            <w:vMerge w:val="continue"/>
            <w:textDirection w:val="lrTb"/>
            <w:noWrap w:val="false"/>
          </w:tcPr>
          <w:p>
            <w:pPr>
              <w:pStyle w:val="764"/>
              <w:jc w:val="center"/>
              <w:keepLines w:val="0"/>
              <w:keepNext w:val="0"/>
              <w:pageBreakBefore w:val="0"/>
              <w:spacing w:before="0" w:beforeAutospacing="0" w:after="0" w:afterAutospacing="0" w:line="240" w:lineRule="auto"/>
              <w:widowControl/>
              <w:rPr>
                <w:rFonts w:hint="default" w:ascii="Times New Roman" w:hAnsi="Times New Roman" w:eastAsia="方正仿宋_GBK" w:cs="黑体"/>
                <w:bCs/>
                <w:sz w:val="24"/>
                <w:shd w:val="clear" w:color="auto" w:fill="auto"/>
                <w:vertAlign w:val="baseline"/>
                <w:lang w:val="en-US" w:eastAsia="zh-CN" w:bidi="ar"/>
              </w:rPr>
              <w:outlineLvl w:val="1"/>
            </w:pPr>
            <w:r>
              <w:rPr>
                <w:rFonts w:hint="default" w:ascii="Times New Roman" w:hAnsi="Times New Roman" w:eastAsia="方正仿宋_GBK" w:cs="黑体"/>
                <w:bCs/>
                <w:sz w:val="24"/>
                <w:shd w:val="clear" w:color="auto" w:fill="auto"/>
                <w:vertAlign w:val="baseline"/>
                <w:lang w:val="en-US" w:eastAsia="zh-CN" w:bidi="ar"/>
              </w:rPr>
            </w:r>
            <w:r/>
          </w:p>
        </w:tc>
        <w:tc>
          <w:tcPr>
            <w:tcW w:w="2224" w:type="dxa"/>
            <w:vAlign w:val="center"/>
            <w:textDirection w:val="lrTb"/>
            <w:noWrap w:val="false"/>
          </w:tcPr>
          <w:p>
            <w:pPr>
              <w:pStyle w:val="764"/>
              <w:jc w:val="center"/>
              <w:keepLines w:val="0"/>
              <w:keepNext w:val="0"/>
              <w:pageBreakBefore w:val="0"/>
              <w:spacing w:before="0" w:beforeAutospacing="0" w:after="0" w:afterAutospacing="0" w:line="240" w:lineRule="auto"/>
              <w:widowControl/>
              <w:rPr>
                <w:rFonts w:hint="eastAsia" w:ascii="Times New Roman" w:hAnsi="Times New Roman" w:eastAsia="方正仿宋_GBK" w:cs="方正仿宋_GBK"/>
                <w:bCs w:val="0"/>
                <w:color w:val="000000"/>
                <w:sz w:val="24"/>
                <w:u w:val="none"/>
                <w:shd w:val="clear" w:color="auto" w:fill="auto"/>
                <w:vertAlign w:val="baseline"/>
                <w:lang w:val="en-US" w:eastAsia="zh-CN" w:bidi="ar"/>
              </w:rPr>
              <w:outlineLvl w:val="1"/>
            </w:pPr>
            <w:r>
              <w:rPr>
                <w:rFonts w:hint="eastAsia" w:ascii="Times New Roman" w:hAnsi="Times New Roman" w:eastAsia="方正仿宋_GBK" w:cs="方正仿宋_GBK"/>
                <w:color w:val="000000"/>
                <w:sz w:val="24"/>
                <w:szCs w:val="24"/>
                <w:u w:val="none"/>
                <w:shd w:val="clear" w:color="auto" w:fill="auto"/>
                <w:lang w:val="en-US" w:eastAsia="zh-CN" w:bidi="ar"/>
              </w:rPr>
              <w:t xml:space="preserve">资产与财务人员考核演示</w:t>
            </w:r>
            <w:r/>
          </w:p>
        </w:tc>
        <w:tc>
          <w:tcPr>
            <w:tcW w:w="5121" w:type="dxa"/>
            <w:vAlign w:val="center"/>
            <w:textDirection w:val="lrTb"/>
            <w:noWrap w:val="false"/>
          </w:tcPr>
          <w:p>
            <w:pPr>
              <w:pStyle w:val="764"/>
              <w:jc w:val="center"/>
              <w:keepLines w:val="0"/>
              <w:keepNext w:val="0"/>
              <w:pageBreakBefore w:val="0"/>
              <w:spacing w:before="0" w:beforeAutospacing="0" w:after="0" w:afterAutospacing="0" w:line="240" w:lineRule="auto"/>
              <w:widowControl/>
              <w:rPr>
                <w:rFonts w:hint="eastAsia" w:ascii="Times New Roman" w:hAnsi="Times New Roman" w:eastAsia="方正仿宋_GBK" w:cs="方正仿宋_GBK"/>
                <w:bCs w:val="0"/>
                <w:color w:val="000000"/>
                <w:sz w:val="24"/>
                <w:u w:val="none"/>
                <w:shd w:val="clear" w:color="auto" w:fill="auto"/>
                <w:vertAlign w:val="baseline"/>
                <w:lang w:val="en-US" w:eastAsia="zh-CN" w:bidi="ar"/>
              </w:rPr>
              <w:outlineLvl w:val="1"/>
            </w:pPr>
            <w:r>
              <w:rPr>
                <w:rFonts w:hint="eastAsia" w:ascii="Times New Roman" w:hAnsi="Times New Roman" w:eastAsia="方正仿宋_GBK" w:cs="方正仿宋_GBK"/>
                <w:color w:val="000000"/>
                <w:sz w:val="24"/>
                <w:szCs w:val="24"/>
                <w:u w:val="none"/>
                <w:shd w:val="clear" w:color="auto" w:fill="auto"/>
                <w:lang w:val="en-US" w:eastAsia="zh-CN" w:bidi="ar"/>
              </w:rPr>
              <w:t xml:space="preserve">展示根据资产业务数据以及财务凭证数据，设置多维度评分指标项，对单位的资产管理人员和财务会计人员进行AI智能评分。</w:t>
            </w:r>
            <w:r/>
          </w:p>
        </w:tc>
      </w:tr>
      <w:tr>
        <w:trPr/>
        <w:tc>
          <w:tcPr>
            <w:tcW w:w="1943" w:type="dxa"/>
            <w:vAlign w:val="center"/>
            <w:vMerge w:val="continue"/>
            <w:textDirection w:val="lrTb"/>
            <w:noWrap w:val="false"/>
          </w:tcPr>
          <w:p>
            <w:pPr>
              <w:pStyle w:val="764"/>
              <w:jc w:val="center"/>
              <w:keepLines w:val="0"/>
              <w:keepNext w:val="0"/>
              <w:pageBreakBefore w:val="0"/>
              <w:spacing w:before="0" w:beforeAutospacing="0" w:after="0" w:afterAutospacing="0" w:line="240" w:lineRule="auto"/>
              <w:widowControl/>
              <w:rPr>
                <w:rFonts w:hint="default" w:ascii="Times New Roman" w:hAnsi="Times New Roman" w:eastAsia="方正仿宋_GBK" w:cs="黑体"/>
                <w:bCs/>
                <w:sz w:val="24"/>
                <w:shd w:val="clear" w:color="auto" w:fill="auto"/>
                <w:vertAlign w:val="baseline"/>
                <w:lang w:val="en-US" w:eastAsia="zh-CN" w:bidi="ar"/>
              </w:rPr>
              <w:outlineLvl w:val="1"/>
            </w:pPr>
            <w:r>
              <w:rPr>
                <w:rFonts w:hint="default" w:ascii="Times New Roman" w:hAnsi="Times New Roman" w:eastAsia="方正仿宋_GBK" w:cs="黑体"/>
                <w:bCs/>
                <w:sz w:val="24"/>
                <w:shd w:val="clear" w:color="auto" w:fill="auto"/>
                <w:vertAlign w:val="baseline"/>
                <w:lang w:val="en-US" w:eastAsia="zh-CN" w:bidi="ar"/>
              </w:rPr>
            </w:r>
            <w:r/>
          </w:p>
        </w:tc>
        <w:tc>
          <w:tcPr>
            <w:tcW w:w="2224" w:type="dxa"/>
            <w:vAlign w:val="center"/>
            <w:textDirection w:val="lrTb"/>
            <w:noWrap w:val="false"/>
          </w:tcPr>
          <w:p>
            <w:pPr>
              <w:pStyle w:val="764"/>
              <w:jc w:val="center"/>
              <w:keepLines w:val="0"/>
              <w:keepNext w:val="0"/>
              <w:pageBreakBefore w:val="0"/>
              <w:spacing w:before="0" w:beforeAutospacing="0" w:after="0" w:afterAutospacing="0" w:line="240" w:lineRule="auto"/>
              <w:widowControl/>
              <w:rPr>
                <w:rFonts w:hint="eastAsia" w:ascii="Times New Roman" w:hAnsi="Times New Roman" w:eastAsia="方正仿宋_GBK" w:cs="方正仿宋_GBK"/>
                <w:bCs w:val="0"/>
                <w:color w:val="000000"/>
                <w:sz w:val="24"/>
                <w:u w:val="none"/>
                <w:shd w:val="clear" w:color="auto" w:fill="auto"/>
                <w:vertAlign w:val="baseline"/>
                <w:lang w:val="en-US" w:eastAsia="zh-CN" w:bidi="ar"/>
              </w:rPr>
              <w:outlineLvl w:val="1"/>
            </w:pPr>
            <w:r>
              <w:rPr>
                <w:rFonts w:hint="eastAsia" w:ascii="Times New Roman" w:hAnsi="Times New Roman" w:eastAsia="方正仿宋_GBK" w:cs="方正仿宋_GBK"/>
                <w:color w:val="000000"/>
                <w:sz w:val="24"/>
                <w:szCs w:val="24"/>
                <w:u w:val="none"/>
                <w:shd w:val="clear" w:color="auto" w:fill="auto"/>
                <w:lang w:val="en-US" w:eastAsia="zh-CN" w:bidi="ar"/>
              </w:rPr>
              <w:t xml:space="preserve">闲置资产监督演示</w:t>
            </w:r>
            <w:r/>
          </w:p>
        </w:tc>
        <w:tc>
          <w:tcPr>
            <w:tcW w:w="5121" w:type="dxa"/>
            <w:vAlign w:val="center"/>
            <w:textDirection w:val="lrTb"/>
            <w:noWrap w:val="false"/>
          </w:tcPr>
          <w:p>
            <w:pPr>
              <w:pStyle w:val="764"/>
              <w:jc w:val="center"/>
              <w:keepLines w:val="0"/>
              <w:keepNext w:val="0"/>
              <w:pageBreakBefore w:val="0"/>
              <w:spacing w:before="0" w:beforeAutospacing="0" w:after="0" w:afterAutospacing="0" w:line="240" w:lineRule="auto"/>
              <w:widowControl/>
              <w:rPr>
                <w:rFonts w:hint="eastAsia" w:ascii="Times New Roman" w:hAnsi="Times New Roman" w:eastAsia="方正仿宋_GBK" w:cs="方正仿宋_GBK"/>
                <w:bCs w:val="0"/>
                <w:color w:val="000000"/>
                <w:sz w:val="24"/>
                <w:u w:val="none"/>
                <w:shd w:val="clear" w:color="auto" w:fill="auto"/>
                <w:vertAlign w:val="baseline"/>
                <w:lang w:val="en-US" w:eastAsia="zh-CN" w:bidi="ar"/>
              </w:rPr>
              <w:outlineLvl w:val="1"/>
            </w:pPr>
            <w:r>
              <w:rPr>
                <w:rFonts w:hint="eastAsia" w:ascii="Times New Roman" w:hAnsi="Times New Roman" w:eastAsia="方正仿宋_GBK" w:cs="方正仿宋_GBK"/>
                <w:color w:val="000000"/>
                <w:sz w:val="24"/>
                <w:szCs w:val="24"/>
                <w:u w:val="none"/>
                <w:shd w:val="clear" w:color="auto" w:fill="auto"/>
                <w:lang w:val="en-US" w:eastAsia="zh-CN" w:bidi="ar"/>
              </w:rPr>
              <w:t xml:space="preserve">展示通过AI对闲置资产及购置资产、计划配置资产进行分析，从源头遏制重复购置和资源浪费。</w:t>
            </w:r>
            <w:r/>
          </w:p>
        </w:tc>
      </w:tr>
      <w:tr>
        <w:trPr/>
        <w:tc>
          <w:tcPr>
            <w:tcW w:w="1943" w:type="dxa"/>
            <w:vAlign w:val="center"/>
            <w:vMerge w:val="continue"/>
            <w:textDirection w:val="lrTb"/>
            <w:noWrap w:val="false"/>
          </w:tcPr>
          <w:p>
            <w:pPr>
              <w:pStyle w:val="764"/>
              <w:jc w:val="center"/>
              <w:keepLines w:val="0"/>
              <w:keepNext w:val="0"/>
              <w:pageBreakBefore w:val="0"/>
              <w:spacing w:before="0" w:beforeAutospacing="0" w:after="0" w:afterAutospacing="0" w:line="240" w:lineRule="auto"/>
              <w:widowControl/>
              <w:rPr>
                <w:rFonts w:hint="default" w:ascii="Times New Roman" w:hAnsi="Times New Roman" w:eastAsia="方正仿宋_GBK" w:cs="黑体"/>
                <w:bCs/>
                <w:sz w:val="24"/>
                <w:shd w:val="clear" w:color="auto" w:fill="auto"/>
                <w:vertAlign w:val="baseline"/>
                <w:lang w:val="en-US" w:eastAsia="zh-CN" w:bidi="ar"/>
              </w:rPr>
              <w:outlineLvl w:val="1"/>
            </w:pPr>
            <w:r>
              <w:rPr>
                <w:rFonts w:hint="default" w:ascii="Times New Roman" w:hAnsi="Times New Roman" w:eastAsia="方正仿宋_GBK" w:cs="黑体"/>
                <w:bCs/>
                <w:sz w:val="24"/>
                <w:shd w:val="clear" w:color="auto" w:fill="auto"/>
                <w:vertAlign w:val="baseline"/>
                <w:lang w:val="en-US" w:eastAsia="zh-CN" w:bidi="ar"/>
              </w:rPr>
            </w:r>
            <w:r/>
          </w:p>
        </w:tc>
        <w:tc>
          <w:tcPr>
            <w:tcW w:w="2224" w:type="dxa"/>
            <w:vAlign w:val="center"/>
            <w:textDirection w:val="lrTb"/>
            <w:noWrap w:val="false"/>
          </w:tcPr>
          <w:p>
            <w:pPr>
              <w:pStyle w:val="764"/>
              <w:jc w:val="center"/>
              <w:keepLines w:val="0"/>
              <w:keepNext w:val="0"/>
              <w:pageBreakBefore w:val="0"/>
              <w:spacing w:before="0" w:beforeAutospacing="0" w:after="0" w:afterAutospacing="0" w:line="240" w:lineRule="auto"/>
              <w:widowControl/>
              <w:rPr>
                <w:rFonts w:hint="eastAsia" w:ascii="Times New Roman" w:hAnsi="Times New Roman" w:eastAsia="方正仿宋_GBK" w:cs="方正仿宋_GBK"/>
                <w:bCs w:val="0"/>
                <w:color w:val="000000"/>
                <w:sz w:val="24"/>
                <w:u w:val="none"/>
                <w:shd w:val="clear" w:color="auto" w:fill="auto"/>
                <w:vertAlign w:val="baseline"/>
                <w:lang w:val="en-US" w:eastAsia="zh-CN" w:bidi="ar"/>
              </w:rPr>
              <w:outlineLvl w:val="1"/>
            </w:pPr>
            <w:r>
              <w:rPr>
                <w:rFonts w:hint="eastAsia" w:ascii="Times New Roman" w:hAnsi="Times New Roman" w:eastAsia="方正仿宋_GBK" w:cs="方正仿宋_GBK"/>
                <w:color w:val="000000"/>
                <w:sz w:val="24"/>
                <w:szCs w:val="24"/>
                <w:u w:val="none"/>
                <w:shd w:val="clear" w:color="auto" w:fill="auto"/>
                <w:lang w:val="en-US" w:eastAsia="zh-CN" w:bidi="ar"/>
              </w:rPr>
              <w:t xml:space="preserve">经营性资产智能监督演示</w:t>
            </w:r>
            <w:r/>
          </w:p>
        </w:tc>
        <w:tc>
          <w:tcPr>
            <w:tcW w:w="5121" w:type="dxa"/>
            <w:vAlign w:val="center"/>
            <w:textDirection w:val="lrTb"/>
            <w:noWrap w:val="false"/>
          </w:tcPr>
          <w:p>
            <w:pPr>
              <w:pStyle w:val="764"/>
              <w:jc w:val="center"/>
              <w:keepLines w:val="0"/>
              <w:keepNext w:val="0"/>
              <w:pageBreakBefore w:val="0"/>
              <w:spacing w:before="0" w:beforeAutospacing="0" w:after="0" w:afterAutospacing="0" w:line="240" w:lineRule="auto"/>
              <w:widowControl/>
              <w:rPr>
                <w:rFonts w:hint="eastAsia" w:ascii="Times New Roman" w:hAnsi="Times New Roman" w:eastAsia="方正仿宋_GBK" w:cs="方正仿宋_GBK"/>
                <w:bCs w:val="0"/>
                <w:color w:val="000000"/>
                <w:sz w:val="24"/>
                <w:u w:val="none"/>
                <w:shd w:val="clear" w:color="auto" w:fill="auto"/>
                <w:vertAlign w:val="baseline"/>
                <w:lang w:val="en-US" w:eastAsia="zh-CN" w:bidi="ar"/>
              </w:rPr>
              <w:outlineLvl w:val="1"/>
            </w:pPr>
            <w:r>
              <w:rPr>
                <w:rFonts w:hint="eastAsia" w:ascii="Times New Roman" w:hAnsi="Times New Roman" w:eastAsia="方正仿宋_GBK" w:cs="方正仿宋_GBK"/>
                <w:color w:val="000000"/>
                <w:sz w:val="24"/>
                <w:szCs w:val="24"/>
                <w:u w:val="none"/>
                <w:shd w:val="clear" w:color="auto" w:fill="auto"/>
                <w:lang w:val="en-US" w:eastAsia="zh-CN" w:bidi="ar"/>
              </w:rPr>
              <w:t xml:space="preserve">展示通过AI对经营性资产租赁行为和收益行为进行分析，判断是否存在租金明显偏低、超期未续约、收益入账异常的问题。</w:t>
            </w:r>
            <w:r/>
          </w:p>
        </w:tc>
      </w:tr>
      <w:tr>
        <w:trPr/>
        <w:tc>
          <w:tcPr>
            <w:tcW w:w="1943" w:type="dxa"/>
            <w:vAlign w:val="center"/>
            <w:vMerge w:val="continue"/>
            <w:textDirection w:val="lrTb"/>
            <w:noWrap w:val="false"/>
          </w:tcPr>
          <w:p>
            <w:pPr>
              <w:pStyle w:val="764"/>
              <w:jc w:val="center"/>
              <w:keepLines w:val="0"/>
              <w:keepNext w:val="0"/>
              <w:pageBreakBefore w:val="0"/>
              <w:spacing w:before="0" w:beforeAutospacing="0" w:after="0" w:afterAutospacing="0" w:line="240" w:lineRule="auto"/>
              <w:widowControl/>
              <w:rPr>
                <w:rFonts w:hint="default" w:ascii="Times New Roman" w:hAnsi="Times New Roman" w:eastAsia="方正仿宋_GBK" w:cs="黑体"/>
                <w:bCs/>
                <w:sz w:val="24"/>
                <w:shd w:val="clear" w:color="auto" w:fill="auto"/>
                <w:vertAlign w:val="baseline"/>
                <w:lang w:val="en-US" w:eastAsia="zh-CN" w:bidi="ar"/>
              </w:rPr>
              <w:outlineLvl w:val="1"/>
            </w:pPr>
            <w:r>
              <w:rPr>
                <w:rFonts w:hint="default" w:ascii="Times New Roman" w:hAnsi="Times New Roman" w:eastAsia="方正仿宋_GBK" w:cs="黑体"/>
                <w:bCs/>
                <w:sz w:val="24"/>
                <w:shd w:val="clear" w:color="auto" w:fill="auto"/>
                <w:vertAlign w:val="baseline"/>
                <w:lang w:val="en-US" w:eastAsia="zh-CN" w:bidi="ar"/>
              </w:rPr>
            </w:r>
            <w:r/>
          </w:p>
        </w:tc>
        <w:tc>
          <w:tcPr>
            <w:tcW w:w="2224" w:type="dxa"/>
            <w:vAlign w:val="center"/>
            <w:textDirection w:val="lrTb"/>
            <w:noWrap w:val="false"/>
          </w:tcPr>
          <w:p>
            <w:pPr>
              <w:pStyle w:val="764"/>
              <w:jc w:val="center"/>
              <w:keepLines w:val="0"/>
              <w:keepNext w:val="0"/>
              <w:pageBreakBefore w:val="0"/>
              <w:spacing w:before="0" w:beforeAutospacing="0" w:after="0" w:afterAutospacing="0" w:line="240" w:lineRule="auto"/>
              <w:widowControl/>
              <w:rPr>
                <w:rFonts w:hint="eastAsia" w:ascii="Times New Roman" w:hAnsi="Times New Roman" w:eastAsia="方正仿宋_GBK" w:cs="方正仿宋_GBK"/>
                <w:bCs w:val="0"/>
                <w:color w:val="000000"/>
                <w:sz w:val="24"/>
                <w:u w:val="none"/>
                <w:shd w:val="clear" w:color="auto" w:fill="auto"/>
                <w:vertAlign w:val="baseline"/>
                <w:lang w:val="en-US" w:eastAsia="zh-CN" w:bidi="ar"/>
              </w:rPr>
              <w:outlineLvl w:val="1"/>
            </w:pPr>
            <w:r>
              <w:rPr>
                <w:rFonts w:hint="eastAsia" w:ascii="Times New Roman" w:hAnsi="Times New Roman" w:eastAsia="方正仿宋_GBK" w:cs="方正仿宋_GBK"/>
                <w:color w:val="000000"/>
                <w:sz w:val="24"/>
                <w:szCs w:val="24"/>
                <w:u w:val="none"/>
                <w:shd w:val="clear" w:color="auto" w:fill="auto"/>
                <w:lang w:val="en-US" w:eastAsia="zh-CN" w:bidi="ar"/>
              </w:rPr>
              <w:t xml:space="preserve">智能分析报告自动生成演示</w:t>
            </w:r>
            <w:r/>
          </w:p>
        </w:tc>
        <w:tc>
          <w:tcPr>
            <w:tcW w:w="5121" w:type="dxa"/>
            <w:vAlign w:val="center"/>
            <w:textDirection w:val="lrTb"/>
            <w:noWrap w:val="false"/>
          </w:tcPr>
          <w:p>
            <w:pPr>
              <w:pStyle w:val="764"/>
              <w:jc w:val="center"/>
              <w:keepLines w:val="0"/>
              <w:keepNext w:val="0"/>
              <w:pageBreakBefore w:val="0"/>
              <w:spacing w:before="0" w:beforeAutospacing="0" w:after="0" w:afterAutospacing="0" w:line="240" w:lineRule="auto"/>
              <w:widowControl/>
              <w:rPr>
                <w:rFonts w:hint="eastAsia" w:ascii="Times New Roman" w:hAnsi="Times New Roman" w:eastAsia="方正仿宋_GBK" w:cs="方正仿宋_GBK"/>
                <w:bCs w:val="0"/>
                <w:color w:val="000000"/>
                <w:sz w:val="24"/>
                <w:u w:val="none"/>
                <w:shd w:val="clear" w:color="auto" w:fill="auto"/>
                <w:vertAlign w:val="baseline"/>
                <w:lang w:val="en-US" w:eastAsia="zh-CN" w:bidi="ar"/>
              </w:rPr>
              <w:outlineLvl w:val="1"/>
            </w:pPr>
            <w:r>
              <w:rPr>
                <w:rFonts w:hint="eastAsia" w:ascii="Times New Roman" w:hAnsi="Times New Roman" w:eastAsia="方正仿宋_GBK" w:cs="方正仿宋_GBK"/>
                <w:color w:val="000000"/>
                <w:sz w:val="24"/>
                <w:szCs w:val="24"/>
                <w:u w:val="none"/>
                <w:shd w:val="clear" w:color="auto" w:fill="auto"/>
                <w:lang w:val="en-US" w:eastAsia="zh-CN" w:bidi="ar"/>
              </w:rPr>
              <w:t xml:space="preserve">展示根据各类分析和预警结果，通过AI生成月度监管分析报告、高风险单位专项报告以及各类专项分析报告。</w:t>
            </w:r>
            <w:r/>
          </w:p>
        </w:tc>
      </w:tr>
    </w:tbl>
    <w:p>
      <w:pPr>
        <w:rPr>
          <w:rFonts w:hint="eastAsia"/>
          <w:lang w:val="en-US" w:eastAsia="zh-CN"/>
        </w:rPr>
      </w:pPr>
      <w:r>
        <w:rPr>
          <w:rFonts w:hint="eastAsia"/>
          <w:lang w:val="en-US" w:eastAsia="zh-CN"/>
        </w:rPr>
      </w:r>
      <w:r/>
    </w:p>
    <w:p>
      <w:pPr>
        <w:pStyle w:val="764"/>
        <w:ind w:firstLine="320"/>
        <w:spacing w:before="240" w:beforeAutospacing="0" w:after="240" w:afterAutospacing="0"/>
        <w:rPr>
          <w:rFonts w:hint="eastAsia" w:ascii="黑体" w:hAnsi="黑体" w:eastAsia="黑体" w:cs="黑体"/>
          <w:bCs/>
          <w:sz w:val="32"/>
          <w:lang w:bidi="ar"/>
        </w:rPr>
        <w:outlineLvl w:val="1"/>
      </w:pPr>
      <w:r>
        <w:rPr>
          <w:rFonts w:hint="eastAsia" w:ascii="黑体" w:hAnsi="黑体" w:eastAsia="黑体" w:cs="黑体"/>
          <w:bCs/>
          <w:sz w:val="32"/>
          <w:lang w:val="en-US" w:eastAsia="zh-CN" w:bidi="ar"/>
        </w:rPr>
        <w:t xml:space="preserve">四</w:t>
      </w:r>
      <w:r>
        <w:rPr>
          <w:rFonts w:hint="eastAsia" w:ascii="黑体" w:hAnsi="黑体" w:eastAsia="黑体" w:cs="黑体"/>
          <w:bCs/>
          <w:sz w:val="32"/>
          <w:lang w:bidi="ar"/>
        </w:rPr>
        <w:t xml:space="preserve">、</w:t>
      </w:r>
      <w:r>
        <w:rPr>
          <w:rFonts w:hint="eastAsia" w:ascii="黑体" w:hAnsi="黑体" w:eastAsia="黑体" w:cs="黑体"/>
          <w:bCs/>
          <w:sz w:val="32"/>
          <w:lang w:val="en-US" w:eastAsia="zh-CN" w:bidi="ar"/>
        </w:rPr>
        <w:t xml:space="preserve">项目</w:t>
      </w:r>
      <w:r>
        <w:rPr>
          <w:rFonts w:hint="eastAsia" w:ascii="黑体" w:hAnsi="黑体" w:eastAsia="黑体" w:cs="黑体"/>
          <w:bCs/>
          <w:sz w:val="32"/>
          <w:lang w:bidi="ar"/>
        </w:rPr>
        <w:t xml:space="preserve">实施要求</w:t>
      </w:r>
      <w:bookmarkEnd w:id="90"/>
      <w:r/>
      <w:bookmarkEnd w:id="91"/>
      <w:r/>
      <w:r/>
    </w:p>
    <w:p>
      <w:pPr>
        <w:ind w:firstLine="480"/>
        <w:spacing w:line="460" w:lineRule="exact"/>
        <w:rPr>
          <w:rFonts w:hint="eastAsia" w:ascii="宋体" w:hAnsi="宋体" w:cs="宋体"/>
          <w:bCs/>
          <w:sz w:val="24"/>
          <w:szCs w:val="24"/>
        </w:rPr>
      </w:pPr>
      <w:r/>
      <w:bookmarkStart w:id="92" w:name="_Toc142578285"/>
      <w:r>
        <w:rPr>
          <w:rFonts w:hint="eastAsia" w:ascii="宋体" w:hAnsi="宋体" w:cs="宋体"/>
          <w:bCs/>
          <w:sz w:val="24"/>
          <w:szCs w:val="24"/>
        </w:rPr>
        <w:t xml:space="preserve">1、实施进度计划：实施进度计划是对软件开发过程的任务、时间和资源的规划安排，主要阶段分为需求分析阶段、设计阶段、开发阶段、测试阶段、部署与维护阶段等，该计划的关键作用主要是指导项目推进、便于资源协调、利于风险管理。</w:t>
      </w:r>
      <w:r/>
    </w:p>
    <w:p>
      <w:pPr>
        <w:ind w:firstLine="480"/>
        <w:spacing w:line="460" w:lineRule="exact"/>
        <w:rPr>
          <w:rFonts w:hint="eastAsia" w:ascii="宋体" w:hAnsi="宋体" w:cs="宋体"/>
          <w:bCs/>
          <w:sz w:val="24"/>
          <w:szCs w:val="24"/>
        </w:rPr>
      </w:pPr>
      <w:r>
        <w:rPr>
          <w:rFonts w:hint="eastAsia" w:ascii="宋体" w:hAnsi="宋体" w:cs="宋体"/>
          <w:bCs/>
          <w:sz w:val="24"/>
          <w:szCs w:val="24"/>
        </w:rPr>
        <w:t xml:space="preserve">2、实施步骤：明确项目目标，包括软件的功能、性能等方面的期望，组建项目团队，进行初步的可行性研究。需求分析与利益相关者（如客户、用户）沟通，收集详细的软件功能、用户界面、数据处理等需求。分析和整理需求，形成需求规格说明书，为后续开发提供清晰的依据。软件设计阶段根据需求进行总体架构设计，确定软件的模块划分、层次结构和接口关系。进行详细设计，包括数据库设计、算法设计、界面设计等。最后进行编码实现、软件测试、部署上线根据用户反馈和业务变化，对软件进行功能升级和优化。</w:t>
      </w:r>
      <w:r/>
    </w:p>
    <w:p>
      <w:pPr>
        <w:ind w:firstLine="480"/>
        <w:spacing w:line="460" w:lineRule="exact"/>
        <w:rPr>
          <w:rFonts w:hint="eastAsia" w:cs="宋体" w:asciiTheme="minorEastAsia" w:hAnsiTheme="minorEastAsia"/>
          <w:bCs/>
          <w:sz w:val="24"/>
          <w:szCs w:val="24"/>
        </w:rPr>
      </w:pPr>
      <w:r>
        <w:rPr>
          <w:rFonts w:hint="eastAsia" w:cs="宋体" w:asciiTheme="minorEastAsia" w:hAnsiTheme="minorEastAsia"/>
          <w:bCs/>
          <w:sz w:val="24"/>
          <w:szCs w:val="24"/>
        </w:rPr>
        <w:t xml:space="preserve">3、该项目需配合甲方进行服务器、客户端国产化系统适配，保证项目在国产化系统的正常使用，并配合甲方进行相关数据的录入/导入、编辑和维护管理等。</w:t>
      </w:r>
      <w:bookmarkStart w:id="93" w:name="_Hlk204677088"/>
      <w:r>
        <w:rPr>
          <w:rFonts w:hint="eastAsia" w:cs="宋体" w:asciiTheme="minorEastAsia" w:hAnsiTheme="minorEastAsia"/>
          <w:bCs/>
          <w:sz w:val="24"/>
          <w:szCs w:val="24"/>
        </w:rPr>
        <w:t xml:space="preserve">需要适配的国产化清单包含但不限于：国产服务器、国产操作系统、国产数据库、国产中间件等。</w:t>
      </w:r>
      <w:bookmarkEnd w:id="93"/>
      <w:r/>
      <w:r/>
    </w:p>
    <w:p>
      <w:pPr>
        <w:ind w:firstLine="480"/>
        <w:spacing w:line="460" w:lineRule="exact"/>
        <w:rPr>
          <w:rFonts w:hint="eastAsia" w:cs="宋体" w:asciiTheme="minorEastAsia" w:hAnsiTheme="minorEastAsia"/>
          <w:bCs/>
          <w:sz w:val="24"/>
          <w:szCs w:val="24"/>
        </w:rPr>
      </w:pPr>
      <w:r>
        <w:rPr>
          <w:rFonts w:hint="eastAsia" w:cs="宋体" w:asciiTheme="minorEastAsia" w:hAnsiTheme="minorEastAsia"/>
          <w:bCs/>
          <w:sz w:val="24"/>
          <w:szCs w:val="24"/>
        </w:rPr>
        <w:t xml:space="preserve">4、成交供应商在项目验收时需提供需求规格说明书、概要设计说明书、详细设计说明书、测试报告、试运行报告、数据库设计文档、使用说明书/用户手册、系统维护说明书等文档（手册）。</w:t>
      </w:r>
      <w:r/>
    </w:p>
    <w:p>
      <w:pPr>
        <w:ind w:firstLine="480"/>
        <w:spacing w:line="460" w:lineRule="exact"/>
        <w:rPr>
          <w:rFonts w:hint="eastAsia" w:cs="宋体" w:asciiTheme="minorEastAsia" w:hAnsiTheme="minorEastAsia"/>
          <w:bCs/>
          <w:sz w:val="24"/>
          <w:szCs w:val="24"/>
        </w:rPr>
      </w:pPr>
      <w:r>
        <w:rPr>
          <w:rFonts w:hint="eastAsia" w:cs="宋体" w:asciiTheme="minorEastAsia" w:hAnsiTheme="minorEastAsia"/>
          <w:bCs/>
          <w:sz w:val="24"/>
          <w:szCs w:val="24"/>
        </w:rPr>
        <w:t xml:space="preserve">5、成交供应商应配合采购人开展系统安全等保测评相关工作。</w:t>
      </w:r>
      <w:r/>
    </w:p>
    <w:p>
      <w:pPr>
        <w:ind w:firstLine="480"/>
        <w:spacing w:line="460" w:lineRule="exact"/>
        <w:rPr>
          <w:rFonts w:hint="eastAsia" w:cs="宋体" w:asciiTheme="minorEastAsia" w:hAnsiTheme="minorEastAsia"/>
          <w:bCs/>
          <w:sz w:val="24"/>
          <w:szCs w:val="24"/>
        </w:rPr>
      </w:pPr>
      <w:r>
        <w:rPr>
          <w:rFonts w:hint="eastAsia" w:cs="宋体" w:asciiTheme="minorEastAsia" w:hAnsiTheme="minorEastAsia"/>
          <w:bCs/>
          <w:sz w:val="24"/>
          <w:szCs w:val="24"/>
          <w:lang w:val="en-US" w:eastAsia="zh-CN"/>
        </w:rPr>
        <w:t xml:space="preserve">6、</w:t>
      </w:r>
      <w:r>
        <w:rPr>
          <w:rFonts w:hint="eastAsia" w:cs="宋体" w:asciiTheme="minorEastAsia" w:hAnsiTheme="minorEastAsia"/>
          <w:bCs/>
          <w:sz w:val="24"/>
          <w:szCs w:val="24"/>
        </w:rPr>
        <w:t xml:space="preserve">本项目中系统开发的归属权及数据归属于采购人，成交供应商交付采购人时应当递交程序源代码等基础性资料。</w:t>
      </w:r>
      <w:r/>
    </w:p>
    <w:p>
      <w:pPr>
        <w:ind w:firstLine="482"/>
        <w:spacing w:line="480" w:lineRule="exact"/>
        <w:rPr>
          <w:rFonts w:hint="eastAsia" w:ascii="黑体" w:hAnsi="黑体" w:eastAsia="黑体" w:cs="黑体"/>
          <w:bCs/>
          <w:sz w:val="32"/>
          <w:szCs w:val="24"/>
          <w:lang w:val="en-US" w:eastAsia="zh-CN" w:bidi="ar"/>
        </w:rPr>
        <w:outlineLvl w:val="1"/>
      </w:pPr>
      <w:r>
        <w:rPr>
          <w:rFonts w:hint="eastAsia" w:ascii="黑体" w:hAnsi="黑体" w:eastAsia="黑体" w:cs="黑体"/>
          <w:bCs/>
          <w:sz w:val="32"/>
          <w:szCs w:val="24"/>
          <w:lang w:val="en-US" w:eastAsia="zh-CN" w:bidi="ar"/>
        </w:rPr>
        <w:t xml:space="preserve">五、人员服务要求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1、组建不少</w:t>
      </w:r>
      <w:r>
        <w:rPr>
          <w:rFonts w:hint="eastAsia" w:ascii="Times New Roman" w:hAnsi="Times New Roman" w:eastAsia="宋体" w:cs="仿宋"/>
          <w:sz w:val="24"/>
        </w:rPr>
        <w:t xml:space="preserve">于5人的项</w:t>
      </w:r>
      <w:r>
        <w:rPr>
          <w:rFonts w:hint="eastAsia" w:ascii="Times New Roman" w:hAnsi="Times New Roman" w:cs="仿宋"/>
          <w:sz w:val="24"/>
        </w:rPr>
        <w:t xml:space="preserve">目组团队。</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本项目须成立项目团队，其中包含：项目负责人和项目组其他成员。供应商一经中标，项目负责人不得随意更换。具体要求如下：</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项目负责人1名：负责整个项目实施方案以及进度计划，工作安排和落实，组织做好各阶段项目的验收与结算工作，全流程跟进项目。</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项目组其他成员：</w:t>
      </w:r>
      <w:r>
        <w:rPr>
          <w:rFonts w:hint="eastAsia" w:ascii="Times New Roman" w:hAnsi="Times New Roman" w:cs="仿宋"/>
          <w:color w:val="000000"/>
          <w:sz w:val="24"/>
        </w:rPr>
        <w:t xml:space="preserve">不少于</w:t>
      </w:r>
      <w:r>
        <w:rPr>
          <w:rFonts w:hint="eastAsia" w:ascii="Times New Roman" w:hAnsi="Times New Roman" w:cs="仿宋"/>
          <w:color w:val="000000"/>
          <w:sz w:val="24"/>
          <w:lang w:val="en-US" w:eastAsia="zh-CN"/>
        </w:rPr>
        <w:t xml:space="preserve">4</w:t>
      </w:r>
      <w:r>
        <w:rPr>
          <w:rFonts w:hint="eastAsia" w:ascii="Times New Roman" w:hAnsi="Times New Roman" w:cs="仿宋"/>
          <w:color w:val="000000"/>
          <w:sz w:val="24"/>
        </w:rPr>
        <w:t xml:space="preserve">人，团队须具备软件开发能力、</w:t>
      </w:r>
      <w:r>
        <w:rPr>
          <w:rFonts w:hint="eastAsia" w:ascii="Times New Roman" w:hAnsi="Times New Roman" w:cs="仿宋"/>
          <w:sz w:val="24"/>
        </w:rPr>
        <w:t xml:space="preserve">数据库管理、软件整体设计、</w:t>
      </w:r>
      <w:r>
        <w:rPr>
          <w:rFonts w:hint="eastAsia" w:ascii="Times New Roman" w:hAnsi="Times New Roman" w:cs="仿宋"/>
          <w:color w:val="000000"/>
          <w:sz w:val="24"/>
        </w:rPr>
        <w:t xml:space="preserve">软件交付能力、网络调试能力和项目日常管理汇报能力</w:t>
      </w:r>
      <w:r>
        <w:rPr>
          <w:rFonts w:hint="eastAsia" w:ascii="Times New Roman" w:hAnsi="Times New Roman" w:cs="仿宋"/>
          <w:sz w:val="24"/>
        </w:rPr>
        <w:t xml:space="preserve">。</w:t>
      </w:r>
      <w:r/>
    </w:p>
    <w:p>
      <w:pPr>
        <w:ind w:firstLine="480"/>
        <w:keepLines w:val="0"/>
        <w:keepNext w:val="0"/>
        <w:pageBreakBefore w:val="0"/>
        <w:spacing w:line="540" w:lineRule="exact"/>
        <w:tabs>
          <w:tab w:val="left" w:pos="0" w:leader="none"/>
        </w:tabs>
        <w:rPr>
          <w:rFonts w:hint="eastAsia" w:ascii="方正仿宋_GBK" w:hAnsi="方正仿宋_GBK" w:eastAsia="方正仿宋_GBK" w:cs="方正仿宋_GBK"/>
          <w:color w:val="auto"/>
          <w:sz w:val="24"/>
          <w:szCs w:val="24"/>
          <w:highlight w:val="none"/>
        </w:rPr>
      </w:pPr>
      <w:r>
        <w:rPr>
          <w:rFonts w:hint="eastAsia" w:ascii="Times New Roman" w:hAnsi="Times New Roman" w:cs="仿宋"/>
          <w:sz w:val="24"/>
        </w:rPr>
        <w:t xml:space="preserve">2、执行有关项目建设的国家法律、法规、规范、标准和制度，履行合同规定的义务和职责；遵守国家的法律和政府的有关条例、规定和办法等。</w:t>
      </w:r>
      <w:r/>
    </w:p>
    <w:p>
      <w:pPr>
        <w:ind w:firstLine="480"/>
        <w:spacing w:line="460" w:lineRule="exact"/>
        <w:rPr>
          <w:rFonts w:hint="eastAsia" w:cs="宋体" w:asciiTheme="minorEastAsia" w:hAnsiTheme="minorEastAsia"/>
          <w:bCs/>
          <w:sz w:val="24"/>
          <w:szCs w:val="24"/>
          <w:lang w:val="en-US" w:eastAsia="zh-CN"/>
        </w:rPr>
      </w:pPr>
      <w:r>
        <w:rPr>
          <w:rFonts w:hint="eastAsia" w:cs="宋体" w:asciiTheme="minorEastAsia" w:hAnsiTheme="minorEastAsia"/>
          <w:bCs/>
          <w:sz w:val="24"/>
          <w:szCs w:val="24"/>
          <w:lang w:val="en-US" w:eastAsia="zh-CN"/>
        </w:rPr>
        <w:t xml:space="preserve">3、项目团队须严格遵守采购人的各项管理规定，服从采购人的统一协调与工作安排。项目实施过程中，须定期向采购人汇报项目进展，及时反馈实施过程中出现的问题与风险，并形成书面记录存档。</w:t>
      </w:r>
      <w:r/>
    </w:p>
    <w:p>
      <w:pPr>
        <w:ind w:firstLine="480"/>
        <w:spacing w:line="460" w:lineRule="exact"/>
        <w:rPr>
          <w:rFonts w:hint="default" w:cs="宋体" w:asciiTheme="minorEastAsia" w:hAnsiTheme="minorEastAsia"/>
          <w:bCs/>
          <w:sz w:val="24"/>
          <w:szCs w:val="24"/>
          <w:lang w:val="en-US" w:eastAsia="zh-CN"/>
        </w:rPr>
      </w:pPr>
      <w:r>
        <w:rPr>
          <w:rFonts w:hint="eastAsia" w:cs="宋体" w:asciiTheme="minorEastAsia" w:hAnsiTheme="minorEastAsia"/>
          <w:bCs/>
          <w:sz w:val="24"/>
          <w:szCs w:val="24"/>
          <w:lang w:val="en-US" w:eastAsia="zh-CN"/>
        </w:rPr>
        <w:t xml:space="preserve">4、项目团队须在项目实施全过程中保持人员稳定，确保项目工作的连续性和一致性。如因特殊情况确需调整人员，须提前向采购人提交书面申请，说明原因及替代人员资历，经采购人书面同意后方可执行，且替代人员资历不得低于原成员水平。</w:t>
      </w:r>
      <w:r/>
    </w:p>
    <w:p>
      <w:pPr>
        <w:ind w:firstLine="482"/>
        <w:spacing w:line="480" w:lineRule="exact"/>
        <w:rPr>
          <w:rFonts w:hint="eastAsia" w:ascii="黑体" w:hAnsi="黑体" w:eastAsia="黑体" w:cs="黑体"/>
          <w:bCs/>
          <w:sz w:val="32"/>
          <w:szCs w:val="24"/>
          <w:lang w:val="en-US" w:eastAsia="zh-CN" w:bidi="ar"/>
        </w:rPr>
        <w:outlineLvl w:val="1"/>
      </w:pPr>
      <w:r>
        <w:rPr>
          <w:rFonts w:hint="eastAsia" w:ascii="黑体" w:hAnsi="黑体" w:eastAsia="黑体" w:cs="黑体"/>
          <w:bCs/>
          <w:sz w:val="32"/>
          <w:szCs w:val="24"/>
          <w:lang w:val="en-US" w:eastAsia="zh-CN" w:bidi="ar"/>
        </w:rPr>
        <w:t xml:space="preserve">六、系统安全和保密要求</w:t>
      </w:r>
      <w:r/>
    </w:p>
    <w:p>
      <w:pPr>
        <w:ind w:firstLine="480"/>
        <w:spacing w:line="480" w:lineRule="exact"/>
        <w:tabs>
          <w:tab w:val="left" w:pos="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w:t>
      </w:r>
      <w:r>
        <w:rPr>
          <w:rFonts w:hint="eastAsia" w:ascii="宋体" w:hAnsi="宋体"/>
          <w:bCs/>
          <w:color w:val="000000" w:themeColor="text1"/>
          <w:sz w:val="24"/>
          <w:szCs w:val="24"/>
          <w:highlight w:val="none"/>
          <w:lang w:val="en-US" w:eastAsia="zh-CN"/>
        </w:rPr>
        <w:t xml:space="preserve">、</w:t>
      </w:r>
      <w:r>
        <w:rPr>
          <w:rFonts w:hint="eastAsia" w:ascii="宋体" w:hAnsi="宋体"/>
          <w:bCs/>
          <w:color w:val="000000" w:themeColor="text1"/>
          <w:sz w:val="24"/>
          <w:szCs w:val="24"/>
          <w:highlight w:val="none"/>
        </w:rPr>
        <w:t xml:space="preserve">安全审查和保密要求。</w:t>
      </w:r>
      <w:r>
        <w:rPr>
          <w:rFonts w:hint="eastAsia" w:ascii="宋体" w:hAnsi="宋体"/>
          <w:bCs/>
          <w:color w:val="000000" w:themeColor="text1"/>
          <w:sz w:val="24"/>
          <w:szCs w:val="24"/>
          <w:highlight w:val="none"/>
          <w:lang w:val="en-US" w:eastAsia="zh-CN"/>
        </w:rPr>
        <w:t xml:space="preserve">供应商需</w:t>
      </w:r>
      <w:r>
        <w:rPr>
          <w:rFonts w:hint="eastAsia" w:ascii="宋体" w:hAnsi="宋体"/>
          <w:bCs/>
          <w:color w:val="000000" w:themeColor="text1"/>
          <w:sz w:val="24"/>
          <w:szCs w:val="24"/>
          <w:highlight w:val="none"/>
        </w:rPr>
        <w:t xml:space="preserve">建立一整套完备的安全性策略体系，通过设计统一的人员和权限管理功能，建立数据备份措施与制度，实行“运行日志制度”等，</w:t>
      </w:r>
      <w:r>
        <w:rPr>
          <w:rFonts w:hint="eastAsia" w:ascii="宋体" w:hAnsi="宋体"/>
          <w:bCs/>
          <w:color w:val="000000" w:themeColor="text1"/>
          <w:sz w:val="24"/>
          <w:szCs w:val="24"/>
          <w:highlight w:val="none"/>
          <w:lang w:val="en-US" w:eastAsia="zh-CN"/>
        </w:rPr>
        <w:t xml:space="preserve">成交供应商</w:t>
      </w:r>
      <w:r>
        <w:rPr>
          <w:rFonts w:hint="eastAsia" w:ascii="宋体" w:hAnsi="宋体"/>
          <w:bCs/>
          <w:color w:val="000000" w:themeColor="text1"/>
          <w:sz w:val="24"/>
          <w:szCs w:val="24"/>
          <w:highlight w:val="none"/>
        </w:rPr>
        <w:t xml:space="preserve">必须对项目技术文件以及由采购人提供的所有内部资料、技术文档、数据和信息予以保密，确保数据安全性、准确性与可靠性。提供涉密数据管理和网络安全等方面的建设方案，需包括数据脱敏脱密、网络安全、传输安全、数据库管理等方面的措施。该系统建设符合</w:t>
      </w:r>
      <w:r>
        <w:rPr>
          <w:rFonts w:ascii="宋体" w:hAnsi="宋体"/>
          <w:bCs/>
          <w:color w:val="000000" w:themeColor="text1"/>
          <w:sz w:val="24"/>
          <w:szCs w:val="24"/>
          <w:highlight w:val="none"/>
        </w:rPr>
        <w:t xml:space="preserve">互联网协议第六版（IPv6）的技术要求。</w:t>
      </w:r>
      <w:r/>
    </w:p>
    <w:p>
      <w:pPr>
        <w:ind w:firstLine="480"/>
        <w:spacing w:line="480" w:lineRule="exact"/>
        <w:tabs>
          <w:tab w:val="left" w:pos="0" w:leader="none"/>
        </w:tabs>
        <w:rPr>
          <w:rFonts w:hint="eastAsia" w:ascii="宋体" w:hAnsi="宋体" w:eastAsia="宋体"/>
          <w:bCs/>
          <w:color w:val="000000" w:themeColor="text1"/>
          <w:sz w:val="24"/>
          <w:szCs w:val="24"/>
          <w:highlight w:val="none"/>
          <w:lang w:eastAsia="zh-CN"/>
        </w:rPr>
      </w:pPr>
      <w:r>
        <w:rPr>
          <w:rFonts w:hint="eastAsia" w:ascii="宋体" w:hAnsi="宋体"/>
          <w:bCs/>
          <w:color w:val="000000" w:themeColor="text1"/>
          <w:sz w:val="24"/>
          <w:szCs w:val="24"/>
          <w:highlight w:val="none"/>
          <w:lang w:val="en-US" w:eastAsia="zh-CN"/>
        </w:rPr>
        <w:t xml:space="preserve">2、</w:t>
      </w:r>
      <w:r>
        <w:rPr>
          <w:rFonts w:hint="eastAsia" w:ascii="宋体" w:hAnsi="宋体"/>
          <w:bCs/>
          <w:color w:val="000000" w:themeColor="text1"/>
          <w:sz w:val="24"/>
          <w:szCs w:val="24"/>
          <w:highlight w:val="none"/>
        </w:rPr>
        <w:t xml:space="preserve">基于本项目研发的源代码所有权归采购人所有，对于供应商已成熟商用、确属自有知识产权且无法提供完整源代码的底层组件或通用中间件，可提供编译后的可部署安装包及对应版本的技术文档（含部署手册、配置参数、API接口说明、日志及监控接口等），并承诺保证采购人可在无供应商现场支持的情况下独立完成安装、部署、日常运维及版本升级，且供应商需提供长期的技术支持服务，确保不因源码缺失而影响采购人对整个系统的使用、维护和二次开发权利</w:t>
      </w:r>
      <w:r>
        <w:rPr>
          <w:rFonts w:hint="eastAsia" w:ascii="宋体" w:hAnsi="宋体"/>
          <w:bCs/>
          <w:color w:val="000000" w:themeColor="text1"/>
          <w:sz w:val="24"/>
          <w:szCs w:val="24"/>
          <w:highlight w:val="none"/>
          <w:lang w:eastAsia="zh-CN"/>
        </w:rPr>
        <w:t xml:space="preserve">。</w:t>
      </w:r>
      <w:r/>
    </w:p>
    <w:p>
      <w:pPr>
        <w:ind w:firstLine="480"/>
        <w:spacing w:line="480" w:lineRule="exact"/>
        <w:tabs>
          <w:tab w:val="left" w:pos="0" w:leader="none"/>
        </w:tabs>
        <w:rPr>
          <w:rFonts w:hint="eastAsia" w:ascii="宋体" w:hAnsi="宋体" w:eastAsia="宋体"/>
          <w:bCs/>
          <w:color w:val="000000" w:themeColor="text1"/>
          <w:sz w:val="24"/>
          <w:szCs w:val="24"/>
          <w:highlight w:val="none"/>
          <w:lang w:val="en-US" w:eastAsia="zh-CN"/>
        </w:rPr>
      </w:pPr>
      <w:r>
        <w:rPr>
          <w:rFonts w:hint="eastAsia" w:ascii="宋体" w:hAnsi="宋体"/>
          <w:bCs/>
          <w:color w:val="000000" w:themeColor="text1"/>
          <w:sz w:val="24"/>
          <w:szCs w:val="24"/>
          <w:highlight w:val="none"/>
          <w:lang w:val="en-US" w:eastAsia="zh-CN"/>
        </w:rPr>
        <w:t xml:space="preserve">3、</w:t>
      </w:r>
      <w:r>
        <w:rPr>
          <w:rFonts w:hint="eastAsia" w:ascii="宋体" w:hAnsi="宋体"/>
          <w:bCs/>
          <w:color w:val="000000" w:themeColor="text1"/>
          <w:sz w:val="24"/>
          <w:szCs w:val="24"/>
          <w:highlight w:val="none"/>
        </w:rPr>
        <w:t xml:space="preserve">全套技术文档：需求规格说明书、概要设计文档、详细设计文档、数据库设计说明书、接口开发文档（含所有对内对外接口的入参、出参、调用方式、错误码说明）、部署运维手册、二次开发指南、测试报告等</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rPr>
        <w:t xml:space="preserve">提供的网络软件、平台软件、开发工具及应用技术、工具软件等应使用合法、正版软件</w:t>
      </w:r>
      <w:r>
        <w:rPr>
          <w:rFonts w:hint="eastAsia" w:ascii="宋体" w:hAnsi="宋体"/>
          <w:bCs/>
          <w:color w:val="000000" w:themeColor="text1"/>
          <w:sz w:val="24"/>
          <w:szCs w:val="24"/>
          <w:highlight w:val="none"/>
          <w:lang w:eastAsia="zh-CN"/>
        </w:rPr>
        <w:t xml:space="preserve">。</w:t>
      </w:r>
      <w:r/>
    </w:p>
    <w:p>
      <w:pPr>
        <w:ind w:firstLine="480"/>
        <w:spacing w:line="480" w:lineRule="exact"/>
        <w:tabs>
          <w:tab w:val="left" w:pos="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val="en-US" w:eastAsia="zh-CN"/>
        </w:rPr>
        <w:t xml:space="preserve">4、</w:t>
      </w:r>
      <w:r>
        <w:rPr>
          <w:rFonts w:hint="eastAsia" w:ascii="宋体" w:hAnsi="宋体"/>
          <w:bCs/>
          <w:color w:val="000000" w:themeColor="text1"/>
          <w:sz w:val="24"/>
          <w:szCs w:val="24"/>
          <w:highlight w:val="none"/>
        </w:rPr>
        <w:t xml:space="preserve">未经采购人书面许可，供应商不得以任何形式向第三方透露本项目内容</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lang w:val="en-US" w:eastAsia="zh-CN"/>
        </w:rPr>
        <w:t xml:space="preserve">包括但不限于项目方案、技术文档、系统架构、源代码、数据库结构、测试数据、用户手册等所有与项目相关的信息，</w:t>
      </w:r>
      <w:r>
        <w:rPr>
          <w:rFonts w:hint="eastAsia" w:ascii="宋体" w:hAnsi="宋体"/>
          <w:bCs/>
          <w:color w:val="000000" w:themeColor="text1"/>
          <w:sz w:val="24"/>
          <w:szCs w:val="24"/>
          <w:highlight w:val="none"/>
        </w:rPr>
        <w:t xml:space="preserve">否则供应商将承担由此引发的一切法律责任。</w:t>
      </w:r>
      <w:r/>
    </w:p>
    <w:p>
      <w:pPr>
        <w:ind w:firstLine="480"/>
        <w:spacing w:line="480" w:lineRule="exact"/>
        <w:tabs>
          <w:tab w:val="left" w:pos="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val="en-US" w:eastAsia="zh-CN"/>
        </w:rPr>
        <w:t xml:space="preserve">5、</w:t>
      </w:r>
      <w:r>
        <w:rPr>
          <w:rFonts w:hint="eastAsia" w:ascii="宋体" w:hAnsi="宋体"/>
          <w:bCs/>
          <w:color w:val="000000" w:themeColor="text1"/>
          <w:sz w:val="24"/>
          <w:szCs w:val="24"/>
          <w:highlight w:val="none"/>
        </w:rPr>
        <w:t xml:space="preserve">信息系统的设计、部署、实施等活动须满足《计算机网络安全管理办法》《计算机信息系统安全保护条例》等相关法律法规的要求并承担相应网络安全责任。该系统应符合三级等保要求</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rPr>
        <w:t xml:space="preserve">如因软件设计缺陷、部署或运维规范问题</w:t>
      </w:r>
      <w:r>
        <w:rPr>
          <w:rFonts w:hint="eastAsia" w:ascii="宋体" w:hAnsi="宋体"/>
          <w:bCs/>
          <w:color w:val="000000" w:themeColor="text1"/>
          <w:sz w:val="24"/>
          <w:szCs w:val="24"/>
          <w:highlight w:val="none"/>
          <w:lang w:eastAsia="zh-CN"/>
        </w:rPr>
        <w:t xml:space="preserve">导致</w:t>
      </w:r>
      <w:r>
        <w:rPr>
          <w:rFonts w:hint="eastAsia" w:ascii="宋体" w:hAnsi="宋体"/>
          <w:bCs/>
          <w:color w:val="000000" w:themeColor="text1"/>
          <w:sz w:val="24"/>
          <w:szCs w:val="24"/>
          <w:highlight w:val="none"/>
        </w:rPr>
        <w:t xml:space="preserve">甲方遭受黑客攻击、数据泄露、数据丢失、业务系统中断等网络安全事件</w:t>
      </w:r>
      <w:r>
        <w:rPr>
          <w:rFonts w:hint="eastAsia" w:ascii="宋体" w:hAnsi="宋体"/>
          <w:bCs/>
          <w:color w:val="000000" w:themeColor="text1"/>
          <w:sz w:val="24"/>
          <w:szCs w:val="24"/>
          <w:highlight w:val="none"/>
          <w:lang w:eastAsia="zh-CN"/>
        </w:rPr>
        <w:t xml:space="preserve">，或</w:t>
      </w:r>
      <w:r>
        <w:rPr>
          <w:rFonts w:hint="eastAsia" w:ascii="宋体" w:hAnsi="宋体"/>
          <w:bCs/>
          <w:color w:val="000000" w:themeColor="text1"/>
          <w:sz w:val="24"/>
          <w:szCs w:val="24"/>
          <w:highlight w:val="none"/>
          <w:lang w:val="en-US" w:eastAsia="zh-CN"/>
        </w:rPr>
        <w:t xml:space="preserve">最终业主方被通报、处罚等，成交</w:t>
      </w:r>
      <w:r>
        <w:rPr>
          <w:rFonts w:hint="eastAsia" w:ascii="宋体" w:hAnsi="宋体"/>
          <w:bCs/>
          <w:color w:val="000000" w:themeColor="text1"/>
          <w:sz w:val="24"/>
          <w:szCs w:val="24"/>
          <w:highlight w:val="none"/>
        </w:rPr>
        <w:t xml:space="preserve">供应商需对此类事件负责并承担由此造成的</w:t>
      </w:r>
      <w:r>
        <w:rPr>
          <w:rFonts w:hint="eastAsia" w:ascii="宋体" w:hAnsi="宋体"/>
          <w:bCs/>
          <w:color w:val="000000" w:themeColor="text1"/>
          <w:sz w:val="24"/>
          <w:szCs w:val="24"/>
          <w:highlight w:val="none"/>
          <w:lang w:val="en-US" w:eastAsia="zh-CN"/>
        </w:rPr>
        <w:t xml:space="preserve">声誉和</w:t>
      </w:r>
      <w:r>
        <w:rPr>
          <w:rFonts w:hint="eastAsia" w:ascii="宋体" w:hAnsi="宋体"/>
          <w:bCs/>
          <w:color w:val="000000" w:themeColor="text1"/>
          <w:sz w:val="24"/>
          <w:szCs w:val="24"/>
          <w:highlight w:val="none"/>
        </w:rPr>
        <w:t xml:space="preserve">经济损失，承担的赔付金额不低于损失金额。</w:t>
      </w:r>
      <w:r/>
    </w:p>
    <w:p>
      <w:pPr>
        <w:ind w:firstLine="480"/>
        <w:spacing w:line="480" w:lineRule="exact"/>
        <w:tabs>
          <w:tab w:val="left" w:pos="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val="en-US" w:eastAsia="zh-CN"/>
        </w:rPr>
        <w:t xml:space="preserve">6、</w:t>
      </w:r>
      <w:r>
        <w:rPr>
          <w:rFonts w:hint="eastAsia" w:ascii="宋体" w:hAnsi="宋体"/>
          <w:bCs/>
          <w:color w:val="000000" w:themeColor="text1"/>
          <w:sz w:val="24"/>
          <w:szCs w:val="24"/>
          <w:highlight w:val="none"/>
        </w:rPr>
        <w:t xml:space="preserve">当采购人或第三方等保测评机构通过漏扫、渗透或其他核验方式发现系统在架构、配置、功能、环境等方面存在安全漏洞时，</w:t>
      </w:r>
      <w:r>
        <w:rPr>
          <w:rFonts w:hint="eastAsia" w:ascii="宋体" w:hAnsi="宋体"/>
          <w:bCs/>
          <w:color w:val="000000" w:themeColor="text1"/>
          <w:sz w:val="24"/>
          <w:szCs w:val="24"/>
          <w:highlight w:val="none"/>
          <w:lang w:val="en-US" w:eastAsia="zh-CN"/>
        </w:rPr>
        <w:t xml:space="preserve">成交</w:t>
      </w:r>
      <w:r>
        <w:rPr>
          <w:rFonts w:hint="eastAsia" w:ascii="宋体" w:hAnsi="宋体"/>
          <w:bCs/>
          <w:color w:val="000000" w:themeColor="text1"/>
          <w:sz w:val="24"/>
          <w:szCs w:val="24"/>
          <w:highlight w:val="none"/>
        </w:rPr>
        <w:t xml:space="preserve">供应商应在</w:t>
      </w:r>
      <w:r>
        <w:rPr>
          <w:rFonts w:hint="eastAsia" w:ascii="宋体" w:hAnsi="宋体"/>
          <w:bCs/>
          <w:color w:val="000000" w:themeColor="text1"/>
          <w:sz w:val="24"/>
          <w:szCs w:val="24"/>
          <w:highlight w:val="none"/>
          <w:lang w:val="en-US" w:eastAsia="zh-CN"/>
        </w:rPr>
        <w:t xml:space="preserve">12</w:t>
      </w:r>
      <w:r>
        <w:rPr>
          <w:rFonts w:hint="eastAsia" w:ascii="宋体" w:hAnsi="宋体"/>
          <w:bCs/>
          <w:color w:val="000000" w:themeColor="text1"/>
          <w:sz w:val="24"/>
          <w:szCs w:val="24"/>
          <w:highlight w:val="none"/>
        </w:rPr>
        <w:t xml:space="preserve">小时之内配合完成修复工作。</w:t>
      </w:r>
      <w:r/>
    </w:p>
    <w:p>
      <w:pPr>
        <w:ind w:firstLine="480"/>
        <w:spacing w:line="480" w:lineRule="exact"/>
        <w:tabs>
          <w:tab w:val="left" w:pos="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val="en-US" w:eastAsia="zh-CN"/>
        </w:rPr>
        <w:t xml:space="preserve">7、</w:t>
      </w:r>
      <w:r>
        <w:rPr>
          <w:rFonts w:hint="eastAsia" w:ascii="宋体" w:hAnsi="宋体"/>
          <w:bCs/>
          <w:color w:val="000000" w:themeColor="text1"/>
          <w:sz w:val="24"/>
          <w:szCs w:val="24"/>
          <w:highlight w:val="none"/>
        </w:rPr>
        <w:t xml:space="preserve">系统内的资料不能因软件的故障而丢失，不能在未经授权的情况下被设立、修改和拷贝；软件设计要有定时自动的数据备份功能，手动/自动的恢复机制。</w:t>
      </w:r>
      <w:r/>
    </w:p>
    <w:p>
      <w:pPr>
        <w:ind w:firstLine="480"/>
        <w:spacing w:line="480" w:lineRule="exact"/>
        <w:tabs>
          <w:tab w:val="left" w:pos="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val="en-US" w:eastAsia="zh-CN"/>
        </w:rPr>
        <w:t xml:space="preserve">8、</w:t>
      </w:r>
      <w:r>
        <w:rPr>
          <w:rFonts w:hint="eastAsia" w:ascii="宋体" w:hAnsi="宋体"/>
          <w:bCs/>
          <w:color w:val="000000" w:themeColor="text1"/>
          <w:sz w:val="24"/>
          <w:szCs w:val="24"/>
          <w:highlight w:val="none"/>
        </w:rPr>
        <w:t xml:space="preserve">该系统部署在宿迁市政务云平台</w:t>
      </w:r>
      <w:r>
        <w:rPr>
          <w:rFonts w:hint="eastAsia" w:ascii="宋体" w:hAnsi="宋体"/>
          <w:bCs/>
          <w:color w:val="000000" w:themeColor="text1"/>
          <w:sz w:val="24"/>
          <w:szCs w:val="24"/>
          <w:highlight w:val="none"/>
          <w:lang w:val="en-US" w:eastAsia="zh-CN"/>
        </w:rPr>
        <w:t xml:space="preserve">部分</w:t>
      </w:r>
      <w:r>
        <w:rPr>
          <w:rFonts w:hint="eastAsia"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lang w:val="en-US" w:eastAsia="zh-CN"/>
        </w:rPr>
        <w:t xml:space="preserve">成交</w:t>
      </w:r>
      <w:r>
        <w:rPr>
          <w:rFonts w:hint="eastAsia" w:ascii="宋体" w:hAnsi="宋体"/>
          <w:bCs/>
          <w:color w:val="000000" w:themeColor="text1"/>
          <w:sz w:val="24"/>
          <w:szCs w:val="24"/>
          <w:highlight w:val="none"/>
        </w:rPr>
        <w:t xml:space="preserve">供应商需服从《宿迁市政务云管理暂行办法</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rPr>
        <w:t xml:space="preserve">关于建立健全政务数据共享运行机制加快推进数据有序共享的实施方案》等文件要求。</w:t>
      </w:r>
      <w:r/>
    </w:p>
    <w:p>
      <w:pPr>
        <w:ind w:firstLine="480"/>
        <w:spacing w:line="480" w:lineRule="exact"/>
        <w:tabs>
          <w:tab w:val="left" w:pos="0" w:leader="none"/>
        </w:tabs>
        <w:rPr>
          <w:rFonts w:hint="eastAsia" w:ascii="宋体" w:hAnsi="宋体"/>
          <w:bCs/>
          <w:color w:val="000000" w:themeColor="text1"/>
          <w:sz w:val="24"/>
          <w:szCs w:val="24"/>
          <w:highlight w:val="none"/>
          <w:lang w:val="en-US" w:eastAsia="zh-CN"/>
        </w:rPr>
      </w:pPr>
      <w:r>
        <w:rPr>
          <w:rFonts w:hint="eastAsia" w:ascii="宋体" w:hAnsi="宋体"/>
          <w:bCs/>
          <w:color w:val="000000" w:themeColor="text1"/>
          <w:sz w:val="24"/>
          <w:szCs w:val="24"/>
          <w:highlight w:val="none"/>
          <w:lang w:val="en-US" w:eastAsia="zh-CN"/>
        </w:rPr>
        <w:t xml:space="preserve">9、本项目的所有成果著作权等知识产权和所有权益归采购人所有。供应商不得引用、发表和向第三者提供，无论发生任何情形（包括但不限于合同提前终止或解除），采购人均有权力使用中标人的阶段性成果，并且采购人引用中标人的阶段性成果所完成的新的技术成果，属于采购人所有，采购人可依法享有就该项技术成果取得的经济权利和其他权利。</w:t>
      </w:r>
      <w:r/>
    </w:p>
    <w:p>
      <w:pPr>
        <w:ind w:firstLine="480"/>
        <w:spacing w:line="460" w:lineRule="exact"/>
        <w:rPr>
          <w:rFonts w:hint="eastAsia" w:cs="宋体" w:asciiTheme="minorEastAsia" w:hAnsiTheme="minorEastAsia"/>
          <w:bCs/>
          <w:sz w:val="24"/>
          <w:szCs w:val="24"/>
        </w:rPr>
      </w:pPr>
      <w:r>
        <w:rPr>
          <w:rFonts w:hint="eastAsia" w:ascii="宋体" w:hAnsi="宋体"/>
          <w:bCs/>
          <w:color w:val="000000" w:themeColor="text1"/>
          <w:sz w:val="24"/>
          <w:szCs w:val="24"/>
          <w:highlight w:val="none"/>
          <w:lang w:val="en-US" w:eastAsia="zh-CN"/>
        </w:rPr>
        <w:t xml:space="preserve">10、系统必须满足密评三级测试，若不满足需在采购人要求时限内完成整改。</w:t>
      </w:r>
      <w:r/>
    </w:p>
    <w:p>
      <w:pPr>
        <w:pStyle w:val="764"/>
        <w:ind w:firstLine="320"/>
        <w:spacing w:before="240" w:beforeAutospacing="0" w:after="240" w:afterAutospacing="0"/>
        <w:rPr>
          <w:rFonts w:hint="eastAsia" w:ascii="黑体" w:hAnsi="黑体" w:eastAsia="黑体" w:cs="黑体"/>
          <w:bCs/>
          <w:sz w:val="32"/>
          <w:lang w:bidi="ar"/>
        </w:rPr>
        <w:outlineLvl w:val="1"/>
      </w:pPr>
      <w:r>
        <w:rPr>
          <w:rFonts w:hint="eastAsia" w:ascii="黑体" w:hAnsi="黑体" w:eastAsia="黑体" w:cs="黑体"/>
          <w:bCs/>
          <w:sz w:val="32"/>
          <w:lang w:val="en-US" w:eastAsia="zh-CN" w:bidi="ar"/>
        </w:rPr>
        <w:t xml:space="preserve">七</w:t>
      </w:r>
      <w:r>
        <w:rPr>
          <w:rFonts w:hint="eastAsia" w:ascii="黑体" w:hAnsi="黑体" w:eastAsia="黑体" w:cs="黑体"/>
          <w:bCs/>
          <w:sz w:val="32"/>
          <w:lang w:bidi="ar"/>
        </w:rPr>
        <w:t xml:space="preserve">、接口对接要求</w:t>
      </w:r>
      <w:r/>
    </w:p>
    <w:p>
      <w:pPr>
        <w:ind w:firstLine="482"/>
        <w:spacing w:line="480" w:lineRule="exact"/>
        <w:rPr>
          <w:rFonts w:hint="default" w:cs="宋体" w:asciiTheme="minorEastAsia" w:hAnsiTheme="minorEastAsia"/>
          <w:bCs/>
          <w:sz w:val="24"/>
          <w:szCs w:val="24"/>
          <w:lang w:val="en-US" w:eastAsia="zh-CN"/>
        </w:rPr>
      </w:pPr>
      <w:r>
        <w:rPr>
          <w:rFonts w:hint="eastAsia" w:cs="宋体" w:asciiTheme="minorEastAsia" w:hAnsiTheme="minorEastAsia"/>
          <w:bCs/>
          <w:sz w:val="24"/>
          <w:szCs w:val="24"/>
          <w:lang w:val="en-US" w:eastAsia="zh-CN"/>
        </w:rPr>
        <w:t xml:space="preserve">1、本系统需与采购人现有业务系统及第三方平台实现数据交互与功能协同，具体对接范围包括但不限于以下：</w:t>
      </w:r>
      <w:r/>
    </w:p>
    <w:p>
      <w:pPr>
        <w:ind w:firstLine="482"/>
        <w:spacing w:line="480" w:lineRule="exact"/>
        <w:rPr>
          <w:rFonts w:hint="eastAsia" w:cs="宋体" w:asciiTheme="minorEastAsia" w:hAnsiTheme="minorEastAsia"/>
          <w:bCs/>
          <w:sz w:val="24"/>
          <w:szCs w:val="24"/>
          <w:lang w:val="en-US" w:eastAsia="zh-CN"/>
        </w:rPr>
      </w:pPr>
      <w:r>
        <w:rPr>
          <w:rFonts w:hint="eastAsia" w:cs="宋体" w:asciiTheme="minorEastAsia" w:hAnsiTheme="minorEastAsia"/>
          <w:bCs/>
          <w:sz w:val="24"/>
          <w:szCs w:val="24"/>
          <w:lang w:val="en-US" w:eastAsia="zh-CN"/>
        </w:rPr>
        <w:t xml:space="preserve">1.1 </w:t>
      </w:r>
      <w:r>
        <w:rPr>
          <w:rFonts w:hint="eastAsia" w:cs="宋体" w:asciiTheme="minorEastAsia" w:hAnsiTheme="minorEastAsia"/>
          <w:bCs/>
          <w:sz w:val="24"/>
          <w:szCs w:val="24"/>
        </w:rPr>
        <w:t xml:space="preserve">江苏省资产云平台：行政事业单位资产数据双向同步</w:t>
      </w:r>
      <w:r>
        <w:rPr>
          <w:rFonts w:hint="eastAsia" w:cs="宋体" w:asciiTheme="minorEastAsia" w:hAnsiTheme="minorEastAsia"/>
          <w:bCs/>
          <w:sz w:val="24"/>
          <w:szCs w:val="24"/>
          <w:lang w:val="en-US" w:eastAsia="zh-CN"/>
        </w:rPr>
        <w:t xml:space="preserve">等；</w:t>
      </w:r>
      <w:r/>
    </w:p>
    <w:p>
      <w:pPr>
        <w:ind w:firstLine="482"/>
        <w:spacing w:line="480" w:lineRule="exact"/>
        <w:rPr>
          <w:rFonts w:hint="eastAsia" w:cs="宋体" w:asciiTheme="minorEastAsia" w:hAnsiTheme="minorEastAsia"/>
          <w:bCs/>
          <w:sz w:val="24"/>
          <w:szCs w:val="24"/>
        </w:rPr>
      </w:pPr>
      <w:r>
        <w:rPr>
          <w:rFonts w:hint="eastAsia" w:cs="宋体" w:asciiTheme="minorEastAsia" w:hAnsiTheme="minorEastAsia"/>
          <w:bCs/>
          <w:sz w:val="24"/>
          <w:szCs w:val="24"/>
          <w:lang w:val="en-US" w:eastAsia="zh-CN"/>
        </w:rPr>
        <w:t xml:space="preserve">1.2 </w:t>
      </w:r>
      <w:r>
        <w:rPr>
          <w:rFonts w:hint="eastAsia" w:cs="宋体" w:asciiTheme="minorEastAsia" w:hAnsiTheme="minorEastAsia"/>
          <w:bCs/>
          <w:sz w:val="24"/>
          <w:szCs w:val="24"/>
        </w:rPr>
        <w:t xml:space="preserve">预算管理一体化系统：资产卡片与财务凭证自动比对，账账核对</w:t>
      </w:r>
      <w:r>
        <w:rPr>
          <w:rFonts w:hint="eastAsia" w:cs="宋体" w:asciiTheme="minorEastAsia" w:hAnsiTheme="minorEastAsia"/>
          <w:bCs/>
          <w:sz w:val="24"/>
          <w:szCs w:val="24"/>
          <w:lang w:val="en-US" w:eastAsia="zh-CN"/>
        </w:rPr>
        <w:t xml:space="preserve">等；</w:t>
      </w:r>
      <w:r/>
    </w:p>
    <w:p>
      <w:pPr>
        <w:ind w:firstLine="482"/>
        <w:spacing w:line="480" w:lineRule="exact"/>
        <w:rPr>
          <w:rFonts w:hint="eastAsia" w:cs="宋体" w:asciiTheme="minorEastAsia" w:hAnsiTheme="minorEastAsia"/>
          <w:bCs/>
          <w:sz w:val="24"/>
          <w:szCs w:val="24"/>
        </w:rPr>
      </w:pPr>
      <w:r>
        <w:rPr>
          <w:rFonts w:hint="eastAsia" w:cs="宋体" w:asciiTheme="minorEastAsia" w:hAnsiTheme="minorEastAsia"/>
          <w:bCs/>
          <w:sz w:val="24"/>
          <w:szCs w:val="24"/>
          <w:lang w:val="en-US" w:eastAsia="zh-CN"/>
        </w:rPr>
        <w:t xml:space="preserve">1.3 </w:t>
      </w:r>
      <w:r>
        <w:rPr>
          <w:rFonts w:hint="eastAsia" w:cs="宋体" w:asciiTheme="minorEastAsia" w:hAnsiTheme="minorEastAsia"/>
          <w:bCs/>
          <w:sz w:val="24"/>
          <w:szCs w:val="24"/>
        </w:rPr>
        <w:t xml:space="preserve">省国资智慧监管平台：市属国企资产同步上报</w:t>
      </w:r>
      <w:r>
        <w:rPr>
          <w:rFonts w:hint="eastAsia" w:cs="宋体" w:asciiTheme="minorEastAsia" w:hAnsiTheme="minorEastAsia"/>
          <w:bCs/>
          <w:sz w:val="24"/>
          <w:szCs w:val="24"/>
          <w:lang w:val="en-US" w:eastAsia="zh-CN"/>
        </w:rPr>
        <w:t xml:space="preserve">等；</w:t>
      </w:r>
      <w:r/>
    </w:p>
    <w:p>
      <w:pPr>
        <w:ind w:firstLine="482"/>
        <w:spacing w:line="480" w:lineRule="exact"/>
        <w:rPr>
          <w:rFonts w:hint="eastAsia" w:cs="宋体" w:asciiTheme="minorEastAsia" w:hAnsiTheme="minorEastAsia"/>
          <w:bCs/>
          <w:sz w:val="24"/>
          <w:szCs w:val="24"/>
        </w:rPr>
      </w:pPr>
      <w:r>
        <w:rPr>
          <w:rFonts w:hint="eastAsia" w:cs="宋体" w:asciiTheme="minorEastAsia" w:hAnsiTheme="minorEastAsia"/>
          <w:bCs/>
          <w:sz w:val="24"/>
          <w:szCs w:val="24"/>
          <w:lang w:val="en-US" w:eastAsia="zh-CN"/>
        </w:rPr>
        <w:t xml:space="preserve">1.4 </w:t>
      </w:r>
      <w:r>
        <w:rPr>
          <w:rFonts w:hint="eastAsia" w:cs="宋体" w:asciiTheme="minorEastAsia" w:hAnsiTheme="minorEastAsia"/>
          <w:bCs/>
          <w:sz w:val="24"/>
          <w:szCs w:val="24"/>
        </w:rPr>
        <w:t xml:space="preserve">宿迁市国资监管系统：国企存量资产数据接入</w:t>
      </w:r>
      <w:r>
        <w:rPr>
          <w:rFonts w:hint="eastAsia" w:cs="宋体" w:asciiTheme="minorEastAsia" w:hAnsiTheme="minorEastAsia"/>
          <w:bCs/>
          <w:sz w:val="24"/>
          <w:szCs w:val="24"/>
          <w:lang w:val="en-US" w:eastAsia="zh-CN"/>
        </w:rPr>
        <w:t xml:space="preserve">等；</w:t>
      </w:r>
      <w:r/>
    </w:p>
    <w:p>
      <w:pPr>
        <w:ind w:firstLine="482"/>
        <w:spacing w:line="480" w:lineRule="exact"/>
        <w:rPr>
          <w:rFonts w:hint="eastAsia" w:cs="宋体" w:asciiTheme="minorEastAsia" w:hAnsiTheme="minorEastAsia"/>
          <w:bCs/>
          <w:sz w:val="24"/>
          <w:szCs w:val="24"/>
        </w:rPr>
      </w:pPr>
      <w:r>
        <w:rPr>
          <w:rFonts w:hint="eastAsia" w:cs="宋体" w:asciiTheme="minorEastAsia" w:hAnsiTheme="minorEastAsia"/>
          <w:bCs/>
          <w:sz w:val="24"/>
          <w:szCs w:val="24"/>
          <w:lang w:val="en-US" w:eastAsia="zh-CN"/>
        </w:rPr>
        <w:t xml:space="preserve">1.5 </w:t>
      </w:r>
      <w:r>
        <w:rPr>
          <w:rFonts w:hint="eastAsia" w:cs="宋体" w:asciiTheme="minorEastAsia" w:hAnsiTheme="minorEastAsia"/>
          <w:bCs/>
          <w:sz w:val="24"/>
          <w:szCs w:val="24"/>
        </w:rPr>
        <w:t xml:space="preserve">市级机关事务公车平台：GPS 定位、用车、维保、违章全量数据接入</w:t>
      </w:r>
      <w:r>
        <w:rPr>
          <w:rFonts w:hint="eastAsia" w:cs="宋体" w:asciiTheme="minorEastAsia" w:hAnsiTheme="minorEastAsia"/>
          <w:bCs/>
          <w:sz w:val="24"/>
          <w:szCs w:val="24"/>
          <w:lang w:val="en-US" w:eastAsia="zh-CN"/>
        </w:rPr>
        <w:t xml:space="preserve">等；</w:t>
      </w:r>
      <w:r/>
    </w:p>
    <w:p>
      <w:pPr>
        <w:ind w:firstLine="482"/>
        <w:spacing w:line="480" w:lineRule="exact"/>
        <w:rPr>
          <w:rFonts w:hint="eastAsia" w:cs="宋体" w:asciiTheme="minorEastAsia" w:hAnsiTheme="minorEastAsia"/>
          <w:bCs/>
          <w:sz w:val="24"/>
          <w:szCs w:val="24"/>
        </w:rPr>
      </w:pPr>
      <w:r>
        <w:rPr>
          <w:rFonts w:hint="eastAsia" w:cs="宋体" w:asciiTheme="minorEastAsia" w:hAnsiTheme="minorEastAsia"/>
          <w:bCs/>
          <w:sz w:val="24"/>
          <w:szCs w:val="24"/>
          <w:lang w:val="en-US" w:eastAsia="zh-CN"/>
        </w:rPr>
        <w:t xml:space="preserve">1.6 </w:t>
      </w:r>
      <w:r>
        <w:rPr>
          <w:rFonts w:hint="eastAsia" w:cs="宋体" w:asciiTheme="minorEastAsia" w:hAnsiTheme="minorEastAsia"/>
          <w:bCs/>
          <w:sz w:val="24"/>
          <w:szCs w:val="24"/>
        </w:rPr>
        <w:t xml:space="preserve">省调剂共享平台（公物仓）：闲置资产调剂数据互通共享</w:t>
      </w:r>
      <w:r>
        <w:rPr>
          <w:rFonts w:hint="eastAsia" w:cs="宋体" w:asciiTheme="minorEastAsia" w:hAnsiTheme="minorEastAsia"/>
          <w:bCs/>
          <w:sz w:val="24"/>
          <w:szCs w:val="24"/>
          <w:lang w:val="en-US" w:eastAsia="zh-CN"/>
        </w:rPr>
        <w:t xml:space="preserve">等；</w:t>
      </w:r>
      <w:r/>
    </w:p>
    <w:p>
      <w:pPr>
        <w:ind w:firstLine="482"/>
        <w:spacing w:line="480" w:lineRule="exact"/>
        <w:rPr>
          <w:rFonts w:hint="eastAsia" w:cs="宋体" w:asciiTheme="minorEastAsia" w:hAnsiTheme="minorEastAsia"/>
          <w:bCs/>
          <w:sz w:val="24"/>
          <w:szCs w:val="24"/>
        </w:rPr>
      </w:pPr>
      <w:r>
        <w:rPr>
          <w:rFonts w:hint="eastAsia" w:cs="宋体" w:asciiTheme="minorEastAsia" w:hAnsiTheme="minorEastAsia"/>
          <w:bCs/>
          <w:sz w:val="24"/>
          <w:szCs w:val="24"/>
          <w:lang w:val="en-US" w:eastAsia="zh-CN"/>
        </w:rPr>
        <w:t xml:space="preserve">1.7 </w:t>
      </w:r>
      <w:r>
        <w:rPr>
          <w:rFonts w:hint="eastAsia" w:cs="宋体" w:asciiTheme="minorEastAsia" w:hAnsiTheme="minorEastAsia"/>
          <w:bCs/>
          <w:sz w:val="24"/>
          <w:szCs w:val="24"/>
        </w:rPr>
        <w:t xml:space="preserve">宿迁市非税收入收缴系统：资产出租、处置收益自动对账、到账校验</w:t>
      </w:r>
      <w:r>
        <w:rPr>
          <w:rFonts w:hint="eastAsia" w:cs="宋体" w:asciiTheme="minorEastAsia" w:hAnsiTheme="minorEastAsia"/>
          <w:bCs/>
          <w:sz w:val="24"/>
          <w:szCs w:val="24"/>
          <w:lang w:val="en-US" w:eastAsia="zh-CN"/>
        </w:rPr>
        <w:t xml:space="preserve">等；</w:t>
      </w:r>
      <w:r/>
    </w:p>
    <w:p>
      <w:pPr>
        <w:ind w:firstLine="482"/>
        <w:spacing w:line="480" w:lineRule="exact"/>
        <w:rPr>
          <w:rFonts w:hint="eastAsia" w:cs="宋体" w:asciiTheme="minorEastAsia" w:hAnsiTheme="minorEastAsia"/>
          <w:bCs/>
          <w:sz w:val="24"/>
          <w:szCs w:val="24"/>
          <w:lang w:val="en-US" w:eastAsia="zh-CN"/>
        </w:rPr>
      </w:pPr>
      <w:r>
        <w:rPr>
          <w:rFonts w:hint="eastAsia" w:cs="宋体" w:asciiTheme="minorEastAsia" w:hAnsiTheme="minorEastAsia"/>
          <w:bCs/>
          <w:sz w:val="24"/>
          <w:szCs w:val="24"/>
          <w:lang w:val="en-US" w:eastAsia="zh-CN"/>
        </w:rPr>
        <w:t xml:space="preserve">2、接口对接需遵循国家及行业相关标准规范，采用安全可靠的传输协议与数据格式，明确接口字段映射、数据校验规则及异常处理机制。</w:t>
      </w:r>
      <w:r/>
    </w:p>
    <w:p>
      <w:pPr>
        <w:ind w:firstLine="482"/>
        <w:spacing w:line="480" w:lineRule="exact"/>
        <w:rPr>
          <w:rFonts w:hint="eastAsia" w:cs="宋体" w:asciiTheme="minorEastAsia" w:hAnsiTheme="minorEastAsia"/>
          <w:bCs/>
          <w:sz w:val="24"/>
          <w:szCs w:val="24"/>
          <w:lang w:val="en-US" w:eastAsia="zh-CN"/>
        </w:rPr>
      </w:pPr>
      <w:r>
        <w:rPr>
          <w:rFonts w:hint="eastAsia" w:cs="宋体" w:asciiTheme="minorEastAsia" w:hAnsiTheme="minorEastAsia"/>
          <w:bCs/>
          <w:sz w:val="24"/>
          <w:szCs w:val="24"/>
          <w:lang w:val="en-US" w:eastAsia="zh-CN"/>
        </w:rPr>
        <w:t xml:space="preserve">3、供应商需提交详细的接口对接方案，明确各系统的对接优先级、时间计划及责任分工，并配合采购人完成接口联调测试，确保数据实时性、完整性与安全性。</w:t>
      </w:r>
      <w:r/>
    </w:p>
    <w:p>
      <w:pPr>
        <w:ind w:firstLine="482"/>
        <w:spacing w:line="480" w:lineRule="exact"/>
        <w:rPr>
          <w:rFonts w:hint="eastAsia" w:cs="宋体" w:asciiTheme="minorEastAsia" w:hAnsiTheme="minorEastAsia"/>
          <w:bCs/>
          <w:sz w:val="24"/>
          <w:szCs w:val="24"/>
          <w:lang w:val="en-US" w:eastAsia="zh-CN"/>
        </w:rPr>
      </w:pPr>
      <w:r>
        <w:rPr>
          <w:rFonts w:hint="eastAsia" w:cs="宋体" w:asciiTheme="minorEastAsia" w:hAnsiTheme="minorEastAsia"/>
          <w:bCs/>
          <w:sz w:val="24"/>
          <w:szCs w:val="24"/>
          <w:lang w:val="en-US" w:eastAsia="zh-CN"/>
        </w:rPr>
        <w:t xml:space="preserve">4、服务期内如遇系统升级或政策调整，供应商应主动配合采购人完成接口适配与回归测试，确保数据交互持续稳定。</w:t>
      </w:r>
      <w:r/>
    </w:p>
    <w:p>
      <w:pPr>
        <w:ind w:firstLine="482"/>
        <w:spacing w:line="480" w:lineRule="exact"/>
        <w:rPr>
          <w:rFonts w:hint="eastAsia" w:cs="宋体" w:asciiTheme="minorEastAsia" w:hAnsiTheme="minorEastAsia"/>
          <w:bCs/>
          <w:sz w:val="24"/>
          <w:szCs w:val="24"/>
          <w:lang w:val="en-US" w:eastAsia="zh-CN"/>
        </w:rPr>
      </w:pPr>
      <w:r>
        <w:rPr>
          <w:rFonts w:hint="eastAsia" w:cs="宋体" w:asciiTheme="minorEastAsia" w:hAnsiTheme="minorEastAsia"/>
          <w:bCs/>
          <w:sz w:val="24"/>
          <w:szCs w:val="24"/>
          <w:lang w:val="en-US" w:eastAsia="zh-CN"/>
        </w:rPr>
        <w:t xml:space="preserve">5、接口对接过程中产生的数据交互日志应留存备查，日志保存期限不少于三年，确保数据流转可追溯、可审计。</w:t>
      </w:r>
      <w:r/>
    </w:p>
    <w:p>
      <w:pPr>
        <w:ind w:firstLine="482"/>
        <w:spacing w:line="480" w:lineRule="exact"/>
        <w:rPr>
          <w:rFonts w:hint="eastAsia" w:cs="宋体" w:asciiTheme="minorEastAsia" w:hAnsiTheme="minorEastAsia"/>
          <w:bCs/>
          <w:sz w:val="24"/>
          <w:szCs w:val="24"/>
          <w:lang w:val="en-US" w:eastAsia="zh-CN"/>
        </w:rPr>
      </w:pPr>
      <w:r>
        <w:rPr>
          <w:rFonts w:hint="eastAsia" w:cs="宋体" w:asciiTheme="minorEastAsia" w:hAnsiTheme="minorEastAsia"/>
          <w:bCs/>
          <w:sz w:val="24"/>
          <w:szCs w:val="24"/>
          <w:lang w:val="en-US" w:eastAsia="zh-CN"/>
        </w:rPr>
        <w:t xml:space="preserve">6、供应商应确保接口对接过程中所涉及的数据传输符合《中华人民共和国数据安全法》及《中华人民共和国个人信息保护法》等相关法律法规要求，对传输数据进行加密处理，防止数据泄露、篡改或非法访问。如因供应商原因导致数据安全事故，供应商应承担相应责任，并采取有效措施及时补救。</w:t>
      </w:r>
      <w:r/>
    </w:p>
    <w:p>
      <w:pPr>
        <w:ind w:firstLine="482"/>
        <w:spacing w:line="480" w:lineRule="exact"/>
        <w:rPr>
          <w:rFonts w:hint="default" w:cs="宋体" w:asciiTheme="minorEastAsia" w:hAnsiTheme="minorEastAsia"/>
          <w:bCs/>
          <w:sz w:val="24"/>
          <w:szCs w:val="24"/>
          <w:lang w:val="en-US" w:eastAsia="zh-CN"/>
        </w:rPr>
      </w:pPr>
      <w:r>
        <w:rPr>
          <w:rFonts w:hint="eastAsia" w:cs="宋体" w:asciiTheme="minorEastAsia" w:hAnsiTheme="minorEastAsia"/>
          <w:bCs/>
          <w:sz w:val="24"/>
          <w:szCs w:val="24"/>
          <w:lang w:val="en-US" w:eastAsia="zh-CN"/>
        </w:rPr>
        <w:t xml:space="preserve">7、接口对接完成后，供应商需向采购人提交完整的接口文档，包括接口说明、字段字典、数据字典、调用示例、错误码说明及运维手册，并组织采购人相关技术人员进行接口运维培训，确保采购人具备独立开展日常运维与故障排查的能力。</w:t>
      </w:r>
      <w:r/>
    </w:p>
    <w:p>
      <w:pPr>
        <w:pStyle w:val="764"/>
        <w:ind w:firstLine="320"/>
        <w:spacing w:before="240" w:beforeAutospacing="0" w:after="240" w:afterAutospacing="0"/>
        <w:rPr>
          <w:rFonts w:hint="eastAsia" w:ascii="黑体" w:hAnsi="黑体" w:eastAsia="黑体" w:cs="黑体"/>
          <w:bCs/>
          <w:sz w:val="32"/>
          <w:lang w:bidi="ar"/>
        </w:rPr>
        <w:outlineLvl w:val="1"/>
      </w:pPr>
      <w:r>
        <w:rPr>
          <w:rFonts w:hint="eastAsia" w:ascii="黑体" w:hAnsi="黑体" w:eastAsia="黑体" w:cs="黑体"/>
          <w:bCs/>
          <w:sz w:val="32"/>
          <w:lang w:val="en-US" w:eastAsia="zh-CN" w:bidi="ar"/>
        </w:rPr>
        <w:t xml:space="preserve">八</w:t>
      </w:r>
      <w:r>
        <w:rPr>
          <w:rFonts w:hint="eastAsia" w:ascii="黑体" w:hAnsi="黑体" w:eastAsia="黑体" w:cs="黑体"/>
          <w:bCs/>
          <w:sz w:val="32"/>
          <w:lang w:bidi="ar"/>
        </w:rPr>
        <w:t xml:space="preserve">、培训要求</w:t>
      </w:r>
      <w:bookmarkEnd w:id="92"/>
      <w:r/>
      <w:bookmarkStart w:id="94" w:name="_Toc142578286"/>
      <w:r/>
      <w:r/>
    </w:p>
    <w:p>
      <w:pPr>
        <w:ind w:firstLine="482"/>
        <w:spacing w:line="480" w:lineRule="exact"/>
        <w:rPr>
          <w:rFonts w:hint="eastAsia" w:cs="宋体" w:asciiTheme="minorEastAsia" w:hAnsiTheme="minorEastAsia"/>
          <w:bCs/>
          <w:sz w:val="24"/>
          <w:szCs w:val="24"/>
        </w:rPr>
      </w:pPr>
      <w:r>
        <w:rPr>
          <w:rFonts w:hint="eastAsia" w:cs="宋体" w:asciiTheme="minorEastAsia" w:hAnsiTheme="minorEastAsia"/>
          <w:bCs/>
          <w:sz w:val="24"/>
          <w:szCs w:val="24"/>
        </w:rPr>
        <w:t xml:space="preserve">1</w:t>
      </w:r>
      <w:r>
        <w:rPr>
          <w:rFonts w:hint="eastAsia" w:cs="宋体" w:asciiTheme="minorEastAsia" w:hAnsiTheme="minorEastAsia"/>
          <w:bCs/>
          <w:sz w:val="24"/>
          <w:szCs w:val="24"/>
          <w:lang w:eastAsia="zh-CN"/>
        </w:rPr>
        <w:t xml:space="preserve">、</w:t>
      </w:r>
      <w:r>
        <w:rPr>
          <w:rFonts w:hint="eastAsia" w:cs="宋体" w:asciiTheme="minorEastAsia" w:hAnsiTheme="minorEastAsia"/>
          <w:bCs/>
          <w:sz w:val="24"/>
          <w:szCs w:val="24"/>
        </w:rPr>
        <w:t xml:space="preserve">培训内容：成交供应商应为采购人的使用人员开设培训课程，使其能够掌握系统的运行、检查、维护工作。</w:t>
      </w:r>
      <w:r/>
    </w:p>
    <w:p>
      <w:pPr>
        <w:ind w:firstLine="482"/>
        <w:spacing w:line="480" w:lineRule="exact"/>
        <w:rPr>
          <w:rFonts w:hint="eastAsia" w:cs="宋体" w:asciiTheme="minorEastAsia" w:hAnsiTheme="minorEastAsia"/>
          <w:bCs/>
          <w:sz w:val="24"/>
          <w:szCs w:val="24"/>
        </w:rPr>
      </w:pPr>
      <w:r>
        <w:rPr>
          <w:rFonts w:hint="eastAsia" w:cs="宋体" w:asciiTheme="minorEastAsia" w:hAnsiTheme="minorEastAsia"/>
          <w:bCs/>
          <w:sz w:val="24"/>
          <w:szCs w:val="24"/>
        </w:rPr>
        <w:t xml:space="preserve">2</w:t>
      </w:r>
      <w:r>
        <w:rPr>
          <w:rFonts w:hint="eastAsia" w:cs="宋体" w:asciiTheme="minorEastAsia" w:hAnsiTheme="minorEastAsia"/>
          <w:bCs/>
          <w:sz w:val="24"/>
          <w:szCs w:val="24"/>
          <w:lang w:eastAsia="zh-CN"/>
        </w:rPr>
        <w:t xml:space="preserve">、</w:t>
      </w:r>
      <w:r>
        <w:rPr>
          <w:rFonts w:hint="eastAsia" w:cs="宋体" w:asciiTheme="minorEastAsia" w:hAnsiTheme="minorEastAsia"/>
          <w:bCs/>
          <w:sz w:val="24"/>
          <w:szCs w:val="24"/>
        </w:rPr>
        <w:t xml:space="preserve">培训：提供不低于6人次培训，每次不少于1小时。</w:t>
      </w:r>
      <w:r/>
    </w:p>
    <w:p>
      <w:pPr>
        <w:ind w:firstLine="482"/>
        <w:spacing w:line="480" w:lineRule="exact"/>
        <w:rPr>
          <w:rFonts w:hint="eastAsia" w:cs="宋体" w:asciiTheme="minorEastAsia" w:hAnsiTheme="minorEastAsia"/>
          <w:bCs/>
          <w:sz w:val="24"/>
          <w:szCs w:val="24"/>
        </w:rPr>
      </w:pPr>
      <w:r>
        <w:rPr>
          <w:rFonts w:hint="eastAsia" w:cs="宋体" w:asciiTheme="minorEastAsia" w:hAnsiTheme="minorEastAsia"/>
          <w:bCs/>
          <w:sz w:val="24"/>
          <w:szCs w:val="24"/>
        </w:rPr>
        <w:t xml:space="preserve">3</w:t>
      </w:r>
      <w:r>
        <w:rPr>
          <w:rFonts w:hint="eastAsia" w:cs="宋体" w:asciiTheme="minorEastAsia" w:hAnsiTheme="minorEastAsia"/>
          <w:bCs/>
          <w:sz w:val="24"/>
          <w:szCs w:val="24"/>
          <w:lang w:eastAsia="zh-CN"/>
        </w:rPr>
        <w:t xml:space="preserve">、</w:t>
      </w:r>
      <w:r>
        <w:rPr>
          <w:rFonts w:hint="eastAsia" w:cs="宋体" w:asciiTheme="minorEastAsia" w:hAnsiTheme="minorEastAsia"/>
          <w:bCs/>
          <w:sz w:val="24"/>
          <w:szCs w:val="24"/>
        </w:rPr>
        <w:t xml:space="preserve">培训地点：由采购人指定，包括但不限于使用单位内。</w:t>
      </w:r>
      <w:r/>
    </w:p>
    <w:p>
      <w:pPr>
        <w:ind w:firstLine="482"/>
        <w:spacing w:line="480" w:lineRule="exact"/>
        <w:rPr>
          <w:rFonts w:hint="eastAsia" w:cs="宋体" w:asciiTheme="minorEastAsia" w:hAnsiTheme="minorEastAsia"/>
          <w:bCs/>
          <w:sz w:val="24"/>
          <w:szCs w:val="24"/>
        </w:rPr>
      </w:pPr>
      <w:r>
        <w:rPr>
          <w:rFonts w:hint="eastAsia" w:cs="宋体" w:asciiTheme="minorEastAsia" w:hAnsiTheme="minorEastAsia"/>
          <w:bCs/>
          <w:sz w:val="24"/>
          <w:szCs w:val="24"/>
        </w:rPr>
        <w:t xml:space="preserve">4</w:t>
      </w:r>
      <w:r>
        <w:rPr>
          <w:rFonts w:hint="eastAsia" w:cs="宋体" w:asciiTheme="minorEastAsia" w:hAnsiTheme="minorEastAsia"/>
          <w:bCs/>
          <w:sz w:val="24"/>
          <w:szCs w:val="24"/>
          <w:lang w:eastAsia="zh-CN"/>
        </w:rPr>
        <w:t xml:space="preserve">、</w:t>
      </w:r>
      <w:r>
        <w:rPr>
          <w:rFonts w:hint="eastAsia" w:cs="宋体" w:asciiTheme="minorEastAsia" w:hAnsiTheme="minorEastAsia"/>
          <w:bCs/>
          <w:sz w:val="24"/>
          <w:szCs w:val="24"/>
        </w:rPr>
        <w:t xml:space="preserve">培训方法及目标：成交供应商要制定详细的培训计划。要求根据用户的实际工作通过分角色、分流程、分系统进行全面培训，使各岗位相关人员（技术人员、使用人员等）全面熟练掌握与自己工作相关的软件应用，确保日常工作的顺利完成。</w:t>
      </w:r>
      <w:r/>
    </w:p>
    <w:p>
      <w:pPr>
        <w:ind w:firstLine="482"/>
        <w:spacing w:line="480" w:lineRule="exact"/>
        <w:rPr>
          <w:rFonts w:hint="eastAsia" w:cs="宋体" w:asciiTheme="minorEastAsia" w:hAnsiTheme="minorEastAsia"/>
          <w:bCs/>
          <w:sz w:val="24"/>
          <w:szCs w:val="24"/>
        </w:rPr>
      </w:pPr>
      <w:r>
        <w:rPr>
          <w:rFonts w:hint="eastAsia" w:cs="宋体" w:asciiTheme="minorEastAsia" w:hAnsiTheme="minorEastAsia"/>
          <w:bCs/>
          <w:sz w:val="24"/>
          <w:szCs w:val="24"/>
        </w:rPr>
        <w:t xml:space="preserve">5</w:t>
      </w:r>
      <w:r>
        <w:rPr>
          <w:rFonts w:hint="eastAsia" w:cs="宋体" w:asciiTheme="minorEastAsia" w:hAnsiTheme="minorEastAsia"/>
          <w:bCs/>
          <w:sz w:val="24"/>
          <w:szCs w:val="24"/>
          <w:lang w:eastAsia="zh-CN"/>
        </w:rPr>
        <w:t xml:space="preserve">、</w:t>
      </w:r>
      <w:r>
        <w:rPr>
          <w:rFonts w:hint="eastAsia" w:cs="宋体" w:asciiTheme="minorEastAsia" w:hAnsiTheme="minorEastAsia"/>
          <w:bCs/>
          <w:sz w:val="24"/>
          <w:szCs w:val="24"/>
        </w:rPr>
        <w:t xml:space="preserve">成交供应商应向接受培训人员提供技术资料、参考文献材料等。</w:t>
      </w:r>
      <w:r/>
    </w:p>
    <w:p>
      <w:pPr>
        <w:ind w:firstLine="482"/>
        <w:spacing w:line="480" w:lineRule="exact"/>
        <w:rPr>
          <w:rFonts w:hint="eastAsia" w:cs="宋体" w:asciiTheme="minorEastAsia" w:hAnsiTheme="minorEastAsia"/>
          <w:bCs/>
          <w:sz w:val="24"/>
          <w:szCs w:val="24"/>
        </w:rPr>
      </w:pPr>
      <w:r>
        <w:rPr>
          <w:rFonts w:hint="eastAsia" w:cs="宋体" w:asciiTheme="minorEastAsia" w:hAnsiTheme="minorEastAsia"/>
          <w:bCs/>
          <w:sz w:val="24"/>
          <w:szCs w:val="24"/>
        </w:rPr>
        <w:t xml:space="preserve">6</w:t>
      </w:r>
      <w:r>
        <w:rPr>
          <w:rFonts w:hint="eastAsia" w:cs="宋体" w:asciiTheme="minorEastAsia" w:hAnsiTheme="minorEastAsia"/>
          <w:bCs/>
          <w:sz w:val="24"/>
          <w:szCs w:val="24"/>
          <w:lang w:eastAsia="zh-CN"/>
        </w:rPr>
        <w:t xml:space="preserve">、</w:t>
      </w:r>
      <w:r>
        <w:rPr>
          <w:rFonts w:hint="eastAsia" w:cs="宋体" w:asciiTheme="minorEastAsia" w:hAnsiTheme="minorEastAsia"/>
          <w:bCs/>
          <w:sz w:val="24"/>
          <w:szCs w:val="24"/>
        </w:rPr>
        <w:t xml:space="preserve">成交供应商在培训活动产生教材费等费用一并计入投标总价中，投标总价如未报出明细价格，视为已包含在投标总价中。</w:t>
      </w:r>
      <w:r/>
    </w:p>
    <w:p>
      <w:pPr>
        <w:pStyle w:val="764"/>
        <w:ind w:firstLine="320"/>
        <w:spacing w:before="240" w:beforeAutospacing="0" w:after="240" w:afterAutospacing="0"/>
        <w:rPr>
          <w:rFonts w:hint="eastAsia" w:ascii="黑体" w:hAnsi="黑体" w:eastAsia="黑体" w:cs="黑体"/>
          <w:bCs/>
          <w:sz w:val="32"/>
          <w:lang w:bidi="ar"/>
        </w:rPr>
        <w:outlineLvl w:val="1"/>
      </w:pPr>
      <w:r>
        <w:rPr>
          <w:rFonts w:hint="eastAsia" w:ascii="黑体" w:hAnsi="黑体" w:eastAsia="黑体" w:cs="黑体"/>
          <w:bCs/>
          <w:sz w:val="32"/>
          <w:lang w:val="en-US" w:eastAsia="zh-CN" w:bidi="ar"/>
        </w:rPr>
        <w:t xml:space="preserve">九</w:t>
      </w:r>
      <w:r>
        <w:rPr>
          <w:rFonts w:hint="eastAsia" w:ascii="黑体" w:hAnsi="黑体" w:eastAsia="黑体" w:cs="黑体"/>
          <w:bCs/>
          <w:sz w:val="32"/>
          <w:lang w:bidi="ar"/>
        </w:rPr>
        <w:t xml:space="preserve">、验收要求</w:t>
      </w:r>
      <w:bookmarkEnd w:id="94"/>
      <w:r/>
      <w:r/>
    </w:p>
    <w:p>
      <w:pPr>
        <w:ind w:firstLine="482"/>
        <w:spacing w:line="480" w:lineRule="exact"/>
        <w:rPr>
          <w:rFonts w:hint="eastAsia" w:cs="宋体" w:asciiTheme="minorEastAsia" w:hAnsiTheme="minorEastAsia"/>
          <w:bCs/>
          <w:sz w:val="24"/>
          <w:szCs w:val="24"/>
        </w:rPr>
      </w:pPr>
      <w:r>
        <w:rPr>
          <w:rFonts w:hint="eastAsia" w:cs="宋体" w:asciiTheme="minorEastAsia" w:hAnsiTheme="minorEastAsia"/>
          <w:bCs/>
          <w:sz w:val="24"/>
          <w:szCs w:val="24"/>
        </w:rPr>
        <w:t xml:space="preserve">1、</w:t>
      </w:r>
      <w:r>
        <w:rPr>
          <w:rFonts w:hint="eastAsia" w:ascii="Times New Roman" w:hAnsi="Times New Roman" w:cs="仿宋"/>
          <w:sz w:val="24"/>
          <w:szCs w:val="24"/>
        </w:rPr>
        <w:t xml:space="preserve">合同签订后，成交供应商须在7个日历天内进场实施，3个月内完成系统建设并上线试运行</w:t>
      </w:r>
      <w:r>
        <w:rPr>
          <w:rFonts w:hint="default" w:ascii="Times New Roman" w:hAnsi="Times New Roman" w:eastAsia="宋体" w:cs="Times New Roman"/>
          <w:b w:val="0"/>
          <w:bCs/>
          <w:color w:val="auto"/>
          <w:sz w:val="24"/>
          <w:szCs w:val="24"/>
          <w:lang w:val="en-US" w:eastAsia="zh-CN" w:bidi="ar-SA"/>
        </w:rPr>
        <w:t xml:space="preserve">，随后进入 3 个月试运行。试运行出现问题的，成交供应商需在 5 日内调整完毕。试运行结束后</w:t>
      </w:r>
      <w:r>
        <w:rPr>
          <w:rFonts w:hint="eastAsia" w:ascii="Times New Roman" w:hAnsi="Times New Roman" w:eastAsia="宋体" w:cs="Times New Roman"/>
          <w:b w:val="0"/>
          <w:bCs/>
          <w:color w:val="auto"/>
          <w:sz w:val="24"/>
          <w:szCs w:val="24"/>
          <w:lang w:val="en-US" w:eastAsia="zh-CN" w:bidi="ar-SA"/>
        </w:rPr>
        <w:t xml:space="preserve">满</w:t>
      </w:r>
      <w:r>
        <w:rPr>
          <w:rFonts w:hint="eastAsia" w:ascii="Times New Roman" w:hAnsi="Times New Roman" w:cs="Times New Roman"/>
          <w:b w:val="0"/>
          <w:bCs/>
          <w:color w:val="auto"/>
          <w:sz w:val="24"/>
          <w:szCs w:val="24"/>
          <w:lang w:val="en-US" w:eastAsia="zh-CN" w:bidi="ar-SA"/>
        </w:rPr>
        <w:t xml:space="preserve">30个月</w:t>
      </w:r>
      <w:r>
        <w:rPr>
          <w:rFonts w:hint="default" w:ascii="Times New Roman" w:hAnsi="Times New Roman" w:eastAsia="宋体" w:cs="Times New Roman"/>
          <w:b w:val="0"/>
          <w:bCs/>
          <w:color w:val="auto"/>
          <w:sz w:val="24"/>
          <w:szCs w:val="24"/>
          <w:lang w:val="en-US" w:eastAsia="zh-CN" w:bidi="ar-SA"/>
        </w:rPr>
        <w:t xml:space="preserve">，采购人根据</w:t>
      </w:r>
      <w:r>
        <w:rPr>
          <w:rFonts w:hint="eastAsia" w:ascii="Times New Roman" w:hAnsi="Times New Roman" w:cs="Times New Roman"/>
          <w:b w:val="0"/>
          <w:bCs/>
          <w:color w:val="auto"/>
          <w:sz w:val="24"/>
          <w:szCs w:val="24"/>
          <w:lang w:val="en-US" w:eastAsia="zh-CN" w:bidi="ar-SA"/>
        </w:rPr>
        <w:t xml:space="preserve">采购内容</w:t>
      </w:r>
      <w:r>
        <w:rPr>
          <w:rFonts w:hint="default" w:ascii="Times New Roman" w:hAnsi="Times New Roman" w:eastAsia="宋体" w:cs="Times New Roman"/>
          <w:b w:val="0"/>
          <w:bCs/>
          <w:color w:val="auto"/>
          <w:sz w:val="24"/>
          <w:szCs w:val="24"/>
          <w:lang w:val="en-US" w:eastAsia="zh-CN" w:bidi="ar-SA"/>
        </w:rPr>
        <w:t xml:space="preserve">在 3 个工作日内组织验收，验收无误后出具验收报告。</w:t>
      </w:r>
      <w:r/>
    </w:p>
    <w:p>
      <w:pPr>
        <w:pStyle w:val="1494"/>
        <w:ind w:firstLine="482"/>
        <w:spacing w:line="480" w:lineRule="exact"/>
        <w:rPr>
          <w:rFonts w:hint="eastAsia" w:cs="宋体" w:asciiTheme="minorEastAsia" w:hAnsiTheme="minorEastAsia"/>
          <w:bCs/>
          <w:sz w:val="24"/>
          <w:szCs w:val="24"/>
        </w:rPr>
      </w:pPr>
      <w:r>
        <w:rPr>
          <w:rFonts w:hint="eastAsia" w:ascii="宋体" w:hAnsi="宋体" w:cs="宋体"/>
          <w:sz w:val="24"/>
          <w:szCs w:val="24"/>
        </w:rPr>
        <w:t xml:space="preserve">2、</w:t>
      </w:r>
      <w:r>
        <w:rPr>
          <w:rFonts w:hint="eastAsia" w:cs="宋体" w:asciiTheme="minorEastAsia" w:hAnsiTheme="minorEastAsia"/>
          <w:bCs/>
          <w:sz w:val="24"/>
          <w:szCs w:val="24"/>
        </w:rPr>
        <w:t xml:space="preserve">验收小组组建和验收程序符合《江苏省政府采购履约验收管理办法》（苏财规〔2024〕7号）规定，并满足采购人实际需求，</w:t>
      </w:r>
      <w:r>
        <w:rPr>
          <w:rFonts w:cs="宋体" w:asciiTheme="minorEastAsia" w:hAnsiTheme="minorEastAsia"/>
          <w:bCs/>
          <w:sz w:val="24"/>
          <w:szCs w:val="24"/>
        </w:rPr>
        <w:t xml:space="preserve">当</w:t>
      </w:r>
      <w:r>
        <w:rPr>
          <w:rFonts w:hint="eastAsia" w:cs="宋体" w:asciiTheme="minorEastAsia" w:hAnsiTheme="minorEastAsia"/>
          <w:bCs/>
          <w:sz w:val="24"/>
          <w:szCs w:val="24"/>
        </w:rPr>
        <w:t xml:space="preserve">标准、规范等不一致的，以要求高的为准。</w:t>
      </w:r>
      <w:r/>
    </w:p>
    <w:p>
      <w:pPr>
        <w:ind w:firstLine="480"/>
        <w:spacing w:line="480" w:lineRule="exact"/>
        <w:tabs>
          <w:tab w:val="left" w:pos="0" w:leader="none"/>
        </w:tabs>
        <w:rPr>
          <w:rFonts w:hint="eastAsia" w:eastAsia="宋体" w:cs="宋体" w:asciiTheme="minorEastAsia" w:hAnsiTheme="minorEastAsia"/>
          <w:bCs/>
          <w:sz w:val="24"/>
          <w:szCs w:val="24"/>
          <w:lang w:val="en-US" w:eastAsia="zh-CN"/>
        </w:rPr>
      </w:pPr>
      <w:r>
        <w:rPr>
          <w:rFonts w:hint="eastAsia" w:cs="宋体" w:asciiTheme="minorEastAsia" w:hAnsiTheme="minorEastAsia"/>
          <w:bCs/>
          <w:sz w:val="24"/>
          <w:szCs w:val="24"/>
          <w:lang w:val="en-US" w:eastAsia="zh-CN"/>
        </w:rPr>
        <w:t xml:space="preserve">3、</w:t>
      </w:r>
      <w:r>
        <w:rPr>
          <w:rFonts w:hint="eastAsia" w:ascii="宋体" w:hAnsi="宋体"/>
          <w:bCs/>
          <w:color w:val="000000" w:themeColor="text1"/>
          <w:sz w:val="24"/>
          <w:szCs w:val="24"/>
          <w:highlight w:val="none"/>
        </w:rPr>
        <w:t xml:space="preserve">验收标准：本项目验收工作由包括甲方、评审专家和用户体系代表等在内的项目验收小组来完成，具体成员和组织形式由甲方确定。验收标准以</w:t>
      </w:r>
      <w:r>
        <w:rPr>
          <w:rFonts w:hint="eastAsia" w:ascii="宋体" w:hAnsi="宋体"/>
          <w:bCs/>
          <w:color w:val="000000" w:themeColor="text1"/>
          <w:sz w:val="24"/>
          <w:szCs w:val="24"/>
          <w:highlight w:val="none"/>
          <w:lang w:eastAsia="zh-CN"/>
        </w:rPr>
        <w:t xml:space="preserve">采购</w:t>
      </w:r>
      <w:r>
        <w:rPr>
          <w:rFonts w:hint="eastAsia" w:ascii="宋体" w:hAnsi="宋体"/>
          <w:bCs/>
          <w:color w:val="000000" w:themeColor="text1"/>
          <w:sz w:val="24"/>
          <w:szCs w:val="24"/>
          <w:highlight w:val="none"/>
        </w:rPr>
        <w:t xml:space="preserve">文件、响应文件等为依据，乙方提供项目验收相关材料，包括：合同；用户需求说明书；概要设计说明书；数据及数据库设计要求说明书；详细设计说明书；用户手册；组织系统培训会系统接口规范等。</w:t>
      </w:r>
      <w:r/>
    </w:p>
    <w:p>
      <w:pPr>
        <w:pStyle w:val="764"/>
        <w:ind w:firstLine="320"/>
        <w:spacing w:before="240" w:beforeAutospacing="0" w:after="240" w:afterAutospacing="0"/>
        <w:rPr>
          <w:rFonts w:hint="eastAsia" w:ascii="黑体" w:hAnsi="黑体" w:eastAsia="黑体" w:cs="黑体"/>
          <w:bCs/>
          <w:sz w:val="32"/>
          <w:lang w:val="en-US" w:eastAsia="zh-CN" w:bidi="ar"/>
        </w:rPr>
        <w:outlineLvl w:val="1"/>
      </w:pPr>
      <w:r/>
      <w:bookmarkStart w:id="95" w:name="_Toc142578287"/>
      <w:r>
        <w:rPr>
          <w:rFonts w:hint="eastAsia" w:ascii="黑体" w:hAnsi="黑体" w:eastAsia="黑体" w:cs="黑体"/>
          <w:bCs/>
          <w:sz w:val="32"/>
          <w:lang w:bidi="ar"/>
        </w:rPr>
        <w:t xml:space="preserve">十、</w:t>
      </w:r>
      <w:bookmarkEnd w:id="95"/>
      <w:r>
        <w:rPr>
          <w:rFonts w:hint="eastAsia" w:ascii="黑体" w:hAnsi="黑体" w:eastAsia="黑体" w:cs="黑体"/>
          <w:bCs/>
          <w:sz w:val="32"/>
          <w:lang w:val="en-US" w:eastAsia="zh-CN" w:bidi="ar"/>
        </w:rPr>
        <w:t xml:space="preserve">售后运维</w:t>
      </w:r>
      <w:r>
        <w:rPr>
          <w:rFonts w:hint="eastAsia" w:ascii="黑体" w:hAnsi="黑体" w:eastAsia="黑体" w:cs="黑体"/>
          <w:bCs/>
          <w:sz w:val="32"/>
          <w:lang w:bidi="ar"/>
        </w:rPr>
        <w:t xml:space="preserve">服务</w:t>
      </w:r>
      <w:r>
        <w:rPr>
          <w:rFonts w:hint="eastAsia" w:ascii="黑体" w:hAnsi="黑体" w:eastAsia="黑体" w:cs="黑体"/>
          <w:bCs/>
          <w:sz w:val="32"/>
          <w:lang w:val="en-US" w:eastAsia="zh-CN" w:bidi="ar"/>
        </w:rPr>
        <w:t xml:space="preserve">要求</w:t>
      </w:r>
      <w:r/>
    </w:p>
    <w:p>
      <w:pPr>
        <w:ind w:firstLine="482"/>
        <w:spacing w:line="480" w:lineRule="exact"/>
        <w:rPr>
          <w:rFonts w:hint="eastAsia" w:cs="宋体" w:asciiTheme="minorEastAsia" w:hAnsiTheme="minorEastAsia"/>
          <w:bCs/>
          <w:sz w:val="24"/>
          <w:szCs w:val="24"/>
        </w:rPr>
      </w:pPr>
      <w:r>
        <w:rPr>
          <w:rFonts w:hint="eastAsia" w:cs="宋体" w:asciiTheme="minorEastAsia" w:hAnsiTheme="minorEastAsia"/>
          <w:bCs/>
          <w:sz w:val="24"/>
          <w:szCs w:val="24"/>
        </w:rPr>
        <w:t xml:space="preserve">1</w:t>
      </w:r>
      <w:r>
        <w:rPr>
          <w:rFonts w:hint="eastAsia" w:cs="宋体" w:asciiTheme="minorEastAsia" w:hAnsiTheme="minorEastAsia"/>
          <w:bCs/>
          <w:sz w:val="24"/>
          <w:szCs w:val="24"/>
          <w:lang w:eastAsia="zh-CN"/>
        </w:rPr>
        <w:t xml:space="preserve">、</w:t>
      </w:r>
      <w:r>
        <w:rPr>
          <w:rFonts w:hint="eastAsia" w:cs="宋体" w:asciiTheme="minorEastAsia" w:hAnsiTheme="minorEastAsia"/>
          <w:bCs/>
          <w:sz w:val="24"/>
          <w:szCs w:val="24"/>
        </w:rPr>
        <w:t xml:space="preserve">基础设施维护：每月定期对系统运行情况进行检查，包括服务器巡检、数据库维护、数据备份检查等，保障系统稳定运行。</w:t>
      </w:r>
      <w:r/>
    </w:p>
    <w:p>
      <w:pPr>
        <w:ind w:firstLine="482"/>
        <w:spacing w:line="480" w:lineRule="exact"/>
        <w:rPr>
          <w:rFonts w:hint="eastAsia" w:cs="宋体" w:asciiTheme="minorEastAsia" w:hAnsiTheme="minorEastAsia"/>
          <w:bCs/>
          <w:sz w:val="24"/>
          <w:szCs w:val="24"/>
        </w:rPr>
      </w:pPr>
      <w:r>
        <w:rPr>
          <w:rFonts w:hint="eastAsia" w:cs="宋体" w:asciiTheme="minorEastAsia" w:hAnsiTheme="minorEastAsia"/>
          <w:bCs/>
          <w:sz w:val="24"/>
          <w:szCs w:val="24"/>
        </w:rPr>
        <w:t xml:space="preserve">2</w:t>
      </w:r>
      <w:r>
        <w:rPr>
          <w:rFonts w:hint="eastAsia" w:cs="宋体" w:asciiTheme="minorEastAsia" w:hAnsiTheme="minorEastAsia"/>
          <w:bCs/>
          <w:sz w:val="24"/>
          <w:szCs w:val="24"/>
          <w:lang w:eastAsia="zh-CN"/>
        </w:rPr>
        <w:t xml:space="preserve">、</w:t>
      </w:r>
      <w:r>
        <w:rPr>
          <w:rFonts w:hint="eastAsia" w:cs="宋体" w:asciiTheme="minorEastAsia" w:hAnsiTheme="minorEastAsia"/>
          <w:bCs/>
          <w:sz w:val="24"/>
          <w:szCs w:val="24"/>
        </w:rPr>
        <w:t xml:space="preserve">故障管理：在维护期发生导致系统无法正常运行、影响业务正常开展的故障时，接到采购人反馈后，在10分钟内响应，在2小时内快速解决问题，若无法通过远程或网络解决问题，工程师最短在48小时内到达现场开始问题的排查。系统运行中一旦发现异常情况，成交供应商应立即启动故障评估流程，精准定位出现故障的局部模块或功能，并判断其对整体业务的影响程度，同时记录故障发生的时间、环境信息及初步的故障表现特征，为后续的应急处理提供详细的数据支持，确保相关人员能够在第一时间收到通知并采取相应行动，为后续的应急处置争取宝贵的时间窗口。</w:t>
      </w:r>
      <w:r/>
    </w:p>
    <w:p>
      <w:pPr>
        <w:ind w:firstLine="482"/>
        <w:spacing w:line="480" w:lineRule="exact"/>
        <w:rPr>
          <w:rFonts w:hint="eastAsia" w:cs="宋体" w:asciiTheme="minorEastAsia" w:hAnsiTheme="minorEastAsia"/>
          <w:bCs/>
          <w:sz w:val="24"/>
          <w:szCs w:val="24"/>
        </w:rPr>
      </w:pPr>
      <w:r>
        <w:rPr>
          <w:rFonts w:hint="eastAsia" w:cs="宋体" w:asciiTheme="minorEastAsia" w:hAnsiTheme="minorEastAsia"/>
          <w:bCs/>
          <w:sz w:val="24"/>
          <w:szCs w:val="24"/>
        </w:rPr>
        <w:t xml:space="preserve">3</w:t>
      </w:r>
      <w:r>
        <w:rPr>
          <w:rFonts w:hint="eastAsia" w:cs="宋体" w:asciiTheme="minorEastAsia" w:hAnsiTheme="minorEastAsia"/>
          <w:bCs/>
          <w:sz w:val="24"/>
          <w:szCs w:val="24"/>
          <w:lang w:eastAsia="zh-CN"/>
        </w:rPr>
        <w:t xml:space="preserve">、</w:t>
      </w:r>
      <w:r>
        <w:rPr>
          <w:rFonts w:hint="eastAsia" w:cs="宋体" w:asciiTheme="minorEastAsia" w:hAnsiTheme="minorEastAsia"/>
          <w:bCs/>
          <w:sz w:val="24"/>
          <w:szCs w:val="24"/>
        </w:rPr>
        <w:t xml:space="preserve">根据用户的反馈意见，优化软件性能和功能。完善软件原有功能，对二级以下功能模块的增加及功能模块的零星修改，须按要求做好相应优化和调整工作。</w:t>
      </w:r>
      <w:r/>
    </w:p>
    <w:p>
      <w:pPr>
        <w:ind w:firstLine="482"/>
        <w:spacing w:line="480" w:lineRule="exact"/>
        <w:rPr>
          <w:rFonts w:hint="eastAsia" w:cs="宋体" w:asciiTheme="minorEastAsia" w:hAnsiTheme="minorEastAsia"/>
          <w:bCs/>
          <w:sz w:val="24"/>
          <w:szCs w:val="24"/>
        </w:rPr>
      </w:pPr>
      <w:r>
        <w:rPr>
          <w:rFonts w:hint="eastAsia" w:cs="宋体" w:asciiTheme="minorEastAsia" w:hAnsiTheme="minorEastAsia"/>
          <w:bCs/>
          <w:sz w:val="24"/>
          <w:szCs w:val="24"/>
        </w:rPr>
        <w:t xml:space="preserve">4</w:t>
      </w:r>
      <w:r>
        <w:rPr>
          <w:rFonts w:hint="eastAsia" w:cs="宋体" w:asciiTheme="minorEastAsia" w:hAnsiTheme="minorEastAsia"/>
          <w:bCs/>
          <w:sz w:val="24"/>
          <w:szCs w:val="24"/>
          <w:lang w:eastAsia="zh-CN"/>
        </w:rPr>
        <w:t xml:space="preserve">、</w:t>
      </w:r>
      <w:r>
        <w:rPr>
          <w:rFonts w:hint="eastAsia" w:cs="宋体" w:asciiTheme="minorEastAsia" w:hAnsiTheme="minorEastAsia"/>
          <w:bCs/>
          <w:sz w:val="24"/>
          <w:szCs w:val="24"/>
        </w:rPr>
        <w:t xml:space="preserve">若有政策性要求导致系统模块、功能等产生变更，需要对系统进行开发、升级、改造时，成交供应商应无条件配合响应。若上述因素导致系统核心模块、核心功能、架构等发生重大变更或需要实质性新增功能，则此类更改服务双方另行协商。</w:t>
      </w:r>
      <w:r/>
    </w:p>
    <w:p>
      <w:pPr>
        <w:ind w:firstLine="482"/>
        <w:spacing w:line="480" w:lineRule="exact"/>
        <w:rPr>
          <w:rFonts w:hint="default" w:eastAsia="宋体" w:cs="宋体" w:asciiTheme="minorEastAsia" w:hAnsiTheme="minorEastAsia"/>
          <w:bCs/>
          <w:sz w:val="24"/>
          <w:szCs w:val="24"/>
          <w:lang w:val="en-US" w:eastAsia="zh-CN"/>
        </w:rPr>
      </w:pPr>
      <w:r>
        <w:rPr>
          <w:rFonts w:hint="eastAsia" w:cs="宋体" w:asciiTheme="minorEastAsia" w:hAnsiTheme="minorEastAsia"/>
          <w:bCs/>
          <w:sz w:val="24"/>
          <w:szCs w:val="24"/>
          <w:lang w:val="en-US" w:eastAsia="zh-CN"/>
        </w:rPr>
        <w:t xml:space="preserve">5、涉及到人工智能应用场景，供应商需遵循国家及江苏省关于人工智能技术应用的相关法律法规和政策要求，确保算法安全可控、数据使用合规，并建立完善的算法审计与数据安全机制，定期对模型输出进行人工复核与偏差检测，确保人工智能应用结果准确、可靠、公平，并保留相关复核记录备查。同时，在运维期内因需要供应商提供人工智能相关服务或模型迭代升级时，应提前向采购人提交变更说明及风险评估报告，经采购人书面确认后方可实施，并确保升级过程不影响系统正常服务。</w:t>
      </w:r>
      <w:r/>
    </w:p>
    <w:p>
      <w:pPr>
        <w:pStyle w:val="764"/>
        <w:ind w:firstLine="320"/>
        <w:spacing w:before="240" w:beforeAutospacing="0" w:after="240" w:afterAutospacing="0"/>
        <w:rPr>
          <w:rFonts w:hint="eastAsia" w:ascii="黑体" w:hAnsi="黑体" w:eastAsia="黑体" w:cs="黑体"/>
          <w:bCs/>
          <w:sz w:val="32"/>
          <w:lang w:bidi="ar"/>
        </w:rPr>
        <w:outlineLvl w:val="1"/>
      </w:pPr>
      <w:r>
        <w:rPr>
          <w:rFonts w:hint="eastAsia" w:ascii="黑体" w:hAnsi="黑体" w:eastAsia="黑体" w:cs="黑体"/>
          <w:bCs/>
          <w:sz w:val="32"/>
          <w:lang w:bidi="ar"/>
        </w:rPr>
        <w:t xml:space="preserve">十</w:t>
      </w:r>
      <w:r>
        <w:rPr>
          <w:rFonts w:hint="eastAsia" w:ascii="黑体" w:hAnsi="黑体" w:eastAsia="黑体" w:cs="黑体"/>
          <w:bCs/>
          <w:sz w:val="32"/>
          <w:lang w:val="en-US" w:eastAsia="zh-CN" w:bidi="ar"/>
        </w:rPr>
        <w:t xml:space="preserve">一</w:t>
      </w:r>
      <w:r>
        <w:rPr>
          <w:rFonts w:hint="eastAsia" w:ascii="黑体" w:hAnsi="黑体" w:eastAsia="黑体" w:cs="黑体"/>
          <w:bCs/>
          <w:sz w:val="32"/>
          <w:lang w:bidi="ar"/>
        </w:rPr>
        <w:t xml:space="preserve">、数据更新要求</w:t>
      </w:r>
      <w:r/>
    </w:p>
    <w:p>
      <w:pPr>
        <w:ind w:firstLine="482"/>
        <w:spacing w:line="480" w:lineRule="exact"/>
        <w:rPr>
          <w:rFonts w:hint="eastAsia" w:cs="宋体" w:asciiTheme="minorEastAsia" w:hAnsiTheme="minorEastAsia"/>
          <w:bCs/>
          <w:sz w:val="24"/>
          <w:szCs w:val="24"/>
          <w:lang w:val="en-US" w:eastAsia="zh-CN"/>
        </w:rPr>
      </w:pPr>
      <w:r>
        <w:rPr>
          <w:rFonts w:hint="eastAsia" w:cs="宋体" w:asciiTheme="minorEastAsia" w:hAnsiTheme="minorEastAsia"/>
          <w:bCs/>
          <w:sz w:val="24"/>
          <w:szCs w:val="24"/>
          <w:lang w:eastAsia="zh-CN"/>
        </w:rPr>
        <w:t xml:space="preserve">1、项目本地存储的数据与</w:t>
      </w:r>
      <w:r>
        <w:rPr>
          <w:rFonts w:hint="eastAsia" w:cs="宋体" w:asciiTheme="minorEastAsia" w:hAnsiTheme="minorEastAsia"/>
          <w:bCs/>
          <w:sz w:val="24"/>
          <w:szCs w:val="24"/>
          <w:lang w:val="en-US" w:eastAsia="zh-CN"/>
        </w:rPr>
        <w:t xml:space="preserve">对接的源端的数据差异期限不能超过一天。即项目系统内所保存的数据信息与源端系统数据之间，须确保同步的及时性，其数据延迟时间应严格限制在一天以内。</w:t>
      </w:r>
      <w:r/>
    </w:p>
    <w:p>
      <w:pPr>
        <w:ind w:firstLine="482"/>
        <w:spacing w:line="480" w:lineRule="exact"/>
        <w:rPr>
          <w:rFonts w:hint="eastAsia" w:eastAsia="宋体"/>
          <w:lang w:eastAsia="zh-CN"/>
        </w:rPr>
      </w:pPr>
      <w:r>
        <w:rPr>
          <w:rFonts w:hint="eastAsia" w:cs="宋体" w:asciiTheme="minorEastAsia" w:hAnsiTheme="minorEastAsia"/>
          <w:bCs/>
          <w:sz w:val="24"/>
          <w:szCs w:val="24"/>
          <w:lang w:eastAsia="zh-CN"/>
        </w:rPr>
        <w:t xml:space="preserve">2、数据更新后，用户可开展个性化的数据统计分析。系统应根据最新数据，支撑用户按照自身业务需求进行灵活的数据汇总、比对与梳理，以满足差异化管理需要。</w:t>
      </w:r>
      <w:r/>
    </w:p>
    <w:p>
      <w:pPr>
        <w:ind w:firstLine="482"/>
        <w:spacing w:line="480" w:lineRule="exact"/>
        <w:rPr>
          <w:rFonts w:hint="eastAsia" w:cs="宋体" w:asciiTheme="minorEastAsia" w:hAnsiTheme="minorEastAsia"/>
          <w:bCs/>
          <w:sz w:val="24"/>
          <w:szCs w:val="24"/>
          <w:lang w:val="en-US" w:eastAsia="zh-CN"/>
        </w:rPr>
      </w:pPr>
      <w:r>
        <w:rPr>
          <w:rFonts w:hint="eastAsia" w:cs="宋体" w:asciiTheme="minorEastAsia" w:hAnsiTheme="minorEastAsia"/>
          <w:bCs/>
          <w:sz w:val="24"/>
          <w:szCs w:val="24"/>
          <w:lang w:val="en-US" w:eastAsia="zh-CN"/>
        </w:rPr>
        <w:t xml:space="preserve">3、数据更新过程中，若因网络、接口或源端系统异常导致同步失败，成交供应商应及时发现并记录失败任务，并自动触发重试机制，连续重试三次仍无法成功的，应立即转入人工处理流程，通知相关技术人员介入排查。</w:t>
      </w:r>
      <w:r/>
    </w:p>
    <w:p>
      <w:pPr>
        <w:ind w:firstLine="482"/>
        <w:spacing w:line="480" w:lineRule="exact"/>
        <w:rPr>
          <w:rFonts w:hint="eastAsia" w:cs="宋体" w:asciiTheme="minorEastAsia" w:hAnsiTheme="minorEastAsia"/>
          <w:bCs/>
          <w:sz w:val="24"/>
          <w:szCs w:val="24"/>
          <w:lang w:val="en-US" w:eastAsia="zh-CN"/>
        </w:rPr>
      </w:pPr>
      <w:r>
        <w:rPr>
          <w:rFonts w:hint="eastAsia" w:cs="宋体" w:asciiTheme="minorEastAsia" w:hAnsiTheme="minorEastAsia"/>
          <w:bCs/>
          <w:sz w:val="24"/>
          <w:szCs w:val="24"/>
          <w:lang w:val="en-US" w:eastAsia="zh-CN"/>
        </w:rPr>
        <w:t xml:space="preserve">4、供应商应建立数据更新的监控与巡检机制，定期核查数据同步状态与更新日志，主动识别潜在的数据异常或同步隐患，并在发现异常时第一时间向采购人报告，同时采取必要的补救措施，确保数据完整性与一致性。</w:t>
      </w:r>
      <w:r/>
    </w:p>
    <w:p>
      <w:pPr>
        <w:ind w:firstLine="482"/>
        <w:spacing w:line="480" w:lineRule="exact"/>
        <w:rPr>
          <w:rFonts w:hint="eastAsia" w:cs="宋体" w:asciiTheme="minorEastAsia" w:hAnsiTheme="minorEastAsia"/>
          <w:bCs/>
          <w:sz w:val="24"/>
          <w:szCs w:val="24"/>
          <w:lang w:val="en-US" w:eastAsia="zh-CN"/>
        </w:rPr>
      </w:pPr>
      <w:r>
        <w:rPr>
          <w:rFonts w:hint="eastAsia" w:cs="宋体" w:asciiTheme="minorEastAsia" w:hAnsiTheme="minorEastAsia"/>
          <w:bCs/>
          <w:sz w:val="24"/>
          <w:szCs w:val="24"/>
          <w:lang w:val="en-US" w:eastAsia="zh-CN"/>
        </w:rPr>
        <w:t xml:space="preserve">5、数据更新须遵循“先备份、后更新”的原则，任何一次批量数据写入或结构变更操作前，必须先完成数据备份，并验证备份数据的完整性与可恢复性，方可执行更新操作。</w:t>
      </w:r>
      <w:r/>
    </w:p>
    <w:p>
      <w:pPr>
        <w:ind w:firstLine="482"/>
        <w:spacing w:line="480" w:lineRule="exact"/>
        <w:rPr>
          <w:rFonts w:hint="eastAsia" w:cs="宋体" w:asciiTheme="minorEastAsia" w:hAnsiTheme="minorEastAsia"/>
          <w:bCs/>
          <w:sz w:val="24"/>
          <w:szCs w:val="24"/>
          <w:lang w:val="en-US" w:eastAsia="zh-CN"/>
        </w:rPr>
      </w:pPr>
      <w:r>
        <w:rPr>
          <w:rFonts w:hint="eastAsia" w:cs="宋体" w:asciiTheme="minorEastAsia" w:hAnsiTheme="minorEastAsia"/>
          <w:bCs/>
          <w:sz w:val="24"/>
          <w:szCs w:val="24"/>
          <w:lang w:val="en-US" w:eastAsia="zh-CN"/>
        </w:rPr>
        <w:t xml:space="preserve">6、数据更新完成后，系统应自动生成更新日志，记录更新时间、数据量、操作人员及执行结果等关键信息，并支持按时间范围、数据类型等条件进行查询与导出，以便采购人随时核查数据更新的全过程。</w:t>
      </w:r>
      <w:r/>
    </w:p>
    <w:p>
      <w:pPr>
        <w:ind w:firstLine="482"/>
        <w:spacing w:line="480" w:lineRule="exact"/>
        <w:rPr>
          <w:rFonts w:hint="default" w:cs="宋体" w:asciiTheme="minorEastAsia" w:hAnsiTheme="minorEastAsia"/>
          <w:bCs/>
          <w:sz w:val="24"/>
          <w:szCs w:val="24"/>
          <w:lang w:val="en-US" w:eastAsia="zh-CN"/>
        </w:rPr>
      </w:pPr>
      <w:r>
        <w:rPr>
          <w:rFonts w:hint="eastAsia" w:cs="宋体" w:asciiTheme="minorEastAsia" w:hAnsiTheme="minorEastAsia"/>
          <w:bCs/>
          <w:sz w:val="24"/>
          <w:szCs w:val="24"/>
          <w:lang w:val="en-US" w:eastAsia="zh-CN"/>
        </w:rPr>
        <w:t xml:space="preserve">7、供应商应确保数据更新过程中的安全防护措施到位，对敏感数据实施加密传输与存储，并严格限制访问权限，防止数据在更新环节发生泄露或未授权篡改。涉及个人信息或重要业务数据的更新操作，应留存操作审计记录，明确操作人员身份与操作时间，确保全过程可追溯、可审计。同时，供应商应定期对数据更新全流程开展安全自查，评估潜在风险点，并将自查结果纳入运维报告向采购人反馈。</w:t>
      </w:r>
      <w:r/>
    </w:p>
    <w:p>
      <w:pPr>
        <w:pStyle w:val="764"/>
        <w:spacing w:before="240" w:beforeAutospacing="0" w:after="240" w:afterAutospacing="0"/>
        <w:rPr>
          <w:rFonts w:hint="eastAsia" w:ascii="黑体" w:hAnsi="黑体" w:eastAsia="黑体" w:cs="黑体"/>
          <w:bCs/>
          <w:sz w:val="32"/>
          <w:lang w:val="en-US" w:eastAsia="zh-CN" w:bidi="ar"/>
        </w:rPr>
        <w:outlineLvl w:val="1"/>
      </w:pPr>
      <w:r>
        <w:rPr>
          <w:rFonts w:hint="eastAsia" w:ascii="黑体" w:hAnsi="黑体" w:eastAsia="黑体" w:cs="黑体"/>
          <w:bCs/>
          <w:sz w:val="32"/>
          <w:lang w:val="en-US" w:eastAsia="zh-CN" w:bidi="ar"/>
        </w:rPr>
        <w:t xml:space="preserve">十二</w:t>
      </w:r>
      <w:r>
        <w:rPr>
          <w:rFonts w:hint="eastAsia" w:ascii="黑体" w:hAnsi="黑体" w:eastAsia="黑体" w:cs="黑体"/>
          <w:bCs/>
          <w:sz w:val="32"/>
          <w:lang w:bidi="ar"/>
        </w:rPr>
        <w:t xml:space="preserve">、</w:t>
      </w:r>
      <w:r>
        <w:rPr>
          <w:rFonts w:hint="eastAsia" w:ascii="黑体" w:hAnsi="黑体" w:eastAsia="黑体" w:cs="黑体"/>
          <w:bCs/>
          <w:sz w:val="32"/>
          <w:lang w:val="en-US" w:eastAsia="zh-CN" w:bidi="ar"/>
        </w:rPr>
        <w:t xml:space="preserve">其他</w:t>
      </w:r>
      <w:r/>
    </w:p>
    <w:p>
      <w:pPr>
        <w:ind w:firstLine="480"/>
        <w:rPr>
          <w:rFonts w:hint="eastAsia" w:ascii="宋体" w:hAnsi="宋体" w:cs="宋体"/>
          <w:b/>
          <w:color w:val="000000"/>
          <w:sz w:val="24"/>
        </w:rPr>
        <w:outlineLvl w:val="2"/>
      </w:pPr>
      <w:r>
        <w:rPr>
          <w:rFonts w:hint="eastAsia" w:ascii="宋体" w:hAnsi="宋体" w:cs="宋体"/>
          <w:b/>
          <w:color w:val="000000"/>
          <w:sz w:val="24"/>
        </w:rPr>
        <w:t xml:space="preserve">（一）</w:t>
      </w:r>
      <w:r>
        <w:rPr>
          <w:rFonts w:hint="eastAsia" w:ascii="宋体" w:hAnsi="宋体" w:cs="宋体"/>
          <w:b/>
          <w:color w:val="000000"/>
          <w:sz w:val="24"/>
          <w:lang w:val="en-US" w:eastAsia="zh-CN"/>
        </w:rPr>
        <w:t xml:space="preserve">工期</w:t>
      </w:r>
      <w:r>
        <w:rPr>
          <w:rFonts w:hint="eastAsia" w:ascii="宋体" w:hAnsi="宋体" w:cs="宋体"/>
          <w:b/>
          <w:color w:val="000000"/>
          <w:sz w:val="24"/>
        </w:rPr>
        <w:t xml:space="preserve">要求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合同履行期限：</w:t>
      </w:r>
      <w:r>
        <w:rPr>
          <w:rFonts w:hint="eastAsia" w:ascii="Times New Roman" w:hAnsi="Times New Roman" w:cs="仿宋"/>
          <w:sz w:val="24"/>
          <w:szCs w:val="24"/>
          <w:lang w:eastAsia="zh-CN"/>
        </w:rPr>
        <w:t xml:space="preserve">合同签订后，成交供应商须在7个</w:t>
      </w:r>
      <w:r>
        <w:rPr>
          <w:rFonts w:hint="eastAsia" w:ascii="Times New Roman" w:hAnsi="Times New Roman" w:eastAsia="宋体" w:cs="仿宋"/>
          <w:sz w:val="24"/>
          <w:szCs w:val="24"/>
          <w:lang w:eastAsia="zh-CN"/>
        </w:rPr>
        <w:t xml:space="preserve">日历天内进场实施，</w:t>
      </w:r>
      <w:r>
        <w:rPr>
          <w:rFonts w:hint="eastAsia" w:ascii="Times New Roman" w:hAnsi="Times New Roman" w:eastAsia="宋体" w:cs="仿宋"/>
          <w:sz w:val="24"/>
          <w:szCs w:val="24"/>
          <w:lang w:val="en-US" w:eastAsia="zh-CN"/>
        </w:rPr>
        <w:t xml:space="preserve">3个月内完成系统建设并上线试运行；项目试运行3个月期满后，由采购人组织试运行确认，自试运行确认合格之日起进入30个月的运维服务期</w:t>
      </w:r>
      <w:r>
        <w:rPr>
          <w:rFonts w:hint="eastAsia" w:ascii="Times New Roman" w:hAnsi="Times New Roman" w:eastAsia="宋体" w:cs="仿宋"/>
          <w:sz w:val="24"/>
          <w:szCs w:val="24"/>
          <w:lang w:eastAsia="zh-CN"/>
        </w:rPr>
        <w:t xml:space="preserve">。</w:t>
      </w:r>
      <w:r/>
    </w:p>
    <w:p>
      <w:pPr>
        <w:ind w:firstLine="480"/>
        <w:rPr>
          <w:rFonts w:hint="eastAsia" w:ascii="宋体" w:hAnsi="宋体" w:cs="宋体"/>
          <w:b/>
          <w:color w:val="000000"/>
          <w:sz w:val="24"/>
        </w:rPr>
        <w:outlineLvl w:val="2"/>
      </w:pPr>
      <w:r>
        <w:rPr>
          <w:rFonts w:hint="eastAsia" w:ascii="宋体" w:hAnsi="宋体" w:cs="宋体"/>
          <w:b/>
          <w:color w:val="000000"/>
          <w:sz w:val="24"/>
        </w:rPr>
        <w:t xml:space="preserve">（二）付款方式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预付款：签订合同后，收到供应商发票10个工作日内支付合同价款30%作为预付款。</w:t>
      </w:r>
      <w:r/>
    </w:p>
    <w:p>
      <w:pPr>
        <w:ind w:firstLine="480"/>
        <w:spacing w:line="480" w:lineRule="exact"/>
        <w:rPr>
          <w:rFonts w:ascii="Times New Roman" w:hAnsi="Times New Roman" w:cs="仿宋"/>
          <w:sz w:val="24"/>
        </w:rPr>
      </w:pPr>
      <w:r>
        <w:rPr>
          <w:rFonts w:hint="eastAsia" w:ascii="Times New Roman" w:hAnsi="Times New Roman" w:cs="仿宋"/>
          <w:sz w:val="24"/>
        </w:rPr>
        <w:t xml:space="preserve">进度款：平台建设完成</w:t>
      </w:r>
      <w:r>
        <w:rPr>
          <w:rFonts w:hint="eastAsia" w:ascii="Times New Roman" w:hAnsi="Times New Roman" w:cs="仿宋"/>
          <w:sz w:val="24"/>
          <w:lang w:val="en-US" w:eastAsia="zh-CN"/>
        </w:rPr>
        <w:t xml:space="preserve">且</w:t>
      </w:r>
      <w:r>
        <w:rPr>
          <w:rFonts w:hint="eastAsia" w:ascii="Times New Roman" w:hAnsi="Times New Roman" w:cs="仿宋"/>
          <w:sz w:val="24"/>
        </w:rPr>
        <w:t xml:space="preserve">试运行3个月期满后由采购人组织</w:t>
      </w:r>
      <w:r>
        <w:rPr>
          <w:rFonts w:hint="eastAsia" w:ascii="Times New Roman" w:hAnsi="Times New Roman" w:cs="仿宋"/>
          <w:sz w:val="24"/>
          <w:lang w:val="en-US" w:eastAsia="zh-CN"/>
        </w:rPr>
        <w:t xml:space="preserve">确认</w:t>
      </w:r>
      <w:r>
        <w:rPr>
          <w:rFonts w:hint="eastAsia" w:ascii="Times New Roman" w:hAnsi="Times New Roman" w:cs="仿宋"/>
          <w:sz w:val="24"/>
        </w:rPr>
        <w:t xml:space="preserve">，</w:t>
      </w:r>
      <w:r>
        <w:rPr>
          <w:rFonts w:hint="eastAsia" w:ascii="Times New Roman" w:hAnsi="Times New Roman" w:cs="仿宋"/>
          <w:sz w:val="24"/>
          <w:lang w:val="en-US" w:eastAsia="zh-CN"/>
        </w:rPr>
        <w:t xml:space="preserve">试运行</w:t>
      </w:r>
      <w:r>
        <w:rPr>
          <w:rFonts w:hint="eastAsia" w:ascii="Times New Roman" w:hAnsi="Times New Roman" w:cs="仿宋"/>
          <w:sz w:val="24"/>
        </w:rPr>
        <w:t xml:space="preserve">合格后，收到供应商发票10个工作日内支付至合同总价款的</w:t>
      </w:r>
      <w:r>
        <w:rPr>
          <w:rFonts w:hint="eastAsia" w:ascii="Times New Roman" w:hAnsi="Times New Roman" w:cs="仿宋"/>
          <w:sz w:val="24"/>
          <w:lang w:val="en-US" w:eastAsia="zh-CN"/>
        </w:rPr>
        <w:t xml:space="preserve">7</w:t>
      </w:r>
      <w:r>
        <w:rPr>
          <w:rFonts w:hint="eastAsia" w:ascii="Times New Roman" w:hAnsi="Times New Roman" w:cs="仿宋"/>
          <w:sz w:val="24"/>
        </w:rPr>
        <w:t xml:space="preserve">0%。</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验收款：运维期满后（以采购人</w:t>
      </w:r>
      <w:r>
        <w:rPr>
          <w:rFonts w:hint="eastAsia" w:ascii="Times New Roman" w:hAnsi="Times New Roman" w:cs="仿宋"/>
          <w:sz w:val="24"/>
          <w:lang w:val="en-US" w:eastAsia="zh-CN"/>
        </w:rPr>
        <w:t xml:space="preserve">确认试运行合格之日</w:t>
      </w:r>
      <w:r>
        <w:rPr>
          <w:rFonts w:hint="eastAsia" w:ascii="Times New Roman" w:hAnsi="Times New Roman" w:cs="仿宋"/>
          <w:sz w:val="24"/>
        </w:rPr>
        <w:t xml:space="preserve">为起始时间），由采购人组织验收，验收合格后，收到供应商发票10个工作日内支付至合同总价款的100%。</w:t>
      </w:r>
      <w:r/>
    </w:p>
    <w:p>
      <w:pPr>
        <w:ind w:firstLine="482"/>
        <w:jc w:val="left"/>
        <w:spacing w:line="480" w:lineRule="exact"/>
        <w:rPr>
          <w:rFonts w:hint="eastAsia" w:asciiTheme="minorEastAsia" w:hAnsiTheme="minorEastAsia" w:eastAsiaTheme="minorEastAsia" w:cstheme="minorEastAsia"/>
          <w:sz w:val="24"/>
          <w:lang w:val="zh-CN"/>
        </w:rPr>
      </w:pPr>
      <w:r/>
      <w:bookmarkStart w:id="96" w:name="OLE_LINK19"/>
      <w:r>
        <w:rPr>
          <w:rFonts w:hint="eastAsia" w:asciiTheme="minorEastAsia" w:hAnsiTheme="minorEastAsia" w:eastAsiaTheme="minorEastAsia" w:cstheme="minorEastAsia"/>
          <w:sz w:val="24"/>
          <w:lang w:val="zh-CN"/>
        </w:rPr>
        <w:t xml:space="preserve">注：1、在签订合同时，成交人明确表示无需预付款或者主动要求降低预付款比例的金额，采购人可不适用预付款规定。</w:t>
      </w:r>
      <w:r/>
    </w:p>
    <w:p>
      <w:pPr>
        <w:ind w:firstLine="482"/>
        <w:jc w:val="left"/>
        <w:spacing w:line="480" w:lineRule="exact"/>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rPr>
        <w:t xml:space="preserve">2、</w:t>
      </w:r>
      <w:r>
        <w:rPr>
          <w:rFonts w:hint="eastAsia" w:asciiTheme="minorEastAsia" w:hAnsiTheme="minorEastAsia" w:eastAsiaTheme="minorEastAsia" w:cstheme="minorEastAsia"/>
          <w:sz w:val="24"/>
          <w:lang w:val="zh-CN"/>
        </w:rPr>
        <w:t xml:space="preserve">支付方式可以通过转账或数字人民币等方式。</w:t>
      </w:r>
      <w:bookmarkEnd w:id="96"/>
      <w:r/>
      <w:r/>
    </w:p>
    <w:p>
      <w:pPr>
        <w:ind w:firstLine="482"/>
        <w:jc w:val="left"/>
        <w:spacing w:line="480" w:lineRule="exact"/>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rPr>
        <w:t xml:space="preserve">3、</w:t>
      </w:r>
      <w:r>
        <w:rPr>
          <w:rFonts w:hint="eastAsia" w:asciiTheme="minorEastAsia" w:hAnsiTheme="minorEastAsia" w:eastAsiaTheme="minorEastAsia" w:cstheme="minorEastAsia"/>
          <w:sz w:val="24"/>
          <w:lang w:val="zh-CN"/>
        </w:rPr>
        <w:t xml:space="preserve">资金支付的主体：宿迁市楚润数据集团有限公司。</w:t>
      </w:r>
      <w:r/>
    </w:p>
    <w:p>
      <w:pPr>
        <w:ind w:firstLine="480"/>
        <w:spacing w:line="480" w:lineRule="exact"/>
        <w:rPr>
          <w:rFonts w:ascii="Times New Roman" w:hAnsi="Times New Roman" w:cs="仿宋"/>
          <w:sz w:val="24"/>
        </w:rPr>
      </w:pPr>
      <w:r>
        <w:rPr>
          <w:rFonts w:ascii="Times New Roman" w:hAnsi="Times New Roman" w:cs="仿宋"/>
          <w:sz w:val="24"/>
        </w:rPr>
      </w:r>
      <w:r/>
    </w:p>
    <w:p>
      <w:pPr>
        <w:ind w:firstLine="480"/>
        <w:spacing w:line="400" w:lineRule="exact"/>
        <w:rPr>
          <w:rFonts w:hint="eastAsia" w:ascii="宋体" w:hAnsi="宋体"/>
          <w:sz w:val="24"/>
          <w:szCs w:val="24"/>
        </w:rPr>
      </w:pPr>
      <w:r>
        <w:rPr>
          <w:rFonts w:hint="eastAsia" w:ascii="宋体" w:hAnsi="宋体"/>
          <w:sz w:val="24"/>
          <w:szCs w:val="24"/>
        </w:rPr>
      </w:r>
      <w:r/>
    </w:p>
    <w:p>
      <w:pPr>
        <w:ind w:firstLine="480"/>
        <w:spacing w:line="400" w:lineRule="exact"/>
        <w:rPr>
          <w:rFonts w:hint="eastAsia" w:ascii="宋体" w:hAnsi="宋体"/>
          <w:sz w:val="24"/>
          <w:szCs w:val="24"/>
        </w:rPr>
      </w:pPr>
      <w:r>
        <w:rPr>
          <w:rFonts w:hint="eastAsia" w:ascii="宋体" w:hAnsi="宋体"/>
          <w:sz w:val="24"/>
          <w:szCs w:val="24"/>
        </w:rPr>
      </w:r>
      <w:r/>
    </w:p>
    <w:p>
      <w:pPr>
        <w:ind w:firstLine="480"/>
        <w:spacing w:line="400" w:lineRule="exact"/>
        <w:rPr>
          <w:rFonts w:hint="eastAsia" w:ascii="宋体" w:hAnsi="宋体"/>
          <w:sz w:val="24"/>
          <w:szCs w:val="24"/>
        </w:rPr>
      </w:pPr>
      <w:r>
        <w:rPr>
          <w:rFonts w:hint="eastAsia" w:ascii="宋体" w:hAnsi="宋体"/>
          <w:sz w:val="24"/>
          <w:szCs w:val="24"/>
        </w:rPr>
      </w:r>
      <w:r/>
    </w:p>
    <w:p>
      <w:pPr>
        <w:spacing w:line="400" w:lineRule="exact"/>
      </w:pPr>
      <w:r>
        <w:rPr>
          <w:rFonts w:hint="eastAsia"/>
        </w:rPr>
        <w:br w:type="page" w:clear="all"/>
      </w:r>
      <w:r/>
    </w:p>
    <w:p>
      <w:pPr>
        <w:jc w:val="center"/>
        <w:spacing w:line="500" w:lineRule="exact"/>
        <w:rPr>
          <w:rFonts w:ascii="Times New Roman" w:hAnsi="Times New Roman"/>
          <w:b/>
          <w:sz w:val="44"/>
          <w:szCs w:val="44"/>
        </w:rPr>
        <w:outlineLvl w:val="0"/>
      </w:pPr>
      <w:r/>
      <w:bookmarkStart w:id="97" w:name="_Toc2833"/>
      <w:r>
        <w:rPr>
          <w:rFonts w:hint="eastAsia" w:ascii="Times New Roman" w:hAnsi="Times New Roman"/>
          <w:b/>
          <w:sz w:val="44"/>
          <w:szCs w:val="44"/>
        </w:rPr>
        <w:t xml:space="preserve">第五章  合同</w:t>
      </w:r>
      <w:bookmarkEnd w:id="85"/>
      <w:r/>
      <w:bookmarkEnd w:id="86"/>
      <w:r/>
      <w:bookmarkEnd w:id="97"/>
      <w:r>
        <w:rPr>
          <w:rFonts w:hint="eastAsia" w:ascii="Times New Roman" w:hAnsi="Times New Roman"/>
          <w:b/>
          <w:sz w:val="44"/>
          <w:szCs w:val="44"/>
        </w:rPr>
        <w:t xml:space="preserve">文本</w:t>
      </w:r>
      <w:r/>
    </w:p>
    <w:p>
      <w:pPr>
        <w:jc w:val="center"/>
        <w:spacing w:line="480" w:lineRule="auto"/>
        <w:rPr>
          <w:rFonts w:ascii="宋体" w:hAnsi="宋体" w:cs="宋体"/>
          <w:b/>
          <w:sz w:val="28"/>
          <w:szCs w:val="28"/>
        </w:rPr>
      </w:pPr>
      <w:r/>
      <w:bookmarkStart w:id="98" w:name="_Toc22631"/>
      <w:r/>
      <w:bookmarkStart w:id="99" w:name="_Toc1657"/>
      <w:r/>
      <w:bookmarkStart w:id="100" w:name="_Toc7955"/>
      <w:r/>
      <w:r/>
    </w:p>
    <w:p>
      <w:pPr>
        <w:jc w:val="center"/>
        <w:spacing w:line="480" w:lineRule="auto"/>
        <w:rPr>
          <w:rFonts w:ascii="宋体" w:hAnsi="宋体" w:cs="宋体"/>
          <w:b/>
          <w:sz w:val="28"/>
          <w:szCs w:val="28"/>
        </w:rPr>
      </w:pPr>
      <w:r>
        <w:rPr>
          <w:rFonts w:ascii="宋体" w:hAnsi="宋体" w:cs="宋体"/>
          <w:b/>
          <w:sz w:val="28"/>
          <w:szCs w:val="28"/>
        </w:rPr>
      </w:r>
      <w:r/>
    </w:p>
    <w:p>
      <w:pPr>
        <w:pStyle w:val="1444"/>
        <w:ind w:firstLine="0"/>
        <w:rPr>
          <w:rFonts w:hAnsi="宋体" w:cs="宋体"/>
          <w:szCs w:val="24"/>
        </w:rPr>
      </w:pPr>
      <w:r>
        <w:rPr>
          <w:rFonts w:hAnsi="宋体" w:cs="宋体"/>
          <w:szCs w:val="24"/>
        </w:rPr>
      </w:r>
      <w:r/>
    </w:p>
    <w:p>
      <w:pPr>
        <w:pStyle w:val="832"/>
        <w:jc w:val="center"/>
        <w:spacing w:before="0" w:beforeAutospacing="0" w:after="0" w:afterAutospacing="0" w:line="480" w:lineRule="auto"/>
        <w:widowControl w:val="off"/>
        <w:rPr>
          <w:rFonts w:hint="eastAsia"/>
        </w:rPr>
      </w:pPr>
      <w:r/>
      <w:bookmarkStart w:id="101" w:name="_Toc155086567"/>
      <w:r/>
      <w:bookmarkStart w:id="102" w:name="_Toc544"/>
      <w:r>
        <w:rPr>
          <w:rFonts w:hint="eastAsia"/>
          <w:b/>
          <w:bCs/>
          <w:color w:val="000000"/>
          <w:sz w:val="30"/>
          <w:szCs w:val="30"/>
        </w:rPr>
        <w:t xml:space="preserve">政府采购合同（服务）（合同编号）</w:t>
      </w:r>
      <w:bookmarkEnd w:id="101"/>
      <w:r/>
      <w:bookmarkEnd w:id="102"/>
      <w:r>
        <w:rPr>
          <w:rFonts w:hint="eastAsia"/>
          <w:b/>
          <w:bCs/>
          <w:color w:val="000000"/>
          <w:sz w:val="30"/>
          <w:szCs w:val="30"/>
        </w:rPr>
        <w:t xml:space="preserve">（草案）</w:t>
      </w:r>
      <w:r/>
    </w:p>
    <w:p>
      <w:pPr>
        <w:pStyle w:val="764"/>
        <w:jc w:val="center"/>
        <w:spacing w:before="0" w:beforeAutospacing="0" w:after="0" w:afterAutospacing="0" w:line="480" w:lineRule="auto"/>
        <w:widowControl w:val="off"/>
      </w:pPr>
      <w:r>
        <w:rPr>
          <w:rFonts w:hint="eastAsia"/>
          <w:b/>
          <w:bCs/>
          <w:color w:val="000000"/>
          <w:sz w:val="30"/>
          <w:szCs w:val="30"/>
        </w:rPr>
        <w:t xml:space="preserve">政府采购合同（服务）（合同编号）</w:t>
      </w:r>
      <w:r/>
    </w:p>
    <w:p>
      <w:pPr>
        <w:pStyle w:val="764"/>
        <w:ind w:firstLine="840"/>
        <w:jc w:val="both"/>
        <w:spacing w:before="0" w:beforeAutospacing="0" w:after="0" w:afterAutospacing="0" w:line="480" w:lineRule="auto"/>
        <w:widowControl w:val="off"/>
        <w:rPr>
          <w:color w:val="000000"/>
          <w:sz w:val="28"/>
          <w:szCs w:val="28"/>
        </w:rPr>
      </w:pPr>
      <w:r>
        <w:rPr>
          <w:color w:val="000000"/>
          <w:sz w:val="28"/>
          <w:szCs w:val="28"/>
        </w:rPr>
      </w:r>
      <w:r/>
    </w:p>
    <w:p>
      <w:pPr>
        <w:pStyle w:val="764"/>
        <w:ind w:firstLine="840"/>
        <w:spacing w:before="0" w:beforeAutospacing="0" w:after="0" w:afterAutospacing="0" w:line="720" w:lineRule="auto"/>
        <w:widowControl w:val="off"/>
        <w:rPr>
          <w:rFonts w:hint="eastAsia"/>
          <w:sz w:val="28"/>
          <w:szCs w:val="28"/>
        </w:rPr>
      </w:pPr>
      <w:r>
        <w:rPr>
          <w:rFonts w:hint="eastAsia"/>
          <w:color w:val="000000"/>
          <w:sz w:val="28"/>
          <w:szCs w:val="28"/>
        </w:rPr>
        <w:t xml:space="preserve">项目名称：</w:t>
      </w:r>
      <w:r>
        <w:rPr>
          <w:rFonts w:hint="eastAsia" w:ascii="Arial" w:hAnsi="Arial" w:cs="Arial"/>
          <w:color w:val="000000"/>
          <w:sz w:val="27"/>
          <w:szCs w:val="27"/>
        </w:rPr>
        <w:t xml:space="preserve">宿迁市国有资产智慧监管一体化平台项目</w:t>
      </w:r>
      <w:r/>
    </w:p>
    <w:p>
      <w:pPr>
        <w:pStyle w:val="764"/>
        <w:ind w:firstLine="840"/>
        <w:spacing w:before="0" w:beforeAutospacing="0" w:after="0" w:afterAutospacing="0" w:line="720" w:lineRule="auto"/>
        <w:widowControl w:val="off"/>
        <w:rPr>
          <w:color w:val="000000"/>
          <w:sz w:val="28"/>
          <w:szCs w:val="28"/>
        </w:rPr>
      </w:pPr>
      <w:r>
        <w:rPr>
          <w:rFonts w:hint="eastAsia"/>
          <w:color w:val="000000"/>
          <w:sz w:val="28"/>
          <w:szCs w:val="28"/>
        </w:rPr>
        <w:t xml:space="preserve">项目编号：JSZC-321300-JZCG-C2026-0072</w:t>
      </w:r>
      <w:r>
        <w:rPr>
          <w:rFonts w:hint="eastAsia"/>
          <w:color w:val="000000"/>
          <w:sz w:val="28"/>
          <w:szCs w:val="28"/>
        </w:rPr>
        <w:tab/>
      </w:r>
      <w:r>
        <w:rPr>
          <w:rFonts w:hint="eastAsia"/>
          <w:color w:val="000000"/>
          <w:sz w:val="28"/>
          <w:szCs w:val="28"/>
        </w:rPr>
        <w:t xml:space="preserve">       </w:t>
      </w:r>
      <w:r/>
    </w:p>
    <w:p>
      <w:pPr>
        <w:pStyle w:val="1444"/>
        <w:ind w:left="420" w:firstLine="420"/>
        <w:spacing w:line="720" w:lineRule="auto"/>
        <w:rPr>
          <w:rFonts w:hint="eastAsia" w:hAnsi="宋体" w:cs="宋体"/>
          <w:sz w:val="28"/>
          <w:szCs w:val="28"/>
          <w:u w:val="single"/>
          <w:lang w:val="en-US" w:eastAsia="zh-CN"/>
        </w:rPr>
      </w:pPr>
      <w:r>
        <w:rPr>
          <w:rFonts w:hint="eastAsia" w:hAnsi="宋体" w:cs="宋体"/>
          <w:sz w:val="28"/>
          <w:szCs w:val="28"/>
        </w:rPr>
        <w:t xml:space="preserve">甲方</w:t>
      </w:r>
      <w:r>
        <w:rPr>
          <w:rFonts w:hint="eastAsia" w:hAnsi="宋体" w:cs="宋体"/>
          <w:sz w:val="28"/>
          <w:szCs w:val="28"/>
          <w:lang w:val="en-US" w:eastAsia="zh-CN"/>
        </w:rPr>
        <w:t xml:space="preserve">1</w:t>
      </w:r>
      <w:r>
        <w:rPr>
          <w:rFonts w:hint="eastAsia" w:hAnsi="宋体" w:cs="宋体"/>
          <w:sz w:val="28"/>
          <w:szCs w:val="28"/>
        </w:rPr>
        <w:t xml:space="preserve">（全称）：</w:t>
      </w:r>
      <w:r>
        <w:rPr>
          <w:rFonts w:hint="eastAsia" w:hAnsi="宋体" w:cs="宋体"/>
          <w:sz w:val="28"/>
          <w:szCs w:val="28"/>
          <w:u w:val="single"/>
        </w:rPr>
        <w:t xml:space="preserve">宿迁市</w:t>
      </w:r>
      <w:r>
        <w:rPr>
          <w:rFonts w:hint="eastAsia" w:hAnsi="宋体" w:cs="宋体"/>
          <w:sz w:val="28"/>
          <w:szCs w:val="28"/>
          <w:u w:val="single"/>
          <w:lang w:val="en-US" w:eastAsia="zh-CN"/>
        </w:rPr>
        <w:t xml:space="preserve">财政局</w:t>
      </w:r>
      <w:r/>
    </w:p>
    <w:p>
      <w:pPr>
        <w:pStyle w:val="1444"/>
        <w:ind w:left="420" w:firstLine="420"/>
        <w:spacing w:line="720" w:lineRule="auto"/>
        <w:rPr>
          <w:rFonts w:hint="eastAsia" w:hAnsi="宋体" w:cs="宋体"/>
          <w:sz w:val="28"/>
          <w:szCs w:val="28"/>
          <w:u w:val="single"/>
          <w:lang w:val="en-US" w:eastAsia="zh-CN"/>
        </w:rPr>
      </w:pPr>
      <w:r>
        <w:rPr>
          <w:rFonts w:hint="eastAsia" w:hAnsi="宋体" w:cs="宋体"/>
          <w:sz w:val="28"/>
          <w:szCs w:val="28"/>
        </w:rPr>
        <w:t xml:space="preserve">甲方</w:t>
      </w:r>
      <w:r>
        <w:rPr>
          <w:rFonts w:hint="eastAsia" w:hAnsi="宋体" w:cs="宋体"/>
          <w:sz w:val="28"/>
          <w:szCs w:val="28"/>
          <w:lang w:val="en-US" w:eastAsia="zh-CN"/>
        </w:rPr>
        <w:t xml:space="preserve">2</w:t>
      </w:r>
      <w:r>
        <w:rPr>
          <w:rFonts w:hint="eastAsia" w:hAnsi="宋体" w:cs="宋体"/>
          <w:sz w:val="28"/>
          <w:szCs w:val="28"/>
        </w:rPr>
        <w:t xml:space="preserve">（全称）：</w:t>
      </w:r>
      <w:r>
        <w:rPr>
          <w:rFonts w:hint="eastAsia" w:hAnsi="宋体" w:cs="宋体"/>
          <w:sz w:val="28"/>
          <w:szCs w:val="28"/>
          <w:u w:val="single"/>
        </w:rPr>
        <w:t xml:space="preserve">宿迁市楚润数据集团有限公司</w:t>
      </w:r>
      <w:r/>
    </w:p>
    <w:p>
      <w:pPr>
        <w:pStyle w:val="1444"/>
        <w:ind w:left="420" w:firstLine="420"/>
        <w:spacing w:line="720" w:lineRule="auto"/>
        <w:rPr>
          <w:rFonts w:hAnsi="宋体" w:cs="宋体"/>
          <w:sz w:val="28"/>
          <w:szCs w:val="28"/>
        </w:rPr>
      </w:pPr>
      <w:r>
        <w:rPr>
          <w:rFonts w:hint="eastAsia" w:hAnsi="宋体" w:cs="宋体"/>
          <w:sz w:val="28"/>
          <w:szCs w:val="28"/>
        </w:rPr>
        <w:t xml:space="preserve">乙方（全称）：</w:t>
      </w:r>
      <w:r/>
    </w:p>
    <w:p>
      <w:pPr>
        <w:pStyle w:val="1444"/>
        <w:ind w:firstLine="1120"/>
        <w:spacing w:line="480" w:lineRule="auto"/>
        <w:rPr>
          <w:rFonts w:hAnsi="宋体" w:cs="宋体"/>
          <w:sz w:val="28"/>
          <w:szCs w:val="28"/>
        </w:rPr>
      </w:pPr>
      <w:r>
        <w:rPr>
          <w:rFonts w:hint="eastAsia" w:hAnsi="宋体" w:cs="宋体"/>
          <w:sz w:val="28"/>
          <w:szCs w:val="28"/>
        </w:rPr>
        <w:t xml:space="preserve">签订时间：2</w:t>
      </w:r>
      <w:r>
        <w:rPr>
          <w:rFonts w:hAnsi="宋体" w:cs="宋体"/>
          <w:sz w:val="28"/>
          <w:szCs w:val="28"/>
        </w:rPr>
        <w:t xml:space="preserve">026年</w:t>
      </w:r>
      <w:r>
        <w:rPr>
          <w:rFonts w:hint="eastAsia" w:hAnsi="宋体" w:cs="宋体"/>
          <w:sz w:val="28"/>
          <w:szCs w:val="28"/>
          <w:u w:val="single"/>
        </w:rPr>
        <w:t xml:space="preserve"> </w:t>
      </w:r>
      <w:r>
        <w:rPr>
          <w:rFonts w:hAnsi="宋体" w:cs="宋体"/>
          <w:sz w:val="28"/>
          <w:szCs w:val="28"/>
          <w:u w:val="single"/>
        </w:rPr>
        <w:t xml:space="preserve">     </w:t>
      </w:r>
      <w:r>
        <w:rPr>
          <w:rFonts w:hAnsi="宋体" w:cs="宋体"/>
          <w:sz w:val="28"/>
          <w:szCs w:val="28"/>
        </w:rPr>
        <w:t xml:space="preserve">月</w:t>
      </w:r>
      <w:r>
        <w:rPr>
          <w:rFonts w:hint="eastAsia" w:hAnsi="宋体" w:cs="宋体"/>
          <w:sz w:val="28"/>
          <w:szCs w:val="28"/>
          <w:u w:val="single"/>
        </w:rPr>
        <w:t xml:space="preserve"> </w:t>
      </w:r>
      <w:r>
        <w:rPr>
          <w:rFonts w:hAnsi="宋体" w:cs="宋体"/>
          <w:sz w:val="28"/>
          <w:szCs w:val="28"/>
          <w:u w:val="single"/>
        </w:rPr>
        <w:t xml:space="preserve">       </w:t>
      </w:r>
      <w:r>
        <w:rPr>
          <w:rFonts w:hAnsi="宋体" w:cs="宋体"/>
          <w:sz w:val="28"/>
          <w:szCs w:val="28"/>
        </w:rPr>
        <w:t xml:space="preserve">日</w:t>
      </w:r>
      <w:r/>
    </w:p>
    <w:p>
      <w:pPr>
        <w:pStyle w:val="1444"/>
        <w:ind w:firstLine="0"/>
        <w:rPr>
          <w:rFonts w:hAnsi="宋体" w:cs="宋体"/>
          <w:szCs w:val="24"/>
        </w:rPr>
      </w:pPr>
      <w:r>
        <w:rPr>
          <w:rFonts w:hAnsi="宋体" w:cs="宋体"/>
          <w:szCs w:val="24"/>
        </w:rPr>
      </w:r>
      <w:r/>
    </w:p>
    <w:p>
      <w:pPr>
        <w:pStyle w:val="1444"/>
        <w:ind w:firstLine="0"/>
        <w:rPr>
          <w:rFonts w:hAnsi="宋体" w:cs="宋体"/>
          <w:szCs w:val="24"/>
        </w:rPr>
      </w:pPr>
      <w:r>
        <w:rPr>
          <w:rFonts w:hAnsi="宋体" w:cs="宋体"/>
          <w:szCs w:val="24"/>
        </w:rPr>
      </w:r>
      <w:r/>
    </w:p>
    <w:p>
      <w:pPr>
        <w:pStyle w:val="1444"/>
        <w:ind w:firstLine="0"/>
        <w:rPr>
          <w:rFonts w:hAnsi="宋体" w:cs="宋体"/>
          <w:szCs w:val="24"/>
        </w:rPr>
      </w:pPr>
      <w:r>
        <w:rPr>
          <w:rFonts w:hAnsi="宋体" w:cs="宋体"/>
          <w:szCs w:val="24"/>
        </w:rPr>
      </w:r>
      <w:r/>
    </w:p>
    <w:p>
      <w:pPr>
        <w:pStyle w:val="1444"/>
        <w:ind w:firstLine="0"/>
        <w:rPr>
          <w:rFonts w:hAnsi="宋体" w:cs="宋体"/>
          <w:szCs w:val="24"/>
        </w:rPr>
      </w:pPr>
      <w:r>
        <w:rPr>
          <w:rFonts w:hAnsi="宋体" w:cs="宋体"/>
          <w:szCs w:val="24"/>
        </w:rPr>
      </w:r>
      <w:r/>
    </w:p>
    <w:p>
      <w:pPr>
        <w:pStyle w:val="1444"/>
        <w:ind w:firstLine="0"/>
        <w:rPr>
          <w:rFonts w:hAnsi="宋体" w:cs="宋体"/>
          <w:szCs w:val="24"/>
        </w:rPr>
      </w:pPr>
      <w:r>
        <w:rPr>
          <w:rFonts w:hAnsi="宋体" w:cs="宋体"/>
          <w:szCs w:val="24"/>
        </w:rPr>
      </w:r>
      <w:r/>
    </w:p>
    <w:p>
      <w:pPr>
        <w:rPr>
          <w:rFonts w:ascii="宋体" w:hAnsi="宋体" w:cs="宋体"/>
          <w:color w:val="000000"/>
          <w:sz w:val="24"/>
        </w:rPr>
      </w:pPr>
      <w:r>
        <w:rPr>
          <w:rFonts w:hint="eastAsia" w:ascii="宋体" w:hAnsi="宋体" w:cs="宋体"/>
          <w:color w:val="000000"/>
          <w:sz w:val="24"/>
        </w:rPr>
        <w:br w:type="page" w:clear="all"/>
      </w:r>
      <w:r/>
    </w:p>
    <w:p>
      <w:pPr>
        <w:spacing w:line="360" w:lineRule="auto"/>
        <w:rPr>
          <w:rFonts w:ascii="宋体" w:hAnsi="宋体" w:cs="宋体"/>
          <w:color w:val="000000"/>
          <w:sz w:val="24"/>
        </w:rPr>
      </w:pPr>
      <w:r>
        <w:rPr>
          <w:rFonts w:ascii="宋体" w:hAnsi="宋体" w:cs="宋体"/>
          <w:color w:val="000000"/>
          <w:sz w:val="24"/>
        </w:rPr>
      </w:r>
      <w:r/>
    </w:p>
    <w:p>
      <w:pPr>
        <w:spacing w:line="360" w:lineRule="auto"/>
        <w:rPr>
          <w:rFonts w:hint="eastAsia" w:ascii="宋体" w:hAnsi="宋体" w:cs="宋体"/>
          <w:color w:val="000000"/>
          <w:sz w:val="24"/>
        </w:rPr>
      </w:pPr>
      <w:r>
        <w:rPr>
          <w:rFonts w:hint="eastAsia" w:ascii="宋体" w:hAnsi="宋体" w:cs="宋体"/>
          <w:color w:val="000000"/>
          <w:sz w:val="24"/>
        </w:rPr>
        <w:t xml:space="preserve">甲方</w:t>
      </w:r>
      <w:r>
        <w:rPr>
          <w:rFonts w:hint="eastAsia" w:ascii="宋体" w:hAnsi="宋体" w:cs="宋体"/>
          <w:color w:val="000000"/>
          <w:sz w:val="24"/>
          <w:lang w:val="en-US" w:eastAsia="zh-CN"/>
        </w:rPr>
        <w:t xml:space="preserve">1</w:t>
      </w:r>
      <w:r>
        <w:rPr>
          <w:rFonts w:hint="eastAsia" w:ascii="宋体" w:hAnsi="宋体" w:cs="宋体"/>
          <w:color w:val="000000"/>
          <w:sz w:val="24"/>
        </w:rPr>
        <w:t xml:space="preserve">（全称）：</w:t>
      </w:r>
      <w:r>
        <w:rPr>
          <w:rFonts w:hint="eastAsia" w:ascii="宋体" w:hAnsi="宋体" w:cs="宋体"/>
          <w:color w:val="000000"/>
          <w:sz w:val="24"/>
          <w:u w:val="single"/>
        </w:rPr>
        <w:t xml:space="preserve">宿迁市</w:t>
      </w:r>
      <w:r>
        <w:rPr>
          <w:rFonts w:hint="eastAsia" w:ascii="宋体" w:hAnsi="宋体" w:cs="宋体"/>
          <w:color w:val="000000"/>
          <w:sz w:val="24"/>
          <w:u w:val="single"/>
          <w:lang w:val="en-US" w:eastAsia="zh-CN"/>
        </w:rPr>
        <w:t xml:space="preserve">财政局</w:t>
      </w:r>
      <w:r>
        <w:rPr>
          <w:rFonts w:hint="eastAsia" w:ascii="宋体" w:hAnsi="宋体" w:cs="宋体"/>
          <w:color w:val="000000"/>
          <w:sz w:val="24"/>
          <w:u w:val="single"/>
        </w:rPr>
        <w:t xml:space="preserve"> </w:t>
      </w:r>
      <w:r>
        <w:rPr>
          <w:rFonts w:hint="eastAsia" w:ascii="宋体" w:hAnsi="宋体" w:cs="宋体"/>
          <w:color w:val="000000"/>
          <w:sz w:val="24"/>
        </w:rPr>
        <w:t xml:space="preserve">（采购人）</w:t>
      </w:r>
      <w:r/>
    </w:p>
    <w:p>
      <w:pPr>
        <w:spacing w:line="360" w:lineRule="auto"/>
        <w:rPr>
          <w:rFonts w:hint="eastAsia" w:ascii="宋体" w:hAnsi="宋体" w:cs="宋体"/>
          <w:color w:val="000000"/>
          <w:sz w:val="24"/>
        </w:rPr>
      </w:pPr>
      <w:r>
        <w:rPr>
          <w:rFonts w:hint="eastAsia" w:ascii="宋体" w:hAnsi="宋体" w:cs="宋体"/>
          <w:color w:val="000000"/>
          <w:sz w:val="24"/>
        </w:rPr>
        <w:t xml:space="preserve">甲方</w:t>
      </w:r>
      <w:r>
        <w:rPr>
          <w:rFonts w:hint="eastAsia" w:ascii="宋体" w:hAnsi="宋体" w:cs="宋体"/>
          <w:color w:val="000000"/>
          <w:sz w:val="24"/>
          <w:lang w:val="en-US" w:eastAsia="zh-CN"/>
        </w:rPr>
        <w:t xml:space="preserve">2</w:t>
      </w:r>
      <w:r>
        <w:rPr>
          <w:rFonts w:hint="eastAsia" w:ascii="宋体" w:hAnsi="宋体" w:cs="宋体"/>
          <w:color w:val="000000"/>
          <w:sz w:val="24"/>
        </w:rPr>
        <w:t xml:space="preserve">（全称）：</w:t>
      </w:r>
      <w:r>
        <w:rPr>
          <w:rFonts w:hint="eastAsia" w:ascii="宋体" w:hAnsi="宋体" w:cs="宋体"/>
          <w:color w:val="000000"/>
          <w:sz w:val="24"/>
          <w:u w:val="single"/>
        </w:rPr>
        <w:t xml:space="preserve">宿迁市楚润数据集团有限公司 </w:t>
      </w:r>
      <w:r>
        <w:rPr>
          <w:rFonts w:hint="eastAsia" w:ascii="宋体" w:hAnsi="宋体" w:cs="宋体"/>
          <w:color w:val="000000"/>
          <w:sz w:val="24"/>
        </w:rPr>
        <w:t xml:space="preserve">（采购人）</w:t>
      </w:r>
      <w:r/>
    </w:p>
    <w:p>
      <w:pPr>
        <w:spacing w:line="360" w:lineRule="auto"/>
        <w:rPr>
          <w:rFonts w:ascii="宋体" w:hAnsi="宋体" w:cs="宋体"/>
          <w:color w:val="000000"/>
          <w:sz w:val="24"/>
          <w:u w:val="single"/>
        </w:rPr>
      </w:pPr>
      <w:r>
        <w:rPr>
          <w:rFonts w:hint="eastAsia" w:ascii="宋体" w:hAnsi="宋体" w:cs="宋体"/>
          <w:color w:val="000000"/>
          <w:sz w:val="24"/>
        </w:rPr>
        <w:t xml:space="preserve">乙方（全称）：</w:t>
      </w:r>
      <w:r>
        <w:rPr>
          <w:rFonts w:hint="eastAsia" w:ascii="宋体" w:hAnsi="宋体" w:cs="宋体"/>
          <w:color w:val="000000"/>
          <w:sz w:val="24"/>
          <w:u w:val="single"/>
        </w:rPr>
        <w:t xml:space="preserve"> </w:t>
      </w:r>
      <w:r>
        <w:rPr>
          <w:rFonts w:ascii="宋体" w:hAnsi="宋体" w:cs="宋体"/>
          <w:color w:val="000000"/>
          <w:sz w:val="24"/>
          <w:u w:val="single"/>
        </w:rPr>
        <w:t xml:space="preserve">                                      </w:t>
      </w:r>
      <w:r>
        <w:rPr>
          <w:rFonts w:hint="eastAsia" w:ascii="宋体" w:hAnsi="宋体" w:cs="宋体"/>
          <w:color w:val="000000"/>
          <w:sz w:val="24"/>
        </w:rPr>
        <w:t xml:space="preserve">（供应商）</w:t>
      </w:r>
      <w:r/>
    </w:p>
    <w:p>
      <w:pPr>
        <w:pStyle w:val="764"/>
        <w:ind w:firstLine="480"/>
        <w:jc w:val="both"/>
        <w:spacing w:before="0" w:beforeAutospacing="0" w:after="0" w:afterAutospacing="0" w:line="360" w:lineRule="auto"/>
        <w:widowControl w:val="off"/>
      </w:pPr>
      <w:r>
        <w:rPr>
          <w:rFonts w:hint="eastAsia"/>
          <w:color w:val="000000"/>
        </w:rPr>
        <w:t xml:space="preserve">依据《中华人民共和国民法典》、《中华人民共和国政府采购法》等有关的法律法规，以及本采购项目采购文件（征集文件）、乙方的《投标（响应）文件》及《中标（成交）通知书》，甲乙双方同意签订本合同。具体情况及要求如下：。</w:t>
      </w:r>
      <w:r/>
    </w:p>
    <w:p>
      <w:pPr>
        <w:ind w:firstLine="482"/>
        <w:spacing w:line="360" w:lineRule="auto"/>
        <w:rPr>
          <w:rFonts w:ascii="宋体" w:hAnsi="宋体" w:cs="宋体"/>
          <w:b/>
          <w:sz w:val="24"/>
          <w:szCs w:val="24"/>
        </w:rPr>
        <w:outlineLvl w:val="1"/>
      </w:pPr>
      <w:r>
        <w:rPr>
          <w:rFonts w:hint="eastAsia" w:ascii="宋体" w:hAnsi="宋体" w:cs="宋体"/>
          <w:b/>
          <w:sz w:val="24"/>
          <w:szCs w:val="24"/>
        </w:rPr>
        <w:t xml:space="preserve">一、合同内容</w:t>
      </w:r>
      <w:r/>
    </w:p>
    <w:p>
      <w:pPr>
        <w:ind w:firstLine="480"/>
        <w:spacing w:line="360" w:lineRule="auto"/>
        <w:rPr>
          <w:rFonts w:ascii="宋体" w:hAnsi="宋体" w:cs="宋体"/>
          <w:sz w:val="24"/>
          <w:szCs w:val="24"/>
        </w:rPr>
      </w:pPr>
      <w:r>
        <w:rPr>
          <w:rFonts w:hint="eastAsia" w:ascii="宋体" w:hAnsi="宋体" w:cs="宋体"/>
          <w:sz w:val="24"/>
          <w:szCs w:val="24"/>
        </w:rPr>
        <w:t xml:space="preserve">（一）标的名称：宿迁市国有资产智慧监管一体化平台项目</w:t>
      </w:r>
      <w:r/>
    </w:p>
    <w:p>
      <w:pPr>
        <w:ind w:firstLine="480"/>
        <w:spacing w:line="360" w:lineRule="auto"/>
        <w:rPr>
          <w:rFonts w:ascii="宋体" w:hAnsi="宋体" w:cs="宋体"/>
          <w:sz w:val="24"/>
          <w:szCs w:val="24"/>
        </w:rPr>
      </w:pPr>
      <w:r>
        <w:rPr>
          <w:rFonts w:hint="eastAsia" w:ascii="宋体" w:hAnsi="宋体" w:cs="宋体"/>
          <w:sz w:val="24"/>
          <w:szCs w:val="24"/>
        </w:rPr>
        <w:t xml:space="preserve">（二）标的质量：合格</w:t>
      </w:r>
      <w:r/>
    </w:p>
    <w:p>
      <w:pPr>
        <w:ind w:firstLine="480"/>
        <w:spacing w:line="360" w:lineRule="auto"/>
        <w:rPr>
          <w:rFonts w:ascii="宋体" w:hAnsi="宋体" w:cs="宋体"/>
          <w:sz w:val="24"/>
          <w:szCs w:val="24"/>
        </w:rPr>
      </w:pPr>
      <w:r>
        <w:rPr>
          <w:rFonts w:hint="eastAsia" w:ascii="宋体" w:hAnsi="宋体" w:cs="宋体"/>
          <w:sz w:val="24"/>
          <w:szCs w:val="24"/>
        </w:rPr>
        <w:t xml:space="preserve">（三）标的数量（规模）：详见合同清单</w:t>
      </w:r>
      <w:r/>
    </w:p>
    <w:p>
      <w:pPr>
        <w:ind w:firstLine="480"/>
        <w:spacing w:line="360" w:lineRule="auto"/>
        <w:rPr>
          <w:rFonts w:ascii="宋体" w:hAnsi="宋体" w:cs="宋体"/>
          <w:sz w:val="24"/>
          <w:szCs w:val="24"/>
        </w:rPr>
      </w:pPr>
      <w:r>
        <w:rPr>
          <w:rFonts w:hint="eastAsia" w:ascii="宋体" w:hAnsi="宋体" w:cs="宋体"/>
          <w:sz w:val="24"/>
          <w:szCs w:val="24"/>
        </w:rPr>
        <w:t xml:space="preserve">（四）履行时间（期限）：</w:t>
      </w:r>
      <w:r/>
    </w:p>
    <w:p>
      <w:pPr>
        <w:ind w:firstLine="480"/>
        <w:spacing w:line="360" w:lineRule="auto"/>
        <w:rPr>
          <w:rFonts w:ascii="宋体" w:hAnsi="宋体" w:cs="宋体"/>
          <w:sz w:val="24"/>
          <w:szCs w:val="24"/>
        </w:rPr>
      </w:pPr>
      <w:r>
        <w:rPr>
          <w:rFonts w:hint="eastAsia" w:ascii="宋体" w:hAnsi="宋体" w:cs="宋体"/>
          <w:sz w:val="24"/>
          <w:szCs w:val="24"/>
        </w:rPr>
        <w:t xml:space="preserve">（五）履行地点：采购人指定地点</w:t>
      </w:r>
      <w:r/>
    </w:p>
    <w:p>
      <w:pPr>
        <w:ind w:firstLine="480"/>
        <w:spacing w:line="360" w:lineRule="auto"/>
        <w:rPr>
          <w:rFonts w:ascii="宋体" w:hAnsi="宋体" w:cs="宋体"/>
          <w:sz w:val="24"/>
          <w:szCs w:val="24"/>
        </w:rPr>
      </w:pPr>
      <w:r>
        <w:rPr>
          <w:rFonts w:hint="eastAsia" w:ascii="宋体" w:hAnsi="宋体" w:cs="宋体"/>
          <w:sz w:val="24"/>
          <w:szCs w:val="24"/>
        </w:rPr>
        <w:t xml:space="preserve">（六）人员要求：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1、组建不少于5人的项目组团队。</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本项目须成立项目团队，其中包含：项目负责人和项目组其他成员。供应商一经中标，项目负责人不得随意更换。具体要求如下：</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项目负责人1名：负责整个项目实施方案以及进度计划，工作安排和落实，组织做好各阶段项目的验收与结算工作，全流程跟进项目。</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项目组其他成员：不少于4人，团队须具备软件开发能力、数据库管理、软件整体设计、软件交付能力、网络调试能力和项目日常管理汇报能力。</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2、执行有关项目建设的国家法律、法规、规范、标准和制度，履行合同规定的义务和职责；遵守国家的法律和政府的有关条例、规定和办法等。</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3、项目团队须严格遵守采购人的各项管理规定，服从采购人的统一协调与工作安排。项目实施过程中，须定期向采购人汇报项目进展，及时反馈实施过程中出现的问题与风险，并形成书面记录存档。</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项目团队须在项目实施全过程中保持人员稳定，确保项目工作的连续性和一致性。如因特殊情况确需调整人员，须提前向采购人提交书面申请，说明原因及替代人员资历，经采购人书面同意后方可执行，且替代人员资历不得低于原成员水平。</w:t>
      </w:r>
      <w:r/>
    </w:p>
    <w:p>
      <w:pPr>
        <w:ind w:firstLine="482"/>
        <w:spacing w:line="360" w:lineRule="auto"/>
        <w:rPr>
          <w:rFonts w:ascii="宋体" w:hAnsi="宋体" w:cs="宋体"/>
          <w:b/>
          <w:sz w:val="24"/>
          <w:szCs w:val="24"/>
        </w:rPr>
        <w:outlineLvl w:val="1"/>
      </w:pPr>
      <w:r>
        <w:rPr>
          <w:rFonts w:hint="eastAsia" w:ascii="宋体" w:hAnsi="宋体" w:cs="宋体"/>
          <w:b/>
          <w:sz w:val="24"/>
          <w:szCs w:val="24"/>
        </w:rPr>
        <w:t xml:space="preserve">二、合同金额</w:t>
      </w:r>
      <w:r/>
    </w:p>
    <w:p>
      <w:pPr>
        <w:ind w:firstLine="480"/>
        <w:spacing w:line="360" w:lineRule="auto"/>
        <w:rPr>
          <w:rFonts w:ascii="宋体" w:hAnsi="宋体" w:cs="宋体"/>
          <w:sz w:val="24"/>
          <w:szCs w:val="24"/>
        </w:rPr>
      </w:pPr>
      <w:r>
        <w:rPr>
          <w:rFonts w:hint="eastAsia" w:ascii="宋体" w:hAnsi="宋体" w:cs="宋体"/>
          <w:sz w:val="24"/>
          <w:szCs w:val="24"/>
        </w:rPr>
        <w:t xml:space="preserve">（一）本合同金额为（大写）：____________________________________元（_______________元）人民币或其他币种。</w:t>
      </w:r>
      <w:r/>
    </w:p>
    <w:p>
      <w:pPr>
        <w:ind w:firstLine="480"/>
        <w:spacing w:line="360" w:lineRule="auto"/>
        <w:rPr>
          <w:rFonts w:ascii="宋体" w:hAnsi="宋体" w:cs="宋体"/>
          <w:sz w:val="24"/>
          <w:szCs w:val="24"/>
        </w:rPr>
      </w:pPr>
      <w:r>
        <w:rPr>
          <w:rFonts w:hint="eastAsia" w:ascii="宋体" w:hAnsi="宋体" w:cs="宋体"/>
          <w:sz w:val="24"/>
          <w:szCs w:val="24"/>
        </w:rPr>
        <w:t xml:space="preserve">（二）合同清单</w:t>
      </w:r>
      <w:r/>
    </w:p>
    <w:tbl>
      <w:tblPr>
        <w:tblStyle w:val="745"/>
        <w:tblW w:w="9399"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6"/>
        <w:gridCol w:w="1673"/>
        <w:gridCol w:w="1511"/>
        <w:gridCol w:w="1099"/>
        <w:gridCol w:w="1478"/>
        <w:gridCol w:w="1642"/>
        <w:gridCol w:w="1130"/>
      </w:tblGrid>
      <w:tr>
        <w:trPr>
          <w:cantSplit/>
          <w:trHeight w:val="555"/>
        </w:trPr>
        <w:tc>
          <w:tcPr>
            <w:tcW w:w="866" w:type="dxa"/>
            <w:vAlign w:val="center"/>
            <w:vMerge w:val="restart"/>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序号</w:t>
            </w:r>
            <w:r/>
          </w:p>
        </w:tc>
        <w:tc>
          <w:tcPr>
            <w:tcW w:w="1673" w:type="dxa"/>
            <w:vAlign w:val="center"/>
            <w:textDirection w:val="lrTb"/>
            <w:noWrap w:val="false"/>
          </w:tcPr>
          <w:p>
            <w:pPr>
              <w:jc w:val="center"/>
              <w:spacing w:line="0" w:lineRule="atLeast"/>
              <w:rPr>
                <w:rFonts w:ascii="宋体" w:hAnsi="宋体" w:cs="宋体"/>
                <w:sz w:val="24"/>
                <w:szCs w:val="24"/>
                <w:highlight w:val="yellow"/>
              </w:rPr>
            </w:pPr>
            <w:r>
              <w:rPr>
                <w:rFonts w:hint="eastAsia" w:ascii="宋体" w:hAnsi="宋体" w:cs="宋体"/>
                <w:sz w:val="24"/>
                <w:szCs w:val="24"/>
              </w:rPr>
              <w:t xml:space="preserve">1</w:t>
            </w:r>
            <w:r/>
          </w:p>
        </w:tc>
        <w:tc>
          <w:tcPr>
            <w:tcW w:w="1511"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2</w:t>
            </w:r>
            <w:r/>
          </w:p>
        </w:tc>
        <w:tc>
          <w:tcPr>
            <w:tcW w:w="1099"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3</w:t>
            </w:r>
            <w:r/>
          </w:p>
        </w:tc>
        <w:tc>
          <w:tcPr>
            <w:tcW w:w="1478"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4</w:t>
            </w:r>
            <w:r/>
          </w:p>
        </w:tc>
        <w:tc>
          <w:tcPr>
            <w:tcW w:w="1642"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5</w:t>
            </w:r>
            <w:r/>
          </w:p>
        </w:tc>
        <w:tc>
          <w:tcPr>
            <w:tcW w:w="1130"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6</w:t>
            </w:r>
            <w:r/>
          </w:p>
        </w:tc>
      </w:tr>
      <w:tr>
        <w:trPr>
          <w:cantSplit/>
          <w:trHeight w:val="634"/>
        </w:trPr>
        <w:tc>
          <w:tcPr>
            <w:tcW w:w="866" w:type="dxa"/>
            <w:vAlign w:val="center"/>
            <w:vMerge w:val="continue"/>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673" w:type="dxa"/>
            <w:vAlign w:val="center"/>
            <w:textDirection w:val="lrTb"/>
            <w:noWrap w:val="false"/>
          </w:tcPr>
          <w:p>
            <w:pPr>
              <w:jc w:val="center"/>
              <w:spacing w:line="0" w:lineRule="atLeast"/>
              <w:rPr>
                <w:rFonts w:ascii="宋体" w:hAnsi="宋体" w:cs="宋体"/>
                <w:sz w:val="24"/>
                <w:szCs w:val="24"/>
                <w:highlight w:val="yellow"/>
              </w:rPr>
            </w:pPr>
            <w:r>
              <w:rPr>
                <w:rFonts w:hint="eastAsia" w:ascii="宋体" w:hAnsi="宋体" w:cs="宋体"/>
                <w:sz w:val="24"/>
                <w:szCs w:val="24"/>
              </w:rPr>
              <w:t xml:space="preserve">分项服务名称</w:t>
            </w:r>
            <w:r/>
          </w:p>
        </w:tc>
        <w:tc>
          <w:tcPr>
            <w:tcW w:w="1511"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分项单位</w:t>
            </w:r>
            <w:r/>
          </w:p>
        </w:tc>
        <w:tc>
          <w:tcPr>
            <w:tcW w:w="1099"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数量</w:t>
            </w:r>
            <w:r/>
          </w:p>
        </w:tc>
        <w:tc>
          <w:tcPr>
            <w:tcW w:w="1478"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分项</w:t>
            </w:r>
            <w:r/>
          </w:p>
          <w:p>
            <w:pPr>
              <w:jc w:val="center"/>
              <w:spacing w:line="0" w:lineRule="atLeast"/>
              <w:rPr>
                <w:rFonts w:ascii="宋体" w:hAnsi="宋体" w:cs="宋体"/>
                <w:sz w:val="24"/>
                <w:szCs w:val="24"/>
              </w:rPr>
            </w:pPr>
            <w:r>
              <w:rPr>
                <w:rFonts w:hint="eastAsia" w:ascii="宋体" w:hAnsi="宋体" w:cs="宋体"/>
                <w:sz w:val="24"/>
                <w:szCs w:val="24"/>
              </w:rPr>
              <w:t xml:space="preserve">单价</w:t>
            </w:r>
            <w:r/>
          </w:p>
        </w:tc>
        <w:tc>
          <w:tcPr>
            <w:tcW w:w="1642"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分项</w:t>
            </w:r>
            <w:r/>
          </w:p>
          <w:p>
            <w:pPr>
              <w:jc w:val="center"/>
              <w:spacing w:line="0" w:lineRule="atLeast"/>
              <w:rPr>
                <w:rFonts w:ascii="宋体" w:hAnsi="宋体" w:cs="宋体"/>
                <w:sz w:val="24"/>
                <w:szCs w:val="24"/>
              </w:rPr>
            </w:pPr>
            <w:r>
              <w:rPr>
                <w:rFonts w:hint="eastAsia" w:ascii="宋体" w:hAnsi="宋体" w:cs="宋体"/>
                <w:sz w:val="24"/>
                <w:szCs w:val="24"/>
              </w:rPr>
              <w:t xml:space="preserve">总价</w:t>
            </w:r>
            <w:r/>
          </w:p>
        </w:tc>
        <w:tc>
          <w:tcPr>
            <w:tcW w:w="1130"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备注</w:t>
            </w:r>
            <w:r/>
          </w:p>
        </w:tc>
      </w:tr>
      <w:tr>
        <w:trPr>
          <w:cantSplit/>
          <w:trHeight w:val="666"/>
        </w:trPr>
        <w:tc>
          <w:tcPr>
            <w:tcW w:w="866"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1</w:t>
            </w:r>
            <w:r/>
          </w:p>
        </w:tc>
        <w:tc>
          <w:tcPr>
            <w:tcW w:w="1673"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511"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099"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478"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642"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130"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r>
      <w:tr>
        <w:trPr>
          <w:cantSplit/>
          <w:trHeight w:val="666"/>
        </w:trPr>
        <w:tc>
          <w:tcPr>
            <w:tcW w:w="866"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2</w:t>
            </w:r>
            <w:r/>
          </w:p>
        </w:tc>
        <w:tc>
          <w:tcPr>
            <w:tcW w:w="1673"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511"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099"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478"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642"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130"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r>
      <w:tr>
        <w:trPr>
          <w:cantSplit/>
          <w:trHeight w:val="666"/>
        </w:trPr>
        <w:tc>
          <w:tcPr>
            <w:tcW w:w="866"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3</w:t>
            </w:r>
            <w:r/>
          </w:p>
        </w:tc>
        <w:tc>
          <w:tcPr>
            <w:tcW w:w="1673"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511"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099"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478"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642"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130"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r>
      <w:tr>
        <w:trPr>
          <w:cantSplit/>
          <w:trHeight w:val="666"/>
        </w:trPr>
        <w:tc>
          <w:tcPr>
            <w:tcW w:w="866"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w:t>
            </w:r>
            <w:r/>
          </w:p>
        </w:tc>
        <w:tc>
          <w:tcPr>
            <w:tcW w:w="1673"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w:t>
            </w:r>
            <w:r/>
          </w:p>
        </w:tc>
        <w:tc>
          <w:tcPr>
            <w:tcW w:w="1511"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099"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478"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642"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130"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r>
      <w:tr>
        <w:trPr>
          <w:cantSplit/>
          <w:trHeight w:val="508"/>
        </w:trPr>
        <w:tc>
          <w:tcPr>
            <w:gridSpan w:val="5"/>
            <w:tcW w:w="6627"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总报价（人民币：元）</w:t>
            </w:r>
            <w:r/>
          </w:p>
        </w:tc>
        <w:tc>
          <w:tcPr>
            <w:tcW w:w="1642" w:type="dxa"/>
            <w:vAlign w:val="top"/>
            <w:textDirection w:val="lrTb"/>
            <w:noWrap w:val="false"/>
          </w:tcPr>
          <w:p>
            <w:pPr>
              <w:spacing w:line="0" w:lineRule="atLeast"/>
              <w:rPr>
                <w:rFonts w:ascii="宋体" w:hAnsi="宋体" w:cs="宋体"/>
                <w:sz w:val="24"/>
                <w:szCs w:val="24"/>
              </w:rPr>
            </w:pPr>
            <w:r>
              <w:rPr>
                <w:rFonts w:ascii="宋体" w:hAnsi="宋体" w:cs="宋体"/>
                <w:sz w:val="24"/>
                <w:szCs w:val="24"/>
              </w:rPr>
            </w:r>
            <w:r/>
          </w:p>
        </w:tc>
        <w:tc>
          <w:tcPr>
            <w:tcW w:w="1130" w:type="dxa"/>
            <w:vAlign w:val="top"/>
            <w:textDirection w:val="lrTb"/>
            <w:noWrap w:val="false"/>
          </w:tcPr>
          <w:p>
            <w:pPr>
              <w:spacing w:line="0" w:lineRule="atLeast"/>
              <w:rPr>
                <w:rFonts w:ascii="宋体" w:hAnsi="宋体" w:cs="宋体"/>
                <w:sz w:val="24"/>
                <w:szCs w:val="24"/>
              </w:rPr>
            </w:pPr>
            <w:r>
              <w:rPr>
                <w:rFonts w:ascii="宋体" w:hAnsi="宋体" w:cs="宋体"/>
                <w:sz w:val="24"/>
                <w:szCs w:val="24"/>
              </w:rPr>
            </w:r>
            <w:r/>
          </w:p>
        </w:tc>
      </w:tr>
    </w:tbl>
    <w:p>
      <w:pPr>
        <w:ind w:firstLine="482"/>
        <w:spacing w:line="360" w:lineRule="auto"/>
        <w:rPr>
          <w:rFonts w:ascii="宋体" w:hAnsi="宋体" w:cs="宋体"/>
          <w:b/>
          <w:sz w:val="24"/>
          <w:szCs w:val="24"/>
        </w:rPr>
      </w:pPr>
      <w:r>
        <w:rPr>
          <w:rFonts w:ascii="宋体" w:hAnsi="宋体" w:cs="宋体"/>
          <w:b/>
          <w:sz w:val="24"/>
          <w:szCs w:val="24"/>
        </w:rPr>
      </w:r>
      <w:r/>
    </w:p>
    <w:p>
      <w:pPr>
        <w:ind w:firstLine="482"/>
        <w:spacing w:line="360" w:lineRule="auto"/>
        <w:rPr>
          <w:rFonts w:ascii="宋体" w:hAnsi="宋体" w:cs="宋体"/>
          <w:b/>
          <w:sz w:val="24"/>
          <w:szCs w:val="24"/>
        </w:rPr>
        <w:outlineLvl w:val="1"/>
      </w:pPr>
      <w:r>
        <w:rPr>
          <w:rFonts w:hint="eastAsia" w:ascii="宋体" w:hAnsi="宋体" w:cs="宋体"/>
          <w:b/>
          <w:sz w:val="24"/>
          <w:szCs w:val="24"/>
        </w:rPr>
        <w:t xml:space="preserve">三、技术资料</w:t>
      </w:r>
      <w:r/>
    </w:p>
    <w:p>
      <w:pPr>
        <w:ind w:firstLine="480"/>
        <w:spacing w:line="360" w:lineRule="auto"/>
        <w:rPr>
          <w:rFonts w:ascii="宋体" w:hAnsi="宋体" w:cs="宋体"/>
          <w:sz w:val="24"/>
          <w:szCs w:val="24"/>
        </w:rPr>
      </w:pPr>
      <w:r>
        <w:rPr>
          <w:rFonts w:hint="eastAsia" w:ascii="宋体" w:hAnsi="宋体" w:cs="宋体"/>
          <w:sz w:val="24"/>
          <w:szCs w:val="24"/>
        </w:rPr>
        <w:t xml:space="preserve">3.1乙方应按磋商文件规定的时间向甲方提供与合同标的有关的技术资料。</w:t>
      </w:r>
      <w:r/>
    </w:p>
    <w:p>
      <w:pPr>
        <w:ind w:firstLine="480"/>
        <w:spacing w:line="360" w:lineRule="auto"/>
        <w:rPr>
          <w:rFonts w:ascii="宋体" w:hAnsi="宋体" w:cs="宋体"/>
          <w:sz w:val="24"/>
          <w:szCs w:val="24"/>
        </w:rPr>
      </w:pPr>
      <w:r>
        <w:rPr>
          <w:rFonts w:hint="eastAsia" w:ascii="宋体" w:hAnsi="宋体" w:cs="宋体"/>
          <w:sz w:val="24"/>
          <w:szCs w:val="24"/>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360" w:lineRule="auto"/>
        <w:rPr>
          <w:rFonts w:ascii="宋体" w:hAnsi="宋体" w:cs="宋体"/>
          <w:b/>
          <w:sz w:val="24"/>
          <w:szCs w:val="24"/>
        </w:rPr>
        <w:outlineLvl w:val="1"/>
      </w:pPr>
      <w:r>
        <w:rPr>
          <w:rFonts w:hint="eastAsia" w:ascii="宋体" w:hAnsi="宋体" w:cs="宋体"/>
          <w:b/>
          <w:sz w:val="24"/>
          <w:szCs w:val="24"/>
        </w:rPr>
        <w:t xml:space="preserve">四、知识产权</w:t>
      </w:r>
      <w:r/>
    </w:p>
    <w:p>
      <w:pPr>
        <w:ind w:firstLine="480"/>
        <w:spacing w:line="360" w:lineRule="auto"/>
        <w:rPr>
          <w:rFonts w:ascii="宋体" w:hAnsi="宋体" w:cs="宋体"/>
          <w:sz w:val="24"/>
          <w:szCs w:val="24"/>
        </w:rPr>
      </w:pPr>
      <w:r>
        <w:rPr>
          <w:rFonts w:hint="eastAsia" w:ascii="宋体" w:hAnsi="宋体" w:cs="宋体"/>
          <w:sz w:val="24"/>
          <w:szCs w:val="24"/>
        </w:rPr>
        <w:t xml:space="preserve">4.1乙方应保证甲方在使用、接受本合同标的或其任何一部分时不受第三方提出侵犯其专利权、版权、商标权和工业设计权等知识产权的起诉。一旦出现侵权，由乙方负全部责任。</w:t>
      </w:r>
      <w:r/>
    </w:p>
    <w:p>
      <w:pPr>
        <w:ind w:firstLine="482"/>
        <w:spacing w:line="360" w:lineRule="auto"/>
        <w:rPr>
          <w:rFonts w:ascii="宋体" w:hAnsi="宋体" w:cs="宋体"/>
          <w:sz w:val="24"/>
          <w:szCs w:val="24"/>
          <w:u w:val="single"/>
        </w:rPr>
        <w:outlineLvl w:val="1"/>
      </w:pPr>
      <w:r>
        <w:rPr>
          <w:rFonts w:hint="eastAsia" w:ascii="宋体" w:hAnsi="宋体" w:cs="宋体"/>
          <w:b/>
          <w:sz w:val="24"/>
          <w:szCs w:val="24"/>
        </w:rPr>
        <w:t xml:space="preserve">五、产权担保</w:t>
      </w:r>
      <w:r/>
    </w:p>
    <w:p>
      <w:pPr>
        <w:ind w:firstLine="480"/>
        <w:spacing w:line="360" w:lineRule="auto"/>
        <w:rPr>
          <w:rFonts w:ascii="宋体" w:hAnsi="宋体" w:cs="宋体"/>
          <w:sz w:val="24"/>
          <w:szCs w:val="24"/>
          <w:u w:val="single"/>
        </w:rPr>
      </w:pPr>
      <w:r>
        <w:rPr>
          <w:rFonts w:hint="eastAsia" w:ascii="宋体" w:hAnsi="宋体" w:cs="宋体"/>
          <w:sz w:val="24"/>
          <w:szCs w:val="24"/>
        </w:rPr>
        <w:t xml:space="preserve">5.1乙方保证所交付的合同标的的所有权完全属于乙方且无任何抵押、查封等产权瑕疵。</w:t>
      </w:r>
      <w:r/>
    </w:p>
    <w:p>
      <w:pPr>
        <w:ind w:firstLine="482"/>
        <w:spacing w:line="360" w:lineRule="auto"/>
        <w:rPr>
          <w:rFonts w:ascii="宋体" w:hAnsi="宋体" w:cs="宋体"/>
          <w:b/>
          <w:sz w:val="24"/>
          <w:szCs w:val="24"/>
        </w:rPr>
        <w:outlineLvl w:val="1"/>
      </w:pPr>
      <w:r>
        <w:rPr>
          <w:rFonts w:hint="eastAsia" w:ascii="宋体" w:hAnsi="宋体" w:cs="宋体"/>
          <w:b/>
          <w:sz w:val="24"/>
          <w:szCs w:val="24"/>
        </w:rPr>
        <w:t xml:space="preserve">六、履约保证金</w:t>
      </w:r>
      <w:r/>
    </w:p>
    <w:p>
      <w:pPr>
        <w:ind w:firstLine="480"/>
        <w:spacing w:line="360" w:lineRule="auto"/>
        <w:rPr>
          <w:rFonts w:ascii="宋体" w:hAnsi="宋体" w:cs="宋体"/>
          <w:sz w:val="24"/>
          <w:szCs w:val="24"/>
        </w:rPr>
      </w:pPr>
      <w:r>
        <w:rPr>
          <w:rFonts w:hint="eastAsia" w:ascii="宋体" w:hAnsi="宋体" w:cs="宋体"/>
          <w:sz w:val="24"/>
          <w:szCs w:val="24"/>
        </w:rPr>
        <w:t xml:space="preserve">本项目不收取履约保证金。</w:t>
      </w:r>
      <w:r/>
    </w:p>
    <w:p>
      <w:pPr>
        <w:ind w:firstLine="480"/>
        <w:spacing w:line="360" w:lineRule="auto"/>
        <w:rPr>
          <w:rFonts w:ascii="宋体" w:hAnsi="宋体" w:cs="宋体"/>
          <w:b/>
          <w:sz w:val="24"/>
          <w:szCs w:val="24"/>
        </w:rPr>
        <w:outlineLvl w:val="1"/>
      </w:pPr>
      <w:r>
        <w:rPr>
          <w:rFonts w:hint="eastAsia" w:ascii="宋体" w:hAnsi="宋体" w:cs="宋体"/>
          <w:b/>
          <w:sz w:val="24"/>
          <w:szCs w:val="24"/>
        </w:rPr>
        <w:t xml:space="preserve">七、合同转包或分包</w:t>
      </w:r>
      <w:r/>
    </w:p>
    <w:p>
      <w:pPr>
        <w:ind w:firstLine="480"/>
        <w:spacing w:line="360" w:lineRule="auto"/>
        <w:rPr>
          <w:rFonts w:ascii="宋体" w:hAnsi="宋体" w:cs="宋体"/>
          <w:sz w:val="24"/>
          <w:szCs w:val="24"/>
        </w:rPr>
      </w:pPr>
      <w:r>
        <w:rPr>
          <w:rFonts w:hint="eastAsia" w:ascii="宋体" w:hAnsi="宋体" w:cs="宋体"/>
          <w:sz w:val="24"/>
          <w:szCs w:val="24"/>
        </w:rPr>
        <w:t xml:space="preserve">7.1乙方不得将合同标的转包给他人履行。</w:t>
      </w:r>
      <w:r/>
    </w:p>
    <w:p>
      <w:pPr>
        <w:ind w:firstLine="480"/>
        <w:spacing w:line="360" w:lineRule="auto"/>
        <w:rPr>
          <w:rFonts w:ascii="宋体" w:hAnsi="宋体" w:cs="宋体"/>
          <w:sz w:val="24"/>
          <w:szCs w:val="24"/>
        </w:rPr>
      </w:pPr>
      <w:r>
        <w:rPr>
          <w:rFonts w:hint="eastAsia" w:ascii="宋体" w:hAnsi="宋体" w:cs="宋体"/>
          <w:sz w:val="24"/>
          <w:szCs w:val="24"/>
        </w:rPr>
        <w:t xml:space="preserve">7.2乙方不得将合同标的分包给他人履行。</w:t>
      </w:r>
      <w:r/>
    </w:p>
    <w:p>
      <w:pPr>
        <w:ind w:firstLine="480"/>
        <w:spacing w:line="360" w:lineRule="auto"/>
        <w:rPr>
          <w:rFonts w:ascii="宋体" w:hAnsi="宋体" w:cs="宋体"/>
          <w:sz w:val="24"/>
          <w:szCs w:val="24"/>
        </w:rPr>
      </w:pPr>
      <w:r>
        <w:rPr>
          <w:rFonts w:hint="eastAsia" w:ascii="宋体" w:hAnsi="宋体" w:cs="宋体"/>
          <w:sz w:val="24"/>
          <w:szCs w:val="24"/>
        </w:rPr>
        <w:t xml:space="preserve">7.3乙方如有转包或未经甲方同意的分包行为，甲方有权解除合同。</w:t>
      </w:r>
      <w:r/>
    </w:p>
    <w:p>
      <w:pPr>
        <w:ind w:firstLine="482"/>
        <w:spacing w:line="360" w:lineRule="auto"/>
        <w:rPr>
          <w:rFonts w:ascii="宋体" w:hAnsi="宋体" w:cs="宋体"/>
          <w:b/>
          <w:sz w:val="24"/>
          <w:szCs w:val="24"/>
        </w:rPr>
        <w:outlineLvl w:val="1"/>
      </w:pPr>
      <w:r>
        <w:rPr>
          <w:rFonts w:hint="eastAsia" w:ascii="宋体" w:hAnsi="宋体" w:cs="宋体"/>
          <w:b/>
          <w:sz w:val="24"/>
          <w:szCs w:val="24"/>
        </w:rPr>
        <w:t xml:space="preserve">八、合同款项支付</w:t>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付款方式：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预付款：签订合同后，收到供应商发票10个工作日内支付合同价款30%作为预付款。</w:t>
      </w:r>
      <w:r/>
    </w:p>
    <w:p>
      <w:pPr>
        <w:ind w:firstLine="480"/>
        <w:spacing w:line="480" w:lineRule="exact"/>
        <w:rPr>
          <w:rFonts w:ascii="Times New Roman" w:hAnsi="Times New Roman" w:cs="仿宋"/>
          <w:sz w:val="24"/>
        </w:rPr>
      </w:pPr>
      <w:r>
        <w:rPr>
          <w:rFonts w:hint="eastAsia" w:ascii="Times New Roman" w:hAnsi="Times New Roman" w:cs="仿宋"/>
          <w:sz w:val="24"/>
        </w:rPr>
        <w:t xml:space="preserve">进度款：平台建设完成</w:t>
      </w:r>
      <w:r>
        <w:rPr>
          <w:rFonts w:hint="eastAsia" w:ascii="Times New Roman" w:hAnsi="Times New Roman" w:cs="仿宋"/>
          <w:sz w:val="24"/>
          <w:lang w:val="en-US" w:eastAsia="zh-CN"/>
        </w:rPr>
        <w:t xml:space="preserve">且</w:t>
      </w:r>
      <w:r>
        <w:rPr>
          <w:rFonts w:hint="eastAsia" w:ascii="Times New Roman" w:hAnsi="Times New Roman" w:cs="仿宋"/>
          <w:sz w:val="24"/>
        </w:rPr>
        <w:t xml:space="preserve">试运行3个月期满后由采购人组织</w:t>
      </w:r>
      <w:r>
        <w:rPr>
          <w:rFonts w:hint="eastAsia" w:ascii="Times New Roman" w:hAnsi="Times New Roman" w:cs="仿宋"/>
          <w:sz w:val="24"/>
          <w:lang w:val="en-US" w:eastAsia="zh-CN"/>
        </w:rPr>
        <w:t xml:space="preserve">确认</w:t>
      </w:r>
      <w:r>
        <w:rPr>
          <w:rFonts w:hint="eastAsia" w:ascii="Times New Roman" w:hAnsi="Times New Roman" w:cs="仿宋"/>
          <w:sz w:val="24"/>
        </w:rPr>
        <w:t xml:space="preserve">，</w:t>
      </w:r>
      <w:r>
        <w:rPr>
          <w:rFonts w:hint="eastAsia" w:ascii="Times New Roman" w:hAnsi="Times New Roman" w:cs="仿宋"/>
          <w:sz w:val="24"/>
          <w:lang w:val="en-US" w:eastAsia="zh-CN"/>
        </w:rPr>
        <w:t xml:space="preserve">试运行</w:t>
      </w:r>
      <w:r>
        <w:rPr>
          <w:rFonts w:hint="eastAsia" w:ascii="Times New Roman" w:hAnsi="Times New Roman" w:cs="仿宋"/>
          <w:sz w:val="24"/>
        </w:rPr>
        <w:t xml:space="preserve">合格后，收到供应商发票10个工作日内支付至合同总价款的</w:t>
      </w:r>
      <w:r>
        <w:rPr>
          <w:rFonts w:hint="eastAsia" w:ascii="Times New Roman" w:hAnsi="Times New Roman" w:cs="仿宋"/>
          <w:sz w:val="24"/>
          <w:lang w:val="en-US" w:eastAsia="zh-CN"/>
        </w:rPr>
        <w:t xml:space="preserve">7</w:t>
      </w:r>
      <w:r>
        <w:rPr>
          <w:rFonts w:hint="eastAsia" w:ascii="Times New Roman" w:hAnsi="Times New Roman" w:cs="仿宋"/>
          <w:sz w:val="24"/>
        </w:rPr>
        <w:t xml:space="preserve">0%。</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验收款：运维期满后（以采购人</w:t>
      </w:r>
      <w:r>
        <w:rPr>
          <w:rFonts w:hint="eastAsia" w:ascii="Times New Roman" w:hAnsi="Times New Roman" w:cs="仿宋"/>
          <w:sz w:val="24"/>
          <w:lang w:val="en-US" w:eastAsia="zh-CN"/>
        </w:rPr>
        <w:t xml:space="preserve">确认试运行合格之日</w:t>
      </w:r>
      <w:r>
        <w:rPr>
          <w:rFonts w:hint="eastAsia" w:ascii="Times New Roman" w:hAnsi="Times New Roman" w:cs="仿宋"/>
          <w:sz w:val="24"/>
        </w:rPr>
        <w:t xml:space="preserve">为起始时间），由采购人组织验收，验收合格后，收到供应商发票10个工作日内支付至合同总价款的100%。</w:t>
      </w:r>
      <w:r/>
    </w:p>
    <w:p>
      <w:pPr>
        <w:ind w:firstLine="480"/>
        <w:spacing w:line="480" w:lineRule="exact"/>
        <w:rPr>
          <w:rFonts w:hint="eastAsia" w:ascii="Times New Roman" w:hAnsi="Times New Roman" w:eastAsia="宋体" w:cs="仿宋"/>
          <w:sz w:val="24"/>
          <w:lang w:val="zh-CN"/>
        </w:rPr>
      </w:pPr>
      <w:r>
        <w:rPr>
          <w:rFonts w:hint="eastAsia" w:asciiTheme="minorEastAsia" w:hAnsiTheme="minorEastAsia" w:eastAsiaTheme="minorEastAsia" w:cstheme="minorEastAsia"/>
          <w:sz w:val="24"/>
          <w:lang w:val="zh-CN"/>
        </w:rPr>
        <w:t xml:space="preserve">注：1、在签订合同时，成</w:t>
      </w:r>
      <w:r>
        <w:rPr>
          <w:rFonts w:hint="eastAsia" w:ascii="Times New Roman" w:hAnsi="Times New Roman" w:eastAsia="宋体" w:cs="仿宋"/>
          <w:sz w:val="24"/>
          <w:lang w:val="zh-CN"/>
        </w:rPr>
        <w:t xml:space="preserve">交人明确表示无需预付款或者主动要求降低预付款比例的金额，采购人可不适用预付款规定。</w:t>
      </w:r>
      <w:r/>
    </w:p>
    <w:p>
      <w:pPr>
        <w:ind w:firstLine="480"/>
        <w:spacing w:line="480" w:lineRule="exact"/>
        <w:rPr>
          <w:rFonts w:hint="eastAsia" w:ascii="Times New Roman" w:hAnsi="Times New Roman" w:eastAsia="宋体" w:cs="仿宋"/>
          <w:sz w:val="24"/>
          <w:lang w:val="zh-CN"/>
        </w:rPr>
      </w:pPr>
      <w:r>
        <w:rPr>
          <w:rFonts w:hint="eastAsia" w:ascii="Times New Roman" w:hAnsi="Times New Roman" w:eastAsia="宋体" w:cs="仿宋"/>
          <w:sz w:val="24"/>
        </w:rPr>
        <w:t xml:space="preserve">2、</w:t>
      </w:r>
      <w:r>
        <w:rPr>
          <w:rFonts w:hint="eastAsia" w:ascii="Times New Roman" w:hAnsi="Times New Roman" w:eastAsia="宋体" w:cs="仿宋"/>
          <w:sz w:val="24"/>
          <w:lang w:val="zh-CN"/>
        </w:rPr>
        <w:t xml:space="preserve">支付方式可以通过转账或数字人民币等方式。</w:t>
      </w:r>
      <w:r/>
    </w:p>
    <w:p>
      <w:pPr>
        <w:ind w:firstLine="480"/>
        <w:spacing w:line="480" w:lineRule="exact"/>
        <w:rPr>
          <w:rFonts w:hint="eastAsia" w:ascii="Times New Roman" w:hAnsi="Times New Roman" w:eastAsia="宋体" w:cs="仿宋"/>
          <w:sz w:val="24"/>
        </w:rPr>
      </w:pPr>
      <w:r>
        <w:rPr>
          <w:rFonts w:hint="eastAsia" w:ascii="Times New Roman" w:hAnsi="Times New Roman" w:eastAsia="宋体" w:cs="仿宋"/>
          <w:sz w:val="24"/>
        </w:rPr>
        <w:t xml:space="preserve">3、</w:t>
      </w:r>
      <w:r>
        <w:rPr>
          <w:rFonts w:hint="eastAsia" w:ascii="Times New Roman" w:hAnsi="Times New Roman" w:eastAsia="宋体" w:cs="仿宋"/>
          <w:sz w:val="24"/>
          <w:lang w:val="zh-CN"/>
        </w:rPr>
        <w:t xml:space="preserve">资金支付的主体：宿迁市楚润数据集团有限公司。</w:t>
      </w:r>
      <w:r/>
    </w:p>
    <w:p>
      <w:pPr>
        <w:ind w:firstLine="482"/>
        <w:spacing w:line="360" w:lineRule="auto"/>
        <w:rPr>
          <w:rFonts w:ascii="宋体" w:hAnsi="宋体" w:cs="宋体"/>
          <w:b/>
          <w:sz w:val="24"/>
          <w:szCs w:val="24"/>
        </w:rPr>
        <w:outlineLvl w:val="1"/>
      </w:pPr>
      <w:r>
        <w:rPr>
          <w:rFonts w:hint="eastAsia" w:ascii="宋体" w:hAnsi="宋体" w:cs="宋体"/>
          <w:b/>
          <w:sz w:val="24"/>
          <w:szCs w:val="24"/>
        </w:rPr>
        <w:t xml:space="preserve">九、税费</w:t>
      </w:r>
      <w:r/>
    </w:p>
    <w:p>
      <w:pPr>
        <w:ind w:firstLine="480"/>
        <w:spacing w:line="360" w:lineRule="auto"/>
        <w:rPr>
          <w:rFonts w:ascii="宋体" w:hAnsi="宋体" w:cs="宋体"/>
          <w:sz w:val="24"/>
          <w:szCs w:val="24"/>
        </w:rPr>
      </w:pPr>
      <w:r>
        <w:rPr>
          <w:rFonts w:hint="eastAsia" w:ascii="宋体" w:hAnsi="宋体" w:cs="宋体"/>
          <w:sz w:val="24"/>
          <w:szCs w:val="24"/>
        </w:rPr>
        <w:t xml:space="preserve">9.1本合同执行中相关的一切税费均由乙方负担。</w:t>
      </w:r>
      <w:r/>
    </w:p>
    <w:p>
      <w:pPr>
        <w:ind w:firstLine="482"/>
        <w:spacing w:line="360" w:lineRule="auto"/>
        <w:rPr>
          <w:rFonts w:ascii="宋体" w:hAnsi="宋体" w:cs="宋体"/>
          <w:b/>
          <w:sz w:val="24"/>
          <w:szCs w:val="24"/>
        </w:rPr>
        <w:outlineLvl w:val="1"/>
      </w:pPr>
      <w:r>
        <w:rPr>
          <w:rFonts w:hint="eastAsia" w:ascii="宋体" w:hAnsi="宋体" w:cs="宋体"/>
          <w:b/>
          <w:sz w:val="24"/>
          <w:szCs w:val="24"/>
        </w:rPr>
        <w:t xml:space="preserve">十、项目验收</w:t>
      </w:r>
      <w:r/>
    </w:p>
    <w:p>
      <w:pPr>
        <w:ind w:firstLine="482"/>
        <w:spacing w:line="480" w:lineRule="exact"/>
        <w:rPr>
          <w:rFonts w:hint="eastAsia" w:cs="宋体" w:asciiTheme="minorEastAsia" w:hAnsiTheme="minorEastAsia"/>
          <w:bCs/>
          <w:sz w:val="24"/>
          <w:szCs w:val="24"/>
        </w:rPr>
      </w:pPr>
      <w:r>
        <w:rPr>
          <w:rFonts w:hint="eastAsia" w:cs="宋体" w:asciiTheme="minorEastAsia" w:hAnsiTheme="minorEastAsia"/>
          <w:bCs/>
          <w:sz w:val="24"/>
          <w:szCs w:val="24"/>
        </w:rPr>
        <w:t xml:space="preserve">1、</w:t>
      </w:r>
      <w:r>
        <w:rPr>
          <w:rFonts w:hint="eastAsia" w:ascii="Times New Roman" w:hAnsi="Times New Roman" w:cs="仿宋"/>
          <w:sz w:val="24"/>
          <w:szCs w:val="24"/>
        </w:rPr>
        <w:t xml:space="preserve">合同签订后，成交供应商须在7个日历天内进场实施，3个月内完成系统建设并上线试运行</w:t>
      </w:r>
      <w:r>
        <w:rPr>
          <w:rFonts w:hint="default" w:ascii="Times New Roman" w:hAnsi="Times New Roman" w:eastAsia="宋体" w:cs="Times New Roman"/>
          <w:b w:val="0"/>
          <w:bCs/>
          <w:color w:val="auto"/>
          <w:sz w:val="24"/>
          <w:szCs w:val="24"/>
          <w:lang w:val="en-US" w:eastAsia="zh-CN" w:bidi="ar-SA"/>
        </w:rPr>
        <w:t xml:space="preserve">，随后进入 3 个月试运行。试运行出现问题的，成交供应商需在 5 日内调整完毕。试运行结束后</w:t>
      </w:r>
      <w:r>
        <w:rPr>
          <w:rFonts w:hint="eastAsia" w:ascii="Times New Roman" w:hAnsi="Times New Roman" w:eastAsia="宋体" w:cs="Times New Roman"/>
          <w:b w:val="0"/>
          <w:bCs/>
          <w:color w:val="auto"/>
          <w:sz w:val="24"/>
          <w:szCs w:val="24"/>
          <w:lang w:val="en-US" w:eastAsia="zh-CN" w:bidi="ar-SA"/>
        </w:rPr>
        <w:t xml:space="preserve">满</w:t>
      </w:r>
      <w:r>
        <w:rPr>
          <w:rFonts w:hint="eastAsia" w:ascii="Times New Roman" w:hAnsi="Times New Roman" w:cs="Times New Roman"/>
          <w:b w:val="0"/>
          <w:bCs/>
          <w:color w:val="auto"/>
          <w:sz w:val="24"/>
          <w:szCs w:val="24"/>
          <w:lang w:val="en-US" w:eastAsia="zh-CN" w:bidi="ar-SA"/>
        </w:rPr>
        <w:t xml:space="preserve">30个月</w:t>
      </w:r>
      <w:r>
        <w:rPr>
          <w:rFonts w:hint="default" w:ascii="Times New Roman" w:hAnsi="Times New Roman" w:eastAsia="宋体" w:cs="Times New Roman"/>
          <w:b w:val="0"/>
          <w:bCs/>
          <w:color w:val="auto"/>
          <w:sz w:val="24"/>
          <w:szCs w:val="24"/>
          <w:lang w:val="en-US" w:eastAsia="zh-CN" w:bidi="ar-SA"/>
        </w:rPr>
        <w:t xml:space="preserve">，采购人根据</w:t>
      </w:r>
      <w:r>
        <w:rPr>
          <w:rFonts w:hint="eastAsia" w:ascii="Times New Roman" w:hAnsi="Times New Roman" w:cs="Times New Roman"/>
          <w:b w:val="0"/>
          <w:bCs/>
          <w:color w:val="auto"/>
          <w:sz w:val="24"/>
          <w:szCs w:val="24"/>
          <w:lang w:val="en-US" w:eastAsia="zh-CN" w:bidi="ar-SA"/>
        </w:rPr>
        <w:t xml:space="preserve">采购内容</w:t>
      </w:r>
      <w:r>
        <w:rPr>
          <w:rFonts w:hint="default" w:ascii="Times New Roman" w:hAnsi="Times New Roman" w:eastAsia="宋体" w:cs="Times New Roman"/>
          <w:b w:val="0"/>
          <w:bCs/>
          <w:color w:val="auto"/>
          <w:sz w:val="24"/>
          <w:szCs w:val="24"/>
          <w:lang w:val="en-US" w:eastAsia="zh-CN" w:bidi="ar-SA"/>
        </w:rPr>
        <w:t xml:space="preserve">在 3 个工作日内组织验收，验收无误后出具验收报告。</w:t>
      </w:r>
      <w:r/>
    </w:p>
    <w:p>
      <w:pPr>
        <w:pStyle w:val="1494"/>
        <w:ind w:firstLine="482"/>
        <w:spacing w:line="480" w:lineRule="exact"/>
        <w:rPr>
          <w:rFonts w:hint="eastAsia" w:cs="宋体" w:asciiTheme="minorEastAsia" w:hAnsiTheme="minorEastAsia"/>
          <w:bCs/>
          <w:sz w:val="24"/>
          <w:szCs w:val="24"/>
        </w:rPr>
      </w:pPr>
      <w:r>
        <w:rPr>
          <w:rFonts w:hint="eastAsia" w:ascii="宋体" w:hAnsi="宋体" w:cs="宋体"/>
          <w:sz w:val="24"/>
          <w:szCs w:val="24"/>
        </w:rPr>
        <w:t xml:space="preserve">2、</w:t>
      </w:r>
      <w:r>
        <w:rPr>
          <w:rFonts w:hint="eastAsia" w:cs="宋体" w:asciiTheme="minorEastAsia" w:hAnsiTheme="minorEastAsia"/>
          <w:bCs/>
          <w:sz w:val="24"/>
          <w:szCs w:val="24"/>
        </w:rPr>
        <w:t xml:space="preserve">验收小组组建和验收程序符合《江苏省政府采购履约验收管理办法》（苏财规〔2024〕7号）规定，并满足采购人实际需求，</w:t>
      </w:r>
      <w:r>
        <w:rPr>
          <w:rFonts w:cs="宋体" w:asciiTheme="minorEastAsia" w:hAnsiTheme="minorEastAsia"/>
          <w:bCs/>
          <w:sz w:val="24"/>
          <w:szCs w:val="24"/>
        </w:rPr>
        <w:t xml:space="preserve">当</w:t>
      </w:r>
      <w:r>
        <w:rPr>
          <w:rFonts w:hint="eastAsia" w:cs="宋体" w:asciiTheme="minorEastAsia" w:hAnsiTheme="minorEastAsia"/>
          <w:bCs/>
          <w:sz w:val="24"/>
          <w:szCs w:val="24"/>
        </w:rPr>
        <w:t xml:space="preserve">标准、规范等不一致的，以要求高的为准。</w:t>
      </w:r>
      <w:r/>
    </w:p>
    <w:p>
      <w:pPr>
        <w:ind w:firstLine="480"/>
        <w:spacing w:line="360" w:lineRule="auto"/>
        <w:rPr>
          <w:rFonts w:ascii="宋体" w:hAnsi="宋体" w:cs="宋体"/>
          <w:sz w:val="24"/>
          <w:szCs w:val="24"/>
        </w:rPr>
      </w:pPr>
      <w:r>
        <w:rPr>
          <w:rFonts w:hint="eastAsia" w:cs="宋体" w:asciiTheme="minorEastAsia" w:hAnsiTheme="minorEastAsia"/>
          <w:bCs/>
          <w:sz w:val="24"/>
          <w:szCs w:val="24"/>
          <w:lang w:val="en-US" w:eastAsia="zh-CN"/>
        </w:rPr>
        <w:t xml:space="preserve">3、</w:t>
      </w:r>
      <w:r>
        <w:rPr>
          <w:rFonts w:hint="eastAsia" w:ascii="宋体" w:hAnsi="宋体"/>
          <w:bCs/>
          <w:color w:val="000000" w:themeColor="text1"/>
          <w:sz w:val="24"/>
          <w:szCs w:val="24"/>
          <w:highlight w:val="none"/>
        </w:rPr>
        <w:t xml:space="preserve">验收标准：本项目验收工作由包括甲方、评审专家和用户体系代表等在内的项目验收小组来完成，具体成员和组织形式由甲方确定。验收标准以</w:t>
      </w:r>
      <w:r>
        <w:rPr>
          <w:rFonts w:hint="eastAsia" w:ascii="宋体" w:hAnsi="宋体"/>
          <w:bCs/>
          <w:color w:val="000000" w:themeColor="text1"/>
          <w:sz w:val="24"/>
          <w:szCs w:val="24"/>
          <w:highlight w:val="none"/>
          <w:lang w:eastAsia="zh-CN"/>
        </w:rPr>
        <w:t xml:space="preserve">采购</w:t>
      </w:r>
      <w:r>
        <w:rPr>
          <w:rFonts w:hint="eastAsia" w:ascii="宋体" w:hAnsi="宋体"/>
          <w:bCs/>
          <w:color w:val="000000" w:themeColor="text1"/>
          <w:sz w:val="24"/>
          <w:szCs w:val="24"/>
          <w:highlight w:val="none"/>
        </w:rPr>
        <w:t xml:space="preserve">文件、响应文件等为依据，乙方提供项目验收相关材料，包括：合同；用户需求说明书；概要设计说明书；数据及数据库设计要求说明书；详细设计说明书；用户手册；组织系统培训会系统接口规范等。</w:t>
      </w:r>
      <w:r/>
    </w:p>
    <w:p>
      <w:pPr>
        <w:ind w:firstLine="482"/>
        <w:spacing w:line="360" w:lineRule="auto"/>
        <w:rPr>
          <w:rFonts w:ascii="宋体" w:hAnsi="宋体" w:cs="宋体"/>
          <w:b/>
          <w:sz w:val="24"/>
          <w:szCs w:val="24"/>
        </w:rPr>
        <w:outlineLvl w:val="1"/>
      </w:pPr>
      <w:r>
        <w:rPr>
          <w:rFonts w:hint="eastAsia" w:ascii="宋体" w:hAnsi="宋体" w:cs="宋体"/>
          <w:b/>
          <w:sz w:val="24"/>
          <w:szCs w:val="24"/>
        </w:rPr>
        <w:t xml:space="preserve">十一、违约责任</w:t>
      </w:r>
      <w:r/>
    </w:p>
    <w:p>
      <w:pPr>
        <w:ind w:firstLine="480"/>
        <w:spacing w:line="360" w:lineRule="auto"/>
        <w:rPr>
          <w:rFonts w:ascii="宋体" w:hAnsi="宋体" w:cs="宋体"/>
          <w:sz w:val="24"/>
          <w:szCs w:val="24"/>
        </w:rPr>
      </w:pPr>
      <w:r>
        <w:rPr>
          <w:rFonts w:hint="eastAsia" w:ascii="宋体" w:hAnsi="宋体" w:cs="宋体"/>
          <w:sz w:val="24"/>
          <w:szCs w:val="24"/>
        </w:rPr>
        <w:t xml:space="preserve">11.1甲方无正当理由拒绝接受乙方提供的合同标的的，甲方向乙方偿付拒绝接受合同价款总值</w:t>
      </w:r>
      <w:r>
        <w:rPr>
          <w:rFonts w:ascii="宋体" w:hAnsi="宋体" w:cs="宋体"/>
          <w:sz w:val="24"/>
          <w:szCs w:val="24"/>
          <w:u w:val="single"/>
        </w:rPr>
        <w:t xml:space="preserve">   </w:t>
      </w:r>
      <w:r>
        <w:rPr>
          <w:rFonts w:hint="eastAsia" w:ascii="宋体" w:hAnsi="宋体" w:cs="宋体"/>
          <w:sz w:val="24"/>
          <w:szCs w:val="24"/>
          <w:u w:val="single"/>
        </w:rPr>
        <w:t xml:space="preserve">‰</w:t>
      </w:r>
      <w:r>
        <w:rPr>
          <w:rFonts w:hint="eastAsia" w:ascii="宋体" w:hAnsi="宋体" w:cs="宋体"/>
          <w:sz w:val="24"/>
          <w:szCs w:val="24"/>
        </w:rPr>
        <w:t xml:space="preserve">的违约金。</w:t>
      </w:r>
      <w:r/>
    </w:p>
    <w:p>
      <w:pPr>
        <w:ind w:firstLine="480"/>
        <w:spacing w:line="360" w:lineRule="auto"/>
        <w:rPr>
          <w:rFonts w:ascii="宋体" w:hAnsi="宋体" w:cs="宋体"/>
          <w:sz w:val="24"/>
          <w:szCs w:val="24"/>
        </w:rPr>
      </w:pPr>
      <w:r>
        <w:rPr>
          <w:rFonts w:hint="eastAsia" w:ascii="宋体" w:hAnsi="宋体" w:cs="宋体"/>
          <w:sz w:val="24"/>
          <w:szCs w:val="24"/>
        </w:rPr>
        <w:t xml:space="preserve">11.2甲方无故逾期验收和办理合同款项支付手续的,甲方应按逾期付款总额</w:t>
      </w:r>
      <w:r>
        <w:rPr>
          <w:rFonts w:ascii="宋体" w:hAnsi="宋体" w:cs="宋体"/>
          <w:sz w:val="24"/>
          <w:szCs w:val="24"/>
          <w:u w:val="single"/>
        </w:rPr>
        <w:t xml:space="preserve">   </w:t>
      </w:r>
      <w:r>
        <w:rPr>
          <w:rFonts w:hint="eastAsia" w:ascii="宋体" w:hAnsi="宋体" w:cs="宋体"/>
          <w:sz w:val="24"/>
          <w:szCs w:val="24"/>
          <w:u w:val="single"/>
        </w:rPr>
        <w:t xml:space="preserve">‰</w:t>
      </w:r>
      <w:r>
        <w:rPr>
          <w:rFonts w:hint="eastAsia" w:ascii="宋体" w:hAnsi="宋体" w:cs="宋体"/>
          <w:sz w:val="24"/>
          <w:szCs w:val="24"/>
        </w:rPr>
        <w:t xml:space="preserve">每日向乙方支付违约金。</w:t>
      </w:r>
      <w:r/>
    </w:p>
    <w:p>
      <w:pPr>
        <w:ind w:firstLine="480"/>
        <w:spacing w:line="360" w:lineRule="auto"/>
        <w:rPr>
          <w:rFonts w:ascii="宋体" w:hAnsi="宋体" w:cs="宋体"/>
          <w:sz w:val="24"/>
          <w:szCs w:val="24"/>
        </w:rPr>
      </w:pPr>
      <w:r>
        <w:rPr>
          <w:rFonts w:hint="eastAsia" w:ascii="宋体" w:hAnsi="宋体" w:cs="宋体"/>
          <w:sz w:val="24"/>
          <w:szCs w:val="24"/>
        </w:rPr>
        <w:t xml:space="preserve">11.3乙方逾期交付合同标的的，乙方应按逾期交付合同总额</w:t>
      </w:r>
      <w:r>
        <w:rPr>
          <w:rFonts w:hint="eastAsia" w:ascii="宋体" w:hAnsi="宋体" w:cs="宋体"/>
          <w:sz w:val="24"/>
          <w:szCs w:val="24"/>
          <w:u w:val="single"/>
        </w:rPr>
        <w:t xml:space="preserve">每日 </w:t>
      </w:r>
      <w:r>
        <w:rPr>
          <w:rFonts w:ascii="宋体" w:hAnsi="宋体" w:cs="宋体"/>
          <w:sz w:val="24"/>
          <w:szCs w:val="24"/>
          <w:u w:val="single"/>
        </w:rPr>
        <w:t xml:space="preserve">  </w:t>
      </w:r>
      <w:r>
        <w:rPr>
          <w:rFonts w:hint="eastAsia" w:ascii="宋体" w:hAnsi="宋体" w:cs="宋体"/>
          <w:sz w:val="24"/>
          <w:szCs w:val="24"/>
          <w:u w:val="single"/>
        </w:rPr>
        <w:t xml:space="preserve">‰</w:t>
      </w:r>
      <w:r>
        <w:rPr>
          <w:rFonts w:hint="eastAsia" w:ascii="宋体" w:hAnsi="宋体" w:cs="宋体"/>
          <w:sz w:val="24"/>
          <w:szCs w:val="24"/>
        </w:rPr>
        <w:t xml:space="preserve">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ascii="宋体" w:hAnsi="宋体" w:cs="宋体"/>
          <w:sz w:val="24"/>
          <w:szCs w:val="24"/>
          <w:u w:val="single"/>
        </w:rPr>
        <w:t xml:space="preserve">   </w:t>
      </w:r>
      <w:r>
        <w:rPr>
          <w:rFonts w:hint="eastAsia" w:ascii="宋体" w:hAnsi="宋体" w:cs="宋体"/>
          <w:sz w:val="24"/>
          <w:szCs w:val="24"/>
          <w:u w:val="single"/>
        </w:rPr>
        <w:t xml:space="preserve">‰</w:t>
      </w:r>
      <w:r>
        <w:rPr>
          <w:rFonts w:hint="eastAsia" w:ascii="宋体" w:hAnsi="宋体" w:cs="宋体"/>
          <w:sz w:val="24"/>
          <w:szCs w:val="24"/>
        </w:rPr>
        <w:t xml:space="preserve">的违约金，如造成甲方损失超过违约金的，超出部分由乙方继续承担赔偿责任。</w:t>
      </w:r>
      <w:r/>
    </w:p>
    <w:p>
      <w:pPr>
        <w:ind w:firstLine="480"/>
        <w:spacing w:line="360" w:lineRule="auto"/>
        <w:rPr>
          <w:rFonts w:ascii="宋体" w:hAnsi="宋体" w:cs="宋体"/>
          <w:sz w:val="24"/>
          <w:szCs w:val="24"/>
        </w:rPr>
      </w:pPr>
      <w:r>
        <w:rPr>
          <w:rFonts w:hint="eastAsia" w:ascii="宋体" w:hAnsi="宋体" w:cs="宋体"/>
          <w:sz w:val="24"/>
          <w:szCs w:val="24"/>
        </w:rPr>
        <w:t xml:space="preserve">11.4乙方交付合同标的的标准不符合合同规定及磋商文件规定标准的，甲方有权拒绝接受合同标的，并可单方面解除合同。</w:t>
      </w:r>
      <w:r/>
    </w:p>
    <w:p>
      <w:pPr>
        <w:ind w:firstLine="480"/>
        <w:spacing w:line="360" w:lineRule="auto"/>
        <w:rPr>
          <w:rFonts w:ascii="宋体" w:hAnsi="宋体" w:cs="宋体"/>
          <w:sz w:val="24"/>
          <w:szCs w:val="24"/>
        </w:rPr>
      </w:pPr>
      <w:r>
        <w:rPr>
          <w:rFonts w:hint="eastAsia" w:ascii="宋体" w:hAnsi="宋体" w:cs="宋体"/>
          <w:sz w:val="24"/>
          <w:szCs w:val="24"/>
        </w:rPr>
        <w:t xml:space="preserve">11.5甲方逾期退还履约保证金的违约责任：除应当退还履约保证金外，还应当按中国人民银行同期贷款基准利率上浮20％后的利率支付超期资金占用费，但因供应商自身原因导致无法及时退还的除外。</w:t>
      </w:r>
      <w:r/>
    </w:p>
    <w:p>
      <w:pPr>
        <w:ind w:firstLine="482"/>
        <w:spacing w:line="360" w:lineRule="auto"/>
        <w:rPr>
          <w:rFonts w:ascii="宋体" w:hAnsi="宋体" w:cs="宋体"/>
          <w:b/>
          <w:sz w:val="24"/>
          <w:szCs w:val="24"/>
        </w:rPr>
        <w:outlineLvl w:val="1"/>
      </w:pPr>
      <w:r>
        <w:rPr>
          <w:rFonts w:hint="eastAsia" w:ascii="宋体" w:hAnsi="宋体" w:cs="宋体"/>
          <w:b/>
          <w:sz w:val="24"/>
          <w:szCs w:val="24"/>
        </w:rPr>
        <w:t xml:space="preserve">十二、供应商合法权益补偿机制</w:t>
      </w:r>
      <w:r/>
    </w:p>
    <w:p>
      <w:pPr>
        <w:pStyle w:val="1479"/>
        <w:ind w:firstLine="480"/>
        <w:spacing w:line="360" w:lineRule="auto"/>
        <w:rPr>
          <w:rFonts w:ascii="宋体" w:hAnsi="宋体" w:cs="宋体"/>
          <w:sz w:val="24"/>
          <w:szCs w:val="24"/>
        </w:rPr>
      </w:pPr>
      <w:r/>
      <w:bookmarkStart w:id="103" w:name="_Toc23650"/>
      <w:r>
        <w:rPr>
          <w:rFonts w:hint="eastAsia" w:ascii="宋体" w:hAnsi="宋体" w:cs="宋体"/>
          <w:sz w:val="24"/>
          <w:szCs w:val="24"/>
        </w:rPr>
        <w:t xml:space="preserve">供应商合法权益补偿救济机制。在履约过程因政策变化、规划调整而无法履行合同约定，造成企业合法权益受损的，采购人依据实际情况对供应商进行补偿救济。</w:t>
      </w:r>
      <w:bookmarkEnd w:id="103"/>
      <w:r/>
      <w:r/>
    </w:p>
    <w:p>
      <w:pPr>
        <w:ind w:firstLine="482"/>
        <w:spacing w:line="360" w:lineRule="auto"/>
        <w:rPr>
          <w:rFonts w:ascii="宋体" w:hAnsi="宋体" w:cs="宋体"/>
          <w:b/>
          <w:sz w:val="24"/>
          <w:szCs w:val="24"/>
        </w:rPr>
        <w:outlineLvl w:val="1"/>
      </w:pPr>
      <w:r>
        <w:rPr>
          <w:rFonts w:hint="eastAsia" w:ascii="宋体" w:hAnsi="宋体" w:cs="宋体"/>
          <w:b/>
          <w:sz w:val="24"/>
          <w:szCs w:val="24"/>
        </w:rPr>
        <w:t xml:space="preserve">十三、不可抗力事件处理</w:t>
      </w:r>
      <w:r/>
    </w:p>
    <w:p>
      <w:pPr>
        <w:ind w:firstLine="480"/>
        <w:spacing w:line="360" w:lineRule="auto"/>
        <w:rPr>
          <w:rFonts w:ascii="宋体" w:hAnsi="宋体" w:cs="宋体"/>
          <w:sz w:val="24"/>
          <w:szCs w:val="24"/>
        </w:rPr>
      </w:pPr>
      <w:r>
        <w:rPr>
          <w:rFonts w:hint="eastAsia" w:ascii="宋体" w:hAnsi="宋体" w:cs="宋体"/>
          <w:sz w:val="24"/>
          <w:szCs w:val="24"/>
        </w:rPr>
        <w:t xml:space="preserve">13.1在合同有效期内，任何一方因不可抗力事件导致不能履行合同，则合同履行期可延长，其延长期与不可抗力影响期相同。</w:t>
      </w:r>
      <w:r/>
    </w:p>
    <w:p>
      <w:pPr>
        <w:ind w:firstLine="480"/>
        <w:spacing w:line="360" w:lineRule="auto"/>
        <w:rPr>
          <w:rFonts w:ascii="宋体" w:hAnsi="宋体" w:cs="宋体"/>
          <w:sz w:val="24"/>
          <w:szCs w:val="24"/>
        </w:rPr>
      </w:pPr>
      <w:r>
        <w:rPr>
          <w:rFonts w:hint="eastAsia" w:ascii="宋体" w:hAnsi="宋体" w:cs="宋体"/>
          <w:sz w:val="24"/>
          <w:szCs w:val="24"/>
        </w:rPr>
        <w:t xml:space="preserve">13.2不可抗力事件发生后，应立即通知对方，并寄送有关权威机构出具的证明。</w:t>
      </w:r>
      <w:r/>
    </w:p>
    <w:p>
      <w:pPr>
        <w:ind w:firstLine="480"/>
        <w:spacing w:line="360" w:lineRule="auto"/>
        <w:rPr>
          <w:rFonts w:ascii="宋体" w:hAnsi="宋体" w:cs="宋体"/>
          <w:sz w:val="24"/>
          <w:szCs w:val="24"/>
        </w:rPr>
      </w:pPr>
      <w:r>
        <w:rPr>
          <w:rFonts w:hint="eastAsia" w:ascii="宋体" w:hAnsi="宋体" w:cs="宋体"/>
          <w:sz w:val="24"/>
          <w:szCs w:val="24"/>
        </w:rPr>
        <w:t xml:space="preserve">13.3不可抗力事件延续120天以上，双方应通过友好协商，确定是否继续履行合同。</w:t>
      </w:r>
      <w:r/>
    </w:p>
    <w:p>
      <w:pPr>
        <w:ind w:firstLine="482"/>
        <w:spacing w:line="360" w:lineRule="auto"/>
        <w:rPr>
          <w:rFonts w:ascii="宋体" w:hAnsi="宋体" w:cs="宋体"/>
          <w:b/>
          <w:sz w:val="24"/>
          <w:szCs w:val="24"/>
        </w:rPr>
        <w:outlineLvl w:val="1"/>
      </w:pPr>
      <w:r>
        <w:rPr>
          <w:rFonts w:hint="eastAsia" w:ascii="宋体" w:hAnsi="宋体" w:cs="宋体"/>
          <w:b/>
          <w:sz w:val="24"/>
          <w:szCs w:val="24"/>
        </w:rPr>
        <w:t xml:space="preserve">十四、解决争议的方法</w:t>
      </w:r>
      <w:r/>
    </w:p>
    <w:p>
      <w:pPr>
        <w:ind w:firstLine="480"/>
        <w:spacing w:line="360" w:lineRule="auto"/>
        <w:rPr>
          <w:rFonts w:ascii="宋体" w:hAnsi="宋体" w:cs="宋体"/>
          <w:sz w:val="24"/>
          <w:szCs w:val="24"/>
        </w:rPr>
      </w:pPr>
      <w:r>
        <w:rPr>
          <w:rFonts w:hint="eastAsia" w:ascii="宋体" w:hAnsi="宋体" w:cs="宋体"/>
          <w:sz w:val="24"/>
          <w:szCs w:val="24"/>
        </w:rPr>
        <w:t xml:space="preserve">14.1双方在签订、履行合同中所发生的一切争议，应通过友好协商解决。如协商不成，由甲方住所地人民法院管辖。</w:t>
      </w:r>
      <w:r/>
    </w:p>
    <w:p>
      <w:pPr>
        <w:ind w:firstLine="482"/>
        <w:spacing w:line="360" w:lineRule="auto"/>
        <w:rPr>
          <w:rFonts w:ascii="宋体" w:hAnsi="宋体" w:cs="宋体"/>
          <w:b/>
          <w:sz w:val="24"/>
          <w:szCs w:val="24"/>
        </w:rPr>
        <w:outlineLvl w:val="1"/>
      </w:pPr>
      <w:r>
        <w:rPr>
          <w:rFonts w:hint="eastAsia" w:ascii="宋体" w:hAnsi="宋体" w:cs="宋体"/>
          <w:b/>
          <w:sz w:val="24"/>
          <w:szCs w:val="24"/>
        </w:rPr>
        <w:t xml:space="preserve">十五、合同生效及其它</w:t>
      </w:r>
      <w:r/>
    </w:p>
    <w:p>
      <w:pPr>
        <w:ind w:firstLine="480"/>
        <w:spacing w:line="360" w:lineRule="auto"/>
        <w:rPr>
          <w:rFonts w:ascii="宋体" w:hAnsi="宋体" w:cs="宋体"/>
          <w:sz w:val="24"/>
          <w:szCs w:val="24"/>
        </w:rPr>
      </w:pPr>
      <w:r>
        <w:rPr>
          <w:rFonts w:hint="eastAsia" w:ascii="宋体" w:hAnsi="宋体" w:cs="宋体"/>
          <w:sz w:val="24"/>
          <w:szCs w:val="24"/>
        </w:rPr>
        <w:t xml:space="preserve">15.1合同经双方法定代表人或授权委托代表人签字并加盖单位公章后生效。</w:t>
      </w:r>
      <w:r/>
    </w:p>
    <w:p>
      <w:pPr>
        <w:ind w:firstLine="480"/>
        <w:spacing w:line="360" w:lineRule="auto"/>
        <w:rPr>
          <w:rFonts w:ascii="宋体" w:hAnsi="宋体" w:cs="宋体"/>
          <w:sz w:val="24"/>
          <w:szCs w:val="24"/>
        </w:rPr>
      </w:pPr>
      <w:r>
        <w:rPr>
          <w:rFonts w:hint="eastAsia" w:ascii="宋体" w:hAnsi="宋体" w:cs="宋体"/>
          <w:sz w:val="24"/>
          <w:szCs w:val="24"/>
        </w:rPr>
        <w:t xml:space="preserve">15.2本合同未尽事宜，遵照《中华人民共和国民法典》、《中华人民共和国政府采购法》有关条文执行。</w:t>
      </w:r>
      <w:r/>
    </w:p>
    <w:p>
      <w:pPr>
        <w:ind w:firstLine="480"/>
        <w:spacing w:line="360" w:lineRule="auto"/>
        <w:rPr>
          <w:rFonts w:ascii="宋体" w:hAnsi="宋体" w:cs="宋体"/>
          <w:sz w:val="24"/>
          <w:szCs w:val="24"/>
        </w:rPr>
      </w:pPr>
      <w:r>
        <w:rPr>
          <w:rFonts w:hint="eastAsia" w:ascii="宋体" w:hAnsi="宋体" w:cs="宋体"/>
          <w:sz w:val="24"/>
          <w:szCs w:val="24"/>
        </w:rPr>
        <w:t xml:space="preserve">15.3本合同正本一式三份，具有同等法律效力。</w:t>
      </w:r>
      <w:r/>
    </w:p>
    <w:p>
      <w:pPr>
        <w:spacing w:line="440" w:lineRule="exact"/>
        <w:rPr>
          <w:rFonts w:ascii="仿宋" w:hAnsi="仿宋" w:eastAsia="仿宋" w:cs="仿宋"/>
          <w:bCs/>
          <w:sz w:val="24"/>
          <w:szCs w:val="24"/>
        </w:rPr>
      </w:pPr>
      <w:r>
        <w:rPr>
          <w:rFonts w:ascii="仿宋" w:hAnsi="仿宋" w:eastAsia="仿宋" w:cs="仿宋"/>
          <w:bCs/>
          <w:sz w:val="24"/>
          <w:szCs w:val="24"/>
        </w:rPr>
      </w:r>
      <w:r/>
    </w:p>
    <w:p>
      <w:pPr>
        <w:spacing w:line="520" w:lineRule="exact"/>
        <w:widowControl/>
        <w:rPr>
          <w:rFonts w:ascii="Times New Roman" w:hAnsi="Times New Roman" w:eastAsia="宋体"/>
          <w:color w:val="000000"/>
          <w:sz w:val="24"/>
          <w:szCs w:val="24"/>
          <w:shd w:val="clear" w:color="auto" w:fill="auto"/>
        </w:rPr>
      </w:pPr>
      <w:r>
        <w:rPr>
          <w:rFonts w:ascii="Times New Roman" w:hAnsi="Times New Roman" w:eastAsia="宋体"/>
          <w:color w:val="000000"/>
          <w:sz w:val="24"/>
          <w:szCs w:val="24"/>
          <w:shd w:val="clear" w:color="auto" w:fill="auto"/>
        </w:rPr>
        <w:t xml:space="preserve">甲方1：（盖章）                      乙方：（盖章）</w:t>
      </w:r>
      <w:r/>
    </w:p>
    <w:p>
      <w:pPr>
        <w:spacing w:line="520" w:lineRule="exact"/>
        <w:widowControl/>
        <w:rPr>
          <w:rFonts w:ascii="Times New Roman" w:hAnsi="Times New Roman" w:eastAsia="宋体"/>
          <w:color w:val="000000"/>
          <w:sz w:val="24"/>
          <w:szCs w:val="24"/>
          <w:shd w:val="clear" w:color="auto" w:fill="auto"/>
        </w:rPr>
      </w:pPr>
      <w:r>
        <w:rPr>
          <w:rFonts w:ascii="Times New Roman" w:hAnsi="Times New Roman" w:eastAsia="宋体"/>
          <w:color w:val="000000"/>
          <w:sz w:val="24"/>
          <w:szCs w:val="24"/>
          <w:shd w:val="clear" w:color="auto" w:fill="auto"/>
        </w:rPr>
        <w:t xml:space="preserve">地址：                               地址：</w:t>
      </w:r>
      <w:r/>
    </w:p>
    <w:p>
      <w:pPr>
        <w:spacing w:line="520" w:lineRule="exact"/>
        <w:widowControl/>
        <w:rPr>
          <w:rFonts w:ascii="Times New Roman" w:hAnsi="Times New Roman" w:eastAsia="宋体"/>
          <w:color w:val="000000"/>
          <w:sz w:val="24"/>
          <w:szCs w:val="24"/>
          <w:shd w:val="clear" w:color="auto" w:fill="auto"/>
        </w:rPr>
      </w:pPr>
      <w:r>
        <w:rPr>
          <w:rFonts w:ascii="Times New Roman" w:hAnsi="Times New Roman" w:eastAsia="宋体"/>
          <w:color w:val="000000"/>
          <w:sz w:val="24"/>
          <w:szCs w:val="24"/>
          <w:shd w:val="clear" w:color="auto" w:fill="auto"/>
        </w:rPr>
        <w:t xml:space="preserve">法定（授权）代表人：                 法定（授权）代表人：</w:t>
      </w:r>
      <w:r/>
    </w:p>
    <w:p>
      <w:pPr>
        <w:spacing w:line="520" w:lineRule="exact"/>
        <w:widowControl/>
        <w:rPr>
          <w:rFonts w:ascii="Times New Roman" w:hAnsi="Times New Roman" w:eastAsia="宋体"/>
          <w:color w:val="000000"/>
          <w:sz w:val="24"/>
          <w:szCs w:val="24"/>
          <w:shd w:val="clear" w:color="auto" w:fill="auto"/>
        </w:rPr>
      </w:pPr>
      <w:r>
        <w:rPr>
          <w:rFonts w:ascii="Times New Roman" w:hAnsi="Times New Roman" w:eastAsia="宋体"/>
          <w:color w:val="000000"/>
          <w:sz w:val="24"/>
          <w:szCs w:val="24"/>
          <w:shd w:val="clear" w:color="auto" w:fill="auto"/>
        </w:rPr>
        <w:t xml:space="preserve">联系电话：                           联系电话：</w:t>
      </w:r>
      <w:r/>
    </w:p>
    <w:p>
      <w:pPr>
        <w:spacing w:line="520" w:lineRule="exact"/>
        <w:widowControl/>
        <w:rPr>
          <w:rFonts w:ascii="Times New Roman" w:hAnsi="Times New Roman" w:eastAsia="宋体"/>
          <w:color w:val="000000"/>
          <w:sz w:val="24"/>
          <w:szCs w:val="24"/>
          <w:shd w:val="clear" w:color="auto" w:fill="auto"/>
        </w:rPr>
      </w:pPr>
      <w:r>
        <w:rPr>
          <w:rFonts w:ascii="Times New Roman" w:hAnsi="Times New Roman" w:eastAsia="宋体"/>
          <w:color w:val="000000"/>
          <w:sz w:val="24"/>
          <w:szCs w:val="24"/>
          <w:shd w:val="clear" w:color="auto" w:fill="auto"/>
        </w:rPr>
        <w:t xml:space="preserve">2026年  月  日                       2026年  月  日</w:t>
      </w:r>
      <w:r/>
    </w:p>
    <w:p>
      <w:pPr>
        <w:spacing w:line="520" w:lineRule="exact"/>
        <w:widowControl/>
        <w:rPr>
          <w:rFonts w:ascii="Times New Roman" w:hAnsi="Times New Roman" w:eastAsia="宋体"/>
          <w:color w:val="000000"/>
          <w:sz w:val="24"/>
          <w:szCs w:val="24"/>
          <w:shd w:val="clear" w:color="auto" w:fill="auto"/>
        </w:rPr>
      </w:pPr>
      <w:r>
        <w:rPr>
          <w:rFonts w:ascii="Times New Roman" w:hAnsi="Times New Roman" w:eastAsia="宋体"/>
          <w:color w:val="000000"/>
          <w:sz w:val="24"/>
          <w:szCs w:val="24"/>
          <w:shd w:val="clear" w:color="auto" w:fill="auto"/>
        </w:rPr>
      </w:r>
      <w:r/>
    </w:p>
    <w:p>
      <w:pPr>
        <w:spacing w:line="520" w:lineRule="exact"/>
        <w:widowControl/>
        <w:rPr>
          <w:rFonts w:ascii="Times New Roman" w:hAnsi="Times New Roman" w:eastAsia="宋体"/>
          <w:color w:val="000000"/>
          <w:sz w:val="24"/>
          <w:szCs w:val="24"/>
          <w:shd w:val="clear" w:color="auto" w:fill="auto"/>
        </w:rPr>
      </w:pPr>
      <w:r>
        <w:rPr>
          <w:rFonts w:ascii="Times New Roman" w:hAnsi="Times New Roman" w:eastAsia="宋体"/>
          <w:color w:val="000000"/>
          <w:sz w:val="24"/>
          <w:szCs w:val="24"/>
          <w:shd w:val="clear" w:color="auto" w:fill="auto"/>
        </w:rPr>
        <w:t xml:space="preserve">甲方2：（盖章）</w:t>
      </w:r>
      <w:r/>
    </w:p>
    <w:p>
      <w:pPr>
        <w:spacing w:line="520" w:lineRule="exact"/>
        <w:widowControl/>
        <w:rPr>
          <w:rFonts w:ascii="Times New Roman" w:hAnsi="Times New Roman" w:eastAsia="宋体"/>
          <w:color w:val="000000"/>
          <w:sz w:val="24"/>
          <w:szCs w:val="24"/>
          <w:shd w:val="clear" w:color="auto" w:fill="auto"/>
        </w:rPr>
      </w:pPr>
      <w:r>
        <w:rPr>
          <w:rFonts w:ascii="Times New Roman" w:hAnsi="Times New Roman" w:eastAsia="宋体"/>
          <w:color w:val="000000"/>
          <w:sz w:val="24"/>
          <w:szCs w:val="24"/>
          <w:shd w:val="clear" w:color="auto" w:fill="auto"/>
        </w:rPr>
        <w:t xml:space="preserve">地址：</w:t>
      </w:r>
      <w:r/>
    </w:p>
    <w:p>
      <w:pPr>
        <w:spacing w:line="520" w:lineRule="exact"/>
        <w:widowControl/>
        <w:rPr>
          <w:rFonts w:ascii="Times New Roman" w:hAnsi="Times New Roman" w:eastAsia="宋体"/>
          <w:color w:val="000000"/>
          <w:sz w:val="24"/>
          <w:szCs w:val="24"/>
          <w:shd w:val="clear" w:color="auto" w:fill="auto"/>
        </w:rPr>
      </w:pPr>
      <w:r>
        <w:rPr>
          <w:rFonts w:ascii="Times New Roman" w:hAnsi="Times New Roman" w:eastAsia="宋体"/>
          <w:color w:val="000000"/>
          <w:sz w:val="24"/>
          <w:szCs w:val="24"/>
          <w:shd w:val="clear" w:color="auto" w:fill="auto"/>
        </w:rPr>
        <w:t xml:space="preserve">法定（授权）代表人：</w:t>
      </w:r>
      <w:r/>
    </w:p>
    <w:p>
      <w:pPr>
        <w:spacing w:line="520" w:lineRule="exact"/>
        <w:widowControl/>
        <w:rPr>
          <w:rFonts w:ascii="Times New Roman" w:hAnsi="Times New Roman" w:eastAsia="宋体"/>
          <w:color w:val="000000"/>
          <w:sz w:val="24"/>
          <w:szCs w:val="24"/>
          <w:shd w:val="clear" w:color="auto" w:fill="auto"/>
        </w:rPr>
      </w:pPr>
      <w:r>
        <w:rPr>
          <w:rFonts w:ascii="Times New Roman" w:hAnsi="Times New Roman" w:eastAsia="宋体"/>
          <w:color w:val="000000"/>
          <w:sz w:val="24"/>
          <w:szCs w:val="24"/>
          <w:shd w:val="clear" w:color="auto" w:fill="auto"/>
        </w:rPr>
        <w:t xml:space="preserve">联系电话：</w:t>
      </w:r>
      <w:r/>
    </w:p>
    <w:p>
      <w:pPr>
        <w:spacing w:line="520" w:lineRule="exact"/>
        <w:widowControl/>
        <w:rPr>
          <w:rFonts w:ascii="Times New Roman" w:hAnsi="Times New Roman" w:eastAsia="宋体"/>
          <w:color w:val="000000"/>
          <w:sz w:val="24"/>
          <w:szCs w:val="24"/>
          <w:shd w:val="clear" w:color="auto" w:fill="auto"/>
        </w:rPr>
      </w:pPr>
      <w:r>
        <w:rPr>
          <w:rFonts w:ascii="Times New Roman" w:hAnsi="Times New Roman" w:eastAsia="宋体"/>
          <w:color w:val="000000"/>
          <w:sz w:val="24"/>
          <w:szCs w:val="24"/>
          <w:shd w:val="clear" w:color="auto" w:fill="auto"/>
        </w:rPr>
        <w:t xml:space="preserve">2026年  月  日 </w:t>
      </w:r>
      <w:r/>
    </w:p>
    <w:p>
      <w:pPr>
        <w:rPr>
          <w:rFonts w:hint="eastAsia" w:ascii="Times New Roman" w:hAnsi="Times New Roman"/>
          <w:b/>
          <w:sz w:val="44"/>
          <w:szCs w:val="44"/>
        </w:rPr>
      </w:pPr>
      <w:r>
        <w:rPr>
          <w:rFonts w:hint="eastAsia" w:ascii="Times New Roman" w:hAnsi="Times New Roman"/>
          <w:b/>
          <w:sz w:val="44"/>
          <w:szCs w:val="44"/>
        </w:rPr>
        <w:br w:type="page" w:clear="all"/>
      </w:r>
      <w:r/>
    </w:p>
    <w:p>
      <w:pPr>
        <w:jc w:val="center"/>
        <w:spacing w:line="500" w:lineRule="exact"/>
        <w:rPr>
          <w:rFonts w:ascii="Times New Roman" w:hAnsi="Times New Roman"/>
          <w:b/>
          <w:sz w:val="44"/>
          <w:szCs w:val="44"/>
        </w:rPr>
        <w:outlineLvl w:val="0"/>
      </w:pPr>
      <w:r>
        <w:rPr>
          <w:rFonts w:hint="eastAsia" w:ascii="Times New Roman" w:hAnsi="Times New Roman"/>
          <w:b/>
          <w:sz w:val="44"/>
          <w:szCs w:val="44"/>
        </w:rPr>
        <w:t xml:space="preserve">第六章  响应文件格式</w:t>
      </w:r>
      <w:bookmarkEnd w:id="98"/>
      <w:r/>
      <w:bookmarkEnd w:id="99"/>
      <w:r/>
      <w:bookmarkEnd w:id="100"/>
      <w:r/>
      <w:bookmarkStart w:id="104" w:name="_Hlt26671244"/>
      <w:r/>
      <w:bookmarkEnd w:id="104"/>
      <w:r/>
      <w:bookmarkStart w:id="105" w:name="_Hlt26955039"/>
      <w:r/>
      <w:bookmarkEnd w:id="105"/>
      <w:r/>
      <w:r/>
    </w:p>
    <w:p>
      <w:pPr>
        <w:jc w:val="center"/>
        <w:rPr>
          <w:rFonts w:hint="eastAsia" w:ascii="仿宋" w:hAnsi="仿宋" w:eastAsia="仿宋" w:cs="仿宋"/>
          <w:b/>
          <w:sz w:val="72"/>
          <w:szCs w:val="21"/>
        </w:rPr>
      </w:pPr>
      <w:r>
        <w:rPr>
          <w:rFonts w:hint="eastAsia" w:ascii="仿宋" w:hAnsi="仿宋" w:eastAsia="仿宋" w:cs="仿宋"/>
          <w:b/>
          <w:sz w:val="72"/>
          <w:szCs w:val="21"/>
        </w:rPr>
      </w:r>
      <w:r/>
    </w:p>
    <w:p>
      <w:pPr>
        <w:rPr>
          <w:rFonts w:hint="eastAsia" w:ascii="仿宋" w:hAnsi="仿宋" w:eastAsia="仿宋" w:cs="仿宋"/>
          <w:b/>
          <w:sz w:val="72"/>
          <w:szCs w:val="21"/>
        </w:rPr>
      </w:pPr>
      <w:r>
        <w:rPr>
          <w:rFonts w:hint="eastAsia" w:ascii="仿宋" w:hAnsi="仿宋" w:eastAsia="仿宋" w:cs="仿宋"/>
          <w:b/>
          <w:sz w:val="72"/>
          <w:szCs w:val="21"/>
        </w:rPr>
      </w:r>
      <w:r/>
    </w:p>
    <w:p>
      <w:pPr>
        <w:jc w:val="center"/>
        <w:rPr>
          <w:rFonts w:hint="eastAsia" w:ascii="仿宋" w:hAnsi="仿宋" w:eastAsia="仿宋" w:cs="仿宋"/>
          <w:b/>
          <w:sz w:val="72"/>
          <w:szCs w:val="21"/>
        </w:rPr>
      </w:pPr>
      <w:r>
        <w:rPr>
          <w:rFonts w:hint="eastAsia" w:ascii="仿宋" w:hAnsi="仿宋" w:eastAsia="仿宋" w:cs="仿宋"/>
          <w:b/>
          <w:sz w:val="72"/>
          <w:szCs w:val="21"/>
        </w:rPr>
        <w:t xml:space="preserve">响  应  文  件</w:t>
      </w:r>
      <w:r/>
    </w:p>
    <w:p>
      <w:pPr>
        <w:jc w:val="center"/>
        <w:rPr>
          <w:rFonts w:hint="eastAsia" w:ascii="仿宋" w:hAnsi="仿宋" w:eastAsia="仿宋" w:cs="仿宋"/>
          <w:b/>
          <w:sz w:val="72"/>
          <w:szCs w:val="21"/>
        </w:rPr>
      </w:pPr>
      <w:r>
        <w:rPr>
          <w:rFonts w:hint="eastAsia" w:ascii="仿宋" w:hAnsi="仿宋" w:eastAsia="仿宋" w:cs="仿宋"/>
          <w:b/>
          <w:sz w:val="72"/>
          <w:szCs w:val="21"/>
        </w:rPr>
      </w:r>
      <w:r/>
    </w:p>
    <w:p>
      <w:pPr>
        <w:jc w:val="center"/>
        <w:rPr>
          <w:rFonts w:hint="eastAsia" w:ascii="仿宋" w:hAnsi="仿宋" w:eastAsia="仿宋" w:cs="仿宋"/>
          <w:b/>
          <w:sz w:val="72"/>
          <w:szCs w:val="21"/>
        </w:rPr>
      </w:pPr>
      <w:r>
        <w:rPr>
          <w:rFonts w:hint="eastAsia" w:ascii="仿宋" w:hAnsi="仿宋" w:eastAsia="仿宋" w:cs="仿宋"/>
          <w:b/>
          <w:sz w:val="72"/>
          <w:szCs w:val="21"/>
        </w:rPr>
      </w:r>
      <w:r/>
    </w:p>
    <w:p>
      <w:pPr>
        <w:jc w:val="center"/>
        <w:rPr>
          <w:rFonts w:hint="eastAsia" w:ascii="仿宋" w:hAnsi="仿宋" w:eastAsia="仿宋" w:cs="仿宋"/>
          <w:b/>
          <w:sz w:val="72"/>
          <w:szCs w:val="21"/>
        </w:rPr>
      </w:pPr>
      <w:r>
        <w:rPr>
          <w:rFonts w:hint="eastAsia" w:ascii="仿宋" w:hAnsi="仿宋" w:eastAsia="仿宋" w:cs="仿宋"/>
          <w:b/>
          <w:sz w:val="72"/>
          <w:szCs w:val="21"/>
        </w:rPr>
      </w:r>
      <w:r/>
    </w:p>
    <w:p>
      <w:pPr>
        <w:jc w:val="center"/>
        <w:rPr>
          <w:rFonts w:hint="eastAsia" w:ascii="仿宋" w:hAnsi="仿宋" w:eastAsia="仿宋" w:cs="仿宋"/>
          <w:b/>
          <w:sz w:val="36"/>
          <w:szCs w:val="21"/>
        </w:rPr>
      </w:pPr>
      <w:r>
        <w:rPr>
          <w:rFonts w:hint="eastAsia" w:ascii="仿宋" w:hAnsi="仿宋" w:eastAsia="仿宋" w:cs="仿宋"/>
          <w:b/>
          <w:sz w:val="36"/>
          <w:szCs w:val="21"/>
        </w:rPr>
      </w:r>
      <w:r/>
    </w:p>
    <w:p>
      <w:pPr>
        <w:jc w:val="center"/>
        <w:rPr>
          <w:rFonts w:hint="eastAsia" w:ascii="仿宋" w:hAnsi="仿宋" w:eastAsia="仿宋" w:cs="仿宋"/>
          <w:b/>
          <w:sz w:val="36"/>
          <w:szCs w:val="21"/>
        </w:rPr>
      </w:pPr>
      <w:r>
        <w:rPr>
          <w:rFonts w:hint="eastAsia" w:ascii="仿宋" w:hAnsi="仿宋" w:eastAsia="仿宋" w:cs="仿宋"/>
          <w:b/>
          <w:sz w:val="36"/>
          <w:szCs w:val="21"/>
        </w:rPr>
      </w:r>
      <w:r/>
    </w:p>
    <w:p>
      <w:pPr>
        <w:jc w:val="center"/>
        <w:rPr>
          <w:rFonts w:hint="eastAsia" w:ascii="仿宋" w:hAnsi="仿宋" w:eastAsia="仿宋" w:cs="仿宋"/>
          <w:b/>
          <w:sz w:val="36"/>
          <w:szCs w:val="21"/>
        </w:rPr>
      </w:pPr>
      <w:r>
        <w:rPr>
          <w:rFonts w:hint="eastAsia" w:ascii="仿宋" w:hAnsi="仿宋" w:eastAsia="仿宋" w:cs="仿宋"/>
          <w:b/>
          <w:sz w:val="36"/>
          <w:szCs w:val="21"/>
        </w:rPr>
      </w:r>
      <w:r/>
    </w:p>
    <w:p>
      <w:pPr>
        <w:ind w:firstLine="1084"/>
        <w:rPr>
          <w:rFonts w:ascii="Times New Roman" w:hAnsi="Times New Roman" w:cs="仿宋"/>
          <w:b/>
          <w:sz w:val="36"/>
        </w:rPr>
      </w:pPr>
      <w:r>
        <w:rPr>
          <w:rFonts w:hint="eastAsia" w:ascii="Times New Roman" w:hAnsi="Times New Roman" w:cs="仿宋"/>
          <w:b/>
          <w:sz w:val="36"/>
        </w:rPr>
        <w:t xml:space="preserve">项 目 名 称：</w:t>
      </w:r>
      <w:r/>
    </w:p>
    <w:p>
      <w:pPr>
        <w:ind w:firstLine="1084"/>
        <w:rPr>
          <w:rFonts w:ascii="Times New Roman" w:hAnsi="Times New Roman" w:cs="仿宋"/>
          <w:b/>
          <w:sz w:val="36"/>
          <w:u w:val="single"/>
        </w:rPr>
      </w:pPr>
      <w:r>
        <w:rPr>
          <w:rFonts w:hint="eastAsia" w:ascii="Times New Roman" w:hAnsi="Times New Roman" w:cs="仿宋"/>
          <w:b/>
          <w:sz w:val="36"/>
        </w:rPr>
        <w:t xml:space="preserve">项 目 编 号：</w:t>
      </w:r>
      <w:r/>
    </w:p>
    <w:p>
      <w:pPr>
        <w:rPr>
          <w:rFonts w:ascii="Times New Roman" w:hAnsi="Times New Roman" w:cs="仿宋"/>
          <w:b/>
          <w:sz w:val="36"/>
          <w:u w:val="single"/>
        </w:rPr>
      </w:pPr>
      <w:r>
        <w:rPr>
          <w:rFonts w:hint="eastAsia" w:ascii="Times New Roman" w:hAnsi="Times New Roman" w:cs="仿宋"/>
          <w:b/>
          <w:sz w:val="36"/>
        </w:rPr>
        <w:t xml:space="preserve">      供应商名称 ：</w:t>
      </w:r>
      <w:r>
        <w:rPr>
          <w:rFonts w:hint="eastAsia" w:ascii="Times New Roman" w:hAnsi="Times New Roman" w:cs="仿宋"/>
          <w:b/>
          <w:sz w:val="36"/>
          <w:u w:val="single"/>
        </w:rPr>
        <w:t xml:space="preserve">（盖CA电子公章）</w:t>
      </w:r>
      <w:r/>
    </w:p>
    <w:p>
      <w:pPr>
        <w:rPr>
          <w:rFonts w:ascii="Times New Roman" w:hAnsi="Times New Roman" w:cs="仿宋"/>
          <w:b/>
          <w:sz w:val="36"/>
          <w:u w:val="single"/>
        </w:rPr>
      </w:pPr>
      <w:r>
        <w:rPr>
          <w:rFonts w:hint="eastAsia" w:ascii="Times New Roman" w:hAnsi="Times New Roman" w:cs="仿宋"/>
          <w:b/>
          <w:sz w:val="36"/>
        </w:rPr>
        <w:t xml:space="preserve">      日      期 ：</w:t>
      </w:r>
      <w:r/>
    </w:p>
    <w:p>
      <w:pPr>
        <w:rPr>
          <w:rFonts w:hint="eastAsia" w:ascii="仿宋" w:hAnsi="仿宋" w:eastAsia="仿宋" w:cs="仿宋"/>
        </w:rPr>
      </w:pPr>
      <w:r>
        <w:rPr>
          <w:rFonts w:hint="eastAsia" w:ascii="仿宋" w:hAnsi="仿宋" w:eastAsia="仿宋" w:cs="仿宋"/>
        </w:rPr>
      </w:r>
      <w:r/>
    </w:p>
    <w:p>
      <w:pPr>
        <w:jc w:val="center"/>
        <w:spacing w:line="440" w:lineRule="exact"/>
        <w:rPr>
          <w:rFonts w:hint="eastAsia" w:ascii="宋体" w:hAnsi="宋体" w:cs="宋体"/>
          <w:b/>
          <w:bCs/>
          <w:sz w:val="32"/>
          <w:szCs w:val="32"/>
        </w:rPr>
      </w:pPr>
      <w:r>
        <w:rPr>
          <w:rFonts w:hint="eastAsia" w:ascii="宋体" w:hAnsi="宋体" w:cs="宋体"/>
        </w:rPr>
        <w:br w:type="page" w:clear="all"/>
      </w:r>
      <w:r>
        <w:rPr>
          <w:rFonts w:hint="eastAsia" w:ascii="宋体" w:hAnsi="宋体" w:cs="宋体"/>
          <w:b/>
          <w:bCs/>
          <w:sz w:val="32"/>
          <w:szCs w:val="32"/>
        </w:rPr>
        <w:t xml:space="preserve">响应文件目录</w:t>
      </w:r>
      <w:r/>
    </w:p>
    <w:p>
      <w:pPr>
        <w:jc w:val="center"/>
        <w:spacing w:line="440" w:lineRule="exact"/>
        <w:rPr>
          <w:rFonts w:hint="eastAsia" w:ascii="仿宋" w:hAnsi="仿宋" w:eastAsia="仿宋" w:cs="仿宋"/>
          <w:b/>
          <w:bCs/>
          <w:sz w:val="32"/>
          <w:szCs w:val="32"/>
        </w:rPr>
      </w:pPr>
      <w:r>
        <w:rPr>
          <w:rFonts w:hint="eastAsia" w:ascii="仿宋" w:hAnsi="仿宋" w:eastAsia="仿宋" w:cs="仿宋"/>
          <w:b/>
          <w:bCs/>
          <w:sz w:val="32"/>
          <w:szCs w:val="32"/>
        </w:rPr>
      </w:r>
      <w:r/>
    </w:p>
    <w:p>
      <w:pPr>
        <w:spacing w:line="360" w:lineRule="auto"/>
        <w:rPr>
          <w:rFonts w:ascii="Times New Roman" w:hAnsi="Times New Roman"/>
          <w:sz w:val="28"/>
          <w:szCs w:val="28"/>
        </w:rPr>
      </w:pPr>
      <w:r>
        <w:rPr>
          <w:rFonts w:hint="eastAsia" w:ascii="Times New Roman" w:hAnsi="Times New Roman"/>
          <w:sz w:val="28"/>
          <w:szCs w:val="28"/>
        </w:rPr>
        <w:t xml:space="preserve">一、磋商响应函</w:t>
      </w:r>
      <w:r/>
    </w:p>
    <w:p>
      <w:pPr>
        <w:spacing w:line="360" w:lineRule="auto"/>
        <w:rPr>
          <w:rFonts w:hint="eastAsia" w:ascii="Times New Roman" w:hAnsi="Times New Roman"/>
          <w:sz w:val="28"/>
          <w:szCs w:val="28"/>
        </w:rPr>
      </w:pPr>
      <w:r>
        <w:rPr>
          <w:rFonts w:hint="eastAsia" w:ascii="Times New Roman" w:hAnsi="Times New Roman"/>
          <w:sz w:val="28"/>
          <w:szCs w:val="28"/>
        </w:rPr>
        <w:t xml:space="preserve">二、法人授权书</w:t>
      </w:r>
      <w:r/>
    </w:p>
    <w:p>
      <w:pPr>
        <w:spacing w:line="360" w:lineRule="auto"/>
        <w:rPr>
          <w:rFonts w:ascii="Times New Roman" w:hAnsi="Times New Roman"/>
          <w:sz w:val="28"/>
          <w:szCs w:val="28"/>
        </w:rPr>
      </w:pPr>
      <w:r>
        <w:rPr>
          <w:rFonts w:hint="eastAsia" w:ascii="Times New Roman" w:hAnsi="Times New Roman"/>
          <w:sz w:val="28"/>
          <w:szCs w:val="28"/>
        </w:rPr>
        <w:t xml:space="preserve">三、磋商报价表</w:t>
      </w:r>
      <w:r/>
    </w:p>
    <w:p>
      <w:pPr>
        <w:spacing w:line="360" w:lineRule="auto"/>
        <w:rPr>
          <w:rFonts w:ascii="Times New Roman" w:hAnsi="Times New Roman"/>
          <w:sz w:val="28"/>
          <w:szCs w:val="28"/>
        </w:rPr>
      </w:pPr>
      <w:r>
        <w:rPr>
          <w:rFonts w:hint="eastAsia" w:ascii="Times New Roman" w:hAnsi="Times New Roman"/>
          <w:sz w:val="28"/>
          <w:szCs w:val="28"/>
        </w:rPr>
        <w:t xml:space="preserve">四、分项报价表</w:t>
      </w:r>
      <w:r/>
    </w:p>
    <w:p>
      <w:pPr>
        <w:spacing w:line="360" w:lineRule="auto"/>
        <w:rPr>
          <w:rFonts w:ascii="Times New Roman" w:hAnsi="Times New Roman"/>
          <w:sz w:val="28"/>
          <w:szCs w:val="28"/>
        </w:rPr>
      </w:pPr>
      <w:r>
        <w:rPr>
          <w:rFonts w:hint="eastAsia" w:ascii="Times New Roman" w:hAnsi="Times New Roman"/>
          <w:sz w:val="28"/>
          <w:szCs w:val="28"/>
        </w:rPr>
        <w:t xml:space="preserve">五、中小企业或残疾人福利性单位声明函</w:t>
      </w:r>
      <w:r/>
    </w:p>
    <w:p>
      <w:pPr>
        <w:spacing w:line="360" w:lineRule="auto"/>
        <w:rPr>
          <w:rFonts w:ascii="Times New Roman" w:hAnsi="Times New Roman"/>
          <w:sz w:val="28"/>
          <w:szCs w:val="28"/>
        </w:rPr>
      </w:pPr>
      <w:r>
        <w:rPr>
          <w:rFonts w:hint="eastAsia" w:ascii="Times New Roman" w:hAnsi="Times New Roman"/>
          <w:sz w:val="28"/>
          <w:szCs w:val="28"/>
        </w:rPr>
        <w:t xml:space="preserve">六、技术响应偏离表（技术参数响应）</w:t>
      </w:r>
      <w:r/>
    </w:p>
    <w:p>
      <w:pPr>
        <w:spacing w:line="360" w:lineRule="auto"/>
        <w:rPr>
          <w:rFonts w:ascii="Times New Roman" w:hAnsi="Times New Roman"/>
          <w:sz w:val="28"/>
          <w:szCs w:val="28"/>
        </w:rPr>
      </w:pPr>
      <w:r>
        <w:rPr>
          <w:rFonts w:hint="eastAsia" w:ascii="Times New Roman" w:hAnsi="Times New Roman"/>
          <w:sz w:val="28"/>
          <w:szCs w:val="28"/>
        </w:rPr>
        <w:t xml:space="preserve">七、</w:t>
      </w:r>
      <w:bookmarkStart w:id="106" w:name="OLE_LINK4"/>
      <w:r>
        <w:rPr>
          <w:rFonts w:hint="eastAsia" w:ascii="Times New Roman" w:hAnsi="Times New Roman"/>
          <w:sz w:val="28"/>
          <w:szCs w:val="28"/>
        </w:rPr>
        <w:t xml:space="preserve">项目组成员</w:t>
      </w:r>
      <w:r/>
    </w:p>
    <w:p>
      <w:pPr>
        <w:spacing w:line="360" w:lineRule="auto"/>
        <w:rPr>
          <w:rFonts w:ascii="Times New Roman" w:hAnsi="Times New Roman"/>
          <w:sz w:val="28"/>
          <w:szCs w:val="28"/>
        </w:rPr>
      </w:pPr>
      <w:r>
        <w:rPr>
          <w:rFonts w:hint="eastAsia" w:ascii="Times New Roman" w:hAnsi="Times New Roman"/>
          <w:sz w:val="28"/>
          <w:szCs w:val="28"/>
        </w:rPr>
        <w:t xml:space="preserve">八、</w:t>
      </w:r>
      <w:bookmarkEnd w:id="106"/>
      <w:r>
        <w:rPr>
          <w:rFonts w:hint="eastAsia" w:ascii="Times New Roman" w:hAnsi="Times New Roman"/>
          <w:sz w:val="28"/>
          <w:szCs w:val="28"/>
        </w:rPr>
        <w:t xml:space="preserve">企业业绩</w:t>
      </w:r>
      <w:r/>
    </w:p>
    <w:p>
      <w:pPr>
        <w:spacing w:line="360" w:lineRule="auto"/>
        <w:rPr>
          <w:rFonts w:ascii="Times New Roman" w:hAnsi="Times New Roman"/>
          <w:sz w:val="28"/>
          <w:szCs w:val="28"/>
        </w:rPr>
      </w:pPr>
      <w:r>
        <w:rPr>
          <w:rFonts w:hint="eastAsia" w:ascii="Times New Roman" w:hAnsi="Times New Roman"/>
          <w:sz w:val="28"/>
          <w:szCs w:val="28"/>
        </w:rPr>
        <w:t xml:space="preserve">九、磋商所需其他材料</w:t>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spacing w:line="440" w:lineRule="exact"/>
        <w:rPr>
          <w:rFonts w:hint="eastAsia" w:ascii="仿宋" w:hAnsi="仿宋" w:eastAsia="仿宋" w:cs="仿宋"/>
          <w:sz w:val="24"/>
          <w:szCs w:val="21"/>
        </w:rPr>
      </w:pPr>
      <w:r>
        <w:rPr>
          <w:rFonts w:hint="eastAsia" w:ascii="仿宋" w:hAnsi="仿宋" w:eastAsia="仿宋" w:cs="仿宋"/>
          <w:sz w:val="24"/>
          <w:szCs w:val="21"/>
        </w:rPr>
      </w:r>
      <w:r/>
    </w:p>
    <w:p>
      <w:pPr>
        <w:rPr>
          <w:b/>
          <w:bCs/>
          <w:sz w:val="32"/>
        </w:rPr>
      </w:pPr>
      <w:r>
        <w:rPr>
          <w:rFonts w:hint="eastAsia"/>
          <w:b/>
          <w:bCs/>
          <w:sz w:val="32"/>
        </w:rPr>
        <w:br w:type="page" w:clear="all"/>
      </w:r>
      <w:r/>
    </w:p>
    <w:p>
      <w:pPr>
        <w:pStyle w:val="1487"/>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一、磋商响应函</w:t>
      </w:r>
      <w:r/>
    </w:p>
    <w:p>
      <w:pPr>
        <w:pStyle w:val="1389"/>
        <w:jc w:val="center"/>
        <w:rPr>
          <w:rFonts w:hint="eastAsia" w:ascii="宋体" w:hAnsi="宋体" w:cs="仿宋"/>
          <w:b/>
          <w:sz w:val="24"/>
          <w:szCs w:val="24"/>
        </w:rPr>
      </w:pPr>
      <w:r>
        <w:rPr>
          <w:rFonts w:hint="eastAsia" w:ascii="宋体" w:hAnsi="宋体" w:cs="仿宋"/>
          <w:b/>
          <w:sz w:val="24"/>
          <w:szCs w:val="24"/>
        </w:rPr>
      </w:r>
      <w:r/>
    </w:p>
    <w:p>
      <w:pPr>
        <w:pStyle w:val="1389"/>
        <w:jc w:val="center"/>
        <w:rPr>
          <w:rFonts w:hint="eastAsia" w:ascii="宋体" w:hAnsi="宋体" w:cs="仿宋"/>
          <w:b/>
          <w:sz w:val="32"/>
          <w:szCs w:val="32"/>
        </w:rPr>
      </w:pPr>
      <w:r>
        <w:rPr>
          <w:rFonts w:hint="eastAsia" w:ascii="宋体" w:hAnsi="宋体" w:cs="仿宋"/>
          <w:b/>
          <w:sz w:val="32"/>
          <w:szCs w:val="32"/>
        </w:rPr>
        <w:t xml:space="preserve">磋商响应函</w:t>
      </w:r>
      <w:r/>
    </w:p>
    <w:p>
      <w:pPr>
        <w:pStyle w:val="1389"/>
        <w:jc w:val="left"/>
        <w:spacing w:line="500" w:lineRule="exact"/>
        <w:rPr>
          <w:rFonts w:hint="eastAsia" w:ascii="宋体" w:hAnsi="宋体" w:cs="仿宋"/>
          <w:sz w:val="24"/>
          <w:szCs w:val="24"/>
        </w:rPr>
      </w:pPr>
      <w:r>
        <w:rPr>
          <w:rFonts w:hint="eastAsia" w:ascii="宋体" w:hAnsi="宋体" w:cs="仿宋"/>
          <w:sz w:val="24"/>
          <w:szCs w:val="24"/>
          <w:u w:val="single"/>
        </w:rPr>
        <w:t xml:space="preserve">（采购单位名称）</w:t>
      </w:r>
      <w:r>
        <w:rPr>
          <w:rFonts w:hint="eastAsia" w:ascii="宋体" w:hAnsi="宋体" w:cs="仿宋"/>
          <w:sz w:val="24"/>
          <w:szCs w:val="24"/>
        </w:rPr>
        <w:t xml:space="preserve">：</w:t>
      </w:r>
      <w:r/>
    </w:p>
    <w:p>
      <w:pPr>
        <w:pStyle w:val="1389"/>
        <w:ind w:firstLine="480"/>
        <w:jc w:val="left"/>
        <w:spacing w:line="500" w:lineRule="exact"/>
        <w:rPr>
          <w:rFonts w:ascii="Times New Roman" w:hAnsi="Times New Roman"/>
          <w:sz w:val="24"/>
          <w:szCs w:val="24"/>
        </w:rPr>
      </w:pPr>
      <w:r>
        <w:rPr>
          <w:rFonts w:ascii="Times New Roman" w:hAnsi="Times New Roman"/>
          <w:sz w:val="24"/>
          <w:szCs w:val="24"/>
        </w:rPr>
        <w:t xml:space="preserve">根据</w:t>
      </w:r>
      <w:r>
        <w:rPr>
          <w:rFonts w:ascii="Times New Roman" w:hAnsi="Times New Roman"/>
          <w:sz w:val="24"/>
          <w:szCs w:val="24"/>
          <w:u w:val="single"/>
        </w:rPr>
        <w:t xml:space="preserve">（项目编号）</w:t>
      </w:r>
      <w:r>
        <w:rPr>
          <w:rFonts w:ascii="Times New Roman" w:hAnsi="Times New Roman"/>
          <w:sz w:val="24"/>
          <w:szCs w:val="24"/>
        </w:rPr>
        <w:t xml:space="preserve">的</w:t>
      </w:r>
      <w:r>
        <w:rPr>
          <w:rFonts w:ascii="Times New Roman" w:hAnsi="Times New Roman"/>
          <w:sz w:val="24"/>
          <w:szCs w:val="24"/>
          <w:u w:val="single"/>
        </w:rPr>
        <w:t xml:space="preserve">（项目名称）</w:t>
      </w:r>
      <w:r>
        <w:rPr>
          <w:rFonts w:ascii="Times New Roman" w:hAnsi="Times New Roman"/>
          <w:sz w:val="24"/>
          <w:szCs w:val="24"/>
        </w:rPr>
        <w:t xml:space="preserve">竞争性磋商文件，我方在参加本项目竞争性磋商活动中，特做出如下承诺：</w:t>
      </w:r>
      <w:r/>
    </w:p>
    <w:p>
      <w:pPr>
        <w:pStyle w:val="1389"/>
        <w:ind w:firstLine="480"/>
        <w:jc w:val="left"/>
        <w:spacing w:line="500" w:lineRule="exact"/>
        <w:rPr>
          <w:rFonts w:ascii="Times New Roman" w:hAnsi="Times New Roman"/>
          <w:sz w:val="24"/>
          <w:szCs w:val="24"/>
        </w:rPr>
      </w:pPr>
      <w:r>
        <w:rPr>
          <w:rFonts w:ascii="Times New Roman" w:hAnsi="Times New Roman"/>
          <w:sz w:val="24"/>
          <w:szCs w:val="24"/>
        </w:rPr>
        <w:t xml:space="preserve">一、我方具备《中华人民共和国政府采购法》第二十二条第一款规定的6项条件；</w:t>
      </w:r>
      <w:r/>
    </w:p>
    <w:p>
      <w:pPr>
        <w:pStyle w:val="1389"/>
        <w:ind w:firstLine="480"/>
        <w:jc w:val="left"/>
        <w:spacing w:line="500" w:lineRule="exact"/>
        <w:rPr>
          <w:rFonts w:ascii="Times New Roman" w:hAnsi="Times New Roman"/>
          <w:sz w:val="24"/>
          <w:szCs w:val="24"/>
        </w:rPr>
      </w:pPr>
      <w:r>
        <w:rPr>
          <w:rFonts w:ascii="Times New Roman" w:hAnsi="Times New Roman"/>
          <w:sz w:val="24"/>
          <w:szCs w:val="24"/>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1389"/>
        <w:ind w:firstLine="480"/>
        <w:jc w:val="left"/>
        <w:spacing w:line="500" w:lineRule="exact"/>
        <w:rPr>
          <w:rFonts w:ascii="Times New Roman" w:hAnsi="Times New Roman"/>
          <w:sz w:val="24"/>
          <w:szCs w:val="24"/>
        </w:rPr>
      </w:pPr>
      <w:r>
        <w:rPr>
          <w:rFonts w:ascii="Times New Roman" w:hAnsi="Times New Roman"/>
          <w:sz w:val="24"/>
          <w:szCs w:val="24"/>
        </w:rPr>
        <w:t xml:space="preserve">三、我方按磋商文件要求提交响应文件，响应磋商文件规定的响应有效期；</w:t>
      </w:r>
      <w:r/>
    </w:p>
    <w:p>
      <w:pPr>
        <w:pStyle w:val="1389"/>
        <w:ind w:firstLine="480"/>
        <w:jc w:val="left"/>
        <w:spacing w:line="500" w:lineRule="exact"/>
        <w:rPr>
          <w:rFonts w:ascii="Times New Roman" w:hAnsi="Times New Roman"/>
          <w:sz w:val="24"/>
          <w:szCs w:val="24"/>
        </w:rPr>
      </w:pPr>
      <w:r>
        <w:rPr>
          <w:rFonts w:ascii="Times New Roman" w:hAnsi="Times New Roman"/>
          <w:sz w:val="24"/>
          <w:szCs w:val="24"/>
        </w:rPr>
        <w:t xml:space="preserve">四、如果我方的响应文件被接受，我方将按《中华人民共和国民法典（第三编合同）》及其他有关法律、法规的规定，按期、按质、按量交付采购单位，全面做到履约守信；</w:t>
      </w:r>
      <w:r/>
    </w:p>
    <w:p>
      <w:pPr>
        <w:pStyle w:val="1389"/>
        <w:ind w:firstLine="480"/>
        <w:jc w:val="left"/>
        <w:spacing w:line="500" w:lineRule="exact"/>
        <w:rPr>
          <w:rFonts w:ascii="Times New Roman" w:hAnsi="Times New Roman"/>
          <w:sz w:val="24"/>
          <w:szCs w:val="24"/>
        </w:rPr>
      </w:pPr>
      <w:r>
        <w:rPr>
          <w:rFonts w:ascii="Times New Roman" w:hAnsi="Times New Roman"/>
          <w:sz w:val="24"/>
          <w:szCs w:val="24"/>
        </w:rPr>
        <w:t xml:space="preserve">五、我方若违背本声明及承诺约定，经查实，自愿接受采购人及相关主管部门相应的规定处理，并依法承担相应的法律责任。</w:t>
      </w:r>
      <w:r/>
    </w:p>
    <w:p>
      <w:pPr>
        <w:pStyle w:val="1389"/>
        <w:ind w:firstLine="480"/>
        <w:jc w:val="left"/>
        <w:spacing w:line="500" w:lineRule="exact"/>
        <w:rPr>
          <w:rFonts w:ascii="Times New Roman" w:hAnsi="Times New Roman"/>
          <w:sz w:val="24"/>
          <w:szCs w:val="24"/>
        </w:rPr>
      </w:pPr>
      <w:r>
        <w:rPr>
          <w:rFonts w:ascii="Times New Roman" w:hAnsi="Times New Roman"/>
          <w:sz w:val="24"/>
          <w:szCs w:val="24"/>
        </w:rPr>
        <w:t xml:space="preserve">六、我方同意采购人、采购代理机构将本</w:t>
      </w:r>
      <w:r>
        <w:rPr>
          <w:rFonts w:hint="eastAsia" w:ascii="Times New Roman" w:hAnsi="Times New Roman"/>
          <w:sz w:val="24"/>
          <w:szCs w:val="24"/>
        </w:rPr>
        <w:t xml:space="preserve">函</w:t>
      </w:r>
      <w:r>
        <w:rPr>
          <w:rFonts w:hint="eastAsia" w:ascii="宋体" w:hAnsi="宋体"/>
          <w:sz w:val="24"/>
          <w:szCs w:val="24"/>
        </w:rPr>
        <w:t xml:space="preserve">上网公开</w:t>
      </w:r>
      <w:r>
        <w:rPr>
          <w:rFonts w:ascii="Times New Roman" w:hAnsi="Times New Roman"/>
          <w:sz w:val="24"/>
          <w:szCs w:val="24"/>
        </w:rPr>
        <w:t xml:space="preserve">。</w:t>
      </w:r>
      <w:r/>
    </w:p>
    <w:p>
      <w:pPr>
        <w:pStyle w:val="1389"/>
        <w:ind w:firstLine="480"/>
        <w:jc w:val="left"/>
        <w:spacing w:line="500" w:lineRule="exact"/>
        <w:rPr>
          <w:rFonts w:ascii="Times New Roman" w:hAnsi="Times New Roman"/>
          <w:sz w:val="24"/>
          <w:szCs w:val="24"/>
        </w:rPr>
      </w:pPr>
      <w:r>
        <w:rPr>
          <w:rFonts w:ascii="Times New Roman" w:hAnsi="Times New Roman"/>
          <w:sz w:val="24"/>
          <w:szCs w:val="24"/>
        </w:rPr>
      </w:r>
      <w:r/>
    </w:p>
    <w:p>
      <w:pPr>
        <w:pStyle w:val="1389"/>
        <w:ind w:firstLine="480"/>
        <w:jc w:val="left"/>
        <w:spacing w:line="500" w:lineRule="exact"/>
        <w:rPr>
          <w:rFonts w:ascii="Times New Roman" w:hAnsi="Times New Roman"/>
          <w:sz w:val="24"/>
          <w:szCs w:val="24"/>
        </w:rPr>
      </w:pPr>
      <w:r>
        <w:rPr>
          <w:rFonts w:ascii="Times New Roman" w:hAnsi="Times New Roman"/>
          <w:sz w:val="24"/>
          <w:szCs w:val="24"/>
        </w:rPr>
      </w:r>
      <w:r/>
    </w:p>
    <w:p>
      <w:pPr>
        <w:pStyle w:val="1389"/>
        <w:ind w:firstLine="480"/>
        <w:jc w:val="left"/>
        <w:spacing w:line="500" w:lineRule="exact"/>
        <w:rPr>
          <w:rFonts w:ascii="Times New Roman" w:hAnsi="Times New Roman"/>
          <w:sz w:val="24"/>
          <w:szCs w:val="24"/>
        </w:rPr>
      </w:pPr>
      <w:r>
        <w:rPr>
          <w:rFonts w:ascii="Times New Roman" w:hAnsi="Times New Roman"/>
          <w:sz w:val="24"/>
          <w:szCs w:val="24"/>
        </w:rPr>
        <w:t xml:space="preserve">供应商名称： （盖CA电子公章）</w:t>
      </w:r>
      <w:r/>
    </w:p>
    <w:p>
      <w:pPr>
        <w:pStyle w:val="1389"/>
        <w:ind w:firstLine="480"/>
        <w:jc w:val="left"/>
        <w:spacing w:line="500" w:lineRule="exact"/>
        <w:rPr>
          <w:rFonts w:ascii="Times New Roman" w:hAnsi="Times New Roman"/>
          <w:sz w:val="24"/>
          <w:szCs w:val="24"/>
        </w:rPr>
      </w:pPr>
      <w:r>
        <w:rPr>
          <w:rFonts w:ascii="Times New Roman" w:hAnsi="Times New Roman"/>
          <w:sz w:val="24"/>
          <w:szCs w:val="24"/>
        </w:rPr>
        <w:t xml:space="preserve">日期：    年    月   日</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r>
      <w:r/>
    </w:p>
    <w:p>
      <w:pPr>
        <w:spacing w:line="440" w:lineRule="exact"/>
        <w:rPr>
          <w:rFonts w:ascii="Times New Roman" w:hAnsi="Times New Roman" w:eastAsia="仿宋"/>
          <w:sz w:val="24"/>
          <w:szCs w:val="24"/>
        </w:rPr>
      </w:pPr>
      <w:r>
        <w:rPr>
          <w:rFonts w:ascii="Times New Roman" w:hAnsi="Times New Roman" w:eastAsia="仿宋"/>
          <w:sz w:val="24"/>
          <w:szCs w:val="24"/>
        </w:rPr>
      </w:r>
      <w:r/>
    </w:p>
    <w:p>
      <w:r/>
      <w:bookmarkStart w:id="107" w:name="_Toc120614284"/>
      <w:r>
        <w:rPr>
          <w:rFonts w:hint="eastAsia" w:ascii="宋体" w:hAnsi="宋体" w:cs="宋体"/>
          <w:b/>
          <w:bCs/>
          <w:sz w:val="32"/>
          <w:szCs w:val="32"/>
        </w:rPr>
        <w:br w:type="page" w:clear="all"/>
      </w:r>
      <w:r/>
    </w:p>
    <w:p>
      <w:pPr>
        <w:pStyle w:val="1487"/>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二、法人授权书</w:t>
      </w:r>
      <w:r/>
    </w:p>
    <w:p>
      <w:pPr>
        <w:pStyle w:val="1394"/>
        <w:jc w:val="center"/>
        <w:widowControl w:val="off"/>
        <w:rPr>
          <w:rFonts w:ascii="方正小标宋_GBK" w:hAnsi="Calibri" w:eastAsia="方正小标宋_GBK"/>
          <w:b w:val="0"/>
          <w:bCs/>
          <w:szCs w:val="32"/>
        </w:rPr>
      </w:pPr>
      <w:r>
        <w:rPr>
          <w:rFonts w:hint="eastAsia" w:ascii="方正小标宋_GBK" w:hAnsi="Calibri" w:eastAsia="方正小标宋_GBK"/>
          <w:b w:val="0"/>
          <w:bCs/>
          <w:szCs w:val="32"/>
        </w:rPr>
        <w:t xml:space="preserve">法人授权书</w:t>
      </w:r>
      <w:r/>
    </w:p>
    <w:p>
      <w:pPr>
        <w:pStyle w:val="1389"/>
        <w:jc w:val="left"/>
        <w:spacing w:line="500" w:lineRule="exact"/>
        <w:rPr>
          <w:rFonts w:hint="eastAsia" w:ascii="仿宋" w:hAnsi="仿宋" w:eastAsia="仿宋" w:cs="仿宋"/>
          <w:sz w:val="24"/>
          <w:szCs w:val="24"/>
        </w:rPr>
      </w:pPr>
      <w:r>
        <w:rPr>
          <w:rFonts w:hint="eastAsia" w:ascii="仿宋" w:hAnsi="仿宋" w:eastAsia="仿宋" w:cs="仿宋"/>
          <w:sz w:val="24"/>
          <w:szCs w:val="24"/>
        </w:rPr>
      </w:r>
      <w:r/>
    </w:p>
    <w:p>
      <w:pPr>
        <w:pStyle w:val="1389"/>
        <w:ind w:firstLine="480"/>
        <w:jc w:val="left"/>
        <w:spacing w:line="500" w:lineRule="exact"/>
        <w:rPr>
          <w:rFonts w:hint="eastAsia" w:ascii="宋体" w:hAnsi="宋体" w:cs="仿宋"/>
          <w:sz w:val="24"/>
          <w:szCs w:val="24"/>
        </w:rPr>
      </w:pPr>
      <w:r>
        <w:rPr>
          <w:rFonts w:hint="eastAsia" w:ascii="宋体" w:hAnsi="宋体" w:cs="仿宋"/>
          <w:sz w:val="24"/>
          <w:szCs w:val="24"/>
        </w:rPr>
        <w:t xml:space="preserve">本授权书声明：____________（供应商名称）授权________________（被授权人的姓名）为我方就</w:t>
      </w:r>
      <w:r>
        <w:rPr>
          <w:rFonts w:hint="eastAsia" w:ascii="宋体" w:hAnsi="宋体"/>
          <w:sz w:val="24"/>
          <w:szCs w:val="24"/>
          <w:u w:val="single"/>
        </w:rPr>
        <w:t xml:space="preserve">（项目编号）</w:t>
      </w:r>
      <w:r>
        <w:rPr>
          <w:rFonts w:hint="eastAsia" w:ascii="宋体" w:hAnsi="宋体"/>
          <w:sz w:val="24"/>
          <w:szCs w:val="24"/>
        </w:rPr>
        <w:t xml:space="preserve">号</w:t>
      </w:r>
      <w:r>
        <w:rPr>
          <w:rFonts w:hint="eastAsia" w:ascii="宋体" w:hAnsi="宋体"/>
          <w:sz w:val="24"/>
          <w:szCs w:val="24"/>
          <w:u w:val="single"/>
        </w:rPr>
        <w:t xml:space="preserve">          （项目名称）    </w:t>
      </w:r>
      <w:r>
        <w:rPr>
          <w:rFonts w:hint="eastAsia" w:ascii="宋体" w:hAnsi="宋体" w:cs="仿宋"/>
          <w:sz w:val="24"/>
          <w:szCs w:val="24"/>
        </w:rPr>
        <w:t xml:space="preserve">采购活动的合法代理人，以本单位名义全权处理一切与该项目采购有关的事务。</w:t>
      </w:r>
      <w:r/>
    </w:p>
    <w:p>
      <w:pPr>
        <w:pStyle w:val="1389"/>
        <w:ind w:firstLine="480"/>
        <w:jc w:val="left"/>
        <w:spacing w:line="500" w:lineRule="exact"/>
        <w:rPr>
          <w:rFonts w:hint="eastAsia" w:ascii="宋体" w:hAnsi="宋体" w:cs="仿宋"/>
          <w:sz w:val="24"/>
          <w:szCs w:val="24"/>
        </w:rPr>
      </w:pPr>
      <w:r>
        <w:rPr>
          <w:rFonts w:hint="eastAsia" w:ascii="宋体" w:hAnsi="宋体" w:cs="仿宋"/>
          <w:sz w:val="24"/>
          <w:szCs w:val="24"/>
        </w:rPr>
        <w:t xml:space="preserve">本授权书于______年____月____日起生效，特此声明。</w:t>
      </w:r>
      <w:r/>
    </w:p>
    <w:p>
      <w:pPr>
        <w:pStyle w:val="1389"/>
        <w:ind w:firstLine="480"/>
        <w:jc w:val="left"/>
        <w:spacing w:line="500" w:lineRule="exact"/>
        <w:rPr>
          <w:rFonts w:hint="eastAsia" w:ascii="宋体" w:hAnsi="宋体" w:cs="仿宋"/>
          <w:sz w:val="24"/>
          <w:szCs w:val="24"/>
        </w:rPr>
      </w:pPr>
      <w:r>
        <w:rPr>
          <w:rFonts w:hint="eastAsia" w:ascii="宋体" w:hAnsi="宋体" w:cs="仿宋"/>
          <w:sz w:val="24"/>
          <w:szCs w:val="24"/>
        </w:rPr>
      </w:r>
      <w:r/>
    </w:p>
    <w:p>
      <w:pPr>
        <w:pStyle w:val="1389"/>
        <w:ind w:firstLine="480"/>
        <w:jc w:val="left"/>
        <w:spacing w:line="500" w:lineRule="exact"/>
        <w:rPr>
          <w:rFonts w:hint="eastAsia" w:ascii="宋体" w:hAnsi="宋体" w:cs="仿宋"/>
          <w:sz w:val="24"/>
          <w:szCs w:val="24"/>
        </w:rPr>
      </w:pPr>
      <w:r>
        <w:rPr>
          <w:rFonts w:hint="eastAsia" w:ascii="宋体" w:hAnsi="宋体" w:cs="仿宋"/>
          <w:sz w:val="24"/>
          <w:szCs w:val="24"/>
        </w:rPr>
        <w:t xml:space="preserve">被授权人身份证号码：</w:t>
      </w:r>
      <w:r/>
    </w:p>
    <w:p>
      <w:pPr>
        <w:pStyle w:val="1389"/>
        <w:ind w:firstLine="480"/>
        <w:jc w:val="left"/>
        <w:spacing w:line="500" w:lineRule="exact"/>
        <w:rPr>
          <w:rFonts w:hint="eastAsia" w:ascii="宋体" w:hAnsi="宋体" w:cs="仿宋"/>
          <w:sz w:val="24"/>
          <w:szCs w:val="24"/>
        </w:rPr>
      </w:pPr>
      <w:r>
        <w:rPr>
          <w:rFonts w:hint="eastAsia" w:ascii="宋体" w:hAnsi="宋体" w:cs="仿宋"/>
          <w:sz w:val="24"/>
          <w:szCs w:val="24"/>
        </w:rPr>
        <w:t xml:space="preserve">被授权人联系电话：（手机）</w:t>
      </w:r>
      <w:r/>
    </w:p>
    <w:p>
      <w:pPr>
        <w:pStyle w:val="1389"/>
        <w:ind w:firstLine="480"/>
        <w:jc w:val="left"/>
        <w:spacing w:line="500" w:lineRule="exact"/>
        <w:rPr>
          <w:rFonts w:hint="eastAsia" w:ascii="宋体" w:hAnsi="宋体" w:cs="仿宋"/>
          <w:sz w:val="24"/>
          <w:szCs w:val="24"/>
        </w:rPr>
      </w:pPr>
      <w:r>
        <w:rPr>
          <w:rFonts w:hint="eastAsia" w:ascii="宋体" w:hAnsi="宋体" w:cs="仿宋"/>
          <w:sz w:val="24"/>
          <w:szCs w:val="24"/>
        </w:rPr>
        <w:t xml:space="preserve">授权单位名称：（盖CA电子公章）</w:t>
      </w:r>
      <w:r/>
    </w:p>
    <w:p>
      <w:pPr>
        <w:pStyle w:val="1389"/>
        <w:ind w:firstLine="480"/>
        <w:jc w:val="left"/>
        <w:spacing w:line="500" w:lineRule="exact"/>
        <w:rPr>
          <w:rFonts w:hint="eastAsia" w:ascii="宋体" w:hAnsi="宋体" w:cs="仿宋"/>
          <w:sz w:val="24"/>
          <w:szCs w:val="24"/>
        </w:rPr>
      </w:pPr>
      <w:r>
        <w:rPr>
          <w:rFonts w:hint="eastAsia" w:ascii="宋体" w:hAnsi="宋体" w:cs="仿宋"/>
          <w:sz w:val="24"/>
          <w:szCs w:val="24"/>
        </w:rPr>
        <w:t xml:space="preserve">单位地址：</w:t>
      </w:r>
      <w:r/>
    </w:p>
    <w:p>
      <w:pPr>
        <w:pStyle w:val="1389"/>
        <w:ind w:firstLine="480"/>
        <w:jc w:val="left"/>
        <w:spacing w:line="500" w:lineRule="exact"/>
        <w:rPr>
          <w:rFonts w:hint="eastAsia" w:ascii="宋体" w:hAnsi="宋体" w:cs="仿宋"/>
          <w:sz w:val="24"/>
          <w:szCs w:val="24"/>
        </w:rPr>
      </w:pPr>
      <w:r>
        <w:rPr>
          <w:rFonts w:hint="eastAsia" w:ascii="宋体" w:hAnsi="宋体" w:cs="仿宋"/>
          <w:sz w:val="24"/>
          <w:szCs w:val="24"/>
        </w:rPr>
        <w:t xml:space="preserve">日期：</w:t>
      </w:r>
      <w:bookmarkStart w:id="108" w:name="_Hlt26671380"/>
      <w:r/>
      <w:bookmarkEnd w:id="108"/>
      <w:r/>
      <w:bookmarkStart w:id="109" w:name="_Hlt26955070"/>
      <w:r/>
      <w:bookmarkEnd w:id="109"/>
      <w:r/>
      <w:bookmarkStart w:id="110" w:name="_格式3__银行出具的资信证明"/>
      <w:r/>
      <w:bookmarkEnd w:id="110"/>
      <w:r/>
      <w:r/>
    </w:p>
    <w:p>
      <w:pPr>
        <w:spacing w:line="500" w:lineRule="exact"/>
        <w:rPr>
          <w:rFonts w:hint="eastAsia" w:ascii="仿宋" w:hAnsi="仿宋" w:eastAsia="仿宋" w:cs="仿宋"/>
          <w:bCs/>
          <w:sz w:val="24"/>
          <w:szCs w:val="21"/>
        </w:rPr>
      </w:pPr>
      <w:r>
        <w:rPr>
          <w:rFonts w:hint="eastAsia" w:ascii="仿宋" w:hAnsi="仿宋" w:eastAsia="仿宋" w:cs="仿宋"/>
          <w:bCs/>
          <w:sz w:val="24"/>
          <w:szCs w:val="21"/>
        </w:rPr>
      </w:r>
      <w:r/>
    </w:p>
    <w:p>
      <w:pPr>
        <w:ind w:firstLine="480"/>
        <w:tabs>
          <w:tab w:val="left" w:pos="360" w:leader="none"/>
        </w:tabs>
        <w:rPr>
          <w:rFonts w:hint="eastAsia" w:ascii="仿宋" w:hAnsi="仿宋" w:eastAsia="仿宋" w:cs="仿宋"/>
          <w:sz w:val="24"/>
          <w:szCs w:val="24"/>
          <w:u w:val="single"/>
        </w:rPr>
      </w:pPr>
      <w:r>
        <w:rPr>
          <w:rFonts w:hint="eastAsia" w:ascii="仿宋" w:hAnsi="仿宋" w:eastAsia="仿宋" w:cs="仿宋"/>
          <w:sz w:val="24"/>
          <w:szCs w:val="24"/>
          <w:u w:val="single"/>
        </w:rPr>
      </w:r>
      <w:r/>
    </w:p>
    <w:p>
      <w:pPr>
        <w:ind w:firstLine="480"/>
        <w:tabs>
          <w:tab w:val="left" w:pos="360" w:leader="none"/>
        </w:tabs>
        <w:rPr>
          <w:rFonts w:hint="eastAsia" w:ascii="仿宋" w:hAnsi="仿宋" w:eastAsia="仿宋" w:cs="仿宋"/>
          <w:sz w:val="24"/>
          <w:szCs w:val="24"/>
        </w:rPr>
      </w:pPr>
      <w:r>
        <w:rPr>
          <w:rFonts w:hint="eastAsia" w:ascii="仿宋" w:hAnsi="仿宋" w:eastAsia="仿宋" w:cs="仿宋"/>
          <w:sz w:val="24"/>
          <w:szCs w:val="24"/>
        </w:rPr>
      </w:r>
      <w:r/>
    </w:p>
    <w:p>
      <w:pPr>
        <w:ind w:firstLine="420"/>
        <w:rPr>
          <w:rFonts w:hint="eastAsia" w:ascii="仿宋" w:hAnsi="仿宋" w:eastAsia="仿宋" w:cs="仿宋"/>
          <w:i/>
          <w:sz w:val="24"/>
          <w:szCs w:val="24"/>
          <w:u w:val="single"/>
        </w:rPr>
      </w:pPr>
      <w:r>
        <w:rPr>
          <w:rFonts w:hint="eastAsia" w:ascii="仿宋" w:hAnsi="仿宋" w:eastAsia="仿宋" w:cs="仿宋"/>
          <w:i/>
          <w:sz w:val="24"/>
          <w:szCs w:val="24"/>
          <w:u w:val="single"/>
        </w:rPr>
      </w:r>
      <w:r/>
    </w:p>
    <w:p>
      <w:pPr>
        <w:rPr>
          <w:rFonts w:hint="eastAsia" w:ascii="仿宋" w:hAnsi="仿宋" w:eastAsia="仿宋" w:cs="仿宋"/>
          <w:szCs w:val="21"/>
        </w:rPr>
      </w:pPr>
      <w:r>
        <w:rPr>
          <w:rFonts w:hint="eastAsia" w:ascii="仿宋" w:hAnsi="仿宋" w:eastAsia="仿宋" w:cs="仿宋"/>
          <w:szCs w:val="21"/>
        </w:rPr>
      </w:r>
      <w:r/>
    </w:p>
    <w:p>
      <w:pPr>
        <w:jc w:val="left"/>
        <w:spacing w:line="560" w:lineRule="exact"/>
        <w:rPr>
          <w:rFonts w:hint="eastAsia" w:ascii="仿宋" w:hAnsi="仿宋" w:eastAsia="仿宋" w:cs="仿宋"/>
          <w:b/>
          <w:sz w:val="24"/>
          <w:szCs w:val="44"/>
        </w:rPr>
      </w:pPr>
      <w:r>
        <w:rPr>
          <w:rFonts w:hint="eastAsia" w:ascii="仿宋" w:hAnsi="仿宋" w:eastAsia="仿宋" w:cs="仿宋"/>
          <w:b/>
          <w:sz w:val="24"/>
          <w:szCs w:val="44"/>
        </w:rPr>
      </w:r>
      <w:r/>
    </w:p>
    <w:p>
      <w:pPr>
        <w:jc w:val="left"/>
        <w:spacing w:line="560" w:lineRule="exact"/>
        <w:rPr>
          <w:rFonts w:hint="eastAsia" w:ascii="仿宋" w:hAnsi="仿宋" w:eastAsia="仿宋" w:cs="仿宋"/>
          <w:sz w:val="24"/>
          <w:szCs w:val="24"/>
        </w:rPr>
      </w:pPr>
      <w:r>
        <w:rPr>
          <w:rFonts w:hint="eastAsia" w:ascii="仿宋" w:hAnsi="仿宋" w:eastAsia="仿宋" w:cs="仿宋"/>
          <w:sz w:val="24"/>
          <w:szCs w:val="24"/>
        </w:rPr>
      </w:r>
      <w:r/>
    </w:p>
    <w:p>
      <w:pPr>
        <w:jc w:val="center"/>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jc w:val="center"/>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rPr>
          <w:rFonts w:hint="eastAsia" w:ascii="仿宋" w:hAnsi="仿宋" w:eastAsia="仿宋" w:cs="仿宋"/>
          <w:b/>
          <w:sz w:val="32"/>
          <w:szCs w:val="32"/>
        </w:rPr>
      </w:pPr>
      <w:r>
        <w:rPr>
          <w:rFonts w:hint="eastAsia" w:ascii="仿宋" w:hAnsi="仿宋" w:eastAsia="仿宋" w:cs="仿宋"/>
          <w:b/>
          <w:sz w:val="32"/>
          <w:szCs w:val="32"/>
        </w:rPr>
        <w:br w:type="page" w:clear="all"/>
      </w:r>
      <w:r/>
    </w:p>
    <w:p>
      <w:pPr>
        <w:pStyle w:val="1487"/>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三、磋商报价表</w:t>
      </w:r>
      <w:r/>
    </w:p>
    <w:p>
      <w:pPr>
        <w:jc w:val="left"/>
        <w:spacing w:before="30" w:after="30" w:line="0" w:lineRule="atLeast"/>
        <w:widowControl/>
        <w:rPr>
          <w:rFonts w:hint="eastAsia" w:ascii="Times New Roman" w:hAnsi="Times New Roman" w:cs="宋体"/>
          <w:sz w:val="24"/>
          <w:szCs w:val="24"/>
        </w:rPr>
      </w:pPr>
      <w:r>
        <w:rPr>
          <w:rFonts w:hint="eastAsia" w:ascii="Times New Roman" w:hAnsi="Times New Roman" w:cs="宋体"/>
          <w:sz w:val="24"/>
          <w:szCs w:val="24"/>
        </w:rPr>
      </w:r>
      <w:r/>
    </w:p>
    <w:p>
      <w:pPr>
        <w:jc w:val="left"/>
        <w:spacing w:before="30" w:after="30" w:line="0" w:lineRule="atLeast"/>
        <w:widowControl/>
        <w:rPr>
          <w:rFonts w:ascii="Times New Roman" w:hAnsi="Times New Roman" w:cs="宋体"/>
          <w:sz w:val="24"/>
          <w:szCs w:val="24"/>
        </w:rPr>
      </w:pPr>
      <w:r>
        <w:rPr>
          <w:rFonts w:hint="eastAsia" w:ascii="Times New Roman" w:hAnsi="Times New Roman" w:cs="宋体"/>
          <w:sz w:val="24"/>
          <w:szCs w:val="24"/>
        </w:rPr>
        <w:t xml:space="preserve">格式详见响应文件制作工具</w:t>
      </w:r>
      <w:r/>
    </w:p>
    <w:p>
      <w:pPr>
        <w:spacing w:line="480" w:lineRule="exact"/>
        <w:rPr>
          <w:rFonts w:hint="eastAsia" w:ascii="宋体" w:hAnsi="宋体" w:cs="黑体"/>
          <w:b/>
          <w:sz w:val="32"/>
          <w:szCs w:val="24"/>
        </w:rPr>
      </w:pPr>
      <w:r>
        <w:rPr>
          <w:rFonts w:hint="eastAsia" w:ascii="宋体" w:hAnsi="宋体" w:cs="黑体"/>
          <w:b/>
          <w:sz w:val="32"/>
          <w:szCs w:val="24"/>
        </w:rPr>
      </w:r>
      <w:r/>
    </w:p>
    <w:p>
      <w:pPr>
        <w:spacing w:line="460" w:lineRule="exact"/>
        <w:rPr>
          <w:rFonts w:hint="eastAsia" w:ascii="黑体" w:hAnsi="黑体" w:eastAsia="黑体" w:cs="黑体"/>
          <w:b/>
          <w:sz w:val="32"/>
          <w:szCs w:val="24"/>
        </w:rPr>
      </w:pPr>
      <w:r>
        <w:rPr>
          <w:rFonts w:hint="eastAsia" w:ascii="黑体" w:hAnsi="黑体" w:eastAsia="黑体" w:cs="黑体"/>
          <w:b/>
          <w:sz w:val="32"/>
          <w:szCs w:val="24"/>
        </w:rPr>
      </w:r>
      <w:r/>
    </w:p>
    <w:p>
      <w:pPr>
        <w:rPr>
          <w:rFonts w:hint="eastAsia" w:ascii="黑体" w:hAnsi="黑体" w:eastAsia="黑体" w:cs="黑体"/>
          <w:b/>
          <w:sz w:val="32"/>
          <w:szCs w:val="24"/>
        </w:rPr>
      </w:pPr>
      <w:r>
        <w:rPr>
          <w:rFonts w:ascii="黑体" w:hAnsi="黑体" w:eastAsia="黑体" w:cs="黑体"/>
          <w:b/>
          <w:sz w:val="32"/>
          <w:szCs w:val="24"/>
        </w:rPr>
        <w:br w:type="page" w:clear="all"/>
      </w:r>
      <w:r/>
    </w:p>
    <w:p>
      <w:pPr>
        <w:pStyle w:val="1487"/>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四、分项报价表</w:t>
      </w:r>
      <w:r/>
    </w:p>
    <w:p>
      <w:pPr>
        <w:pStyle w:val="1394"/>
        <w:jc w:val="center"/>
        <w:widowControl w:val="off"/>
        <w:rPr>
          <w:rFonts w:ascii="方正小标宋_GBK" w:hAnsi="Calibri" w:eastAsia="方正小标宋_GBK"/>
          <w:b w:val="0"/>
          <w:bCs/>
          <w:szCs w:val="32"/>
        </w:rPr>
      </w:pPr>
      <w:r>
        <w:rPr>
          <w:rFonts w:hint="eastAsia" w:ascii="方正小标宋_GBK" w:hAnsi="Calibri" w:eastAsia="方正小标宋_GBK"/>
          <w:b w:val="0"/>
          <w:bCs/>
          <w:szCs w:val="32"/>
        </w:rPr>
        <w:t xml:space="preserve">分项报价表（服务类）</w:t>
      </w:r>
      <w:r/>
    </w:p>
    <w:tbl>
      <w:tblPr>
        <w:tblStyle w:val="745"/>
        <w:tblW w:w="8985"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4"/>
        <w:gridCol w:w="1407"/>
        <w:gridCol w:w="2266"/>
        <w:gridCol w:w="1134"/>
        <w:gridCol w:w="992"/>
        <w:gridCol w:w="1541"/>
        <w:gridCol w:w="991"/>
      </w:tblGrid>
      <w:tr>
        <w:trPr>
          <w:cantSplit/>
          <w:trHeight w:val="630"/>
        </w:trPr>
        <w:tc>
          <w:tcPr>
            <w:tcW w:w="654" w:type="dxa"/>
            <w:vAlign w:val="center"/>
            <w:textDirection w:val="lrTb"/>
            <w:noWrap w:val="false"/>
          </w:tcPr>
          <w:p>
            <w:pPr>
              <w:pStyle w:val="1465"/>
              <w:jc w:val="center"/>
              <w:spacing w:line="360" w:lineRule="exact"/>
              <w:widowControl/>
              <w:rPr>
                <w:rFonts w:hint="eastAsia" w:ascii="宋体" w:hAnsi="宋体"/>
                <w:sz w:val="24"/>
                <w:szCs w:val="24"/>
              </w:rPr>
            </w:pPr>
            <w:r>
              <w:rPr>
                <w:rFonts w:hint="eastAsia" w:ascii="宋体" w:hAnsi="宋体"/>
                <w:sz w:val="24"/>
                <w:szCs w:val="24"/>
              </w:rPr>
              <w:t xml:space="preserve">序号</w:t>
            </w:r>
            <w:r/>
          </w:p>
        </w:tc>
        <w:tc>
          <w:tcPr>
            <w:gridSpan w:val="2"/>
            <w:tcW w:w="3673" w:type="dxa"/>
            <w:vAlign w:val="center"/>
            <w:textDirection w:val="lrTb"/>
            <w:noWrap w:val="false"/>
          </w:tcPr>
          <w:p>
            <w:pPr>
              <w:pStyle w:val="1465"/>
              <w:jc w:val="center"/>
              <w:spacing w:line="360" w:lineRule="exact"/>
              <w:widowControl/>
              <w:rPr>
                <w:rFonts w:hint="eastAsia" w:ascii="宋体" w:hAnsi="宋体"/>
                <w:sz w:val="24"/>
                <w:szCs w:val="24"/>
              </w:rPr>
            </w:pPr>
            <w:r>
              <w:rPr>
                <w:rFonts w:hint="eastAsia" w:ascii="宋体" w:hAnsi="宋体"/>
                <w:sz w:val="24"/>
                <w:szCs w:val="24"/>
              </w:rPr>
              <w:t xml:space="preserve">服务费用简述</w:t>
            </w:r>
            <w:r/>
          </w:p>
        </w:tc>
        <w:tc>
          <w:tcPr>
            <w:tcW w:w="1134" w:type="dxa"/>
            <w:vAlign w:val="center"/>
            <w:textDirection w:val="lrTb"/>
            <w:noWrap w:val="false"/>
          </w:tcPr>
          <w:p>
            <w:pPr>
              <w:pStyle w:val="1465"/>
              <w:jc w:val="center"/>
              <w:spacing w:line="360" w:lineRule="exact"/>
              <w:widowControl/>
              <w:rPr>
                <w:rFonts w:hint="eastAsia" w:ascii="宋体" w:hAnsi="宋体"/>
                <w:sz w:val="24"/>
                <w:szCs w:val="24"/>
              </w:rPr>
            </w:pPr>
            <w:r>
              <w:rPr>
                <w:rFonts w:hint="eastAsia" w:ascii="宋体" w:hAnsi="宋体"/>
                <w:sz w:val="24"/>
                <w:szCs w:val="24"/>
              </w:rPr>
              <w:t xml:space="preserve">单价</w:t>
            </w:r>
            <w:r/>
          </w:p>
          <w:p>
            <w:pPr>
              <w:pStyle w:val="1465"/>
              <w:jc w:val="center"/>
              <w:spacing w:line="360" w:lineRule="exact"/>
              <w:widowControl/>
              <w:rPr>
                <w:rFonts w:hint="eastAsia" w:ascii="宋体" w:hAnsi="宋体"/>
                <w:sz w:val="24"/>
                <w:szCs w:val="24"/>
              </w:rPr>
            </w:pPr>
            <w:r>
              <w:rPr>
                <w:rFonts w:hint="eastAsia" w:ascii="宋体" w:hAnsi="宋体"/>
                <w:sz w:val="24"/>
                <w:szCs w:val="24"/>
              </w:rPr>
              <w:t xml:space="preserve">（元）</w:t>
            </w:r>
            <w:r/>
          </w:p>
        </w:tc>
        <w:tc>
          <w:tcPr>
            <w:tcW w:w="992" w:type="dxa"/>
            <w:vAlign w:val="center"/>
            <w:textDirection w:val="lrTb"/>
            <w:noWrap w:val="false"/>
          </w:tcPr>
          <w:p>
            <w:pPr>
              <w:pStyle w:val="1465"/>
              <w:jc w:val="center"/>
              <w:spacing w:line="360" w:lineRule="exact"/>
              <w:widowControl/>
              <w:rPr>
                <w:rFonts w:hint="eastAsia" w:ascii="宋体" w:hAnsi="宋体"/>
                <w:sz w:val="24"/>
                <w:szCs w:val="24"/>
              </w:rPr>
            </w:pPr>
            <w:r>
              <w:rPr>
                <w:rFonts w:hint="eastAsia" w:ascii="宋体" w:hAnsi="宋体"/>
                <w:sz w:val="24"/>
                <w:szCs w:val="24"/>
              </w:rPr>
              <w:t xml:space="preserve">数量</w:t>
            </w:r>
            <w:r/>
          </w:p>
        </w:tc>
        <w:tc>
          <w:tcPr>
            <w:tcW w:w="1541" w:type="dxa"/>
            <w:vAlign w:val="center"/>
            <w:textDirection w:val="lrTb"/>
            <w:noWrap w:val="false"/>
          </w:tcPr>
          <w:p>
            <w:pPr>
              <w:pStyle w:val="1465"/>
              <w:jc w:val="center"/>
              <w:spacing w:line="360" w:lineRule="exact"/>
              <w:widowControl/>
              <w:rPr>
                <w:rFonts w:hint="eastAsia" w:ascii="宋体" w:hAnsi="宋体"/>
                <w:sz w:val="24"/>
                <w:szCs w:val="24"/>
              </w:rPr>
            </w:pPr>
            <w:r>
              <w:rPr>
                <w:rFonts w:hint="eastAsia" w:ascii="宋体" w:hAnsi="宋体"/>
                <w:sz w:val="24"/>
                <w:szCs w:val="24"/>
              </w:rPr>
              <w:t xml:space="preserve">合价</w:t>
            </w:r>
            <w:r/>
          </w:p>
          <w:p>
            <w:pPr>
              <w:pStyle w:val="1465"/>
              <w:jc w:val="center"/>
              <w:spacing w:line="360" w:lineRule="exact"/>
              <w:widowControl/>
              <w:rPr>
                <w:rFonts w:hint="eastAsia" w:ascii="宋体" w:hAnsi="宋体"/>
                <w:sz w:val="24"/>
                <w:szCs w:val="24"/>
              </w:rPr>
            </w:pPr>
            <w:r>
              <w:rPr>
                <w:rFonts w:hint="eastAsia" w:ascii="宋体" w:hAnsi="宋体"/>
                <w:sz w:val="24"/>
                <w:szCs w:val="24"/>
              </w:rPr>
              <w:t xml:space="preserve">（元）</w:t>
            </w:r>
            <w:r/>
          </w:p>
        </w:tc>
        <w:tc>
          <w:tcPr>
            <w:tcW w:w="991" w:type="dxa"/>
            <w:vAlign w:val="center"/>
            <w:textDirection w:val="lrTb"/>
            <w:noWrap w:val="false"/>
          </w:tcPr>
          <w:p>
            <w:pPr>
              <w:pStyle w:val="1465"/>
              <w:jc w:val="center"/>
              <w:spacing w:line="360" w:lineRule="exact"/>
              <w:widowControl/>
              <w:rPr>
                <w:rFonts w:hint="eastAsia" w:ascii="宋体" w:hAnsi="宋体"/>
                <w:sz w:val="24"/>
                <w:szCs w:val="24"/>
              </w:rPr>
            </w:pPr>
            <w:r>
              <w:rPr>
                <w:rFonts w:hint="eastAsia" w:ascii="宋体" w:hAnsi="宋体"/>
                <w:sz w:val="24"/>
                <w:szCs w:val="24"/>
              </w:rPr>
              <w:t xml:space="preserve">备注</w:t>
            </w:r>
            <w:r/>
          </w:p>
        </w:tc>
      </w:tr>
      <w:tr>
        <w:trPr>
          <w:cantSplit/>
          <w:trHeight w:val="482"/>
        </w:trPr>
        <w:tc>
          <w:tcPr>
            <w:tcW w:w="654" w:type="dxa"/>
            <w:vAlign w:val="top"/>
            <w:textDirection w:val="lrTb"/>
            <w:noWrap w:val="false"/>
          </w:tcPr>
          <w:p>
            <w:pPr>
              <w:pStyle w:val="1465"/>
              <w:jc w:val="center"/>
              <w:spacing w:line="560" w:lineRule="exact"/>
              <w:widowControl/>
              <w:rPr>
                <w:rFonts w:hint="eastAsia" w:ascii="宋体" w:hAnsi="宋体"/>
                <w:sz w:val="24"/>
                <w:szCs w:val="24"/>
              </w:rPr>
            </w:pPr>
            <w:r>
              <w:rPr>
                <w:rFonts w:hint="eastAsia" w:ascii="宋体" w:hAnsi="宋体"/>
                <w:sz w:val="24"/>
                <w:szCs w:val="24"/>
              </w:rPr>
              <w:t xml:space="preserve">1</w:t>
            </w:r>
            <w:r/>
          </w:p>
        </w:tc>
        <w:tc>
          <w:tcPr>
            <w:gridSpan w:val="2"/>
            <w:tcW w:w="3673" w:type="dxa"/>
            <w:vAlign w:val="top"/>
            <w:textDirection w:val="lrTb"/>
            <w:noWrap w:val="false"/>
          </w:tcPr>
          <w:p>
            <w:pPr>
              <w:pStyle w:val="1465"/>
              <w:jc w:val="center"/>
              <w:spacing w:line="560" w:lineRule="exact"/>
              <w:widowControl/>
              <w:rPr>
                <w:rFonts w:hint="eastAsia" w:ascii="宋体" w:hAnsi="宋体"/>
                <w:sz w:val="24"/>
                <w:szCs w:val="24"/>
              </w:rPr>
            </w:pPr>
            <w:r>
              <w:rPr>
                <w:rFonts w:hint="eastAsia" w:ascii="宋体" w:hAnsi="宋体"/>
                <w:sz w:val="24"/>
                <w:szCs w:val="24"/>
              </w:rPr>
            </w:r>
            <w:r/>
          </w:p>
        </w:tc>
        <w:tc>
          <w:tcPr>
            <w:tcW w:w="1134" w:type="dxa"/>
            <w:vAlign w:val="center"/>
            <w:textDirection w:val="lrTb"/>
            <w:noWrap w:val="false"/>
          </w:tcPr>
          <w:p>
            <w:pPr>
              <w:pStyle w:val="1465"/>
              <w:jc w:val="center"/>
              <w:spacing w:line="560" w:lineRule="exact"/>
              <w:rPr>
                <w:rFonts w:hint="eastAsia" w:ascii="宋体" w:hAnsi="宋体"/>
                <w:sz w:val="24"/>
                <w:szCs w:val="24"/>
              </w:rPr>
            </w:pPr>
            <w:r>
              <w:rPr>
                <w:rFonts w:hint="eastAsia" w:ascii="宋体" w:hAnsi="宋体"/>
                <w:sz w:val="24"/>
                <w:szCs w:val="24"/>
              </w:rPr>
            </w:r>
            <w:r/>
          </w:p>
        </w:tc>
        <w:tc>
          <w:tcPr>
            <w:tcW w:w="992" w:type="dxa"/>
            <w:vAlign w:val="top"/>
            <w:textDirection w:val="lrTb"/>
            <w:noWrap w:val="false"/>
          </w:tcPr>
          <w:p>
            <w:pPr>
              <w:pStyle w:val="1465"/>
              <w:jc w:val="center"/>
              <w:spacing w:line="560" w:lineRule="exact"/>
              <w:widowControl/>
              <w:rPr>
                <w:rFonts w:hint="eastAsia" w:ascii="宋体" w:hAnsi="宋体"/>
                <w:sz w:val="24"/>
                <w:szCs w:val="24"/>
              </w:rPr>
            </w:pPr>
            <w:r>
              <w:rPr>
                <w:rFonts w:hint="eastAsia" w:ascii="宋体" w:hAnsi="宋体"/>
                <w:sz w:val="24"/>
                <w:szCs w:val="24"/>
              </w:rPr>
            </w:r>
            <w:r/>
          </w:p>
        </w:tc>
        <w:tc>
          <w:tcPr>
            <w:tcW w:w="1541" w:type="dxa"/>
            <w:vAlign w:val="center"/>
            <w:textDirection w:val="lrTb"/>
            <w:noWrap w:val="false"/>
          </w:tcPr>
          <w:p>
            <w:pPr>
              <w:pStyle w:val="1465"/>
              <w:jc w:val="center"/>
              <w:spacing w:line="560" w:lineRule="exact"/>
              <w:rPr>
                <w:rFonts w:hint="eastAsia" w:ascii="宋体" w:hAnsi="宋体"/>
                <w:sz w:val="24"/>
                <w:szCs w:val="24"/>
              </w:rPr>
            </w:pPr>
            <w:r>
              <w:rPr>
                <w:rFonts w:hint="eastAsia" w:ascii="宋体" w:hAnsi="宋体"/>
                <w:sz w:val="24"/>
                <w:szCs w:val="24"/>
              </w:rPr>
            </w:r>
            <w:r/>
          </w:p>
        </w:tc>
        <w:tc>
          <w:tcPr>
            <w:tcW w:w="991" w:type="dxa"/>
            <w:vAlign w:val="center"/>
            <w:textDirection w:val="lrTb"/>
            <w:noWrap w:val="false"/>
          </w:tcPr>
          <w:p>
            <w:pPr>
              <w:pStyle w:val="1465"/>
              <w:jc w:val="center"/>
              <w:spacing w:line="560" w:lineRule="exact"/>
              <w:rPr>
                <w:rFonts w:hint="eastAsia" w:ascii="宋体" w:hAnsi="宋体"/>
                <w:sz w:val="24"/>
                <w:szCs w:val="24"/>
              </w:rPr>
            </w:pPr>
            <w:r>
              <w:rPr>
                <w:rFonts w:hint="eastAsia" w:ascii="宋体" w:hAnsi="宋体"/>
                <w:sz w:val="24"/>
                <w:szCs w:val="24"/>
              </w:rPr>
            </w:r>
            <w:r/>
          </w:p>
        </w:tc>
      </w:tr>
      <w:tr>
        <w:trPr>
          <w:cantSplit/>
          <w:trHeight w:val="376"/>
        </w:trPr>
        <w:tc>
          <w:tcPr>
            <w:tcW w:w="654" w:type="dxa"/>
            <w:vAlign w:val="top"/>
            <w:textDirection w:val="lrTb"/>
            <w:noWrap w:val="false"/>
          </w:tcPr>
          <w:p>
            <w:pPr>
              <w:pStyle w:val="1465"/>
              <w:jc w:val="center"/>
              <w:spacing w:line="560" w:lineRule="exact"/>
              <w:widowControl/>
              <w:rPr>
                <w:rFonts w:hint="eastAsia" w:ascii="宋体" w:hAnsi="宋体"/>
                <w:sz w:val="24"/>
                <w:szCs w:val="24"/>
              </w:rPr>
            </w:pPr>
            <w:r>
              <w:rPr>
                <w:rFonts w:hint="eastAsia" w:ascii="宋体" w:hAnsi="宋体"/>
                <w:sz w:val="24"/>
                <w:szCs w:val="24"/>
              </w:rPr>
              <w:t xml:space="preserve">2</w:t>
            </w:r>
            <w:r/>
          </w:p>
        </w:tc>
        <w:tc>
          <w:tcPr>
            <w:gridSpan w:val="2"/>
            <w:tcW w:w="3673" w:type="dxa"/>
            <w:vAlign w:val="top"/>
            <w:textDirection w:val="lrTb"/>
            <w:noWrap w:val="false"/>
          </w:tcPr>
          <w:p>
            <w:pPr>
              <w:pStyle w:val="1465"/>
              <w:jc w:val="center"/>
              <w:spacing w:line="560" w:lineRule="exact"/>
              <w:widowControl/>
              <w:rPr>
                <w:rFonts w:hint="eastAsia" w:ascii="宋体" w:hAnsi="宋体"/>
                <w:sz w:val="24"/>
                <w:szCs w:val="24"/>
              </w:rPr>
            </w:pPr>
            <w:r>
              <w:rPr>
                <w:rFonts w:hint="eastAsia" w:ascii="宋体" w:hAnsi="宋体"/>
                <w:sz w:val="24"/>
                <w:szCs w:val="24"/>
              </w:rPr>
            </w:r>
            <w:r/>
          </w:p>
        </w:tc>
        <w:tc>
          <w:tcPr>
            <w:tcW w:w="1134" w:type="dxa"/>
            <w:vAlign w:val="center"/>
            <w:textDirection w:val="lrTb"/>
            <w:noWrap w:val="false"/>
          </w:tcPr>
          <w:p>
            <w:pPr>
              <w:pStyle w:val="1465"/>
              <w:jc w:val="center"/>
              <w:spacing w:line="560" w:lineRule="exact"/>
              <w:rPr>
                <w:rFonts w:hint="eastAsia" w:ascii="宋体" w:hAnsi="宋体"/>
                <w:sz w:val="24"/>
                <w:szCs w:val="24"/>
              </w:rPr>
            </w:pPr>
            <w:r>
              <w:rPr>
                <w:rFonts w:hint="eastAsia" w:ascii="宋体" w:hAnsi="宋体"/>
                <w:sz w:val="24"/>
                <w:szCs w:val="24"/>
              </w:rPr>
            </w:r>
            <w:r/>
          </w:p>
        </w:tc>
        <w:tc>
          <w:tcPr>
            <w:tcW w:w="992" w:type="dxa"/>
            <w:vAlign w:val="top"/>
            <w:textDirection w:val="lrTb"/>
            <w:noWrap w:val="false"/>
          </w:tcPr>
          <w:p>
            <w:pPr>
              <w:pStyle w:val="1465"/>
              <w:jc w:val="center"/>
              <w:spacing w:line="560" w:lineRule="exact"/>
              <w:widowControl/>
              <w:rPr>
                <w:rFonts w:hint="eastAsia" w:ascii="宋体" w:hAnsi="宋体"/>
                <w:sz w:val="24"/>
                <w:szCs w:val="24"/>
              </w:rPr>
            </w:pPr>
            <w:r>
              <w:rPr>
                <w:rFonts w:hint="eastAsia" w:ascii="宋体" w:hAnsi="宋体"/>
                <w:sz w:val="24"/>
                <w:szCs w:val="24"/>
              </w:rPr>
            </w:r>
            <w:r/>
          </w:p>
        </w:tc>
        <w:tc>
          <w:tcPr>
            <w:tcW w:w="1541" w:type="dxa"/>
            <w:vAlign w:val="center"/>
            <w:textDirection w:val="lrTb"/>
            <w:noWrap w:val="false"/>
          </w:tcPr>
          <w:p>
            <w:pPr>
              <w:pStyle w:val="1465"/>
              <w:jc w:val="center"/>
              <w:spacing w:line="560" w:lineRule="exact"/>
              <w:rPr>
                <w:rFonts w:hint="eastAsia" w:ascii="宋体" w:hAnsi="宋体"/>
                <w:sz w:val="24"/>
                <w:szCs w:val="24"/>
              </w:rPr>
            </w:pPr>
            <w:r>
              <w:rPr>
                <w:rFonts w:hint="eastAsia" w:ascii="宋体" w:hAnsi="宋体"/>
                <w:sz w:val="24"/>
                <w:szCs w:val="24"/>
              </w:rPr>
            </w:r>
            <w:r/>
          </w:p>
        </w:tc>
        <w:tc>
          <w:tcPr>
            <w:tcW w:w="991" w:type="dxa"/>
            <w:vAlign w:val="center"/>
            <w:textDirection w:val="lrTb"/>
            <w:noWrap w:val="false"/>
          </w:tcPr>
          <w:p>
            <w:pPr>
              <w:pStyle w:val="1465"/>
              <w:jc w:val="center"/>
              <w:spacing w:line="560" w:lineRule="exact"/>
              <w:rPr>
                <w:rFonts w:hint="eastAsia" w:ascii="宋体" w:hAnsi="宋体"/>
                <w:sz w:val="24"/>
                <w:szCs w:val="24"/>
              </w:rPr>
            </w:pPr>
            <w:r>
              <w:rPr>
                <w:rFonts w:hint="eastAsia" w:ascii="宋体" w:hAnsi="宋体"/>
                <w:sz w:val="24"/>
                <w:szCs w:val="24"/>
              </w:rPr>
            </w:r>
            <w:r/>
          </w:p>
        </w:tc>
      </w:tr>
      <w:tr>
        <w:trPr>
          <w:cantSplit/>
          <w:trHeight w:val="200"/>
        </w:trPr>
        <w:tc>
          <w:tcPr>
            <w:tcW w:w="654" w:type="dxa"/>
            <w:vAlign w:val="top"/>
            <w:textDirection w:val="lrTb"/>
            <w:noWrap w:val="false"/>
          </w:tcPr>
          <w:p>
            <w:pPr>
              <w:pStyle w:val="1465"/>
              <w:jc w:val="center"/>
              <w:spacing w:line="560" w:lineRule="exact"/>
              <w:widowControl/>
              <w:rPr>
                <w:rFonts w:hint="eastAsia" w:ascii="宋体" w:hAnsi="宋体"/>
                <w:sz w:val="24"/>
                <w:szCs w:val="24"/>
              </w:rPr>
            </w:pPr>
            <w:r>
              <w:rPr>
                <w:rFonts w:hint="eastAsia" w:ascii="宋体" w:hAnsi="宋体"/>
                <w:sz w:val="24"/>
                <w:szCs w:val="24"/>
              </w:rPr>
              <w:t xml:space="preserve">3</w:t>
            </w:r>
            <w:r/>
          </w:p>
        </w:tc>
        <w:tc>
          <w:tcPr>
            <w:gridSpan w:val="2"/>
            <w:tcW w:w="3673" w:type="dxa"/>
            <w:vAlign w:val="top"/>
            <w:textDirection w:val="lrTb"/>
            <w:noWrap w:val="false"/>
          </w:tcPr>
          <w:p>
            <w:pPr>
              <w:pStyle w:val="1465"/>
              <w:jc w:val="center"/>
              <w:spacing w:line="560" w:lineRule="exact"/>
              <w:widowControl/>
              <w:rPr>
                <w:rFonts w:hint="eastAsia" w:ascii="宋体" w:hAnsi="宋体"/>
                <w:sz w:val="24"/>
                <w:szCs w:val="24"/>
              </w:rPr>
            </w:pPr>
            <w:r>
              <w:rPr>
                <w:rFonts w:hint="eastAsia" w:ascii="宋体" w:hAnsi="宋体"/>
                <w:sz w:val="24"/>
                <w:szCs w:val="24"/>
              </w:rPr>
            </w:r>
            <w:r/>
          </w:p>
        </w:tc>
        <w:tc>
          <w:tcPr>
            <w:tcW w:w="1134" w:type="dxa"/>
            <w:vAlign w:val="center"/>
            <w:textDirection w:val="lrTb"/>
            <w:noWrap w:val="false"/>
          </w:tcPr>
          <w:p>
            <w:pPr>
              <w:pStyle w:val="1465"/>
              <w:jc w:val="center"/>
              <w:spacing w:line="560" w:lineRule="exact"/>
              <w:rPr>
                <w:rFonts w:hint="eastAsia" w:ascii="宋体" w:hAnsi="宋体"/>
                <w:sz w:val="24"/>
                <w:szCs w:val="24"/>
              </w:rPr>
            </w:pPr>
            <w:r>
              <w:rPr>
                <w:rFonts w:hint="eastAsia" w:ascii="宋体" w:hAnsi="宋体"/>
                <w:sz w:val="24"/>
                <w:szCs w:val="24"/>
              </w:rPr>
            </w:r>
            <w:r/>
          </w:p>
        </w:tc>
        <w:tc>
          <w:tcPr>
            <w:tcW w:w="992" w:type="dxa"/>
            <w:vAlign w:val="top"/>
            <w:textDirection w:val="lrTb"/>
            <w:noWrap w:val="false"/>
          </w:tcPr>
          <w:p>
            <w:pPr>
              <w:pStyle w:val="1465"/>
              <w:jc w:val="center"/>
              <w:spacing w:line="560" w:lineRule="exact"/>
              <w:widowControl/>
              <w:rPr>
                <w:rFonts w:hint="eastAsia" w:ascii="宋体" w:hAnsi="宋体"/>
                <w:sz w:val="24"/>
                <w:szCs w:val="24"/>
              </w:rPr>
            </w:pPr>
            <w:r>
              <w:rPr>
                <w:rFonts w:hint="eastAsia" w:ascii="宋体" w:hAnsi="宋体"/>
                <w:sz w:val="24"/>
                <w:szCs w:val="24"/>
              </w:rPr>
            </w:r>
            <w:r/>
          </w:p>
        </w:tc>
        <w:tc>
          <w:tcPr>
            <w:tcW w:w="1541" w:type="dxa"/>
            <w:vAlign w:val="center"/>
            <w:textDirection w:val="lrTb"/>
            <w:noWrap w:val="false"/>
          </w:tcPr>
          <w:p>
            <w:pPr>
              <w:pStyle w:val="1465"/>
              <w:jc w:val="center"/>
              <w:spacing w:line="560" w:lineRule="exact"/>
              <w:rPr>
                <w:rFonts w:hint="eastAsia" w:ascii="宋体" w:hAnsi="宋体"/>
                <w:sz w:val="24"/>
                <w:szCs w:val="24"/>
              </w:rPr>
            </w:pPr>
            <w:r>
              <w:rPr>
                <w:rFonts w:hint="eastAsia" w:ascii="宋体" w:hAnsi="宋体"/>
                <w:sz w:val="24"/>
                <w:szCs w:val="24"/>
              </w:rPr>
            </w:r>
            <w:r/>
          </w:p>
        </w:tc>
        <w:tc>
          <w:tcPr>
            <w:tcW w:w="991" w:type="dxa"/>
            <w:vAlign w:val="center"/>
            <w:textDirection w:val="lrTb"/>
            <w:noWrap w:val="false"/>
          </w:tcPr>
          <w:p>
            <w:pPr>
              <w:pStyle w:val="1465"/>
              <w:jc w:val="center"/>
              <w:spacing w:line="560" w:lineRule="exact"/>
              <w:rPr>
                <w:rFonts w:hint="eastAsia" w:ascii="宋体" w:hAnsi="宋体"/>
                <w:sz w:val="24"/>
                <w:szCs w:val="24"/>
              </w:rPr>
            </w:pPr>
            <w:r>
              <w:rPr>
                <w:rFonts w:hint="eastAsia" w:ascii="宋体" w:hAnsi="宋体"/>
                <w:sz w:val="24"/>
                <w:szCs w:val="24"/>
              </w:rPr>
            </w:r>
            <w:r/>
          </w:p>
        </w:tc>
      </w:tr>
      <w:tr>
        <w:trPr>
          <w:cantSplit/>
          <w:trHeight w:val="200"/>
        </w:trPr>
        <w:tc>
          <w:tcPr>
            <w:tcW w:w="654" w:type="dxa"/>
            <w:vAlign w:val="top"/>
            <w:textDirection w:val="lrTb"/>
            <w:noWrap w:val="false"/>
          </w:tcPr>
          <w:p>
            <w:pPr>
              <w:pStyle w:val="1465"/>
              <w:jc w:val="center"/>
              <w:spacing w:line="560" w:lineRule="exact"/>
              <w:widowControl/>
              <w:rPr>
                <w:rFonts w:hint="eastAsia" w:ascii="宋体" w:hAnsi="宋体"/>
                <w:sz w:val="24"/>
                <w:szCs w:val="24"/>
              </w:rPr>
            </w:pPr>
            <w:r>
              <w:rPr>
                <w:rFonts w:hint="eastAsia" w:ascii="宋体" w:hAnsi="宋体"/>
                <w:sz w:val="24"/>
                <w:szCs w:val="24"/>
              </w:rPr>
              <w:t xml:space="preserve">4</w:t>
            </w:r>
            <w:r/>
          </w:p>
        </w:tc>
        <w:tc>
          <w:tcPr>
            <w:gridSpan w:val="2"/>
            <w:tcW w:w="3673" w:type="dxa"/>
            <w:vAlign w:val="top"/>
            <w:textDirection w:val="lrTb"/>
            <w:noWrap w:val="false"/>
          </w:tcPr>
          <w:p>
            <w:pPr>
              <w:pStyle w:val="1465"/>
              <w:jc w:val="center"/>
              <w:spacing w:line="560" w:lineRule="exact"/>
              <w:widowControl/>
              <w:rPr>
                <w:rFonts w:hint="eastAsia" w:ascii="宋体" w:hAnsi="宋体"/>
                <w:sz w:val="24"/>
                <w:szCs w:val="24"/>
              </w:rPr>
            </w:pPr>
            <w:r>
              <w:rPr>
                <w:rFonts w:hint="eastAsia" w:ascii="宋体" w:hAnsi="宋体"/>
                <w:sz w:val="24"/>
                <w:szCs w:val="24"/>
              </w:rPr>
            </w:r>
            <w:r/>
          </w:p>
        </w:tc>
        <w:tc>
          <w:tcPr>
            <w:tcW w:w="1134" w:type="dxa"/>
            <w:vAlign w:val="center"/>
            <w:textDirection w:val="lrTb"/>
            <w:noWrap w:val="false"/>
          </w:tcPr>
          <w:p>
            <w:pPr>
              <w:pStyle w:val="1465"/>
              <w:jc w:val="center"/>
              <w:spacing w:line="560" w:lineRule="exact"/>
              <w:rPr>
                <w:rFonts w:hint="eastAsia" w:ascii="宋体" w:hAnsi="宋体"/>
                <w:sz w:val="24"/>
                <w:szCs w:val="24"/>
              </w:rPr>
            </w:pPr>
            <w:r>
              <w:rPr>
                <w:rFonts w:hint="eastAsia" w:ascii="宋体" w:hAnsi="宋体"/>
                <w:sz w:val="24"/>
                <w:szCs w:val="24"/>
              </w:rPr>
            </w:r>
            <w:r/>
          </w:p>
        </w:tc>
        <w:tc>
          <w:tcPr>
            <w:tcW w:w="992" w:type="dxa"/>
            <w:vAlign w:val="top"/>
            <w:textDirection w:val="lrTb"/>
            <w:noWrap w:val="false"/>
          </w:tcPr>
          <w:p>
            <w:pPr>
              <w:pStyle w:val="1465"/>
              <w:jc w:val="center"/>
              <w:spacing w:line="560" w:lineRule="exact"/>
              <w:widowControl/>
              <w:rPr>
                <w:rFonts w:hint="eastAsia" w:ascii="宋体" w:hAnsi="宋体"/>
                <w:sz w:val="24"/>
                <w:szCs w:val="24"/>
              </w:rPr>
            </w:pPr>
            <w:r>
              <w:rPr>
                <w:rFonts w:hint="eastAsia" w:ascii="宋体" w:hAnsi="宋体"/>
                <w:sz w:val="24"/>
                <w:szCs w:val="24"/>
              </w:rPr>
            </w:r>
            <w:r/>
          </w:p>
        </w:tc>
        <w:tc>
          <w:tcPr>
            <w:tcW w:w="1541" w:type="dxa"/>
            <w:vAlign w:val="center"/>
            <w:textDirection w:val="lrTb"/>
            <w:noWrap w:val="false"/>
          </w:tcPr>
          <w:p>
            <w:pPr>
              <w:pStyle w:val="1465"/>
              <w:jc w:val="center"/>
              <w:spacing w:line="560" w:lineRule="exact"/>
              <w:rPr>
                <w:rFonts w:hint="eastAsia" w:ascii="宋体" w:hAnsi="宋体"/>
                <w:sz w:val="24"/>
                <w:szCs w:val="24"/>
              </w:rPr>
            </w:pPr>
            <w:r>
              <w:rPr>
                <w:rFonts w:hint="eastAsia" w:ascii="宋体" w:hAnsi="宋体"/>
                <w:sz w:val="24"/>
                <w:szCs w:val="24"/>
              </w:rPr>
            </w:r>
            <w:r/>
          </w:p>
        </w:tc>
        <w:tc>
          <w:tcPr>
            <w:tcW w:w="991" w:type="dxa"/>
            <w:vAlign w:val="center"/>
            <w:textDirection w:val="lrTb"/>
            <w:noWrap w:val="false"/>
          </w:tcPr>
          <w:p>
            <w:pPr>
              <w:pStyle w:val="1465"/>
              <w:jc w:val="center"/>
              <w:spacing w:line="560" w:lineRule="exact"/>
              <w:rPr>
                <w:rFonts w:hint="eastAsia" w:ascii="宋体" w:hAnsi="宋体"/>
                <w:sz w:val="24"/>
                <w:szCs w:val="24"/>
              </w:rPr>
            </w:pPr>
            <w:r>
              <w:rPr>
                <w:rFonts w:hint="eastAsia" w:ascii="宋体" w:hAnsi="宋体"/>
                <w:sz w:val="24"/>
                <w:szCs w:val="24"/>
              </w:rPr>
            </w:r>
            <w:r/>
          </w:p>
        </w:tc>
      </w:tr>
      <w:tr>
        <w:trPr>
          <w:cantSplit/>
          <w:trHeight w:val="200"/>
        </w:trPr>
        <w:tc>
          <w:tcPr>
            <w:tcW w:w="654" w:type="dxa"/>
            <w:vAlign w:val="top"/>
            <w:textDirection w:val="lrTb"/>
            <w:noWrap w:val="false"/>
          </w:tcPr>
          <w:p>
            <w:pPr>
              <w:pStyle w:val="1465"/>
              <w:jc w:val="center"/>
              <w:spacing w:line="560" w:lineRule="exact"/>
              <w:widowControl/>
              <w:rPr>
                <w:rFonts w:hint="eastAsia" w:ascii="宋体" w:hAnsi="宋体"/>
                <w:sz w:val="24"/>
                <w:szCs w:val="24"/>
              </w:rPr>
            </w:pPr>
            <w:r>
              <w:rPr>
                <w:rFonts w:hint="eastAsia" w:ascii="宋体" w:hAnsi="宋体"/>
                <w:sz w:val="24"/>
                <w:szCs w:val="24"/>
              </w:rPr>
              <w:t xml:space="preserve">5</w:t>
            </w:r>
            <w:r/>
          </w:p>
        </w:tc>
        <w:tc>
          <w:tcPr>
            <w:gridSpan w:val="2"/>
            <w:tcW w:w="3673" w:type="dxa"/>
            <w:vAlign w:val="top"/>
            <w:textDirection w:val="lrTb"/>
            <w:noWrap w:val="false"/>
          </w:tcPr>
          <w:p>
            <w:pPr>
              <w:pStyle w:val="1465"/>
              <w:jc w:val="center"/>
              <w:spacing w:line="560" w:lineRule="exact"/>
              <w:widowControl/>
              <w:rPr>
                <w:rFonts w:hint="eastAsia" w:ascii="宋体" w:hAnsi="宋体"/>
                <w:sz w:val="24"/>
                <w:szCs w:val="24"/>
              </w:rPr>
            </w:pPr>
            <w:r>
              <w:rPr>
                <w:rFonts w:hint="eastAsia" w:ascii="宋体" w:hAnsi="宋体"/>
                <w:sz w:val="24"/>
                <w:szCs w:val="24"/>
              </w:rPr>
            </w:r>
            <w:r/>
          </w:p>
        </w:tc>
        <w:tc>
          <w:tcPr>
            <w:tcW w:w="1134" w:type="dxa"/>
            <w:vAlign w:val="center"/>
            <w:textDirection w:val="lrTb"/>
            <w:noWrap w:val="false"/>
          </w:tcPr>
          <w:p>
            <w:pPr>
              <w:pStyle w:val="1465"/>
              <w:jc w:val="center"/>
              <w:spacing w:line="560" w:lineRule="exact"/>
              <w:rPr>
                <w:rFonts w:hint="eastAsia" w:ascii="宋体" w:hAnsi="宋体"/>
                <w:sz w:val="24"/>
                <w:szCs w:val="24"/>
              </w:rPr>
            </w:pPr>
            <w:r>
              <w:rPr>
                <w:rFonts w:hint="eastAsia" w:ascii="宋体" w:hAnsi="宋体"/>
                <w:sz w:val="24"/>
                <w:szCs w:val="24"/>
              </w:rPr>
            </w:r>
            <w:r/>
          </w:p>
        </w:tc>
        <w:tc>
          <w:tcPr>
            <w:tcW w:w="992" w:type="dxa"/>
            <w:vAlign w:val="top"/>
            <w:textDirection w:val="lrTb"/>
            <w:noWrap w:val="false"/>
          </w:tcPr>
          <w:p>
            <w:pPr>
              <w:pStyle w:val="1465"/>
              <w:jc w:val="center"/>
              <w:spacing w:line="560" w:lineRule="exact"/>
              <w:widowControl/>
              <w:rPr>
                <w:rFonts w:hint="eastAsia" w:ascii="宋体" w:hAnsi="宋体"/>
                <w:sz w:val="24"/>
                <w:szCs w:val="24"/>
              </w:rPr>
            </w:pPr>
            <w:r>
              <w:rPr>
                <w:rFonts w:hint="eastAsia" w:ascii="宋体" w:hAnsi="宋体"/>
                <w:sz w:val="24"/>
                <w:szCs w:val="24"/>
              </w:rPr>
            </w:r>
            <w:r/>
          </w:p>
        </w:tc>
        <w:tc>
          <w:tcPr>
            <w:tcW w:w="1541" w:type="dxa"/>
            <w:vAlign w:val="center"/>
            <w:textDirection w:val="lrTb"/>
            <w:noWrap w:val="false"/>
          </w:tcPr>
          <w:p>
            <w:pPr>
              <w:pStyle w:val="1465"/>
              <w:jc w:val="center"/>
              <w:spacing w:line="560" w:lineRule="exact"/>
              <w:rPr>
                <w:rFonts w:hint="eastAsia" w:ascii="宋体" w:hAnsi="宋体"/>
                <w:sz w:val="24"/>
                <w:szCs w:val="24"/>
              </w:rPr>
            </w:pPr>
            <w:r>
              <w:rPr>
                <w:rFonts w:hint="eastAsia" w:ascii="宋体" w:hAnsi="宋体"/>
                <w:sz w:val="24"/>
                <w:szCs w:val="24"/>
              </w:rPr>
            </w:r>
            <w:r/>
          </w:p>
        </w:tc>
        <w:tc>
          <w:tcPr>
            <w:tcW w:w="991" w:type="dxa"/>
            <w:vAlign w:val="center"/>
            <w:textDirection w:val="lrTb"/>
            <w:noWrap w:val="false"/>
          </w:tcPr>
          <w:p>
            <w:pPr>
              <w:pStyle w:val="1465"/>
              <w:jc w:val="center"/>
              <w:spacing w:line="560" w:lineRule="exact"/>
              <w:rPr>
                <w:rFonts w:hint="eastAsia" w:ascii="宋体" w:hAnsi="宋体"/>
                <w:sz w:val="24"/>
                <w:szCs w:val="24"/>
              </w:rPr>
            </w:pPr>
            <w:r>
              <w:rPr>
                <w:rFonts w:hint="eastAsia" w:ascii="宋体" w:hAnsi="宋体"/>
                <w:sz w:val="24"/>
                <w:szCs w:val="24"/>
              </w:rPr>
            </w:r>
            <w:r/>
          </w:p>
        </w:tc>
      </w:tr>
      <w:tr>
        <w:trPr>
          <w:cantSplit/>
          <w:trHeight w:val="70"/>
        </w:trPr>
        <w:tc>
          <w:tcPr>
            <w:tcW w:w="654" w:type="dxa"/>
            <w:vAlign w:val="top"/>
            <w:textDirection w:val="lrTb"/>
            <w:noWrap w:val="false"/>
          </w:tcPr>
          <w:p>
            <w:pPr>
              <w:pStyle w:val="1465"/>
              <w:spacing w:line="560" w:lineRule="exact"/>
              <w:widowControl/>
              <w:rPr>
                <w:rFonts w:hint="eastAsia" w:ascii="宋体" w:hAnsi="宋体"/>
                <w:sz w:val="24"/>
                <w:szCs w:val="24"/>
              </w:rPr>
            </w:pPr>
            <w:r>
              <w:rPr>
                <w:rFonts w:ascii="宋体" w:hAnsi="宋体"/>
                <w:sz w:val="24"/>
                <w:szCs w:val="24"/>
              </w:rPr>
              <w:t xml:space="preserve">…</w:t>
            </w:r>
            <w:r/>
          </w:p>
        </w:tc>
        <w:tc>
          <w:tcPr>
            <w:gridSpan w:val="2"/>
            <w:tcW w:w="3673" w:type="dxa"/>
            <w:vAlign w:val="top"/>
            <w:textDirection w:val="lrTb"/>
            <w:noWrap w:val="false"/>
          </w:tcPr>
          <w:p>
            <w:pPr>
              <w:pStyle w:val="1465"/>
              <w:jc w:val="center"/>
              <w:spacing w:line="560" w:lineRule="exact"/>
              <w:widowControl/>
              <w:rPr>
                <w:rFonts w:hint="eastAsia" w:ascii="宋体" w:hAnsi="宋体"/>
                <w:sz w:val="24"/>
                <w:szCs w:val="24"/>
              </w:rPr>
            </w:pPr>
            <w:r>
              <w:rPr>
                <w:rFonts w:hint="eastAsia" w:ascii="宋体" w:hAnsi="宋体"/>
                <w:sz w:val="24"/>
                <w:szCs w:val="24"/>
              </w:rPr>
            </w:r>
            <w:r/>
          </w:p>
        </w:tc>
        <w:tc>
          <w:tcPr>
            <w:tcW w:w="1134" w:type="dxa"/>
            <w:vAlign w:val="center"/>
            <w:textDirection w:val="lrTb"/>
            <w:noWrap w:val="false"/>
          </w:tcPr>
          <w:p>
            <w:pPr>
              <w:pStyle w:val="1465"/>
              <w:jc w:val="center"/>
              <w:spacing w:line="560" w:lineRule="exact"/>
              <w:rPr>
                <w:rFonts w:hint="eastAsia" w:ascii="宋体" w:hAnsi="宋体"/>
                <w:sz w:val="24"/>
                <w:szCs w:val="24"/>
              </w:rPr>
            </w:pPr>
            <w:r>
              <w:rPr>
                <w:rFonts w:hint="eastAsia" w:ascii="宋体" w:hAnsi="宋体"/>
                <w:sz w:val="24"/>
                <w:szCs w:val="24"/>
              </w:rPr>
            </w:r>
            <w:r/>
          </w:p>
        </w:tc>
        <w:tc>
          <w:tcPr>
            <w:tcW w:w="992" w:type="dxa"/>
            <w:vAlign w:val="top"/>
            <w:textDirection w:val="lrTb"/>
            <w:noWrap w:val="false"/>
          </w:tcPr>
          <w:p>
            <w:pPr>
              <w:pStyle w:val="1465"/>
              <w:jc w:val="center"/>
              <w:spacing w:line="560" w:lineRule="exact"/>
              <w:widowControl/>
              <w:rPr>
                <w:rFonts w:hint="eastAsia" w:ascii="宋体" w:hAnsi="宋体"/>
                <w:sz w:val="24"/>
                <w:szCs w:val="24"/>
              </w:rPr>
            </w:pPr>
            <w:r>
              <w:rPr>
                <w:rFonts w:hint="eastAsia" w:ascii="宋体" w:hAnsi="宋体"/>
                <w:sz w:val="24"/>
                <w:szCs w:val="24"/>
              </w:rPr>
            </w:r>
            <w:r/>
          </w:p>
        </w:tc>
        <w:tc>
          <w:tcPr>
            <w:tcW w:w="1541" w:type="dxa"/>
            <w:vAlign w:val="center"/>
            <w:textDirection w:val="lrTb"/>
            <w:noWrap w:val="false"/>
          </w:tcPr>
          <w:p>
            <w:pPr>
              <w:pStyle w:val="1465"/>
              <w:jc w:val="center"/>
              <w:spacing w:line="560" w:lineRule="exact"/>
              <w:rPr>
                <w:rFonts w:hint="eastAsia" w:ascii="宋体" w:hAnsi="宋体"/>
                <w:sz w:val="24"/>
                <w:szCs w:val="24"/>
              </w:rPr>
            </w:pPr>
            <w:r>
              <w:rPr>
                <w:rFonts w:hint="eastAsia" w:ascii="宋体" w:hAnsi="宋体"/>
                <w:sz w:val="24"/>
                <w:szCs w:val="24"/>
              </w:rPr>
            </w:r>
            <w:r/>
          </w:p>
        </w:tc>
        <w:tc>
          <w:tcPr>
            <w:tcW w:w="991" w:type="dxa"/>
            <w:vAlign w:val="center"/>
            <w:textDirection w:val="lrTb"/>
            <w:noWrap w:val="false"/>
          </w:tcPr>
          <w:p>
            <w:pPr>
              <w:pStyle w:val="1465"/>
              <w:jc w:val="center"/>
              <w:spacing w:line="560" w:lineRule="exact"/>
              <w:rPr>
                <w:rFonts w:hint="eastAsia" w:ascii="宋体" w:hAnsi="宋体"/>
                <w:sz w:val="24"/>
                <w:szCs w:val="24"/>
              </w:rPr>
            </w:pPr>
            <w:r>
              <w:rPr>
                <w:rFonts w:hint="eastAsia" w:ascii="宋体" w:hAnsi="宋体"/>
                <w:sz w:val="24"/>
                <w:szCs w:val="24"/>
              </w:rPr>
            </w:r>
            <w:r/>
          </w:p>
        </w:tc>
      </w:tr>
      <w:tr>
        <w:trPr>
          <w:cantSplit/>
          <w:trHeight w:val="1766"/>
        </w:trPr>
        <w:tc>
          <w:tcPr>
            <w:gridSpan w:val="2"/>
            <w:tcW w:w="2061" w:type="dxa"/>
            <w:vAlign w:val="center"/>
            <w:textDirection w:val="lrTb"/>
            <w:noWrap w:val="false"/>
          </w:tcPr>
          <w:p>
            <w:pPr>
              <w:pStyle w:val="1465"/>
              <w:jc w:val="center"/>
              <w:spacing w:line="500" w:lineRule="exact"/>
              <w:rPr>
                <w:rFonts w:hint="eastAsia" w:ascii="宋体" w:hAnsi="宋体"/>
                <w:b/>
                <w:bCs/>
                <w:sz w:val="24"/>
                <w:szCs w:val="24"/>
              </w:rPr>
            </w:pPr>
            <w:r>
              <w:rPr>
                <w:rFonts w:hint="eastAsia" w:ascii="宋体" w:hAnsi="宋体"/>
                <w:b/>
                <w:bCs/>
                <w:sz w:val="24"/>
                <w:szCs w:val="24"/>
              </w:rPr>
              <w:t xml:space="preserve">磋商总报价</w:t>
            </w:r>
            <w:r/>
          </w:p>
        </w:tc>
        <w:tc>
          <w:tcPr>
            <w:gridSpan w:val="5"/>
            <w:tcW w:w="6924" w:type="dxa"/>
            <w:vAlign w:val="center"/>
            <w:textDirection w:val="lrTb"/>
            <w:noWrap w:val="false"/>
          </w:tcPr>
          <w:p>
            <w:pPr>
              <w:pStyle w:val="1465"/>
              <w:spacing w:line="500" w:lineRule="exact"/>
              <w:rPr>
                <w:rFonts w:hint="eastAsia" w:ascii="宋体" w:hAnsi="宋体"/>
                <w:b/>
                <w:bCs/>
                <w:sz w:val="24"/>
                <w:szCs w:val="24"/>
              </w:rPr>
            </w:pPr>
            <w:r>
              <w:rPr>
                <w:rFonts w:hint="eastAsia" w:ascii="宋体" w:hAnsi="宋体"/>
                <w:b/>
                <w:bCs/>
                <w:sz w:val="24"/>
                <w:szCs w:val="24"/>
              </w:rPr>
              <w:t xml:space="preserve">￥</w:t>
            </w:r>
            <w:r>
              <w:rPr>
                <w:rFonts w:hint="eastAsia" w:ascii="宋体" w:hAnsi="宋体"/>
                <w:sz w:val="24"/>
                <w:szCs w:val="24"/>
              </w:rPr>
              <w:t xml:space="preserve">  </w:t>
            </w:r>
            <w:r>
              <w:rPr>
                <w:rFonts w:hint="eastAsia" w:ascii="宋体" w:hAnsi="宋体"/>
                <w:sz w:val="24"/>
                <w:szCs w:val="24"/>
                <w:u w:val="single"/>
              </w:rPr>
              <w:t xml:space="preserve">              </w:t>
            </w:r>
            <w:r>
              <w:rPr>
                <w:rFonts w:hint="eastAsia" w:ascii="宋体" w:hAnsi="宋体"/>
                <w:sz w:val="24"/>
                <w:szCs w:val="24"/>
              </w:rPr>
              <w:t xml:space="preserve">                 </w:t>
            </w:r>
            <w:r/>
          </w:p>
          <w:p>
            <w:pPr>
              <w:pStyle w:val="1465"/>
              <w:spacing w:line="500" w:lineRule="exact"/>
              <w:rPr>
                <w:rFonts w:hint="eastAsia" w:ascii="宋体" w:hAnsi="宋体"/>
                <w:b/>
                <w:bCs/>
                <w:sz w:val="24"/>
                <w:szCs w:val="24"/>
              </w:rPr>
            </w:pPr>
            <w:r>
              <w:rPr>
                <w:rFonts w:hint="eastAsia" w:ascii="宋体" w:hAnsi="宋体"/>
                <w:b/>
                <w:bCs/>
                <w:sz w:val="24"/>
                <w:szCs w:val="24"/>
              </w:rPr>
              <w:t xml:space="preserve">人民币（大写）：</w:t>
            </w:r>
            <w:r>
              <w:rPr>
                <w:rFonts w:hint="eastAsia" w:ascii="宋体" w:hAnsi="宋体"/>
                <w:b/>
                <w:bCs/>
                <w:sz w:val="24"/>
                <w:szCs w:val="24"/>
                <w:u w:val="single"/>
              </w:rPr>
              <w:t xml:space="preserve"> </w:t>
            </w:r>
            <w:r>
              <w:rPr>
                <w:rFonts w:ascii="宋体" w:hAnsi="宋体"/>
                <w:b/>
                <w:bCs/>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仟     </w:t>
            </w:r>
            <w:r>
              <w:rPr>
                <w:rFonts w:hint="eastAsia" w:ascii="宋体" w:hAnsi="宋体"/>
                <w:bCs/>
                <w:sz w:val="24"/>
                <w:szCs w:val="24"/>
              </w:rPr>
              <w:t xml:space="preserve">佰</w:t>
            </w:r>
            <w:r>
              <w:rPr>
                <w:rFonts w:hint="eastAsia" w:ascii="宋体" w:hAnsi="宋体"/>
                <w:sz w:val="24"/>
                <w:szCs w:val="24"/>
                <w:u w:val="single"/>
              </w:rPr>
              <w:t xml:space="preserve">    </w:t>
            </w:r>
            <w:r>
              <w:rPr>
                <w:rFonts w:hint="eastAsia" w:ascii="宋体" w:hAnsi="宋体"/>
                <w:bCs/>
                <w:sz w:val="24"/>
                <w:szCs w:val="24"/>
              </w:rPr>
              <w:t xml:space="preserve">拾</w:t>
            </w:r>
            <w:r>
              <w:rPr>
                <w:rFonts w:hint="eastAsia" w:ascii="宋体" w:hAnsi="宋体"/>
                <w:sz w:val="24"/>
                <w:szCs w:val="24"/>
                <w:u w:val="single"/>
              </w:rPr>
              <w:t xml:space="preserve">    </w:t>
            </w:r>
            <w:r>
              <w:rPr>
                <w:rFonts w:hint="eastAsia" w:ascii="宋体" w:hAnsi="宋体"/>
                <w:bCs/>
                <w:sz w:val="24"/>
                <w:szCs w:val="24"/>
              </w:rPr>
              <w:t xml:space="preserve"> 万</w:t>
            </w:r>
            <w:r>
              <w:rPr>
                <w:rFonts w:hint="eastAsia" w:ascii="宋体" w:hAnsi="宋体"/>
                <w:bCs/>
                <w:sz w:val="24"/>
                <w:szCs w:val="24"/>
                <w:u w:val="single"/>
              </w:rPr>
              <w:t xml:space="preserve">    </w:t>
            </w:r>
            <w:r>
              <w:rPr>
                <w:rFonts w:hint="eastAsia" w:ascii="宋体" w:hAnsi="宋体"/>
                <w:bCs/>
                <w:sz w:val="24"/>
                <w:szCs w:val="24"/>
              </w:rPr>
              <w:t xml:space="preserve">仟</w:t>
            </w:r>
            <w:r>
              <w:rPr>
                <w:rFonts w:hint="eastAsia" w:ascii="宋体" w:hAnsi="宋体"/>
                <w:sz w:val="24"/>
                <w:szCs w:val="24"/>
                <w:u w:val="single"/>
              </w:rPr>
              <w:t xml:space="preserve">      </w:t>
            </w:r>
            <w:r>
              <w:rPr>
                <w:rFonts w:hint="eastAsia" w:ascii="宋体" w:hAnsi="宋体"/>
                <w:bCs/>
                <w:sz w:val="24"/>
                <w:szCs w:val="24"/>
              </w:rPr>
              <w:t xml:space="preserve">佰</w:t>
            </w:r>
            <w:r>
              <w:rPr>
                <w:rFonts w:hint="eastAsia" w:ascii="宋体" w:hAnsi="宋体"/>
                <w:sz w:val="24"/>
                <w:szCs w:val="24"/>
                <w:u w:val="single"/>
              </w:rPr>
              <w:t xml:space="preserve">      </w:t>
            </w:r>
            <w:r>
              <w:rPr>
                <w:rFonts w:hint="eastAsia" w:ascii="宋体" w:hAnsi="宋体"/>
                <w:bCs/>
                <w:sz w:val="24"/>
                <w:szCs w:val="24"/>
              </w:rPr>
              <w:t xml:space="preserve">拾</w:t>
            </w:r>
            <w:r>
              <w:rPr>
                <w:rFonts w:hint="eastAsia" w:ascii="宋体" w:hAnsi="宋体"/>
                <w:sz w:val="24"/>
                <w:szCs w:val="24"/>
                <w:u w:val="single"/>
              </w:rPr>
              <w:t xml:space="preserve">     </w:t>
            </w:r>
            <w:r>
              <w:rPr>
                <w:rFonts w:hint="eastAsia" w:ascii="宋体" w:hAnsi="宋体"/>
                <w:bCs/>
                <w:sz w:val="24"/>
                <w:szCs w:val="24"/>
              </w:rPr>
              <w:t xml:space="preserve">元</w:t>
            </w:r>
            <w:r>
              <w:rPr>
                <w:rFonts w:hint="eastAsia" w:ascii="宋体" w:hAnsi="宋体"/>
                <w:sz w:val="24"/>
                <w:szCs w:val="24"/>
                <w:u w:val="single"/>
              </w:rPr>
              <w:t xml:space="preserve">      </w:t>
            </w:r>
            <w:r>
              <w:rPr>
                <w:rFonts w:hint="eastAsia" w:ascii="宋体" w:hAnsi="宋体"/>
                <w:bCs/>
                <w:sz w:val="24"/>
                <w:szCs w:val="24"/>
              </w:rPr>
              <w:t xml:space="preserve">角</w:t>
            </w:r>
            <w:r>
              <w:rPr>
                <w:rFonts w:hint="eastAsia" w:ascii="宋体" w:hAnsi="宋体"/>
                <w:sz w:val="24"/>
                <w:szCs w:val="24"/>
                <w:u w:val="single"/>
              </w:rPr>
              <w:t xml:space="preserve">      </w:t>
            </w:r>
            <w:r>
              <w:rPr>
                <w:rFonts w:hint="eastAsia" w:ascii="宋体" w:hAnsi="宋体"/>
                <w:bCs/>
                <w:sz w:val="24"/>
                <w:szCs w:val="24"/>
              </w:rPr>
              <w:t xml:space="preserve">分</w:t>
            </w:r>
            <w:r/>
          </w:p>
        </w:tc>
      </w:tr>
    </w:tbl>
    <w:p>
      <w:pPr>
        <w:ind w:firstLine="480"/>
        <w:spacing w:line="480" w:lineRule="exact"/>
        <w:rPr>
          <w:rFonts w:hint="eastAsia" w:ascii="宋体" w:hAnsi="宋体"/>
          <w:sz w:val="24"/>
          <w:szCs w:val="24"/>
        </w:rPr>
      </w:pPr>
      <w:r>
        <w:rPr>
          <w:rFonts w:hint="eastAsia" w:ascii="宋体" w:hAnsi="宋体"/>
          <w:sz w:val="24"/>
          <w:szCs w:val="24"/>
        </w:rPr>
        <w:t xml:space="preserve">备注：“磋商总报价”数额应当与“磋商报价表”中“磋商总报价”数额一致。</w:t>
      </w:r>
      <w:r/>
    </w:p>
    <w:p>
      <w:pPr>
        <w:spacing w:line="480" w:lineRule="exac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rPr>
          <w:rFonts w:hint="eastAsia" w:ascii="仿宋" w:hAnsi="仿宋" w:eastAsia="仿宋" w:cs="仿宋"/>
          <w:b/>
          <w:sz w:val="32"/>
          <w:szCs w:val="32"/>
        </w:rPr>
      </w:pPr>
      <w:r>
        <w:rPr>
          <w:rFonts w:hint="eastAsia"/>
          <w:bCs/>
        </w:rPr>
        <w:br w:type="page" w:clear="all"/>
      </w:r>
      <w:r/>
    </w:p>
    <w:p>
      <w:pPr>
        <w:pStyle w:val="1487"/>
        <w:ind w:firstLine="320"/>
        <w:spacing w:before="0" w:after="0" w:line="520" w:lineRule="exact"/>
        <w:rPr>
          <w:rFonts w:hint="eastAsia" w:ascii="黑体" w:hAnsi="黑体" w:eastAsia="黑体" w:cs="黑体"/>
          <w:sz w:val="32"/>
        </w:rPr>
      </w:pPr>
      <w:r/>
      <w:bookmarkStart w:id="111" w:name="_Toc9025"/>
      <w:r/>
      <w:bookmarkStart w:id="112" w:name="_Toc21129"/>
      <w:r>
        <w:rPr>
          <w:rFonts w:hint="eastAsia" w:ascii="黑体" w:hAnsi="黑体" w:eastAsia="黑体" w:cs="黑体"/>
          <w:bCs/>
          <w:sz w:val="32"/>
          <w:szCs w:val="32"/>
        </w:rPr>
        <w:t xml:space="preserve">五、</w:t>
      </w:r>
      <w:r>
        <w:rPr>
          <w:rFonts w:hint="eastAsia" w:ascii="黑体" w:hAnsi="黑体" w:eastAsia="黑体" w:cs="黑体"/>
          <w:sz w:val="32"/>
        </w:rPr>
        <w:t xml:space="preserve">中小企业或残疾人福利性单位声明函</w:t>
      </w:r>
      <w:r/>
    </w:p>
    <w:p>
      <w:pPr>
        <w:ind w:firstLine="643"/>
        <w:jc w:val="center"/>
        <w:spacing w:line="400" w:lineRule="exact"/>
        <w:rPr>
          <w:rFonts w:hint="eastAsia" w:ascii="宋体" w:hAnsi="宋体"/>
          <w:b/>
          <w:sz w:val="32"/>
          <w:szCs w:val="32"/>
        </w:rPr>
      </w:pPr>
      <w:r>
        <w:rPr>
          <w:rFonts w:hint="eastAsia" w:ascii="宋体" w:hAnsi="宋体"/>
          <w:b/>
          <w:sz w:val="32"/>
          <w:szCs w:val="32"/>
        </w:rPr>
      </w:r>
      <w:r/>
    </w:p>
    <w:p>
      <w:pPr>
        <w:jc w:val="left"/>
        <w:spacing w:before="30" w:after="30" w:line="0" w:lineRule="atLeast"/>
        <w:widowControl/>
        <w:rPr>
          <w:rFonts w:ascii="Times New Roman" w:hAnsi="Times New Roman" w:cs="宋体"/>
          <w:sz w:val="24"/>
          <w:szCs w:val="24"/>
        </w:rPr>
      </w:pPr>
      <w:r>
        <w:rPr>
          <w:rFonts w:hint="eastAsia" w:ascii="Times New Roman" w:hAnsi="Times New Roman" w:cs="宋体"/>
          <w:sz w:val="24"/>
          <w:szCs w:val="24"/>
        </w:rPr>
        <w:t xml:space="preserve">格式详见响应文件制作工具</w:t>
      </w:r>
      <w:r/>
    </w:p>
    <w:p>
      <w:pPr>
        <w:rPr>
          <w:rFonts w:hint="eastAsia" w:ascii="黑体" w:hAnsi="黑体" w:eastAsia="黑体" w:cs="黑体"/>
          <w:sz w:val="32"/>
        </w:rPr>
      </w:pPr>
      <w:r>
        <w:rPr>
          <w:rFonts w:hint="eastAsia" w:ascii="黑体" w:hAnsi="黑体" w:eastAsia="黑体" w:cs="黑体"/>
          <w:sz w:val="32"/>
        </w:rPr>
        <w:br w:type="page" w:clear="all"/>
      </w:r>
      <w:bookmarkEnd w:id="111"/>
      <w:r/>
      <w:bookmarkEnd w:id="112"/>
      <w:r>
        <w:rPr>
          <w:rFonts w:hint="eastAsia" w:ascii="黑体" w:hAnsi="黑体" w:eastAsia="黑体" w:cs="黑体"/>
          <w:sz w:val="32"/>
        </w:rPr>
        <w:t xml:space="preserve">六、技术响应偏离表（技术参数响应）</w:t>
      </w:r>
      <w:r/>
    </w:p>
    <w:p>
      <w:pPr>
        <w:pStyle w:val="1488"/>
      </w:pPr>
      <w:r/>
      <w:r/>
    </w:p>
    <w:tbl>
      <w:tblPr>
        <w:tblStyle w:val="745"/>
        <w:tblW w:w="0" w:type="auto"/>
        <w:tblInd w:w="-333"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656"/>
        <w:gridCol w:w="2561"/>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hint="eastAsia" w:ascii="仿宋" w:hAnsi="仿宋" w:eastAsia="仿宋" w:cs="仿宋"/>
              </w:rPr>
            </w:pPr>
            <w:r>
              <w:rPr>
                <w:rFonts w:hint="eastAsia" w:ascii="仿宋" w:hAnsi="仿宋" w:eastAsia="仿宋" w:cs="仿宋"/>
                <w:sz w:val="28"/>
              </w:rPr>
              <w:t xml:space="preserve">磋商文件内容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hint="eastAsia" w:ascii="仿宋" w:hAnsi="仿宋" w:eastAsia="仿宋" w:cs="仿宋"/>
              </w:rPr>
            </w:pPr>
            <w:r>
              <w:rPr>
                <w:rFonts w:hint="eastAsia" w:ascii="仿宋" w:hAnsi="仿宋" w:eastAsia="仿宋" w:cs="仿宋"/>
                <w:sz w:val="28"/>
              </w:rPr>
              <w:t xml:space="preserve">响应文件内容</w:t>
            </w:r>
            <w:r/>
          </w:p>
        </w:tc>
        <w:tc>
          <w:tcPr>
            <w:tcBorders>
              <w:top w:val="single" w:color="000000" w:sz="8" w:space="0"/>
              <w:left w:val="none" w:color="000000" w:sz="4" w:space="0"/>
              <w:bottom w:val="single" w:color="000000" w:sz="8" w:space="0"/>
              <w:right w:val="single" w:color="000000" w:sz="8" w:space="0"/>
            </w:tcBorders>
            <w:tcW w:w="1656" w:type="dxa"/>
            <w:vAlign w:val="center"/>
            <w:textDirection w:val="lrTb"/>
            <w:noWrap w:val="false"/>
          </w:tcPr>
          <w:p>
            <w:pPr>
              <w:jc w:val="center"/>
              <w:spacing w:before="100" w:line="400" w:lineRule="exact"/>
              <w:rPr>
                <w:rFonts w:hint="eastAsia" w:ascii="仿宋" w:hAnsi="仿宋" w:eastAsia="仿宋" w:cs="仿宋"/>
                <w:sz w:val="28"/>
              </w:rPr>
            </w:pPr>
            <w:r>
              <w:rPr>
                <w:rFonts w:hint="eastAsia" w:ascii="仿宋" w:hAnsi="仿宋" w:eastAsia="仿宋" w:cs="仿宋"/>
                <w:sz w:val="28"/>
              </w:rPr>
              <w:t xml:space="preserve">偏离情况（</w:t>
            </w:r>
            <w:r>
              <w:rPr>
                <w:rFonts w:ascii="仿宋" w:hAnsi="仿宋" w:eastAsia="仿宋" w:cs="仿宋"/>
                <w:b/>
                <w:sz w:val="24"/>
              </w:rPr>
              <w:t xml:space="preserve">正偏离、负偏离、无偏离</w:t>
            </w:r>
            <w:r>
              <w:rPr>
                <w:rFonts w:hint="eastAsia" w:ascii="仿宋" w:hAnsi="仿宋" w:eastAsia="仿宋" w:cs="仿宋"/>
                <w:sz w:val="28"/>
              </w:rPr>
              <w:t xml:space="preserve">）</w:t>
            </w:r>
            <w:r/>
          </w:p>
        </w:tc>
        <w:tc>
          <w:tcPr>
            <w:tcBorders>
              <w:top w:val="single" w:color="000000" w:sz="8" w:space="0"/>
              <w:left w:val="none" w:color="000000" w:sz="4" w:space="0"/>
              <w:bottom w:val="single" w:color="000000" w:sz="8" w:space="0"/>
              <w:right w:val="single" w:color="000000" w:sz="8" w:space="0"/>
            </w:tcBorders>
            <w:tcW w:w="2561" w:type="dxa"/>
            <w:vAlign w:val="center"/>
            <w:textDirection w:val="lrTb"/>
            <w:noWrap w:val="false"/>
          </w:tcPr>
          <w:p>
            <w:pPr>
              <w:jc w:val="center"/>
              <w:spacing w:before="100" w:line="559" w:lineRule="atLeast"/>
              <w:rPr>
                <w:rFonts w:hint="eastAsia" w:ascii="仿宋" w:hAnsi="仿宋" w:eastAsia="仿宋" w:cs="仿宋"/>
                <w:sz w:val="28"/>
                <w:szCs w:val="28"/>
              </w:rPr>
            </w:pPr>
            <w:r>
              <w:rPr>
                <w:rFonts w:hint="eastAsia" w:ascii="仿宋" w:hAnsi="仿宋" w:eastAsia="仿宋" w:cs="仿宋"/>
                <w:sz w:val="28"/>
              </w:rPr>
              <w:t xml:space="preserve">偏离内容及说明</w:t>
            </w:r>
            <w:r/>
          </w:p>
          <w:p>
            <w:pPr>
              <w:jc w:val="center"/>
              <w:spacing w:before="100" w:line="559" w:lineRule="atLeast"/>
              <w:rPr>
                <w:rFonts w:hint="eastAsia" w:ascii="仿宋" w:hAnsi="仿宋" w:eastAsia="仿宋" w:cs="仿宋"/>
              </w:rPr>
            </w:pP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bl>
    <w:p>
      <w:pPr>
        <w:jc w:val="right"/>
        <w:spacing w:line="559" w:lineRule="atLeast"/>
        <w:rPr>
          <w:rFonts w:hint="eastAsia" w:ascii="宋体" w:hAnsi="宋体" w:cs="仿宋"/>
        </w:rPr>
      </w:pPr>
      <w:r>
        <w:rPr>
          <w:rFonts w:hint="eastAsia" w:ascii="宋体" w:hAnsi="宋体" w:cs="仿宋"/>
          <w:sz w:val="24"/>
        </w:rPr>
        <w:t xml:space="preserve">单位名称：</w:t>
      </w:r>
      <w:r>
        <w:rPr>
          <w:rFonts w:hint="eastAsia" w:ascii="宋体" w:hAnsi="宋体" w:cs="仿宋"/>
          <w:sz w:val="24"/>
          <w:u w:val="single"/>
        </w:rPr>
        <w:t xml:space="preserve">             </w:t>
      </w:r>
      <w:r>
        <w:rPr>
          <w:rFonts w:hint="eastAsia" w:ascii="宋体" w:hAnsi="宋体" w:cs="仿宋"/>
          <w:sz w:val="24"/>
        </w:rPr>
        <w:t xml:space="preserve">（</w:t>
      </w:r>
      <w:r>
        <w:rPr>
          <w:rFonts w:ascii="宋体" w:hAnsi="宋体" w:cs="仿宋"/>
          <w:sz w:val="24"/>
        </w:rPr>
        <w:t xml:space="preserve">盖</w:t>
      </w:r>
      <w:r>
        <w:rPr>
          <w:rFonts w:hint="eastAsia" w:ascii="宋体" w:hAnsi="宋体" w:cs="仿宋"/>
          <w:sz w:val="24"/>
        </w:rPr>
        <w:t xml:space="preserve">CA</w:t>
      </w:r>
      <w:r>
        <w:rPr>
          <w:rFonts w:ascii="宋体" w:hAnsi="宋体" w:cs="仿宋"/>
          <w:sz w:val="24"/>
        </w:rPr>
        <w:t xml:space="preserve">电子公章）</w:t>
      </w:r>
      <w:r/>
    </w:p>
    <w:p>
      <w:pPr>
        <w:rPr>
          <w:rFonts w:hint="eastAsia" w:ascii="宋体" w:hAnsi="宋体" w:cs="仿宋"/>
        </w:rPr>
      </w:pPr>
      <w:r>
        <w:rPr>
          <w:rFonts w:hint="eastAsia" w:ascii="宋体" w:hAnsi="宋体" w:cs="仿宋"/>
        </w:rPr>
      </w:r>
      <w:r/>
    </w:p>
    <w:p>
      <w:pPr>
        <w:pStyle w:val="764"/>
        <w:ind w:firstLine="482"/>
        <w:jc w:val="both"/>
        <w:spacing w:before="0" w:beforeAutospacing="0" w:after="0" w:afterAutospacing="0" w:line="400" w:lineRule="exact"/>
        <w:widowControl w:val="off"/>
        <w:rPr>
          <w:rFonts w:ascii="Times New Roman" w:hAnsi="Times New Roman"/>
          <w:b/>
          <w:bCs/>
          <w:szCs w:val="20"/>
        </w:rPr>
      </w:pPr>
      <w:r>
        <w:rPr>
          <w:rFonts w:hint="eastAsia" w:cs="仿宋"/>
          <w:b/>
          <w:bCs/>
          <w:szCs w:val="28"/>
        </w:rPr>
        <w:t xml:space="preserve">备注：</w:t>
      </w:r>
      <w:r>
        <w:rPr>
          <w:rFonts w:hint="eastAsia" w:ascii="Times New Roman" w:hAnsi="Times New Roman" w:cs="仿宋"/>
          <w:szCs w:val="28"/>
        </w:rPr>
        <w:t xml:space="preserve">1.</w:t>
      </w:r>
      <w:r>
        <w:rPr>
          <w:rFonts w:hint="eastAsia" w:ascii="Times New Roman" w:hAnsi="Times New Roman"/>
          <w:szCs w:val="20"/>
        </w:rPr>
        <w:t xml:space="preserve">针对采购需求中的实质性要求（“★”内容），投标人须做出明确响应。《技术响应偏离表》中未列明的，</w:t>
      </w:r>
      <w:r>
        <w:rPr>
          <w:rFonts w:hint="eastAsia" w:ascii="Times New Roman" w:hAnsi="Times New Roman"/>
          <w:b/>
          <w:bCs/>
          <w:szCs w:val="20"/>
        </w:rPr>
        <w:t xml:space="preserve">作无效响应处理。</w:t>
      </w:r>
      <w:r/>
    </w:p>
    <w:p>
      <w:pPr>
        <w:pStyle w:val="1489"/>
        <w:ind w:firstLine="480"/>
        <w:jc w:val="both"/>
        <w:spacing w:before="0" w:beforeAutospacing="0" w:after="0" w:afterAutospacing="0" w:line="480" w:lineRule="exact"/>
        <w:widowControl w:val="off"/>
        <w:rPr>
          <w:rFonts w:ascii="Times New Roman" w:hAnsi="Times New Roman"/>
          <w:szCs w:val="20"/>
        </w:rPr>
      </w:pPr>
      <w:r>
        <w:rPr>
          <w:rFonts w:hint="eastAsia" w:ascii="Times New Roman" w:hAnsi="Times New Roman" w:cs="仿宋"/>
          <w:szCs w:val="28"/>
          <w:lang w:val="en-US" w:eastAsia="zh-CN"/>
        </w:rPr>
        <w:t xml:space="preserve">2.</w:t>
      </w:r>
      <w:r>
        <w:rPr>
          <w:rFonts w:hint="eastAsia" w:ascii="Times New Roman" w:hAnsi="Times New Roman" w:cs="仿宋"/>
          <w:szCs w:val="28"/>
        </w:rPr>
        <w:t xml:space="preserve">对采购需求的其它非实质性要求，供应商按所投产品（服务）情况</w:t>
      </w:r>
      <w:r>
        <w:rPr>
          <w:rFonts w:ascii="Times New Roman" w:hAnsi="Times New Roman" w:cs="仿宋"/>
          <w:szCs w:val="28"/>
        </w:rPr>
        <w:t xml:space="preserve">在此表中详细列出偏离情况（包括正偏离、负偏离、</w:t>
      </w:r>
      <w:bookmarkStart w:id="116" w:name="_GoBack"/>
      <w:r/>
      <w:bookmarkEnd w:id="116"/>
      <w:r>
        <w:rPr>
          <w:rFonts w:ascii="Times New Roman" w:hAnsi="Times New Roman" w:cs="仿宋"/>
          <w:szCs w:val="28"/>
        </w:rPr>
        <w:t xml:space="preserve">无偏离）并说明理由</w:t>
      </w:r>
      <w:r>
        <w:rPr>
          <w:rFonts w:hint="eastAsia" w:ascii="Times New Roman" w:hAnsi="Times New Roman" w:cs="仿宋"/>
          <w:szCs w:val="28"/>
          <w:lang w:eastAsia="zh-CN"/>
        </w:rPr>
        <w:t xml:space="preserve">，</w:t>
      </w:r>
      <w:r>
        <w:rPr>
          <w:rFonts w:hint="eastAsia" w:ascii="Times New Roman" w:hAnsi="Times New Roman" w:cs="仿宋"/>
          <w:szCs w:val="28"/>
        </w:rPr>
        <w:t xml:space="preserve">未列明的均视为未响应磋商文件要求</w:t>
      </w:r>
      <w:r>
        <w:rPr>
          <w:rFonts w:hint="eastAsia" w:ascii="Times New Roman" w:hAnsi="Times New Roman" w:cs="仿宋"/>
          <w:szCs w:val="28"/>
          <w:lang w:eastAsia="zh-CN"/>
        </w:rPr>
        <w:t xml:space="preserve">，按负偏离进行扣分处理</w:t>
      </w:r>
      <w:r>
        <w:rPr>
          <w:rFonts w:ascii="Times New Roman" w:hAnsi="Times New Roman" w:cs="仿宋"/>
          <w:szCs w:val="28"/>
        </w:rPr>
        <w:t xml:space="preserve">。</w:t>
      </w:r>
      <w:r/>
    </w:p>
    <w:p>
      <w:pPr>
        <w:rPr>
          <w:rFonts w:hint="eastAsia" w:ascii="宋体" w:hAnsi="宋体" w:cs="宋体"/>
          <w:b/>
          <w:bCs/>
          <w:sz w:val="32"/>
          <w:szCs w:val="32"/>
        </w:rPr>
      </w:pPr>
      <w:r>
        <w:rPr>
          <w:rFonts w:ascii="黑体" w:hAnsi="黑体" w:eastAsia="黑体"/>
          <w:b/>
          <w:sz w:val="32"/>
          <w:szCs w:val="32"/>
        </w:rPr>
        <w:br w:type="page" w:clear="all"/>
      </w:r>
      <w:r/>
    </w:p>
    <w:p>
      <w:pPr>
        <w:pStyle w:val="1487"/>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七、</w:t>
      </w:r>
      <w:bookmarkEnd w:id="107"/>
      <w:r>
        <w:rPr>
          <w:rFonts w:hint="eastAsia" w:ascii="黑体" w:hAnsi="黑体" w:eastAsia="黑体" w:cs="黑体"/>
          <w:sz w:val="32"/>
        </w:rPr>
        <w:t xml:space="preserve">项目组成员</w:t>
      </w:r>
      <w:r/>
    </w:p>
    <w:tbl>
      <w:tblPr>
        <w:tblStyle w:val="745"/>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474"/>
              <w:jc w:val="center"/>
              <w:spacing w:line="560" w:lineRule="exact"/>
              <w:rPr>
                <w:rFonts w:hint="eastAsia" w:ascii="宋体" w:hAnsi="宋体" w:cs="仿宋"/>
                <w:sz w:val="28"/>
                <w:szCs w:val="28"/>
              </w:rPr>
            </w:pPr>
            <w:r>
              <w:rPr>
                <w:rFonts w:hint="eastAsia" w:ascii="宋体" w:hAnsi="宋体" w:cs="仿宋"/>
                <w:sz w:val="28"/>
                <w:szCs w:val="28"/>
              </w:rPr>
              <w:t xml:space="preserve">姓名</w:t>
            </w:r>
            <w:r/>
          </w:p>
        </w:tc>
        <w:tc>
          <w:tcPr>
            <w:tcW w:w="1843" w:type="dxa"/>
            <w:vAlign w:val="center"/>
            <w:textDirection w:val="lrTb"/>
            <w:noWrap w:val="false"/>
          </w:tcPr>
          <w:p>
            <w:pPr>
              <w:pStyle w:val="1474"/>
              <w:jc w:val="center"/>
              <w:spacing w:line="560" w:lineRule="exact"/>
              <w:rPr>
                <w:rFonts w:hint="eastAsia" w:ascii="宋体" w:hAnsi="宋体" w:cs="仿宋"/>
                <w:sz w:val="28"/>
                <w:szCs w:val="28"/>
              </w:rPr>
            </w:pPr>
            <w:r>
              <w:rPr>
                <w:rFonts w:hint="eastAsia" w:ascii="宋体" w:hAnsi="宋体" w:cs="仿宋"/>
                <w:sz w:val="28"/>
                <w:szCs w:val="28"/>
              </w:rPr>
              <w:t xml:space="preserve">职务</w:t>
            </w:r>
            <w:r/>
          </w:p>
        </w:tc>
        <w:tc>
          <w:tcPr>
            <w:tcW w:w="992" w:type="dxa"/>
            <w:vAlign w:val="center"/>
            <w:textDirection w:val="lrTb"/>
            <w:noWrap w:val="false"/>
          </w:tcPr>
          <w:p>
            <w:pPr>
              <w:pStyle w:val="1474"/>
              <w:jc w:val="center"/>
              <w:spacing w:line="560" w:lineRule="exact"/>
              <w:rPr>
                <w:rFonts w:hint="eastAsia" w:ascii="宋体" w:hAnsi="宋体" w:cs="仿宋"/>
                <w:sz w:val="28"/>
                <w:szCs w:val="28"/>
              </w:rPr>
            </w:pPr>
            <w:r>
              <w:rPr>
                <w:rFonts w:hint="eastAsia" w:ascii="宋体" w:hAnsi="宋体" w:cs="仿宋"/>
                <w:sz w:val="28"/>
                <w:szCs w:val="28"/>
              </w:rPr>
              <w:t xml:space="preserve">学历</w:t>
            </w:r>
            <w:r/>
          </w:p>
        </w:tc>
        <w:tc>
          <w:tcPr>
            <w:tcW w:w="1984" w:type="dxa"/>
            <w:vAlign w:val="center"/>
            <w:textDirection w:val="lrTb"/>
            <w:noWrap w:val="false"/>
          </w:tcPr>
          <w:p>
            <w:pPr>
              <w:pStyle w:val="1474"/>
              <w:jc w:val="center"/>
              <w:spacing w:line="560" w:lineRule="exact"/>
              <w:rPr>
                <w:rFonts w:hint="eastAsia" w:ascii="宋体" w:hAnsi="宋体" w:cs="仿宋"/>
                <w:sz w:val="28"/>
                <w:szCs w:val="28"/>
              </w:rPr>
            </w:pPr>
            <w:r>
              <w:rPr>
                <w:rFonts w:hint="eastAsia" w:ascii="宋体" w:hAnsi="宋体" w:cs="仿宋"/>
                <w:sz w:val="28"/>
                <w:szCs w:val="28"/>
              </w:rPr>
              <w:t xml:space="preserve">身份证号</w:t>
            </w:r>
            <w:r/>
          </w:p>
        </w:tc>
        <w:tc>
          <w:tcPr>
            <w:tcW w:w="1702" w:type="dxa"/>
            <w:vAlign w:val="center"/>
            <w:textDirection w:val="lrTb"/>
            <w:noWrap w:val="false"/>
          </w:tcPr>
          <w:p>
            <w:pPr>
              <w:pStyle w:val="1474"/>
              <w:jc w:val="center"/>
              <w:spacing w:line="560" w:lineRule="exact"/>
              <w:rPr>
                <w:rFonts w:hint="eastAsia" w:ascii="宋体" w:hAnsi="宋体" w:cs="仿宋"/>
                <w:sz w:val="28"/>
                <w:szCs w:val="28"/>
              </w:rPr>
            </w:pPr>
            <w:r>
              <w:rPr>
                <w:rFonts w:hint="eastAsia" w:ascii="宋体" w:hAnsi="宋体" w:cs="仿宋"/>
                <w:sz w:val="28"/>
                <w:szCs w:val="28"/>
              </w:rPr>
              <w:t xml:space="preserve">相关证书</w:t>
            </w:r>
            <w:r/>
          </w:p>
        </w:tc>
        <w:tc>
          <w:tcPr>
            <w:tcW w:w="962" w:type="dxa"/>
            <w:vAlign w:val="center"/>
            <w:textDirection w:val="lrTb"/>
            <w:noWrap w:val="false"/>
          </w:tcPr>
          <w:p>
            <w:pPr>
              <w:pStyle w:val="1474"/>
              <w:jc w:val="center"/>
              <w:spacing w:line="560" w:lineRule="exact"/>
              <w:rPr>
                <w:rFonts w:hint="eastAsia" w:ascii="宋体" w:hAnsi="宋体" w:cs="仿宋"/>
                <w:sz w:val="28"/>
                <w:szCs w:val="28"/>
              </w:rPr>
            </w:pPr>
            <w:r>
              <w:rPr>
                <w:rFonts w:hint="eastAsia" w:ascii="宋体" w:hAnsi="宋体" w:cs="仿宋"/>
                <w:sz w:val="28"/>
                <w:szCs w:val="28"/>
              </w:rPr>
              <w:t xml:space="preserve">备注</w:t>
            </w:r>
            <w:r/>
          </w:p>
        </w:tc>
      </w:tr>
      <w:tr>
        <w:trPr>
          <w:trHeight w:val="729"/>
        </w:trPr>
        <w:tc>
          <w:tcPr>
            <w:tcW w:w="959" w:type="dxa"/>
            <w:vAlign w:val="center"/>
            <w:textDirection w:val="lrTb"/>
            <w:noWrap w:val="false"/>
          </w:tcPr>
          <w:p>
            <w:pPr>
              <w:pStyle w:val="147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843" w:type="dxa"/>
            <w:vAlign w:val="center"/>
            <w:textDirection w:val="lrTb"/>
            <w:noWrap w:val="false"/>
          </w:tcPr>
          <w:p>
            <w:pPr>
              <w:pStyle w:val="914"/>
              <w:jc w:val="center"/>
              <w:rPr>
                <w:rFonts w:hint="eastAsia" w:ascii="仿宋" w:hAnsi="仿宋" w:eastAsia="仿宋" w:cs="仿宋"/>
                <w:sz w:val="20"/>
                <w:szCs w:val="20"/>
              </w:rPr>
            </w:pPr>
            <w:r>
              <w:rPr>
                <w:rFonts w:hint="eastAsia" w:ascii="仿宋" w:hAnsi="仿宋" w:eastAsia="仿宋" w:cs="仿宋"/>
                <w:sz w:val="20"/>
                <w:szCs w:val="20"/>
              </w:rPr>
            </w:r>
            <w:r/>
          </w:p>
        </w:tc>
        <w:tc>
          <w:tcPr>
            <w:tcW w:w="992" w:type="dxa"/>
            <w:vAlign w:val="center"/>
            <w:textDirection w:val="lrTb"/>
            <w:noWrap w:val="false"/>
          </w:tcPr>
          <w:p>
            <w:pPr>
              <w:pStyle w:val="147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984" w:type="dxa"/>
            <w:vAlign w:val="center"/>
            <w:textDirection w:val="lrTb"/>
            <w:noWrap w:val="false"/>
          </w:tcPr>
          <w:p>
            <w:pPr>
              <w:pStyle w:val="147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702" w:type="dxa"/>
            <w:vAlign w:val="center"/>
            <w:textDirection w:val="lrTb"/>
            <w:noWrap w:val="false"/>
          </w:tcPr>
          <w:p>
            <w:pPr>
              <w:pStyle w:val="147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962" w:type="dxa"/>
            <w:vAlign w:val="center"/>
            <w:textDirection w:val="lrTb"/>
            <w:noWrap w:val="false"/>
          </w:tcPr>
          <w:p>
            <w:pPr>
              <w:pStyle w:val="147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W w:w="959" w:type="dxa"/>
            <w:vAlign w:val="center"/>
            <w:textDirection w:val="lrTb"/>
            <w:noWrap w:val="false"/>
          </w:tcPr>
          <w:p>
            <w:pPr>
              <w:pStyle w:val="147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843" w:type="dxa"/>
            <w:vAlign w:val="center"/>
            <w:textDirection w:val="lrTb"/>
            <w:noWrap w:val="false"/>
          </w:tcPr>
          <w:p>
            <w:pPr>
              <w:pStyle w:val="914"/>
              <w:jc w:val="center"/>
              <w:rPr>
                <w:rFonts w:hint="eastAsia" w:ascii="仿宋" w:hAnsi="仿宋" w:eastAsia="仿宋" w:cs="仿宋"/>
                <w:sz w:val="20"/>
                <w:szCs w:val="20"/>
              </w:rPr>
            </w:pPr>
            <w:r>
              <w:rPr>
                <w:rFonts w:hint="eastAsia" w:ascii="仿宋" w:hAnsi="仿宋" w:eastAsia="仿宋" w:cs="仿宋"/>
                <w:sz w:val="20"/>
                <w:szCs w:val="20"/>
              </w:rPr>
            </w:r>
            <w:r/>
          </w:p>
        </w:tc>
        <w:tc>
          <w:tcPr>
            <w:tcW w:w="992" w:type="dxa"/>
            <w:vAlign w:val="center"/>
            <w:textDirection w:val="lrTb"/>
            <w:noWrap w:val="false"/>
          </w:tcPr>
          <w:p>
            <w:pPr>
              <w:pStyle w:val="147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984" w:type="dxa"/>
            <w:vAlign w:val="center"/>
            <w:textDirection w:val="lrTb"/>
            <w:noWrap w:val="false"/>
          </w:tcPr>
          <w:p>
            <w:pPr>
              <w:pStyle w:val="147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702" w:type="dxa"/>
            <w:vAlign w:val="center"/>
            <w:textDirection w:val="lrTb"/>
            <w:noWrap w:val="false"/>
          </w:tcPr>
          <w:p>
            <w:pPr>
              <w:pStyle w:val="147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962" w:type="dxa"/>
            <w:vAlign w:val="center"/>
            <w:textDirection w:val="lrTb"/>
            <w:noWrap w:val="false"/>
          </w:tcPr>
          <w:p>
            <w:pPr>
              <w:pStyle w:val="147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W w:w="959" w:type="dxa"/>
            <w:vAlign w:val="center"/>
            <w:textDirection w:val="lrTb"/>
            <w:noWrap w:val="false"/>
          </w:tcPr>
          <w:p>
            <w:pPr>
              <w:pStyle w:val="147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843" w:type="dxa"/>
            <w:vAlign w:val="center"/>
            <w:textDirection w:val="lrTb"/>
            <w:noWrap w:val="false"/>
          </w:tcPr>
          <w:p>
            <w:pPr>
              <w:pStyle w:val="914"/>
              <w:jc w:val="center"/>
              <w:rPr>
                <w:rFonts w:hint="eastAsia" w:ascii="仿宋" w:hAnsi="仿宋" w:eastAsia="仿宋" w:cs="仿宋"/>
                <w:sz w:val="20"/>
                <w:szCs w:val="20"/>
              </w:rPr>
            </w:pPr>
            <w:r>
              <w:rPr>
                <w:rFonts w:hint="eastAsia" w:ascii="仿宋" w:hAnsi="仿宋" w:eastAsia="仿宋" w:cs="仿宋"/>
                <w:sz w:val="20"/>
                <w:szCs w:val="20"/>
              </w:rPr>
            </w:r>
            <w:r/>
          </w:p>
        </w:tc>
        <w:tc>
          <w:tcPr>
            <w:tcW w:w="992" w:type="dxa"/>
            <w:vAlign w:val="center"/>
            <w:textDirection w:val="lrTb"/>
            <w:noWrap w:val="false"/>
          </w:tcPr>
          <w:p>
            <w:pPr>
              <w:pStyle w:val="147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984" w:type="dxa"/>
            <w:vAlign w:val="center"/>
            <w:textDirection w:val="lrTb"/>
            <w:noWrap w:val="false"/>
          </w:tcPr>
          <w:p>
            <w:pPr>
              <w:pStyle w:val="147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702" w:type="dxa"/>
            <w:vAlign w:val="center"/>
            <w:textDirection w:val="lrTb"/>
            <w:noWrap w:val="false"/>
          </w:tcPr>
          <w:p>
            <w:pPr>
              <w:pStyle w:val="147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962" w:type="dxa"/>
            <w:vAlign w:val="center"/>
            <w:textDirection w:val="lrTb"/>
            <w:noWrap w:val="false"/>
          </w:tcPr>
          <w:p>
            <w:pPr>
              <w:pStyle w:val="147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W w:w="959" w:type="dxa"/>
            <w:vAlign w:val="center"/>
            <w:textDirection w:val="lrTb"/>
            <w:noWrap w:val="false"/>
          </w:tcPr>
          <w:p>
            <w:pPr>
              <w:pStyle w:val="147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843" w:type="dxa"/>
            <w:vAlign w:val="center"/>
            <w:textDirection w:val="lrTb"/>
            <w:noWrap w:val="false"/>
          </w:tcPr>
          <w:p>
            <w:pPr>
              <w:pStyle w:val="914"/>
              <w:jc w:val="center"/>
              <w:rPr>
                <w:rFonts w:hint="eastAsia" w:ascii="仿宋" w:hAnsi="仿宋" w:eastAsia="仿宋" w:cs="仿宋"/>
                <w:sz w:val="20"/>
                <w:szCs w:val="20"/>
              </w:rPr>
            </w:pPr>
            <w:r>
              <w:rPr>
                <w:rFonts w:hint="eastAsia" w:ascii="仿宋" w:hAnsi="仿宋" w:eastAsia="仿宋" w:cs="仿宋"/>
                <w:sz w:val="20"/>
                <w:szCs w:val="20"/>
              </w:rPr>
            </w:r>
            <w:r/>
          </w:p>
        </w:tc>
        <w:tc>
          <w:tcPr>
            <w:tcW w:w="992" w:type="dxa"/>
            <w:vAlign w:val="center"/>
            <w:textDirection w:val="lrTb"/>
            <w:noWrap w:val="false"/>
          </w:tcPr>
          <w:p>
            <w:pPr>
              <w:pStyle w:val="147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984" w:type="dxa"/>
            <w:vAlign w:val="center"/>
            <w:textDirection w:val="lrTb"/>
            <w:noWrap w:val="false"/>
          </w:tcPr>
          <w:p>
            <w:pPr>
              <w:pStyle w:val="147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702" w:type="dxa"/>
            <w:vAlign w:val="center"/>
            <w:textDirection w:val="lrTb"/>
            <w:noWrap w:val="false"/>
          </w:tcPr>
          <w:p>
            <w:pPr>
              <w:pStyle w:val="147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962" w:type="dxa"/>
            <w:vAlign w:val="center"/>
            <w:textDirection w:val="lrTb"/>
            <w:noWrap w:val="false"/>
          </w:tcPr>
          <w:p>
            <w:pPr>
              <w:pStyle w:val="147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W w:w="959" w:type="dxa"/>
            <w:vAlign w:val="center"/>
            <w:textDirection w:val="lrTb"/>
            <w:noWrap w:val="false"/>
          </w:tcPr>
          <w:p>
            <w:pPr>
              <w:pStyle w:val="147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843" w:type="dxa"/>
            <w:vAlign w:val="center"/>
            <w:textDirection w:val="lrTb"/>
            <w:noWrap w:val="false"/>
          </w:tcPr>
          <w:p>
            <w:pPr>
              <w:pStyle w:val="914"/>
              <w:jc w:val="center"/>
              <w:rPr>
                <w:rFonts w:hint="eastAsia" w:ascii="仿宋" w:hAnsi="仿宋" w:eastAsia="仿宋" w:cs="仿宋"/>
                <w:sz w:val="20"/>
                <w:szCs w:val="20"/>
              </w:rPr>
            </w:pPr>
            <w:r>
              <w:rPr>
                <w:rFonts w:hint="eastAsia" w:ascii="仿宋" w:hAnsi="仿宋" w:eastAsia="仿宋" w:cs="仿宋"/>
                <w:sz w:val="20"/>
                <w:szCs w:val="20"/>
              </w:rPr>
            </w:r>
            <w:r/>
          </w:p>
        </w:tc>
        <w:tc>
          <w:tcPr>
            <w:tcW w:w="992" w:type="dxa"/>
            <w:vAlign w:val="center"/>
            <w:textDirection w:val="lrTb"/>
            <w:noWrap w:val="false"/>
          </w:tcPr>
          <w:p>
            <w:pPr>
              <w:pStyle w:val="147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984" w:type="dxa"/>
            <w:vAlign w:val="center"/>
            <w:textDirection w:val="lrTb"/>
            <w:noWrap w:val="false"/>
          </w:tcPr>
          <w:p>
            <w:pPr>
              <w:pStyle w:val="147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702" w:type="dxa"/>
            <w:vAlign w:val="center"/>
            <w:textDirection w:val="lrTb"/>
            <w:noWrap w:val="false"/>
          </w:tcPr>
          <w:p>
            <w:pPr>
              <w:pStyle w:val="147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962" w:type="dxa"/>
            <w:vAlign w:val="center"/>
            <w:textDirection w:val="lrTb"/>
            <w:noWrap w:val="false"/>
          </w:tcPr>
          <w:p>
            <w:pPr>
              <w:pStyle w:val="147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W w:w="959" w:type="dxa"/>
            <w:vAlign w:val="center"/>
            <w:textDirection w:val="lrTb"/>
            <w:noWrap w:val="false"/>
          </w:tcPr>
          <w:p>
            <w:pPr>
              <w:pStyle w:val="147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843" w:type="dxa"/>
            <w:vAlign w:val="center"/>
            <w:textDirection w:val="lrTb"/>
            <w:noWrap w:val="false"/>
          </w:tcPr>
          <w:p>
            <w:pPr>
              <w:pStyle w:val="914"/>
              <w:jc w:val="center"/>
              <w:rPr>
                <w:rFonts w:hint="eastAsia" w:ascii="仿宋" w:hAnsi="仿宋" w:eastAsia="仿宋" w:cs="仿宋"/>
                <w:sz w:val="20"/>
                <w:szCs w:val="20"/>
              </w:rPr>
            </w:pPr>
            <w:r>
              <w:rPr>
                <w:rFonts w:hint="eastAsia" w:ascii="仿宋" w:hAnsi="仿宋" w:eastAsia="仿宋" w:cs="仿宋"/>
                <w:sz w:val="20"/>
                <w:szCs w:val="20"/>
              </w:rPr>
            </w:r>
            <w:r/>
          </w:p>
        </w:tc>
        <w:tc>
          <w:tcPr>
            <w:tcW w:w="992" w:type="dxa"/>
            <w:vAlign w:val="center"/>
            <w:textDirection w:val="lrTb"/>
            <w:noWrap w:val="false"/>
          </w:tcPr>
          <w:p>
            <w:pPr>
              <w:pStyle w:val="147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984" w:type="dxa"/>
            <w:vAlign w:val="center"/>
            <w:textDirection w:val="lrTb"/>
            <w:noWrap w:val="false"/>
          </w:tcPr>
          <w:p>
            <w:pPr>
              <w:pStyle w:val="147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702" w:type="dxa"/>
            <w:vAlign w:val="center"/>
            <w:textDirection w:val="lrTb"/>
            <w:noWrap w:val="false"/>
          </w:tcPr>
          <w:p>
            <w:pPr>
              <w:pStyle w:val="147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962" w:type="dxa"/>
            <w:vAlign w:val="center"/>
            <w:textDirection w:val="lrTb"/>
            <w:noWrap w:val="false"/>
          </w:tcPr>
          <w:p>
            <w:pPr>
              <w:pStyle w:val="147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W w:w="959" w:type="dxa"/>
            <w:vAlign w:val="center"/>
            <w:textDirection w:val="lrTb"/>
            <w:noWrap w:val="false"/>
          </w:tcPr>
          <w:p>
            <w:pPr>
              <w:pStyle w:val="147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843" w:type="dxa"/>
            <w:vAlign w:val="center"/>
            <w:textDirection w:val="lrTb"/>
            <w:noWrap w:val="false"/>
          </w:tcPr>
          <w:p>
            <w:pPr>
              <w:pStyle w:val="914"/>
              <w:jc w:val="center"/>
              <w:rPr>
                <w:rFonts w:hint="eastAsia" w:ascii="仿宋" w:hAnsi="仿宋" w:eastAsia="仿宋" w:cs="仿宋"/>
                <w:sz w:val="20"/>
                <w:szCs w:val="20"/>
              </w:rPr>
            </w:pPr>
            <w:r>
              <w:rPr>
                <w:rFonts w:hint="eastAsia" w:ascii="仿宋" w:hAnsi="仿宋" w:eastAsia="仿宋" w:cs="仿宋"/>
                <w:sz w:val="20"/>
                <w:szCs w:val="20"/>
              </w:rPr>
            </w:r>
            <w:r/>
          </w:p>
        </w:tc>
        <w:tc>
          <w:tcPr>
            <w:tcW w:w="992" w:type="dxa"/>
            <w:vAlign w:val="center"/>
            <w:textDirection w:val="lrTb"/>
            <w:noWrap w:val="false"/>
          </w:tcPr>
          <w:p>
            <w:pPr>
              <w:pStyle w:val="147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984" w:type="dxa"/>
            <w:vAlign w:val="center"/>
            <w:textDirection w:val="lrTb"/>
            <w:noWrap w:val="false"/>
          </w:tcPr>
          <w:p>
            <w:pPr>
              <w:pStyle w:val="147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702" w:type="dxa"/>
            <w:vAlign w:val="center"/>
            <w:textDirection w:val="lrTb"/>
            <w:noWrap w:val="false"/>
          </w:tcPr>
          <w:p>
            <w:pPr>
              <w:pStyle w:val="147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962" w:type="dxa"/>
            <w:vAlign w:val="center"/>
            <w:textDirection w:val="lrTb"/>
            <w:noWrap w:val="false"/>
          </w:tcPr>
          <w:p>
            <w:pPr>
              <w:pStyle w:val="147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W w:w="959" w:type="dxa"/>
            <w:vAlign w:val="center"/>
            <w:textDirection w:val="lrTb"/>
            <w:noWrap w:val="false"/>
          </w:tcPr>
          <w:p>
            <w:pPr>
              <w:pStyle w:val="147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843" w:type="dxa"/>
            <w:vAlign w:val="center"/>
            <w:textDirection w:val="lrTb"/>
            <w:noWrap w:val="false"/>
          </w:tcPr>
          <w:p>
            <w:pPr>
              <w:pStyle w:val="914"/>
              <w:jc w:val="center"/>
              <w:rPr>
                <w:rFonts w:hint="eastAsia" w:ascii="仿宋" w:hAnsi="仿宋" w:eastAsia="仿宋" w:cs="仿宋"/>
                <w:sz w:val="20"/>
                <w:szCs w:val="20"/>
              </w:rPr>
            </w:pPr>
            <w:r>
              <w:rPr>
                <w:rFonts w:hint="eastAsia" w:ascii="仿宋" w:hAnsi="仿宋" w:eastAsia="仿宋" w:cs="仿宋"/>
                <w:sz w:val="20"/>
                <w:szCs w:val="20"/>
              </w:rPr>
            </w:r>
            <w:r/>
          </w:p>
        </w:tc>
        <w:tc>
          <w:tcPr>
            <w:tcW w:w="992" w:type="dxa"/>
            <w:vAlign w:val="center"/>
            <w:textDirection w:val="lrTb"/>
            <w:noWrap w:val="false"/>
          </w:tcPr>
          <w:p>
            <w:pPr>
              <w:pStyle w:val="147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984" w:type="dxa"/>
            <w:vAlign w:val="center"/>
            <w:textDirection w:val="lrTb"/>
            <w:noWrap w:val="false"/>
          </w:tcPr>
          <w:p>
            <w:pPr>
              <w:pStyle w:val="147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702" w:type="dxa"/>
            <w:vAlign w:val="center"/>
            <w:textDirection w:val="lrTb"/>
            <w:noWrap w:val="false"/>
          </w:tcPr>
          <w:p>
            <w:pPr>
              <w:pStyle w:val="147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962" w:type="dxa"/>
            <w:vAlign w:val="center"/>
            <w:textDirection w:val="lrTb"/>
            <w:noWrap w:val="false"/>
          </w:tcPr>
          <w:p>
            <w:pPr>
              <w:pStyle w:val="147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bl>
    <w:p>
      <w:pPr>
        <w:ind w:firstLine="210"/>
        <w:spacing w:line="480" w:lineRule="exact"/>
        <w:rPr>
          <w:rFonts w:hint="eastAsia" w:ascii="Times New Roman" w:hAnsi="Times New Roman" w:cs="宋体"/>
          <w:color w:val="ff0000"/>
          <w:sz w:val="24"/>
          <w:szCs w:val="20"/>
        </w:rPr>
      </w:pPr>
      <w:r>
        <w:rPr>
          <w:rFonts w:hint="eastAsia" w:ascii="Times New Roman" w:hAnsi="Times New Roman" w:cs="宋体"/>
          <w:sz w:val="24"/>
          <w:szCs w:val="20"/>
        </w:rPr>
        <w:t xml:space="preserve">注：1.如供应商成交，项目组成员按本表承诺人员操作，不得随意更换。按采购文件要求附相关人员证书。</w:t>
      </w:r>
      <w:bookmarkStart w:id="113" w:name="_格式2__法定代表人授权书"/>
      <w:r/>
      <w:bookmarkEnd w:id="113"/>
      <w:r>
        <w:rPr>
          <w:rFonts w:hint="eastAsia" w:ascii="Times New Roman" w:hAnsi="Times New Roman" w:cs="宋体"/>
          <w:sz w:val="24"/>
          <w:szCs w:val="20"/>
        </w:rPr>
        <w:t xml:space="preserve">2.成交后，本表（身份证信息除外）将随成交结果公告公开。</w:t>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rPr>
          <w:rFonts w:hint="eastAsia" w:ascii="宋体" w:hAnsi="宋体" w:cs="宋体"/>
          <w:b/>
          <w:bCs/>
          <w:sz w:val="32"/>
          <w:szCs w:val="32"/>
        </w:rPr>
      </w:pPr>
      <w:r/>
      <w:bookmarkStart w:id="114" w:name="_Toc11176"/>
      <w:r>
        <w:rPr>
          <w:rFonts w:hint="eastAsia" w:ascii="宋体" w:hAnsi="宋体" w:cs="宋体"/>
          <w:b/>
          <w:bCs/>
          <w:sz w:val="32"/>
          <w:szCs w:val="32"/>
        </w:rPr>
        <w:br w:type="page" w:clear="all"/>
      </w:r>
      <w:r/>
    </w:p>
    <w:p>
      <w:pPr>
        <w:pStyle w:val="1487"/>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八、</w:t>
      </w:r>
      <w:bookmarkEnd w:id="114"/>
      <w:r>
        <w:rPr>
          <w:rFonts w:hint="eastAsia" w:ascii="黑体" w:hAnsi="黑体" w:eastAsia="黑体" w:cs="黑体"/>
          <w:sz w:val="32"/>
        </w:rPr>
        <w:t xml:space="preserve">企业业绩</w:t>
      </w:r>
      <w:r/>
    </w:p>
    <w:p>
      <w:pPr>
        <w:pStyle w:val="1437"/>
        <w:jc w:val="center"/>
        <w:rPr>
          <w:rFonts w:ascii="方正小标宋_GBK" w:eastAsia="方正小标宋_GBK"/>
          <w:bCs/>
          <w:sz w:val="32"/>
          <w:szCs w:val="32"/>
        </w:rPr>
      </w:pPr>
      <w:r>
        <w:rPr>
          <w:rFonts w:hint="eastAsia" w:ascii="方正小标宋_GBK" w:eastAsia="方正小标宋_GBK"/>
          <w:bCs/>
          <w:sz w:val="32"/>
          <w:szCs w:val="32"/>
        </w:rPr>
        <w:t xml:space="preserve">供应商自</w:t>
      </w:r>
      <w:r>
        <w:rPr>
          <w:rFonts w:hint="eastAsia" w:ascii="方正小标宋_GBK" w:eastAsia="方正小标宋_GBK"/>
          <w:bCs/>
          <w:sz w:val="32"/>
          <w:szCs w:val="32"/>
          <w:u w:val="single"/>
        </w:rPr>
        <w:t xml:space="preserve"> </w:t>
      </w:r>
      <w:r>
        <w:rPr>
          <w:rFonts w:hint="eastAsia" w:ascii="方正小标宋_GBK" w:eastAsia="方正小标宋_GBK"/>
          <w:bCs/>
          <w:sz w:val="32"/>
          <w:szCs w:val="32"/>
        </w:rPr>
        <w:t xml:space="preserve">年</w:t>
      </w:r>
      <w:r>
        <w:rPr>
          <w:rFonts w:hint="eastAsia" w:ascii="方正小标宋_GBK" w:eastAsia="方正小标宋_GBK"/>
          <w:bCs/>
          <w:sz w:val="32"/>
          <w:szCs w:val="32"/>
          <w:u w:val="single"/>
        </w:rPr>
        <w:t xml:space="preserve"> </w:t>
      </w:r>
      <w:r>
        <w:rPr>
          <w:rFonts w:hint="eastAsia" w:ascii="方正小标宋_GBK" w:eastAsia="方正小标宋_GBK"/>
          <w:bCs/>
          <w:sz w:val="32"/>
          <w:szCs w:val="32"/>
        </w:rPr>
        <w:t xml:space="preserve">月</w:t>
      </w:r>
      <w:r>
        <w:rPr>
          <w:rFonts w:hint="eastAsia" w:ascii="方正小标宋_GBK" w:eastAsia="方正小标宋_GBK"/>
          <w:bCs/>
          <w:sz w:val="32"/>
          <w:szCs w:val="32"/>
          <w:u w:val="single"/>
        </w:rPr>
        <w:t xml:space="preserve"> </w:t>
      </w:r>
      <w:r>
        <w:rPr>
          <w:rFonts w:hint="eastAsia" w:ascii="方正小标宋_GBK" w:eastAsia="方正小标宋_GBK"/>
          <w:bCs/>
          <w:sz w:val="32"/>
          <w:szCs w:val="32"/>
        </w:rPr>
        <w:t xml:space="preserve">日以来承担</w:t>
      </w:r>
      <w:r/>
    </w:p>
    <w:p>
      <w:pPr>
        <w:pStyle w:val="1437"/>
        <w:jc w:val="center"/>
        <w:rPr>
          <w:rFonts w:ascii="方正小标宋_GBK" w:eastAsia="方正小标宋_GBK"/>
          <w:bCs/>
          <w:sz w:val="32"/>
          <w:szCs w:val="32"/>
        </w:rPr>
      </w:pPr>
      <w:r>
        <w:rPr>
          <w:rFonts w:hint="eastAsia" w:ascii="方正小标宋_GBK" w:eastAsia="方正小标宋_GBK"/>
          <w:bCs/>
          <w:sz w:val="32"/>
          <w:szCs w:val="32"/>
        </w:rPr>
        <w:t xml:space="preserve">类似项目业绩一览表</w:t>
      </w:r>
      <w:r/>
    </w:p>
    <w:tbl>
      <w:tblPr>
        <w:tblStyle w:val="745"/>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1474"/>
              <w:jc w:val="center"/>
              <w:spacing w:line="560" w:lineRule="exact"/>
              <w:rPr>
                <w:rFonts w:hint="eastAsia" w:ascii="宋体" w:hAnsi="宋体" w:cs="仿宋"/>
                <w:sz w:val="28"/>
                <w:szCs w:val="28"/>
              </w:rPr>
            </w:pPr>
            <w:r>
              <w:rPr>
                <w:rFonts w:hint="eastAsia" w:ascii="宋体" w:hAnsi="宋体" w:cs="仿宋"/>
                <w:sz w:val="28"/>
                <w:szCs w:val="28"/>
              </w:rPr>
              <w:t xml:space="preserve">序号</w:t>
            </w:r>
            <w:r/>
          </w:p>
        </w:tc>
        <w:tc>
          <w:tcPr>
            <w:tcW w:w="3827" w:type="dxa"/>
            <w:vAlign w:val="center"/>
            <w:textDirection w:val="lrTb"/>
            <w:noWrap w:val="false"/>
          </w:tcPr>
          <w:p>
            <w:pPr>
              <w:pStyle w:val="1474"/>
              <w:jc w:val="center"/>
              <w:spacing w:line="560" w:lineRule="exact"/>
              <w:rPr>
                <w:rFonts w:hint="eastAsia" w:ascii="宋体" w:hAnsi="宋体" w:cs="仿宋"/>
                <w:sz w:val="28"/>
                <w:szCs w:val="28"/>
              </w:rPr>
            </w:pPr>
            <w:r>
              <w:rPr>
                <w:rFonts w:hint="eastAsia" w:ascii="宋体" w:hAnsi="宋体" w:cs="仿宋"/>
                <w:sz w:val="28"/>
                <w:szCs w:val="28"/>
              </w:rPr>
              <w:t xml:space="preserve">项目名称</w:t>
            </w:r>
            <w:r/>
          </w:p>
        </w:tc>
        <w:tc>
          <w:tcPr>
            <w:tcW w:w="2433" w:type="dxa"/>
            <w:vAlign w:val="center"/>
            <w:textDirection w:val="lrTb"/>
            <w:noWrap w:val="false"/>
          </w:tcPr>
          <w:p>
            <w:pPr>
              <w:pStyle w:val="1474"/>
              <w:jc w:val="center"/>
              <w:spacing w:line="560" w:lineRule="exact"/>
              <w:rPr>
                <w:rFonts w:hint="eastAsia" w:ascii="宋体" w:hAnsi="宋体" w:cs="仿宋"/>
                <w:sz w:val="28"/>
                <w:szCs w:val="28"/>
              </w:rPr>
            </w:pPr>
            <w:r>
              <w:rPr>
                <w:rFonts w:hint="eastAsia" w:ascii="宋体" w:hAnsi="宋体" w:cs="仿宋"/>
                <w:sz w:val="28"/>
                <w:szCs w:val="28"/>
              </w:rPr>
              <w:t xml:space="preserve">采购单位</w:t>
            </w:r>
            <w:r/>
          </w:p>
        </w:tc>
        <w:tc>
          <w:tcPr>
            <w:tcW w:w="1395" w:type="dxa"/>
            <w:vAlign w:val="center"/>
            <w:textDirection w:val="lrTb"/>
            <w:noWrap w:val="false"/>
          </w:tcPr>
          <w:p>
            <w:pPr>
              <w:pStyle w:val="1474"/>
              <w:jc w:val="center"/>
              <w:spacing w:line="560" w:lineRule="exact"/>
              <w:rPr>
                <w:rFonts w:hint="eastAsia" w:ascii="宋体" w:hAnsi="宋体" w:cs="仿宋"/>
                <w:sz w:val="28"/>
                <w:szCs w:val="28"/>
              </w:rPr>
            </w:pPr>
            <w:r>
              <w:rPr>
                <w:rFonts w:hint="eastAsia" w:ascii="宋体" w:hAnsi="宋体" w:cs="仿宋"/>
                <w:sz w:val="28"/>
                <w:szCs w:val="28"/>
              </w:rPr>
              <w:t xml:space="preserve">合同金额</w:t>
            </w:r>
            <w:r/>
          </w:p>
        </w:tc>
      </w:tr>
      <w:tr>
        <w:trPr>
          <w:jc w:val="center"/>
          <w:trHeight w:val="1510"/>
        </w:trPr>
        <w:tc>
          <w:tcPr>
            <w:tcW w:w="1229" w:type="dxa"/>
            <w:vAlign w:val="top"/>
            <w:textDirection w:val="lrTb"/>
            <w:noWrap w:val="false"/>
          </w:tcPr>
          <w:p>
            <w:pPr>
              <w:pStyle w:val="1474"/>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474"/>
              <w:jc w:val="center"/>
              <w:spacing w:line="560" w:lineRule="exact"/>
              <w:rPr>
                <w:rFonts w:hint="eastAsia" w:ascii="仿宋" w:hAnsi="仿宋" w:eastAsia="仿宋" w:cs="仿宋"/>
                <w:sz w:val="28"/>
              </w:rPr>
            </w:pPr>
            <w:r>
              <w:rPr>
                <w:rFonts w:hint="eastAsia" w:ascii="仿宋" w:hAnsi="仿宋" w:eastAsia="仿宋" w:cs="仿宋"/>
                <w:sz w:val="28"/>
              </w:rPr>
            </w:r>
            <w:r/>
          </w:p>
        </w:tc>
        <w:tc>
          <w:tcPr>
            <w:tcW w:w="2433" w:type="dxa"/>
            <w:vAlign w:val="center"/>
            <w:textDirection w:val="lrTb"/>
            <w:noWrap w:val="false"/>
          </w:tcPr>
          <w:p>
            <w:pPr>
              <w:pStyle w:val="1474"/>
              <w:jc w:val="center"/>
              <w:spacing w:line="560" w:lineRule="exact"/>
              <w:rPr>
                <w:rFonts w:hint="eastAsia" w:ascii="仿宋" w:hAnsi="仿宋" w:eastAsia="仿宋" w:cs="仿宋"/>
                <w:sz w:val="28"/>
              </w:rPr>
            </w:pPr>
            <w:r>
              <w:rPr>
                <w:rFonts w:hint="eastAsia" w:ascii="仿宋" w:hAnsi="仿宋" w:eastAsia="仿宋" w:cs="仿宋"/>
                <w:sz w:val="28"/>
              </w:rPr>
            </w:r>
            <w:r/>
          </w:p>
        </w:tc>
        <w:tc>
          <w:tcPr>
            <w:tcW w:w="1395" w:type="dxa"/>
            <w:vAlign w:val="center"/>
            <w:textDirection w:val="lrTb"/>
            <w:noWrap w:val="false"/>
          </w:tcPr>
          <w:p>
            <w:pPr>
              <w:pStyle w:val="1474"/>
              <w:jc w:val="center"/>
              <w:spacing w:line="560" w:lineRule="exact"/>
              <w:rPr>
                <w:rFonts w:hint="eastAsia" w:ascii="仿宋" w:hAnsi="仿宋" w:eastAsia="仿宋" w:cs="仿宋"/>
                <w:sz w:val="28"/>
              </w:rPr>
            </w:pPr>
            <w:r>
              <w:rPr>
                <w:rFonts w:hint="eastAsia" w:ascii="仿宋" w:hAnsi="仿宋" w:eastAsia="仿宋" w:cs="仿宋"/>
                <w:sz w:val="28"/>
              </w:rPr>
            </w:r>
            <w:r/>
          </w:p>
        </w:tc>
      </w:tr>
      <w:tr>
        <w:trPr>
          <w:jc w:val="center"/>
          <w:trHeight w:val="1510"/>
        </w:trPr>
        <w:tc>
          <w:tcPr>
            <w:tcW w:w="1229" w:type="dxa"/>
            <w:vAlign w:val="top"/>
            <w:textDirection w:val="lrTb"/>
            <w:noWrap w:val="false"/>
          </w:tcPr>
          <w:p>
            <w:pPr>
              <w:pStyle w:val="1474"/>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474"/>
              <w:jc w:val="center"/>
              <w:spacing w:line="560" w:lineRule="exact"/>
              <w:rPr>
                <w:rFonts w:hint="eastAsia" w:ascii="仿宋" w:hAnsi="仿宋" w:eastAsia="仿宋" w:cs="仿宋"/>
                <w:sz w:val="28"/>
              </w:rPr>
            </w:pPr>
            <w:r>
              <w:rPr>
                <w:rFonts w:hint="eastAsia" w:ascii="仿宋" w:hAnsi="仿宋" w:eastAsia="仿宋" w:cs="仿宋"/>
                <w:sz w:val="28"/>
              </w:rPr>
            </w:r>
            <w:r/>
          </w:p>
        </w:tc>
        <w:tc>
          <w:tcPr>
            <w:tcW w:w="2433" w:type="dxa"/>
            <w:vAlign w:val="center"/>
            <w:textDirection w:val="lrTb"/>
            <w:noWrap w:val="false"/>
          </w:tcPr>
          <w:p>
            <w:pPr>
              <w:pStyle w:val="1474"/>
              <w:jc w:val="center"/>
              <w:spacing w:line="560" w:lineRule="exact"/>
              <w:rPr>
                <w:rFonts w:hint="eastAsia" w:ascii="仿宋" w:hAnsi="仿宋" w:eastAsia="仿宋" w:cs="仿宋"/>
                <w:sz w:val="28"/>
              </w:rPr>
            </w:pPr>
            <w:r>
              <w:rPr>
                <w:rFonts w:hint="eastAsia" w:ascii="仿宋" w:hAnsi="仿宋" w:eastAsia="仿宋" w:cs="仿宋"/>
                <w:sz w:val="28"/>
              </w:rPr>
            </w:r>
            <w:r/>
          </w:p>
        </w:tc>
        <w:tc>
          <w:tcPr>
            <w:tcW w:w="1395" w:type="dxa"/>
            <w:vAlign w:val="center"/>
            <w:textDirection w:val="lrTb"/>
            <w:noWrap w:val="false"/>
          </w:tcPr>
          <w:p>
            <w:pPr>
              <w:pStyle w:val="1474"/>
              <w:jc w:val="center"/>
              <w:spacing w:line="560" w:lineRule="exact"/>
              <w:rPr>
                <w:rFonts w:hint="eastAsia" w:ascii="仿宋" w:hAnsi="仿宋" w:eastAsia="仿宋" w:cs="仿宋"/>
                <w:sz w:val="28"/>
              </w:rPr>
            </w:pPr>
            <w:r>
              <w:rPr>
                <w:rFonts w:hint="eastAsia" w:ascii="仿宋" w:hAnsi="仿宋" w:eastAsia="仿宋" w:cs="仿宋"/>
                <w:sz w:val="28"/>
              </w:rPr>
            </w:r>
            <w:r/>
          </w:p>
        </w:tc>
      </w:tr>
      <w:tr>
        <w:trPr>
          <w:jc w:val="center"/>
          <w:trHeight w:val="1510"/>
        </w:trPr>
        <w:tc>
          <w:tcPr>
            <w:tcW w:w="1229" w:type="dxa"/>
            <w:vAlign w:val="top"/>
            <w:textDirection w:val="lrTb"/>
            <w:noWrap w:val="false"/>
          </w:tcPr>
          <w:p>
            <w:pPr>
              <w:pStyle w:val="1474"/>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474"/>
              <w:jc w:val="center"/>
              <w:spacing w:line="560" w:lineRule="exact"/>
              <w:rPr>
                <w:rFonts w:hint="eastAsia" w:ascii="仿宋" w:hAnsi="仿宋" w:eastAsia="仿宋" w:cs="仿宋"/>
                <w:sz w:val="28"/>
              </w:rPr>
            </w:pPr>
            <w:r>
              <w:rPr>
                <w:rFonts w:hint="eastAsia" w:ascii="仿宋" w:hAnsi="仿宋" w:eastAsia="仿宋" w:cs="仿宋"/>
                <w:sz w:val="28"/>
              </w:rPr>
            </w:r>
            <w:r/>
          </w:p>
        </w:tc>
        <w:tc>
          <w:tcPr>
            <w:tcW w:w="2433" w:type="dxa"/>
            <w:vAlign w:val="center"/>
            <w:textDirection w:val="lrTb"/>
            <w:noWrap w:val="false"/>
          </w:tcPr>
          <w:p>
            <w:pPr>
              <w:pStyle w:val="1474"/>
              <w:jc w:val="center"/>
              <w:spacing w:line="560" w:lineRule="exact"/>
              <w:rPr>
                <w:rFonts w:hint="eastAsia" w:ascii="仿宋" w:hAnsi="仿宋" w:eastAsia="仿宋" w:cs="仿宋"/>
                <w:sz w:val="28"/>
              </w:rPr>
            </w:pPr>
            <w:r>
              <w:rPr>
                <w:rFonts w:hint="eastAsia" w:ascii="仿宋" w:hAnsi="仿宋" w:eastAsia="仿宋" w:cs="仿宋"/>
                <w:sz w:val="28"/>
              </w:rPr>
            </w:r>
            <w:r/>
          </w:p>
        </w:tc>
        <w:tc>
          <w:tcPr>
            <w:tcW w:w="1395" w:type="dxa"/>
            <w:vAlign w:val="center"/>
            <w:textDirection w:val="lrTb"/>
            <w:noWrap w:val="false"/>
          </w:tcPr>
          <w:p>
            <w:pPr>
              <w:pStyle w:val="1474"/>
              <w:jc w:val="center"/>
              <w:spacing w:line="560" w:lineRule="exact"/>
              <w:rPr>
                <w:rFonts w:hint="eastAsia" w:ascii="仿宋" w:hAnsi="仿宋" w:eastAsia="仿宋" w:cs="仿宋"/>
                <w:sz w:val="28"/>
              </w:rPr>
            </w:pPr>
            <w:r>
              <w:rPr>
                <w:rFonts w:hint="eastAsia" w:ascii="仿宋" w:hAnsi="仿宋" w:eastAsia="仿宋" w:cs="仿宋"/>
                <w:sz w:val="28"/>
              </w:rPr>
            </w:r>
            <w:r/>
          </w:p>
        </w:tc>
      </w:tr>
      <w:tr>
        <w:trPr>
          <w:jc w:val="center"/>
          <w:trHeight w:val="1525"/>
        </w:trPr>
        <w:tc>
          <w:tcPr>
            <w:tcW w:w="1229" w:type="dxa"/>
            <w:vAlign w:val="top"/>
            <w:textDirection w:val="lrTb"/>
            <w:noWrap w:val="false"/>
          </w:tcPr>
          <w:p>
            <w:pPr>
              <w:pStyle w:val="1474"/>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474"/>
              <w:jc w:val="center"/>
              <w:spacing w:line="560" w:lineRule="exact"/>
              <w:rPr>
                <w:rFonts w:hint="eastAsia" w:ascii="仿宋" w:hAnsi="仿宋" w:eastAsia="仿宋" w:cs="仿宋"/>
                <w:sz w:val="28"/>
              </w:rPr>
            </w:pPr>
            <w:r>
              <w:rPr>
                <w:rFonts w:hint="eastAsia" w:ascii="仿宋" w:hAnsi="仿宋" w:eastAsia="仿宋" w:cs="仿宋"/>
                <w:sz w:val="28"/>
              </w:rPr>
            </w:r>
            <w:r/>
          </w:p>
        </w:tc>
        <w:tc>
          <w:tcPr>
            <w:tcW w:w="2433" w:type="dxa"/>
            <w:vAlign w:val="center"/>
            <w:textDirection w:val="lrTb"/>
            <w:noWrap w:val="false"/>
          </w:tcPr>
          <w:p>
            <w:pPr>
              <w:pStyle w:val="1474"/>
              <w:jc w:val="center"/>
              <w:spacing w:line="560" w:lineRule="exact"/>
              <w:rPr>
                <w:rFonts w:hint="eastAsia" w:ascii="仿宋" w:hAnsi="仿宋" w:eastAsia="仿宋" w:cs="仿宋"/>
                <w:sz w:val="28"/>
              </w:rPr>
            </w:pPr>
            <w:r>
              <w:rPr>
                <w:rFonts w:hint="eastAsia" w:ascii="仿宋" w:hAnsi="仿宋" w:eastAsia="仿宋" w:cs="仿宋"/>
                <w:sz w:val="28"/>
              </w:rPr>
            </w:r>
            <w:r/>
          </w:p>
        </w:tc>
        <w:tc>
          <w:tcPr>
            <w:tcW w:w="1395" w:type="dxa"/>
            <w:vAlign w:val="center"/>
            <w:textDirection w:val="lrTb"/>
            <w:noWrap w:val="false"/>
          </w:tcPr>
          <w:p>
            <w:pPr>
              <w:pStyle w:val="1474"/>
              <w:jc w:val="center"/>
              <w:spacing w:line="560" w:lineRule="exact"/>
              <w:rPr>
                <w:rFonts w:hint="eastAsia" w:ascii="仿宋" w:hAnsi="仿宋" w:eastAsia="仿宋" w:cs="仿宋"/>
                <w:sz w:val="28"/>
              </w:rPr>
            </w:pPr>
            <w:r>
              <w:rPr>
                <w:rFonts w:hint="eastAsia" w:ascii="仿宋" w:hAnsi="仿宋" w:eastAsia="仿宋" w:cs="仿宋"/>
                <w:sz w:val="28"/>
              </w:rPr>
            </w:r>
            <w:r/>
          </w:p>
        </w:tc>
      </w:tr>
    </w:tbl>
    <w:p>
      <w:pPr>
        <w:ind w:firstLine="210"/>
        <w:spacing w:line="480" w:lineRule="exact"/>
        <w:rPr>
          <w:rFonts w:hint="eastAsia" w:ascii="宋体" w:hAnsi="宋体"/>
          <w:bCs/>
          <w:sz w:val="24"/>
        </w:rPr>
      </w:pPr>
      <w:r>
        <w:rPr>
          <w:rFonts w:hint="eastAsia" w:ascii="宋体" w:hAnsi="宋体"/>
          <w:bCs/>
          <w:sz w:val="24"/>
        </w:rPr>
        <w:t xml:space="preserve">注：1.请填写此表，并按要求上传业绩资料电子件。2.成交后，本表将随成交结果公告公开。</w:t>
      </w:r>
      <w:r/>
    </w:p>
    <w:p>
      <w:pPr>
        <w:rPr>
          <w:rFonts w:hint="eastAsia" w:ascii="仿宋" w:hAnsi="仿宋" w:eastAsia="仿宋" w:cs="仿宋"/>
          <w:b/>
          <w:sz w:val="32"/>
          <w:szCs w:val="32"/>
        </w:rPr>
      </w:pPr>
      <w:r>
        <w:rPr>
          <w:rFonts w:hint="eastAsia" w:ascii="仿宋" w:hAnsi="仿宋" w:eastAsia="仿宋" w:cs="仿宋"/>
          <w:b/>
          <w:sz w:val="32"/>
          <w:szCs w:val="32"/>
        </w:rPr>
        <w:br w:type="page" w:clear="all"/>
      </w:r>
      <w:r/>
    </w:p>
    <w:p>
      <w:pPr>
        <w:pStyle w:val="1487"/>
        <w:ind w:firstLine="320"/>
        <w:spacing w:before="0" w:after="0" w:line="520" w:lineRule="exact"/>
        <w:rPr>
          <w:rFonts w:hint="eastAsia" w:ascii="黑体" w:hAnsi="黑体" w:eastAsia="黑体" w:cs="黑体"/>
          <w:sz w:val="32"/>
        </w:rPr>
      </w:pPr>
      <w:r/>
      <w:bookmarkStart w:id="115" w:name="_Toc28140"/>
      <w:r>
        <w:rPr>
          <w:rFonts w:hint="eastAsia" w:ascii="黑体" w:hAnsi="黑体" w:eastAsia="黑体" w:cs="黑体"/>
          <w:sz w:val="32"/>
        </w:rPr>
        <w:t xml:space="preserve">九、磋商所需其他材料</w:t>
      </w:r>
      <w:bookmarkEnd w:id="115"/>
      <w:r/>
      <w:r/>
    </w:p>
    <w:p>
      <w:pPr>
        <w:pStyle w:val="1439"/>
        <w:ind w:firstLine="560"/>
        <w:spacing w:line="360" w:lineRule="auto"/>
        <w:rPr>
          <w:rFonts w:hint="eastAsia" w:ascii="仿宋" w:hAnsi="仿宋" w:cs="仿宋"/>
          <w:sz w:val="28"/>
          <w:szCs w:val="28"/>
        </w:rPr>
      </w:pPr>
      <w:r>
        <w:rPr>
          <w:rFonts w:hint="eastAsia" w:ascii="仿宋" w:hAnsi="仿宋" w:cs="仿宋"/>
          <w:sz w:val="28"/>
          <w:szCs w:val="28"/>
        </w:rPr>
      </w:r>
      <w:r/>
    </w:p>
    <w:p>
      <w:pPr>
        <w:pStyle w:val="1439"/>
        <w:ind w:firstLine="560"/>
        <w:spacing w:line="360" w:lineRule="auto"/>
        <w:rPr>
          <w:rFonts w:hint="eastAsia" w:ascii="仿宋" w:hAnsi="仿宋" w:cs="仿宋"/>
          <w:sz w:val="28"/>
          <w:szCs w:val="28"/>
        </w:rPr>
      </w:pPr>
      <w:r>
        <w:rPr>
          <w:rFonts w:hint="eastAsia" w:ascii="仿宋" w:hAnsi="仿宋" w:cs="仿宋"/>
          <w:sz w:val="28"/>
          <w:szCs w:val="28"/>
        </w:rPr>
        <w:t xml:space="preserve">请在此文档中增加磋商所需其他相关内容（包括资格要求、评分办法、采购需求中涉及的证件证明及其它供应商认为有必要提供的资料），如没有请将此空文档上传。</w:t>
      </w:r>
      <w:r/>
    </w:p>
    <w:sectPr>
      <w:footerReference w:type="default" r:id="rId9"/>
      <w:footnotePr/>
      <w:endnotePr/>
      <w:type w:val="nextPage"/>
      <w:pgSz w:w="11906" w:h="16838" w:orient="portrait"/>
      <w:pgMar w:top="1440" w:right="1417" w:bottom="1440" w:left="141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仿宋">
    <w:panose1 w:val="02010609060101010101"/>
  </w:font>
  <w:font w:name="Symbol">
    <w:panose1 w:val="05050102010706020507"/>
  </w:font>
  <w:font w:name="Wingdings">
    <w:panose1 w:val="05000000000000000000"/>
  </w:font>
  <w:font w:name="华文楷体">
    <w:panose1 w:val="02010600040101010101"/>
  </w:font>
  <w:font w:name="方正仿宋_GB2312">
    <w:panose1 w:val="020B0503020202020204"/>
  </w:font>
  <w:font w:name="Segoe UI">
    <w:panose1 w:val="020B0502040204020203"/>
  </w:font>
  <w:font w:name="Book Antiqua">
    <w:panose1 w:val="02040602050305030304"/>
  </w:font>
  <w:font w:name="Tahoma">
    <w:panose1 w:val="020B0604030504040204"/>
  </w:font>
  <w:font w:name="楷体_GB2312">
    <w:panose1 w:val="02010609060101010101"/>
  </w:font>
  <w:font w:name="黑体">
    <w:panose1 w:val="02010609060101010101"/>
  </w:font>
  <w:font w:name="幼圆">
    <w:panose1 w:val="02010509060101010101"/>
  </w:font>
  <w:font w:name="仿宋_GB2312">
    <w:panose1 w:val="02010609060101010101"/>
  </w:font>
  <w:font w:name="Verdana">
    <w:panose1 w:val="020B0604030504040204"/>
  </w:font>
  <w:font w:name="Courier New">
    <w:panose1 w:val="02070309020205020404"/>
  </w:font>
  <w:font w:name="Cambria">
    <w:panose1 w:val="02040503050406030204"/>
  </w:font>
  <w:font w:name="Kingsoft Phonetic Plain">
    <w:panose1 w:val="020B0503020202020204"/>
  </w:font>
  <w:font w:name="方正仿宋_GBK">
    <w:panose1 w:val="020B0503020202020204"/>
  </w:font>
  <w:font w:name="Arial Unicode MS">
    <w:panose1 w:val="020B0604020202020204"/>
  </w:font>
  <w:font w:name="Arial">
    <w:panose1 w:val="020B0604020202020204"/>
  </w:font>
  <w:font w:name="微软雅黑">
    <w:panose1 w:val="020B0503020204020204"/>
  </w:font>
  <w:font w:name="Calibri">
    <w:panose1 w:val="020F050202020403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-140970</wp:posOffset>
              </wp:positionV>
              <wp:extent cx="825500" cy="29654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825500" cy="296545"/>
                      </a:xfrm>
                      <a:prstGeom prst="rect">
                        <a:avLst/>
                      </a:prstGeom>
                      <a:noFill/>
                      <a:ln>
                        <a:noFill/>
                      </a:ln>
                    </wps:spPr>
                    <wps:txbx>
                      <w:txbxContent>
                        <w:p>
                          <w:pPr>
                            <w:pStyle w:val="821"/>
                            <w:jc w:val="center"/>
                            <w:tabs>
                              <w:tab w:val="clear" w:pos="7143" w:leader="none"/>
                              <w:tab w:val="clear" w:pos="14287" w:leader="none"/>
                            </w:tabs>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23</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p>
                          <w:r/>
                          <w:r/>
                        </w:p>
                      </w:txbxContent>
                    </wps:txbx>
                    <wps:bodyPr wrap="square" lIns="0" tIns="0" rIns="0" bIns="0" upright="1"/>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11.1pt;mso-position-vertical:absolute;width:65.0pt;height:23.3pt;mso-wrap-distance-left:9.0pt;mso-wrap-distance-top:0.0pt;mso-wrap-distance-right:9.0pt;mso-wrap-distance-bottom:0.0pt;visibility:visible;" filled="f" stroked="f">
              <v:textbox inset="0,0,0,0">
                <w:txbxContent>
                  <w:p>
                    <w:pPr>
                      <w:pStyle w:val="821"/>
                      <w:jc w:val="center"/>
                      <w:tabs>
                        <w:tab w:val="clear" w:pos="7143" w:leader="none"/>
                        <w:tab w:val="clear" w:pos="14287" w:leader="none"/>
                      </w:tabs>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23</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2573020</wp:posOffset>
              </wp:positionH>
              <wp:positionV relativeFrom="paragraph">
                <wp:posOffset>-105410</wp:posOffset>
              </wp:positionV>
              <wp:extent cx="668655" cy="2667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668655" cy="266700"/>
                      </a:xfrm>
                      <a:prstGeom prst="rect">
                        <a:avLst/>
                      </a:prstGeom>
                      <a:noFill/>
                      <a:ln w="6350">
                        <a:noFill/>
                      </a:ln>
                    </wps:spPr>
                    <wps:txbx>
                      <w:txbxContent>
                        <w:p>
                          <w:pPr>
                            <w:pStyle w:val="821"/>
                            <w:tabs>
                              <w:tab w:val="clear" w:pos="7143" w:leader="none"/>
                              <w:tab w:val="clear" w:pos="14287" w:leader="none"/>
                            </w:tabs>
                            <w:rPr>
                              <w:rFonts w:ascii="Times New Roman" w:hAnsi="Times New Roman"/>
                              <w:sz w:val="32"/>
                              <w:szCs w:val="36"/>
                            </w:rPr>
                          </w:pPr>
                          <w:r>
                            <w:rPr>
                              <w:rFonts w:ascii="Times New Roman" w:hAnsi="Times New Roman"/>
                              <w:sz w:val="32"/>
                              <w:szCs w:val="36"/>
                            </w:rPr>
                          </w:r>
                          <w:r/>
                        </w:p>
                        <w:p>
                          <w:r/>
                          <w:r/>
                        </w:p>
                      </w:txbxContent>
                    </wps:txbx>
                    <wps:bodyPr wrap="square" lIns="0" tIns="0" rIns="0" bIns="0" upright="1"/>
                  </wps:wsp>
                </a:graphicData>
              </a:graphic>
            </wp:anchor>
          </w:drawing>
        </mc:Choice>
        <mc:Fallback>
          <w:pict>
            <v:shape id="shape 1" o:spid="_x0000_s1" o:spt="202" type="#_x0000_t202" style="position:absolute;z-index:251659264;o:allowoverlap:true;o:allowincell:true;mso-position-horizontal-relative:margin;margin-left:202.6pt;mso-position-horizontal:absolute;mso-position-vertical-relative:text;margin-top:-8.3pt;mso-position-vertical:absolute;width:52.6pt;height:21.0pt;mso-wrap-distance-left:9.0pt;mso-wrap-distance-top:0.0pt;mso-wrap-distance-right:9.0pt;mso-wrap-distance-bottom:0.0pt;visibility:visible;" filled="f" stroked="f" strokeweight="0.50pt">
              <v:textbox inset="0,0,0,0">
                <w:txbxContent>
                  <w:p>
                    <w:pPr>
                      <w:pStyle w:val="821"/>
                      <w:tabs>
                        <w:tab w:val="clear" w:pos="7143" w:leader="none"/>
                        <w:tab w:val="clear" w:pos="14287" w:leader="none"/>
                      </w:tabs>
                      <w:rPr>
                        <w:rFonts w:ascii="Times New Roman" w:hAnsi="Times New Roman"/>
                        <w:sz w:val="32"/>
                        <w:szCs w:val="36"/>
                      </w:rPr>
                    </w:pPr>
                    <w:r>
                      <w:rPr>
                        <w:rFonts w:ascii="Times New Roman" w:hAnsi="Times New Roman"/>
                        <w:sz w:val="32"/>
                        <w:szCs w:val="36"/>
                      </w:rPr>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318"/>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1">
    <w:multiLevelType w:val="hybridMultilevel"/>
    <w:lvl w:ilvl="0">
      <w:start w:val="1"/>
      <w:numFmt w:val="bullet"/>
      <w:pStyle w:val="1294"/>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319"/>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3">
    <w:multiLevelType w:val="hybridMultilevel"/>
    <w:lvl w:ilvl="0">
      <w:start w:val="2"/>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4" w:default="1">
    <w:name w:val="Normal"/>
    <w:link w:val="1475"/>
    <w:uiPriority w:val="0"/>
    <w:qFormat/>
    <w:pPr>
      <w:jc w:val="both"/>
      <w:widowControl w:val="off"/>
    </w:pPr>
    <w:rPr>
      <w:rFonts w:hint="default" w:ascii="Calibri" w:hAnsi="Calibri" w:eastAsia="宋体" w:cs="Times New Roman"/>
      <w:sz w:val="21"/>
      <w:szCs w:val="22"/>
      <w:lang w:val="en-US" w:eastAsia="zh-CN" w:bidi="ar-SA"/>
    </w:rPr>
  </w:style>
  <w:style w:type="paragraph" w:styleId="735">
    <w:name w:val="Heading 1"/>
    <w:basedOn w:val="734"/>
    <w:next w:val="734"/>
    <w:uiPriority w:val="9"/>
    <w:qFormat/>
    <w:pPr>
      <w:keepLines/>
      <w:keepNext/>
      <w:spacing w:before="480" w:after="200"/>
      <w:outlineLvl w:val="0"/>
    </w:pPr>
    <w:rPr>
      <w:rFonts w:ascii="Arial" w:hAnsi="Arial" w:eastAsia="Arial" w:cs="Arial"/>
      <w:sz w:val="40"/>
      <w:szCs w:val="40"/>
    </w:rPr>
  </w:style>
  <w:style w:type="paragraph" w:styleId="736">
    <w:name w:val="Heading 2"/>
    <w:basedOn w:val="734"/>
    <w:next w:val="734"/>
    <w:uiPriority w:val="9"/>
    <w:unhideWhenUsed/>
    <w:qFormat/>
    <w:pPr>
      <w:keepLines/>
      <w:keepNext/>
      <w:spacing w:before="360" w:after="200"/>
      <w:outlineLvl w:val="1"/>
    </w:pPr>
    <w:rPr>
      <w:rFonts w:ascii="Arial" w:hAnsi="Arial" w:eastAsia="Arial" w:cs="Arial"/>
      <w:sz w:val="34"/>
    </w:rPr>
  </w:style>
  <w:style w:type="paragraph" w:styleId="737">
    <w:name w:val="Heading 3"/>
    <w:basedOn w:val="734"/>
    <w:next w:val="734"/>
    <w:uiPriority w:val="9"/>
    <w:unhideWhenUsed/>
    <w:qFormat/>
    <w:pPr>
      <w:keepLines/>
      <w:keepNext/>
      <w:spacing w:before="320" w:after="200"/>
      <w:outlineLvl w:val="2"/>
    </w:pPr>
    <w:rPr>
      <w:rFonts w:ascii="Arial" w:hAnsi="Arial" w:eastAsia="Arial" w:cs="Arial"/>
      <w:sz w:val="30"/>
      <w:szCs w:val="30"/>
    </w:rPr>
  </w:style>
  <w:style w:type="paragraph" w:styleId="738">
    <w:name w:val="Heading 4"/>
    <w:basedOn w:val="734"/>
    <w:next w:val="734"/>
    <w:uiPriority w:val="9"/>
    <w:unhideWhenUsed/>
    <w:qFormat/>
    <w:pPr>
      <w:keepLines/>
      <w:keepNext/>
      <w:spacing w:before="320" w:after="200"/>
      <w:outlineLvl w:val="3"/>
    </w:pPr>
    <w:rPr>
      <w:rFonts w:ascii="Arial" w:hAnsi="Arial" w:eastAsia="Arial" w:cs="Arial"/>
      <w:b/>
      <w:bCs/>
      <w:sz w:val="26"/>
      <w:szCs w:val="26"/>
    </w:rPr>
  </w:style>
  <w:style w:type="paragraph" w:styleId="739">
    <w:name w:val="Heading 5"/>
    <w:basedOn w:val="734"/>
    <w:next w:val="734"/>
    <w:uiPriority w:val="9"/>
    <w:unhideWhenUsed/>
    <w:qFormat/>
    <w:pPr>
      <w:keepLines/>
      <w:keepNext/>
      <w:spacing w:before="320" w:after="200"/>
      <w:outlineLvl w:val="4"/>
    </w:pPr>
    <w:rPr>
      <w:rFonts w:ascii="Arial" w:hAnsi="Arial" w:eastAsia="Arial" w:cs="Arial"/>
      <w:b/>
      <w:bCs/>
      <w:sz w:val="24"/>
      <w:szCs w:val="24"/>
    </w:rPr>
  </w:style>
  <w:style w:type="paragraph" w:styleId="740">
    <w:name w:val="Heading 6"/>
    <w:basedOn w:val="734"/>
    <w:next w:val="734"/>
    <w:uiPriority w:val="9"/>
    <w:unhideWhenUsed/>
    <w:qFormat/>
    <w:pPr>
      <w:keepLines/>
      <w:keepNext/>
      <w:spacing w:before="320" w:after="200"/>
      <w:outlineLvl w:val="5"/>
    </w:pPr>
    <w:rPr>
      <w:rFonts w:ascii="Arial" w:hAnsi="Arial" w:eastAsia="Arial" w:cs="Arial"/>
      <w:b/>
      <w:bCs/>
      <w:sz w:val="22"/>
      <w:szCs w:val="22"/>
    </w:rPr>
  </w:style>
  <w:style w:type="paragraph" w:styleId="741">
    <w:name w:val="Heading 7"/>
    <w:basedOn w:val="734"/>
    <w:next w:val="734"/>
    <w:uiPriority w:val="9"/>
    <w:unhideWhenUsed/>
    <w:qFormat/>
    <w:pPr>
      <w:keepLines/>
      <w:keepNext/>
      <w:spacing w:before="320" w:after="200"/>
      <w:outlineLvl w:val="6"/>
    </w:pPr>
    <w:rPr>
      <w:rFonts w:ascii="Arial" w:hAnsi="Arial" w:eastAsia="Arial" w:cs="Arial"/>
      <w:b/>
      <w:bCs/>
      <w:i/>
      <w:iCs/>
      <w:sz w:val="22"/>
      <w:szCs w:val="22"/>
    </w:rPr>
  </w:style>
  <w:style w:type="paragraph" w:styleId="742">
    <w:name w:val="Heading 8"/>
    <w:basedOn w:val="734"/>
    <w:next w:val="734"/>
    <w:uiPriority w:val="9"/>
    <w:unhideWhenUsed/>
    <w:qFormat/>
    <w:pPr>
      <w:keepLines/>
      <w:keepNext/>
      <w:spacing w:before="320" w:after="200"/>
      <w:outlineLvl w:val="7"/>
    </w:pPr>
    <w:rPr>
      <w:rFonts w:ascii="Arial" w:hAnsi="Arial" w:eastAsia="Arial" w:cs="Arial"/>
      <w:i/>
      <w:iCs/>
      <w:sz w:val="22"/>
      <w:szCs w:val="22"/>
    </w:rPr>
  </w:style>
  <w:style w:type="paragraph" w:styleId="743">
    <w:name w:val="Heading 9"/>
    <w:basedOn w:val="734"/>
    <w:next w:val="734"/>
    <w:uiPriority w:val="9"/>
    <w:unhideWhenUsed/>
    <w:qFormat/>
    <w:pPr>
      <w:keepLines/>
      <w:keepNext/>
      <w:spacing w:before="320" w:after="200"/>
      <w:outlineLvl w:val="8"/>
    </w:pPr>
    <w:rPr>
      <w:rFonts w:ascii="Arial" w:hAnsi="Arial" w:eastAsia="Arial" w:cs="Arial"/>
      <w:i/>
      <w:iCs/>
      <w:sz w:val="21"/>
      <w:szCs w:val="21"/>
    </w:rPr>
  </w:style>
  <w:style w:type="character" w:styleId="744" w:default="1">
    <w:name w:val="Default Paragraph Font"/>
    <w:uiPriority w:val="1"/>
    <w:semiHidden/>
    <w:unhideWhenUsed/>
    <w:qFormat/>
  </w:style>
  <w:style w:type="table" w:styleId="745" w:default="1">
    <w:name w:val="Normal Table"/>
    <w:uiPriority w:val="99"/>
    <w:semiHidden/>
    <w:unhideWhenUsed/>
    <w:qFormat/>
    <w:tblPr>
      <w:tblCellMar>
        <w:left w:w="108" w:type="dxa"/>
        <w:top w:w="0" w:type="dxa"/>
        <w:right w:w="108" w:type="dxa"/>
        <w:bottom w:w="0" w:type="dxa"/>
      </w:tblCellMar>
    </w:tblPr>
  </w:style>
  <w:style w:type="paragraph" w:styleId="746">
    <w:name w:val="toc 7"/>
    <w:basedOn w:val="734"/>
    <w:next w:val="734"/>
    <w:uiPriority w:val="39"/>
    <w:unhideWhenUsed/>
    <w:qFormat/>
    <w:pPr>
      <w:ind w:left="1701" w:right="0" w:firstLine="0"/>
      <w:spacing w:after="57"/>
    </w:pPr>
  </w:style>
  <w:style w:type="paragraph" w:styleId="747">
    <w:name w:val="Caption"/>
    <w:basedOn w:val="734"/>
    <w:next w:val="734"/>
    <w:uiPriority w:val="35"/>
    <w:semiHidden/>
    <w:unhideWhenUsed/>
    <w:qFormat/>
    <w:pPr>
      <w:spacing w:line="276" w:lineRule="auto"/>
    </w:pPr>
    <w:rPr>
      <w:b/>
      <w:bCs/>
      <w:color w:val="4f81bd" w:themeColor="accent1"/>
      <w:sz w:val="18"/>
      <w:szCs w:val="18"/>
    </w:rPr>
  </w:style>
  <w:style w:type="paragraph" w:styleId="748">
    <w:name w:val="Body Text"/>
    <w:basedOn w:val="734"/>
    <w:next w:val="734"/>
    <w:uiPriority w:val="1"/>
    <w:qFormat/>
    <w:pPr>
      <w:ind w:firstLine="600"/>
    </w:pPr>
    <w:rPr>
      <w:rFonts w:ascii="Times New Roman" w:hAnsi="Times New Roman" w:eastAsia="方正仿宋_GBK"/>
      <w:b/>
      <w:bCs/>
      <w:color w:val="ff0000"/>
      <w:sz w:val="30"/>
      <w:szCs w:val="30"/>
    </w:rPr>
  </w:style>
  <w:style w:type="paragraph" w:styleId="749">
    <w:name w:val="Body Text Indent"/>
    <w:basedOn w:val="734"/>
    <w:uiPriority w:val="0"/>
    <w:unhideWhenUsed/>
    <w:qFormat/>
    <w:pPr>
      <w:ind w:left="420"/>
      <w:spacing w:after="120"/>
    </w:pPr>
  </w:style>
  <w:style w:type="paragraph" w:styleId="750">
    <w:name w:val="toc 5"/>
    <w:basedOn w:val="734"/>
    <w:next w:val="734"/>
    <w:uiPriority w:val="39"/>
    <w:unhideWhenUsed/>
    <w:qFormat/>
    <w:pPr>
      <w:ind w:left="1134" w:right="0" w:firstLine="0"/>
      <w:spacing w:after="57"/>
    </w:pPr>
  </w:style>
  <w:style w:type="paragraph" w:styleId="751">
    <w:name w:val="toc 3"/>
    <w:basedOn w:val="734"/>
    <w:next w:val="734"/>
    <w:uiPriority w:val="39"/>
    <w:unhideWhenUsed/>
    <w:qFormat/>
    <w:pPr>
      <w:ind w:left="567" w:right="0" w:firstLine="0"/>
      <w:spacing w:after="57"/>
    </w:pPr>
  </w:style>
  <w:style w:type="paragraph" w:styleId="752">
    <w:name w:val="toc 8"/>
    <w:basedOn w:val="734"/>
    <w:next w:val="734"/>
    <w:uiPriority w:val="39"/>
    <w:unhideWhenUsed/>
    <w:qFormat/>
    <w:pPr>
      <w:ind w:left="1984" w:right="0" w:firstLine="0"/>
      <w:spacing w:after="57"/>
    </w:pPr>
  </w:style>
  <w:style w:type="paragraph" w:styleId="753">
    <w:name w:val="endnote text"/>
    <w:basedOn w:val="734"/>
    <w:uiPriority w:val="99"/>
    <w:semiHidden/>
    <w:unhideWhenUsed/>
    <w:qFormat/>
    <w:pPr>
      <w:spacing w:after="0" w:line="240" w:lineRule="auto"/>
    </w:pPr>
    <w:rPr>
      <w:sz w:val="20"/>
    </w:rPr>
  </w:style>
  <w:style w:type="paragraph" w:styleId="754">
    <w:name w:val="Footer"/>
    <w:basedOn w:val="734"/>
    <w:uiPriority w:val="99"/>
    <w:unhideWhenUsed/>
    <w:qFormat/>
    <w:pPr>
      <w:spacing w:after="0" w:line="240" w:lineRule="auto"/>
      <w:tabs>
        <w:tab w:val="center" w:pos="7143" w:leader="none"/>
        <w:tab w:val="right" w:pos="14287" w:leader="none"/>
      </w:tabs>
    </w:pPr>
  </w:style>
  <w:style w:type="paragraph" w:styleId="755">
    <w:name w:val="Header"/>
    <w:basedOn w:val="734"/>
    <w:uiPriority w:val="99"/>
    <w:unhideWhenUsed/>
    <w:qFormat/>
    <w:pPr>
      <w:spacing w:after="0" w:line="240" w:lineRule="auto"/>
      <w:tabs>
        <w:tab w:val="center" w:pos="7143" w:leader="none"/>
        <w:tab w:val="right" w:pos="14287" w:leader="none"/>
      </w:tabs>
    </w:pPr>
  </w:style>
  <w:style w:type="paragraph" w:styleId="756">
    <w:name w:val="toc 1"/>
    <w:basedOn w:val="734"/>
    <w:next w:val="734"/>
    <w:uiPriority w:val="39"/>
    <w:unhideWhenUsed/>
    <w:qFormat/>
    <w:pPr>
      <w:ind w:left="0" w:right="0" w:firstLine="0"/>
      <w:spacing w:after="57"/>
    </w:pPr>
  </w:style>
  <w:style w:type="paragraph" w:styleId="757">
    <w:name w:val="toc 4"/>
    <w:basedOn w:val="734"/>
    <w:next w:val="734"/>
    <w:uiPriority w:val="39"/>
    <w:unhideWhenUsed/>
    <w:qFormat/>
    <w:pPr>
      <w:ind w:left="850" w:right="0" w:firstLine="0"/>
      <w:spacing w:after="57"/>
    </w:pPr>
  </w:style>
  <w:style w:type="paragraph" w:styleId="758">
    <w:name w:val="Subtitle"/>
    <w:basedOn w:val="734"/>
    <w:next w:val="734"/>
    <w:uiPriority w:val="11"/>
    <w:qFormat/>
    <w:pPr>
      <w:spacing w:before="200" w:after="200"/>
    </w:pPr>
    <w:rPr>
      <w:sz w:val="24"/>
      <w:szCs w:val="24"/>
    </w:rPr>
  </w:style>
  <w:style w:type="paragraph" w:styleId="759">
    <w:name w:val="footnote text"/>
    <w:basedOn w:val="734"/>
    <w:uiPriority w:val="99"/>
    <w:semiHidden/>
    <w:unhideWhenUsed/>
    <w:qFormat/>
    <w:pPr>
      <w:spacing w:after="40" w:line="240" w:lineRule="auto"/>
    </w:pPr>
    <w:rPr>
      <w:sz w:val="18"/>
    </w:rPr>
  </w:style>
  <w:style w:type="paragraph" w:styleId="760">
    <w:name w:val="toc 6"/>
    <w:basedOn w:val="734"/>
    <w:next w:val="734"/>
    <w:uiPriority w:val="39"/>
    <w:unhideWhenUsed/>
    <w:qFormat/>
    <w:pPr>
      <w:ind w:left="1417" w:right="0" w:firstLine="0"/>
      <w:spacing w:after="57"/>
    </w:pPr>
  </w:style>
  <w:style w:type="paragraph" w:styleId="761">
    <w:name w:val="table of figures"/>
    <w:basedOn w:val="734"/>
    <w:next w:val="734"/>
    <w:uiPriority w:val="99"/>
    <w:unhideWhenUsed/>
    <w:qFormat/>
    <w:pPr>
      <w:spacing w:after="0" w:afterAutospacing="0"/>
    </w:pPr>
  </w:style>
  <w:style w:type="paragraph" w:styleId="762">
    <w:name w:val="toc 2"/>
    <w:basedOn w:val="734"/>
    <w:next w:val="734"/>
    <w:uiPriority w:val="39"/>
    <w:unhideWhenUsed/>
    <w:qFormat/>
    <w:pPr>
      <w:ind w:left="283" w:right="0" w:firstLine="0"/>
      <w:spacing w:after="57"/>
    </w:pPr>
  </w:style>
  <w:style w:type="paragraph" w:styleId="763">
    <w:name w:val="toc 9"/>
    <w:basedOn w:val="734"/>
    <w:next w:val="734"/>
    <w:uiPriority w:val="39"/>
    <w:unhideWhenUsed/>
    <w:qFormat/>
    <w:pPr>
      <w:ind w:left="2268" w:right="0" w:firstLine="0"/>
      <w:spacing w:after="57"/>
    </w:pPr>
  </w:style>
  <w:style w:type="paragraph" w:styleId="764">
    <w:name w:val="Normal (Web)"/>
    <w:basedOn w:val="734"/>
    <w:uiPriority w:val="99"/>
    <w:qFormat/>
    <w:pPr>
      <w:jc w:val="left"/>
      <w:spacing w:before="100" w:beforeAutospacing="1" w:after="100" w:afterAutospacing="1"/>
      <w:widowControl/>
    </w:pPr>
    <w:rPr>
      <w:rFonts w:ascii="宋体" w:hAnsi="宋体" w:cs="宋体"/>
      <w:sz w:val="24"/>
      <w:szCs w:val="24"/>
    </w:rPr>
  </w:style>
  <w:style w:type="paragraph" w:styleId="765">
    <w:name w:val="Title"/>
    <w:basedOn w:val="734"/>
    <w:next w:val="734"/>
    <w:uiPriority w:val="10"/>
    <w:qFormat/>
    <w:pPr>
      <w:contextualSpacing/>
      <w:spacing w:before="300" w:after="200"/>
    </w:pPr>
    <w:rPr>
      <w:sz w:val="48"/>
      <w:szCs w:val="48"/>
    </w:rPr>
  </w:style>
  <w:style w:type="paragraph" w:styleId="766">
    <w:name w:val="Body Text First Indent 2"/>
    <w:basedOn w:val="749"/>
    <w:uiPriority w:val="99"/>
    <w:unhideWhenUsed/>
    <w:qFormat/>
    <w:pPr>
      <w:ind w:left="200" w:firstLine="420"/>
    </w:pPr>
  </w:style>
  <w:style w:type="table" w:styleId="76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8">
    <w:name w:val="endnote reference"/>
    <w:uiPriority w:val="99"/>
    <w:semiHidden/>
    <w:unhideWhenUsed/>
    <w:qFormat/>
    <w:rPr>
      <w:vertAlign w:val="superscript"/>
    </w:rPr>
  </w:style>
  <w:style w:type="character" w:styleId="769">
    <w:name w:val="Hyperlink"/>
    <w:uiPriority w:val="99"/>
    <w:unhideWhenUsed/>
    <w:qFormat/>
    <w:rPr>
      <w:color w:val="0000ff" w:themeColor="hyperlink"/>
      <w:u w:val="single"/>
    </w:rPr>
  </w:style>
  <w:style w:type="character" w:styleId="770">
    <w:name w:val="footnote reference"/>
    <w:uiPriority w:val="99"/>
    <w:unhideWhenUsed/>
    <w:qFormat/>
    <w:rPr>
      <w:vertAlign w:val="superscript"/>
    </w:rPr>
  </w:style>
  <w:style w:type="paragraph" w:styleId="771">
    <w:name w:val="List Paragraph"/>
    <w:basedOn w:val="734"/>
    <w:uiPriority w:val="34"/>
    <w:qFormat/>
    <w:pPr>
      <w:contextualSpacing/>
      <w:ind w:left="720"/>
    </w:pPr>
  </w:style>
  <w:style w:type="paragraph" w:styleId="772">
    <w:name w:val="No Spacing"/>
    <w:uiPriority w:val="1"/>
    <w:qFormat/>
    <w:pPr>
      <w:spacing w:before="0" w:after="0" w:line="240" w:lineRule="auto"/>
    </w:pPr>
    <w:rPr>
      <w:rFonts w:hint="default" w:ascii="Times New Roman" w:hAnsi="Times New Roman" w:eastAsia="宋体" w:cs="Times New Roman"/>
    </w:rPr>
  </w:style>
  <w:style w:type="paragraph" w:styleId="773">
    <w:name w:val="Quote"/>
    <w:basedOn w:val="734"/>
    <w:next w:val="734"/>
    <w:uiPriority w:val="29"/>
    <w:qFormat/>
    <w:pPr>
      <w:ind w:left="720" w:right="720"/>
    </w:pPr>
    <w:rPr>
      <w:i/>
    </w:rPr>
  </w:style>
  <w:style w:type="paragraph" w:styleId="774">
    <w:name w:val="Intense Quote"/>
    <w:basedOn w:val="734"/>
    <w:next w:val="73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77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8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79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79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94" w:customStyle="1">
    <w:name w:val="TOC Heading"/>
    <w:uiPriority w:val="39"/>
    <w:unhideWhenUsed/>
    <w:qFormat/>
    <w:rPr>
      <w:rFonts w:hint="default" w:ascii="Times New Roman" w:hAnsi="Times New Roman" w:eastAsia="宋体" w:cs="Times New Roman"/>
    </w:rPr>
  </w:style>
  <w:style w:type="paragraph" w:styleId="795" w:customStyle="1">
    <w:name w:val="标题 1111"/>
    <w:basedOn w:val="734"/>
    <w:next w:val="734"/>
    <w:link w:val="806"/>
    <w:uiPriority w:val="9"/>
    <w:qFormat/>
    <w:pPr>
      <w:keepLines/>
      <w:keepNext/>
      <w:spacing w:before="480" w:after="200"/>
      <w:outlineLvl w:val="0"/>
    </w:pPr>
    <w:rPr>
      <w:rFonts w:ascii="Arial" w:hAnsi="Arial" w:eastAsia="Arial" w:cs="Arial"/>
      <w:sz w:val="40"/>
      <w:szCs w:val="40"/>
    </w:rPr>
  </w:style>
  <w:style w:type="paragraph" w:styleId="796" w:customStyle="1">
    <w:name w:val="标题 21111"/>
    <w:basedOn w:val="734"/>
    <w:next w:val="734"/>
    <w:uiPriority w:val="9"/>
    <w:qFormat/>
    <w:pPr>
      <w:keepLines/>
      <w:keepNext/>
      <w:spacing w:before="360" w:after="200"/>
      <w:outlineLvl w:val="1"/>
    </w:pPr>
    <w:rPr>
      <w:rFonts w:ascii="Arial" w:hAnsi="Arial" w:eastAsia="Arial" w:cs="Arial"/>
      <w:sz w:val="34"/>
    </w:rPr>
  </w:style>
  <w:style w:type="paragraph" w:styleId="797" w:customStyle="1">
    <w:name w:val="标题 3112"/>
    <w:basedOn w:val="734"/>
    <w:next w:val="734"/>
    <w:uiPriority w:val="9"/>
    <w:qFormat/>
    <w:pPr>
      <w:keepLines/>
      <w:keepNext/>
      <w:spacing w:before="320" w:after="200"/>
      <w:outlineLvl w:val="2"/>
    </w:pPr>
    <w:rPr>
      <w:rFonts w:ascii="Arial" w:hAnsi="Arial" w:eastAsia="Arial" w:cs="Arial"/>
      <w:sz w:val="30"/>
      <w:szCs w:val="30"/>
    </w:rPr>
  </w:style>
  <w:style w:type="paragraph" w:styleId="798" w:customStyle="1">
    <w:name w:val="标题 4111"/>
    <w:basedOn w:val="734"/>
    <w:next w:val="734"/>
    <w:uiPriority w:val="9"/>
    <w:qFormat/>
    <w:pPr>
      <w:keepLines/>
      <w:keepNext/>
      <w:spacing w:before="320" w:after="200"/>
      <w:outlineLvl w:val="3"/>
    </w:pPr>
    <w:rPr>
      <w:rFonts w:ascii="Arial" w:hAnsi="Arial" w:eastAsia="Arial" w:cs="Arial"/>
      <w:b/>
      <w:bCs/>
      <w:sz w:val="26"/>
      <w:szCs w:val="26"/>
    </w:rPr>
  </w:style>
  <w:style w:type="paragraph" w:styleId="799" w:customStyle="1">
    <w:name w:val="标题 512"/>
    <w:basedOn w:val="734"/>
    <w:next w:val="734"/>
    <w:uiPriority w:val="9"/>
    <w:qFormat/>
    <w:pPr>
      <w:keepLines/>
      <w:keepNext/>
      <w:spacing w:before="320" w:after="200"/>
      <w:outlineLvl w:val="4"/>
    </w:pPr>
    <w:rPr>
      <w:rFonts w:ascii="Arial" w:hAnsi="Arial" w:eastAsia="Arial" w:cs="Arial"/>
      <w:b/>
      <w:bCs/>
      <w:sz w:val="24"/>
      <w:szCs w:val="24"/>
    </w:rPr>
  </w:style>
  <w:style w:type="paragraph" w:styleId="800" w:customStyle="1">
    <w:name w:val="标题 612"/>
    <w:basedOn w:val="734"/>
    <w:next w:val="734"/>
    <w:uiPriority w:val="9"/>
    <w:qFormat/>
    <w:pPr>
      <w:keepLines/>
      <w:keepNext/>
      <w:spacing w:before="320" w:after="200"/>
      <w:outlineLvl w:val="5"/>
    </w:pPr>
    <w:rPr>
      <w:rFonts w:ascii="Arial" w:hAnsi="Arial" w:eastAsia="Arial" w:cs="Arial"/>
      <w:b/>
      <w:bCs/>
      <w:sz w:val="22"/>
    </w:rPr>
  </w:style>
  <w:style w:type="paragraph" w:styleId="801" w:customStyle="1">
    <w:name w:val="标题 712"/>
    <w:basedOn w:val="734"/>
    <w:next w:val="734"/>
    <w:uiPriority w:val="9"/>
    <w:qFormat/>
    <w:pPr>
      <w:keepLines/>
      <w:keepNext/>
      <w:spacing w:before="320" w:after="200"/>
      <w:outlineLvl w:val="6"/>
    </w:pPr>
    <w:rPr>
      <w:rFonts w:ascii="Arial" w:hAnsi="Arial" w:eastAsia="Arial" w:cs="Arial"/>
      <w:b/>
      <w:bCs/>
      <w:i/>
      <w:iCs/>
      <w:sz w:val="22"/>
    </w:rPr>
  </w:style>
  <w:style w:type="paragraph" w:styleId="802" w:customStyle="1">
    <w:name w:val="标题 812"/>
    <w:basedOn w:val="734"/>
    <w:next w:val="734"/>
    <w:uiPriority w:val="9"/>
    <w:qFormat/>
    <w:pPr>
      <w:keepLines/>
      <w:keepNext/>
      <w:spacing w:before="320" w:after="200"/>
      <w:outlineLvl w:val="7"/>
    </w:pPr>
    <w:rPr>
      <w:rFonts w:ascii="Arial" w:hAnsi="Arial" w:eastAsia="Arial" w:cs="Arial"/>
      <w:i/>
      <w:iCs/>
      <w:sz w:val="22"/>
    </w:rPr>
  </w:style>
  <w:style w:type="paragraph" w:styleId="803" w:customStyle="1">
    <w:name w:val="标题 912"/>
    <w:basedOn w:val="734"/>
    <w:next w:val="734"/>
    <w:uiPriority w:val="9"/>
    <w:qFormat/>
    <w:pPr>
      <w:keepLines/>
      <w:keepNext/>
      <w:spacing w:before="320" w:after="200"/>
      <w:outlineLvl w:val="8"/>
    </w:pPr>
    <w:rPr>
      <w:rFonts w:ascii="Arial" w:hAnsi="Arial" w:eastAsia="Arial" w:cs="Arial"/>
      <w:i/>
      <w:iCs/>
      <w:szCs w:val="21"/>
    </w:rPr>
  </w:style>
  <w:style w:type="character" w:styleId="804" w:customStyle="1">
    <w:name w:val="默认段落字体12"/>
    <w:link w:val="734"/>
    <w:uiPriority w:val="1"/>
    <w:unhideWhenUsed/>
    <w:qFormat/>
  </w:style>
  <w:style w:type="table" w:styleId="805" w:customStyle="1">
    <w:name w:val="普通表格12"/>
    <w:uiPriority w:val="99"/>
    <w:unhideWhenUsed/>
    <w:qFormat/>
    <w:tblPr/>
  </w:style>
  <w:style w:type="character" w:styleId="806" w:customStyle="1">
    <w:name w:val="标题 1 字符2"/>
    <w:link w:val="795"/>
    <w:uiPriority w:val="9"/>
    <w:qFormat/>
    <w:rPr>
      <w:rFonts w:ascii="Arial" w:hAnsi="Arial" w:eastAsia="Arial" w:cs="Arial"/>
      <w:sz w:val="40"/>
      <w:szCs w:val="40"/>
    </w:rPr>
  </w:style>
  <w:style w:type="paragraph" w:styleId="807" w:customStyle="1">
    <w:name w:val="目录 71"/>
    <w:basedOn w:val="734"/>
    <w:next w:val="734"/>
    <w:uiPriority w:val="0"/>
    <w:qFormat/>
    <w:pPr>
      <w:ind w:left="1260"/>
      <w:jc w:val="left"/>
    </w:pPr>
    <w:rPr>
      <w:rFonts w:cs="Calibri"/>
      <w:sz w:val="18"/>
      <w:szCs w:val="18"/>
    </w:rPr>
  </w:style>
  <w:style w:type="paragraph" w:styleId="808" w:customStyle="1">
    <w:name w:val="正文缩进121"/>
    <w:basedOn w:val="734"/>
    <w:uiPriority w:val="0"/>
    <w:qFormat/>
    <w:pPr>
      <w:ind w:firstLine="420"/>
    </w:pPr>
    <w:rPr>
      <w:szCs w:val="21"/>
    </w:rPr>
  </w:style>
  <w:style w:type="paragraph" w:styleId="809" w:customStyle="1">
    <w:name w:val="题注12"/>
    <w:basedOn w:val="734"/>
    <w:next w:val="734"/>
    <w:uiPriority w:val="35"/>
    <w:qFormat/>
    <w:pPr>
      <w:spacing w:line="276" w:lineRule="auto"/>
    </w:pPr>
    <w:rPr>
      <w:b/>
      <w:bCs/>
      <w:color w:val="4f81bd"/>
      <w:sz w:val="18"/>
      <w:szCs w:val="18"/>
    </w:rPr>
  </w:style>
  <w:style w:type="paragraph" w:styleId="810" w:customStyle="1">
    <w:name w:val="批注文字11"/>
    <w:basedOn w:val="734"/>
    <w:link w:val="811"/>
    <w:uiPriority w:val="99"/>
    <w:unhideWhenUsed/>
    <w:qFormat/>
    <w:pPr>
      <w:jc w:val="left"/>
    </w:pPr>
  </w:style>
  <w:style w:type="character" w:styleId="811" w:customStyle="1">
    <w:name w:val="批注文字 字符1"/>
    <w:link w:val="810"/>
    <w:uiPriority w:val="99"/>
    <w:qFormat/>
    <w:rPr>
      <w:rFonts w:ascii="Calibri" w:hAnsi="Calibri"/>
      <w:sz w:val="21"/>
      <w:szCs w:val="22"/>
    </w:rPr>
  </w:style>
  <w:style w:type="paragraph" w:styleId="812" w:customStyle="1">
    <w:name w:val="正文文本11"/>
    <w:basedOn w:val="734"/>
    <w:uiPriority w:val="1"/>
    <w:qFormat/>
    <w:pPr>
      <w:ind w:firstLine="600"/>
    </w:pPr>
    <w:rPr>
      <w:rFonts w:ascii="Times New Roman" w:hAnsi="Times New Roman" w:eastAsia="方正仿宋_GBK"/>
      <w:b/>
      <w:bCs/>
      <w:color w:val="ff0000"/>
      <w:sz w:val="30"/>
      <w:szCs w:val="30"/>
    </w:rPr>
  </w:style>
  <w:style w:type="paragraph" w:styleId="813" w:customStyle="1">
    <w:name w:val="正文文本缩进12"/>
    <w:basedOn w:val="734"/>
    <w:uiPriority w:val="0"/>
    <w:unhideWhenUsed/>
    <w:qFormat/>
    <w:pPr>
      <w:ind w:left="420"/>
      <w:spacing w:after="120"/>
    </w:pPr>
  </w:style>
  <w:style w:type="paragraph" w:styleId="814" w:customStyle="1">
    <w:name w:val="目录 51"/>
    <w:basedOn w:val="734"/>
    <w:next w:val="734"/>
    <w:uiPriority w:val="0"/>
    <w:qFormat/>
    <w:pPr>
      <w:ind w:left="840"/>
      <w:jc w:val="left"/>
    </w:pPr>
    <w:rPr>
      <w:rFonts w:cs="Calibri"/>
      <w:sz w:val="18"/>
      <w:szCs w:val="18"/>
    </w:rPr>
  </w:style>
  <w:style w:type="paragraph" w:styleId="815" w:customStyle="1">
    <w:name w:val="目录 31"/>
    <w:basedOn w:val="734"/>
    <w:next w:val="734"/>
    <w:uiPriority w:val="39"/>
    <w:qFormat/>
    <w:pPr>
      <w:ind w:left="420"/>
      <w:jc w:val="left"/>
    </w:pPr>
    <w:rPr>
      <w:rFonts w:cs="Calibri"/>
      <w:i/>
      <w:iCs/>
      <w:sz w:val="20"/>
      <w:szCs w:val="20"/>
    </w:rPr>
  </w:style>
  <w:style w:type="paragraph" w:styleId="816" w:customStyle="1">
    <w:name w:val="纯文本12"/>
    <w:basedOn w:val="734"/>
    <w:uiPriority w:val="0"/>
    <w:qFormat/>
    <w:rPr>
      <w:rFonts w:ascii="宋体" w:hAnsi="Courier New" w:cs="Courier New"/>
      <w:szCs w:val="21"/>
    </w:rPr>
  </w:style>
  <w:style w:type="paragraph" w:styleId="817" w:customStyle="1">
    <w:name w:val="目录 81"/>
    <w:basedOn w:val="734"/>
    <w:next w:val="734"/>
    <w:uiPriority w:val="0"/>
    <w:qFormat/>
    <w:pPr>
      <w:ind w:left="1470"/>
      <w:jc w:val="left"/>
    </w:pPr>
    <w:rPr>
      <w:rFonts w:cs="Calibri"/>
      <w:sz w:val="18"/>
      <w:szCs w:val="18"/>
    </w:rPr>
  </w:style>
  <w:style w:type="paragraph" w:styleId="818" w:customStyle="1">
    <w:name w:val="尾注文本12"/>
    <w:basedOn w:val="734"/>
    <w:uiPriority w:val="99"/>
    <w:unhideWhenUsed/>
    <w:qFormat/>
    <w:rPr>
      <w:sz w:val="20"/>
    </w:rPr>
  </w:style>
  <w:style w:type="paragraph" w:styleId="819" w:customStyle="1">
    <w:name w:val="批注框文本11"/>
    <w:basedOn w:val="734"/>
    <w:link w:val="820"/>
    <w:uiPriority w:val="99"/>
    <w:unhideWhenUsed/>
    <w:qFormat/>
    <w:rPr>
      <w:rFonts w:ascii="宋体"/>
      <w:sz w:val="18"/>
      <w:szCs w:val="18"/>
    </w:rPr>
  </w:style>
  <w:style w:type="character" w:styleId="820" w:customStyle="1">
    <w:name w:val="批注框文本 字符"/>
    <w:link w:val="819"/>
    <w:uiPriority w:val="99"/>
    <w:semiHidden/>
    <w:qFormat/>
    <w:rPr>
      <w:rFonts w:ascii="宋体" w:hAnsi="Calibri"/>
      <w:sz w:val="18"/>
      <w:szCs w:val="18"/>
    </w:rPr>
  </w:style>
  <w:style w:type="paragraph" w:styleId="821" w:customStyle="1">
    <w:name w:val="页脚121"/>
    <w:basedOn w:val="734"/>
    <w:uiPriority w:val="99"/>
    <w:unhideWhenUsed/>
    <w:qFormat/>
    <w:pPr>
      <w:tabs>
        <w:tab w:val="center" w:pos="7143" w:leader="none"/>
        <w:tab w:val="right" w:pos="14287" w:leader="none"/>
      </w:tabs>
    </w:pPr>
  </w:style>
  <w:style w:type="paragraph" w:styleId="822" w:customStyle="1">
    <w:name w:val="页眉12"/>
    <w:basedOn w:val="734"/>
    <w:uiPriority w:val="99"/>
    <w:unhideWhenUsed/>
    <w:qFormat/>
    <w:pPr>
      <w:tabs>
        <w:tab w:val="center" w:pos="7143" w:leader="none"/>
        <w:tab w:val="right" w:pos="14287" w:leader="none"/>
      </w:tabs>
    </w:pPr>
  </w:style>
  <w:style w:type="paragraph" w:styleId="823" w:customStyle="1">
    <w:name w:val="目录 11"/>
    <w:basedOn w:val="734"/>
    <w:next w:val="734"/>
    <w:uiPriority w:val="39"/>
    <w:qFormat/>
    <w:pPr>
      <w:jc w:val="left"/>
      <w:spacing w:before="120" w:after="120"/>
    </w:pPr>
    <w:rPr>
      <w:rFonts w:cs="Calibri"/>
      <w:b/>
      <w:bCs/>
      <w:caps/>
      <w:sz w:val="20"/>
      <w:szCs w:val="20"/>
    </w:rPr>
  </w:style>
  <w:style w:type="paragraph" w:styleId="824" w:customStyle="1">
    <w:name w:val="目录 41"/>
    <w:basedOn w:val="734"/>
    <w:next w:val="734"/>
    <w:uiPriority w:val="0"/>
    <w:qFormat/>
    <w:pPr>
      <w:ind w:left="630"/>
      <w:jc w:val="left"/>
    </w:pPr>
    <w:rPr>
      <w:rFonts w:cs="Calibri"/>
      <w:sz w:val="18"/>
      <w:szCs w:val="18"/>
    </w:rPr>
  </w:style>
  <w:style w:type="paragraph" w:styleId="825" w:customStyle="1">
    <w:name w:val="副标题11"/>
    <w:basedOn w:val="734"/>
    <w:next w:val="734"/>
    <w:uiPriority w:val="11"/>
    <w:qFormat/>
    <w:pPr>
      <w:spacing w:before="200" w:after="200"/>
    </w:pPr>
    <w:rPr>
      <w:sz w:val="24"/>
      <w:szCs w:val="24"/>
    </w:rPr>
  </w:style>
  <w:style w:type="paragraph" w:styleId="826" w:customStyle="1">
    <w:name w:val="脚注文本12"/>
    <w:basedOn w:val="734"/>
    <w:uiPriority w:val="99"/>
    <w:unhideWhenUsed/>
    <w:qFormat/>
    <w:pPr>
      <w:spacing w:after="40"/>
    </w:pPr>
    <w:rPr>
      <w:sz w:val="18"/>
    </w:rPr>
  </w:style>
  <w:style w:type="paragraph" w:styleId="827" w:customStyle="1">
    <w:name w:val="目录 61"/>
    <w:basedOn w:val="734"/>
    <w:next w:val="734"/>
    <w:uiPriority w:val="0"/>
    <w:qFormat/>
    <w:pPr>
      <w:ind w:left="1050"/>
      <w:jc w:val="left"/>
    </w:pPr>
    <w:rPr>
      <w:rFonts w:cs="Calibri"/>
      <w:sz w:val="18"/>
      <w:szCs w:val="18"/>
    </w:rPr>
  </w:style>
  <w:style w:type="paragraph" w:styleId="828" w:customStyle="1">
    <w:name w:val="图表目录13"/>
    <w:basedOn w:val="734"/>
    <w:next w:val="734"/>
    <w:uiPriority w:val="99"/>
    <w:unhideWhenUsed/>
    <w:qFormat/>
  </w:style>
  <w:style w:type="paragraph" w:styleId="829" w:customStyle="1">
    <w:name w:val="目录 21"/>
    <w:basedOn w:val="734"/>
    <w:next w:val="734"/>
    <w:uiPriority w:val="39"/>
    <w:qFormat/>
    <w:pPr>
      <w:ind w:left="210"/>
      <w:jc w:val="left"/>
    </w:pPr>
    <w:rPr>
      <w:rFonts w:cs="Calibri"/>
      <w:smallCaps/>
      <w:sz w:val="20"/>
      <w:szCs w:val="20"/>
    </w:rPr>
  </w:style>
  <w:style w:type="paragraph" w:styleId="830" w:customStyle="1">
    <w:name w:val="目录 91"/>
    <w:basedOn w:val="734"/>
    <w:next w:val="734"/>
    <w:uiPriority w:val="0"/>
    <w:qFormat/>
    <w:pPr>
      <w:ind w:left="1680"/>
      <w:jc w:val="left"/>
    </w:pPr>
    <w:rPr>
      <w:rFonts w:cs="Calibri"/>
      <w:sz w:val="18"/>
      <w:szCs w:val="18"/>
    </w:rPr>
  </w:style>
  <w:style w:type="paragraph" w:styleId="831" w:customStyle="1">
    <w:name w:val="正文文本 211"/>
    <w:basedOn w:val="734"/>
    <w:next w:val="812"/>
    <w:uiPriority w:val="0"/>
    <w:qFormat/>
  </w:style>
  <w:style w:type="paragraph" w:styleId="832" w:customStyle="1">
    <w:name w:val="普通(网站)121"/>
    <w:basedOn w:val="734"/>
    <w:uiPriority w:val="99"/>
    <w:qFormat/>
    <w:pPr>
      <w:jc w:val="left"/>
      <w:spacing w:before="100" w:beforeAutospacing="1" w:after="100" w:afterAutospacing="1"/>
      <w:widowControl/>
    </w:pPr>
    <w:rPr>
      <w:rFonts w:ascii="宋体" w:hAnsi="宋体" w:cs="宋体"/>
      <w:sz w:val="24"/>
      <w:szCs w:val="24"/>
    </w:rPr>
  </w:style>
  <w:style w:type="paragraph" w:styleId="833" w:customStyle="1">
    <w:name w:val="标题12"/>
    <w:basedOn w:val="734"/>
    <w:next w:val="734"/>
    <w:uiPriority w:val="10"/>
    <w:qFormat/>
    <w:pPr>
      <w:contextualSpacing/>
      <w:spacing w:before="300" w:after="200"/>
    </w:pPr>
    <w:rPr>
      <w:sz w:val="48"/>
      <w:szCs w:val="48"/>
    </w:rPr>
  </w:style>
  <w:style w:type="paragraph" w:styleId="834" w:customStyle="1">
    <w:name w:val="批注主题11"/>
    <w:basedOn w:val="810"/>
    <w:next w:val="810"/>
    <w:link w:val="835"/>
    <w:uiPriority w:val="99"/>
    <w:unhideWhenUsed/>
    <w:qFormat/>
    <w:rPr>
      <w:b/>
      <w:bCs/>
    </w:rPr>
  </w:style>
  <w:style w:type="character" w:styleId="835" w:customStyle="1">
    <w:name w:val="批注主题 字符"/>
    <w:link w:val="834"/>
    <w:uiPriority w:val="99"/>
    <w:semiHidden/>
    <w:qFormat/>
    <w:rPr>
      <w:rFonts w:ascii="Calibri" w:hAnsi="Calibri"/>
      <w:b/>
      <w:bCs/>
      <w:sz w:val="21"/>
      <w:szCs w:val="22"/>
    </w:rPr>
  </w:style>
  <w:style w:type="table" w:styleId="836" w:customStyle="1">
    <w:name w:val="网格型12"/>
    <w:uiPriority w:val="59"/>
    <w:qFormat/>
    <w:rPr>
      <w:lang w:val="en-US" w:eastAsia="zh-CN" w:bidi="ar-SA"/>
    </w:rPr>
    <w:tblPr/>
  </w:style>
  <w:style w:type="character" w:styleId="837" w:customStyle="1">
    <w:name w:val="尾注引用12"/>
    <w:link w:val="734"/>
    <w:uiPriority w:val="99"/>
    <w:unhideWhenUsed/>
    <w:qFormat/>
    <w:rPr>
      <w:vertAlign w:val="superscript"/>
    </w:rPr>
  </w:style>
  <w:style w:type="character" w:styleId="838" w:customStyle="1">
    <w:name w:val="强调11"/>
    <w:link w:val="734"/>
    <w:uiPriority w:val="0"/>
    <w:qFormat/>
    <w:rPr>
      <w:i/>
    </w:rPr>
  </w:style>
  <w:style w:type="character" w:styleId="839" w:customStyle="1">
    <w:name w:val="超链接12"/>
    <w:link w:val="734"/>
    <w:uiPriority w:val="99"/>
    <w:unhideWhenUsed/>
    <w:qFormat/>
    <w:rPr>
      <w:color w:val="0000ff"/>
      <w:u w:val="single"/>
    </w:rPr>
  </w:style>
  <w:style w:type="character" w:styleId="840" w:customStyle="1">
    <w:name w:val="批注引用11"/>
    <w:link w:val="734"/>
    <w:uiPriority w:val="99"/>
    <w:unhideWhenUsed/>
    <w:qFormat/>
    <w:rPr>
      <w:sz w:val="21"/>
      <w:szCs w:val="21"/>
    </w:rPr>
  </w:style>
  <w:style w:type="character" w:styleId="841" w:customStyle="1">
    <w:name w:val="脚注引用12"/>
    <w:link w:val="734"/>
    <w:uiPriority w:val="99"/>
    <w:unhideWhenUsed/>
    <w:qFormat/>
    <w:rPr>
      <w:vertAlign w:val="superscript"/>
    </w:rPr>
  </w:style>
  <w:style w:type="paragraph" w:styleId="842" w:customStyle="1">
    <w:name w:val="Normal1"/>
    <w:next w:val="843"/>
    <w:uiPriority w:val="0"/>
    <w:qFormat/>
    <w:rPr>
      <w:rFonts w:hint="default" w:ascii="Times New Roman" w:hAnsi="Times New Roman" w:eastAsia="Times New Roman" w:cs="Times New Roman"/>
      <w:sz w:val="24"/>
      <w:szCs w:val="24"/>
      <w:lang w:val="en-US" w:eastAsia="zh-CN" w:bidi="ar-SA"/>
    </w:rPr>
  </w:style>
  <w:style w:type="paragraph" w:styleId="843" w:customStyle="1">
    <w:name w:val="标题 3111"/>
    <w:basedOn w:val="842"/>
    <w:next w:val="844"/>
    <w:uiPriority w:val="9"/>
    <w:qFormat/>
    <w:pPr>
      <w:keepLines/>
      <w:keepNext/>
      <w:spacing w:before="320" w:after="200"/>
      <w:outlineLvl w:val="2"/>
    </w:pPr>
    <w:rPr>
      <w:rFonts w:ascii="Arial" w:hAnsi="Arial" w:eastAsia="Arial" w:cs="Arial"/>
      <w:sz w:val="30"/>
      <w:szCs w:val="30"/>
    </w:rPr>
  </w:style>
  <w:style w:type="paragraph" w:styleId="844" w:customStyle="1">
    <w:name w:val="Normal_19"/>
    <w:next w:val="845"/>
    <w:uiPriority w:val="0"/>
    <w:qFormat/>
    <w:rPr>
      <w:rFonts w:hint="default" w:ascii="Times New Roman" w:hAnsi="Times New Roman" w:eastAsia="Times New Roman" w:cs="Times New Roman"/>
      <w:sz w:val="24"/>
      <w:szCs w:val="24"/>
      <w:lang w:val="en-US" w:eastAsia="zh-CN" w:bidi="ar-SA"/>
    </w:rPr>
  </w:style>
  <w:style w:type="paragraph" w:styleId="845" w:customStyle="1">
    <w:name w:val="正文1"/>
    <w:next w:val="846"/>
    <w:uiPriority w:val="0"/>
    <w:qFormat/>
    <w:pPr>
      <w:jc w:val="both"/>
      <w:widowControl w:val="off"/>
    </w:pPr>
    <w:rPr>
      <w:rFonts w:hint="default" w:ascii="Times New Roman" w:hAnsi="Times New Roman" w:eastAsia="宋体" w:cs="Times New Roman"/>
      <w:szCs w:val="21"/>
      <w:lang w:val="en-US" w:eastAsia="zh-CN" w:bidi="ar-SA"/>
    </w:rPr>
  </w:style>
  <w:style w:type="paragraph" w:styleId="846" w:customStyle="1">
    <w:name w:val="Body Text First Indent1"/>
    <w:basedOn w:val="847"/>
    <w:uiPriority w:val="99"/>
    <w:unhideWhenUsed/>
    <w:qFormat/>
    <w:pPr>
      <w:ind w:firstLine="420"/>
    </w:pPr>
  </w:style>
  <w:style w:type="paragraph" w:styleId="847" w:customStyle="1">
    <w:name w:val="Body Text1"/>
    <w:basedOn w:val="845"/>
    <w:uiPriority w:val="99"/>
    <w:unhideWhenUsed/>
    <w:qFormat/>
    <w:pPr>
      <w:spacing w:after="120"/>
    </w:pPr>
  </w:style>
  <w:style w:type="table" w:styleId="848" w:customStyle="1">
    <w:name w:val="无格式表格 11"/>
    <w:basedOn w:val="849"/>
    <w:uiPriority w:val="59"/>
    <w:qFormat/>
    <w:tblPr/>
  </w:style>
  <w:style w:type="table" w:styleId="849" w:customStyle="1">
    <w:name w:val="普通表格11"/>
    <w:uiPriority w:val="99"/>
    <w:unhideWhenUsed/>
    <w:qFormat/>
    <w:rPr>
      <w:lang w:val="en-US" w:eastAsia="zh-CN" w:bidi="ar-SA"/>
    </w:rPr>
    <w:tblPr/>
  </w:style>
  <w:style w:type="table" w:styleId="850" w:customStyle="1">
    <w:name w:val="无格式表格 21"/>
    <w:basedOn w:val="849"/>
    <w:uiPriority w:val="59"/>
    <w:qFormat/>
    <w:tblPr/>
  </w:style>
  <w:style w:type="table" w:styleId="851" w:customStyle="1">
    <w:name w:val="无格式表格 31"/>
    <w:basedOn w:val="849"/>
    <w:uiPriority w:val="99"/>
    <w:qFormat/>
    <w:tblPr/>
  </w:style>
  <w:style w:type="table" w:styleId="852" w:customStyle="1">
    <w:name w:val="无格式表格 41"/>
    <w:basedOn w:val="849"/>
    <w:uiPriority w:val="99"/>
    <w:qFormat/>
    <w:tblPr/>
  </w:style>
  <w:style w:type="table" w:styleId="853" w:customStyle="1">
    <w:name w:val="无格式表格 51"/>
    <w:basedOn w:val="849"/>
    <w:uiPriority w:val="99"/>
    <w:qFormat/>
    <w:tblPr/>
  </w:style>
  <w:style w:type="table" w:styleId="854" w:customStyle="1">
    <w:name w:val="网格表 1 浅色1"/>
    <w:basedOn w:val="849"/>
    <w:uiPriority w:val="99"/>
    <w:qFormat/>
    <w:tblPr/>
  </w:style>
  <w:style w:type="table" w:styleId="855" w:customStyle="1">
    <w:name w:val="网格表 21"/>
    <w:basedOn w:val="849"/>
    <w:uiPriority w:val="99"/>
    <w:qFormat/>
    <w:tblPr/>
  </w:style>
  <w:style w:type="table" w:styleId="856" w:customStyle="1">
    <w:name w:val="网格表 31"/>
    <w:basedOn w:val="849"/>
    <w:uiPriority w:val="99"/>
    <w:qFormat/>
    <w:tblPr/>
  </w:style>
  <w:style w:type="table" w:styleId="857" w:customStyle="1">
    <w:name w:val="网格表 41"/>
    <w:basedOn w:val="849"/>
    <w:uiPriority w:val="59"/>
    <w:qFormat/>
    <w:tblPr/>
  </w:style>
  <w:style w:type="table" w:styleId="858" w:customStyle="1">
    <w:name w:val="网格表 5 深色1"/>
    <w:basedOn w:val="849"/>
    <w:uiPriority w:val="99"/>
    <w:qFormat/>
    <w:tblPr/>
  </w:style>
  <w:style w:type="table" w:styleId="859" w:customStyle="1">
    <w:name w:val="网格表 6 彩色1"/>
    <w:basedOn w:val="849"/>
    <w:uiPriority w:val="99"/>
    <w:qFormat/>
    <w:tblPr/>
  </w:style>
  <w:style w:type="table" w:styleId="860" w:customStyle="1">
    <w:name w:val="网格表 7 彩色1"/>
    <w:basedOn w:val="849"/>
    <w:uiPriority w:val="99"/>
    <w:qFormat/>
    <w:tblPr/>
  </w:style>
  <w:style w:type="table" w:styleId="861" w:customStyle="1">
    <w:name w:val="清单表 1 浅色1"/>
    <w:basedOn w:val="849"/>
    <w:uiPriority w:val="99"/>
    <w:qFormat/>
    <w:tblPr/>
  </w:style>
  <w:style w:type="table" w:styleId="862" w:customStyle="1">
    <w:name w:val="清单表 21"/>
    <w:basedOn w:val="849"/>
    <w:uiPriority w:val="99"/>
    <w:qFormat/>
    <w:tblPr/>
  </w:style>
  <w:style w:type="table" w:styleId="863" w:customStyle="1">
    <w:name w:val="清单表 31"/>
    <w:basedOn w:val="849"/>
    <w:uiPriority w:val="99"/>
    <w:qFormat/>
    <w:tblPr/>
  </w:style>
  <w:style w:type="table" w:styleId="864" w:customStyle="1">
    <w:name w:val="清单表 41"/>
    <w:basedOn w:val="849"/>
    <w:uiPriority w:val="99"/>
    <w:qFormat/>
    <w:tblPr/>
  </w:style>
  <w:style w:type="table" w:styleId="865" w:customStyle="1">
    <w:name w:val="清单表 5 深色1"/>
    <w:basedOn w:val="849"/>
    <w:uiPriority w:val="99"/>
    <w:qFormat/>
    <w:tblPr/>
  </w:style>
  <w:style w:type="table" w:styleId="866" w:customStyle="1">
    <w:name w:val="清单表 6 彩色1"/>
    <w:basedOn w:val="849"/>
    <w:uiPriority w:val="99"/>
    <w:qFormat/>
    <w:tblPr/>
  </w:style>
  <w:style w:type="table" w:styleId="867" w:customStyle="1">
    <w:name w:val="清单表 7 彩色1"/>
    <w:basedOn w:val="849"/>
    <w:uiPriority w:val="99"/>
    <w:qFormat/>
    <w:tblPr/>
  </w:style>
  <w:style w:type="paragraph" w:styleId="868" w:customStyle="1">
    <w:name w:val="TOC 标题1"/>
    <w:uiPriority w:val="39"/>
    <w:unhideWhenUsed/>
    <w:qFormat/>
    <w:rPr>
      <w:rFonts w:hint="default" w:ascii="Times New Roman" w:hAnsi="Times New Roman" w:eastAsia="宋体" w:cs="Times New Roman"/>
      <w:lang w:val="en-US" w:eastAsia="zh-CN" w:bidi="ar-SA"/>
    </w:rPr>
  </w:style>
  <w:style w:type="paragraph" w:styleId="869" w:customStyle="1">
    <w:name w:val="TOC 标题116"/>
    <w:uiPriority w:val="39"/>
    <w:unhideWhenUsed/>
    <w:qFormat/>
    <w:rPr>
      <w:rFonts w:hint="default" w:ascii="Times New Roman" w:hAnsi="Times New Roman" w:eastAsia="宋体" w:cs="Times New Roman"/>
      <w:lang w:val="en-US" w:eastAsia="zh-CN" w:bidi="ar-SA"/>
    </w:rPr>
  </w:style>
  <w:style w:type="paragraph" w:styleId="870" w:customStyle="1">
    <w:name w:val="TOC 标题115"/>
    <w:uiPriority w:val="39"/>
    <w:unhideWhenUsed/>
    <w:qFormat/>
    <w:rPr>
      <w:rFonts w:hint="default" w:ascii="Times New Roman" w:hAnsi="Times New Roman" w:eastAsia="宋体" w:cs="Times New Roman"/>
      <w:lang w:val="en-US" w:eastAsia="zh-CN" w:bidi="ar-SA"/>
    </w:rPr>
  </w:style>
  <w:style w:type="paragraph" w:styleId="871" w:customStyle="1">
    <w:name w:val="TOC 标题114"/>
    <w:uiPriority w:val="39"/>
    <w:unhideWhenUsed/>
    <w:qFormat/>
    <w:rPr>
      <w:rFonts w:hint="default" w:ascii="Times New Roman" w:hAnsi="Times New Roman" w:eastAsia="宋体" w:cs="Times New Roman"/>
      <w:lang w:val="en-US" w:eastAsia="zh-CN" w:bidi="ar-SA"/>
    </w:rPr>
  </w:style>
  <w:style w:type="character" w:styleId="872" w:customStyle="1">
    <w:name w:val="标题 1 字符"/>
    <w:link w:val="873"/>
    <w:uiPriority w:val="0"/>
    <w:qFormat/>
    <w:rPr>
      <w:b/>
      <w:sz w:val="44"/>
    </w:rPr>
  </w:style>
  <w:style w:type="paragraph" w:styleId="873" w:customStyle="1">
    <w:name w:val="标题 11"/>
    <w:basedOn w:val="734"/>
    <w:next w:val="734"/>
    <w:link w:val="872"/>
    <w:uiPriority w:val="0"/>
    <w:qFormat/>
    <w:pPr>
      <w:keepLines/>
      <w:keepNext/>
      <w:spacing w:before="340" w:after="330" w:line="576" w:lineRule="auto"/>
      <w:outlineLvl w:val="0"/>
    </w:pPr>
    <w:rPr>
      <w:rFonts w:ascii="Times New Roman" w:hAnsi="Times New Roman"/>
      <w:b/>
      <w:sz w:val="44"/>
      <w:szCs w:val="20"/>
    </w:rPr>
  </w:style>
  <w:style w:type="character" w:styleId="874" w:customStyle="1">
    <w:name w:val="标题 2 字符"/>
    <w:link w:val="875"/>
    <w:uiPriority w:val="0"/>
    <w:qFormat/>
    <w:rPr>
      <w:rFonts w:ascii="Arial" w:hAnsi="Arial" w:eastAsia="黑体"/>
      <w:b/>
      <w:sz w:val="32"/>
    </w:rPr>
  </w:style>
  <w:style w:type="paragraph" w:styleId="875" w:customStyle="1">
    <w:name w:val="标题 21"/>
    <w:basedOn w:val="734"/>
    <w:next w:val="734"/>
    <w:link w:val="874"/>
    <w:uiPriority w:val="0"/>
    <w:qFormat/>
    <w:pPr>
      <w:keepLines/>
      <w:keepNext/>
      <w:spacing w:before="260" w:after="260" w:line="413" w:lineRule="auto"/>
      <w:outlineLvl w:val="1"/>
    </w:pPr>
    <w:rPr>
      <w:rFonts w:ascii="Arial" w:hAnsi="Arial" w:eastAsia="黑体"/>
      <w:b/>
      <w:sz w:val="32"/>
      <w:szCs w:val="20"/>
    </w:rPr>
  </w:style>
  <w:style w:type="character" w:styleId="876" w:customStyle="1">
    <w:name w:val="标题 3 字符"/>
    <w:link w:val="877"/>
    <w:uiPriority w:val="0"/>
    <w:qFormat/>
    <w:rPr>
      <w:b/>
      <w:sz w:val="32"/>
    </w:rPr>
  </w:style>
  <w:style w:type="paragraph" w:styleId="877" w:customStyle="1">
    <w:name w:val="标题 31"/>
    <w:basedOn w:val="734"/>
    <w:next w:val="734"/>
    <w:link w:val="876"/>
    <w:uiPriority w:val="0"/>
    <w:qFormat/>
    <w:pPr>
      <w:keepLines/>
      <w:keepNext/>
      <w:spacing w:before="260" w:after="260" w:line="413" w:lineRule="auto"/>
      <w:outlineLvl w:val="2"/>
    </w:pPr>
    <w:rPr>
      <w:rFonts w:ascii="Times New Roman" w:hAnsi="Times New Roman"/>
      <w:b/>
      <w:sz w:val="32"/>
      <w:szCs w:val="20"/>
    </w:rPr>
  </w:style>
  <w:style w:type="character" w:styleId="878" w:customStyle="1">
    <w:name w:val="标题 4 字符"/>
    <w:link w:val="879"/>
    <w:uiPriority w:val="0"/>
    <w:qFormat/>
    <w:rPr>
      <w:rFonts w:ascii="宋体" w:eastAsia="宋体"/>
      <w:color w:val="800000"/>
      <w:sz w:val="28"/>
      <w:lang w:val="en-US" w:eastAsia="zh-CN" w:bidi="ar-SA"/>
    </w:rPr>
  </w:style>
  <w:style w:type="paragraph" w:styleId="879" w:customStyle="1">
    <w:name w:val="标题 41"/>
    <w:basedOn w:val="734"/>
    <w:next w:val="734"/>
    <w:link w:val="878"/>
    <w:uiPriority w:val="0"/>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paragraph" w:styleId="880" w:customStyle="1">
    <w:name w:val="列表段落"/>
    <w:basedOn w:val="734"/>
    <w:uiPriority w:val="34"/>
    <w:qFormat/>
    <w:pPr>
      <w:contextualSpacing/>
      <w:ind w:left="720"/>
    </w:pPr>
  </w:style>
  <w:style w:type="paragraph" w:styleId="881" w:customStyle="1">
    <w:name w:val="无间隔"/>
    <w:uiPriority w:val="1"/>
    <w:qFormat/>
    <w:rPr>
      <w:rFonts w:hint="default" w:ascii="Times New Roman" w:hAnsi="Times New Roman" w:eastAsia="宋体" w:cs="Times New Roman"/>
      <w:lang w:val="en-US" w:eastAsia="zh-CN" w:bidi="ar-SA"/>
    </w:rPr>
  </w:style>
  <w:style w:type="paragraph" w:styleId="882" w:customStyle="1">
    <w:name w:val="引用"/>
    <w:basedOn w:val="734"/>
    <w:next w:val="734"/>
    <w:uiPriority w:val="29"/>
    <w:qFormat/>
    <w:pPr>
      <w:ind w:left="720" w:right="720"/>
    </w:pPr>
    <w:rPr>
      <w:i/>
    </w:rPr>
  </w:style>
  <w:style w:type="paragraph" w:styleId="883" w:customStyle="1">
    <w:name w:val="明显引用"/>
    <w:basedOn w:val="734"/>
    <w:next w:val="73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84" w:customStyle="1">
    <w:name w:val="TOC 标题113"/>
    <w:uiPriority w:val="39"/>
    <w:unhideWhenUsed/>
    <w:qFormat/>
    <w:rPr>
      <w:rFonts w:hint="default" w:ascii="Times New Roman" w:hAnsi="Times New Roman" w:eastAsia="宋体" w:cs="Times New Roman"/>
      <w:lang w:val="en-US" w:eastAsia="zh-CN" w:bidi="ar-SA"/>
    </w:rPr>
  </w:style>
  <w:style w:type="paragraph" w:styleId="885" w:customStyle="1">
    <w:name w:val="标题 111"/>
    <w:basedOn w:val="734"/>
    <w:next w:val="734"/>
    <w:link w:val="886"/>
    <w:uiPriority w:val="9"/>
    <w:qFormat/>
    <w:pPr>
      <w:keepLines/>
      <w:keepNext/>
      <w:spacing w:before="480" w:after="200"/>
      <w:outlineLvl w:val="0"/>
    </w:pPr>
    <w:rPr>
      <w:rFonts w:ascii="Arial" w:hAnsi="Arial" w:eastAsia="Arial" w:cs="Arial"/>
      <w:sz w:val="40"/>
      <w:szCs w:val="40"/>
    </w:rPr>
  </w:style>
  <w:style w:type="character" w:styleId="886" w:customStyle="1">
    <w:name w:val="标题 1 字符1"/>
    <w:link w:val="885"/>
    <w:uiPriority w:val="9"/>
    <w:qFormat/>
    <w:rPr>
      <w:rFonts w:ascii="Arial" w:hAnsi="Arial" w:eastAsia="Arial" w:cs="Arial"/>
      <w:sz w:val="40"/>
      <w:szCs w:val="40"/>
    </w:rPr>
  </w:style>
  <w:style w:type="paragraph" w:styleId="887" w:customStyle="1">
    <w:name w:val="标题 211"/>
    <w:basedOn w:val="734"/>
    <w:next w:val="734"/>
    <w:uiPriority w:val="9"/>
    <w:qFormat/>
    <w:pPr>
      <w:keepLines/>
      <w:keepNext/>
      <w:spacing w:before="360" w:after="200"/>
      <w:outlineLvl w:val="1"/>
    </w:pPr>
    <w:rPr>
      <w:rFonts w:ascii="Arial" w:hAnsi="Arial" w:eastAsia="Arial" w:cs="Arial"/>
      <w:sz w:val="34"/>
    </w:rPr>
  </w:style>
  <w:style w:type="paragraph" w:styleId="888" w:customStyle="1">
    <w:name w:val="标题 311"/>
    <w:basedOn w:val="734"/>
    <w:next w:val="734"/>
    <w:uiPriority w:val="9"/>
    <w:qFormat/>
    <w:pPr>
      <w:keepLines/>
      <w:keepNext/>
      <w:spacing w:before="320" w:after="200"/>
      <w:outlineLvl w:val="2"/>
    </w:pPr>
    <w:rPr>
      <w:rFonts w:ascii="Arial" w:hAnsi="Arial" w:eastAsia="Arial" w:cs="Arial"/>
      <w:sz w:val="30"/>
      <w:szCs w:val="30"/>
    </w:rPr>
  </w:style>
  <w:style w:type="paragraph" w:styleId="889" w:customStyle="1">
    <w:name w:val="标题 411"/>
    <w:basedOn w:val="734"/>
    <w:next w:val="734"/>
    <w:uiPriority w:val="9"/>
    <w:qFormat/>
    <w:pPr>
      <w:keepLines/>
      <w:keepNext/>
      <w:spacing w:before="320" w:after="200"/>
      <w:outlineLvl w:val="3"/>
    </w:pPr>
    <w:rPr>
      <w:rFonts w:ascii="Arial" w:hAnsi="Arial" w:eastAsia="Arial" w:cs="Arial"/>
      <w:b/>
      <w:bCs/>
      <w:sz w:val="26"/>
      <w:szCs w:val="26"/>
    </w:rPr>
  </w:style>
  <w:style w:type="paragraph" w:styleId="890" w:customStyle="1">
    <w:name w:val="标题 511"/>
    <w:basedOn w:val="734"/>
    <w:next w:val="734"/>
    <w:link w:val="891"/>
    <w:uiPriority w:val="9"/>
    <w:qFormat/>
    <w:pPr>
      <w:keepLines/>
      <w:keepNext/>
      <w:spacing w:before="320" w:after="200"/>
      <w:outlineLvl w:val="4"/>
    </w:pPr>
    <w:rPr>
      <w:rFonts w:ascii="Arial" w:hAnsi="Arial" w:eastAsia="Arial" w:cs="Arial"/>
      <w:b/>
      <w:bCs/>
      <w:sz w:val="24"/>
      <w:szCs w:val="24"/>
    </w:rPr>
  </w:style>
  <w:style w:type="character" w:styleId="891" w:customStyle="1">
    <w:name w:val="标题 5 字符"/>
    <w:link w:val="890"/>
    <w:uiPriority w:val="9"/>
    <w:qFormat/>
    <w:rPr>
      <w:rFonts w:ascii="Arial" w:hAnsi="Arial" w:eastAsia="Arial" w:cs="Arial"/>
      <w:b/>
      <w:bCs/>
      <w:sz w:val="24"/>
      <w:szCs w:val="24"/>
    </w:rPr>
  </w:style>
  <w:style w:type="paragraph" w:styleId="892" w:customStyle="1">
    <w:name w:val="标题 611"/>
    <w:basedOn w:val="734"/>
    <w:next w:val="734"/>
    <w:link w:val="893"/>
    <w:uiPriority w:val="9"/>
    <w:qFormat/>
    <w:pPr>
      <w:keepLines/>
      <w:keepNext/>
      <w:spacing w:before="320" w:after="200"/>
      <w:outlineLvl w:val="5"/>
    </w:pPr>
    <w:rPr>
      <w:rFonts w:ascii="Arial" w:hAnsi="Arial" w:eastAsia="Arial" w:cs="Arial"/>
      <w:b/>
      <w:bCs/>
      <w:sz w:val="22"/>
    </w:rPr>
  </w:style>
  <w:style w:type="character" w:styleId="893" w:customStyle="1">
    <w:name w:val="标题 6 字符"/>
    <w:link w:val="892"/>
    <w:uiPriority w:val="9"/>
    <w:qFormat/>
    <w:rPr>
      <w:rFonts w:ascii="Arial" w:hAnsi="Arial" w:eastAsia="Arial" w:cs="Arial"/>
      <w:b/>
      <w:bCs/>
      <w:sz w:val="22"/>
      <w:szCs w:val="22"/>
    </w:rPr>
  </w:style>
  <w:style w:type="paragraph" w:styleId="894" w:customStyle="1">
    <w:name w:val="标题 711"/>
    <w:basedOn w:val="734"/>
    <w:next w:val="734"/>
    <w:link w:val="895"/>
    <w:uiPriority w:val="9"/>
    <w:qFormat/>
    <w:pPr>
      <w:keepLines/>
      <w:keepNext/>
      <w:spacing w:before="320" w:after="200"/>
      <w:outlineLvl w:val="6"/>
    </w:pPr>
    <w:rPr>
      <w:rFonts w:ascii="Arial" w:hAnsi="Arial" w:eastAsia="Arial" w:cs="Arial"/>
      <w:b/>
      <w:bCs/>
      <w:i/>
      <w:iCs/>
      <w:sz w:val="22"/>
    </w:rPr>
  </w:style>
  <w:style w:type="character" w:styleId="895" w:customStyle="1">
    <w:name w:val="标题 7 字符"/>
    <w:link w:val="894"/>
    <w:uiPriority w:val="9"/>
    <w:qFormat/>
    <w:rPr>
      <w:rFonts w:ascii="Arial" w:hAnsi="Arial" w:eastAsia="Arial" w:cs="Arial"/>
      <w:b/>
      <w:bCs/>
      <w:i/>
      <w:iCs/>
      <w:sz w:val="22"/>
      <w:szCs w:val="22"/>
    </w:rPr>
  </w:style>
  <w:style w:type="paragraph" w:styleId="896" w:customStyle="1">
    <w:name w:val="标题 811"/>
    <w:basedOn w:val="734"/>
    <w:next w:val="734"/>
    <w:link w:val="897"/>
    <w:uiPriority w:val="9"/>
    <w:qFormat/>
    <w:pPr>
      <w:keepLines/>
      <w:keepNext/>
      <w:spacing w:before="320" w:after="200"/>
      <w:outlineLvl w:val="7"/>
    </w:pPr>
    <w:rPr>
      <w:rFonts w:ascii="Arial" w:hAnsi="Arial" w:eastAsia="Arial" w:cs="Arial"/>
      <w:i/>
      <w:iCs/>
      <w:sz w:val="22"/>
    </w:rPr>
  </w:style>
  <w:style w:type="character" w:styleId="897" w:customStyle="1">
    <w:name w:val="标题 8 字符"/>
    <w:link w:val="896"/>
    <w:uiPriority w:val="9"/>
    <w:qFormat/>
    <w:rPr>
      <w:rFonts w:ascii="Arial" w:hAnsi="Arial" w:eastAsia="Arial" w:cs="Arial"/>
      <w:i/>
      <w:iCs/>
      <w:sz w:val="22"/>
      <w:szCs w:val="22"/>
    </w:rPr>
  </w:style>
  <w:style w:type="paragraph" w:styleId="898" w:customStyle="1">
    <w:name w:val="标题 911"/>
    <w:basedOn w:val="734"/>
    <w:next w:val="734"/>
    <w:link w:val="899"/>
    <w:uiPriority w:val="9"/>
    <w:qFormat/>
    <w:pPr>
      <w:keepLines/>
      <w:keepNext/>
      <w:spacing w:before="320" w:after="200"/>
      <w:outlineLvl w:val="8"/>
    </w:pPr>
    <w:rPr>
      <w:rFonts w:ascii="Arial" w:hAnsi="Arial" w:eastAsia="Arial" w:cs="Arial"/>
      <w:i/>
      <w:iCs/>
      <w:szCs w:val="21"/>
    </w:rPr>
  </w:style>
  <w:style w:type="character" w:styleId="899" w:customStyle="1">
    <w:name w:val="标题 9 字符"/>
    <w:link w:val="898"/>
    <w:uiPriority w:val="9"/>
    <w:qFormat/>
    <w:rPr>
      <w:rFonts w:ascii="Arial" w:hAnsi="Arial" w:eastAsia="Arial" w:cs="Arial"/>
      <w:i/>
      <w:iCs/>
      <w:sz w:val="21"/>
      <w:szCs w:val="21"/>
    </w:rPr>
  </w:style>
  <w:style w:type="character" w:styleId="900" w:customStyle="1">
    <w:name w:val="默认段落字体11"/>
    <w:link w:val="734"/>
    <w:uiPriority w:val="1"/>
    <w:unhideWhenUsed/>
    <w:qFormat/>
  </w:style>
  <w:style w:type="paragraph" w:styleId="901" w:customStyle="1">
    <w:name w:val="题注11"/>
    <w:basedOn w:val="734"/>
    <w:next w:val="734"/>
    <w:uiPriority w:val="35"/>
    <w:qFormat/>
    <w:pPr>
      <w:spacing w:line="276" w:lineRule="auto"/>
    </w:pPr>
    <w:rPr>
      <w:b/>
      <w:bCs/>
      <w:color w:val="4f81bd"/>
      <w:sz w:val="18"/>
      <w:szCs w:val="18"/>
    </w:rPr>
  </w:style>
  <w:style w:type="paragraph" w:styleId="902" w:customStyle="1">
    <w:name w:val="正文文本缩进11"/>
    <w:basedOn w:val="734"/>
    <w:link w:val="903"/>
    <w:uiPriority w:val="99"/>
    <w:unhideWhenUsed/>
    <w:qFormat/>
    <w:pPr>
      <w:ind w:left="420"/>
      <w:spacing w:after="120"/>
    </w:pPr>
  </w:style>
  <w:style w:type="character" w:styleId="903" w:customStyle="1">
    <w:name w:val="正文文本缩进 字符"/>
    <w:link w:val="902"/>
    <w:uiPriority w:val="99"/>
    <w:semiHidden/>
    <w:qFormat/>
    <w:rPr>
      <w:rFonts w:ascii="Calibri" w:hAnsi="Calibri"/>
      <w:sz w:val="21"/>
      <w:szCs w:val="22"/>
    </w:rPr>
  </w:style>
  <w:style w:type="paragraph" w:styleId="904" w:customStyle="1">
    <w:name w:val="尾注文本11"/>
    <w:basedOn w:val="734"/>
    <w:link w:val="905"/>
    <w:uiPriority w:val="99"/>
    <w:unhideWhenUsed/>
    <w:qFormat/>
    <w:rPr>
      <w:sz w:val="20"/>
    </w:rPr>
  </w:style>
  <w:style w:type="character" w:styleId="905" w:customStyle="1">
    <w:name w:val="尾注文本 字符"/>
    <w:link w:val="904"/>
    <w:uiPriority w:val="99"/>
    <w:qFormat/>
    <w:rPr>
      <w:sz w:val="20"/>
    </w:rPr>
  </w:style>
  <w:style w:type="paragraph" w:styleId="906" w:customStyle="1">
    <w:name w:val="页脚11"/>
    <w:basedOn w:val="734"/>
    <w:link w:val="907"/>
    <w:uiPriority w:val="99"/>
    <w:unhideWhenUsed/>
    <w:qFormat/>
    <w:pPr>
      <w:tabs>
        <w:tab w:val="center" w:pos="7143" w:leader="none"/>
        <w:tab w:val="right" w:pos="14287" w:leader="none"/>
      </w:tabs>
    </w:pPr>
  </w:style>
  <w:style w:type="character" w:styleId="907" w:customStyle="1">
    <w:name w:val="页脚 字符"/>
    <w:link w:val="906"/>
    <w:uiPriority w:val="99"/>
    <w:qFormat/>
  </w:style>
  <w:style w:type="paragraph" w:styleId="908" w:customStyle="1">
    <w:name w:val="页眉11"/>
    <w:basedOn w:val="734"/>
    <w:uiPriority w:val="99"/>
    <w:unhideWhenUsed/>
    <w:qFormat/>
    <w:pPr>
      <w:tabs>
        <w:tab w:val="center" w:pos="7143" w:leader="none"/>
        <w:tab w:val="right" w:pos="14287" w:leader="none"/>
      </w:tabs>
    </w:pPr>
  </w:style>
  <w:style w:type="paragraph" w:styleId="909" w:customStyle="1">
    <w:name w:val="副标题1"/>
    <w:basedOn w:val="734"/>
    <w:next w:val="734"/>
    <w:link w:val="910"/>
    <w:uiPriority w:val="11"/>
    <w:qFormat/>
    <w:pPr>
      <w:spacing w:before="200" w:after="200"/>
    </w:pPr>
    <w:rPr>
      <w:sz w:val="24"/>
      <w:szCs w:val="24"/>
    </w:rPr>
  </w:style>
  <w:style w:type="character" w:styleId="910" w:customStyle="1">
    <w:name w:val="副标题 字符"/>
    <w:link w:val="909"/>
    <w:uiPriority w:val="11"/>
    <w:qFormat/>
    <w:rPr>
      <w:sz w:val="24"/>
      <w:szCs w:val="24"/>
    </w:rPr>
  </w:style>
  <w:style w:type="paragraph" w:styleId="911" w:customStyle="1">
    <w:name w:val="脚注文本11"/>
    <w:basedOn w:val="734"/>
    <w:link w:val="912"/>
    <w:uiPriority w:val="99"/>
    <w:unhideWhenUsed/>
    <w:qFormat/>
    <w:pPr>
      <w:spacing w:after="40"/>
    </w:pPr>
    <w:rPr>
      <w:sz w:val="18"/>
    </w:rPr>
  </w:style>
  <w:style w:type="character" w:styleId="912" w:customStyle="1">
    <w:name w:val="脚注文本 字符"/>
    <w:link w:val="911"/>
    <w:uiPriority w:val="99"/>
    <w:qFormat/>
    <w:rPr>
      <w:sz w:val="18"/>
    </w:rPr>
  </w:style>
  <w:style w:type="paragraph" w:styleId="913" w:customStyle="1">
    <w:name w:val="图表目录12"/>
    <w:basedOn w:val="734"/>
    <w:next w:val="734"/>
    <w:uiPriority w:val="99"/>
    <w:unhideWhenUsed/>
    <w:qFormat/>
  </w:style>
  <w:style w:type="paragraph" w:styleId="914" w:customStyle="1">
    <w:name w:val="普通(网站)11"/>
    <w:basedOn w:val="734"/>
    <w:uiPriority w:val="99"/>
    <w:qFormat/>
    <w:rPr>
      <w:sz w:val="24"/>
    </w:rPr>
  </w:style>
  <w:style w:type="paragraph" w:styleId="915" w:customStyle="1">
    <w:name w:val="标题11"/>
    <w:basedOn w:val="734"/>
    <w:next w:val="734"/>
    <w:link w:val="916"/>
    <w:uiPriority w:val="10"/>
    <w:qFormat/>
    <w:pPr>
      <w:contextualSpacing/>
      <w:spacing w:before="300" w:after="200"/>
    </w:pPr>
    <w:rPr>
      <w:sz w:val="48"/>
      <w:szCs w:val="48"/>
    </w:rPr>
  </w:style>
  <w:style w:type="character" w:styleId="916" w:customStyle="1">
    <w:name w:val="标题 字符"/>
    <w:link w:val="915"/>
    <w:uiPriority w:val="10"/>
    <w:qFormat/>
    <w:rPr>
      <w:sz w:val="48"/>
      <w:szCs w:val="48"/>
    </w:rPr>
  </w:style>
  <w:style w:type="paragraph" w:styleId="917" w:customStyle="1">
    <w:name w:val="正文文本首行缩进 21"/>
    <w:basedOn w:val="902"/>
    <w:uiPriority w:val="0"/>
    <w:qFormat/>
    <w:pPr>
      <w:ind w:left="0" w:firstLine="420"/>
      <w:spacing w:after="0" w:line="360" w:lineRule="auto"/>
    </w:pPr>
    <w:rPr>
      <w:rFonts w:ascii="宋体" w:hAnsi="宋体"/>
      <w:szCs w:val="20"/>
    </w:rPr>
  </w:style>
  <w:style w:type="table" w:styleId="918" w:customStyle="1">
    <w:name w:val="网格型11"/>
    <w:uiPriority w:val="59"/>
    <w:qFormat/>
    <w:rPr>
      <w:lang w:val="en-US" w:eastAsia="zh-CN" w:bidi="ar-SA"/>
    </w:rPr>
    <w:tblPr/>
  </w:style>
  <w:style w:type="character" w:styleId="919" w:customStyle="1">
    <w:name w:val="要点11"/>
    <w:link w:val="734"/>
    <w:uiPriority w:val="22"/>
    <w:qFormat/>
    <w:rPr>
      <w:b/>
      <w:bCs/>
    </w:rPr>
  </w:style>
  <w:style w:type="character" w:styleId="920" w:customStyle="1">
    <w:name w:val="尾注引用11"/>
    <w:link w:val="734"/>
    <w:uiPriority w:val="99"/>
    <w:unhideWhenUsed/>
    <w:qFormat/>
    <w:rPr>
      <w:vertAlign w:val="superscript"/>
    </w:rPr>
  </w:style>
  <w:style w:type="character" w:styleId="921" w:customStyle="1">
    <w:name w:val="超链接11"/>
    <w:link w:val="734"/>
    <w:uiPriority w:val="99"/>
    <w:unhideWhenUsed/>
    <w:qFormat/>
    <w:rPr>
      <w:color w:val="0000ff"/>
      <w:u w:val="single"/>
    </w:rPr>
  </w:style>
  <w:style w:type="character" w:styleId="922" w:customStyle="1">
    <w:name w:val="脚注引用11"/>
    <w:link w:val="734"/>
    <w:uiPriority w:val="99"/>
    <w:unhideWhenUsed/>
    <w:qFormat/>
    <w:rPr>
      <w:vertAlign w:val="superscript"/>
    </w:rPr>
  </w:style>
  <w:style w:type="paragraph" w:styleId="923" w:customStyle="1">
    <w:name w:val="TOC 标题112"/>
    <w:uiPriority w:val="39"/>
    <w:unhideWhenUsed/>
    <w:qFormat/>
    <w:rPr>
      <w:rFonts w:hint="default" w:ascii="Times New Roman" w:hAnsi="Times New Roman" w:eastAsia="宋体" w:cs="Times New Roman"/>
      <w:lang w:val="en-US" w:eastAsia="zh-CN" w:bidi="ar-SA"/>
    </w:rPr>
  </w:style>
  <w:style w:type="character" w:styleId="924" w:customStyle="1">
    <w:name w:val="Heading 1 Char"/>
    <w:link w:val="734"/>
    <w:uiPriority w:val="9"/>
    <w:qFormat/>
    <w:rPr>
      <w:rFonts w:ascii="Arial" w:hAnsi="Arial" w:eastAsia="Arial" w:cs="Arial"/>
      <w:sz w:val="40"/>
      <w:szCs w:val="40"/>
    </w:rPr>
  </w:style>
  <w:style w:type="character" w:styleId="925" w:customStyle="1">
    <w:name w:val="Heading 5 Char"/>
    <w:link w:val="734"/>
    <w:uiPriority w:val="9"/>
    <w:qFormat/>
    <w:rPr>
      <w:rFonts w:ascii="Arial" w:hAnsi="Arial" w:eastAsia="Arial" w:cs="Arial"/>
      <w:b/>
      <w:bCs/>
      <w:sz w:val="24"/>
      <w:szCs w:val="24"/>
    </w:rPr>
  </w:style>
  <w:style w:type="character" w:styleId="926" w:customStyle="1">
    <w:name w:val="Heading 6 Char"/>
    <w:link w:val="734"/>
    <w:uiPriority w:val="9"/>
    <w:qFormat/>
    <w:rPr>
      <w:rFonts w:ascii="Arial" w:hAnsi="Arial" w:eastAsia="Arial" w:cs="Arial"/>
      <w:b/>
      <w:bCs/>
      <w:sz w:val="22"/>
      <w:szCs w:val="22"/>
    </w:rPr>
  </w:style>
  <w:style w:type="character" w:styleId="927" w:customStyle="1">
    <w:name w:val="Heading 7 Char"/>
    <w:link w:val="734"/>
    <w:uiPriority w:val="9"/>
    <w:qFormat/>
    <w:rPr>
      <w:rFonts w:ascii="Arial" w:hAnsi="Arial" w:eastAsia="Arial" w:cs="Arial"/>
      <w:b/>
      <w:bCs/>
      <w:i/>
      <w:iCs/>
      <w:sz w:val="22"/>
      <w:szCs w:val="22"/>
    </w:rPr>
  </w:style>
  <w:style w:type="character" w:styleId="928" w:customStyle="1">
    <w:name w:val="Heading 8 Char"/>
    <w:link w:val="734"/>
    <w:uiPriority w:val="9"/>
    <w:qFormat/>
    <w:rPr>
      <w:rFonts w:ascii="Arial" w:hAnsi="Arial" w:eastAsia="Arial" w:cs="Arial"/>
      <w:i/>
      <w:iCs/>
      <w:sz w:val="22"/>
      <w:szCs w:val="22"/>
    </w:rPr>
  </w:style>
  <w:style w:type="character" w:styleId="929" w:customStyle="1">
    <w:name w:val="Heading 9 Char"/>
    <w:link w:val="734"/>
    <w:uiPriority w:val="9"/>
    <w:qFormat/>
    <w:rPr>
      <w:rFonts w:ascii="Arial" w:hAnsi="Arial" w:eastAsia="Arial" w:cs="Arial"/>
      <w:i/>
      <w:iCs/>
      <w:sz w:val="21"/>
      <w:szCs w:val="21"/>
    </w:rPr>
  </w:style>
  <w:style w:type="character" w:styleId="930" w:customStyle="1">
    <w:name w:val="Title Char"/>
    <w:link w:val="734"/>
    <w:uiPriority w:val="10"/>
    <w:qFormat/>
    <w:rPr>
      <w:sz w:val="48"/>
      <w:szCs w:val="48"/>
    </w:rPr>
  </w:style>
  <w:style w:type="character" w:styleId="931" w:customStyle="1">
    <w:name w:val="Subtitle Char"/>
    <w:link w:val="734"/>
    <w:uiPriority w:val="11"/>
    <w:qFormat/>
    <w:rPr>
      <w:sz w:val="24"/>
      <w:szCs w:val="24"/>
    </w:rPr>
  </w:style>
  <w:style w:type="character" w:styleId="932" w:customStyle="1">
    <w:name w:val="Quote Char"/>
    <w:link w:val="734"/>
    <w:uiPriority w:val="29"/>
    <w:qFormat/>
    <w:rPr>
      <w:i/>
    </w:rPr>
  </w:style>
  <w:style w:type="character" w:styleId="933" w:customStyle="1">
    <w:name w:val="Intense Quote Char"/>
    <w:link w:val="734"/>
    <w:uiPriority w:val="30"/>
    <w:qFormat/>
    <w:rPr>
      <w:i/>
    </w:rPr>
  </w:style>
  <w:style w:type="character" w:styleId="934" w:customStyle="1">
    <w:name w:val="Caption Char"/>
    <w:link w:val="734"/>
    <w:uiPriority w:val="99"/>
    <w:qFormat/>
  </w:style>
  <w:style w:type="character" w:styleId="935" w:customStyle="1">
    <w:name w:val="Footnote Text Char"/>
    <w:link w:val="734"/>
    <w:uiPriority w:val="99"/>
    <w:qFormat/>
    <w:rPr>
      <w:sz w:val="18"/>
    </w:rPr>
  </w:style>
  <w:style w:type="character" w:styleId="936" w:customStyle="1">
    <w:name w:val="Endnote Text Char"/>
    <w:link w:val="734"/>
    <w:uiPriority w:val="99"/>
    <w:qFormat/>
    <w:rPr>
      <w:sz w:val="20"/>
    </w:rPr>
  </w:style>
  <w:style w:type="paragraph" w:styleId="937" w:customStyle="1">
    <w:name w:val="TOC 标题111"/>
    <w:uiPriority w:val="39"/>
    <w:unhideWhenUsed/>
    <w:qFormat/>
    <w:rPr>
      <w:rFonts w:hint="default" w:ascii="Times New Roman" w:hAnsi="Times New Roman" w:eastAsia="宋体" w:cs="Times New Roman"/>
      <w:lang w:val="en-US" w:eastAsia="zh-CN" w:bidi="ar-SA"/>
    </w:rPr>
  </w:style>
  <w:style w:type="paragraph" w:styleId="938" w:customStyle="1">
    <w:name w:val="无间隔1"/>
    <w:uiPriority w:val="1"/>
    <w:qFormat/>
    <w:rPr>
      <w:rFonts w:hint="default" w:ascii="Times New Roman" w:hAnsi="Times New Roman" w:eastAsia="宋体" w:cs="Times New Roman"/>
      <w:lang w:val="en-US" w:eastAsia="zh-CN" w:bidi="ar-SA"/>
    </w:rPr>
  </w:style>
  <w:style w:type="paragraph" w:styleId="939" w:customStyle="1">
    <w:name w:val="引用1"/>
    <w:basedOn w:val="734"/>
    <w:next w:val="734"/>
    <w:link w:val="940"/>
    <w:uiPriority w:val="29"/>
    <w:qFormat/>
    <w:pPr>
      <w:ind w:left="720" w:right="720"/>
    </w:pPr>
    <w:rPr>
      <w:i/>
    </w:rPr>
  </w:style>
  <w:style w:type="character" w:styleId="940" w:customStyle="1">
    <w:name w:val="引用 字符"/>
    <w:link w:val="939"/>
    <w:uiPriority w:val="29"/>
    <w:qFormat/>
    <w:rPr>
      <w:i/>
    </w:rPr>
  </w:style>
  <w:style w:type="paragraph" w:styleId="941" w:customStyle="1">
    <w:name w:val="明显引用1"/>
    <w:basedOn w:val="734"/>
    <w:next w:val="734"/>
    <w:link w:val="94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2" w:customStyle="1">
    <w:name w:val="明显引用 字符"/>
    <w:link w:val="941"/>
    <w:uiPriority w:val="30"/>
    <w:qFormat/>
    <w:rPr>
      <w:i/>
    </w:rPr>
  </w:style>
  <w:style w:type="table" w:styleId="943" w:customStyle="1">
    <w:name w:val="Table Grid Light"/>
    <w:uiPriority w:val="59"/>
    <w:qFormat/>
    <w:rPr>
      <w:lang w:val="en-US" w:eastAsia="zh-CN" w:bidi="ar-SA"/>
    </w:rPr>
    <w:tblPr/>
  </w:style>
  <w:style w:type="table" w:styleId="944" w:customStyle="1">
    <w:name w:val="Grid Table 1 Light - Accent 1"/>
    <w:uiPriority w:val="99"/>
    <w:qFormat/>
    <w:rPr>
      <w:lang w:val="en-US" w:eastAsia="zh-CN" w:bidi="ar-SA"/>
    </w:rPr>
    <w:tblPr/>
  </w:style>
  <w:style w:type="table" w:styleId="945" w:customStyle="1">
    <w:name w:val="Grid Table 1 Light - Accent 2"/>
    <w:uiPriority w:val="99"/>
    <w:qFormat/>
    <w:rPr>
      <w:lang w:val="en-US" w:eastAsia="zh-CN" w:bidi="ar-SA"/>
    </w:rPr>
    <w:tblPr/>
  </w:style>
  <w:style w:type="table" w:styleId="946" w:customStyle="1">
    <w:name w:val="Grid Table 1 Light - Accent 3"/>
    <w:uiPriority w:val="99"/>
    <w:qFormat/>
    <w:rPr>
      <w:lang w:val="en-US" w:eastAsia="zh-CN" w:bidi="ar-SA"/>
    </w:rPr>
    <w:tblPr/>
  </w:style>
  <w:style w:type="table" w:styleId="947" w:customStyle="1">
    <w:name w:val="Grid Table 1 Light - Accent 4"/>
    <w:uiPriority w:val="99"/>
    <w:qFormat/>
    <w:rPr>
      <w:lang w:val="en-US" w:eastAsia="zh-CN" w:bidi="ar-SA"/>
    </w:rPr>
    <w:tblPr/>
  </w:style>
  <w:style w:type="table" w:styleId="948" w:customStyle="1">
    <w:name w:val="Grid Table 1 Light - Accent 5"/>
    <w:uiPriority w:val="99"/>
    <w:qFormat/>
    <w:rPr>
      <w:lang w:val="en-US" w:eastAsia="zh-CN" w:bidi="ar-SA"/>
    </w:rPr>
    <w:tblPr/>
  </w:style>
  <w:style w:type="table" w:styleId="949" w:customStyle="1">
    <w:name w:val="Grid Table 1 Light - Accent 6"/>
    <w:uiPriority w:val="99"/>
    <w:qFormat/>
    <w:rPr>
      <w:lang w:val="en-US" w:eastAsia="zh-CN" w:bidi="ar-SA"/>
    </w:rPr>
    <w:tblPr/>
  </w:style>
  <w:style w:type="table" w:styleId="950" w:customStyle="1">
    <w:name w:val="Grid Table 2 - Accent 1"/>
    <w:uiPriority w:val="99"/>
    <w:qFormat/>
    <w:rPr>
      <w:lang w:val="en-US" w:eastAsia="zh-CN" w:bidi="ar-SA"/>
    </w:rPr>
    <w:tblPr/>
  </w:style>
  <w:style w:type="table" w:styleId="951" w:customStyle="1">
    <w:name w:val="Grid Table 2 - Accent 2"/>
    <w:uiPriority w:val="99"/>
    <w:qFormat/>
    <w:rPr>
      <w:lang w:val="en-US" w:eastAsia="zh-CN" w:bidi="ar-SA"/>
    </w:rPr>
    <w:tblPr/>
  </w:style>
  <w:style w:type="table" w:styleId="952" w:customStyle="1">
    <w:name w:val="Grid Table 2 - Accent 3"/>
    <w:uiPriority w:val="99"/>
    <w:qFormat/>
    <w:rPr>
      <w:lang w:val="en-US" w:eastAsia="zh-CN" w:bidi="ar-SA"/>
    </w:rPr>
    <w:tblPr/>
  </w:style>
  <w:style w:type="table" w:styleId="953" w:customStyle="1">
    <w:name w:val="Grid Table 2 - Accent 4"/>
    <w:uiPriority w:val="99"/>
    <w:qFormat/>
    <w:rPr>
      <w:lang w:val="en-US" w:eastAsia="zh-CN" w:bidi="ar-SA"/>
    </w:rPr>
    <w:tblPr/>
  </w:style>
  <w:style w:type="table" w:styleId="954" w:customStyle="1">
    <w:name w:val="Grid Table 2 - Accent 5"/>
    <w:uiPriority w:val="99"/>
    <w:qFormat/>
    <w:rPr>
      <w:lang w:val="en-US" w:eastAsia="zh-CN" w:bidi="ar-SA"/>
    </w:rPr>
    <w:tblPr/>
  </w:style>
  <w:style w:type="table" w:styleId="955" w:customStyle="1">
    <w:name w:val="Grid Table 2 - Accent 6"/>
    <w:uiPriority w:val="99"/>
    <w:qFormat/>
    <w:rPr>
      <w:lang w:val="en-US" w:eastAsia="zh-CN" w:bidi="ar-SA"/>
    </w:rPr>
    <w:tblPr/>
  </w:style>
  <w:style w:type="table" w:styleId="956" w:customStyle="1">
    <w:name w:val="Grid Table 3 - Accent 1"/>
    <w:uiPriority w:val="99"/>
    <w:qFormat/>
    <w:rPr>
      <w:lang w:val="en-US" w:eastAsia="zh-CN" w:bidi="ar-SA"/>
    </w:rPr>
    <w:tblPr/>
  </w:style>
  <w:style w:type="table" w:styleId="957" w:customStyle="1">
    <w:name w:val="Grid Table 3 - Accent 2"/>
    <w:uiPriority w:val="99"/>
    <w:qFormat/>
    <w:rPr>
      <w:lang w:val="en-US" w:eastAsia="zh-CN" w:bidi="ar-SA"/>
    </w:rPr>
    <w:tblPr/>
  </w:style>
  <w:style w:type="table" w:styleId="958" w:customStyle="1">
    <w:name w:val="Grid Table 3 - Accent 3"/>
    <w:uiPriority w:val="99"/>
    <w:qFormat/>
    <w:rPr>
      <w:lang w:val="en-US" w:eastAsia="zh-CN" w:bidi="ar-SA"/>
    </w:rPr>
    <w:tblPr/>
  </w:style>
  <w:style w:type="table" w:styleId="959" w:customStyle="1">
    <w:name w:val="Grid Table 3 - Accent 4"/>
    <w:uiPriority w:val="99"/>
    <w:qFormat/>
    <w:rPr>
      <w:lang w:val="en-US" w:eastAsia="zh-CN" w:bidi="ar-SA"/>
    </w:rPr>
    <w:tblPr/>
  </w:style>
  <w:style w:type="table" w:styleId="960" w:customStyle="1">
    <w:name w:val="Grid Table 3 - Accent 5"/>
    <w:uiPriority w:val="99"/>
    <w:qFormat/>
    <w:rPr>
      <w:lang w:val="en-US" w:eastAsia="zh-CN" w:bidi="ar-SA"/>
    </w:rPr>
    <w:tblPr/>
  </w:style>
  <w:style w:type="table" w:styleId="961" w:customStyle="1">
    <w:name w:val="Grid Table 3 - Accent 6"/>
    <w:uiPriority w:val="99"/>
    <w:qFormat/>
    <w:rPr>
      <w:lang w:val="en-US" w:eastAsia="zh-CN" w:bidi="ar-SA"/>
    </w:rPr>
    <w:tblPr/>
  </w:style>
  <w:style w:type="table" w:styleId="962" w:customStyle="1">
    <w:name w:val="Grid Table 4 - Accent 1"/>
    <w:uiPriority w:val="59"/>
    <w:qFormat/>
    <w:rPr>
      <w:lang w:val="en-US" w:eastAsia="zh-CN" w:bidi="ar-SA"/>
    </w:rPr>
    <w:tblPr/>
  </w:style>
  <w:style w:type="table" w:styleId="963" w:customStyle="1">
    <w:name w:val="Grid Table 4 - Accent 2"/>
    <w:uiPriority w:val="59"/>
    <w:qFormat/>
    <w:rPr>
      <w:lang w:val="en-US" w:eastAsia="zh-CN" w:bidi="ar-SA"/>
    </w:rPr>
    <w:tblPr/>
  </w:style>
  <w:style w:type="table" w:styleId="964" w:customStyle="1">
    <w:name w:val="Grid Table 4 - Accent 3"/>
    <w:uiPriority w:val="59"/>
    <w:qFormat/>
    <w:rPr>
      <w:lang w:val="en-US" w:eastAsia="zh-CN" w:bidi="ar-SA"/>
    </w:rPr>
    <w:tblPr/>
  </w:style>
  <w:style w:type="table" w:styleId="965" w:customStyle="1">
    <w:name w:val="Grid Table 4 - Accent 4"/>
    <w:uiPriority w:val="59"/>
    <w:qFormat/>
    <w:rPr>
      <w:lang w:val="en-US" w:eastAsia="zh-CN" w:bidi="ar-SA"/>
    </w:rPr>
    <w:tblPr/>
  </w:style>
  <w:style w:type="table" w:styleId="966" w:customStyle="1">
    <w:name w:val="Grid Table 4 - Accent 5"/>
    <w:uiPriority w:val="59"/>
    <w:qFormat/>
    <w:rPr>
      <w:lang w:val="en-US" w:eastAsia="zh-CN" w:bidi="ar-SA"/>
    </w:rPr>
    <w:tblPr/>
  </w:style>
  <w:style w:type="table" w:styleId="967" w:customStyle="1">
    <w:name w:val="Grid Table 4 - Accent 6"/>
    <w:uiPriority w:val="59"/>
    <w:qFormat/>
    <w:rPr>
      <w:lang w:val="en-US" w:eastAsia="zh-CN" w:bidi="ar-SA"/>
    </w:rPr>
    <w:tblPr/>
  </w:style>
  <w:style w:type="table" w:styleId="968" w:customStyle="1">
    <w:name w:val="Grid Table 5 Dark- Accent 1"/>
    <w:uiPriority w:val="99"/>
    <w:qFormat/>
    <w:rPr>
      <w:lang w:val="en-US" w:eastAsia="zh-CN" w:bidi="ar-SA"/>
    </w:rPr>
    <w:tblPr/>
  </w:style>
  <w:style w:type="table" w:styleId="969" w:customStyle="1">
    <w:name w:val="Grid Table 5 Dark - Accent 2"/>
    <w:uiPriority w:val="99"/>
    <w:qFormat/>
    <w:rPr>
      <w:lang w:val="en-US" w:eastAsia="zh-CN" w:bidi="ar-SA"/>
    </w:rPr>
    <w:tblPr/>
  </w:style>
  <w:style w:type="table" w:styleId="970" w:customStyle="1">
    <w:name w:val="Grid Table 5 Dark - Accent 3"/>
    <w:uiPriority w:val="99"/>
    <w:qFormat/>
    <w:rPr>
      <w:lang w:val="en-US" w:eastAsia="zh-CN" w:bidi="ar-SA"/>
    </w:rPr>
    <w:tblPr/>
  </w:style>
  <w:style w:type="table" w:styleId="971" w:customStyle="1">
    <w:name w:val="Grid Table 5 Dark- Accent 4"/>
    <w:uiPriority w:val="99"/>
    <w:qFormat/>
    <w:rPr>
      <w:lang w:val="en-US" w:eastAsia="zh-CN" w:bidi="ar-SA"/>
    </w:rPr>
    <w:tblPr/>
  </w:style>
  <w:style w:type="table" w:styleId="972" w:customStyle="1">
    <w:name w:val="Grid Table 5 Dark - Accent 5"/>
    <w:uiPriority w:val="99"/>
    <w:qFormat/>
    <w:rPr>
      <w:lang w:val="en-US" w:eastAsia="zh-CN" w:bidi="ar-SA"/>
    </w:rPr>
    <w:tblPr/>
  </w:style>
  <w:style w:type="table" w:styleId="973" w:customStyle="1">
    <w:name w:val="Grid Table 5 Dark - Accent 6"/>
    <w:uiPriority w:val="99"/>
    <w:qFormat/>
    <w:rPr>
      <w:lang w:val="en-US" w:eastAsia="zh-CN" w:bidi="ar-SA"/>
    </w:rPr>
    <w:tblPr/>
  </w:style>
  <w:style w:type="table" w:styleId="974" w:customStyle="1">
    <w:name w:val="Grid Table 6 Colorful - Accent 1"/>
    <w:uiPriority w:val="99"/>
    <w:qFormat/>
    <w:rPr>
      <w:lang w:val="en-US" w:eastAsia="zh-CN" w:bidi="ar-SA"/>
    </w:rPr>
    <w:tblPr/>
  </w:style>
  <w:style w:type="table" w:styleId="975" w:customStyle="1">
    <w:name w:val="Grid Table 6 Colorful - Accent 2"/>
    <w:uiPriority w:val="99"/>
    <w:qFormat/>
    <w:rPr>
      <w:lang w:val="en-US" w:eastAsia="zh-CN" w:bidi="ar-SA"/>
    </w:rPr>
    <w:tblPr/>
  </w:style>
  <w:style w:type="table" w:styleId="976" w:customStyle="1">
    <w:name w:val="Grid Table 6 Colorful - Accent 3"/>
    <w:uiPriority w:val="99"/>
    <w:qFormat/>
    <w:rPr>
      <w:lang w:val="en-US" w:eastAsia="zh-CN" w:bidi="ar-SA"/>
    </w:rPr>
    <w:tblPr/>
  </w:style>
  <w:style w:type="table" w:styleId="977" w:customStyle="1">
    <w:name w:val="Grid Table 6 Colorful - Accent 4"/>
    <w:uiPriority w:val="99"/>
    <w:qFormat/>
    <w:rPr>
      <w:lang w:val="en-US" w:eastAsia="zh-CN" w:bidi="ar-SA"/>
    </w:rPr>
    <w:tblPr/>
  </w:style>
  <w:style w:type="table" w:styleId="978" w:customStyle="1">
    <w:name w:val="Grid Table 6 Colorful - Accent 5"/>
    <w:uiPriority w:val="99"/>
    <w:qFormat/>
    <w:rPr>
      <w:lang w:val="en-US" w:eastAsia="zh-CN" w:bidi="ar-SA"/>
    </w:rPr>
    <w:tblPr/>
  </w:style>
  <w:style w:type="table" w:styleId="979" w:customStyle="1">
    <w:name w:val="Grid Table 6 Colorful - Accent 6"/>
    <w:uiPriority w:val="99"/>
    <w:qFormat/>
    <w:rPr>
      <w:lang w:val="en-US" w:eastAsia="zh-CN" w:bidi="ar-SA"/>
    </w:rPr>
    <w:tblPr/>
  </w:style>
  <w:style w:type="table" w:styleId="980" w:customStyle="1">
    <w:name w:val="Grid Table 7 Colorful - Accent 1"/>
    <w:uiPriority w:val="99"/>
    <w:qFormat/>
    <w:rPr>
      <w:lang w:val="en-US" w:eastAsia="zh-CN" w:bidi="ar-SA"/>
    </w:rPr>
    <w:tblPr/>
  </w:style>
  <w:style w:type="table" w:styleId="981" w:customStyle="1">
    <w:name w:val="Grid Table 7 Colorful - Accent 2"/>
    <w:uiPriority w:val="99"/>
    <w:qFormat/>
    <w:rPr>
      <w:lang w:val="en-US" w:eastAsia="zh-CN" w:bidi="ar-SA"/>
    </w:rPr>
    <w:tblPr/>
  </w:style>
  <w:style w:type="table" w:styleId="982" w:customStyle="1">
    <w:name w:val="Grid Table 7 Colorful - Accent 3"/>
    <w:uiPriority w:val="99"/>
    <w:qFormat/>
    <w:rPr>
      <w:lang w:val="en-US" w:eastAsia="zh-CN" w:bidi="ar-SA"/>
    </w:rPr>
    <w:tblPr/>
  </w:style>
  <w:style w:type="table" w:styleId="983" w:customStyle="1">
    <w:name w:val="Grid Table 7 Colorful - Accent 4"/>
    <w:uiPriority w:val="99"/>
    <w:qFormat/>
    <w:rPr>
      <w:lang w:val="en-US" w:eastAsia="zh-CN" w:bidi="ar-SA"/>
    </w:rPr>
    <w:tblPr/>
  </w:style>
  <w:style w:type="table" w:styleId="984" w:customStyle="1">
    <w:name w:val="Grid Table 7 Colorful - Accent 5"/>
    <w:uiPriority w:val="99"/>
    <w:qFormat/>
    <w:rPr>
      <w:lang w:val="en-US" w:eastAsia="zh-CN" w:bidi="ar-SA"/>
    </w:rPr>
    <w:tblPr/>
  </w:style>
  <w:style w:type="table" w:styleId="985" w:customStyle="1">
    <w:name w:val="Grid Table 7 Colorful - Accent 6"/>
    <w:uiPriority w:val="99"/>
    <w:qFormat/>
    <w:rPr>
      <w:lang w:val="en-US" w:eastAsia="zh-CN" w:bidi="ar-SA"/>
    </w:rPr>
    <w:tblPr/>
  </w:style>
  <w:style w:type="table" w:styleId="986" w:customStyle="1">
    <w:name w:val="List Table 1 Light - Accent 1"/>
    <w:uiPriority w:val="99"/>
    <w:qFormat/>
    <w:rPr>
      <w:lang w:val="en-US" w:eastAsia="zh-CN" w:bidi="ar-SA"/>
    </w:rPr>
    <w:tblPr/>
  </w:style>
  <w:style w:type="table" w:styleId="987" w:customStyle="1">
    <w:name w:val="List Table 1 Light - Accent 2"/>
    <w:uiPriority w:val="99"/>
    <w:qFormat/>
    <w:rPr>
      <w:lang w:val="en-US" w:eastAsia="zh-CN" w:bidi="ar-SA"/>
    </w:rPr>
    <w:tblPr/>
  </w:style>
  <w:style w:type="table" w:styleId="988" w:customStyle="1">
    <w:name w:val="List Table 1 Light - Accent 3"/>
    <w:uiPriority w:val="99"/>
    <w:qFormat/>
    <w:rPr>
      <w:lang w:val="en-US" w:eastAsia="zh-CN" w:bidi="ar-SA"/>
    </w:rPr>
    <w:tblPr/>
  </w:style>
  <w:style w:type="table" w:styleId="989" w:customStyle="1">
    <w:name w:val="List Table 1 Light - Accent 4"/>
    <w:uiPriority w:val="99"/>
    <w:qFormat/>
    <w:rPr>
      <w:lang w:val="en-US" w:eastAsia="zh-CN" w:bidi="ar-SA"/>
    </w:rPr>
    <w:tblPr/>
  </w:style>
  <w:style w:type="table" w:styleId="990" w:customStyle="1">
    <w:name w:val="List Table 1 Light - Accent 5"/>
    <w:uiPriority w:val="99"/>
    <w:qFormat/>
    <w:rPr>
      <w:lang w:val="en-US" w:eastAsia="zh-CN" w:bidi="ar-SA"/>
    </w:rPr>
    <w:tblPr/>
  </w:style>
  <w:style w:type="table" w:styleId="991" w:customStyle="1">
    <w:name w:val="List Table 1 Light - Accent 6"/>
    <w:uiPriority w:val="99"/>
    <w:qFormat/>
    <w:rPr>
      <w:lang w:val="en-US" w:eastAsia="zh-CN" w:bidi="ar-SA"/>
    </w:rPr>
    <w:tblPr/>
  </w:style>
  <w:style w:type="table" w:styleId="992" w:customStyle="1">
    <w:name w:val="List Table 2 - Accent 1"/>
    <w:uiPriority w:val="99"/>
    <w:qFormat/>
    <w:rPr>
      <w:lang w:val="en-US" w:eastAsia="zh-CN" w:bidi="ar-SA"/>
    </w:rPr>
    <w:tblPr/>
  </w:style>
  <w:style w:type="table" w:styleId="993" w:customStyle="1">
    <w:name w:val="List Table 2 - Accent 2"/>
    <w:uiPriority w:val="99"/>
    <w:qFormat/>
    <w:rPr>
      <w:lang w:val="en-US" w:eastAsia="zh-CN" w:bidi="ar-SA"/>
    </w:rPr>
    <w:tblPr/>
  </w:style>
  <w:style w:type="table" w:styleId="994" w:customStyle="1">
    <w:name w:val="List Table 2 - Accent 3"/>
    <w:uiPriority w:val="99"/>
    <w:qFormat/>
    <w:rPr>
      <w:lang w:val="en-US" w:eastAsia="zh-CN" w:bidi="ar-SA"/>
    </w:rPr>
    <w:tblPr/>
  </w:style>
  <w:style w:type="table" w:styleId="995" w:customStyle="1">
    <w:name w:val="List Table 2 - Accent 4"/>
    <w:uiPriority w:val="99"/>
    <w:qFormat/>
    <w:rPr>
      <w:lang w:val="en-US" w:eastAsia="zh-CN" w:bidi="ar-SA"/>
    </w:rPr>
    <w:tblPr/>
  </w:style>
  <w:style w:type="table" w:styleId="996" w:customStyle="1">
    <w:name w:val="List Table 2 - Accent 5"/>
    <w:uiPriority w:val="99"/>
    <w:qFormat/>
    <w:rPr>
      <w:lang w:val="en-US" w:eastAsia="zh-CN" w:bidi="ar-SA"/>
    </w:rPr>
    <w:tblPr/>
  </w:style>
  <w:style w:type="table" w:styleId="997" w:customStyle="1">
    <w:name w:val="List Table 2 - Accent 6"/>
    <w:uiPriority w:val="99"/>
    <w:qFormat/>
    <w:rPr>
      <w:lang w:val="en-US" w:eastAsia="zh-CN" w:bidi="ar-SA"/>
    </w:rPr>
    <w:tblPr/>
  </w:style>
  <w:style w:type="table" w:styleId="998" w:customStyle="1">
    <w:name w:val="List Table 3 - Accent 1"/>
    <w:uiPriority w:val="99"/>
    <w:qFormat/>
    <w:rPr>
      <w:lang w:val="en-US" w:eastAsia="zh-CN" w:bidi="ar-SA"/>
    </w:rPr>
    <w:tblPr/>
  </w:style>
  <w:style w:type="table" w:styleId="999" w:customStyle="1">
    <w:name w:val="List Table 3 - Accent 2"/>
    <w:uiPriority w:val="99"/>
    <w:qFormat/>
    <w:rPr>
      <w:lang w:val="en-US" w:eastAsia="zh-CN" w:bidi="ar-SA"/>
    </w:rPr>
    <w:tblPr/>
  </w:style>
  <w:style w:type="table" w:styleId="1000" w:customStyle="1">
    <w:name w:val="List Table 3 - Accent 3"/>
    <w:uiPriority w:val="99"/>
    <w:qFormat/>
    <w:rPr>
      <w:lang w:val="en-US" w:eastAsia="zh-CN" w:bidi="ar-SA"/>
    </w:rPr>
    <w:tblPr/>
  </w:style>
  <w:style w:type="table" w:styleId="1001" w:customStyle="1">
    <w:name w:val="List Table 3 - Accent 4"/>
    <w:uiPriority w:val="99"/>
    <w:qFormat/>
    <w:rPr>
      <w:lang w:val="en-US" w:eastAsia="zh-CN" w:bidi="ar-SA"/>
    </w:rPr>
    <w:tblPr/>
  </w:style>
  <w:style w:type="table" w:styleId="1002" w:customStyle="1">
    <w:name w:val="List Table 3 - Accent 5"/>
    <w:uiPriority w:val="99"/>
    <w:qFormat/>
    <w:rPr>
      <w:lang w:val="en-US" w:eastAsia="zh-CN" w:bidi="ar-SA"/>
    </w:rPr>
    <w:tblPr/>
  </w:style>
  <w:style w:type="table" w:styleId="1003" w:customStyle="1">
    <w:name w:val="List Table 3 - Accent 6"/>
    <w:uiPriority w:val="99"/>
    <w:qFormat/>
    <w:rPr>
      <w:lang w:val="en-US" w:eastAsia="zh-CN" w:bidi="ar-SA"/>
    </w:rPr>
    <w:tblPr/>
  </w:style>
  <w:style w:type="table" w:styleId="1004" w:customStyle="1">
    <w:name w:val="List Table 4 - Accent 1"/>
    <w:uiPriority w:val="99"/>
    <w:qFormat/>
    <w:rPr>
      <w:lang w:val="en-US" w:eastAsia="zh-CN" w:bidi="ar-SA"/>
    </w:rPr>
    <w:tblPr/>
  </w:style>
  <w:style w:type="table" w:styleId="1005" w:customStyle="1">
    <w:name w:val="List Table 4 - Accent 2"/>
    <w:uiPriority w:val="99"/>
    <w:qFormat/>
    <w:rPr>
      <w:lang w:val="en-US" w:eastAsia="zh-CN" w:bidi="ar-SA"/>
    </w:rPr>
    <w:tblPr/>
  </w:style>
  <w:style w:type="table" w:styleId="1006" w:customStyle="1">
    <w:name w:val="List Table 4 - Accent 3"/>
    <w:uiPriority w:val="99"/>
    <w:qFormat/>
    <w:rPr>
      <w:lang w:val="en-US" w:eastAsia="zh-CN" w:bidi="ar-SA"/>
    </w:rPr>
    <w:tblPr/>
  </w:style>
  <w:style w:type="table" w:styleId="1007" w:customStyle="1">
    <w:name w:val="List Table 4 - Accent 4"/>
    <w:uiPriority w:val="99"/>
    <w:qFormat/>
    <w:rPr>
      <w:lang w:val="en-US" w:eastAsia="zh-CN" w:bidi="ar-SA"/>
    </w:rPr>
    <w:tblPr/>
  </w:style>
  <w:style w:type="table" w:styleId="1008" w:customStyle="1">
    <w:name w:val="List Table 4 - Accent 5"/>
    <w:uiPriority w:val="99"/>
    <w:qFormat/>
    <w:rPr>
      <w:lang w:val="en-US" w:eastAsia="zh-CN" w:bidi="ar-SA"/>
    </w:rPr>
    <w:tblPr/>
  </w:style>
  <w:style w:type="table" w:styleId="1009" w:customStyle="1">
    <w:name w:val="List Table 4 - Accent 6"/>
    <w:uiPriority w:val="99"/>
    <w:qFormat/>
    <w:rPr>
      <w:lang w:val="en-US" w:eastAsia="zh-CN" w:bidi="ar-SA"/>
    </w:rPr>
    <w:tblPr/>
  </w:style>
  <w:style w:type="table" w:styleId="1010" w:customStyle="1">
    <w:name w:val="List Table 5 Dark - Accent 1"/>
    <w:uiPriority w:val="99"/>
    <w:qFormat/>
    <w:rPr>
      <w:lang w:val="en-US" w:eastAsia="zh-CN" w:bidi="ar-SA"/>
    </w:rPr>
    <w:tblPr/>
  </w:style>
  <w:style w:type="table" w:styleId="1011" w:customStyle="1">
    <w:name w:val="List Table 5 Dark - Accent 2"/>
    <w:uiPriority w:val="99"/>
    <w:qFormat/>
    <w:rPr>
      <w:lang w:val="en-US" w:eastAsia="zh-CN" w:bidi="ar-SA"/>
    </w:rPr>
    <w:tblPr/>
  </w:style>
  <w:style w:type="table" w:styleId="1012" w:customStyle="1">
    <w:name w:val="List Table 5 Dark - Accent 3"/>
    <w:uiPriority w:val="99"/>
    <w:qFormat/>
    <w:rPr>
      <w:lang w:val="en-US" w:eastAsia="zh-CN" w:bidi="ar-SA"/>
    </w:rPr>
    <w:tblPr/>
  </w:style>
  <w:style w:type="table" w:styleId="1013" w:customStyle="1">
    <w:name w:val="List Table 5 Dark - Accent 4"/>
    <w:uiPriority w:val="99"/>
    <w:qFormat/>
    <w:rPr>
      <w:lang w:val="en-US" w:eastAsia="zh-CN" w:bidi="ar-SA"/>
    </w:rPr>
    <w:tblPr/>
  </w:style>
  <w:style w:type="table" w:styleId="1014" w:customStyle="1">
    <w:name w:val="List Table 5 Dark - Accent 5"/>
    <w:uiPriority w:val="99"/>
    <w:qFormat/>
    <w:rPr>
      <w:lang w:val="en-US" w:eastAsia="zh-CN" w:bidi="ar-SA"/>
    </w:rPr>
    <w:tblPr/>
  </w:style>
  <w:style w:type="table" w:styleId="1015" w:customStyle="1">
    <w:name w:val="List Table 5 Dark - Accent 6"/>
    <w:uiPriority w:val="99"/>
    <w:qFormat/>
    <w:rPr>
      <w:lang w:val="en-US" w:eastAsia="zh-CN" w:bidi="ar-SA"/>
    </w:rPr>
    <w:tblPr/>
  </w:style>
  <w:style w:type="table" w:styleId="1016" w:customStyle="1">
    <w:name w:val="List Table 6 Colorful - Accent 1"/>
    <w:uiPriority w:val="99"/>
    <w:qFormat/>
    <w:rPr>
      <w:lang w:val="en-US" w:eastAsia="zh-CN" w:bidi="ar-SA"/>
    </w:rPr>
    <w:tblPr/>
  </w:style>
  <w:style w:type="table" w:styleId="1017" w:customStyle="1">
    <w:name w:val="List Table 6 Colorful - Accent 2"/>
    <w:uiPriority w:val="99"/>
    <w:qFormat/>
    <w:rPr>
      <w:lang w:val="en-US" w:eastAsia="zh-CN" w:bidi="ar-SA"/>
    </w:rPr>
    <w:tblPr/>
  </w:style>
  <w:style w:type="table" w:styleId="1018" w:customStyle="1">
    <w:name w:val="List Table 6 Colorful - Accent 3"/>
    <w:uiPriority w:val="99"/>
    <w:qFormat/>
    <w:rPr>
      <w:lang w:val="en-US" w:eastAsia="zh-CN" w:bidi="ar-SA"/>
    </w:rPr>
    <w:tblPr/>
  </w:style>
  <w:style w:type="table" w:styleId="1019" w:customStyle="1">
    <w:name w:val="List Table 6 Colorful - Accent 4"/>
    <w:uiPriority w:val="99"/>
    <w:qFormat/>
    <w:rPr>
      <w:lang w:val="en-US" w:eastAsia="zh-CN" w:bidi="ar-SA"/>
    </w:rPr>
    <w:tblPr/>
  </w:style>
  <w:style w:type="table" w:styleId="1020" w:customStyle="1">
    <w:name w:val="List Table 6 Colorful - Accent 5"/>
    <w:uiPriority w:val="99"/>
    <w:qFormat/>
    <w:rPr>
      <w:lang w:val="en-US" w:eastAsia="zh-CN" w:bidi="ar-SA"/>
    </w:rPr>
    <w:tblPr/>
  </w:style>
  <w:style w:type="table" w:styleId="1021" w:customStyle="1">
    <w:name w:val="List Table 6 Colorful - Accent 6"/>
    <w:uiPriority w:val="99"/>
    <w:qFormat/>
    <w:rPr>
      <w:lang w:val="en-US" w:eastAsia="zh-CN" w:bidi="ar-SA"/>
    </w:rPr>
    <w:tblPr/>
  </w:style>
  <w:style w:type="table" w:styleId="1022" w:customStyle="1">
    <w:name w:val="List Table 7 Colorful - Accent 1"/>
    <w:uiPriority w:val="99"/>
    <w:qFormat/>
    <w:rPr>
      <w:lang w:val="en-US" w:eastAsia="zh-CN" w:bidi="ar-SA"/>
    </w:rPr>
    <w:tblPr/>
  </w:style>
  <w:style w:type="table" w:styleId="1023" w:customStyle="1">
    <w:name w:val="List Table 7 Colorful - Accent 2"/>
    <w:uiPriority w:val="99"/>
    <w:qFormat/>
    <w:rPr>
      <w:lang w:val="en-US" w:eastAsia="zh-CN" w:bidi="ar-SA"/>
    </w:rPr>
    <w:tblPr/>
  </w:style>
  <w:style w:type="table" w:styleId="1024" w:customStyle="1">
    <w:name w:val="List Table 7 Colorful - Accent 3"/>
    <w:uiPriority w:val="99"/>
    <w:qFormat/>
    <w:rPr>
      <w:lang w:val="en-US" w:eastAsia="zh-CN" w:bidi="ar-SA"/>
    </w:rPr>
    <w:tblPr/>
  </w:style>
  <w:style w:type="table" w:styleId="1025" w:customStyle="1">
    <w:name w:val="List Table 7 Colorful - Accent 4"/>
    <w:uiPriority w:val="99"/>
    <w:qFormat/>
    <w:rPr>
      <w:lang w:val="en-US" w:eastAsia="zh-CN" w:bidi="ar-SA"/>
    </w:rPr>
    <w:tblPr/>
  </w:style>
  <w:style w:type="table" w:styleId="1026" w:customStyle="1">
    <w:name w:val="List Table 7 Colorful - Accent 5"/>
    <w:uiPriority w:val="99"/>
    <w:qFormat/>
    <w:rPr>
      <w:lang w:val="en-US" w:eastAsia="zh-CN" w:bidi="ar-SA"/>
    </w:rPr>
    <w:tblPr/>
  </w:style>
  <w:style w:type="table" w:styleId="1027" w:customStyle="1">
    <w:name w:val="List Table 7 Colorful - Accent 6"/>
    <w:uiPriority w:val="99"/>
    <w:qFormat/>
    <w:rPr>
      <w:lang w:val="en-US" w:eastAsia="zh-CN" w:bidi="ar-SA"/>
    </w:rPr>
    <w:tblPr/>
  </w:style>
  <w:style w:type="table" w:styleId="1028" w:customStyle="1">
    <w:name w:val="Lined - Accent"/>
    <w:uiPriority w:val="99"/>
    <w:qFormat/>
    <w:rPr>
      <w:color w:val="404040"/>
      <w:lang w:val="en-US" w:eastAsia="zh-CN" w:bidi="ar-SA"/>
    </w:rPr>
    <w:tblPr/>
  </w:style>
  <w:style w:type="table" w:styleId="1029" w:customStyle="1">
    <w:name w:val="Lined - Accent 1"/>
    <w:uiPriority w:val="99"/>
    <w:qFormat/>
    <w:rPr>
      <w:color w:val="404040"/>
      <w:lang w:val="en-US" w:eastAsia="zh-CN" w:bidi="ar-SA"/>
    </w:rPr>
    <w:tblPr/>
  </w:style>
  <w:style w:type="table" w:styleId="1030" w:customStyle="1">
    <w:name w:val="Lined - Accent 2"/>
    <w:uiPriority w:val="99"/>
    <w:qFormat/>
    <w:rPr>
      <w:color w:val="404040"/>
      <w:lang w:val="en-US" w:eastAsia="zh-CN" w:bidi="ar-SA"/>
    </w:rPr>
    <w:tblPr/>
  </w:style>
  <w:style w:type="table" w:styleId="1031" w:customStyle="1">
    <w:name w:val="Lined - Accent 3"/>
    <w:uiPriority w:val="99"/>
    <w:qFormat/>
    <w:rPr>
      <w:color w:val="404040"/>
      <w:lang w:val="en-US" w:eastAsia="zh-CN" w:bidi="ar-SA"/>
    </w:rPr>
    <w:tblPr/>
  </w:style>
  <w:style w:type="table" w:styleId="1032" w:customStyle="1">
    <w:name w:val="Lined - Accent 4"/>
    <w:uiPriority w:val="99"/>
    <w:qFormat/>
    <w:rPr>
      <w:color w:val="404040"/>
      <w:lang w:val="en-US" w:eastAsia="zh-CN" w:bidi="ar-SA"/>
    </w:rPr>
    <w:tblPr/>
  </w:style>
  <w:style w:type="table" w:styleId="1033" w:customStyle="1">
    <w:name w:val="Lined - Accent 5"/>
    <w:uiPriority w:val="99"/>
    <w:qFormat/>
    <w:rPr>
      <w:color w:val="404040"/>
      <w:lang w:val="en-US" w:eastAsia="zh-CN" w:bidi="ar-SA"/>
    </w:rPr>
    <w:tblPr/>
  </w:style>
  <w:style w:type="table" w:styleId="1034" w:customStyle="1">
    <w:name w:val="Lined - Accent 6"/>
    <w:uiPriority w:val="99"/>
    <w:qFormat/>
    <w:rPr>
      <w:color w:val="404040"/>
      <w:lang w:val="en-US" w:eastAsia="zh-CN" w:bidi="ar-SA"/>
    </w:rPr>
    <w:tblPr/>
  </w:style>
  <w:style w:type="table" w:styleId="1035" w:customStyle="1">
    <w:name w:val="Bordered &amp; Lined - Accent"/>
    <w:uiPriority w:val="99"/>
    <w:qFormat/>
    <w:rPr>
      <w:color w:val="404040"/>
      <w:lang w:val="en-US" w:eastAsia="zh-CN" w:bidi="ar-SA"/>
    </w:rPr>
    <w:tblPr/>
  </w:style>
  <w:style w:type="table" w:styleId="1036" w:customStyle="1">
    <w:name w:val="Bordered &amp; Lined - Accent 1"/>
    <w:uiPriority w:val="99"/>
    <w:qFormat/>
    <w:rPr>
      <w:color w:val="404040"/>
      <w:lang w:val="en-US" w:eastAsia="zh-CN" w:bidi="ar-SA"/>
    </w:rPr>
    <w:tblPr/>
  </w:style>
  <w:style w:type="table" w:styleId="1037" w:customStyle="1">
    <w:name w:val="Bordered &amp; Lined - Accent 2"/>
    <w:uiPriority w:val="99"/>
    <w:qFormat/>
    <w:rPr>
      <w:color w:val="404040"/>
      <w:lang w:val="en-US" w:eastAsia="zh-CN" w:bidi="ar-SA"/>
    </w:rPr>
    <w:tblPr/>
  </w:style>
  <w:style w:type="table" w:styleId="1038" w:customStyle="1">
    <w:name w:val="Bordered &amp; Lined - Accent 3"/>
    <w:uiPriority w:val="99"/>
    <w:qFormat/>
    <w:rPr>
      <w:color w:val="404040"/>
      <w:lang w:val="en-US" w:eastAsia="zh-CN" w:bidi="ar-SA"/>
    </w:rPr>
    <w:tblPr/>
  </w:style>
  <w:style w:type="table" w:styleId="1039" w:customStyle="1">
    <w:name w:val="Bordered &amp; Lined - Accent 4"/>
    <w:uiPriority w:val="99"/>
    <w:qFormat/>
    <w:rPr>
      <w:color w:val="404040"/>
      <w:lang w:val="en-US" w:eastAsia="zh-CN" w:bidi="ar-SA"/>
    </w:rPr>
    <w:tblPr/>
  </w:style>
  <w:style w:type="table" w:styleId="1040" w:customStyle="1">
    <w:name w:val="Bordered &amp; Lined - Accent 5"/>
    <w:uiPriority w:val="99"/>
    <w:qFormat/>
    <w:rPr>
      <w:color w:val="404040"/>
      <w:lang w:val="en-US" w:eastAsia="zh-CN" w:bidi="ar-SA"/>
    </w:rPr>
    <w:tblPr/>
  </w:style>
  <w:style w:type="table" w:styleId="1041" w:customStyle="1">
    <w:name w:val="Bordered &amp; Lined - Accent 6"/>
    <w:uiPriority w:val="99"/>
    <w:qFormat/>
    <w:rPr>
      <w:color w:val="404040"/>
      <w:lang w:val="en-US" w:eastAsia="zh-CN" w:bidi="ar-SA"/>
    </w:rPr>
    <w:tblPr/>
  </w:style>
  <w:style w:type="table" w:styleId="1042" w:customStyle="1">
    <w:name w:val="Bordered"/>
    <w:uiPriority w:val="99"/>
    <w:qFormat/>
    <w:rPr>
      <w:lang w:val="en-US" w:eastAsia="zh-CN" w:bidi="ar-SA"/>
    </w:rPr>
    <w:tblPr/>
  </w:style>
  <w:style w:type="table" w:styleId="1043" w:customStyle="1">
    <w:name w:val="Bordered - Accent 1"/>
    <w:uiPriority w:val="99"/>
    <w:qFormat/>
    <w:rPr>
      <w:lang w:val="en-US" w:eastAsia="zh-CN" w:bidi="ar-SA"/>
    </w:rPr>
    <w:tblPr/>
  </w:style>
  <w:style w:type="table" w:styleId="1044" w:customStyle="1">
    <w:name w:val="Bordered - Accent 2"/>
    <w:uiPriority w:val="99"/>
    <w:qFormat/>
    <w:rPr>
      <w:lang w:val="en-US" w:eastAsia="zh-CN" w:bidi="ar-SA"/>
    </w:rPr>
    <w:tblPr/>
  </w:style>
  <w:style w:type="table" w:styleId="1045" w:customStyle="1">
    <w:name w:val="Bordered - Accent 3"/>
    <w:uiPriority w:val="99"/>
    <w:qFormat/>
    <w:rPr>
      <w:lang w:val="en-US" w:eastAsia="zh-CN" w:bidi="ar-SA"/>
    </w:rPr>
    <w:tblPr/>
  </w:style>
  <w:style w:type="table" w:styleId="1046" w:customStyle="1">
    <w:name w:val="Bordered - Accent 4"/>
    <w:uiPriority w:val="99"/>
    <w:qFormat/>
    <w:rPr>
      <w:lang w:val="en-US" w:eastAsia="zh-CN" w:bidi="ar-SA"/>
    </w:rPr>
    <w:tblPr/>
  </w:style>
  <w:style w:type="table" w:styleId="1047" w:customStyle="1">
    <w:name w:val="Bordered - Accent 5"/>
    <w:uiPriority w:val="99"/>
    <w:qFormat/>
    <w:rPr>
      <w:lang w:val="en-US" w:eastAsia="zh-CN" w:bidi="ar-SA"/>
    </w:rPr>
    <w:tblPr/>
  </w:style>
  <w:style w:type="table" w:styleId="1048" w:customStyle="1">
    <w:name w:val="Bordered - Accent 6"/>
    <w:uiPriority w:val="99"/>
    <w:qFormat/>
    <w:rPr>
      <w:lang w:val="en-US" w:eastAsia="zh-CN" w:bidi="ar-SA"/>
    </w:rPr>
    <w:tblPr/>
  </w:style>
  <w:style w:type="paragraph" w:styleId="1049" w:customStyle="1">
    <w:name w:val="TOC 标题11"/>
    <w:uiPriority w:val="39"/>
    <w:unhideWhenUsed/>
    <w:qFormat/>
    <w:rPr>
      <w:rFonts w:hint="default" w:ascii="Times New Roman" w:hAnsi="Times New Roman" w:eastAsia="宋体" w:cs="Times New Roman"/>
      <w:lang w:val="en-US" w:eastAsia="zh-CN" w:bidi="ar-SA"/>
    </w:rPr>
  </w:style>
  <w:style w:type="paragraph" w:styleId="1050" w:customStyle="1">
    <w:name w:val="标题 51"/>
    <w:basedOn w:val="734"/>
    <w:next w:val="734"/>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1051" w:customStyle="1">
    <w:name w:val="标题 61"/>
    <w:basedOn w:val="734"/>
    <w:next w:val="734"/>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1052" w:customStyle="1">
    <w:name w:val="标题 71"/>
    <w:basedOn w:val="734"/>
    <w:next w:val="734"/>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1053" w:customStyle="1">
    <w:name w:val="标题 81"/>
    <w:basedOn w:val="734"/>
    <w:next w:val="734"/>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1054" w:customStyle="1">
    <w:name w:val="标题 91"/>
    <w:basedOn w:val="734"/>
    <w:next w:val="734"/>
    <w:uiPriority w:val="0"/>
    <w:qFormat/>
    <w:pPr>
      <w:jc w:val="center"/>
      <w:keepNext/>
      <w:spacing w:line="600" w:lineRule="exact"/>
      <w:outlineLvl w:val="8"/>
    </w:pPr>
    <w:rPr>
      <w:rFonts w:ascii="仿宋_GB2312" w:eastAsia="仿宋_GB2312"/>
      <w:sz w:val="32"/>
    </w:rPr>
  </w:style>
  <w:style w:type="character" w:styleId="1055" w:customStyle="1">
    <w:name w:val="默认段落字体1"/>
    <w:link w:val="734"/>
    <w:uiPriority w:val="1"/>
    <w:unhideWhenUsed/>
    <w:qFormat/>
  </w:style>
  <w:style w:type="table" w:styleId="1056" w:customStyle="1">
    <w:name w:val="普通表格1"/>
    <w:uiPriority w:val="0"/>
    <w:semiHidden/>
    <w:qFormat/>
    <w:rPr>
      <w:lang w:val="en-US" w:eastAsia="zh-CN" w:bidi="ar-SA"/>
    </w:rPr>
    <w:tblPr/>
  </w:style>
  <w:style w:type="paragraph" w:styleId="1057" w:customStyle="1">
    <w:name w:val="列表项目符号 41"/>
    <w:basedOn w:val="734"/>
    <w:uiPriority w:val="0"/>
    <w:qFormat/>
    <w:pPr>
      <w:ind w:left="360" w:hanging="360"/>
      <w:spacing w:line="380" w:lineRule="exact"/>
      <w:tabs>
        <w:tab w:val="left" w:pos="360" w:leader="none"/>
      </w:tabs>
    </w:pPr>
    <w:rPr>
      <w:sz w:val="28"/>
    </w:rPr>
  </w:style>
  <w:style w:type="paragraph" w:styleId="1058" w:customStyle="1">
    <w:name w:val="索引 81"/>
    <w:basedOn w:val="734"/>
    <w:next w:val="734"/>
    <w:uiPriority w:val="0"/>
    <w:qFormat/>
    <w:pPr>
      <w:ind w:left="1400"/>
    </w:pPr>
  </w:style>
  <w:style w:type="paragraph" w:styleId="1059" w:customStyle="1">
    <w:name w:val="列表编号1"/>
    <w:basedOn w:val="734"/>
    <w:uiPriority w:val="0"/>
    <w:qFormat/>
    <w:pPr>
      <w:spacing w:line="360" w:lineRule="auto"/>
      <w:tabs>
        <w:tab w:val="left" w:pos="0" w:leader="none"/>
        <w:tab w:val="left" w:pos="840" w:leader="none"/>
      </w:tabs>
    </w:pPr>
  </w:style>
  <w:style w:type="paragraph" w:styleId="1060" w:customStyle="1">
    <w:name w:val="正文缩进11"/>
    <w:basedOn w:val="734"/>
    <w:uiPriority w:val="0"/>
    <w:qFormat/>
    <w:pPr>
      <w:ind w:firstLine="420"/>
    </w:pPr>
    <w:rPr>
      <w:rFonts w:ascii="宋体"/>
      <w:color w:val="000000"/>
      <w:sz w:val="24"/>
      <w:szCs w:val="20"/>
    </w:rPr>
  </w:style>
  <w:style w:type="paragraph" w:styleId="1061" w:customStyle="1">
    <w:name w:val="题注1"/>
    <w:basedOn w:val="734"/>
    <w:next w:val="734"/>
    <w:link w:val="1062"/>
    <w:uiPriority w:val="0"/>
    <w:qFormat/>
    <w:pPr>
      <w:spacing w:line="360" w:lineRule="auto"/>
      <w:tabs>
        <w:tab w:val="left" w:pos="0" w:leader="none"/>
      </w:tabs>
    </w:pPr>
    <w:rPr>
      <w:rFonts w:ascii="Arial" w:hAnsi="Arial" w:eastAsia="黑体"/>
      <w:sz w:val="20"/>
      <w:szCs w:val="20"/>
    </w:rPr>
  </w:style>
  <w:style w:type="character" w:styleId="1062" w:customStyle="1">
    <w:name w:val="题注 字符"/>
    <w:link w:val="1061"/>
    <w:uiPriority w:val="0"/>
    <w:qFormat/>
    <w:rPr>
      <w:rFonts w:ascii="Arial" w:hAnsi="Arial" w:eastAsia="黑体" w:cs="Arial"/>
    </w:rPr>
  </w:style>
  <w:style w:type="paragraph" w:styleId="1063" w:customStyle="1">
    <w:name w:val="索引 51"/>
    <w:basedOn w:val="734"/>
    <w:next w:val="734"/>
    <w:uiPriority w:val="0"/>
    <w:qFormat/>
    <w:pPr>
      <w:ind w:left="800"/>
    </w:pPr>
  </w:style>
  <w:style w:type="paragraph" w:styleId="1064" w:customStyle="1">
    <w:name w:val="列表项目符号1"/>
    <w:basedOn w:val="734"/>
    <w:uiPriority w:val="0"/>
    <w:qFormat/>
    <w:pPr>
      <w:ind w:left="962" w:hanging="480"/>
      <w:spacing w:line="360" w:lineRule="auto"/>
      <w:tabs>
        <w:tab w:val="left" w:pos="840" w:leader="none"/>
      </w:tabs>
    </w:pPr>
    <w:rPr>
      <w:sz w:val="24"/>
    </w:rPr>
  </w:style>
  <w:style w:type="paragraph" w:styleId="1065" w:customStyle="1">
    <w:name w:val="文档结构图1"/>
    <w:basedOn w:val="734"/>
    <w:uiPriority w:val="0"/>
    <w:qFormat/>
    <w:pPr>
      <w:shd w:val="clear" w:color="auto" w:fill="000080"/>
    </w:pPr>
  </w:style>
  <w:style w:type="paragraph" w:styleId="1066" w:customStyle="1">
    <w:name w:val="批注文字1"/>
    <w:basedOn w:val="734"/>
    <w:link w:val="1067"/>
    <w:uiPriority w:val="99"/>
    <w:qFormat/>
    <w:pPr>
      <w:jc w:val="left"/>
    </w:pPr>
    <w:rPr>
      <w:szCs w:val="20"/>
    </w:rPr>
  </w:style>
  <w:style w:type="character" w:styleId="1067" w:customStyle="1">
    <w:name w:val="批注文字 字符"/>
    <w:link w:val="1066"/>
    <w:uiPriority w:val="99"/>
    <w:qFormat/>
    <w:rPr>
      <w:rFonts w:ascii="Calibri" w:hAnsi="Calibri" w:eastAsia="宋体" w:cs="Times New Roman"/>
      <w:sz w:val="21"/>
    </w:rPr>
  </w:style>
  <w:style w:type="paragraph" w:styleId="1068" w:customStyle="1">
    <w:name w:val="索引 61"/>
    <w:basedOn w:val="734"/>
    <w:next w:val="734"/>
    <w:uiPriority w:val="0"/>
    <w:qFormat/>
    <w:pPr>
      <w:ind w:left="1000"/>
    </w:pPr>
  </w:style>
  <w:style w:type="paragraph" w:styleId="1069" w:customStyle="1">
    <w:name w:val="正文文本 31"/>
    <w:basedOn w:val="734"/>
    <w:uiPriority w:val="0"/>
    <w:qFormat/>
    <w:rPr>
      <w:color w:val="000000"/>
    </w:rPr>
  </w:style>
  <w:style w:type="paragraph" w:styleId="1070" w:customStyle="1">
    <w:name w:val="列表项目符号 31"/>
    <w:basedOn w:val="734"/>
    <w:uiPriority w:val="0"/>
    <w:qFormat/>
    <w:pPr>
      <w:ind w:left="1200" w:hanging="360"/>
      <w:spacing w:line="380" w:lineRule="exact"/>
      <w:tabs>
        <w:tab w:val="left" w:pos="1200" w:leader="none"/>
      </w:tabs>
    </w:pPr>
    <w:rPr>
      <w:sz w:val="28"/>
    </w:rPr>
  </w:style>
  <w:style w:type="paragraph" w:styleId="1071" w:customStyle="1">
    <w:name w:val="正文文本1"/>
    <w:basedOn w:val="734"/>
    <w:uiPriority w:val="0"/>
    <w:qFormat/>
    <w:pPr>
      <w:spacing w:line="60" w:lineRule="auto"/>
    </w:pPr>
    <w:rPr>
      <w:rFonts w:ascii="仿宋_GB2312" w:eastAsia="仿宋_GB2312"/>
      <w:sz w:val="32"/>
    </w:rPr>
  </w:style>
  <w:style w:type="paragraph" w:styleId="1072" w:customStyle="1">
    <w:name w:val="正文文本缩进1"/>
    <w:basedOn w:val="734"/>
    <w:uiPriority w:val="0"/>
    <w:qFormat/>
    <w:pPr>
      <w:ind w:firstLine="225"/>
    </w:pPr>
    <w:rPr>
      <w:rFonts w:ascii="仿宋_GB2312" w:eastAsia="仿宋_GB2312"/>
      <w:sz w:val="32"/>
    </w:rPr>
  </w:style>
  <w:style w:type="paragraph" w:styleId="1073" w:customStyle="1">
    <w:name w:val="文本块1"/>
    <w:basedOn w:val="734"/>
    <w:uiPriority w:val="0"/>
    <w:qFormat/>
    <w:pPr>
      <w:ind w:left="1548" w:right="12" w:hanging="2405"/>
      <w:spacing w:line="360" w:lineRule="exact"/>
    </w:pPr>
    <w:rPr>
      <w:rFonts w:ascii="宋体"/>
      <w:bCs/>
      <w:sz w:val="28"/>
    </w:rPr>
  </w:style>
  <w:style w:type="paragraph" w:styleId="1074" w:customStyle="1">
    <w:name w:val="列表项目符号 21"/>
    <w:basedOn w:val="734"/>
    <w:uiPriority w:val="0"/>
    <w:qFormat/>
    <w:pPr>
      <w:ind w:left="720" w:hanging="360"/>
      <w:spacing w:line="360" w:lineRule="auto"/>
      <w:tabs>
        <w:tab w:val="left" w:pos="720" w:leader="none"/>
      </w:tabs>
    </w:pPr>
    <w:rPr>
      <w:sz w:val="24"/>
    </w:rPr>
  </w:style>
  <w:style w:type="paragraph" w:styleId="1075" w:customStyle="1">
    <w:name w:val="HTML 地址1"/>
    <w:basedOn w:val="734"/>
    <w:uiPriority w:val="0"/>
    <w:qFormat/>
    <w:rPr>
      <w:i/>
      <w:iCs/>
    </w:rPr>
  </w:style>
  <w:style w:type="paragraph" w:styleId="1076" w:customStyle="1">
    <w:name w:val="索引 41"/>
    <w:basedOn w:val="734"/>
    <w:next w:val="734"/>
    <w:uiPriority w:val="0"/>
    <w:qFormat/>
    <w:pPr>
      <w:ind w:left="600"/>
    </w:pPr>
  </w:style>
  <w:style w:type="paragraph" w:styleId="1077" w:customStyle="1">
    <w:name w:val="纯文本11"/>
    <w:basedOn w:val="734"/>
    <w:link w:val="1078"/>
    <w:uiPriority w:val="0"/>
    <w:qFormat/>
    <w:rPr>
      <w:rFonts w:ascii="宋体"/>
      <w:szCs w:val="21"/>
    </w:rPr>
  </w:style>
  <w:style w:type="character" w:styleId="1078" w:customStyle="1">
    <w:name w:val="纯文本 字符"/>
    <w:link w:val="1077"/>
    <w:uiPriority w:val="0"/>
    <w:qFormat/>
    <w:rPr>
      <w:rFonts w:ascii="宋体" w:hAnsi="Calibri" w:eastAsia="宋体"/>
      <w:sz w:val="21"/>
      <w:szCs w:val="21"/>
      <w:lang w:val="en-US" w:eastAsia="zh-CN" w:bidi="ar-SA"/>
    </w:rPr>
  </w:style>
  <w:style w:type="paragraph" w:styleId="1079" w:customStyle="1">
    <w:name w:val="列表项目符号 51"/>
    <w:basedOn w:val="734"/>
    <w:uiPriority w:val="0"/>
    <w:qFormat/>
    <w:pPr>
      <w:ind w:left="720" w:hanging="360"/>
      <w:spacing w:line="380" w:lineRule="exact"/>
      <w:tabs>
        <w:tab w:val="left" w:pos="720" w:leader="none"/>
      </w:tabs>
    </w:pPr>
    <w:rPr>
      <w:sz w:val="28"/>
    </w:rPr>
  </w:style>
  <w:style w:type="paragraph" w:styleId="1080" w:customStyle="1">
    <w:name w:val="索引 31"/>
    <w:basedOn w:val="734"/>
    <w:next w:val="734"/>
    <w:uiPriority w:val="0"/>
    <w:qFormat/>
    <w:pPr>
      <w:ind w:left="400"/>
    </w:pPr>
  </w:style>
  <w:style w:type="paragraph" w:styleId="1081" w:customStyle="1">
    <w:name w:val="日期1"/>
    <w:basedOn w:val="734"/>
    <w:next w:val="734"/>
    <w:uiPriority w:val="0"/>
    <w:qFormat/>
    <w:pPr>
      <w:ind w:left="2500"/>
    </w:pPr>
  </w:style>
  <w:style w:type="paragraph" w:styleId="1082" w:customStyle="1">
    <w:name w:val="正文文本缩进 21"/>
    <w:basedOn w:val="734"/>
    <w:uiPriority w:val="0"/>
    <w:qFormat/>
    <w:pPr>
      <w:ind w:firstLine="225"/>
      <w:jc w:val="left"/>
      <w:spacing w:line="540" w:lineRule="exact"/>
    </w:pPr>
    <w:rPr>
      <w:rFonts w:ascii="仿宋_GB2312" w:eastAsia="仿宋_GB2312"/>
      <w:sz w:val="32"/>
    </w:rPr>
  </w:style>
  <w:style w:type="paragraph" w:styleId="1083" w:customStyle="1">
    <w:name w:val="尾注文本1"/>
    <w:basedOn w:val="734"/>
    <w:uiPriority w:val="0"/>
    <w:qFormat/>
    <w:pPr>
      <w:jc w:val="left"/>
      <w:widowControl/>
    </w:pPr>
    <w:rPr>
      <w:rFonts w:ascii="宋体"/>
      <w:bCs/>
      <w:szCs w:val="21"/>
    </w:rPr>
  </w:style>
  <w:style w:type="paragraph" w:styleId="1084" w:customStyle="1">
    <w:name w:val="批注框文本1"/>
    <w:basedOn w:val="734"/>
    <w:uiPriority w:val="0"/>
    <w:qFormat/>
    <w:rPr>
      <w:sz w:val="18"/>
      <w:szCs w:val="20"/>
    </w:rPr>
  </w:style>
  <w:style w:type="paragraph" w:styleId="1085" w:customStyle="1">
    <w:name w:val="页脚1"/>
    <w:basedOn w:val="734"/>
    <w:uiPriority w:val="0"/>
    <w:qFormat/>
    <w:pPr>
      <w:jc w:val="left"/>
      <w:tabs>
        <w:tab w:val="center" w:pos="4153" w:leader="none"/>
        <w:tab w:val="right" w:pos="8306" w:leader="none"/>
      </w:tabs>
    </w:pPr>
    <w:rPr>
      <w:sz w:val="18"/>
      <w:szCs w:val="18"/>
    </w:rPr>
  </w:style>
  <w:style w:type="paragraph" w:styleId="1086" w:customStyle="1">
    <w:name w:val="页眉1"/>
    <w:basedOn w:val="734"/>
    <w:uiPriority w:val="0"/>
    <w:qFormat/>
    <w:pPr>
      <w:jc w:val="center"/>
      <w:tabs>
        <w:tab w:val="center" w:pos="4153" w:leader="none"/>
        <w:tab w:val="right" w:pos="8306" w:leader="none"/>
      </w:tabs>
      <w:pBdr>
        <w:bottom w:val="single" w:color="000000" w:sz="6" w:space="1"/>
      </w:pBdr>
    </w:pPr>
    <w:rPr>
      <w:sz w:val="18"/>
      <w:szCs w:val="18"/>
    </w:rPr>
  </w:style>
  <w:style w:type="paragraph" w:styleId="1087" w:customStyle="1">
    <w:name w:val="索引标题1"/>
    <w:basedOn w:val="734"/>
    <w:next w:val="1088"/>
    <w:uiPriority w:val="0"/>
    <w:qFormat/>
  </w:style>
  <w:style w:type="paragraph" w:styleId="1088" w:customStyle="1">
    <w:name w:val="索引 111"/>
    <w:basedOn w:val="734"/>
    <w:next w:val="734"/>
    <w:uiPriority w:val="0"/>
    <w:qFormat/>
  </w:style>
  <w:style w:type="paragraph" w:styleId="1089" w:customStyle="1">
    <w:name w:val="脚注文本1"/>
    <w:basedOn w:val="734"/>
    <w:uiPriority w:val="0"/>
    <w:qFormat/>
    <w:pPr>
      <w:jc w:val="left"/>
    </w:pPr>
    <w:rPr>
      <w:rFonts w:ascii="宋体"/>
      <w:bCs/>
      <w:sz w:val="18"/>
      <w:szCs w:val="18"/>
    </w:rPr>
  </w:style>
  <w:style w:type="paragraph" w:styleId="1090" w:customStyle="1">
    <w:name w:val="正文文本缩进 31"/>
    <w:basedOn w:val="734"/>
    <w:uiPriority w:val="0"/>
    <w:qFormat/>
    <w:pPr>
      <w:ind w:firstLine="213"/>
    </w:pPr>
    <w:rPr>
      <w:rFonts w:ascii="仿宋_GB2312" w:eastAsia="仿宋_GB2312"/>
      <w:sz w:val="30"/>
    </w:rPr>
  </w:style>
  <w:style w:type="paragraph" w:styleId="1091" w:customStyle="1">
    <w:name w:val="索引 71"/>
    <w:basedOn w:val="734"/>
    <w:next w:val="734"/>
    <w:uiPriority w:val="0"/>
    <w:qFormat/>
    <w:pPr>
      <w:ind w:left="1200"/>
    </w:pPr>
  </w:style>
  <w:style w:type="paragraph" w:styleId="1092" w:customStyle="1">
    <w:name w:val="索引 91"/>
    <w:basedOn w:val="734"/>
    <w:next w:val="734"/>
    <w:uiPriority w:val="0"/>
    <w:qFormat/>
    <w:pPr>
      <w:ind w:left="1600"/>
    </w:pPr>
  </w:style>
  <w:style w:type="paragraph" w:styleId="1093" w:customStyle="1">
    <w:name w:val="图表目录11"/>
    <w:basedOn w:val="734"/>
    <w:next w:val="734"/>
    <w:uiPriority w:val="0"/>
    <w:qFormat/>
    <w:pPr>
      <w:ind w:left="400" w:hanging="200"/>
      <w:jc w:val="left"/>
      <w:widowControl/>
    </w:pPr>
    <w:rPr>
      <w:rFonts w:ascii="宋体"/>
      <w:bCs/>
      <w:szCs w:val="21"/>
    </w:rPr>
  </w:style>
  <w:style w:type="paragraph" w:styleId="1094" w:customStyle="1">
    <w:name w:val="正文文本 21"/>
    <w:basedOn w:val="734"/>
    <w:uiPriority w:val="0"/>
    <w:qFormat/>
    <w:pPr>
      <w:spacing w:line="560" w:lineRule="exact"/>
    </w:pPr>
    <w:rPr>
      <w:rFonts w:ascii="仿宋_GB2312" w:eastAsia="仿宋_GB2312"/>
      <w:sz w:val="28"/>
      <w:szCs w:val="30"/>
    </w:rPr>
  </w:style>
  <w:style w:type="paragraph" w:styleId="1095" w:customStyle="1">
    <w:name w:val="列表接续 21"/>
    <w:basedOn w:val="734"/>
    <w:uiPriority w:val="0"/>
    <w:qFormat/>
    <w:pPr>
      <w:ind w:left="840"/>
      <w:spacing w:after="120"/>
    </w:pPr>
  </w:style>
  <w:style w:type="paragraph" w:styleId="1096" w:customStyle="1">
    <w:name w:val="HTML 预设格式1"/>
    <w:basedOn w:val="73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97" w:customStyle="1">
    <w:name w:val="普通(网站)1"/>
    <w:basedOn w:val="734"/>
    <w:uiPriority w:val="99"/>
    <w:qFormat/>
    <w:pPr>
      <w:jc w:val="left"/>
      <w:spacing w:before="100" w:beforeAutospacing="1" w:after="100" w:afterAutospacing="1"/>
      <w:widowControl/>
    </w:pPr>
    <w:rPr>
      <w:rFonts w:ascii="宋体"/>
      <w:sz w:val="24"/>
      <w:szCs w:val="20"/>
    </w:rPr>
  </w:style>
  <w:style w:type="paragraph" w:styleId="1098" w:customStyle="1">
    <w:name w:val="索引 21"/>
    <w:basedOn w:val="734"/>
    <w:next w:val="734"/>
    <w:uiPriority w:val="0"/>
    <w:qFormat/>
    <w:pPr>
      <w:ind w:left="200"/>
    </w:pPr>
  </w:style>
  <w:style w:type="paragraph" w:styleId="1099" w:customStyle="1">
    <w:name w:val="标题1"/>
    <w:basedOn w:val="734"/>
    <w:uiPriority w:val="0"/>
    <w:qFormat/>
    <w:pPr>
      <w:jc w:val="center"/>
      <w:spacing w:before="240" w:after="60"/>
      <w:outlineLvl w:val="0"/>
    </w:pPr>
    <w:rPr>
      <w:rFonts w:ascii="Cambria" w:hAnsi="Cambria"/>
      <w:b/>
      <w:bCs/>
      <w:sz w:val="32"/>
      <w:szCs w:val="32"/>
    </w:rPr>
  </w:style>
  <w:style w:type="paragraph" w:styleId="1100" w:customStyle="1">
    <w:name w:val="批注主题1"/>
    <w:basedOn w:val="1066"/>
    <w:next w:val="1066"/>
    <w:uiPriority w:val="0"/>
    <w:qFormat/>
    <w:rPr>
      <w:b/>
    </w:rPr>
  </w:style>
  <w:style w:type="paragraph" w:styleId="1101" w:customStyle="1">
    <w:name w:val="正文文本首行缩进1"/>
    <w:basedOn w:val="1071"/>
    <w:uiPriority w:val="0"/>
    <w:qFormat/>
    <w:pPr>
      <w:ind w:firstLine="100"/>
      <w:spacing w:after="120" w:line="240" w:lineRule="auto"/>
    </w:pPr>
    <w:rPr>
      <w:rFonts w:ascii="Times New Roman" w:hAnsi="Times New Roman" w:eastAsia="宋体"/>
      <w:sz w:val="21"/>
    </w:rPr>
  </w:style>
  <w:style w:type="paragraph" w:styleId="1102" w:customStyle="1">
    <w:name w:val="正文文本首行缩进 211"/>
    <w:basedOn w:val="902"/>
    <w:link w:val="1103"/>
    <w:uiPriority w:val="0"/>
    <w:qFormat/>
    <w:pPr>
      <w:ind w:left="200" w:firstLine="200"/>
    </w:pPr>
    <w:rPr>
      <w:rFonts w:ascii="Times New Roman" w:hAnsi="Times New Roman"/>
      <w:sz w:val="24"/>
      <w:szCs w:val="24"/>
    </w:rPr>
  </w:style>
  <w:style w:type="character" w:styleId="1103" w:customStyle="1">
    <w:name w:val="正文文本首行缩进 2 字符"/>
    <w:link w:val="1102"/>
    <w:uiPriority w:val="0"/>
    <w:qFormat/>
    <w:rPr>
      <w:rFonts w:eastAsia="仿宋_GB2312"/>
      <w:sz w:val="24"/>
      <w:szCs w:val="24"/>
      <w:lang w:bidi="ar-SA"/>
    </w:rPr>
  </w:style>
  <w:style w:type="table" w:styleId="1104" w:customStyle="1">
    <w:name w:val="网格型1"/>
    <w:basedOn w:val="1056"/>
    <w:uiPriority w:val="0"/>
    <w:qFormat/>
    <w:tblPr/>
  </w:style>
  <w:style w:type="character" w:styleId="1105" w:customStyle="1">
    <w:name w:val="要点1"/>
    <w:link w:val="734"/>
    <w:uiPriority w:val="0"/>
    <w:qFormat/>
    <w:rPr>
      <w:b/>
    </w:rPr>
  </w:style>
  <w:style w:type="character" w:styleId="1106" w:customStyle="1">
    <w:name w:val="尾注引用1"/>
    <w:link w:val="734"/>
    <w:uiPriority w:val="0"/>
    <w:qFormat/>
    <w:rPr>
      <w:vertAlign w:val="superscript"/>
    </w:rPr>
  </w:style>
  <w:style w:type="character" w:styleId="1107" w:customStyle="1">
    <w:name w:val="页码1"/>
    <w:link w:val="734"/>
    <w:uiPriority w:val="0"/>
    <w:qFormat/>
  </w:style>
  <w:style w:type="character" w:styleId="1108" w:customStyle="1">
    <w:name w:val="访问过的超链接1"/>
    <w:link w:val="734"/>
    <w:uiPriority w:val="0"/>
    <w:qFormat/>
    <w:rPr>
      <w:color w:val="800080"/>
      <w:u w:val="single"/>
    </w:rPr>
  </w:style>
  <w:style w:type="character" w:styleId="1109" w:customStyle="1">
    <w:name w:val="强调1"/>
    <w:link w:val="734"/>
    <w:uiPriority w:val="0"/>
    <w:qFormat/>
    <w:rPr>
      <w:color w:val="cc0033"/>
    </w:rPr>
  </w:style>
  <w:style w:type="character" w:styleId="1110" w:customStyle="1">
    <w:name w:val="HTML 打字机1"/>
    <w:link w:val="734"/>
    <w:uiPriority w:val="0"/>
    <w:qFormat/>
    <w:rPr>
      <w:rFonts w:ascii="宋体" w:eastAsia="宋体" w:cs="宋体"/>
      <w:sz w:val="24"/>
      <w:szCs w:val="24"/>
      <w:lang w:bidi="ar-SA"/>
    </w:rPr>
  </w:style>
  <w:style w:type="character" w:styleId="1111" w:customStyle="1">
    <w:name w:val="超链接1"/>
    <w:link w:val="734"/>
    <w:uiPriority w:val="99"/>
    <w:qFormat/>
    <w:rPr>
      <w:color w:val="0000ff"/>
      <w:u w:val="single"/>
    </w:rPr>
  </w:style>
  <w:style w:type="character" w:styleId="1112" w:customStyle="1">
    <w:name w:val="批注引用1"/>
    <w:link w:val="734"/>
    <w:uiPriority w:val="0"/>
    <w:qFormat/>
    <w:rPr>
      <w:sz w:val="21"/>
    </w:rPr>
  </w:style>
  <w:style w:type="character" w:styleId="1113" w:customStyle="1">
    <w:name w:val="脚注引用1"/>
    <w:link w:val="734"/>
    <w:uiPriority w:val="0"/>
    <w:qFormat/>
    <w:rPr>
      <w:vertAlign w:val="superscript"/>
    </w:rPr>
  </w:style>
  <w:style w:type="paragraph" w:styleId="1114" w:customStyle="1">
    <w:name w:val="正文（标记）"/>
    <w:basedOn w:val="734"/>
    <w:link w:val="1115"/>
    <w:uiPriority w:val="0"/>
    <w:qFormat/>
    <w:pPr>
      <w:spacing w:before="50" w:after="50"/>
      <w:tabs>
        <w:tab w:val="left" w:pos="0" w:leader="none"/>
        <w:tab w:val="left" w:pos="840" w:leader="none"/>
      </w:tabs>
    </w:pPr>
    <w:rPr>
      <w:rFonts w:ascii="Times New Roman" w:hAnsi="Times New Roman"/>
      <w:sz w:val="24"/>
      <w:szCs w:val="24"/>
    </w:rPr>
  </w:style>
  <w:style w:type="character" w:styleId="1115" w:customStyle="1">
    <w:name w:val="正文（标记） Char2"/>
    <w:link w:val="1114"/>
    <w:uiPriority w:val="0"/>
    <w:qFormat/>
    <w:rPr>
      <w:sz w:val="24"/>
      <w:szCs w:val="24"/>
    </w:rPr>
  </w:style>
  <w:style w:type="character" w:styleId="1116" w:customStyle="1">
    <w:name w:val="Char Char2"/>
    <w:link w:val="734"/>
    <w:uiPriority w:val="0"/>
    <w:qFormat/>
    <w:rPr>
      <w:sz w:val="18"/>
      <w:szCs w:val="18"/>
    </w:rPr>
  </w:style>
  <w:style w:type="character" w:styleId="1117" w:customStyle="1">
    <w:name w:val="maywed421"/>
    <w:link w:val="734"/>
    <w:uiPriority w:val="0"/>
    <w:qFormat/>
    <w:rPr>
      <w:color w:val="366fb6"/>
      <w:u w:val="none"/>
    </w:rPr>
  </w:style>
  <w:style w:type="paragraph" w:styleId="1118"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1119"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character" w:styleId="1120" w:customStyle="1">
    <w:name w:val="Comment Text Char"/>
    <w:link w:val="734"/>
    <w:uiPriority w:val="0"/>
    <w:qFormat/>
    <w:rPr>
      <w:rFonts w:cs="Times New Roman"/>
      <w:sz w:val="21"/>
      <w:szCs w:val="21"/>
      <w:lang w:bidi="ar-SA"/>
    </w:rPr>
  </w:style>
  <w:style w:type="character" w:styleId="1121" w:customStyle="1">
    <w:name w:val="Footer Char"/>
    <w:link w:val="734"/>
    <w:uiPriority w:val="0"/>
    <w:qFormat/>
    <w:rPr>
      <w:rFonts w:eastAsia="宋体"/>
      <w:sz w:val="18"/>
      <w:lang w:val="en-US" w:eastAsia="zh-CN"/>
    </w:rPr>
  </w:style>
  <w:style w:type="character" w:styleId="1122" w:customStyle="1">
    <w:name w:val="ca-41"/>
    <w:link w:val="734"/>
    <w:uiPriority w:val="0"/>
    <w:qFormat/>
    <w:rPr>
      <w:rFonts w:ascii="宋体" w:eastAsia="宋体"/>
      <w:b/>
      <w:bCs/>
      <w:color w:val="000000"/>
      <w:spacing w:val="-20"/>
      <w:sz w:val="21"/>
      <w:szCs w:val="21"/>
    </w:rPr>
  </w:style>
  <w:style w:type="character" w:styleId="1123" w:customStyle="1">
    <w:name w:val="ca-1"/>
    <w:link w:val="734"/>
    <w:uiPriority w:val="0"/>
    <w:qFormat/>
  </w:style>
  <w:style w:type="character" w:styleId="1124" w:customStyle="1">
    <w:name w:val="Plain Text Char"/>
    <w:link w:val="734"/>
    <w:uiPriority w:val="0"/>
    <w:qFormat/>
    <w:rPr>
      <w:rFonts w:ascii="宋体" w:eastAsia="宋体"/>
      <w:sz w:val="21"/>
      <w:lang w:val="en-US" w:eastAsia="zh-CN"/>
    </w:rPr>
  </w:style>
  <w:style w:type="character" w:styleId="1125" w:customStyle="1">
    <w:name w:val="Header Char"/>
    <w:link w:val="734"/>
    <w:uiPriority w:val="0"/>
    <w:qFormat/>
    <w:rPr>
      <w:rFonts w:eastAsia="宋体"/>
      <w:sz w:val="18"/>
      <w:lang w:val="en-US" w:eastAsia="zh-CN"/>
    </w:rPr>
  </w:style>
  <w:style w:type="character" w:styleId="1126" w:customStyle="1">
    <w:name w:val="marklong"/>
    <w:link w:val="734"/>
    <w:uiPriority w:val="0"/>
    <w:qFormat/>
  </w:style>
  <w:style w:type="character" w:styleId="1127" w:customStyle="1">
    <w:name w:val="普通文字1 Char"/>
    <w:link w:val="734"/>
    <w:uiPriority w:val="0"/>
    <w:qFormat/>
    <w:rPr>
      <w:rFonts w:ascii="宋体" w:eastAsia="宋体" w:cs="Courier New"/>
      <w:sz w:val="21"/>
      <w:szCs w:val="21"/>
      <w:lang w:val="en-US" w:eastAsia="zh-CN" w:bidi="ar-SA"/>
    </w:rPr>
  </w:style>
  <w:style w:type="character" w:styleId="1128" w:customStyle="1">
    <w:name w:val="ca-21"/>
    <w:link w:val="734"/>
    <w:uiPriority w:val="0"/>
    <w:qFormat/>
    <w:rPr>
      <w:rFonts w:ascii="宋体" w:eastAsia="宋体"/>
      <w:sz w:val="21"/>
    </w:rPr>
  </w:style>
  <w:style w:type="paragraph" w:styleId="1129" w:customStyle="1">
    <w:name w:val="正文（缩进）"/>
    <w:basedOn w:val="734"/>
    <w:uiPriority w:val="0"/>
    <w:qFormat/>
    <w:pPr>
      <w:ind w:firstLine="200"/>
      <w:spacing w:before="50" w:after="50" w:line="360" w:lineRule="auto"/>
    </w:pPr>
    <w:rPr>
      <w:sz w:val="24"/>
    </w:rPr>
  </w:style>
  <w:style w:type="character" w:styleId="1130" w:customStyle="1">
    <w:name w:val="Heading 3 Char"/>
    <w:link w:val="734"/>
    <w:uiPriority w:val="0"/>
    <w:qFormat/>
    <w:rPr>
      <w:rFonts w:cs="Times New Roman"/>
      <w:b/>
      <w:bCs/>
      <w:sz w:val="32"/>
      <w:szCs w:val="32"/>
      <w:lang w:bidi="ar-SA"/>
    </w:rPr>
  </w:style>
  <w:style w:type="character" w:styleId="1131" w:customStyle="1">
    <w:name w:val="z12 style23"/>
    <w:link w:val="734"/>
    <w:uiPriority w:val="0"/>
    <w:qFormat/>
  </w:style>
  <w:style w:type="paragraph" w:styleId="1132" w:customStyle="1">
    <w:name w:val="Indent Normal"/>
    <w:basedOn w:val="734"/>
    <w:uiPriority w:val="0"/>
    <w:qFormat/>
    <w:pPr>
      <w:ind w:firstLine="150"/>
    </w:pPr>
    <w:rPr>
      <w:sz w:val="24"/>
      <w:szCs w:val="20"/>
    </w:rPr>
  </w:style>
  <w:style w:type="character" w:styleId="1133" w:customStyle="1">
    <w:name w:val="Char Char21"/>
    <w:link w:val="734"/>
    <w:uiPriority w:val="0"/>
    <w:qFormat/>
    <w:rPr>
      <w:sz w:val="18"/>
      <w:szCs w:val="18"/>
    </w:rPr>
  </w:style>
  <w:style w:type="character" w:styleId="1134" w:customStyle="1">
    <w:name w:val="ca-31"/>
    <w:link w:val="734"/>
    <w:uiPriority w:val="0"/>
    <w:qFormat/>
    <w:rPr>
      <w:rFonts w:ascii="宋体" w:eastAsia="宋体"/>
      <w:color w:val="000000"/>
      <w:sz w:val="21"/>
      <w:szCs w:val="21"/>
    </w:rPr>
  </w:style>
  <w:style w:type="character" w:styleId="1135" w:customStyle="1">
    <w:name w:val="apple-converted-space"/>
    <w:link w:val="734"/>
    <w:uiPriority w:val="0"/>
    <w:qFormat/>
  </w:style>
  <w:style w:type="character" w:styleId="1136" w:customStyle="1">
    <w:name w:val="Char Char1"/>
    <w:link w:val="734"/>
    <w:uiPriority w:val="0"/>
    <w:qFormat/>
    <w:rPr>
      <w:rFonts w:ascii="宋体" w:eastAsia="宋体"/>
      <w:sz w:val="21"/>
      <w:lang w:val="en-US" w:eastAsia="zh-CN"/>
    </w:rPr>
  </w:style>
  <w:style w:type="character" w:styleId="1137" w:customStyle="1">
    <w:name w:val="font21"/>
    <w:link w:val="734"/>
    <w:uiPriority w:val="0"/>
    <w:qFormat/>
    <w:rPr>
      <w:rFonts w:ascii="Times New Roman" w:hAnsi="Times New Roman"/>
      <w:color w:val="000000"/>
      <w:sz w:val="20"/>
      <w:u w:val="none"/>
    </w:rPr>
  </w:style>
  <w:style w:type="character" w:styleId="1138" w:customStyle="1">
    <w:name w:val="ca-01"/>
    <w:link w:val="734"/>
    <w:uiPriority w:val="0"/>
    <w:qFormat/>
    <w:rPr>
      <w:rFonts w:ascii="宋体" w:eastAsia="宋体"/>
      <w:b/>
      <w:bCs/>
      <w:spacing w:val="-20"/>
      <w:sz w:val="24"/>
      <w:szCs w:val="24"/>
    </w:rPr>
  </w:style>
  <w:style w:type="character" w:styleId="1139" w:customStyle="1">
    <w:name w:val="Char Char23"/>
    <w:link w:val="734"/>
    <w:uiPriority w:val="0"/>
    <w:qFormat/>
    <w:rPr>
      <w:sz w:val="24"/>
      <w:szCs w:val="21"/>
      <w:lang w:bidi="ar-SA"/>
    </w:rPr>
  </w:style>
  <w:style w:type="character" w:styleId="1140" w:customStyle="1">
    <w:name w:val="Char Char"/>
    <w:link w:val="734"/>
    <w:uiPriority w:val="0"/>
    <w:qFormat/>
    <w:rPr>
      <w:rFonts w:eastAsia="宋体"/>
      <w:sz w:val="18"/>
      <w:lang w:val="en-US" w:eastAsia="zh-CN"/>
    </w:rPr>
  </w:style>
  <w:style w:type="character" w:styleId="1141" w:customStyle="1">
    <w:name w:val="Char Char3"/>
    <w:link w:val="734"/>
    <w:uiPriority w:val="0"/>
    <w:qFormat/>
    <w:rPr>
      <w:rFonts w:ascii="宋体" w:eastAsia="宋体"/>
      <w:sz w:val="18"/>
      <w:szCs w:val="18"/>
      <w:lang w:val="en-US" w:eastAsia="zh-CN" w:bidi="ar-SA"/>
    </w:rPr>
  </w:style>
  <w:style w:type="paragraph" w:styleId="1142"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character" w:styleId="1143" w:customStyle="1">
    <w:name w:val="Heading 4 Char"/>
    <w:link w:val="734"/>
    <w:uiPriority w:val="0"/>
    <w:qFormat/>
    <w:rPr>
      <w:rFonts w:ascii="Cambria" w:hAnsi="Cambria" w:eastAsia="宋体" w:cs="Cambria"/>
      <w:b/>
      <w:bCs/>
      <w:sz w:val="28"/>
      <w:szCs w:val="28"/>
      <w:lang w:bidi="ar-SA"/>
    </w:rPr>
  </w:style>
  <w:style w:type="character" w:styleId="1144" w:customStyle="1">
    <w:name w:val="Header Char1"/>
    <w:link w:val="734"/>
    <w:uiPriority w:val="0"/>
    <w:qFormat/>
    <w:rPr>
      <w:rFonts w:cs="Times New Roman"/>
      <w:sz w:val="18"/>
      <w:szCs w:val="18"/>
      <w:lang w:bidi="ar-SA"/>
    </w:rPr>
  </w:style>
  <w:style w:type="character" w:styleId="1145" w:customStyle="1">
    <w:name w:val="Footer Char1"/>
    <w:link w:val="734"/>
    <w:uiPriority w:val="0"/>
    <w:qFormat/>
    <w:rPr>
      <w:rFonts w:cs="Times New Roman"/>
      <w:sz w:val="18"/>
      <w:szCs w:val="18"/>
      <w:lang w:bidi="ar-SA"/>
    </w:rPr>
  </w:style>
  <w:style w:type="character" w:styleId="1146" w:customStyle="1">
    <w:name w:val="wj1"/>
    <w:link w:val="734"/>
    <w:uiPriority w:val="0"/>
    <w:qFormat/>
    <w:rPr>
      <w:color w:val="000000"/>
      <w:sz w:val="18"/>
      <w:szCs w:val="18"/>
      <w:u w:val="none"/>
    </w:rPr>
  </w:style>
  <w:style w:type="character" w:styleId="1147" w:customStyle="1">
    <w:name w:val="ca-11"/>
    <w:link w:val="734"/>
    <w:uiPriority w:val="0"/>
    <w:qFormat/>
    <w:rPr>
      <w:rFonts w:ascii="宋体" w:eastAsia="宋体"/>
      <w:b/>
      <w:bCs/>
      <w:color w:val="000000"/>
      <w:spacing w:val="-20"/>
      <w:sz w:val="28"/>
      <w:szCs w:val="28"/>
    </w:rPr>
  </w:style>
  <w:style w:type="paragraph" w:styleId="1148"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character" w:styleId="1149" w:customStyle="1">
    <w:name w:val="Plain Text Char1"/>
    <w:link w:val="734"/>
    <w:uiPriority w:val="0"/>
    <w:qFormat/>
    <w:rPr>
      <w:rFonts w:ascii="宋体" w:eastAsia="宋体"/>
      <w:sz w:val="21"/>
      <w:szCs w:val="21"/>
      <w:lang w:val="en-US" w:eastAsia="zh-CN" w:bidi="ar-SA"/>
    </w:rPr>
  </w:style>
  <w:style w:type="character" w:styleId="1150" w:customStyle="1">
    <w:name w:val="段落 Char"/>
    <w:link w:val="734"/>
    <w:uiPriority w:val="0"/>
    <w:qFormat/>
    <w:rPr>
      <w:rFonts w:ascii="仿宋_GB2312" w:eastAsia="仿宋_GB2312"/>
      <w:sz w:val="24"/>
      <w:szCs w:val="24"/>
      <w:lang w:val="en-US" w:eastAsia="zh-CN" w:bidi="ar-SA"/>
    </w:rPr>
  </w:style>
  <w:style w:type="character" w:styleId="1151" w:customStyle="1">
    <w:name w:val="Heading 2 Char"/>
    <w:link w:val="734"/>
    <w:uiPriority w:val="0"/>
    <w:qFormat/>
    <w:rPr>
      <w:rFonts w:ascii="Arial" w:hAnsi="Arial" w:eastAsia="黑体"/>
      <w:b/>
      <w:bCs/>
      <w:sz w:val="32"/>
      <w:szCs w:val="32"/>
      <w:lang w:val="en-US" w:eastAsia="zh-CN" w:bidi="ar-SA"/>
    </w:rPr>
  </w:style>
  <w:style w:type="paragraph" w:styleId="1152"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character" w:styleId="1153" w:customStyle="1">
    <w:name w:val="Char Char31"/>
    <w:link w:val="734"/>
    <w:uiPriority w:val="0"/>
    <w:qFormat/>
    <w:rPr>
      <w:rFonts w:ascii="Arial" w:hAnsi="Arial" w:eastAsia="黑体" w:cs="Times New Roman"/>
      <w:b/>
      <w:bCs/>
      <w:sz w:val="32"/>
      <w:szCs w:val="32"/>
      <w:lang w:val="en-US" w:eastAsia="zh-CN" w:bidi="ar-SA"/>
    </w:rPr>
  </w:style>
  <w:style w:type="paragraph" w:styleId="1154" w:customStyle="1">
    <w:name w:val="正文（黑体）"/>
    <w:basedOn w:val="734"/>
    <w:next w:val="734"/>
    <w:uiPriority w:val="0"/>
    <w:qFormat/>
    <w:pPr>
      <w:ind w:firstLine="200"/>
      <w:spacing w:before="50" w:after="50" w:line="360" w:lineRule="auto"/>
    </w:pPr>
    <w:rPr>
      <w:rFonts w:ascii="黑体" w:eastAsia="黑体"/>
      <w:color w:val="000080"/>
      <w:sz w:val="24"/>
    </w:rPr>
  </w:style>
  <w:style w:type="character" w:styleId="1155" w:customStyle="1">
    <w:name w:val="ca-51"/>
    <w:link w:val="734"/>
    <w:uiPriority w:val="0"/>
    <w:qFormat/>
    <w:rPr>
      <w:rFonts w:ascii="楷体_GB2312" w:eastAsia="楷体_GB2312"/>
      <w:b/>
      <w:bCs/>
      <w:spacing w:val="-20"/>
      <w:sz w:val="24"/>
      <w:szCs w:val="24"/>
    </w:rPr>
  </w:style>
  <w:style w:type="paragraph" w:styleId="1156" w:customStyle="1">
    <w:name w:val="加点正文缩进"/>
    <w:basedOn w:val="734"/>
    <w:uiPriority w:val="0"/>
    <w:qFormat/>
    <w:pPr>
      <w:ind w:left="962" w:hanging="480"/>
      <w:spacing w:line="300" w:lineRule="auto"/>
      <w:tabs>
        <w:tab w:val="left" w:pos="840" w:leader="none"/>
      </w:tabs>
    </w:pPr>
    <w:rPr>
      <w:sz w:val="24"/>
    </w:rPr>
  </w:style>
  <w:style w:type="paragraph" w:styleId="1157" w:customStyle="1">
    <w:name w:val="默认段落字体 Para Char Char Char Char Char Char Char Char Char Char Char Char Char Char"/>
    <w:basedOn w:val="1065"/>
    <w:uiPriority w:val="0"/>
    <w:qFormat/>
    <w:rPr>
      <w:rFonts w:ascii="Tahoma" w:hAnsi="Tahoma"/>
      <w:sz w:val="24"/>
    </w:rPr>
  </w:style>
  <w:style w:type="paragraph" w:styleId="1158" w:customStyle="1">
    <w:name w:val="列表段落1"/>
    <w:basedOn w:val="734"/>
    <w:uiPriority w:val="0"/>
    <w:qFormat/>
    <w:pPr>
      <w:ind w:firstLine="200"/>
    </w:pPr>
  </w:style>
  <w:style w:type="paragraph" w:styleId="1159" w:customStyle="1">
    <w:name w:val="序号"/>
    <w:next w:val="734"/>
    <w:uiPriority w:val="0"/>
    <w:qFormat/>
    <w:pPr>
      <w:jc w:val="center"/>
    </w:pPr>
    <w:rPr>
      <w:rFonts w:hint="default" w:ascii="Times New Roman" w:hAnsi="Times New Roman" w:eastAsia="仿宋_GB2312" w:cs="Times New Roman"/>
      <w:bCs/>
      <w:sz w:val="21"/>
      <w:szCs w:val="44"/>
      <w:lang w:val="en-US" w:eastAsia="zh-CN" w:bidi="ar-SA"/>
    </w:rPr>
  </w:style>
  <w:style w:type="paragraph" w:styleId="1160" w:customStyle="1">
    <w:name w:val="Char"/>
    <w:basedOn w:val="734"/>
    <w:uiPriority w:val="0"/>
    <w:qFormat/>
    <w:pPr>
      <w:tabs>
        <w:tab w:val="left" w:pos="360" w:leader="none"/>
      </w:tabs>
    </w:pPr>
    <w:rPr>
      <w:rFonts w:ascii="仿宋_GB2312" w:eastAsia="仿宋_GB2312"/>
      <w:b/>
      <w:sz w:val="24"/>
    </w:rPr>
  </w:style>
  <w:style w:type="paragraph" w:styleId="1161" w:customStyle="1">
    <w:name w:val="xl35"/>
    <w:basedOn w:val="7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62" w:customStyle="1">
    <w:name w:val="xl36"/>
    <w:basedOn w:val="73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63" w:customStyle="1">
    <w:name w:val="Char Char Char"/>
    <w:basedOn w:val="734"/>
    <w:uiPriority w:val="0"/>
    <w:qFormat/>
    <w:rPr>
      <w:rFonts w:ascii="Tahoma" w:hAnsi="Tahoma"/>
      <w:sz w:val="24"/>
      <w:szCs w:val="20"/>
    </w:rPr>
  </w:style>
  <w:style w:type="paragraph" w:styleId="1164" w:customStyle="1">
    <w:name w:val="Char12"/>
    <w:basedOn w:val="734"/>
    <w:uiPriority w:val="0"/>
    <w:qFormat/>
    <w:pPr>
      <w:ind w:left="360" w:right="202" w:firstLine="360"/>
      <w:spacing w:line="480" w:lineRule="auto"/>
      <w:tabs>
        <w:tab w:val="left" w:pos="360" w:leader="none"/>
      </w:tabs>
    </w:pPr>
    <w:rPr>
      <w:sz w:val="24"/>
    </w:rPr>
  </w:style>
  <w:style w:type="paragraph" w:styleId="1165" w:customStyle="1">
    <w:name w:val="Char Char Char Char Char Char Char Char Char Char"/>
    <w:basedOn w:val="734"/>
    <w:uiPriority w:val="0"/>
    <w:qFormat/>
    <w:rPr>
      <w:rFonts w:ascii="Tahoma" w:hAnsi="Tahoma"/>
      <w:sz w:val="24"/>
      <w:szCs w:val="20"/>
    </w:rPr>
  </w:style>
  <w:style w:type="paragraph" w:styleId="1166" w:customStyle="1">
    <w:name w:val="正文段"/>
    <w:basedOn w:val="734"/>
    <w:uiPriority w:val="0"/>
    <w:qFormat/>
    <w:pPr>
      <w:ind w:firstLine="425"/>
      <w:spacing w:after="240" w:line="240" w:lineRule="atLeast"/>
      <w:widowControl/>
    </w:pPr>
    <w:rPr>
      <w:sz w:val="24"/>
      <w:szCs w:val="20"/>
    </w:rPr>
  </w:style>
  <w:style w:type="paragraph" w:styleId="1167"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168" w:customStyle="1">
    <w:name w:val="Char Char Char Char Char Char Char Char Char Char1"/>
    <w:basedOn w:val="734"/>
    <w:uiPriority w:val="0"/>
    <w:qFormat/>
    <w:rPr>
      <w:rFonts w:ascii="Tahoma" w:hAnsi="Tahoma" w:cs="Tahoma"/>
      <w:sz w:val="24"/>
    </w:rPr>
  </w:style>
  <w:style w:type="paragraph" w:styleId="1169" w:customStyle="1">
    <w:name w:val="xl34"/>
    <w:basedOn w:val="734"/>
    <w:uiPriority w:val="0"/>
    <w:qFormat/>
    <w:pPr>
      <w:jc w:val="center"/>
      <w:spacing w:before="100" w:beforeAutospacing="1" w:after="100" w:afterAutospacing="1"/>
      <w:widowControl/>
    </w:pPr>
    <w:rPr>
      <w:rFonts w:ascii="Arial Unicode MS" w:hAnsi="Arial Unicode MS" w:eastAsia="Arial Unicode MS"/>
      <w:sz w:val="24"/>
    </w:rPr>
  </w:style>
  <w:style w:type="paragraph" w:styleId="1170" w:customStyle="1">
    <w:name w:val="前言、引言标题"/>
    <w:next w:val="734"/>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171" w:customStyle="1">
    <w:name w:val="Char Char Char Char Char Char Char Char Char Char Char Char Char"/>
    <w:basedOn w:val="734"/>
    <w:uiPriority w:val="0"/>
    <w:qFormat/>
    <w:pPr>
      <w:jc w:val="left"/>
      <w:spacing w:after="160" w:line="240" w:lineRule="exact"/>
      <w:widowControl/>
    </w:pPr>
    <w:rPr>
      <w:rFonts w:ascii="Verdana" w:hAnsi="Verdana"/>
      <w:sz w:val="20"/>
      <w:szCs w:val="20"/>
      <w:lang w:eastAsia="en-US"/>
    </w:rPr>
  </w:style>
  <w:style w:type="paragraph" w:styleId="1172" w:customStyle="1">
    <w:name w:val="pa-0"/>
    <w:basedOn w:val="734"/>
    <w:uiPriority w:val="0"/>
    <w:qFormat/>
    <w:pPr>
      <w:ind w:firstLine="480"/>
      <w:spacing w:line="360" w:lineRule="atLeast"/>
      <w:widowControl/>
    </w:pPr>
    <w:rPr>
      <w:rFonts w:ascii="宋体" w:cs="宋体"/>
      <w:sz w:val="24"/>
    </w:rPr>
  </w:style>
  <w:style w:type="paragraph" w:styleId="1173" w:customStyle="1">
    <w:name w:val="Char111"/>
    <w:basedOn w:val="734"/>
    <w:uiPriority w:val="0"/>
    <w:qFormat/>
    <w:pPr>
      <w:jc w:val="left"/>
      <w:spacing w:after="160" w:line="240" w:lineRule="exact"/>
      <w:widowControl/>
    </w:pPr>
    <w:rPr>
      <w:rFonts w:ascii="Verdana" w:hAnsi="Verdana"/>
      <w:sz w:val="20"/>
      <w:szCs w:val="20"/>
      <w:lang w:eastAsia="en-US"/>
    </w:rPr>
  </w:style>
  <w:style w:type="paragraph" w:styleId="1174" w:customStyle="1">
    <w:name w:val="三级条标题"/>
    <w:basedOn w:val="1175"/>
    <w:next w:val="1167"/>
    <w:uiPriority w:val="0"/>
    <w:qFormat/>
    <w:pPr>
      <w:ind w:left="1050"/>
      <w:outlineLvl w:val="4"/>
    </w:pPr>
  </w:style>
  <w:style w:type="paragraph" w:styleId="1175" w:customStyle="1">
    <w:name w:val="二级条标题"/>
    <w:basedOn w:val="1176"/>
    <w:next w:val="1167"/>
    <w:uiPriority w:val="0"/>
    <w:qFormat/>
    <w:pPr>
      <w:ind w:left="360"/>
      <w:outlineLvl w:val="3"/>
    </w:pPr>
  </w:style>
  <w:style w:type="paragraph" w:styleId="1176" w:customStyle="1">
    <w:name w:val="一级条标题"/>
    <w:next w:val="1167"/>
    <w:uiPriority w:val="0"/>
    <w:qFormat/>
    <w:pPr>
      <w:outlineLvl w:val="2"/>
    </w:pPr>
    <w:rPr>
      <w:rFonts w:hint="default" w:ascii="Times New Roman" w:hAnsi="Times New Roman" w:eastAsia="黑体" w:cs="Times New Roman"/>
      <w:sz w:val="21"/>
      <w:lang w:val="en-US" w:eastAsia="zh-CN" w:bidi="ar-SA"/>
    </w:rPr>
  </w:style>
  <w:style w:type="paragraph" w:styleId="1177" w:customStyle="1">
    <w:name w:val="FA正文+标号"/>
    <w:basedOn w:val="734"/>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178" w:customStyle="1">
    <w:name w:val="表文1"/>
    <w:basedOn w:val="734"/>
    <w:uiPriority w:val="0"/>
    <w:qFormat/>
    <w:pPr>
      <w:ind w:firstLine="196"/>
      <w:spacing w:line="360" w:lineRule="auto"/>
      <w:widowControl/>
    </w:pPr>
    <w:rPr>
      <w:rFonts w:ascii="宋体"/>
      <w:sz w:val="24"/>
    </w:rPr>
  </w:style>
  <w:style w:type="paragraph" w:styleId="1179" w:customStyle="1">
    <w:name w:val="表内容"/>
    <w:basedOn w:val="1180"/>
    <w:uiPriority w:val="0"/>
    <w:qFormat/>
    <w:pPr>
      <w:ind w:left="0" w:firstLine="0"/>
      <w:spacing w:line="320" w:lineRule="exact"/>
    </w:pPr>
    <w:rPr>
      <w:sz w:val="20"/>
    </w:rPr>
  </w:style>
  <w:style w:type="paragraph" w:styleId="1180" w:customStyle="1">
    <w:name w:val="正文11"/>
    <w:basedOn w:val="734"/>
    <w:uiPriority w:val="0"/>
    <w:qFormat/>
    <w:pPr>
      <w:ind w:left="357" w:firstLine="420"/>
      <w:jc w:val="left"/>
      <w:spacing w:line="360" w:lineRule="auto"/>
      <w:widowControl/>
    </w:pPr>
    <w:rPr>
      <w:rFonts w:cs="Arial"/>
      <w:szCs w:val="20"/>
    </w:rPr>
  </w:style>
  <w:style w:type="paragraph" w:styleId="1181" w:customStyle="1">
    <w:name w:val="Char Char1 Char Char Char Char Char Char"/>
    <w:basedOn w:val="734"/>
    <w:uiPriority w:val="0"/>
    <w:qFormat/>
    <w:pPr>
      <w:jc w:val="center"/>
      <w:widowControl/>
    </w:pPr>
    <w:rPr>
      <w:szCs w:val="20"/>
    </w:rPr>
  </w:style>
  <w:style w:type="paragraph" w:styleId="1182" w:customStyle="1">
    <w:name w:val="xl27"/>
    <w:basedOn w:val="7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83" w:customStyle="1">
    <w:name w:val="普通正文"/>
    <w:basedOn w:val="734"/>
    <w:uiPriority w:val="0"/>
    <w:qFormat/>
    <w:pPr>
      <w:ind w:firstLine="425"/>
      <w:jc w:val="left"/>
    </w:pPr>
    <w:rPr>
      <w:rFonts w:ascii="宋体"/>
      <w:sz w:val="20"/>
      <w:szCs w:val="20"/>
    </w:rPr>
  </w:style>
  <w:style w:type="paragraph" w:styleId="1184"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185" w:customStyle="1">
    <w:name w:val="附图标题"/>
    <w:basedOn w:val="1061"/>
    <w:next w:val="1060"/>
    <w:uiPriority w:val="0"/>
    <w:qFormat/>
    <w:pPr>
      <w:ind w:left="780" w:hanging="480"/>
      <w:jc w:val="center"/>
      <w:spacing w:after="100"/>
      <w:tabs>
        <w:tab w:val="left" w:pos="780" w:leader="none"/>
      </w:tabs>
    </w:pPr>
    <w:rPr>
      <w:b/>
      <w:sz w:val="21"/>
    </w:rPr>
  </w:style>
  <w:style w:type="paragraph" w:styleId="1186" w:customStyle="1">
    <w:name w:val="图号"/>
    <w:basedOn w:val="734"/>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187" w:customStyle="1">
    <w:name w:val="xl40"/>
    <w:basedOn w:val="734"/>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188" w:customStyle="1">
    <w:name w:val="缩进正文"/>
    <w:basedOn w:val="734"/>
    <w:uiPriority w:val="0"/>
    <w:qFormat/>
    <w:pPr>
      <w:ind w:left="1418" w:firstLine="425"/>
      <w:jc w:val="left"/>
      <w:spacing w:after="200" w:line="400" w:lineRule="exact"/>
      <w:widowControl/>
    </w:pPr>
    <w:rPr>
      <w:rFonts w:ascii="宋体"/>
      <w:sz w:val="24"/>
      <w:szCs w:val="20"/>
    </w:rPr>
  </w:style>
  <w:style w:type="paragraph" w:styleId="1189" w:customStyle="1">
    <w:name w:val="xl28"/>
    <w:basedOn w:val="7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90" w:customStyle="1">
    <w:name w:val="xl29"/>
    <w:basedOn w:val="73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91" w:customStyle="1">
    <w:name w:val="Char1"/>
    <w:basedOn w:val="734"/>
    <w:uiPriority w:val="0"/>
    <w:qFormat/>
    <w:pPr>
      <w:ind w:left="360" w:right="202" w:firstLine="360"/>
      <w:spacing w:line="480" w:lineRule="auto"/>
      <w:tabs>
        <w:tab w:val="left" w:pos="360" w:leader="none"/>
      </w:tabs>
    </w:pPr>
    <w:rPr>
      <w:sz w:val="24"/>
    </w:rPr>
  </w:style>
  <w:style w:type="paragraph" w:styleId="1192"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193" w:customStyle="1">
    <w:name w:val="pa-10"/>
    <w:basedOn w:val="734"/>
    <w:uiPriority w:val="0"/>
    <w:qFormat/>
    <w:pPr>
      <w:spacing w:line="240" w:lineRule="atLeast"/>
      <w:widowControl/>
    </w:pPr>
    <w:rPr>
      <w:rFonts w:ascii="宋体" w:cs="宋体"/>
      <w:sz w:val="24"/>
    </w:rPr>
  </w:style>
  <w:style w:type="paragraph" w:styleId="1194" w:customStyle="1">
    <w:name w:val="特点"/>
    <w:basedOn w:val="734"/>
    <w:next w:val="734"/>
    <w:uiPriority w:val="0"/>
    <w:qFormat/>
    <w:pPr>
      <w:jc w:val="center"/>
      <w:spacing w:line="360" w:lineRule="auto"/>
    </w:pPr>
    <w:rPr>
      <w:rFonts w:ascii="Arial" w:hAnsi="Arial"/>
      <w:sz w:val="24"/>
      <w:szCs w:val="20"/>
    </w:rPr>
  </w:style>
  <w:style w:type="paragraph" w:styleId="1195" w:customStyle="1">
    <w:name w:val="pa-4"/>
    <w:basedOn w:val="734"/>
    <w:uiPriority w:val="0"/>
    <w:qFormat/>
    <w:pPr>
      <w:jc w:val="center"/>
      <w:spacing w:line="280" w:lineRule="atLeast"/>
      <w:widowControl/>
    </w:pPr>
    <w:rPr>
      <w:rFonts w:ascii="宋体" w:cs="宋体"/>
      <w:sz w:val="24"/>
    </w:rPr>
  </w:style>
  <w:style w:type="paragraph" w:styleId="1196" w:customStyle="1">
    <w:name w:val="编号"/>
    <w:basedOn w:val="734"/>
    <w:next w:val="1142"/>
    <w:uiPriority w:val="0"/>
    <w:qFormat/>
    <w:pPr>
      <w:ind w:left="420" w:right="-136" w:hanging="420"/>
      <w:widowControl/>
      <w:tabs>
        <w:tab w:val="left" w:pos="420" w:leader="none"/>
      </w:tabs>
    </w:pPr>
    <w:rPr>
      <w:rFonts w:ascii="仿宋_GB2312" w:eastAsia="仿宋_GB2312"/>
      <w:b/>
      <w:bCs/>
      <w:sz w:val="24"/>
      <w:szCs w:val="21"/>
    </w:rPr>
  </w:style>
  <w:style w:type="paragraph" w:styleId="1197"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198" w:customStyle="1">
    <w:name w:val="xl33"/>
    <w:basedOn w:val="734"/>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99" w:customStyle="1">
    <w:name w:val="编号1"/>
    <w:next w:val="1142"/>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200" w:customStyle="1">
    <w:name w:val="xl32"/>
    <w:basedOn w:val="7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01" w:customStyle="1">
    <w:name w:val="CM17"/>
    <w:basedOn w:val="734"/>
    <w:next w:val="734"/>
    <w:uiPriority w:val="0"/>
    <w:qFormat/>
    <w:pPr>
      <w:jc w:val="left"/>
      <w:spacing w:after="273" w:line="360" w:lineRule="auto"/>
    </w:pPr>
    <w:rPr>
      <w:rFonts w:ascii="宋体"/>
      <w:sz w:val="24"/>
    </w:rPr>
  </w:style>
  <w:style w:type="paragraph" w:styleId="1202" w:customStyle="1">
    <w:name w:val="xl38"/>
    <w:basedOn w:val="73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203" w:customStyle="1">
    <w:name w:val="参考资料清单+倾斜+蓝色"/>
    <w:basedOn w:val="734"/>
    <w:uiPriority w:val="0"/>
    <w:qFormat/>
    <w:pPr>
      <w:spacing w:line="360" w:lineRule="auto"/>
    </w:pPr>
    <w:rPr>
      <w:rFonts w:ascii="Arial" w:hAnsi="Arial"/>
      <w:i/>
      <w:iCs/>
      <w:color w:val="0000ff"/>
      <w:szCs w:val="21"/>
    </w:rPr>
  </w:style>
  <w:style w:type="paragraph" w:styleId="1204"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205" w:customStyle="1">
    <w:name w:val="pa-8"/>
    <w:basedOn w:val="734"/>
    <w:uiPriority w:val="0"/>
    <w:qFormat/>
    <w:pPr>
      <w:ind w:firstLine="480"/>
      <w:spacing w:line="280" w:lineRule="atLeast"/>
      <w:widowControl/>
    </w:pPr>
    <w:rPr>
      <w:rFonts w:ascii="宋体" w:cs="宋体"/>
      <w:sz w:val="24"/>
    </w:rPr>
  </w:style>
  <w:style w:type="paragraph" w:styleId="1206" w:customStyle="1">
    <w:name w:val="标书2"/>
    <w:next w:val="1142"/>
    <w:uiPriority w:val="0"/>
    <w:qFormat/>
    <w:rPr>
      <w:rFonts w:hint="default" w:ascii="Times New Roman" w:hAnsi="Times New Roman" w:eastAsia="黑体" w:cs="宋体"/>
      <w:b/>
      <w:sz w:val="44"/>
      <w:lang w:val="en-US" w:eastAsia="zh-CN" w:bidi="ar-SA"/>
    </w:rPr>
  </w:style>
  <w:style w:type="paragraph" w:styleId="1207" w:customStyle="1">
    <w:name w:val="表格文字"/>
    <w:basedOn w:val="734"/>
    <w:uiPriority w:val="0"/>
    <w:qFormat/>
    <w:pPr>
      <w:jc w:val="left"/>
    </w:pPr>
    <w:rPr>
      <w:sz w:val="18"/>
    </w:rPr>
  </w:style>
  <w:style w:type="paragraph" w:styleId="1208" w:customStyle="1">
    <w:name w:val="首页空格"/>
    <w:uiPriority w:val="0"/>
    <w:qFormat/>
    <w:pPr>
      <w:jc w:val="center"/>
    </w:pPr>
    <w:rPr>
      <w:rFonts w:hint="default" w:ascii="Times New Roman" w:hAnsi="Times New Roman" w:eastAsia="宋体" w:cs="宋体"/>
      <w:sz w:val="72"/>
      <w:lang w:val="en-US" w:eastAsia="zh-CN" w:bidi="ar-SA"/>
    </w:rPr>
  </w:style>
  <w:style w:type="paragraph" w:styleId="1209" w:customStyle="1">
    <w:name w:val="保密事宜格式"/>
    <w:basedOn w:val="1061"/>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210"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211" w:customStyle="1">
    <w:name w:val="È±Ê¡ÎÄ±¾"/>
    <w:basedOn w:val="734"/>
    <w:uiPriority w:val="0"/>
    <w:qFormat/>
    <w:pPr>
      <w:jc w:val="left"/>
      <w:spacing w:line="360" w:lineRule="auto"/>
      <w:widowControl/>
    </w:pPr>
    <w:rPr>
      <w:sz w:val="24"/>
      <w:szCs w:val="20"/>
    </w:rPr>
  </w:style>
  <w:style w:type="paragraph" w:styleId="1212" w:customStyle="1">
    <w:name w:val="Char Char Char Char Char Char Char"/>
    <w:basedOn w:val="734"/>
    <w:uiPriority w:val="0"/>
    <w:qFormat/>
    <w:pPr>
      <w:jc w:val="left"/>
      <w:spacing w:after="160" w:line="240" w:lineRule="exact"/>
      <w:widowControl/>
    </w:pPr>
    <w:rPr>
      <w:rFonts w:ascii="Verdana" w:hAnsi="Verdana"/>
      <w:sz w:val="20"/>
      <w:szCs w:val="20"/>
      <w:lang w:eastAsia="en-US"/>
    </w:rPr>
  </w:style>
  <w:style w:type="paragraph" w:styleId="1213" w:customStyle="1">
    <w:name w:val="xl26"/>
    <w:basedOn w:val="73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14" w:customStyle="1">
    <w:name w:val="附图居中"/>
    <w:basedOn w:val="734"/>
    <w:next w:val="1185"/>
    <w:uiPriority w:val="0"/>
    <w:qFormat/>
    <w:pPr>
      <w:ind w:left="1271" w:hanging="420"/>
      <w:jc w:val="center"/>
      <w:keepNext/>
      <w:spacing w:line="360" w:lineRule="auto"/>
      <w:tabs>
        <w:tab w:val="left" w:pos="0" w:leader="none"/>
      </w:tabs>
    </w:pPr>
    <w:rPr>
      <w:caps/>
      <w:sz w:val="24"/>
    </w:rPr>
  </w:style>
  <w:style w:type="paragraph" w:styleId="1215" w:customStyle="1">
    <w:name w:val="pa-6"/>
    <w:basedOn w:val="734"/>
    <w:uiPriority w:val="0"/>
    <w:qFormat/>
    <w:pPr>
      <w:spacing w:line="360" w:lineRule="atLeast"/>
      <w:widowControl/>
    </w:pPr>
    <w:rPr>
      <w:rFonts w:ascii="宋体"/>
      <w:sz w:val="24"/>
      <w:szCs w:val="20"/>
    </w:rPr>
  </w:style>
  <w:style w:type="paragraph" w:styleId="1216" w:customStyle="1">
    <w:name w:val="规范正文"/>
    <w:basedOn w:val="734"/>
    <w:uiPriority w:val="0"/>
    <w:qFormat/>
    <w:pPr>
      <w:ind w:left="480"/>
      <w:spacing w:line="360" w:lineRule="auto"/>
    </w:pPr>
    <w:rPr>
      <w:sz w:val="24"/>
      <w:szCs w:val="20"/>
    </w:rPr>
  </w:style>
  <w:style w:type="paragraph" w:styleId="1217" w:customStyle="1">
    <w:name w:val="font7"/>
    <w:basedOn w:val="734"/>
    <w:uiPriority w:val="0"/>
    <w:qFormat/>
    <w:pPr>
      <w:jc w:val="left"/>
      <w:spacing w:before="100" w:beforeAutospacing="1" w:after="100" w:afterAutospacing="1"/>
      <w:widowControl/>
    </w:pPr>
    <w:rPr>
      <w:rFonts w:ascii="宋体"/>
      <w:sz w:val="20"/>
      <w:szCs w:val="20"/>
    </w:rPr>
  </w:style>
  <w:style w:type="paragraph" w:styleId="1218" w:customStyle="1">
    <w:name w:val="缺省文本"/>
    <w:basedOn w:val="734"/>
    <w:uiPriority w:val="0"/>
    <w:qFormat/>
    <w:pPr>
      <w:jc w:val="left"/>
    </w:pPr>
    <w:rPr>
      <w:sz w:val="24"/>
      <w:szCs w:val="20"/>
    </w:rPr>
  </w:style>
  <w:style w:type="paragraph" w:styleId="1219" w:customStyle="1">
    <w:name w:val="序号-----------"/>
    <w:basedOn w:val="734"/>
    <w:uiPriority w:val="0"/>
    <w:qFormat/>
    <w:pPr>
      <w:jc w:val="left"/>
      <w:widowControl/>
    </w:pPr>
    <w:rPr>
      <w:rFonts w:ascii="宋体"/>
      <w:bCs/>
      <w:szCs w:val="21"/>
    </w:rPr>
  </w:style>
  <w:style w:type="paragraph" w:styleId="1220" w:customStyle="1">
    <w:name w:val="font8"/>
    <w:basedOn w:val="734"/>
    <w:uiPriority w:val="0"/>
    <w:qFormat/>
    <w:pPr>
      <w:jc w:val="left"/>
      <w:spacing w:before="100" w:beforeAutospacing="1" w:after="100" w:afterAutospacing="1"/>
      <w:widowControl/>
    </w:pPr>
    <w:rPr>
      <w:rFonts w:ascii="Arial" w:hAnsi="Arial" w:cs="Arial"/>
      <w:color w:val="000000"/>
      <w:sz w:val="18"/>
      <w:szCs w:val="18"/>
    </w:rPr>
  </w:style>
  <w:style w:type="paragraph" w:styleId="1221" w:customStyle="1">
    <w:name w:val="表格标题"/>
    <w:basedOn w:val="734"/>
    <w:uiPriority w:val="0"/>
    <w:qFormat/>
    <w:pPr>
      <w:jc w:val="center"/>
    </w:pPr>
    <w:rPr>
      <w:b/>
    </w:rPr>
  </w:style>
  <w:style w:type="paragraph" w:styleId="1222" w:customStyle="1">
    <w:name w:val="章标题"/>
    <w:next w:val="1167"/>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223" w:customStyle="1">
    <w:name w:val="首页单位日期"/>
    <w:basedOn w:val="734"/>
    <w:uiPriority w:val="0"/>
    <w:qFormat/>
    <w:pPr>
      <w:jc w:val="center"/>
      <w:widowControl/>
    </w:pPr>
    <w:rPr>
      <w:rFonts w:ascii="宋体" w:cs="宋体"/>
      <w:bCs/>
      <w:sz w:val="28"/>
      <w:szCs w:val="20"/>
    </w:rPr>
  </w:style>
  <w:style w:type="paragraph" w:styleId="1224" w:customStyle="1">
    <w:name w:val="样式 正文缩进 + (中文) 仿宋_GB2312 小四 Char"/>
    <w:basedOn w:val="1060"/>
    <w:uiPriority w:val="0"/>
    <w:qFormat/>
    <w:pPr>
      <w:ind w:firstLine="200"/>
      <w:spacing w:line="360" w:lineRule="auto"/>
    </w:pPr>
    <w:rPr>
      <w:szCs w:val="24"/>
    </w:rPr>
  </w:style>
  <w:style w:type="paragraph" w:styleId="1225" w:customStyle="1">
    <w:name w:val="项目"/>
    <w:basedOn w:val="734"/>
    <w:uiPriority w:val="0"/>
    <w:qFormat/>
    <w:pPr>
      <w:ind w:left="840" w:hanging="420"/>
      <w:spacing w:before="60" w:after="60" w:line="360" w:lineRule="auto"/>
      <w:tabs>
        <w:tab w:val="left" w:pos="840" w:leader="none"/>
      </w:tabs>
    </w:pPr>
    <w:rPr>
      <w:rFonts w:ascii="宋体"/>
      <w:szCs w:val="20"/>
    </w:rPr>
  </w:style>
  <w:style w:type="paragraph" w:styleId="1226" w:customStyle="1">
    <w:name w:val="默认段落字体 Para Char"/>
    <w:basedOn w:val="734"/>
    <w:uiPriority w:val="0"/>
    <w:qFormat/>
    <w:rPr>
      <w:rFonts w:ascii="宋体"/>
      <w:b/>
      <w:sz w:val="28"/>
      <w:szCs w:val="28"/>
    </w:rPr>
  </w:style>
  <w:style w:type="paragraph" w:styleId="1227" w:customStyle="1">
    <w:name w:val="篇名"/>
    <w:next w:val="873"/>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228" w:customStyle="1">
    <w:name w:val="Char13"/>
    <w:basedOn w:val="734"/>
    <w:uiPriority w:val="0"/>
    <w:qFormat/>
  </w:style>
  <w:style w:type="paragraph" w:styleId="1229" w:customStyle="1">
    <w:name w:val="表头"/>
    <w:basedOn w:val="1180"/>
    <w:uiPriority w:val="0"/>
    <w:qFormat/>
    <w:pPr>
      <w:ind w:left="0" w:firstLine="0"/>
      <w:spacing w:line="240" w:lineRule="auto"/>
    </w:pPr>
    <w:rPr>
      <w:sz w:val="20"/>
    </w:rPr>
  </w:style>
  <w:style w:type="paragraph" w:styleId="1230" w:customStyle="1">
    <w:name w:val="表格序号"/>
    <w:uiPriority w:val="0"/>
    <w:qFormat/>
    <w:rPr>
      <w:rFonts w:hint="default" w:ascii="Times New Roman" w:hAnsi="Times New Roman" w:eastAsia="仿宋_GB2312" w:cs="宋体"/>
      <w:sz w:val="21"/>
      <w:lang w:val="en-US" w:eastAsia="zh-CN" w:bidi="ar-SA"/>
    </w:rPr>
  </w:style>
  <w:style w:type="paragraph" w:styleId="1231" w:customStyle="1">
    <w:name w:val="Char Char Char Char1"/>
    <w:basedOn w:val="734"/>
    <w:uiPriority w:val="0"/>
    <w:qFormat/>
    <w:pPr>
      <w:ind w:firstLine="200"/>
      <w:spacing w:line="360" w:lineRule="auto"/>
    </w:pPr>
    <w:rPr>
      <w:sz w:val="24"/>
      <w:szCs w:val="20"/>
    </w:rPr>
  </w:style>
  <w:style w:type="paragraph" w:styleId="1232" w:customStyle="1">
    <w:name w:val="标书3"/>
    <w:next w:val="1142"/>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233" w:customStyle="1">
    <w:name w:val="首页小标题"/>
    <w:next w:val="1208"/>
    <w:uiPriority w:val="0"/>
    <w:qFormat/>
    <w:pPr>
      <w:jc w:val="center"/>
    </w:pPr>
    <w:rPr>
      <w:rFonts w:hint="default" w:ascii="Times New Roman" w:hAnsi="Times New Roman" w:eastAsia="宋体" w:cs="宋体"/>
      <w:sz w:val="44"/>
      <w:lang w:val="en-US" w:eastAsia="zh-CN" w:bidi="ar-SA"/>
    </w:rPr>
  </w:style>
  <w:style w:type="paragraph" w:styleId="1234" w:customStyle="1">
    <w:name w:val="新段落缩进"/>
    <w:basedOn w:val="734"/>
    <w:uiPriority w:val="0"/>
    <w:qFormat/>
    <w:pPr>
      <w:ind w:firstLine="200"/>
      <w:spacing w:line="400" w:lineRule="exact"/>
    </w:pPr>
    <w:rPr>
      <w:rFonts w:ascii="仿宋_GB2312" w:eastAsia="仿宋_GB2312"/>
      <w:sz w:val="24"/>
    </w:rPr>
  </w:style>
  <w:style w:type="paragraph" w:styleId="1235" w:customStyle="1">
    <w:name w:val="pa-2"/>
    <w:basedOn w:val="734"/>
    <w:uiPriority w:val="0"/>
    <w:qFormat/>
    <w:pPr>
      <w:spacing w:line="360" w:lineRule="atLeast"/>
      <w:widowControl/>
    </w:pPr>
    <w:rPr>
      <w:rFonts w:ascii="宋体" w:cs="宋体"/>
      <w:sz w:val="24"/>
    </w:rPr>
  </w:style>
  <w:style w:type="paragraph" w:styleId="1236" w:customStyle="1">
    <w:name w:val="四级条标题"/>
    <w:basedOn w:val="1174"/>
    <w:next w:val="1167"/>
    <w:uiPriority w:val="0"/>
    <w:qFormat/>
    <w:pPr>
      <w:ind w:left="0"/>
      <w:outlineLvl w:val="5"/>
    </w:pPr>
  </w:style>
  <w:style w:type="paragraph" w:styleId="1237" w:customStyle="1">
    <w:name w:val="保密事宜内容"/>
    <w:basedOn w:val="734"/>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238" w:customStyle="1">
    <w:name w:val="xl30"/>
    <w:basedOn w:val="7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39" w:customStyle="1">
    <w:name w:val="Char1 Char Char Char"/>
    <w:basedOn w:val="734"/>
    <w:uiPriority w:val="0"/>
    <w:qFormat/>
    <w:rPr>
      <w:szCs w:val="20"/>
    </w:rPr>
  </w:style>
  <w:style w:type="paragraph" w:styleId="1240" w:customStyle="1">
    <w:name w:val="正文 + 宋体"/>
    <w:basedOn w:val="734"/>
    <w:uiPriority w:val="0"/>
    <w:qFormat/>
    <w:pPr>
      <w:ind w:firstLine="250"/>
    </w:pPr>
    <w:rPr>
      <w:rFonts w:ascii="宋体"/>
      <w:szCs w:val="21"/>
    </w:rPr>
  </w:style>
  <w:style w:type="paragraph" w:styleId="1241" w:customStyle="1">
    <w:name w:val="xl31"/>
    <w:basedOn w:val="734"/>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242" w:customStyle="1">
    <w:name w:val="pbody"/>
    <w:basedOn w:val="734"/>
    <w:uiPriority w:val="0"/>
    <w:qFormat/>
    <w:pPr>
      <w:jc w:val="left"/>
      <w:spacing w:before="100" w:beforeAutospacing="1" w:after="100" w:afterAutospacing="1" w:line="360" w:lineRule="auto"/>
      <w:widowControl/>
    </w:pPr>
    <w:rPr>
      <w:rFonts w:ascii="宋体" w:cs="宋体"/>
      <w:sz w:val="24"/>
    </w:rPr>
  </w:style>
  <w:style w:type="paragraph" w:styleId="1243" w:customStyle="1">
    <w:name w:val="xl42"/>
    <w:basedOn w:val="734"/>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244" w:customStyle="1">
    <w:name w:val="txt"/>
    <w:basedOn w:val="734"/>
    <w:uiPriority w:val="0"/>
    <w:qFormat/>
    <w:pPr>
      <w:jc w:val="left"/>
      <w:spacing w:before="100" w:beforeAutospacing="1" w:after="100" w:afterAutospacing="1"/>
      <w:widowControl/>
    </w:pPr>
    <w:rPr>
      <w:rFonts w:ascii="宋体" w:cs="宋体"/>
      <w:sz w:val="24"/>
    </w:rPr>
  </w:style>
  <w:style w:type="paragraph" w:styleId="1245" w:customStyle="1">
    <w:name w:val="样式1"/>
    <w:basedOn w:val="1059"/>
    <w:next w:val="734"/>
    <w:uiPriority w:val="0"/>
    <w:qFormat/>
    <w:rPr>
      <w:rFonts w:ascii="Arial" w:hAnsi="Arial" w:eastAsia="幼圆" w:cs="Arial"/>
      <w:sz w:val="24"/>
      <w:szCs w:val="20"/>
    </w:rPr>
  </w:style>
  <w:style w:type="paragraph" w:styleId="1246" w:customStyle="1">
    <w:name w:val="xl37"/>
    <w:basedOn w:val="73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247" w:customStyle="1">
    <w:name w:val="列表段落11"/>
    <w:basedOn w:val="734"/>
    <w:uiPriority w:val="0"/>
    <w:qFormat/>
    <w:pPr>
      <w:ind w:firstLine="420"/>
    </w:pPr>
  </w:style>
  <w:style w:type="paragraph" w:styleId="1248"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249" w:customStyle="1">
    <w:name w:val="样式 序号----------- + 仿宋_GB2312"/>
    <w:basedOn w:val="1219"/>
    <w:uiPriority w:val="0"/>
    <w:qFormat/>
    <w:pPr>
      <w:ind w:firstLine="200"/>
      <w:spacing w:line="360" w:lineRule="auto"/>
    </w:pPr>
    <w:rPr>
      <w:rFonts w:ascii="仿宋_GB2312" w:eastAsia="仿宋_GB2312"/>
      <w:bCs w:val="0"/>
    </w:rPr>
  </w:style>
  <w:style w:type="paragraph" w:styleId="1250" w:customStyle="1">
    <w:name w:val="xl41"/>
    <w:basedOn w:val="734"/>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251" w:customStyle="1">
    <w:name w:val="Char11"/>
    <w:basedOn w:val="734"/>
    <w:uiPriority w:val="0"/>
    <w:qFormat/>
    <w:rPr>
      <w:szCs w:val="21"/>
    </w:rPr>
  </w:style>
  <w:style w:type="paragraph" w:styleId="1252" w:customStyle="1">
    <w:name w:val="样式 序号----------- + 仿宋_GB23121"/>
    <w:basedOn w:val="1219"/>
    <w:uiPriority w:val="0"/>
    <w:qFormat/>
    <w:pPr>
      <w:spacing w:line="360" w:lineRule="auto"/>
    </w:pPr>
    <w:rPr>
      <w:rFonts w:ascii="仿宋_GB2312" w:eastAsia="仿宋_GB2312"/>
      <w:bCs w:val="0"/>
    </w:rPr>
  </w:style>
  <w:style w:type="paragraph" w:styleId="1253" w:customStyle="1">
    <w:name w:val="pa-9"/>
    <w:basedOn w:val="734"/>
    <w:uiPriority w:val="0"/>
    <w:qFormat/>
    <w:pPr>
      <w:jc w:val="center"/>
      <w:spacing w:line="360" w:lineRule="atLeast"/>
      <w:widowControl/>
    </w:pPr>
    <w:rPr>
      <w:rFonts w:ascii="宋体" w:cs="宋体"/>
      <w:sz w:val="24"/>
    </w:rPr>
  </w:style>
  <w:style w:type="paragraph" w:styleId="1254" w:customStyle="1">
    <w:name w:val="pa-3"/>
    <w:basedOn w:val="734"/>
    <w:uiPriority w:val="0"/>
    <w:qFormat/>
    <w:pPr>
      <w:jc w:val="left"/>
      <w:spacing w:before="150" w:after="150"/>
      <w:widowControl/>
    </w:pPr>
    <w:rPr>
      <w:rFonts w:ascii="宋体" w:cs="宋体"/>
      <w:sz w:val="24"/>
    </w:rPr>
  </w:style>
  <w:style w:type="paragraph" w:styleId="1255" w:customStyle="1">
    <w:name w:val="font5"/>
    <w:basedOn w:val="734"/>
    <w:uiPriority w:val="0"/>
    <w:qFormat/>
    <w:pPr>
      <w:jc w:val="left"/>
      <w:spacing w:before="100" w:beforeAutospacing="1" w:after="100" w:afterAutospacing="1"/>
      <w:widowControl/>
    </w:pPr>
    <w:rPr>
      <w:rFonts w:ascii="宋体"/>
      <w:sz w:val="18"/>
      <w:szCs w:val="18"/>
    </w:rPr>
  </w:style>
  <w:style w:type="paragraph" w:styleId="1256" w:customStyle="1">
    <w:name w:val="pa-5"/>
    <w:basedOn w:val="734"/>
    <w:uiPriority w:val="0"/>
    <w:qFormat/>
    <w:pPr>
      <w:spacing w:line="280" w:lineRule="atLeast"/>
      <w:widowControl/>
    </w:pPr>
    <w:rPr>
      <w:rFonts w:ascii="宋体" w:cs="宋体"/>
      <w:sz w:val="24"/>
    </w:rPr>
  </w:style>
  <w:style w:type="paragraph" w:styleId="1257" w:customStyle="1">
    <w:name w:val="xl39"/>
    <w:basedOn w:val="734"/>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258" w:customStyle="1">
    <w:name w:val="font6"/>
    <w:basedOn w:val="734"/>
    <w:uiPriority w:val="0"/>
    <w:qFormat/>
    <w:pPr>
      <w:jc w:val="left"/>
      <w:spacing w:before="100" w:beforeAutospacing="1" w:after="100" w:afterAutospacing="1"/>
      <w:widowControl/>
    </w:pPr>
    <w:rPr>
      <w:sz w:val="20"/>
      <w:szCs w:val="20"/>
    </w:rPr>
  </w:style>
  <w:style w:type="paragraph" w:styleId="1259" w:customStyle="1">
    <w:name w:val="font9"/>
    <w:basedOn w:val="734"/>
    <w:uiPriority w:val="0"/>
    <w:qFormat/>
    <w:pPr>
      <w:jc w:val="left"/>
      <w:spacing w:before="100" w:beforeAutospacing="1" w:after="100" w:afterAutospacing="1"/>
      <w:widowControl/>
    </w:pPr>
    <w:rPr>
      <w:rFonts w:ascii="宋体"/>
      <w:color w:val="000000"/>
      <w:sz w:val="18"/>
      <w:szCs w:val="18"/>
    </w:rPr>
  </w:style>
  <w:style w:type="paragraph" w:styleId="1260" w:customStyle="1">
    <w:name w:val="列出段落1"/>
    <w:basedOn w:val="734"/>
    <w:link w:val="1261"/>
    <w:uiPriority w:val="0"/>
    <w:qFormat/>
    <w:pPr>
      <w:ind w:firstLine="200"/>
    </w:pPr>
  </w:style>
  <w:style w:type="character" w:styleId="1261" w:customStyle="1">
    <w:name w:val="列出段落 Char"/>
    <w:link w:val="1260"/>
    <w:uiPriority w:val="0"/>
    <w:qFormat/>
    <w:rPr>
      <w:rFonts w:ascii="Calibri" w:hAnsi="Calibri"/>
      <w:sz w:val="21"/>
      <w:szCs w:val="22"/>
    </w:rPr>
  </w:style>
  <w:style w:type="paragraph" w:styleId="1262" w:customStyle="1">
    <w:name w:val="p0"/>
    <w:basedOn w:val="734"/>
    <w:uiPriority w:val="0"/>
    <w:qFormat/>
    <w:pPr>
      <w:widowControl/>
    </w:pPr>
    <w:rPr>
      <w:szCs w:val="21"/>
    </w:rPr>
  </w:style>
  <w:style w:type="paragraph" w:styleId="1263" w:customStyle="1">
    <w:name w:val="Char Char Char Char Char Char Char Char Char Char21"/>
    <w:basedOn w:val="734"/>
    <w:uiPriority w:val="0"/>
    <w:qFormat/>
    <w:rPr>
      <w:rFonts w:ascii="Tahoma" w:hAnsi="Tahoma"/>
      <w:sz w:val="24"/>
      <w:szCs w:val="20"/>
    </w:rPr>
  </w:style>
  <w:style w:type="paragraph" w:styleId="1264"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265" w:customStyle="1">
    <w:name w:val="表格正文"/>
    <w:basedOn w:val="734"/>
    <w:uiPriority w:val="0"/>
    <w:qFormat/>
    <w:pPr>
      <w:spacing w:line="300" w:lineRule="auto"/>
      <w:tabs>
        <w:tab w:val="left" w:pos="420" w:leader="none"/>
      </w:tabs>
    </w:pPr>
  </w:style>
  <w:style w:type="paragraph" w:styleId="1266" w:customStyle="1">
    <w:name w:val="首页标题小初"/>
    <w:uiPriority w:val="0"/>
    <w:qFormat/>
    <w:pPr>
      <w:jc w:val="center"/>
    </w:pPr>
    <w:rPr>
      <w:rFonts w:hint="default" w:ascii="黑体" w:hAnsi="Times New Roman" w:eastAsia="黑体" w:cs="宋体"/>
      <w:sz w:val="72"/>
      <w:lang w:val="en-US" w:eastAsia="zh-CN" w:bidi="ar-SA"/>
    </w:rPr>
  </w:style>
  <w:style w:type="paragraph" w:styleId="1267" w:customStyle="1">
    <w:name w:val="五级条标题"/>
    <w:basedOn w:val="1236"/>
    <w:next w:val="1167"/>
    <w:uiPriority w:val="0"/>
    <w:qFormat/>
    <w:pPr>
      <w:outlineLvl w:val="6"/>
    </w:pPr>
  </w:style>
  <w:style w:type="paragraph" w:styleId="1268" w:customStyle="1">
    <w:name w:val="Char Char Char Char Char Char Char1"/>
    <w:basedOn w:val="734"/>
    <w:uiPriority w:val="0"/>
    <w:qFormat/>
    <w:pPr>
      <w:jc w:val="left"/>
      <w:spacing w:after="160" w:line="240" w:lineRule="exact"/>
      <w:widowControl/>
    </w:pPr>
    <w:rPr>
      <w:rFonts w:ascii="Verdana" w:hAnsi="Verdana"/>
      <w:sz w:val="20"/>
      <w:szCs w:val="20"/>
      <w:lang w:eastAsia="en-US"/>
    </w:rPr>
  </w:style>
  <w:style w:type="paragraph" w:styleId="1269" w:customStyle="1">
    <w:name w:val="ibm-list-next"/>
    <w:basedOn w:val="734"/>
    <w:uiPriority w:val="0"/>
    <w:qFormat/>
    <w:pPr>
      <w:jc w:val="left"/>
      <w:spacing w:before="100" w:beforeAutospacing="1" w:after="100" w:afterAutospacing="1"/>
      <w:widowControl/>
    </w:pPr>
    <w:rPr>
      <w:rFonts w:ascii="宋体" w:cs="宋体"/>
      <w:sz w:val="24"/>
    </w:rPr>
  </w:style>
  <w:style w:type="paragraph" w:styleId="1270" w:customStyle="1">
    <w:name w:val="首页标题 一号"/>
    <w:basedOn w:val="1266"/>
    <w:uiPriority w:val="0"/>
    <w:qFormat/>
    <w:rPr>
      <w:sz w:val="52"/>
    </w:rPr>
  </w:style>
  <w:style w:type="paragraph" w:styleId="1271" w:customStyle="1">
    <w:name w:val="Char Char Char Char Char Char Char Char Char Char2"/>
    <w:basedOn w:val="734"/>
    <w:uiPriority w:val="0"/>
    <w:qFormat/>
    <w:rPr>
      <w:rFonts w:ascii="Tahoma" w:hAnsi="Tahoma"/>
      <w:sz w:val="24"/>
      <w:szCs w:val="20"/>
    </w:rPr>
  </w:style>
  <w:style w:type="paragraph" w:styleId="1272" w:customStyle="1">
    <w:name w:val="正文（编号）"/>
    <w:basedOn w:val="1129"/>
    <w:link w:val="1273"/>
    <w:uiPriority w:val="0"/>
    <w:qFormat/>
    <w:pPr>
      <w:ind w:left="720" w:firstLine="0"/>
      <w:tabs>
        <w:tab w:val="left" w:pos="720" w:leader="none"/>
        <w:tab w:val="left" w:pos="780" w:leader="none"/>
      </w:tabs>
    </w:pPr>
    <w:rPr>
      <w:rFonts w:ascii="Times New Roman" w:hAnsi="Times New Roman"/>
      <w:szCs w:val="24"/>
    </w:rPr>
  </w:style>
  <w:style w:type="character" w:styleId="1273" w:customStyle="1">
    <w:name w:val="正文（编号） Char Char"/>
    <w:link w:val="1272"/>
    <w:uiPriority w:val="0"/>
    <w:qFormat/>
    <w:rPr>
      <w:sz w:val="24"/>
      <w:szCs w:val="24"/>
    </w:rPr>
  </w:style>
  <w:style w:type="paragraph" w:styleId="1274" w:customStyle="1">
    <w:name w:val="表格"/>
    <w:basedOn w:val="734"/>
    <w:uiPriority w:val="0"/>
    <w:qFormat/>
    <w:pPr>
      <w:ind w:firstLine="21"/>
    </w:pPr>
    <w:rPr>
      <w:rFonts w:ascii="宋体"/>
      <w:szCs w:val="20"/>
    </w:rPr>
  </w:style>
  <w:style w:type="character" w:styleId="1275" w:customStyle="1">
    <w:name w:val="正文（缩进） Char Char"/>
    <w:link w:val="734"/>
    <w:uiPriority w:val="0"/>
    <w:qFormat/>
    <w:rPr>
      <w:rFonts w:eastAsia="宋体"/>
      <w:sz w:val="24"/>
      <w:szCs w:val="24"/>
      <w:lang w:val="en-US" w:eastAsia="zh-CN" w:bidi="ar-SA"/>
    </w:rPr>
  </w:style>
  <w:style w:type="paragraph" w:styleId="1276" w:customStyle="1">
    <w:name w:val="Char Char Char1"/>
    <w:basedOn w:val="734"/>
    <w:uiPriority w:val="0"/>
    <w:qFormat/>
    <w:rPr>
      <w:szCs w:val="21"/>
    </w:rPr>
  </w:style>
  <w:style w:type="paragraph" w:styleId="1277" w:customStyle="1">
    <w:name w:val="样式 正文2 + 首行缩进:  0 厘米 段后: 1.5 行"/>
    <w:basedOn w:val="734"/>
    <w:uiPriority w:val="0"/>
    <w:qFormat/>
    <w:pPr>
      <w:ind w:left="985" w:hanging="567"/>
      <w:jc w:val="left"/>
      <w:spacing w:line="360" w:lineRule="auto"/>
      <w:widowControl/>
      <w:tabs>
        <w:tab w:val="left" w:pos="987" w:leader="none"/>
      </w:tabs>
    </w:pPr>
    <w:rPr>
      <w:rFonts w:eastAsia="楷体_GB2312"/>
      <w:sz w:val="24"/>
      <w:szCs w:val="20"/>
      <w:lang w:eastAsia="en-US"/>
    </w:rPr>
  </w:style>
  <w:style w:type="paragraph" w:styleId="1278" w:customStyle="1">
    <w:name w:val="表中文字"/>
    <w:basedOn w:val="734"/>
    <w:uiPriority w:val="0"/>
    <w:qFormat/>
    <w:pPr>
      <w:widowControl/>
    </w:pPr>
    <w:rPr>
      <w:szCs w:val="20"/>
    </w:rPr>
  </w:style>
  <w:style w:type="character" w:styleId="1279" w:customStyle="1">
    <w:name w:val="z1"/>
    <w:link w:val="734"/>
    <w:uiPriority w:val="0"/>
    <w:qFormat/>
  </w:style>
  <w:style w:type="paragraph" w:styleId="1280" w:customStyle="1">
    <w:name w:val="a1"/>
    <w:basedOn w:val="734"/>
    <w:uiPriority w:val="0"/>
    <w:qFormat/>
    <w:pPr>
      <w:jc w:val="left"/>
      <w:spacing w:before="100" w:beforeAutospacing="1" w:after="100" w:afterAutospacing="1"/>
      <w:widowControl/>
    </w:pPr>
    <w:rPr>
      <w:rFonts w:ascii="宋体"/>
      <w:sz w:val="24"/>
    </w:rPr>
  </w:style>
  <w:style w:type="paragraph" w:styleId="1281" w:customStyle="1">
    <w:name w:val="a0"/>
    <w:basedOn w:val="734"/>
    <w:uiPriority w:val="0"/>
    <w:qFormat/>
    <w:pPr>
      <w:jc w:val="left"/>
      <w:spacing w:before="100" w:beforeAutospacing="1" w:after="100" w:afterAutospacing="1"/>
      <w:widowControl/>
    </w:pPr>
    <w:rPr>
      <w:rFonts w:ascii="宋体"/>
      <w:sz w:val="24"/>
    </w:rPr>
  </w:style>
  <w:style w:type="paragraph" w:styleId="1282" w:customStyle="1">
    <w:name w:val="tabletext"/>
    <w:basedOn w:val="734"/>
    <w:uiPriority w:val="0"/>
    <w:qFormat/>
    <w:pPr>
      <w:jc w:val="left"/>
      <w:spacing w:before="100" w:beforeAutospacing="1" w:after="100" w:afterAutospacing="1"/>
      <w:widowControl/>
    </w:pPr>
    <w:rPr>
      <w:rFonts w:ascii="宋体"/>
      <w:sz w:val="24"/>
    </w:rPr>
  </w:style>
  <w:style w:type="paragraph" w:styleId="1283" w:customStyle="1">
    <w:name w:val="我的样式"/>
    <w:basedOn w:val="734"/>
    <w:uiPriority w:val="0"/>
    <w:qFormat/>
    <w:pPr>
      <w:ind w:firstLine="420"/>
      <w:jc w:val="left"/>
      <w:spacing w:after="120"/>
      <w:widowControl/>
    </w:pPr>
    <w:rPr>
      <w:rFonts w:ascii="宋体"/>
      <w:color w:val="000000"/>
      <w:sz w:val="24"/>
      <w:szCs w:val="16"/>
    </w:rPr>
  </w:style>
  <w:style w:type="paragraph" w:styleId="1284" w:customStyle="1">
    <w:name w:val="Figure and Table Title"/>
    <w:basedOn w:val="734"/>
    <w:uiPriority w:val="0"/>
    <w:qFormat/>
    <w:pPr>
      <w:ind w:left="2160"/>
      <w:jc w:val="left"/>
      <w:widowControl/>
    </w:pPr>
    <w:rPr>
      <w:rFonts w:ascii="Helvetica-Light" w:hAnsi="Helvetica-Light"/>
      <w:b/>
      <w:bCs/>
      <w:sz w:val="20"/>
      <w:lang w:eastAsia="en-US"/>
    </w:rPr>
  </w:style>
  <w:style w:type="paragraph" w:styleId="1285" w:customStyle="1">
    <w:name w:val="Table Text/Title"/>
    <w:basedOn w:val="734"/>
    <w:uiPriority w:val="0"/>
    <w:qFormat/>
    <w:pPr>
      <w:jc w:val="left"/>
      <w:widowControl/>
    </w:pPr>
    <w:rPr>
      <w:rFonts w:ascii="宋体"/>
      <w:b/>
      <w:bCs/>
      <w:sz w:val="20"/>
      <w:szCs w:val="20"/>
      <w:lang w:eastAsia="en-US"/>
    </w:rPr>
  </w:style>
  <w:style w:type="paragraph" w:styleId="1286" w:customStyle="1">
    <w:name w:val="Sourcetext bullet"/>
    <w:basedOn w:val="734"/>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287" w:customStyle="1">
    <w:name w:val="无标题正文 Char Char Char Char Char Char Char Char Char Char Char Char Char Char Char Char Char Char Char Char Char Char Char Char Char Char Char1 Char"/>
    <w:basedOn w:val="734"/>
    <w:uiPriority w:val="0"/>
    <w:qFormat/>
    <w:pPr>
      <w:jc w:val="center"/>
      <w:spacing w:after="160" w:line="240" w:lineRule="exact"/>
      <w:widowControl/>
    </w:pPr>
    <w:rPr>
      <w:rFonts w:ascii="Arial" w:hAnsi="Arial"/>
      <w:sz w:val="20"/>
      <w:szCs w:val="20"/>
      <w:lang w:eastAsia="en-US"/>
    </w:rPr>
  </w:style>
  <w:style w:type="paragraph" w:styleId="1288" w:customStyle="1">
    <w:name w:val="Char Char Char Char"/>
    <w:basedOn w:val="734"/>
    <w:uiPriority w:val="0"/>
    <w:qFormat/>
    <w:pPr>
      <w:ind w:left="560" w:firstLine="200"/>
      <w:jc w:val="left"/>
      <w:spacing w:after="120" w:line="360" w:lineRule="auto"/>
      <w:widowControl/>
    </w:pPr>
    <w:rPr>
      <w:rFonts w:ascii="Verdana" w:hAnsi="Verdana"/>
      <w:sz w:val="24"/>
    </w:rPr>
  </w:style>
  <w:style w:type="character" w:styleId="1289" w:customStyle="1">
    <w:name w:val="style91"/>
    <w:link w:val="734"/>
    <w:uiPriority w:val="0"/>
    <w:qFormat/>
    <w:rPr>
      <w:color w:val="2060c0"/>
      <w:sz w:val="24"/>
      <w:szCs w:val="24"/>
    </w:rPr>
  </w:style>
  <w:style w:type="paragraph" w:styleId="1290" w:customStyle="1">
    <w:name w:val="标准小四"/>
    <w:basedOn w:val="734"/>
    <w:uiPriority w:val="0"/>
    <w:qFormat/>
    <w:pPr>
      <w:ind w:firstLine="200"/>
      <w:spacing w:line="360" w:lineRule="auto"/>
    </w:pPr>
    <w:rPr>
      <w:rFonts w:ascii="Arial" w:hAnsi="Arial"/>
      <w:sz w:val="24"/>
      <w:szCs w:val="21"/>
    </w:rPr>
  </w:style>
  <w:style w:type="paragraph" w:styleId="1291" w:customStyle="1">
    <w:name w:val="样式 正文首行缩进 + 宋体 首行缩进:  0.74 厘米"/>
    <w:basedOn w:val="1101"/>
    <w:uiPriority w:val="0"/>
    <w:qFormat/>
    <w:pPr>
      <w:ind w:firstLine="210"/>
      <w:spacing w:before="120" w:after="0" w:line="380" w:lineRule="exact"/>
    </w:pPr>
    <w:rPr>
      <w:rFonts w:ascii="宋体" w:cs="宋体"/>
      <w:sz w:val="24"/>
      <w:szCs w:val="20"/>
    </w:rPr>
  </w:style>
  <w:style w:type="paragraph" w:styleId="1292" w:customStyle="1">
    <w:name w:val="默认段落字体 Para Char Char Char Char Char Char Char Char Char1"/>
    <w:basedOn w:val="734"/>
    <w:uiPriority w:val="0"/>
    <w:qFormat/>
    <w:rPr>
      <w:rFonts w:ascii="Tahoma" w:hAnsi="Tahoma"/>
      <w:sz w:val="24"/>
      <w:szCs w:val="20"/>
    </w:rPr>
  </w:style>
  <w:style w:type="paragraph" w:styleId="1293" w:customStyle="1">
    <w:name w:val="正文小四"/>
    <w:basedOn w:val="734"/>
    <w:uiPriority w:val="0"/>
    <w:qFormat/>
    <w:pPr>
      <w:spacing w:line="312" w:lineRule="auto"/>
    </w:pPr>
    <w:rPr>
      <w:sz w:val="24"/>
    </w:rPr>
  </w:style>
  <w:style w:type="paragraph" w:styleId="1294" w:customStyle="1">
    <w:name w:val="ul"/>
    <w:basedOn w:val="734"/>
    <w:uiPriority w:val="0"/>
    <w:qFormat/>
    <w:pPr>
      <w:numPr>
        <w:ilvl w:val="0"/>
        <w:numId w:val="1"/>
      </w:numPr>
      <w:ind w:left="567" w:hanging="85"/>
      <w:jc w:val="left"/>
      <w:spacing w:line="360" w:lineRule="auto"/>
      <w:widowControl/>
      <w:tabs>
        <w:tab w:val="left" w:pos="842" w:leader="none"/>
      </w:tabs>
    </w:pPr>
    <w:rPr>
      <w:sz w:val="24"/>
    </w:rPr>
  </w:style>
  <w:style w:type="paragraph" w:styleId="1295" w:customStyle="1">
    <w:name w:val="Bullet"/>
    <w:basedOn w:val="734"/>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296" w:customStyle="1">
    <w:name w:val="正文（首行缩进）"/>
    <w:basedOn w:val="734"/>
    <w:uiPriority w:val="0"/>
    <w:qFormat/>
    <w:pPr>
      <w:ind w:firstLine="482"/>
      <w:spacing w:before="120" w:line="360" w:lineRule="auto"/>
      <w:widowControl/>
    </w:pPr>
    <w:rPr>
      <w:sz w:val="24"/>
      <w:szCs w:val="20"/>
    </w:rPr>
  </w:style>
  <w:style w:type="character" w:styleId="1297" w:customStyle="1">
    <w:name w:val="style161"/>
    <w:link w:val="734"/>
    <w:uiPriority w:val="0"/>
    <w:qFormat/>
    <w:rPr>
      <w:rFonts w:ascii="Verdana" w:hAnsi="Verdana" w:eastAsia="宋体"/>
      <w:b/>
      <w:color w:val="0a246a"/>
      <w:sz w:val="24"/>
      <w:szCs w:val="24"/>
      <w:lang w:val="en-US" w:eastAsia="zh-CN" w:bidi="ar-SA"/>
    </w:rPr>
  </w:style>
  <w:style w:type="paragraph" w:styleId="1298" w:customStyle="1">
    <w:name w:val="正文（首行缩进两字）"/>
    <w:basedOn w:val="734"/>
    <w:uiPriority w:val="0"/>
    <w:qFormat/>
    <w:pPr>
      <w:spacing w:line="312" w:lineRule="auto"/>
    </w:pPr>
    <w:rPr>
      <w:rFonts w:ascii="宋体" w:cs="宋体"/>
      <w:sz w:val="24"/>
    </w:rPr>
  </w:style>
  <w:style w:type="paragraph" w:styleId="1299" w:customStyle="1">
    <w:name w:val="正文文字缩进 3"/>
    <w:basedOn w:val="734"/>
    <w:uiPriority w:val="0"/>
    <w:qFormat/>
    <w:pPr>
      <w:ind w:left="420" w:firstLine="420"/>
      <w:spacing w:line="312" w:lineRule="auto"/>
    </w:pPr>
    <w:rPr>
      <w:rFonts w:ascii="黑体" w:hAnsi="黑体" w:cs="宋体"/>
      <w:bCs/>
      <w:color w:val="000000"/>
      <w:sz w:val="24"/>
    </w:rPr>
  </w:style>
  <w:style w:type="paragraph" w:styleId="1300" w:customStyle="1">
    <w:name w:val="技术方案3"/>
    <w:basedOn w:val="734"/>
    <w:uiPriority w:val="0"/>
    <w:qFormat/>
    <w:pPr>
      <w:spacing w:line="360" w:lineRule="auto"/>
    </w:pPr>
    <w:rPr>
      <w:rFonts w:ascii="宋体"/>
      <w:b/>
      <w:bCs/>
      <w:sz w:val="32"/>
    </w:rPr>
  </w:style>
  <w:style w:type="paragraph" w:styleId="1301" w:customStyle="1">
    <w:name w:val="技术方案2"/>
    <w:basedOn w:val="734"/>
    <w:uiPriority w:val="0"/>
    <w:qFormat/>
    <w:pPr>
      <w:spacing w:line="480" w:lineRule="auto"/>
    </w:pPr>
    <w:rPr>
      <w:rFonts w:ascii="宋体"/>
      <w:b/>
      <w:bCs/>
      <w:sz w:val="36"/>
    </w:rPr>
  </w:style>
  <w:style w:type="paragraph" w:styleId="1302" w:customStyle="1">
    <w:name w:val="技术方案正文"/>
    <w:basedOn w:val="734"/>
    <w:uiPriority w:val="0"/>
    <w:qFormat/>
    <w:pPr>
      <w:ind w:firstLine="480"/>
      <w:spacing w:line="360" w:lineRule="auto"/>
    </w:pPr>
    <w:rPr>
      <w:rFonts w:ascii="宋体"/>
      <w:sz w:val="24"/>
    </w:rPr>
  </w:style>
  <w:style w:type="paragraph" w:styleId="1303"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304" w:customStyle="1">
    <w:name w:val="Normal Paragraph"/>
    <w:basedOn w:val="734"/>
    <w:uiPriority w:val="0"/>
    <w:qFormat/>
    <w:pPr>
      <w:ind w:firstLine="425"/>
      <w:spacing w:before="120" w:line="360" w:lineRule="auto"/>
      <w:widowControl/>
    </w:pPr>
    <w:rPr>
      <w:sz w:val="24"/>
      <w:szCs w:val="20"/>
    </w:rPr>
  </w:style>
  <w:style w:type="paragraph" w:styleId="1305" w:customStyle="1">
    <w:name w:val="Normal Paragraph Char"/>
    <w:basedOn w:val="734"/>
    <w:uiPriority w:val="0"/>
    <w:qFormat/>
    <w:pPr>
      <w:ind w:firstLine="425"/>
      <w:spacing w:before="120" w:line="360" w:lineRule="auto"/>
      <w:widowControl/>
    </w:pPr>
    <w:rPr>
      <w:sz w:val="24"/>
    </w:rPr>
  </w:style>
  <w:style w:type="paragraph" w:styleId="1306" w:customStyle="1">
    <w:name w:val="文档正文"/>
    <w:basedOn w:val="734"/>
    <w:uiPriority w:val="0"/>
    <w:qFormat/>
    <w:rPr>
      <w:rFonts w:ascii="宋体"/>
      <w:szCs w:val="20"/>
    </w:rPr>
  </w:style>
  <w:style w:type="paragraph" w:styleId="1307" w:customStyle="1">
    <w:name w:val="默认段落字体 Para Char Char Char Char Char"/>
    <w:basedOn w:val="734"/>
    <w:uiPriority w:val="0"/>
    <w:qFormat/>
    <w:pPr>
      <w:ind w:firstLine="200"/>
      <w:jc w:val="left"/>
      <w:spacing w:before="100" w:beforeAutospacing="1" w:after="100" w:afterAutospacing="1" w:line="360" w:lineRule="auto"/>
    </w:pPr>
    <w:rPr>
      <w:rFonts w:ascii="Arial" w:hAnsi="Arial"/>
      <w:sz w:val="24"/>
      <w:lang w:eastAsia="en-US"/>
    </w:rPr>
  </w:style>
  <w:style w:type="paragraph" w:styleId="1308" w:customStyle="1">
    <w:name w:val="标题2"/>
    <w:basedOn w:val="734"/>
    <w:uiPriority w:val="0"/>
    <w:qFormat/>
    <w:pPr>
      <w:tabs>
        <w:tab w:val="left" w:pos="0" w:leader="none"/>
      </w:tabs>
    </w:pPr>
    <w:rPr>
      <w:rFonts w:ascii="黑体" w:eastAsia="黑体"/>
      <w:sz w:val="24"/>
    </w:rPr>
  </w:style>
  <w:style w:type="paragraph" w:styleId="1309" w:customStyle="1">
    <w:name w:val="Char Char Char Char Char Char Char Char Char Char Char Char Char1"/>
    <w:basedOn w:val="734"/>
    <w:uiPriority w:val="0"/>
    <w:qFormat/>
    <w:pPr>
      <w:jc w:val="left"/>
      <w:spacing w:after="160" w:line="240" w:lineRule="exact"/>
      <w:widowControl/>
    </w:pPr>
    <w:rPr>
      <w:rFonts w:ascii="Arial" w:hAnsi="Arial" w:eastAsia="Times New Roman" w:cs="Verdana"/>
      <w:b/>
      <w:sz w:val="24"/>
      <w:szCs w:val="32"/>
      <w:lang w:eastAsia="en-US"/>
    </w:rPr>
  </w:style>
  <w:style w:type="paragraph" w:styleId="1310" w:customStyle="1">
    <w:name w:val="样式2"/>
    <w:basedOn w:val="877"/>
    <w:uiPriority w:val="0"/>
    <w:qFormat/>
    <w:pPr>
      <w:spacing w:line="415" w:lineRule="auto"/>
    </w:pPr>
    <w:rPr>
      <w:rFonts w:ascii="Calibri" w:hAnsi="Calibri"/>
      <w:bCs/>
      <w:color w:val="000000"/>
      <w:sz w:val="28"/>
      <w:szCs w:val="28"/>
    </w:rPr>
  </w:style>
  <w:style w:type="paragraph" w:styleId="1311" w:customStyle="1">
    <w:name w:val="样式3"/>
    <w:basedOn w:val="877"/>
    <w:uiPriority w:val="0"/>
    <w:qFormat/>
    <w:pPr>
      <w:spacing w:line="415" w:lineRule="auto"/>
    </w:pPr>
    <w:rPr>
      <w:rFonts w:ascii="Calibri" w:hAnsi="Calibri"/>
      <w:bCs/>
      <w:color w:val="000000"/>
      <w:sz w:val="28"/>
      <w:szCs w:val="28"/>
    </w:rPr>
  </w:style>
  <w:style w:type="paragraph" w:styleId="1312" w:customStyle="1">
    <w:name w:val="样式4"/>
    <w:basedOn w:val="877"/>
    <w:uiPriority w:val="0"/>
    <w:qFormat/>
    <w:pPr>
      <w:spacing w:line="415" w:lineRule="auto"/>
    </w:pPr>
    <w:rPr>
      <w:rFonts w:ascii="Calibri" w:hAnsi="Calibri"/>
      <w:bCs/>
      <w:color w:val="000000"/>
      <w:sz w:val="28"/>
      <w:szCs w:val="28"/>
    </w:rPr>
  </w:style>
  <w:style w:type="paragraph" w:styleId="1313" w:customStyle="1">
    <w:name w:val="样式5"/>
    <w:basedOn w:val="877"/>
    <w:uiPriority w:val="0"/>
    <w:qFormat/>
    <w:pPr>
      <w:spacing w:line="415" w:lineRule="auto"/>
    </w:pPr>
    <w:rPr>
      <w:rFonts w:ascii="Calibri" w:hAnsi="Calibri"/>
      <w:bCs/>
      <w:color w:val="000000"/>
      <w:sz w:val="28"/>
      <w:szCs w:val="28"/>
    </w:rPr>
  </w:style>
  <w:style w:type="paragraph" w:styleId="1314" w:customStyle="1">
    <w:name w:val="样式6"/>
    <w:basedOn w:val="1245"/>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315" w:customStyle="1">
    <w:name w:val="大汉方案正文 Char"/>
    <w:basedOn w:val="734"/>
    <w:uiPriority w:val="0"/>
    <w:qFormat/>
    <w:pPr>
      <w:ind w:firstLine="200"/>
      <w:spacing w:line="360" w:lineRule="auto"/>
    </w:pPr>
    <w:rPr>
      <w:rFonts w:ascii="Arial" w:hAnsi="Arial"/>
      <w:sz w:val="24"/>
    </w:rPr>
  </w:style>
  <w:style w:type="character" w:styleId="1316" w:customStyle="1">
    <w:name w:val="标题 2 Char Char Char"/>
    <w:link w:val="734"/>
    <w:uiPriority w:val="0"/>
    <w:qFormat/>
    <w:rPr>
      <w:rFonts w:ascii="Arial" w:hAnsi="Arial" w:eastAsia="宋体" w:cs="Arial"/>
      <w:b/>
      <w:bCs/>
      <w:i/>
      <w:iCs/>
      <w:sz w:val="28"/>
      <w:szCs w:val="28"/>
      <w:lang w:val="en-US" w:eastAsia="zh-CN" w:bidi="ar-SA"/>
    </w:rPr>
  </w:style>
  <w:style w:type="character" w:styleId="1317" w:customStyle="1">
    <w:name w:val="question-title"/>
    <w:link w:val="734"/>
    <w:uiPriority w:val="0"/>
    <w:qFormat/>
  </w:style>
  <w:style w:type="paragraph" w:styleId="1318" w:customStyle="1">
    <w:name w:val="说明书2级标题"/>
    <w:basedOn w:val="734"/>
    <w:next w:val="1319"/>
    <w:uiPriority w:val="0"/>
    <w:qFormat/>
    <w:pPr>
      <w:numPr>
        <w:ilvl w:val="2"/>
        <w:numId w:val="2"/>
      </w:numPr>
      <w:spacing w:before="100"/>
    </w:pPr>
    <w:rPr>
      <w:rFonts w:eastAsia="黑体"/>
      <w:sz w:val="28"/>
      <w:szCs w:val="28"/>
    </w:rPr>
  </w:style>
  <w:style w:type="paragraph" w:styleId="1319" w:customStyle="1">
    <w:name w:val="说明书3级标题"/>
    <w:basedOn w:val="734"/>
    <w:next w:val="734"/>
    <w:uiPriority w:val="0"/>
    <w:qFormat/>
    <w:pPr>
      <w:numPr>
        <w:ilvl w:val="2"/>
        <w:numId w:val="3"/>
      </w:numPr>
      <w:spacing w:line="360" w:lineRule="auto"/>
    </w:pPr>
    <w:rPr>
      <w:rFonts w:eastAsia="黑体"/>
      <w:sz w:val="24"/>
    </w:rPr>
  </w:style>
  <w:style w:type="character" w:styleId="1320" w:customStyle="1">
    <w:name w:val="style15"/>
    <w:link w:val="734"/>
    <w:uiPriority w:val="0"/>
    <w:qFormat/>
  </w:style>
  <w:style w:type="paragraph" w:styleId="1321" w:customStyle="1">
    <w:name w:val="列出段落[858D7CFB-ED40-4347-BF05-701D383B685F][858D7CFB-ED40-4347-BF05-701D383B685F]"/>
    <w:basedOn w:val="734"/>
    <w:uiPriority w:val="0"/>
    <w:qFormat/>
    <w:pPr>
      <w:ind w:firstLine="200"/>
    </w:pPr>
  </w:style>
  <w:style w:type="paragraph" w:styleId="1322" w:customStyle="1">
    <w:name w:val="默认段落字体 Para Char Char Char Char Char Char Char Char Char1 Char Char Char Char Char Char Char Char"/>
    <w:basedOn w:val="1065"/>
    <w:uiPriority w:val="0"/>
    <w:qFormat/>
  </w:style>
  <w:style w:type="paragraph" w:styleId="1323" w:customStyle="1">
    <w:name w:val="style42"/>
    <w:basedOn w:val="734"/>
    <w:uiPriority w:val="0"/>
    <w:qFormat/>
    <w:pPr>
      <w:jc w:val="left"/>
      <w:spacing w:before="100" w:beforeAutospacing="1" w:after="100" w:afterAutospacing="1"/>
      <w:widowControl/>
    </w:pPr>
    <w:rPr>
      <w:rFonts w:ascii="宋体" w:cs="宋体"/>
      <w:color w:val="000000"/>
      <w:sz w:val="15"/>
      <w:szCs w:val="15"/>
    </w:rPr>
  </w:style>
  <w:style w:type="paragraph" w:styleId="1324" w:customStyle="1">
    <w:name w:val="Char Char1 Char Char Char Char Char Char Char Char"/>
    <w:basedOn w:val="734"/>
    <w:uiPriority w:val="0"/>
    <w:qFormat/>
    <w:pPr>
      <w:jc w:val="left"/>
      <w:spacing w:after="160" w:line="240" w:lineRule="exact"/>
      <w:widowControl/>
    </w:pPr>
  </w:style>
  <w:style w:type="paragraph" w:styleId="1325" w:customStyle="1">
    <w:name w:val="技术方案正文样式"/>
    <w:basedOn w:val="734"/>
    <w:uiPriority w:val="0"/>
    <w:qFormat/>
    <w:pPr>
      <w:ind w:firstLine="200"/>
      <w:spacing w:line="400" w:lineRule="exact"/>
    </w:pPr>
    <w:rPr>
      <w:rFonts w:ascii="宋体" w:cs="宋体"/>
      <w:sz w:val="24"/>
      <w:szCs w:val="21"/>
    </w:rPr>
  </w:style>
  <w:style w:type="paragraph" w:styleId="1326" w:customStyle="1">
    <w:name w:val="修订1"/>
    <w:uiPriority w:val="0"/>
    <w:qFormat/>
    <w:rPr>
      <w:rFonts w:hint="default" w:ascii="Times New Roman" w:hAnsi="Times New Roman" w:eastAsia="宋体" w:cs="Times New Roman"/>
      <w:sz w:val="21"/>
      <w:szCs w:val="24"/>
      <w:lang w:val="en-US" w:eastAsia="zh-CN" w:bidi="ar-SA"/>
    </w:rPr>
  </w:style>
  <w:style w:type="paragraph" w:styleId="1327" w:customStyle="1">
    <w:name w:val="D&amp;L"/>
    <w:basedOn w:val="1086"/>
    <w:uiPriority w:val="0"/>
    <w:qFormat/>
    <w:pPr>
      <w:spacing w:line="240" w:lineRule="atLeast"/>
      <w:pBdr>
        <w:bottom w:val="single" w:color="000000" w:sz="18" w:space="1"/>
      </w:pBdr>
    </w:pPr>
    <w:rPr>
      <w:sz w:val="24"/>
      <w:szCs w:val="20"/>
    </w:rPr>
  </w:style>
  <w:style w:type="paragraph" w:styleId="1328" w:customStyle="1">
    <w:name w:val="样式 标题 2 + Times New Roman 四号 非加粗 段前: 5 磅 段后: 0 磅 行距: 固定值 20..."/>
    <w:basedOn w:val="875"/>
    <w:uiPriority w:val="0"/>
    <w:qFormat/>
    <w:pPr>
      <w:spacing w:before="100" w:after="0" w:line="400" w:lineRule="exact"/>
    </w:pPr>
    <w:rPr>
      <w:rFonts w:ascii="Times New Roman" w:hAnsi="Times New Roman" w:cs="宋体"/>
      <w:b w:val="0"/>
      <w:sz w:val="28"/>
    </w:rPr>
  </w:style>
  <w:style w:type="paragraph" w:styleId="1329" w:customStyle="1">
    <w:name w:val="Char Char Char Char Char Char Char1 Char"/>
    <w:basedOn w:val="734"/>
    <w:uiPriority w:val="0"/>
    <w:qFormat/>
    <w:rPr>
      <w:rFonts w:ascii="Tahoma" w:hAnsi="Tahoma"/>
      <w:sz w:val="24"/>
      <w:szCs w:val="20"/>
    </w:rPr>
  </w:style>
  <w:style w:type="paragraph" w:styleId="1330" w:customStyle="1">
    <w:name w:val="TOC 标题2"/>
    <w:basedOn w:val="873"/>
    <w:next w:val="734"/>
    <w:uiPriority w:val="0"/>
    <w:qFormat/>
    <w:pPr>
      <w:spacing w:before="480" w:after="0" w:line="276" w:lineRule="auto"/>
      <w:widowControl/>
      <w:outlineLvl w:val="9"/>
    </w:pPr>
    <w:rPr>
      <w:rFonts w:ascii="Cambria" w:hAnsi="Cambria"/>
      <w:color w:val="365f91"/>
      <w:sz w:val="28"/>
    </w:rPr>
  </w:style>
  <w:style w:type="paragraph" w:styleId="1331" w:customStyle="1">
    <w:name w:val="无间隔11"/>
    <w:link w:val="1332"/>
    <w:uiPriority w:val="0"/>
    <w:qFormat/>
    <w:rPr>
      <w:rFonts w:hint="default" w:ascii="Calibri" w:hAnsi="Calibri" w:eastAsia="宋体" w:cs="Times New Roman"/>
      <w:sz w:val="22"/>
      <w:lang w:val="en-US" w:eastAsia="zh-CN" w:bidi="ar-SA"/>
    </w:rPr>
  </w:style>
  <w:style w:type="character" w:styleId="1332" w:customStyle="1">
    <w:name w:val="无间隔 字符"/>
    <w:link w:val="1331"/>
    <w:uiPriority w:val="0"/>
    <w:qFormat/>
    <w:rPr>
      <w:rFonts w:ascii="Calibri" w:hAnsi="Calibri"/>
      <w:sz w:val="22"/>
      <w:lang w:bidi="ar-SA"/>
    </w:rPr>
  </w:style>
  <w:style w:type="paragraph" w:styleId="1333" w:customStyle="1">
    <w:name w:val="Normal_0"/>
    <w:uiPriority w:val="0"/>
    <w:qFormat/>
    <w:rPr>
      <w:rFonts w:hint="default" w:ascii="黑体" w:hAnsi="黑体" w:eastAsia="黑体" w:cs="Times New Roman"/>
      <w:b/>
      <w:sz w:val="32"/>
      <w:szCs w:val="24"/>
      <w:lang w:val="en-US" w:eastAsia="zh-CN" w:bidi="ar-SA"/>
    </w:rPr>
  </w:style>
  <w:style w:type="paragraph" w:styleId="1334"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5" w:customStyle="1">
    <w:name w:val="Normal_1"/>
    <w:uiPriority w:val="0"/>
    <w:qFormat/>
    <w:rPr>
      <w:rFonts w:hint="default" w:ascii="黑体" w:hAnsi="黑体" w:eastAsia="黑体" w:cs="Times New Roman"/>
      <w:b/>
      <w:sz w:val="32"/>
      <w:szCs w:val="24"/>
      <w:lang w:val="en-US" w:eastAsia="zh-CN" w:bidi="ar-SA"/>
    </w:rPr>
  </w:style>
  <w:style w:type="paragraph" w:styleId="1336"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7"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8"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9" w:customStyle="1">
    <w:name w:val="Normal_2"/>
    <w:uiPriority w:val="0"/>
    <w:qFormat/>
    <w:rPr>
      <w:rFonts w:hint="default" w:ascii="黑体" w:hAnsi="黑体" w:eastAsia="黑体" w:cs="Times New Roman"/>
      <w:b/>
      <w:sz w:val="32"/>
      <w:szCs w:val="24"/>
      <w:lang w:val="en-US" w:eastAsia="zh-CN" w:bidi="ar-SA"/>
    </w:rPr>
  </w:style>
  <w:style w:type="paragraph" w:styleId="1340"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1" w:customStyle="1">
    <w:name w:val="Normal_3"/>
    <w:uiPriority w:val="0"/>
    <w:qFormat/>
    <w:rPr>
      <w:rFonts w:hint="default" w:ascii="黑体" w:hAnsi="黑体" w:eastAsia="黑体" w:cs="Times New Roman"/>
      <w:b/>
      <w:sz w:val="32"/>
      <w:szCs w:val="24"/>
      <w:lang w:val="en-US" w:eastAsia="zh-CN" w:bidi="ar-SA"/>
    </w:rPr>
  </w:style>
  <w:style w:type="paragraph" w:styleId="1342" w:customStyle="1">
    <w:name w:val="Normal_4"/>
    <w:uiPriority w:val="0"/>
    <w:qFormat/>
    <w:rPr>
      <w:rFonts w:hint="default" w:ascii="黑体" w:hAnsi="黑体" w:eastAsia="黑体" w:cs="Times New Roman"/>
      <w:b/>
      <w:sz w:val="32"/>
      <w:szCs w:val="24"/>
      <w:lang w:val="en-US" w:eastAsia="zh-CN" w:bidi="ar-SA"/>
    </w:rPr>
  </w:style>
  <w:style w:type="paragraph" w:styleId="1343" w:customStyle="1">
    <w:name w:val="Normal_5"/>
    <w:uiPriority w:val="0"/>
    <w:qFormat/>
    <w:rPr>
      <w:rFonts w:hint="default" w:ascii="黑体" w:hAnsi="黑体" w:eastAsia="黑体" w:cs="Times New Roman"/>
      <w:b/>
      <w:sz w:val="32"/>
      <w:szCs w:val="24"/>
      <w:lang w:val="en-US" w:eastAsia="zh-CN" w:bidi="ar-SA"/>
    </w:rPr>
  </w:style>
  <w:style w:type="paragraph" w:styleId="1344"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5" w:customStyle="1">
    <w:name w:val="Normal_6"/>
    <w:uiPriority w:val="0"/>
    <w:qFormat/>
    <w:rPr>
      <w:rFonts w:hint="default" w:ascii="黑体" w:hAnsi="黑体" w:eastAsia="黑体" w:cs="Times New Roman"/>
      <w:b/>
      <w:sz w:val="32"/>
      <w:szCs w:val="24"/>
      <w:lang w:val="en-US" w:eastAsia="zh-CN" w:bidi="ar-SA"/>
    </w:rPr>
  </w:style>
  <w:style w:type="paragraph" w:styleId="1346"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347" w:customStyle="1">
    <w:name w:val="Normal_7"/>
    <w:uiPriority w:val="0"/>
    <w:qFormat/>
    <w:rPr>
      <w:rFonts w:hint="default" w:ascii="黑体" w:hAnsi="黑体" w:eastAsia="黑体" w:cs="Times New Roman"/>
      <w:b/>
      <w:sz w:val="32"/>
      <w:szCs w:val="24"/>
      <w:lang w:val="en-US" w:eastAsia="zh-CN" w:bidi="ar-SA"/>
    </w:rPr>
  </w:style>
  <w:style w:type="paragraph" w:styleId="1348"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349" w:customStyle="1">
    <w:name w:val="Normal_9"/>
    <w:uiPriority w:val="0"/>
    <w:qFormat/>
    <w:rPr>
      <w:rFonts w:hint="default" w:ascii="黑体" w:hAnsi="黑体" w:eastAsia="黑体" w:cs="Times New Roman"/>
      <w:b/>
      <w:sz w:val="32"/>
      <w:szCs w:val="24"/>
      <w:lang w:val="en-US" w:eastAsia="zh-CN" w:bidi="ar-SA"/>
    </w:rPr>
  </w:style>
  <w:style w:type="paragraph" w:styleId="1350"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351" w:customStyle="1">
    <w:name w:val="Normal_10"/>
    <w:uiPriority w:val="0"/>
    <w:qFormat/>
    <w:rPr>
      <w:rFonts w:hint="default" w:ascii="黑体" w:hAnsi="黑体" w:eastAsia="黑体" w:cs="Times New Roman"/>
      <w:b/>
      <w:sz w:val="32"/>
      <w:szCs w:val="24"/>
      <w:lang w:val="en-US" w:eastAsia="zh-CN" w:bidi="ar-SA"/>
    </w:rPr>
  </w:style>
  <w:style w:type="paragraph" w:styleId="1352"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3" w:customStyle="1">
    <w:name w:val="正文缩进_0"/>
    <w:basedOn w:val="1352"/>
    <w:link w:val="1354"/>
    <w:uiPriority w:val="0"/>
    <w:unhideWhenUsed/>
    <w:qFormat/>
    <w:pPr>
      <w:ind w:firstLine="420"/>
    </w:pPr>
    <w:rPr>
      <w:szCs w:val="22"/>
    </w:rPr>
  </w:style>
  <w:style w:type="character" w:styleId="1354" w:customStyle="1">
    <w:name w:val="正文缩进 Char1_0"/>
    <w:link w:val="1353"/>
    <w:uiPriority w:val="0"/>
    <w:qFormat/>
    <w:rPr>
      <w:sz w:val="21"/>
      <w:szCs w:val="22"/>
    </w:rPr>
  </w:style>
  <w:style w:type="paragraph" w:styleId="1355" w:customStyle="1">
    <w:name w:val="纯文本_0"/>
    <w:basedOn w:val="1352"/>
    <w:link w:val="1356"/>
    <w:uiPriority w:val="0"/>
    <w:unhideWhenUsed/>
    <w:qFormat/>
    <w:rPr>
      <w:rFonts w:ascii="宋体" w:hAnsi="Courier New"/>
      <w:szCs w:val="21"/>
    </w:rPr>
  </w:style>
  <w:style w:type="character" w:styleId="1356" w:customStyle="1">
    <w:name w:val="纯文本 Char_0"/>
    <w:link w:val="1355"/>
    <w:uiPriority w:val="0"/>
    <w:qFormat/>
    <w:rPr>
      <w:rFonts w:ascii="宋体" w:hAnsi="Courier New" w:cs="Courier New"/>
      <w:sz w:val="21"/>
      <w:szCs w:val="21"/>
    </w:rPr>
  </w:style>
  <w:style w:type="paragraph" w:styleId="1357" w:customStyle="1">
    <w:name w:val="Normal_11"/>
    <w:uiPriority w:val="0"/>
    <w:qFormat/>
    <w:rPr>
      <w:rFonts w:hint="default" w:ascii="黑体" w:hAnsi="黑体" w:eastAsia="黑体" w:cs="Times New Roman"/>
      <w:b/>
      <w:sz w:val="32"/>
      <w:szCs w:val="24"/>
      <w:lang w:val="en-US" w:eastAsia="zh-CN" w:bidi="ar-SA"/>
    </w:rPr>
  </w:style>
  <w:style w:type="paragraph" w:styleId="1358"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9" w:customStyle="1">
    <w:name w:val="Normal_12"/>
    <w:uiPriority w:val="0"/>
    <w:qFormat/>
    <w:rPr>
      <w:rFonts w:hint="default" w:ascii="黑体" w:hAnsi="黑体" w:eastAsia="黑体" w:cs="Times New Roman"/>
      <w:b/>
      <w:sz w:val="32"/>
      <w:szCs w:val="24"/>
      <w:lang w:val="en-US" w:eastAsia="zh-CN" w:bidi="ar-SA"/>
    </w:rPr>
  </w:style>
  <w:style w:type="paragraph" w:styleId="1360"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1" w:customStyle="1">
    <w:name w:val="Normal_13"/>
    <w:uiPriority w:val="0"/>
    <w:qFormat/>
    <w:rPr>
      <w:rFonts w:hint="default" w:ascii="黑体" w:hAnsi="黑体" w:eastAsia="黑体" w:cs="Times New Roman"/>
      <w:b/>
      <w:sz w:val="32"/>
      <w:szCs w:val="24"/>
      <w:lang w:val="en-US" w:eastAsia="zh-CN" w:bidi="ar-SA"/>
    </w:rPr>
  </w:style>
  <w:style w:type="paragraph" w:styleId="1362"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3" w:customStyle="1">
    <w:name w:val="Normal_14"/>
    <w:uiPriority w:val="0"/>
    <w:qFormat/>
    <w:rPr>
      <w:rFonts w:hint="default" w:ascii="黑体" w:hAnsi="黑体" w:eastAsia="黑体" w:cs="Times New Roman"/>
      <w:b/>
      <w:sz w:val="32"/>
      <w:szCs w:val="24"/>
      <w:lang w:val="en-US" w:eastAsia="zh-CN" w:bidi="ar-SA"/>
    </w:rPr>
  </w:style>
  <w:style w:type="paragraph" w:styleId="1364"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5" w:customStyle="1">
    <w:name w:val="Normal_15"/>
    <w:uiPriority w:val="0"/>
    <w:qFormat/>
    <w:rPr>
      <w:rFonts w:hint="default" w:ascii="黑体" w:hAnsi="黑体" w:eastAsia="黑体" w:cs="Times New Roman"/>
      <w:b/>
      <w:sz w:val="32"/>
      <w:szCs w:val="24"/>
      <w:lang w:val="en-US" w:eastAsia="zh-CN" w:bidi="ar-SA"/>
    </w:rPr>
  </w:style>
  <w:style w:type="paragraph" w:styleId="1366"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7" w:customStyle="1">
    <w:name w:val="Normal_16"/>
    <w:uiPriority w:val="0"/>
    <w:qFormat/>
    <w:rPr>
      <w:rFonts w:hint="default" w:ascii="黑体" w:hAnsi="黑体" w:eastAsia="黑体" w:cs="Times New Roman"/>
      <w:b/>
      <w:sz w:val="32"/>
      <w:szCs w:val="24"/>
      <w:lang w:val="en-US" w:eastAsia="zh-CN" w:bidi="ar-SA"/>
    </w:rPr>
  </w:style>
  <w:style w:type="paragraph" w:styleId="1368"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9"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370" w:customStyle="1">
    <w:name w:val="Normal_17"/>
    <w:uiPriority w:val="0"/>
    <w:qFormat/>
    <w:rPr>
      <w:rFonts w:hint="default" w:ascii="黑体" w:hAnsi="黑体" w:eastAsia="黑体" w:cs="Times New Roman"/>
      <w:b/>
      <w:sz w:val="32"/>
      <w:szCs w:val="24"/>
      <w:lang w:val="en-US" w:eastAsia="zh-CN" w:bidi="ar-SA"/>
    </w:rPr>
  </w:style>
  <w:style w:type="paragraph" w:styleId="1371" w:customStyle="1">
    <w:name w:val="Normal_18"/>
    <w:uiPriority w:val="0"/>
    <w:qFormat/>
    <w:rPr>
      <w:rFonts w:hint="default" w:ascii="黑体" w:hAnsi="黑体" w:eastAsia="黑体" w:cs="Times New Roman"/>
      <w:b/>
      <w:sz w:val="32"/>
      <w:szCs w:val="24"/>
      <w:lang w:val="en-US" w:eastAsia="zh-CN" w:bidi="ar-SA"/>
    </w:rPr>
  </w:style>
  <w:style w:type="paragraph" w:styleId="1372"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paragraph" w:styleId="1373" w:customStyle="1">
    <w:name w:val="Normal_0_0"/>
    <w:uiPriority w:val="0"/>
    <w:qFormat/>
    <w:rPr>
      <w:rFonts w:hint="default" w:ascii="黑体" w:hAnsi="黑体" w:eastAsia="黑体" w:cs="Times New Roman"/>
      <w:b/>
      <w:sz w:val="40"/>
      <w:szCs w:val="24"/>
      <w:lang w:val="en-US" w:eastAsia="zh-CN" w:bidi="ar-SA"/>
    </w:rPr>
  </w:style>
  <w:style w:type="paragraph" w:styleId="1374"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375" w:customStyle="1">
    <w:name w:val="正文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76" w:customStyle="1">
    <w:name w:val="正文_3"/>
    <w:next w:val="1377"/>
    <w:uiPriority w:val="0"/>
    <w:qFormat/>
    <w:pPr>
      <w:jc w:val="both"/>
      <w:widowControl w:val="off"/>
    </w:pPr>
    <w:rPr>
      <w:rFonts w:hint="default" w:ascii="Calibri" w:hAnsi="Calibri" w:eastAsia="宋体" w:cs="Times New Roman"/>
      <w:sz w:val="21"/>
      <w:szCs w:val="22"/>
      <w:lang w:val="en-US" w:eastAsia="zh-CN" w:bidi="ar-SA"/>
    </w:rPr>
  </w:style>
  <w:style w:type="paragraph" w:styleId="1377" w:customStyle="1">
    <w:name w:val="正文首行缩进 2_1"/>
    <w:basedOn w:val="1378"/>
    <w:next w:val="1380"/>
    <w:uiPriority w:val="0"/>
    <w:qFormat/>
    <w:pPr>
      <w:ind w:left="200" w:firstLine="200"/>
      <w:spacing w:after="120"/>
    </w:pPr>
    <w:rPr>
      <w:rFonts w:ascii="Times New Roman" w:hAnsi="Times New Roman"/>
      <w:sz w:val="24"/>
      <w:szCs w:val="24"/>
    </w:rPr>
  </w:style>
  <w:style w:type="paragraph" w:styleId="1378" w:customStyle="1">
    <w:name w:val="正文文本缩进_1"/>
    <w:basedOn w:val="1379"/>
    <w:next w:val="1377"/>
    <w:uiPriority w:val="0"/>
    <w:qFormat/>
    <w:pPr>
      <w:ind w:firstLine="225"/>
    </w:pPr>
    <w:rPr>
      <w:rFonts w:ascii="仿宋_GB2312" w:eastAsia="仿宋_GB2312"/>
      <w:sz w:val="32"/>
    </w:rPr>
  </w:style>
  <w:style w:type="paragraph" w:styleId="1379" w:customStyle="1">
    <w:name w:val="正文_18"/>
    <w:next w:val="1378"/>
    <w:uiPriority w:val="0"/>
    <w:qFormat/>
    <w:pPr>
      <w:jc w:val="both"/>
      <w:widowControl w:val="off"/>
    </w:pPr>
    <w:rPr>
      <w:rFonts w:hint="default" w:ascii="Calibri" w:hAnsi="Calibri" w:eastAsia="宋体" w:cs="Times New Roman"/>
      <w:sz w:val="21"/>
      <w:szCs w:val="22"/>
      <w:lang w:val="en-US" w:eastAsia="zh-CN" w:bidi="ar-SA"/>
    </w:rPr>
  </w:style>
  <w:style w:type="paragraph" w:styleId="1380" w:customStyle="1">
    <w:name w:val="xl53_0"/>
    <w:next w:val="1376"/>
    <w:uiPriority w:val="0"/>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hint="default" w:ascii="宋体" w:hAnsi="宋体" w:eastAsia="宋体" w:cs="Times New Roman"/>
      <w:b/>
      <w:bCs/>
      <w:lang w:val="en-US" w:eastAsia="zh-CN" w:bidi="ar-SA"/>
    </w:rPr>
  </w:style>
  <w:style w:type="paragraph" w:styleId="1381" w:customStyle="1">
    <w:name w:val="正文_16"/>
    <w:next w:val="1382"/>
    <w:uiPriority w:val="0"/>
    <w:qFormat/>
    <w:pPr>
      <w:jc w:val="both"/>
      <w:widowControl w:val="off"/>
    </w:pPr>
    <w:rPr>
      <w:rFonts w:hint="default" w:ascii="Calibri" w:hAnsi="Calibri" w:eastAsia="宋体" w:cs="Times New Roman"/>
      <w:sz w:val="21"/>
      <w:szCs w:val="22"/>
      <w:lang w:val="en-US" w:eastAsia="zh-CN" w:bidi="ar-SA"/>
    </w:rPr>
  </w:style>
  <w:style w:type="paragraph" w:styleId="1382" w:customStyle="1">
    <w:name w:val="正文首行缩进 2_0"/>
    <w:basedOn w:val="1383"/>
    <w:uiPriority w:val="0"/>
    <w:qFormat/>
    <w:pPr>
      <w:ind w:left="200" w:firstLine="200"/>
      <w:spacing w:after="120"/>
    </w:pPr>
    <w:rPr>
      <w:rFonts w:ascii="Times New Roman" w:hAnsi="Times New Roman"/>
      <w:sz w:val="24"/>
      <w:szCs w:val="24"/>
    </w:rPr>
  </w:style>
  <w:style w:type="paragraph" w:styleId="1383" w:customStyle="1">
    <w:name w:val="正文文本缩进_0"/>
    <w:basedOn w:val="1381"/>
    <w:uiPriority w:val="0"/>
    <w:qFormat/>
    <w:pPr>
      <w:ind w:firstLine="225"/>
    </w:pPr>
    <w:rPr>
      <w:rFonts w:ascii="仿宋_GB2312" w:eastAsia="仿宋_GB2312"/>
      <w:sz w:val="32"/>
    </w:rPr>
  </w:style>
  <w:style w:type="paragraph" w:styleId="1384"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385" w:customStyle="1">
    <w:name w:val="标题 12"/>
    <w:basedOn w:val="844"/>
    <w:next w:val="844"/>
    <w:uiPriority w:val="0"/>
    <w:qFormat/>
    <w:pPr>
      <w:keepLines/>
      <w:keepNext/>
      <w:spacing w:before="340" w:after="330" w:line="576" w:lineRule="auto"/>
      <w:outlineLvl w:val="0"/>
    </w:pPr>
    <w:rPr>
      <w:b/>
      <w:sz w:val="44"/>
      <w:szCs w:val="20"/>
    </w:rPr>
  </w:style>
  <w:style w:type="paragraph" w:styleId="1386" w:customStyle="1">
    <w:name w:val="段_0"/>
    <w:next w:val="1387"/>
    <w:uiPriority w:val="0"/>
    <w:qFormat/>
    <w:pPr>
      <w:ind w:firstLine="200"/>
      <w:jc w:val="both"/>
    </w:pPr>
    <w:rPr>
      <w:rFonts w:hint="default" w:ascii="宋体" w:hAnsi="Times New Roman" w:eastAsia="宋体" w:cs="Times New Roman"/>
      <w:sz w:val="21"/>
      <w:lang w:val="en-US" w:eastAsia="zh-CN" w:bidi="ar-SA"/>
    </w:rPr>
  </w:style>
  <w:style w:type="paragraph" w:styleId="1387" w:customStyle="1">
    <w:name w:val="Normal_19_1"/>
    <w:next w:val="1386"/>
    <w:uiPriority w:val="0"/>
    <w:qFormat/>
    <w:rPr>
      <w:rFonts w:hint="default" w:ascii="黑体" w:hAnsi="黑体" w:eastAsia="黑体" w:cs="Times New Roman"/>
      <w:b/>
      <w:sz w:val="32"/>
      <w:szCs w:val="24"/>
      <w:lang w:val="en-US" w:eastAsia="zh-CN" w:bidi="ar-SA"/>
    </w:rPr>
  </w:style>
  <w:style w:type="paragraph" w:styleId="1388" w:customStyle="1">
    <w:name w:val="Normal_0_1"/>
    <w:uiPriority w:val="0"/>
    <w:qFormat/>
    <w:rPr>
      <w:rFonts w:hint="default" w:ascii="黑体" w:hAnsi="黑体" w:eastAsia="黑体" w:cs="Times New Roman"/>
      <w:b/>
      <w:sz w:val="32"/>
      <w:szCs w:val="24"/>
      <w:lang w:val="en-US" w:eastAsia="zh-CN" w:bidi="ar-SA"/>
    </w:rPr>
  </w:style>
  <w:style w:type="paragraph" w:styleId="1389" w:customStyle="1">
    <w:name w:val="Normal_1_1"/>
    <w:uiPriority w:val="0"/>
    <w:qFormat/>
    <w:pPr>
      <w:jc w:val="both"/>
      <w:widowControl w:val="off"/>
    </w:pPr>
    <w:rPr>
      <w:rFonts w:hint="default" w:ascii="Calibri" w:hAnsi="Calibri" w:eastAsia="宋体" w:cs="Times New Roman"/>
      <w:sz w:val="21"/>
      <w:szCs w:val="22"/>
      <w:lang w:val="en-US" w:eastAsia="zh-CN" w:bidi="ar-SA"/>
    </w:rPr>
  </w:style>
  <w:style w:type="paragraph" w:styleId="1390" w:customStyle="1">
    <w:name w:val="Normal_2_0"/>
    <w:uiPriority w:val="0"/>
    <w:qFormat/>
    <w:rPr>
      <w:rFonts w:hint="default" w:ascii="黑体" w:hAnsi="黑体" w:eastAsia="黑体" w:cs="Times New Roman"/>
      <w:b/>
      <w:sz w:val="32"/>
      <w:szCs w:val="24"/>
      <w:lang w:val="en-US" w:eastAsia="zh-CN" w:bidi="ar-SA"/>
    </w:rPr>
  </w:style>
  <w:style w:type="paragraph" w:styleId="1391"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392" w:customStyle="1">
    <w:name w:val="Normal_3_0"/>
    <w:uiPriority w:val="0"/>
    <w:qFormat/>
    <w:rPr>
      <w:rFonts w:hint="default" w:ascii="黑体" w:hAnsi="黑体" w:eastAsia="黑体" w:cs="Times New Roman"/>
      <w:b/>
      <w:sz w:val="32"/>
      <w:szCs w:val="24"/>
      <w:lang w:val="en-US" w:eastAsia="zh-CN" w:bidi="ar-SA"/>
    </w:rPr>
  </w:style>
  <w:style w:type="paragraph" w:styleId="1393" w:customStyle="1">
    <w:name w:val="Normal_4_0"/>
    <w:uiPriority w:val="0"/>
    <w:qFormat/>
    <w:pPr>
      <w:jc w:val="both"/>
      <w:widowControl w:val="off"/>
    </w:pPr>
    <w:rPr>
      <w:rFonts w:hint="default" w:ascii="Calibri" w:hAnsi="Calibri" w:eastAsia="宋体" w:cs="Times New Roman"/>
      <w:sz w:val="21"/>
      <w:szCs w:val="22"/>
      <w:lang w:val="en-US" w:eastAsia="zh-CN" w:bidi="ar-SA"/>
    </w:rPr>
  </w:style>
  <w:style w:type="paragraph" w:styleId="1394" w:customStyle="1">
    <w:name w:val="Normal_5_0"/>
    <w:uiPriority w:val="0"/>
    <w:qFormat/>
    <w:rPr>
      <w:rFonts w:hint="default" w:ascii="黑体" w:hAnsi="黑体" w:eastAsia="黑体" w:cs="Times New Roman"/>
      <w:b/>
      <w:sz w:val="32"/>
      <w:szCs w:val="24"/>
      <w:lang w:val="en-US" w:eastAsia="zh-CN" w:bidi="ar-SA"/>
    </w:rPr>
  </w:style>
  <w:style w:type="paragraph" w:styleId="1395" w:customStyle="1">
    <w:name w:val="正文_0_2"/>
    <w:uiPriority w:val="0"/>
    <w:qFormat/>
    <w:pPr>
      <w:jc w:val="both"/>
      <w:widowControl w:val="off"/>
    </w:pPr>
    <w:rPr>
      <w:rFonts w:hint="default" w:ascii="Calibri" w:hAnsi="Calibri" w:eastAsia="宋体" w:cs="Times New Roman"/>
      <w:sz w:val="21"/>
      <w:szCs w:val="22"/>
      <w:lang w:val="en-US" w:eastAsia="zh-CN" w:bidi="ar-SA"/>
    </w:rPr>
  </w:style>
  <w:style w:type="paragraph" w:styleId="1396" w:customStyle="1">
    <w:name w:val="Normal_6_0"/>
    <w:uiPriority w:val="0"/>
    <w:qFormat/>
    <w:rPr>
      <w:rFonts w:hint="default" w:ascii="黑体" w:hAnsi="黑体" w:eastAsia="黑体" w:cs="Times New Roman"/>
      <w:b/>
      <w:sz w:val="32"/>
      <w:szCs w:val="24"/>
      <w:lang w:val="en-US" w:eastAsia="zh-CN" w:bidi="ar-SA"/>
    </w:rPr>
  </w:style>
  <w:style w:type="paragraph" w:styleId="1397" w:customStyle="1">
    <w:name w:val="Normal_7_0"/>
    <w:uiPriority w:val="0"/>
    <w:qFormat/>
    <w:pPr>
      <w:jc w:val="both"/>
      <w:widowControl w:val="off"/>
    </w:pPr>
    <w:rPr>
      <w:rFonts w:hint="default" w:ascii="Calibri" w:hAnsi="Calibri" w:eastAsia="宋体" w:cs="Times New Roman"/>
      <w:sz w:val="21"/>
      <w:szCs w:val="22"/>
      <w:lang w:val="en-US" w:eastAsia="zh-CN" w:bidi="ar-SA"/>
    </w:rPr>
  </w:style>
  <w:style w:type="paragraph" w:styleId="1398" w:customStyle="1">
    <w:name w:val="Normal_8_0"/>
    <w:uiPriority w:val="0"/>
    <w:qFormat/>
    <w:rPr>
      <w:rFonts w:hint="default" w:ascii="黑体" w:hAnsi="黑体" w:eastAsia="黑体" w:cs="Times New Roman"/>
      <w:b/>
      <w:sz w:val="32"/>
      <w:szCs w:val="24"/>
      <w:lang w:val="en-US" w:eastAsia="zh-CN" w:bidi="ar-SA"/>
    </w:rPr>
  </w:style>
  <w:style w:type="paragraph" w:styleId="1399"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400" w:customStyle="1">
    <w:name w:val="Normal_10_0"/>
    <w:uiPriority w:val="0"/>
    <w:qFormat/>
    <w:rPr>
      <w:rFonts w:hint="default" w:ascii="Times New Roman" w:hAnsi="Times New Roman" w:eastAsia="Times New Roman" w:cs="Times New Roman"/>
      <w:sz w:val="24"/>
      <w:szCs w:val="24"/>
      <w:lang w:val="en-US" w:eastAsia="zh-CN" w:bidi="ar-SA"/>
    </w:rPr>
  </w:style>
  <w:style w:type="paragraph" w:styleId="1401" w:customStyle="1">
    <w:name w:val="Normal_11_0"/>
    <w:uiPriority w:val="0"/>
    <w:qFormat/>
    <w:rPr>
      <w:rFonts w:hint="default" w:ascii="黑体" w:hAnsi="黑体" w:eastAsia="黑体" w:cs="Times New Roman"/>
      <w:b/>
      <w:sz w:val="32"/>
      <w:szCs w:val="24"/>
      <w:lang w:val="en-US" w:eastAsia="zh-CN" w:bidi="ar-SA"/>
    </w:rPr>
  </w:style>
  <w:style w:type="paragraph" w:styleId="1402"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403" w:customStyle="1">
    <w:name w:val="正文_2_0"/>
    <w:next w:val="734"/>
    <w:uiPriority w:val="0"/>
    <w:qFormat/>
    <w:pPr>
      <w:jc w:val="both"/>
      <w:widowControl w:val="off"/>
    </w:pPr>
    <w:rPr>
      <w:rFonts w:hint="default" w:ascii="Calibri" w:hAnsi="Calibri" w:eastAsia="宋体" w:cs="Times New Roman"/>
      <w:sz w:val="21"/>
      <w:szCs w:val="22"/>
      <w:lang w:val="en-US" w:eastAsia="zh-CN" w:bidi="ar-SA"/>
    </w:rPr>
  </w:style>
  <w:style w:type="paragraph" w:styleId="1404" w:customStyle="1">
    <w:name w:val="Normal_12_0"/>
    <w:uiPriority w:val="0"/>
    <w:qFormat/>
    <w:rPr>
      <w:rFonts w:hint="default" w:ascii="黑体" w:hAnsi="黑体" w:eastAsia="黑体" w:cs="Times New Roman"/>
      <w:b/>
      <w:sz w:val="32"/>
      <w:szCs w:val="24"/>
      <w:lang w:val="en-US" w:eastAsia="zh-CN" w:bidi="ar-SA"/>
    </w:rPr>
  </w:style>
  <w:style w:type="paragraph" w:styleId="1405" w:customStyle="1">
    <w:name w:val="Normal_13_0"/>
    <w:uiPriority w:val="0"/>
    <w:qFormat/>
    <w:pPr>
      <w:jc w:val="both"/>
      <w:widowControl w:val="off"/>
    </w:pPr>
    <w:rPr>
      <w:rFonts w:hint="default" w:ascii="Calibri" w:hAnsi="Calibri" w:eastAsia="宋体" w:cs="Times New Roman"/>
      <w:sz w:val="21"/>
      <w:szCs w:val="22"/>
      <w:lang w:val="en-US" w:eastAsia="zh-CN" w:bidi="ar-SA"/>
    </w:rPr>
  </w:style>
  <w:style w:type="paragraph" w:styleId="1406"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407"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408"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409" w:customStyle="1">
    <w:name w:val="列出段落_2"/>
    <w:basedOn w:val="1407"/>
    <w:uiPriority w:val="34"/>
    <w:qFormat/>
    <w:pPr>
      <w:ind w:firstLine="420"/>
    </w:pPr>
  </w:style>
  <w:style w:type="paragraph" w:styleId="1410" w:customStyle="1">
    <w:name w:val="Normal_14_0"/>
    <w:uiPriority w:val="0"/>
    <w:qFormat/>
    <w:rPr>
      <w:rFonts w:hint="default" w:ascii="黑体" w:hAnsi="黑体" w:eastAsia="黑体" w:cs="Times New Roman"/>
      <w:b/>
      <w:sz w:val="32"/>
      <w:szCs w:val="24"/>
      <w:lang w:val="en-US" w:eastAsia="zh-CN" w:bidi="ar-SA"/>
    </w:rPr>
  </w:style>
  <w:style w:type="paragraph" w:styleId="1411" w:customStyle="1">
    <w:name w:val="正文_7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12" w:customStyle="1">
    <w:name w:val="正文缩进_0_0"/>
    <w:basedOn w:val="1411"/>
    <w:link w:val="1413"/>
    <w:uiPriority w:val="0"/>
    <w:unhideWhenUsed/>
    <w:qFormat/>
    <w:pPr>
      <w:ind w:firstLine="420"/>
    </w:pPr>
    <w:rPr>
      <w:rFonts w:ascii="Calibri" w:hAnsi="Calibri"/>
      <w:szCs w:val="22"/>
    </w:rPr>
  </w:style>
  <w:style w:type="character" w:styleId="1413" w:customStyle="1">
    <w:name w:val="正文缩进 Char1_0_0"/>
    <w:link w:val="1412"/>
    <w:uiPriority w:val="0"/>
    <w:qFormat/>
    <w:rPr>
      <w:sz w:val="21"/>
      <w:szCs w:val="22"/>
    </w:rPr>
  </w:style>
  <w:style w:type="paragraph" w:styleId="1414" w:customStyle="1">
    <w:name w:val="纯文本_0_0"/>
    <w:basedOn w:val="1415"/>
    <w:link w:val="1416"/>
    <w:uiPriority w:val="0"/>
    <w:unhideWhenUsed/>
    <w:qFormat/>
    <w:rPr>
      <w:rFonts w:ascii="宋体" w:hAnsi="Courier New"/>
      <w:szCs w:val="21"/>
    </w:rPr>
  </w:style>
  <w:style w:type="paragraph" w:styleId="1415" w:customStyle="1">
    <w:name w:val="正文_7_1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416" w:customStyle="1">
    <w:name w:val="纯文本 Char_0_0"/>
    <w:link w:val="1414"/>
    <w:uiPriority w:val="0"/>
    <w:qFormat/>
    <w:rPr>
      <w:rFonts w:ascii="宋体" w:hAnsi="Courier New"/>
      <w:sz w:val="21"/>
      <w:szCs w:val="21"/>
    </w:rPr>
  </w:style>
  <w:style w:type="paragraph" w:styleId="1417" w:customStyle="1">
    <w:name w:val="Normal_15_0"/>
    <w:uiPriority w:val="0"/>
    <w:qFormat/>
    <w:rPr>
      <w:rFonts w:hint="default" w:ascii="黑体" w:hAnsi="黑体" w:eastAsia="黑体" w:cs="Times New Roman"/>
      <w:b/>
      <w:sz w:val="32"/>
      <w:szCs w:val="24"/>
      <w:lang w:val="en-US" w:eastAsia="zh-CN" w:bidi="ar-SA"/>
    </w:rPr>
  </w:style>
  <w:style w:type="paragraph" w:styleId="1418" w:customStyle="1">
    <w:name w:val="正文_8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19" w:customStyle="1">
    <w:name w:val="Normal_16_0"/>
    <w:uiPriority w:val="0"/>
    <w:qFormat/>
    <w:rPr>
      <w:rFonts w:hint="default" w:ascii="黑体" w:hAnsi="黑体" w:eastAsia="黑体" w:cs="Times New Roman"/>
      <w:b/>
      <w:sz w:val="32"/>
      <w:szCs w:val="24"/>
      <w:lang w:val="en-US" w:eastAsia="zh-CN" w:bidi="ar-SA"/>
    </w:rPr>
  </w:style>
  <w:style w:type="paragraph" w:styleId="1420" w:customStyle="1">
    <w:name w:val="正文_5_0"/>
    <w:uiPriority w:val="0"/>
    <w:qFormat/>
    <w:pPr>
      <w:jc w:val="both"/>
      <w:widowControl w:val="off"/>
    </w:pPr>
    <w:rPr>
      <w:rFonts w:hint="default" w:ascii="Calibri" w:hAnsi="Calibri" w:eastAsia="宋体" w:cs="Times New Roman"/>
      <w:sz w:val="21"/>
      <w:szCs w:val="22"/>
      <w:lang w:val="en-US" w:eastAsia="zh-CN" w:bidi="ar-SA"/>
    </w:rPr>
  </w:style>
  <w:style w:type="paragraph" w:styleId="1421"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22" w:customStyle="1">
    <w:name w:val="Normal_17_0"/>
    <w:uiPriority w:val="0"/>
    <w:qFormat/>
    <w:rPr>
      <w:rFonts w:hint="default" w:ascii="黑体" w:hAnsi="黑体" w:eastAsia="黑体" w:cs="Times New Roman"/>
      <w:b/>
      <w:sz w:val="32"/>
      <w:szCs w:val="24"/>
      <w:lang w:val="en-US" w:eastAsia="zh-CN" w:bidi="ar-SA"/>
    </w:rPr>
  </w:style>
  <w:style w:type="paragraph" w:styleId="1423"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24" w:customStyle="1">
    <w:name w:val="Normal_18_0"/>
    <w:uiPriority w:val="0"/>
    <w:qFormat/>
    <w:rPr>
      <w:rFonts w:hint="default" w:ascii="黑体" w:hAnsi="黑体" w:eastAsia="黑体" w:cs="Times New Roman"/>
      <w:b/>
      <w:sz w:val="32"/>
      <w:szCs w:val="24"/>
      <w:lang w:val="en-US" w:eastAsia="zh-CN" w:bidi="ar-SA"/>
    </w:rPr>
  </w:style>
  <w:style w:type="paragraph" w:styleId="1425" w:customStyle="1">
    <w:name w:val="正文_1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26" w:customStyle="1">
    <w:name w:val="Normal_19_0"/>
    <w:basedOn w:val="842"/>
    <w:next w:val="1427"/>
    <w:uiPriority w:val="0"/>
    <w:qFormat/>
    <w:rPr>
      <w:rFonts w:ascii="黑体" w:hAnsi="黑体" w:eastAsia="黑体"/>
      <w:b/>
      <w:sz w:val="32"/>
    </w:rPr>
  </w:style>
  <w:style w:type="paragraph" w:styleId="1427" w:customStyle="1">
    <w:name w:val="Body Text First Indent_1_0"/>
    <w:basedOn w:val="1426"/>
    <w:uiPriority w:val="0"/>
    <w:qFormat/>
    <w:pPr>
      <w:ind w:firstLine="100"/>
      <w:spacing w:after="120"/>
    </w:pPr>
  </w:style>
  <w:style w:type="paragraph" w:styleId="1428" w:customStyle="1">
    <w:name w:val="Body Text_0"/>
    <w:basedOn w:val="1426"/>
    <w:uiPriority w:val="99"/>
    <w:unhideWhenUsed/>
    <w:qFormat/>
    <w:pPr>
      <w:spacing w:after="120"/>
    </w:pPr>
    <w:rPr>
      <w:rFonts w:ascii="Calibri" w:hAnsi="Calibri"/>
      <w:sz w:val="20"/>
    </w:rPr>
  </w:style>
  <w:style w:type="paragraph" w:styleId="1429"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430"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31" w:customStyle="1">
    <w:name w:val="Normal_14_0_0"/>
    <w:uiPriority w:val="0"/>
    <w:qFormat/>
    <w:rPr>
      <w:rFonts w:hint="default" w:ascii="黑体" w:hAnsi="黑体" w:eastAsia="黑体" w:cs="Times New Roman"/>
      <w:b/>
      <w:sz w:val="32"/>
      <w:szCs w:val="24"/>
      <w:lang w:val="en-US" w:eastAsia="zh-CN" w:bidi="ar-SA"/>
    </w:rPr>
  </w:style>
  <w:style w:type="paragraph" w:styleId="1432"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33" w:customStyle="1">
    <w:name w:val="Normal_20"/>
    <w:next w:val="1434"/>
    <w:uiPriority w:val="0"/>
    <w:qFormat/>
    <w:rPr>
      <w:rFonts w:hint="default" w:ascii="黑体" w:hAnsi="黑体" w:eastAsia="黑体" w:cs="Times New Roman"/>
      <w:b/>
      <w:sz w:val="32"/>
      <w:szCs w:val="24"/>
      <w:lang w:val="en-US" w:eastAsia="zh-CN" w:bidi="ar-SA"/>
    </w:rPr>
  </w:style>
  <w:style w:type="paragraph" w:styleId="1434" w:customStyle="1">
    <w:name w:val="正文文本首行缩进 22"/>
    <w:basedOn w:val="1435"/>
    <w:uiPriority w:val="0"/>
    <w:qFormat/>
    <w:pPr>
      <w:ind w:left="200" w:firstLine="200"/>
      <w:spacing w:after="120"/>
    </w:pPr>
    <w:rPr>
      <w:rFonts w:ascii="Times New Roman" w:hAnsi="Times New Roman"/>
      <w:sz w:val="24"/>
    </w:rPr>
  </w:style>
  <w:style w:type="paragraph" w:styleId="1435" w:customStyle="1">
    <w:name w:val="正文文本缩进2"/>
    <w:basedOn w:val="1433"/>
    <w:uiPriority w:val="0"/>
    <w:qFormat/>
    <w:pPr>
      <w:ind w:firstLine="225"/>
    </w:pPr>
    <w:rPr>
      <w:rFonts w:ascii="仿宋_GB2312" w:eastAsia="仿宋_GB2312"/>
    </w:rPr>
  </w:style>
  <w:style w:type="paragraph" w:styleId="1436" w:customStyle="1">
    <w:name w:val="正文_13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37"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438" w:customStyle="1">
    <w:name w:val="Normal_21"/>
    <w:uiPriority w:val="0"/>
    <w:qFormat/>
    <w:rPr>
      <w:rFonts w:hint="default" w:ascii="黑体" w:hAnsi="黑体" w:eastAsia="黑体" w:cs="Times New Roman"/>
      <w:b/>
      <w:sz w:val="32"/>
      <w:szCs w:val="24"/>
      <w:lang w:val="en-US" w:eastAsia="zh-CN" w:bidi="ar-SA"/>
    </w:rPr>
  </w:style>
  <w:style w:type="paragraph" w:styleId="1439"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440" w:customStyle="1">
    <w:name w:val="Normal_0_2"/>
    <w:uiPriority w:val="0"/>
    <w:qFormat/>
    <w:rPr>
      <w:rFonts w:hint="default" w:ascii="黑体" w:hAnsi="黑体" w:eastAsia="黑体" w:cs="Times New Roman"/>
      <w:b/>
      <w:sz w:val="32"/>
      <w:szCs w:val="24"/>
      <w:lang w:val="en-US" w:eastAsia="zh-CN" w:bidi="ar-SA"/>
    </w:rPr>
  </w:style>
  <w:style w:type="paragraph" w:styleId="1441"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442" w:customStyle="1">
    <w:name w:val="Normal_0_3"/>
    <w:uiPriority w:val="0"/>
    <w:qFormat/>
    <w:rPr>
      <w:rFonts w:hint="default" w:ascii="黑体" w:hAnsi="黑体" w:eastAsia="黑体" w:cs="Times New Roman"/>
      <w:b/>
      <w:sz w:val="32"/>
      <w:szCs w:val="24"/>
      <w:lang w:val="en-US" w:eastAsia="zh-CN" w:bidi="ar-SA"/>
    </w:rPr>
  </w:style>
  <w:style w:type="paragraph" w:styleId="1443" w:customStyle="1">
    <w:name w:val="正文_17"/>
    <w:uiPriority w:val="0"/>
    <w:qFormat/>
    <w:pPr>
      <w:jc w:val="both"/>
      <w:widowControl w:val="off"/>
    </w:pPr>
    <w:rPr>
      <w:rFonts w:hint="default" w:ascii="Calibri" w:hAnsi="Calibri" w:eastAsia="宋体" w:cs="Times New Roman"/>
      <w:sz w:val="21"/>
      <w:szCs w:val="22"/>
      <w:lang w:val="en-US" w:eastAsia="zh-CN" w:bidi="ar-SA"/>
    </w:rPr>
  </w:style>
  <w:style w:type="paragraph" w:styleId="1444" w:customStyle="1">
    <w:name w:val="正文缩进1"/>
    <w:basedOn w:val="734"/>
    <w:uiPriority w:val="0"/>
    <w:qFormat/>
    <w:pPr>
      <w:ind w:firstLine="420"/>
      <w:jc w:val="left"/>
    </w:pPr>
    <w:rPr>
      <w:rFonts w:ascii="宋体"/>
      <w:sz w:val="24"/>
    </w:rPr>
  </w:style>
  <w:style w:type="paragraph" w:styleId="1445" w:customStyle="1">
    <w:name w:val="索引 11"/>
    <w:basedOn w:val="734"/>
    <w:next w:val="734"/>
    <w:uiPriority w:val="0"/>
    <w:qFormat/>
    <w:pPr>
      <w:spacing w:line="360" w:lineRule="auto"/>
    </w:pPr>
    <w:rPr>
      <w:rFonts w:ascii="仿宋_GB2312" w:eastAsia="仿宋_GB2312"/>
      <w:sz w:val="24"/>
      <w:szCs w:val="20"/>
    </w:rPr>
  </w:style>
  <w:style w:type="paragraph" w:styleId="1446" w:customStyle="1">
    <w:name w:val="纯文本1"/>
    <w:basedOn w:val="1381"/>
    <w:uiPriority w:val="0"/>
    <w:qFormat/>
    <w:rPr>
      <w:rFonts w:ascii="宋体" w:hAnsi="Courier New"/>
    </w:rPr>
  </w:style>
  <w:style w:type="paragraph" w:styleId="1447" w:customStyle="1">
    <w:name w:val="Normal_20_0_0"/>
    <w:next w:val="734"/>
    <w:uiPriority w:val="0"/>
    <w:qFormat/>
    <w:pPr>
      <w:jc w:val="both"/>
      <w:spacing w:line="360" w:lineRule="auto"/>
      <w:widowControl w:val="off"/>
    </w:pPr>
    <w:rPr>
      <w:rFonts w:hint="default" w:ascii="Arial" w:hAnsi="Arial" w:eastAsia="宋体" w:cs="Times New Roman"/>
      <w:sz w:val="28"/>
      <w:szCs w:val="28"/>
      <w:lang w:val="en-US" w:eastAsia="zh-CN" w:bidi="ar-SA"/>
    </w:rPr>
  </w:style>
  <w:style w:type="paragraph" w:styleId="1448" w:customStyle="1">
    <w:name w:val="正文1_0"/>
    <w:uiPriority w:val="0"/>
    <w:qFormat/>
    <w:pPr>
      <w:jc w:val="both"/>
      <w:widowControl w:val="off"/>
    </w:pPr>
    <w:rPr>
      <w:rFonts w:hint="default" w:ascii="Times New Roman" w:hAnsi="Times New Roman" w:eastAsia="宋体" w:cs="Times New Roman"/>
      <w:szCs w:val="24"/>
      <w:lang w:val="en-US" w:eastAsia="zh-CN" w:bidi="ar-SA"/>
    </w:rPr>
  </w:style>
  <w:style w:type="paragraph" w:styleId="1449" w:customStyle="1">
    <w:name w:val="正文缩进1_0"/>
    <w:basedOn w:val="1448"/>
    <w:link w:val="1450"/>
    <w:uiPriority w:val="0"/>
    <w:qFormat/>
    <w:pPr>
      <w:ind w:firstLine="420"/>
      <w:jc w:val="left"/>
    </w:pPr>
    <w:rPr>
      <w:rFonts w:ascii="宋体" w:hAnsi="Calibri" w:eastAsia="Times New Roman"/>
      <w:sz w:val="24"/>
      <w:szCs w:val="22"/>
    </w:rPr>
  </w:style>
  <w:style w:type="character" w:styleId="1450" w:customStyle="1">
    <w:name w:val="正文缩进 Char1_1"/>
    <w:link w:val="1449"/>
    <w:uiPriority w:val="0"/>
    <w:qFormat/>
    <w:rPr>
      <w:rFonts w:ascii="宋体" w:hAnsi="Calibri" w:eastAsia="Times New Roman"/>
      <w:sz w:val="24"/>
      <w:szCs w:val="22"/>
    </w:rPr>
  </w:style>
  <w:style w:type="paragraph" w:styleId="1451" w:customStyle="1">
    <w:name w:val="无间隔1_0"/>
    <w:uiPriority w:val="1"/>
    <w:qFormat/>
    <w:pPr>
      <w:jc w:val="both"/>
      <w:widowControl w:val="off"/>
    </w:pPr>
    <w:rPr>
      <w:rFonts w:hint="default" w:ascii="Times New Roman" w:hAnsi="Times New Roman" w:eastAsia="宋体" w:cs="Times New Roman"/>
      <w:szCs w:val="24"/>
      <w:lang w:val="en-US" w:eastAsia="zh-CN" w:bidi="ar-SA"/>
    </w:rPr>
  </w:style>
  <w:style w:type="paragraph" w:styleId="1452" w:customStyle="1">
    <w:name w:val="Normal_22"/>
    <w:uiPriority w:val="0"/>
    <w:qFormat/>
    <w:pPr>
      <w:jc w:val="both"/>
      <w:widowControl w:val="off"/>
    </w:pPr>
    <w:rPr>
      <w:rFonts w:hint="default" w:ascii="Times New Roman" w:hAnsi="Times New Roman" w:eastAsia="宋体" w:cs="Times New Roman"/>
      <w:szCs w:val="24"/>
      <w:lang w:val="en-US" w:eastAsia="zh-CN" w:bidi="ar-SA"/>
    </w:rPr>
  </w:style>
  <w:style w:type="character" w:styleId="1453" w:customStyle="1">
    <w:name w:val="未处理的提及1"/>
    <w:link w:val="734"/>
    <w:uiPriority w:val="99"/>
    <w:unhideWhenUsed/>
    <w:qFormat/>
    <w:rPr>
      <w:color w:val="605e5c"/>
      <w:shd w:val="clear" w:color="auto" w:fill="e1dfdd"/>
    </w:rPr>
  </w:style>
  <w:style w:type="character" w:styleId="1454" w:customStyle="1">
    <w:name w:val="未处理的提及2"/>
    <w:link w:val="734"/>
    <w:uiPriority w:val="99"/>
    <w:unhideWhenUsed/>
    <w:qFormat/>
    <w:rPr>
      <w:color w:val="605e5c"/>
      <w:shd w:val="clear" w:color="auto" w:fill="e1dfdd"/>
    </w:rPr>
  </w:style>
  <w:style w:type="paragraph" w:styleId="1455"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456"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457" w:customStyle="1">
    <w:name w:val="10"/>
    <w:link w:val="734"/>
    <w:uiPriority w:val="0"/>
    <w:qFormat/>
    <w:rPr>
      <w:rFonts w:ascii="Times New Roman" w:hAnsi="Times New Roman" w:cs="Times New Roman"/>
    </w:rPr>
  </w:style>
  <w:style w:type="paragraph" w:styleId="1458" w:customStyle="1">
    <w:name w:val="正文文本2"/>
    <w:basedOn w:val="844"/>
    <w:uiPriority w:val="1"/>
    <w:qFormat/>
    <w:rPr>
      <w:rFonts w:ascii="Segoe UI" w:hAnsi="Segoe UI" w:cs="Segoe UI"/>
    </w:rPr>
  </w:style>
  <w:style w:type="paragraph" w:styleId="1459" w:customStyle="1">
    <w:name w:val="正文_16_0"/>
    <w:basedOn w:val="1379"/>
    <w:uiPriority w:val="0"/>
    <w:qFormat/>
  </w:style>
  <w:style w:type="paragraph" w:styleId="1460" w:customStyle="1">
    <w:name w:val="Normal_16_0_0"/>
    <w:uiPriority w:val="0"/>
    <w:qFormat/>
    <w:pPr>
      <w:jc w:val="both"/>
      <w:widowControl w:val="off"/>
    </w:pPr>
    <w:rPr>
      <w:rFonts w:hint="default" w:ascii="Calibri" w:hAnsi="Calibri" w:eastAsia="宋体" w:cs="Times New Roman"/>
      <w:sz w:val="21"/>
      <w:szCs w:val="22"/>
      <w:lang w:val="en-US" w:eastAsia="zh-CN" w:bidi="ar-SA"/>
    </w:rPr>
  </w:style>
  <w:style w:type="paragraph" w:styleId="1461" w:customStyle="1">
    <w:name w:val="Normal_22_0"/>
    <w:uiPriority w:val="0"/>
    <w:qFormat/>
    <w:pPr>
      <w:jc w:val="both"/>
      <w:widowControl w:val="off"/>
    </w:pPr>
    <w:rPr>
      <w:rFonts w:hint="default" w:ascii="Calibri" w:hAnsi="Calibri" w:eastAsia="宋体" w:cs="Times New Roman"/>
      <w:sz w:val="21"/>
      <w:szCs w:val="24"/>
      <w:lang w:val="en-US" w:eastAsia="zh-CN" w:bidi="ar-SA"/>
    </w:rPr>
  </w:style>
  <w:style w:type="paragraph" w:styleId="1462" w:customStyle="1">
    <w:name w:val="Normal_19_0_1"/>
    <w:uiPriority w:val="0"/>
    <w:qFormat/>
    <w:rPr>
      <w:rFonts w:hint="default" w:ascii="Tahoma" w:hAnsi="Tahoma" w:eastAsia="微软雅黑" w:cs="Times New Roman"/>
      <w:lang w:val="en-US" w:eastAsia="zh-CN" w:bidi="ar-SA"/>
    </w:rPr>
  </w:style>
  <w:style w:type="paragraph" w:styleId="1463" w:customStyle="1">
    <w:name w:val="正文_2_0_0"/>
    <w:uiPriority w:val="0"/>
    <w:qFormat/>
    <w:pPr>
      <w:jc w:val="both"/>
      <w:widowControl w:val="off"/>
    </w:pPr>
    <w:rPr>
      <w:rFonts w:hint="default" w:ascii="Calibri" w:hAnsi="Calibri" w:eastAsia="宋体" w:cs="Times New Roman"/>
      <w:sz w:val="21"/>
      <w:szCs w:val="22"/>
      <w:lang w:val="en-US" w:eastAsia="zh-CN" w:bidi="ar-SA"/>
    </w:rPr>
  </w:style>
  <w:style w:type="paragraph" w:styleId="1464" w:customStyle="1">
    <w:name w:val="正文_16_0_0_0"/>
    <w:basedOn w:val="1465"/>
    <w:uiPriority w:val="0"/>
    <w:qFormat/>
    <w:rPr>
      <w:rFonts w:ascii="Calibri" w:hAnsi="Calibri" w:cs="Calibri"/>
      <w:szCs w:val="21"/>
    </w:rPr>
  </w:style>
  <w:style w:type="paragraph" w:styleId="1465" w:customStyle="1">
    <w:name w:val="正文_3_0"/>
    <w:uiPriority w:val="0"/>
    <w:qFormat/>
    <w:pPr>
      <w:jc w:val="both"/>
      <w:widowControl w:val="off"/>
    </w:pPr>
    <w:rPr>
      <w:rFonts w:hint="default" w:ascii="Times New Roman" w:hAnsi="Times New Roman" w:eastAsia="宋体" w:cs="Times New Roman"/>
      <w:sz w:val="21"/>
      <w:lang w:val="en-US" w:eastAsia="zh-CN" w:bidi="ar-SA"/>
    </w:rPr>
  </w:style>
  <w:style w:type="character" w:styleId="1466" w:customStyle="1">
    <w:name w:val="15"/>
    <w:link w:val="734"/>
    <w:uiPriority w:val="0"/>
    <w:qFormat/>
    <w:rPr>
      <w:rFonts w:ascii="Times New Roman" w:hAnsi="Times New Roman" w:cs="Times New Roman"/>
      <w:color w:val="0000ff"/>
      <w:u w:val="single"/>
    </w:rPr>
  </w:style>
  <w:style w:type="character" w:styleId="1467" w:customStyle="1">
    <w:name w:val="16_0"/>
    <w:link w:val="734"/>
    <w:uiPriority w:val="0"/>
    <w:qFormat/>
    <w:rPr>
      <w:rFonts w:ascii="Times New Roman" w:hAnsi="Times New Roman" w:cs="Times New Roman"/>
    </w:rPr>
  </w:style>
  <w:style w:type="paragraph" w:styleId="1468" w:customStyle="1">
    <w:name w:val="正文_16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69" w:customStyle="1">
    <w:name w:val="正文空2字"/>
    <w:basedOn w:val="734"/>
    <w:uiPriority w:val="99"/>
    <w:qFormat/>
    <w:pPr>
      <w:ind w:firstLine="640"/>
      <w:jc w:val="left"/>
      <w:spacing w:line="560" w:lineRule="exact"/>
    </w:pPr>
    <w:rPr>
      <w:rFonts w:ascii="仿宋_GB2312" w:hAnsi="仿宋_GB2312" w:eastAsia="仿宋_GB2312" w:cs="仿宋_GB2312"/>
      <w:sz w:val="32"/>
      <w:szCs w:val="32"/>
      <w:lang w:val="zh-TW"/>
    </w:rPr>
  </w:style>
  <w:style w:type="character" w:styleId="1470" w:customStyle="1">
    <w:name w:val="未处理的提及3"/>
    <w:link w:val="734"/>
    <w:uiPriority w:val="99"/>
    <w:unhideWhenUsed/>
    <w:qFormat/>
    <w:rPr>
      <w:color w:val="605e5c"/>
      <w:shd w:val="clear" w:color="auto" w:fill="e1dfdd"/>
    </w:rPr>
  </w:style>
  <w:style w:type="character" w:styleId="1471" w:customStyle="1">
    <w:name w:val="正文文本首行缩进 2 字符1"/>
    <w:link w:val="734"/>
    <w:uiPriority w:val="99"/>
    <w:semiHidden/>
    <w:qFormat/>
    <w:rPr>
      <w:rFonts w:ascii="Calibri" w:hAnsi="Calibri"/>
      <w:sz w:val="21"/>
      <w:szCs w:val="22"/>
    </w:rPr>
  </w:style>
  <w:style w:type="paragraph" w:styleId="1472" w:customStyle="1">
    <w:name w:val="Normal_20_0"/>
    <w:uiPriority w:val="0"/>
    <w:qFormat/>
    <w:pPr>
      <w:jc w:val="both"/>
      <w:widowControl w:val="off"/>
    </w:pPr>
    <w:rPr>
      <w:rFonts w:hint="default" w:ascii="Calibri" w:hAnsi="Calibri" w:eastAsia="宋体" w:cs="Times New Roman"/>
      <w:lang w:val="en-US" w:eastAsia="zh-CN" w:bidi="ar-SA"/>
    </w:rPr>
  </w:style>
  <w:style w:type="paragraph" w:styleId="1473" w:customStyle="1">
    <w:name w:val="正文_12_0_0_0_0"/>
    <w:basedOn w:val="734"/>
    <w:uiPriority w:val="0"/>
    <w:qFormat/>
    <w:rPr>
      <w:rFonts w:ascii="Times New Roman" w:hAnsi="Times New Roman"/>
      <w:szCs w:val="24"/>
    </w:rPr>
  </w:style>
  <w:style w:type="paragraph" w:styleId="1474"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475" w:customStyle="1">
    <w:name w:val="custom-tag-placeholder-class"/>
    <w:link w:val="734"/>
    <w:uiPriority w:val="0"/>
    <w:qFormat/>
  </w:style>
  <w:style w:type="paragraph" w:styleId="1476" w:customStyle="1">
    <w:name w:val="正文缩进_1_0_0"/>
    <w:basedOn w:val="1477"/>
    <w:uiPriority w:val="0"/>
    <w:qFormat/>
    <w:pPr>
      <w:ind w:firstLine="420"/>
    </w:pPr>
    <w:rPr>
      <w:rFonts w:ascii="宋体"/>
      <w:color w:val="000000"/>
      <w:sz w:val="24"/>
      <w:szCs w:val="20"/>
    </w:rPr>
  </w:style>
  <w:style w:type="paragraph" w:styleId="1477" w:customStyle="1">
    <w:name w:val="正文_2_0_1"/>
    <w:next w:val="147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478" w:customStyle="1">
    <w:name w:val="表内文字居中_0"/>
    <w:uiPriority w:val="0"/>
    <w:qFormat/>
    <w:pPr>
      <w:jc w:val="center"/>
    </w:pPr>
    <w:rPr>
      <w:rFonts w:hint="default" w:ascii="Times New Roman" w:hAnsi="Times New Roman" w:eastAsia="宋体" w:cs="Times New Roman"/>
      <w:sz w:val="24"/>
      <w:szCs w:val="24"/>
      <w:lang w:val="en-US" w:eastAsia="zh-CN" w:bidi="ar-SA"/>
    </w:rPr>
  </w:style>
  <w:style w:type="paragraph" w:styleId="1479" w:customStyle="1">
    <w:name w:val="正文_16_0_0"/>
    <w:next w:val="1448"/>
    <w:uiPriority w:val="0"/>
    <w:qFormat/>
    <w:pPr>
      <w:jc w:val="both"/>
      <w:widowControl w:val="off"/>
    </w:pPr>
    <w:rPr>
      <w:rFonts w:hint="default" w:ascii="Calibri" w:hAnsi="Calibri" w:eastAsia="宋体" w:cs="Times New Roman"/>
      <w:sz w:val="21"/>
      <w:szCs w:val="22"/>
      <w:lang w:val="en-US" w:eastAsia="zh-CN" w:bidi="ar-SA"/>
    </w:rPr>
  </w:style>
  <w:style w:type="paragraph" w:styleId="1480" w:customStyle="1">
    <w:name w:val="Normal_19_0_0"/>
    <w:next w:val="734"/>
    <w:uiPriority w:val="0"/>
    <w:qFormat/>
    <w:pPr>
      <w:ind w:firstLine="200"/>
      <w:jc w:val="both"/>
      <w:spacing w:line="360" w:lineRule="auto"/>
      <w:widowControl w:val="off"/>
    </w:pPr>
    <w:rPr>
      <w:rFonts w:hint="default" w:ascii="Calibri" w:hAnsi="Calibri" w:eastAsia="宋体" w:cs="Times New Roman"/>
      <w:sz w:val="24"/>
      <w:lang w:val="en-US" w:eastAsia="zh-CN" w:bidi="ar-SA"/>
    </w:rPr>
  </w:style>
  <w:style w:type="paragraph" w:styleId="1481" w:customStyle="1">
    <w:name w:val="Body Text_0_0"/>
    <w:basedOn w:val="1480"/>
    <w:uiPriority w:val="99"/>
    <w:unhideWhenUsed/>
    <w:qFormat/>
    <w:pPr>
      <w:spacing w:after="120"/>
    </w:pPr>
    <w:rPr>
      <w:sz w:val="20"/>
    </w:rPr>
  </w:style>
  <w:style w:type="paragraph" w:styleId="1482" w:customStyle="1">
    <w:name w:val="*正文"/>
    <w:basedOn w:val="734"/>
    <w:uiPriority w:val="0"/>
    <w:qFormat/>
    <w:pPr>
      <w:ind w:firstLine="560"/>
      <w:spacing w:line="360" w:lineRule="auto"/>
    </w:pPr>
    <w:rPr>
      <w:rFonts w:ascii="方正仿宋_GB2312" w:hAnsi="Times New Roman" w:eastAsia="方正仿宋_GB2312"/>
      <w:sz w:val="28"/>
      <w:szCs w:val="28"/>
    </w:rPr>
  </w:style>
  <w:style w:type="paragraph" w:styleId="1483" w:customStyle="1">
    <w:name w:val="Normal_21_0"/>
    <w:next w:val="73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84" w:customStyle="1">
    <w:name w:val="正文3"/>
    <w:next w:val="877"/>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485"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486" w:customStyle="1">
    <w:name w:val="p17_0_0"/>
    <w:basedOn w:val="1426"/>
    <w:uiPriority w:val="0"/>
    <w:qFormat/>
    <w:pPr>
      <w:spacing w:before="100" w:beforeAutospacing="1" w:after="100" w:afterAutospacing="1"/>
    </w:pPr>
    <w:rPr>
      <w:rFonts w:ascii="宋体" w:hAnsi="宋体" w:eastAsia="Times New Roman" w:cs="宋体"/>
      <w:sz w:val="24"/>
    </w:rPr>
  </w:style>
  <w:style w:type="paragraph" w:styleId="1487" w:customStyle="1">
    <w:name w:val="标题 2111"/>
    <w:basedOn w:val="734"/>
    <w:next w:val="1488"/>
    <w:uiPriority w:val="9"/>
    <w:qFormat/>
    <w:pPr>
      <w:keepLines/>
      <w:keepNext/>
      <w:spacing w:before="360" w:after="200"/>
      <w:outlineLvl w:val="1"/>
    </w:pPr>
    <w:rPr>
      <w:rFonts w:ascii="Arial" w:hAnsi="Arial" w:eastAsia="Arial" w:cs="Arial"/>
      <w:sz w:val="34"/>
    </w:rPr>
  </w:style>
  <w:style w:type="paragraph" w:styleId="1488" w:customStyle="1">
    <w:name w:val="正文缩进12"/>
    <w:basedOn w:val="734"/>
    <w:uiPriority w:val="0"/>
    <w:qFormat/>
    <w:pPr>
      <w:ind w:firstLine="420"/>
    </w:pPr>
    <w:rPr>
      <w:szCs w:val="21"/>
    </w:rPr>
  </w:style>
  <w:style w:type="paragraph" w:styleId="1489" w:customStyle="1">
    <w:name w:val="普通(网站)12"/>
    <w:basedOn w:val="734"/>
    <w:uiPriority w:val="99"/>
    <w:qFormat/>
    <w:pPr>
      <w:jc w:val="left"/>
      <w:spacing w:before="100" w:beforeAutospacing="1" w:after="100" w:afterAutospacing="1"/>
      <w:widowControl/>
    </w:pPr>
    <w:rPr>
      <w:rFonts w:ascii="宋体" w:hAnsi="宋体" w:cs="宋体"/>
      <w:sz w:val="24"/>
      <w:szCs w:val="24"/>
    </w:rPr>
  </w:style>
  <w:style w:type="paragraph" w:styleId="1490" w:customStyle="1">
    <w:name w:val="页脚12"/>
    <w:basedOn w:val="734"/>
    <w:uiPriority w:val="99"/>
    <w:unhideWhenUsed/>
    <w:qFormat/>
    <w:pPr>
      <w:tabs>
        <w:tab w:val="center" w:pos="7143" w:leader="none"/>
        <w:tab w:val="right" w:pos="14287" w:leader="none"/>
      </w:tabs>
    </w:pPr>
  </w:style>
  <w:style w:type="paragraph" w:styleId="1491" w:customStyle="1">
    <w:name w:val="☆ 正文"/>
    <w:basedOn w:val="734"/>
    <w:uiPriority w:val="0"/>
    <w:qFormat/>
    <w:pPr>
      <w:ind w:firstLine="482"/>
    </w:pPr>
    <w:rPr>
      <w:b/>
    </w:rPr>
  </w:style>
  <w:style w:type="paragraph" w:styleId="1492" w:customStyle="1">
    <w:name w:val="Table Text"/>
    <w:basedOn w:val="734"/>
    <w:uiPriority w:val="0"/>
    <w:semiHidden/>
    <w:qFormat/>
    <w:rPr>
      <w:rFonts w:ascii="Arial" w:hAnsi="Arial" w:eastAsia="Arial" w:cs="Arial"/>
      <w:szCs w:val="21"/>
      <w:lang w:eastAsia="en-US"/>
    </w:rPr>
  </w:style>
  <w:style w:type="character" w:styleId="1493" w:customStyle="1">
    <w:name w:val="font11"/>
    <w:basedOn w:val="744"/>
    <w:uiPriority w:val="0"/>
    <w:qFormat/>
    <w:rPr>
      <w:rFonts w:hint="eastAsia" w:ascii="方正仿宋_GBK" w:hAnsi="方正仿宋_GBK" w:eastAsia="方正仿宋_GBK" w:cs="方正仿宋_GBK"/>
      <w:color w:val="000000"/>
      <w:sz w:val="24"/>
      <w:szCs w:val="24"/>
      <w:u w:val="none"/>
    </w:rPr>
  </w:style>
  <w:style w:type="paragraph" w:styleId="1494" w:customStyle="1">
    <w:name w:val="正文_0_1_0_0"/>
    <w:uiPriority w:val="99"/>
    <w:qFormat/>
    <w:pPr>
      <w:jc w:val="both"/>
      <w:widowControl w:val="off"/>
    </w:pPr>
    <w:rPr>
      <w:rFonts w:hint="default" w:ascii="Calibri" w:hAnsi="Calibri" w:eastAsia="宋体" w:cs="Times New Roman"/>
      <w:lang w:val="en-US" w:eastAsia="zh-CN" w:bidi="ar-SA"/>
    </w:rPr>
  </w:style>
  <w:style w:type="numbering" w:styleId="149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李想</cp:lastModifiedBy>
  <cp:revision>9</cp:revision>
  <dcterms:created xsi:type="dcterms:W3CDTF">2026-07-02T08:28:00Z</dcterms:created>
  <dcterms:modified xsi:type="dcterms:W3CDTF">2026-09-09T03:03:46Z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eyJoZGlkIjoiNGU2MjIzNDY3YzIxMWZkNjZjMDcyMWFhYmNkYmM5YTciLCJ1c2VySWQiOiI2NzcwMzI3NDMifQ==</vt:lpwstr>
  </property>
  <property fmtid="{D5CDD505-2E9C-101B-9397-08002B2CF9AE}" pid="3" name="KSOProductBuildVer">
    <vt:lpwstr>2052-12.1.0.28505</vt:lpwstr>
  </property>
  <property fmtid="{D5CDD505-2E9C-101B-9397-08002B2CF9AE}" pid="4" name="ICV">
    <vt:lpwstr>A4BAE5ACF58B4ACCB91AFC3A5A7C30A0_12</vt:lpwstr>
  </property>
</Properties>
</file>